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pPr>
        <w:spacing w:before="82"/>
        <w:ind w:left="5658" w:right="0" w:firstLine="0"/>
        <w:jc w:val="left"/>
        <w:rPr>
          <w:rFonts w:ascii="Arial"/>
          <w:sz w:val="18"/>
        </w:rPr>
      </w:pPr>
      <w:r>
        <w:rPr>
          <w:rFonts w:ascii="Arial"/>
          <w:sz w:val="18"/>
        </w:rPr>
        <w:t>OMB</w:t>
      </w:r>
      <w:r>
        <w:rPr>
          <w:rFonts w:ascii="Arial"/>
          <w:spacing w:val="-3"/>
          <w:sz w:val="18"/>
        </w:rPr>
        <w:t xml:space="preserve"> </w:t>
      </w:r>
      <w:r>
        <w:rPr>
          <w:rFonts w:ascii="Arial"/>
          <w:sz w:val="18"/>
        </w:rPr>
        <w:t>Approved</w:t>
      </w:r>
      <w:r>
        <w:rPr>
          <w:rFonts w:ascii="Arial"/>
          <w:spacing w:val="-3"/>
          <w:sz w:val="18"/>
        </w:rPr>
        <w:t xml:space="preserve"> </w:t>
      </w:r>
      <w:r>
        <w:rPr>
          <w:rFonts w:ascii="Arial"/>
          <w:sz w:val="18"/>
        </w:rPr>
        <w:t>#</w:t>
      </w:r>
      <w:r>
        <w:rPr>
          <w:rFonts w:ascii="Arial"/>
          <w:spacing w:val="-2"/>
          <w:sz w:val="18"/>
        </w:rPr>
        <w:t xml:space="preserve"> </w:t>
      </w:r>
      <w:r>
        <w:rPr>
          <w:rFonts w:ascii="Arial"/>
          <w:sz w:val="18"/>
        </w:rPr>
        <w:t>0938-0944</w:t>
      </w:r>
      <w:r>
        <w:rPr>
          <w:rFonts w:ascii="Arial"/>
          <w:spacing w:val="-2"/>
          <w:sz w:val="18"/>
        </w:rPr>
        <w:t xml:space="preserve"> </w:t>
      </w:r>
      <w:r>
        <w:rPr>
          <w:rFonts w:ascii="Arial"/>
          <w:sz w:val="18"/>
        </w:rPr>
        <w:t>(Expires:</w:t>
      </w:r>
      <w:r>
        <w:rPr>
          <w:rFonts w:ascii="Arial"/>
          <w:spacing w:val="-2"/>
          <w:sz w:val="18"/>
        </w:rPr>
        <w:t xml:space="preserve"> 03/31/2027)</w:t>
      </w:r>
    </w:p>
    <w:p>
      <w:pPr>
        <w:pStyle w:val="BodyText"/>
        <w:ind w:left="0"/>
        <w:rPr>
          <w:rFonts w:ascii="Arial"/>
          <w:sz w:val="20"/>
        </w:rPr>
      </w:pPr>
    </w:p>
    <w:p>
      <w:pPr>
        <w:pStyle w:val="BodyText"/>
        <w:ind w:left="0"/>
        <w:rPr>
          <w:rFonts w:ascii="Arial"/>
          <w:sz w:val="20"/>
        </w:rPr>
      </w:pPr>
    </w:p>
    <w:p>
      <w:pPr>
        <w:pStyle w:val="BodyText"/>
        <w:ind w:left="0"/>
        <w:rPr>
          <w:rFonts w:ascii="Arial"/>
          <w:sz w:val="20"/>
        </w:rPr>
      </w:pPr>
    </w:p>
    <w:p>
      <w:pPr>
        <w:pStyle w:val="BodyText"/>
        <w:ind w:left="0"/>
        <w:rPr>
          <w:rFonts w:ascii="Arial"/>
          <w:sz w:val="20"/>
        </w:rPr>
      </w:pPr>
    </w:p>
    <w:p>
      <w:pPr>
        <w:pStyle w:val="BodyText"/>
        <w:ind w:left="0"/>
        <w:rPr>
          <w:rFonts w:ascii="Arial"/>
          <w:sz w:val="20"/>
        </w:rPr>
      </w:pPr>
    </w:p>
    <w:p>
      <w:pPr>
        <w:pStyle w:val="BodyText"/>
        <w:ind w:left="0"/>
        <w:rPr>
          <w:rFonts w:ascii="Arial"/>
          <w:sz w:val="20"/>
        </w:rPr>
      </w:pPr>
    </w:p>
    <w:p>
      <w:pPr>
        <w:pStyle w:val="BodyText"/>
        <w:ind w:left="0"/>
        <w:rPr>
          <w:rFonts w:ascii="Arial"/>
          <w:sz w:val="20"/>
        </w:rPr>
      </w:pPr>
    </w:p>
    <w:p>
      <w:pPr>
        <w:pStyle w:val="BodyText"/>
        <w:spacing w:before="137"/>
        <w:ind w:left="0"/>
        <w:rPr>
          <w:rFonts w:ascii="Arial"/>
          <w:sz w:val="20"/>
        </w:rPr>
      </w:pPr>
      <w:r>
        <w:rPr>
          <w:rFonts w:ascii="Arial"/>
          <w:sz w:val="20"/>
        </w:rPr>
        <mc:AlternateContent>
          <mc:Choice Requires="wps">
            <w:drawing>
              <wp:anchor distT="0" distB="0" distL="0" distR="0" simplePos="0" relativeHeight="251666432" behindDoc="1" locked="0" layoutInCell="1" allowOverlap="1">
                <wp:simplePos x="0" y="0"/>
                <wp:positionH relativeFrom="page">
                  <wp:posOffset>987856</wp:posOffset>
                </wp:positionH>
                <wp:positionV relativeFrom="paragraph">
                  <wp:posOffset>248890</wp:posOffset>
                </wp:positionV>
                <wp:extent cx="5889625" cy="18415"/>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889625" cy="18415"/>
                        </a:xfrm>
                        <a:custGeom>
                          <a:avLst/>
                          <a:gdLst/>
                          <a:rect l="l" t="t" r="r" b="b"/>
                          <a:pathLst>
                            <a:path fill="norm" h="18415" w="5889625" stroke="1">
                              <a:moveTo>
                                <a:pt x="5889625" y="12192"/>
                              </a:moveTo>
                              <a:lnTo>
                                <a:pt x="0" y="12192"/>
                              </a:lnTo>
                              <a:lnTo>
                                <a:pt x="0" y="18288"/>
                              </a:lnTo>
                              <a:lnTo>
                                <a:pt x="5889625" y="18288"/>
                              </a:lnTo>
                              <a:lnTo>
                                <a:pt x="5889625" y="12192"/>
                              </a:lnTo>
                              <a:close/>
                            </a:path>
                            <a:path fill="norm" h="18415" w="5889625" stroke="1">
                              <a:moveTo>
                                <a:pt x="5889625" y="0"/>
                              </a:moveTo>
                              <a:lnTo>
                                <a:pt x="0" y="0"/>
                              </a:lnTo>
                              <a:lnTo>
                                <a:pt x="0" y="6096"/>
                              </a:lnTo>
                              <a:lnTo>
                                <a:pt x="5889625" y="6096"/>
                              </a:lnTo>
                              <a:lnTo>
                                <a:pt x="588962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_x0000_s1025" style="width:463.75pt;height:1.45pt;margin-top:19.6pt;margin-left:77.78pt;mso-position-horizontal-relative:page;mso-wrap-distance-left:0;mso-wrap-distance-right:0;position:absolute;z-index:-251649024" coordorigin="1556,392" coordsize="9275,29" path="m10831,411l1556,411,1556,421,10831,421,10831,411xm10831,392l1556,392,1556,402,10831,402,10831,392xe" filled="t" fillcolor="black" stroked="f">
                <v:fill type="solid"/>
                <v:path arrowok="t"/>
                <w10:wrap type="topAndBottom"/>
              </v:shape>
            </w:pict>
          </mc:Fallback>
        </mc:AlternateContent>
      </w:r>
    </w:p>
    <w:p>
      <w:pPr>
        <w:pStyle w:val="BodyText"/>
        <w:ind w:left="0"/>
        <w:rPr>
          <w:rFonts w:ascii="Arial"/>
          <w:sz w:val="18"/>
        </w:rPr>
      </w:pPr>
    </w:p>
    <w:p>
      <w:pPr>
        <w:pStyle w:val="BodyText"/>
        <w:spacing w:before="204"/>
        <w:ind w:left="0"/>
        <w:rPr>
          <w:rFonts w:ascii="Arial"/>
          <w:sz w:val="18"/>
        </w:rPr>
      </w:pPr>
    </w:p>
    <w:p>
      <w:pPr>
        <w:pStyle w:val="Title"/>
      </w:pPr>
      <w:bookmarkStart w:id="0" w:name="INSTRUCTIONS FOR COMPLETING THE MEDICARE"/>
      <w:bookmarkEnd w:id="0"/>
      <w:r>
        <w:t>INSTRUCTIONS</w:t>
      </w:r>
      <w:r>
        <w:rPr>
          <w:spacing w:val="-20"/>
        </w:rPr>
        <w:t xml:space="preserve"> </w:t>
      </w:r>
      <w:r>
        <w:t>FOR</w:t>
      </w:r>
      <w:r>
        <w:rPr>
          <w:spacing w:val="-19"/>
        </w:rPr>
        <w:t xml:space="preserve"> </w:t>
      </w:r>
      <w:r>
        <w:t>COMPLETING THE MEDICARE ADVANTAGE</w:t>
      </w:r>
    </w:p>
    <w:p>
      <w:pPr>
        <w:pStyle w:val="Title"/>
        <w:spacing w:before="2"/>
        <w:ind w:left="3101" w:right="3962" w:firstLine="549"/>
      </w:pPr>
      <w:r>
        <w:t>BID PRICING TOOLS FOR</w:t>
      </w:r>
      <w:r>
        <w:rPr>
          <w:spacing w:val="-15"/>
        </w:rPr>
        <w:t xml:space="preserve"> </w:t>
      </w:r>
      <w:r>
        <w:t>CONTRACT</w:t>
      </w:r>
      <w:r>
        <w:rPr>
          <w:spacing w:val="-21"/>
        </w:rPr>
        <w:t xml:space="preserve"> </w:t>
      </w:r>
      <w:r>
        <w:t>YEAR</w:t>
      </w:r>
      <w:r>
        <w:rPr>
          <w:spacing w:val="-12"/>
        </w:rPr>
        <w:t xml:space="preserve"> </w:t>
      </w:r>
      <w:r>
        <w:t>2027</w:t>
      </w:r>
    </w:p>
    <w:p>
      <w:pPr>
        <w:pStyle w:val="BodyText"/>
        <w:ind w:left="0"/>
        <w:rPr>
          <w:rFonts w:ascii="Arial"/>
          <w:sz w:val="20"/>
        </w:rPr>
      </w:pPr>
    </w:p>
    <w:p>
      <w:pPr>
        <w:pStyle w:val="BodyText"/>
        <w:spacing w:before="132"/>
        <w:ind w:left="0"/>
        <w:rPr>
          <w:rFonts w:ascii="Arial"/>
          <w:sz w:val="20"/>
        </w:rPr>
      </w:pPr>
      <w:r>
        <w:rPr>
          <w:rFonts w:ascii="Arial"/>
          <w:sz w:val="20"/>
        </w:rPr>
        <mc:AlternateContent>
          <mc:Choice Requires="wps">
            <w:drawing>
              <wp:anchor distT="0" distB="0" distL="0" distR="0" simplePos="0" relativeHeight="251668480" behindDoc="1" locked="0" layoutInCell="1" allowOverlap="1">
                <wp:simplePos x="0" y="0"/>
                <wp:positionH relativeFrom="page">
                  <wp:posOffset>987856</wp:posOffset>
                </wp:positionH>
                <wp:positionV relativeFrom="paragraph">
                  <wp:posOffset>245612</wp:posOffset>
                </wp:positionV>
                <wp:extent cx="5889625" cy="18415"/>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5889625" cy="18415"/>
                        </a:xfrm>
                        <a:custGeom>
                          <a:avLst/>
                          <a:gdLst/>
                          <a:rect l="l" t="t" r="r" b="b"/>
                          <a:pathLst>
                            <a:path fill="norm" h="18415" w="5889625" stroke="1">
                              <a:moveTo>
                                <a:pt x="5889625" y="12179"/>
                              </a:moveTo>
                              <a:lnTo>
                                <a:pt x="0" y="12179"/>
                              </a:lnTo>
                              <a:lnTo>
                                <a:pt x="0" y="18275"/>
                              </a:lnTo>
                              <a:lnTo>
                                <a:pt x="5889625" y="18275"/>
                              </a:lnTo>
                              <a:lnTo>
                                <a:pt x="5889625" y="12179"/>
                              </a:lnTo>
                              <a:close/>
                            </a:path>
                            <a:path fill="norm" h="18415" w="5889625" stroke="1">
                              <a:moveTo>
                                <a:pt x="5889625" y="0"/>
                              </a:moveTo>
                              <a:lnTo>
                                <a:pt x="0" y="0"/>
                              </a:lnTo>
                              <a:lnTo>
                                <a:pt x="0" y="6083"/>
                              </a:lnTo>
                              <a:lnTo>
                                <a:pt x="5889625" y="6083"/>
                              </a:lnTo>
                              <a:lnTo>
                                <a:pt x="588962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_x0000_s1026" style="width:463.75pt;height:1.45pt;margin-top:19.34pt;margin-left:77.78pt;mso-position-horizontal-relative:page;mso-wrap-distance-left:0;mso-wrap-distance-right:0;position:absolute;z-index:-251646976" coordorigin="1556,387" coordsize="9275,29" path="m10831,406l1556,406,1556,416,10831,416,10831,406xm10831,387l1556,387,1556,396,10831,396,10831,387xe" filled="t" fillcolor="black" stroked="f">
                <v:fill type="solid"/>
                <v:path arrowok="t"/>
                <w10:wrap type="topAndBottom"/>
              </v:shape>
            </w:pict>
          </mc:Fallback>
        </mc:AlternateContent>
      </w:r>
    </w:p>
    <w:p>
      <w:pPr>
        <w:pStyle w:val="BodyText"/>
        <w:ind w:left="0"/>
        <w:rPr>
          <w:rFonts w:ascii="Arial"/>
          <w:sz w:val="28"/>
        </w:rPr>
      </w:pPr>
    </w:p>
    <w:p>
      <w:pPr>
        <w:pStyle w:val="BodyText"/>
        <w:ind w:left="0"/>
        <w:rPr>
          <w:rFonts w:ascii="Arial"/>
          <w:sz w:val="28"/>
        </w:rPr>
      </w:pPr>
    </w:p>
    <w:p>
      <w:pPr>
        <w:pStyle w:val="BodyText"/>
        <w:ind w:left="0"/>
        <w:rPr>
          <w:rFonts w:ascii="Arial"/>
          <w:sz w:val="28"/>
        </w:rPr>
      </w:pPr>
    </w:p>
    <w:p>
      <w:pPr>
        <w:pStyle w:val="BodyText"/>
        <w:ind w:left="0"/>
        <w:rPr>
          <w:rFonts w:ascii="Arial"/>
          <w:sz w:val="28"/>
        </w:rPr>
      </w:pPr>
    </w:p>
    <w:p>
      <w:pPr>
        <w:pStyle w:val="BodyText"/>
        <w:ind w:left="0"/>
        <w:rPr>
          <w:rFonts w:ascii="Arial"/>
          <w:sz w:val="28"/>
        </w:rPr>
      </w:pPr>
    </w:p>
    <w:p>
      <w:pPr>
        <w:pStyle w:val="BodyText"/>
        <w:ind w:left="0"/>
        <w:rPr>
          <w:rFonts w:ascii="Arial"/>
          <w:sz w:val="28"/>
        </w:rPr>
      </w:pPr>
    </w:p>
    <w:p>
      <w:pPr>
        <w:pStyle w:val="BodyText"/>
        <w:ind w:left="0"/>
        <w:rPr>
          <w:rFonts w:ascii="Arial"/>
          <w:sz w:val="28"/>
        </w:rPr>
      </w:pPr>
    </w:p>
    <w:p>
      <w:pPr>
        <w:pStyle w:val="BodyText"/>
        <w:ind w:left="0"/>
        <w:rPr>
          <w:rFonts w:ascii="Arial"/>
          <w:sz w:val="28"/>
        </w:rPr>
      </w:pPr>
    </w:p>
    <w:p>
      <w:pPr>
        <w:pStyle w:val="BodyText"/>
        <w:ind w:left="0"/>
        <w:rPr>
          <w:rFonts w:ascii="Arial"/>
          <w:sz w:val="28"/>
        </w:rPr>
      </w:pPr>
    </w:p>
    <w:p>
      <w:pPr>
        <w:pStyle w:val="BodyText"/>
        <w:ind w:left="0"/>
        <w:rPr>
          <w:rFonts w:ascii="Arial"/>
          <w:sz w:val="28"/>
        </w:rPr>
      </w:pPr>
    </w:p>
    <w:p>
      <w:pPr>
        <w:pStyle w:val="BodyText"/>
        <w:ind w:left="0"/>
        <w:rPr>
          <w:rFonts w:ascii="Arial"/>
          <w:sz w:val="28"/>
        </w:rPr>
      </w:pPr>
    </w:p>
    <w:p>
      <w:pPr>
        <w:pStyle w:val="BodyText"/>
        <w:ind w:left="0"/>
        <w:rPr>
          <w:rFonts w:ascii="Arial"/>
          <w:sz w:val="28"/>
        </w:rPr>
      </w:pPr>
    </w:p>
    <w:p>
      <w:pPr>
        <w:pStyle w:val="BodyText"/>
        <w:ind w:left="0"/>
        <w:rPr>
          <w:rFonts w:ascii="Arial"/>
          <w:sz w:val="28"/>
        </w:rPr>
      </w:pPr>
    </w:p>
    <w:p>
      <w:pPr>
        <w:pStyle w:val="BodyText"/>
        <w:ind w:left="0"/>
        <w:rPr>
          <w:rFonts w:ascii="Arial"/>
          <w:sz w:val="28"/>
        </w:rPr>
      </w:pPr>
    </w:p>
    <w:p>
      <w:pPr>
        <w:pStyle w:val="BodyText"/>
        <w:spacing w:before="171"/>
        <w:ind w:left="0"/>
        <w:rPr>
          <w:rFonts w:ascii="Arial"/>
          <w:sz w:val="28"/>
        </w:rPr>
      </w:pPr>
    </w:p>
    <w:p>
      <w:pPr>
        <w:spacing w:before="0"/>
        <w:ind w:left="7261" w:right="0" w:firstLine="0"/>
        <w:jc w:val="left"/>
        <w:rPr>
          <w:rFonts w:ascii="Arial"/>
          <w:sz w:val="28"/>
        </w:rPr>
      </w:pPr>
      <w:r>
        <w:rPr>
          <w:rFonts w:ascii="Arial"/>
          <w:sz w:val="28"/>
        </w:rPr>
        <w:t>Draft</w:t>
      </w:r>
      <w:r>
        <w:rPr>
          <w:rFonts w:ascii="Arial"/>
          <w:spacing w:val="-6"/>
          <w:sz w:val="28"/>
        </w:rPr>
        <w:t xml:space="preserve"> </w:t>
      </w:r>
      <w:r>
        <w:rPr>
          <w:rFonts w:ascii="Arial"/>
          <w:sz w:val="28"/>
        </w:rPr>
        <w:t>January,</w:t>
      </w:r>
      <w:r>
        <w:rPr>
          <w:rFonts w:ascii="Arial"/>
          <w:spacing w:val="-4"/>
          <w:sz w:val="28"/>
        </w:rPr>
        <w:t xml:space="preserve"> 2026</w:t>
      </w:r>
    </w:p>
    <w:p>
      <w:pPr>
        <w:pStyle w:val="BodyText"/>
        <w:ind w:left="0"/>
        <w:rPr>
          <w:rFonts w:ascii="Arial"/>
          <w:sz w:val="28"/>
        </w:rPr>
      </w:pPr>
    </w:p>
    <w:p>
      <w:pPr>
        <w:pStyle w:val="BodyText"/>
        <w:ind w:left="0"/>
        <w:rPr>
          <w:rFonts w:ascii="Arial"/>
          <w:sz w:val="28"/>
        </w:rPr>
      </w:pPr>
    </w:p>
    <w:p>
      <w:pPr>
        <w:pStyle w:val="BodyText"/>
        <w:spacing w:before="35"/>
        <w:ind w:left="0"/>
        <w:rPr>
          <w:rFonts w:ascii="Arial"/>
          <w:sz w:val="28"/>
        </w:rPr>
      </w:pPr>
    </w:p>
    <w:p>
      <w:pPr>
        <w:spacing w:before="0"/>
        <w:ind w:left="504" w:right="1481" w:firstLine="0"/>
        <w:jc w:val="left"/>
        <w:rPr>
          <w:rFonts w:ascii="Arial"/>
          <w:i/>
          <w:sz w:val="18"/>
        </w:rPr>
      </w:pPr>
      <w:r>
        <w:rPr>
          <w:rFonts w:ascii="Arial"/>
          <w:i/>
          <w:sz w:val="18"/>
        </w:rPr>
        <w:t>According to the Paperwork Reduction Act of 1995, no persons are required to respond to a collection of</w:t>
      </w:r>
      <w:r>
        <w:rPr>
          <w:rFonts w:ascii="Arial"/>
          <w:i/>
          <w:sz w:val="18"/>
        </w:rPr>
        <w:t xml:space="preserve"> information unless it displays a valid OMB control number. The valid OMB control number for this information collection is 0938-0944. The time required to complete this information collection is estimated to average 12 hours per</w:t>
      </w:r>
      <w:r>
        <w:rPr>
          <w:rFonts w:ascii="Arial"/>
          <w:i/>
          <w:spacing w:val="-2"/>
          <w:sz w:val="18"/>
        </w:rPr>
        <w:t xml:space="preserve"> </w:t>
      </w:r>
      <w:r>
        <w:rPr>
          <w:rFonts w:ascii="Arial"/>
          <w:i/>
          <w:sz w:val="18"/>
        </w:rPr>
        <w:t>response,</w:t>
      </w:r>
      <w:r>
        <w:rPr>
          <w:rFonts w:ascii="Arial"/>
          <w:i/>
          <w:spacing w:val="-4"/>
          <w:sz w:val="18"/>
        </w:rPr>
        <w:t xml:space="preserve"> </w:t>
      </w:r>
      <w:r>
        <w:rPr>
          <w:rFonts w:ascii="Arial"/>
          <w:i/>
          <w:sz w:val="18"/>
        </w:rPr>
        <w:t>including</w:t>
      </w:r>
      <w:r>
        <w:rPr>
          <w:rFonts w:ascii="Arial"/>
          <w:i/>
          <w:spacing w:val="-4"/>
          <w:sz w:val="18"/>
        </w:rPr>
        <w:t xml:space="preserve"> </w:t>
      </w:r>
      <w:r>
        <w:rPr>
          <w:rFonts w:ascii="Arial"/>
          <w:i/>
          <w:sz w:val="18"/>
        </w:rPr>
        <w:t>the</w:t>
      </w:r>
      <w:r>
        <w:rPr>
          <w:rFonts w:ascii="Arial"/>
          <w:i/>
          <w:spacing w:val="-4"/>
          <w:sz w:val="18"/>
        </w:rPr>
        <w:t xml:space="preserve"> </w:t>
      </w:r>
      <w:r>
        <w:rPr>
          <w:rFonts w:ascii="Arial"/>
          <w:i/>
          <w:sz w:val="18"/>
        </w:rPr>
        <w:t>time</w:t>
      </w:r>
      <w:r>
        <w:rPr>
          <w:rFonts w:ascii="Arial"/>
          <w:i/>
          <w:spacing w:val="-2"/>
          <w:sz w:val="18"/>
        </w:rPr>
        <w:t xml:space="preserve"> </w:t>
      </w:r>
      <w:r>
        <w:rPr>
          <w:rFonts w:ascii="Arial"/>
          <w:i/>
          <w:sz w:val="18"/>
        </w:rPr>
        <w:t>to</w:t>
      </w:r>
      <w:r>
        <w:rPr>
          <w:rFonts w:ascii="Arial"/>
          <w:i/>
          <w:spacing w:val="-2"/>
          <w:sz w:val="18"/>
        </w:rPr>
        <w:t xml:space="preserve"> </w:t>
      </w:r>
      <w:r>
        <w:rPr>
          <w:rFonts w:ascii="Arial"/>
          <w:i/>
          <w:sz w:val="18"/>
        </w:rPr>
        <w:t>review</w:t>
      </w:r>
      <w:r>
        <w:rPr>
          <w:rFonts w:ascii="Arial"/>
          <w:i/>
          <w:spacing w:val="-5"/>
          <w:sz w:val="18"/>
        </w:rPr>
        <w:t xml:space="preserve"> </w:t>
      </w:r>
      <w:r>
        <w:rPr>
          <w:rFonts w:ascii="Arial"/>
          <w:i/>
          <w:sz w:val="18"/>
        </w:rPr>
        <w:t>instructions,</w:t>
      </w:r>
      <w:r>
        <w:rPr>
          <w:rFonts w:ascii="Arial"/>
          <w:i/>
          <w:spacing w:val="-4"/>
          <w:sz w:val="18"/>
        </w:rPr>
        <w:t xml:space="preserve"> </w:t>
      </w:r>
      <w:r>
        <w:rPr>
          <w:rFonts w:ascii="Arial"/>
          <w:i/>
          <w:sz w:val="18"/>
        </w:rPr>
        <w:t>search</w:t>
      </w:r>
      <w:r>
        <w:rPr>
          <w:rFonts w:ascii="Arial"/>
          <w:i/>
          <w:spacing w:val="-2"/>
          <w:sz w:val="18"/>
        </w:rPr>
        <w:t xml:space="preserve"> </w:t>
      </w:r>
      <w:r>
        <w:rPr>
          <w:rFonts w:ascii="Arial"/>
          <w:i/>
          <w:sz w:val="18"/>
        </w:rPr>
        <w:t>existing</w:t>
      </w:r>
      <w:r>
        <w:rPr>
          <w:rFonts w:ascii="Arial"/>
          <w:i/>
          <w:spacing w:val="-4"/>
          <w:sz w:val="18"/>
        </w:rPr>
        <w:t xml:space="preserve"> </w:t>
      </w:r>
      <w:r>
        <w:rPr>
          <w:rFonts w:ascii="Arial"/>
          <w:i/>
          <w:sz w:val="18"/>
        </w:rPr>
        <w:t>data</w:t>
      </w:r>
      <w:r>
        <w:rPr>
          <w:rFonts w:ascii="Arial"/>
          <w:i/>
          <w:spacing w:val="-2"/>
          <w:sz w:val="18"/>
        </w:rPr>
        <w:t xml:space="preserve"> </w:t>
      </w:r>
      <w:r>
        <w:rPr>
          <w:rFonts w:ascii="Arial"/>
          <w:i/>
          <w:sz w:val="18"/>
        </w:rPr>
        <w:t>resources,</w:t>
      </w:r>
      <w:r>
        <w:rPr>
          <w:rFonts w:ascii="Arial"/>
          <w:i/>
          <w:spacing w:val="-4"/>
          <w:sz w:val="18"/>
        </w:rPr>
        <w:t xml:space="preserve"> </w:t>
      </w:r>
      <w:r>
        <w:rPr>
          <w:rFonts w:ascii="Arial"/>
          <w:i/>
          <w:sz w:val="18"/>
        </w:rPr>
        <w:t>gather</w:t>
      </w:r>
      <w:r>
        <w:rPr>
          <w:rFonts w:ascii="Arial"/>
          <w:i/>
          <w:spacing w:val="-2"/>
          <w:sz w:val="18"/>
        </w:rPr>
        <w:t xml:space="preserve"> </w:t>
      </w:r>
      <w:r>
        <w:rPr>
          <w:rFonts w:ascii="Arial"/>
          <w:i/>
          <w:sz w:val="18"/>
        </w:rPr>
        <w:t>the</w:t>
      </w:r>
      <w:r>
        <w:rPr>
          <w:rFonts w:ascii="Arial"/>
          <w:i/>
          <w:spacing w:val="-4"/>
          <w:sz w:val="18"/>
        </w:rPr>
        <w:t xml:space="preserve"> </w:t>
      </w:r>
      <w:r>
        <w:rPr>
          <w:rFonts w:ascii="Arial"/>
          <w:i/>
          <w:sz w:val="18"/>
        </w:rPr>
        <w:t>data</w:t>
      </w:r>
      <w:r>
        <w:rPr>
          <w:rFonts w:ascii="Arial"/>
          <w:i/>
          <w:spacing w:val="-4"/>
          <w:sz w:val="18"/>
        </w:rPr>
        <w:t xml:space="preserve"> </w:t>
      </w:r>
      <w:r>
        <w:rPr>
          <w:rFonts w:ascii="Arial"/>
          <w:i/>
          <w:sz w:val="18"/>
        </w:rPr>
        <w:t>needed,</w:t>
      </w:r>
      <w:r>
        <w:rPr>
          <w:rFonts w:ascii="Arial"/>
          <w:i/>
          <w:spacing w:val="-4"/>
          <w:sz w:val="18"/>
        </w:rPr>
        <w:t xml:space="preserve"> </w:t>
      </w:r>
      <w:r>
        <w:rPr>
          <w:rFonts w:ascii="Arial"/>
          <w:i/>
          <w:sz w:val="18"/>
        </w:rPr>
        <w:t>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pPr>
        <w:spacing w:after="0"/>
        <w:jc w:val="left"/>
        <w:rPr>
          <w:rFonts w:ascii="Arial"/>
          <w:i/>
          <w:sz w:val="18"/>
        </w:rPr>
        <w:sectPr>
          <w:footerReference w:type="default" r:id="rId4"/>
          <w:type w:val="continuous"/>
          <w:pgSz w:w="12240" w:h="15840"/>
          <w:pgMar w:top="1360" w:right="0" w:bottom="1000" w:left="1080" w:header="0" w:footer="806"/>
          <w:pgNumType w:start="1"/>
          <w:cols w:space="720"/>
        </w:sectPr>
      </w:pPr>
    </w:p>
    <w:p>
      <w:pPr>
        <w:pStyle w:val="Heading1"/>
        <w:tabs>
          <w:tab w:val="left" w:pos="9750"/>
        </w:tabs>
        <w:spacing w:before="79"/>
        <w:rPr>
          <w:u w:val="none"/>
        </w:rPr>
      </w:pPr>
      <w:bookmarkStart w:id="1" w:name="Table of Contents"/>
      <w:bookmarkEnd w:id="1"/>
      <w:r>
        <w:rPr>
          <w:spacing w:val="-50"/>
          <w:u w:val="single"/>
        </w:rPr>
        <w:t xml:space="preserve"> </w:t>
      </w:r>
      <w:r>
        <w:rPr>
          <w:u w:val="single"/>
        </w:rPr>
        <w:t>TABLE</w:t>
      </w:r>
      <w:r>
        <w:rPr>
          <w:spacing w:val="-6"/>
          <w:u w:val="single"/>
        </w:rPr>
        <w:t xml:space="preserve"> </w:t>
      </w:r>
      <w:r>
        <w:rPr>
          <w:u w:val="single"/>
        </w:rPr>
        <w:t>OF</w:t>
      </w:r>
      <w:r>
        <w:rPr>
          <w:spacing w:val="-2"/>
          <w:u w:val="single"/>
        </w:rPr>
        <w:t xml:space="preserve"> CONTENTS</w:t>
      </w:r>
      <w:r>
        <w:rPr>
          <w:u w:val="single"/>
        </w:rPr>
        <w:tab/>
      </w:r>
    </w:p>
    <w:p>
      <w:pPr>
        <w:pStyle w:val="Heading1"/>
        <w:spacing w:after="0"/>
        <w:sectPr>
          <w:footerReference w:type="default" r:id="rId5"/>
          <w:pgSz w:w="12240" w:h="15840"/>
          <w:pgMar w:top="1360" w:right="0" w:bottom="692" w:left="1080" w:header="0" w:footer="747"/>
          <w:cols w:space="720"/>
        </w:sectPr>
      </w:pPr>
    </w:p>
    <w:sdt>
      <w:sdtPr>
        <w:id w:val="1058949197"/>
        <w:docPartObj>
          <w:docPartGallery w:val="Table of Contents"/>
          <w:docPartUnique/>
        </w:docPartObj>
      </w:sdtPr>
      <w:sdtContent>
        <w:p>
          <w:pPr>
            <w:pStyle w:val="TOC1"/>
            <w:numPr>
              <w:ilvl w:val="0"/>
              <w:numId w:val="57"/>
            </w:numPr>
            <w:tabs>
              <w:tab w:val="left" w:pos="678"/>
              <w:tab w:val="right" w:leader="dot" w:pos="9712"/>
            </w:tabs>
            <w:spacing w:before="270" w:after="0" w:line="240" w:lineRule="auto"/>
            <w:ind w:left="678" w:right="0" w:hanging="174"/>
            <w:jc w:val="left"/>
          </w:pPr>
          <w:hyperlink w:anchor="_bookmark0" w:history="1">
            <w:r>
              <w:rPr>
                <w:spacing w:val="-2"/>
              </w:rPr>
              <w:t>Introduction</w:t>
            </w:r>
            <w:r>
              <w:tab/>
            </w:r>
            <w:r>
              <w:rPr>
                <w:spacing w:val="-10"/>
              </w:rPr>
              <w:t>5</w:t>
            </w:r>
          </w:hyperlink>
        </w:p>
        <w:p>
          <w:pPr>
            <w:pStyle w:val="TOC2"/>
            <w:tabs>
              <w:tab w:val="right" w:leader="dot" w:pos="9712"/>
            </w:tabs>
            <w:spacing w:before="1" w:line="240" w:lineRule="auto"/>
          </w:pPr>
          <w:hyperlink w:anchor="_bookmark1" w:history="1">
            <w:r>
              <w:rPr>
                <w:spacing w:val="-2"/>
              </w:rPr>
              <w:t>Definitions</w:t>
            </w:r>
            <w:r>
              <w:tab/>
            </w:r>
            <w:r>
              <w:rPr>
                <w:spacing w:val="-10"/>
              </w:rPr>
              <w:t>5</w:t>
            </w:r>
          </w:hyperlink>
        </w:p>
        <w:p>
          <w:pPr>
            <w:pStyle w:val="TOC2"/>
            <w:tabs>
              <w:tab w:val="right" w:leader="dot" w:pos="9712"/>
            </w:tabs>
            <w:spacing w:before="1"/>
          </w:pPr>
          <w:hyperlink w:anchor="_bookmark2" w:history="1">
            <w:r>
              <w:rPr>
                <w:spacing w:val="-2"/>
              </w:rPr>
              <w:t>Background</w:t>
            </w:r>
            <w:r>
              <w:tab/>
            </w:r>
            <w:r>
              <w:rPr>
                <w:spacing w:val="-10"/>
              </w:rPr>
              <w:t>5</w:t>
            </w:r>
          </w:hyperlink>
        </w:p>
        <w:p>
          <w:pPr>
            <w:pStyle w:val="TOC2"/>
            <w:tabs>
              <w:tab w:val="right" w:leader="dot" w:pos="9712"/>
            </w:tabs>
          </w:pPr>
          <w:hyperlink w:anchor="_bookmark3" w:history="1">
            <w:r>
              <w:t>Document</w:t>
            </w:r>
            <w:r>
              <w:rPr>
                <w:spacing w:val="-5"/>
              </w:rPr>
              <w:t xml:space="preserve"> </w:t>
            </w:r>
            <w:r>
              <w:rPr>
                <w:spacing w:val="-2"/>
              </w:rPr>
              <w:t>Overview</w:t>
            </w:r>
            <w:r>
              <w:tab/>
            </w:r>
            <w:r>
              <w:rPr>
                <w:spacing w:val="-10"/>
              </w:rPr>
              <w:t>6</w:t>
            </w:r>
          </w:hyperlink>
        </w:p>
        <w:p>
          <w:pPr>
            <w:pStyle w:val="TOC2"/>
            <w:tabs>
              <w:tab w:val="right" w:leader="dot" w:pos="9712"/>
            </w:tabs>
            <w:spacing w:before="1"/>
          </w:pPr>
          <w:hyperlink w:anchor="_bookmark4" w:history="1">
            <w:r>
              <w:t>New</w:t>
            </w:r>
            <w:r>
              <w:rPr>
                <w:spacing w:val="-2"/>
              </w:rPr>
              <w:t xml:space="preserve"> </w:t>
            </w:r>
            <w:r>
              <w:t>for</w:t>
            </w:r>
            <w:r>
              <w:rPr>
                <w:spacing w:val="-5"/>
              </w:rPr>
              <w:t xml:space="preserve"> </w:t>
            </w:r>
            <w:r>
              <w:t>Contract</w:t>
            </w:r>
            <w:r>
              <w:rPr>
                <w:spacing w:val="-5"/>
              </w:rPr>
              <w:t xml:space="preserve"> </w:t>
            </w:r>
            <w:r>
              <w:t>Year</w:t>
            </w:r>
            <w:r>
              <w:rPr>
                <w:spacing w:val="-4"/>
              </w:rPr>
              <w:t xml:space="preserve"> </w:t>
            </w:r>
            <w:r>
              <w:t>2027</w:t>
            </w:r>
            <w:r>
              <w:rPr>
                <w:spacing w:val="-4"/>
              </w:rPr>
              <w:t xml:space="preserve"> </w:t>
            </w:r>
            <w:r>
              <w:rPr>
                <w:spacing w:val="-2"/>
              </w:rPr>
              <w:t>(CY2027)</w:t>
            </w:r>
            <w:r>
              <w:tab/>
            </w:r>
            <w:r>
              <w:rPr>
                <w:spacing w:val="-10"/>
              </w:rPr>
              <w:t>6</w:t>
            </w:r>
          </w:hyperlink>
        </w:p>
        <w:p>
          <w:pPr>
            <w:pStyle w:val="TOC2"/>
            <w:tabs>
              <w:tab w:val="right" w:leader="dot" w:pos="9712"/>
            </w:tabs>
          </w:pPr>
          <w:hyperlink w:anchor="_bookmark5" w:history="1">
            <w:r>
              <w:t>Bidding</w:t>
            </w:r>
            <w:r>
              <w:rPr>
                <w:spacing w:val="-7"/>
              </w:rPr>
              <w:t xml:space="preserve"> </w:t>
            </w:r>
            <w:r>
              <w:rPr>
                <w:spacing w:val="-2"/>
              </w:rPr>
              <w:t>Resources</w:t>
            </w:r>
            <w:r>
              <w:tab/>
            </w:r>
            <w:r>
              <w:rPr>
                <w:spacing w:val="-10"/>
              </w:rPr>
              <w:t>6</w:t>
            </w:r>
          </w:hyperlink>
        </w:p>
        <w:p>
          <w:pPr>
            <w:pStyle w:val="TOC1"/>
            <w:numPr>
              <w:ilvl w:val="0"/>
              <w:numId w:val="57"/>
            </w:numPr>
            <w:tabs>
              <w:tab w:val="left" w:pos="747"/>
              <w:tab w:val="right" w:leader="dot" w:pos="9712"/>
            </w:tabs>
            <w:spacing w:before="80" w:after="0" w:line="240" w:lineRule="auto"/>
            <w:ind w:left="747" w:right="0" w:hanging="243"/>
            <w:jc w:val="left"/>
          </w:pPr>
          <w:hyperlink w:anchor="_bookmark6" w:history="1">
            <w:r>
              <w:t>Pricing</w:t>
            </w:r>
            <w:r>
              <w:rPr>
                <w:spacing w:val="-4"/>
              </w:rPr>
              <w:t xml:space="preserve"> </w:t>
            </w:r>
            <w:r>
              <w:rPr>
                <w:spacing w:val="-2"/>
              </w:rPr>
              <w:t>Considerations</w:t>
            </w:r>
            <w:r>
              <w:tab/>
            </w:r>
            <w:r>
              <w:rPr>
                <w:spacing w:val="-10"/>
              </w:rPr>
              <w:t>8</w:t>
            </w:r>
          </w:hyperlink>
        </w:p>
        <w:p>
          <w:pPr>
            <w:pStyle w:val="TOC2"/>
            <w:tabs>
              <w:tab w:val="right" w:leader="dot" w:pos="9712"/>
            </w:tabs>
            <w:spacing w:before="1" w:line="240" w:lineRule="auto"/>
          </w:pPr>
          <w:hyperlink w:anchor="_bookmark7" w:history="1">
            <w:r>
              <w:t>Bidding/Pricing</w:t>
            </w:r>
            <w:r>
              <w:rPr>
                <w:spacing w:val="-13"/>
              </w:rPr>
              <w:t xml:space="preserve"> </w:t>
            </w:r>
            <w:r>
              <w:rPr>
                <w:spacing w:val="-2"/>
              </w:rPr>
              <w:t>Approach</w:t>
            </w:r>
            <w:r>
              <w:tab/>
            </w:r>
            <w:r>
              <w:rPr>
                <w:spacing w:val="-12"/>
              </w:rPr>
              <w:t>8</w:t>
            </w:r>
          </w:hyperlink>
        </w:p>
        <w:p>
          <w:pPr>
            <w:pStyle w:val="TOC2"/>
            <w:tabs>
              <w:tab w:val="right" w:leader="dot" w:pos="9712"/>
            </w:tabs>
            <w:spacing w:before="1"/>
          </w:pPr>
          <w:hyperlink w:anchor="_bookmark8" w:history="1">
            <w:r>
              <w:t>Specific</w:t>
            </w:r>
            <w:r>
              <w:rPr>
                <w:spacing w:val="-5"/>
              </w:rPr>
              <w:t xml:space="preserve"> </w:t>
            </w:r>
            <w:r>
              <w:rPr>
                <w:spacing w:val="-2"/>
              </w:rPr>
              <w:t>Topics</w:t>
            </w:r>
            <w:r>
              <w:tab/>
            </w:r>
            <w:r>
              <w:rPr>
                <w:spacing w:val="-10"/>
              </w:rPr>
              <w:t>8</w:t>
            </w:r>
          </w:hyperlink>
        </w:p>
        <w:p>
          <w:pPr>
            <w:pStyle w:val="TOC3"/>
            <w:tabs>
              <w:tab w:val="right" w:leader="dot" w:pos="9711"/>
            </w:tabs>
            <w:spacing w:line="229" w:lineRule="exact"/>
          </w:pPr>
          <w:hyperlink w:anchor="_bookmark9" w:history="1">
            <w:r>
              <w:t>Affordable</w:t>
            </w:r>
            <w:r>
              <w:rPr>
                <w:spacing w:val="-6"/>
              </w:rPr>
              <w:t xml:space="preserve"> </w:t>
            </w:r>
            <w:r>
              <w:t>Care</w:t>
            </w:r>
            <w:r>
              <w:rPr>
                <w:spacing w:val="-6"/>
              </w:rPr>
              <w:t xml:space="preserve"> </w:t>
            </w:r>
            <w:r>
              <w:rPr>
                <w:spacing w:val="-5"/>
              </w:rPr>
              <w:t>Act</w:t>
            </w:r>
            <w:r>
              <w:tab/>
            </w:r>
            <w:r>
              <w:rPr>
                <w:spacing w:val="-10"/>
              </w:rPr>
              <w:t>9</w:t>
            </w:r>
          </w:hyperlink>
        </w:p>
        <w:p>
          <w:pPr>
            <w:pStyle w:val="TOC3"/>
            <w:tabs>
              <w:tab w:val="right" w:leader="dot" w:pos="9711"/>
            </w:tabs>
          </w:pPr>
          <w:hyperlink w:anchor="_bookmark10" w:history="1">
            <w:r>
              <w:t>Bad</w:t>
            </w:r>
            <w:r>
              <w:rPr>
                <w:spacing w:val="-4"/>
              </w:rPr>
              <w:t xml:space="preserve"> Debt</w:t>
            </w:r>
            <w:r>
              <w:tab/>
            </w:r>
            <w:r>
              <w:rPr>
                <w:spacing w:val="-10"/>
              </w:rPr>
              <w:t>9</w:t>
            </w:r>
          </w:hyperlink>
        </w:p>
        <w:p>
          <w:pPr>
            <w:pStyle w:val="TOC3"/>
            <w:tabs>
              <w:tab w:val="right" w:leader="dot" w:pos="9711"/>
            </w:tabs>
            <w:spacing w:before="1"/>
          </w:pPr>
          <w:hyperlink w:anchor="_bookmark11" w:history="1">
            <w:r>
              <w:t>Base</w:t>
            </w:r>
            <w:r>
              <w:rPr>
                <w:spacing w:val="-5"/>
              </w:rPr>
              <w:t xml:space="preserve"> </w:t>
            </w:r>
            <w:r>
              <w:t>Period</w:t>
            </w:r>
            <w:r>
              <w:rPr>
                <w:spacing w:val="-5"/>
              </w:rPr>
              <w:t xml:space="preserve"> </w:t>
            </w:r>
            <w:r>
              <w:rPr>
                <w:spacing w:val="-2"/>
              </w:rPr>
              <w:t>Experience</w:t>
            </w:r>
            <w:r>
              <w:tab/>
            </w:r>
            <w:r>
              <w:rPr>
                <w:spacing w:val="-10"/>
              </w:rPr>
              <w:t>9</w:t>
            </w:r>
          </w:hyperlink>
        </w:p>
        <w:p>
          <w:pPr>
            <w:pStyle w:val="TOC3"/>
            <w:tabs>
              <w:tab w:val="right" w:leader="dot" w:pos="9714"/>
            </w:tabs>
            <w:spacing w:before="1"/>
          </w:pPr>
          <w:hyperlink w:anchor="_bookmark12" w:history="1">
            <w:r>
              <w:t>Benefits</w:t>
            </w:r>
            <w:r>
              <w:rPr>
                <w:spacing w:val="-6"/>
              </w:rPr>
              <w:t xml:space="preserve"> </w:t>
            </w:r>
            <w:r>
              <w:t>and</w:t>
            </w:r>
            <w:r>
              <w:rPr>
                <w:spacing w:val="-4"/>
              </w:rPr>
              <w:t xml:space="preserve"> </w:t>
            </w:r>
            <w:r>
              <w:t>Service</w:t>
            </w:r>
            <w:r>
              <w:rPr>
                <w:spacing w:val="-5"/>
              </w:rPr>
              <w:t xml:space="preserve"> </w:t>
            </w:r>
            <w:r>
              <w:rPr>
                <w:spacing w:val="-2"/>
              </w:rPr>
              <w:t>Categories</w:t>
            </w:r>
            <w:r>
              <w:tab/>
            </w:r>
            <w:r>
              <w:rPr>
                <w:spacing w:val="-5"/>
              </w:rPr>
              <w:t>13</w:t>
            </w:r>
          </w:hyperlink>
        </w:p>
        <w:p>
          <w:pPr>
            <w:pStyle w:val="TOC3"/>
            <w:tabs>
              <w:tab w:val="right" w:leader="dot" w:pos="9714"/>
            </w:tabs>
            <w:spacing w:line="229" w:lineRule="exact"/>
          </w:pPr>
          <w:hyperlink w:anchor="_bookmark13" w:history="1">
            <w:r>
              <w:t>Capitated</w:t>
            </w:r>
            <w:r>
              <w:rPr>
                <w:spacing w:val="-6"/>
              </w:rPr>
              <w:t xml:space="preserve"> </w:t>
            </w:r>
            <w:r>
              <w:t>Arrangements</w:t>
            </w:r>
            <w:r>
              <w:rPr>
                <w:spacing w:val="-8"/>
              </w:rPr>
              <w:t xml:space="preserve"> </w:t>
            </w:r>
            <w:r>
              <w:t>for</w:t>
            </w:r>
            <w:r>
              <w:rPr>
                <w:spacing w:val="-8"/>
              </w:rPr>
              <w:t xml:space="preserve"> </w:t>
            </w:r>
            <w:r>
              <w:t>Medical</w:t>
            </w:r>
            <w:r>
              <w:rPr>
                <w:spacing w:val="-6"/>
              </w:rPr>
              <w:t xml:space="preserve"> </w:t>
            </w:r>
            <w:r>
              <w:rPr>
                <w:spacing w:val="-2"/>
              </w:rPr>
              <w:t>Services</w:t>
            </w:r>
            <w:r>
              <w:tab/>
            </w:r>
            <w:r>
              <w:rPr>
                <w:spacing w:val="-5"/>
              </w:rPr>
              <w:t>15</w:t>
            </w:r>
          </w:hyperlink>
        </w:p>
        <w:p>
          <w:pPr>
            <w:pStyle w:val="TOC3"/>
            <w:tabs>
              <w:tab w:val="right" w:leader="dot" w:pos="9714"/>
            </w:tabs>
            <w:spacing w:line="229" w:lineRule="exact"/>
          </w:pPr>
          <w:hyperlink w:anchor="_bookmark14" w:history="1">
            <w:r>
              <w:t>Coordination</w:t>
            </w:r>
            <w:r>
              <w:rPr>
                <w:spacing w:val="-7"/>
              </w:rPr>
              <w:t xml:space="preserve"> </w:t>
            </w:r>
            <w:r>
              <w:t>of</w:t>
            </w:r>
            <w:r>
              <w:rPr>
                <w:spacing w:val="-5"/>
              </w:rPr>
              <w:t xml:space="preserve"> </w:t>
            </w:r>
            <w:r>
              <w:t>Benefits</w:t>
            </w:r>
            <w:r>
              <w:rPr>
                <w:spacing w:val="-6"/>
              </w:rPr>
              <w:t xml:space="preserve"> </w:t>
            </w:r>
            <w:r>
              <w:rPr>
                <w:spacing w:val="-2"/>
              </w:rPr>
              <w:t>(COB)/Subrogation</w:t>
            </w:r>
            <w:r>
              <w:tab/>
            </w:r>
            <w:r>
              <w:rPr>
                <w:spacing w:val="-5"/>
              </w:rPr>
              <w:t>16</w:t>
            </w:r>
          </w:hyperlink>
        </w:p>
        <w:p>
          <w:pPr>
            <w:pStyle w:val="TOC3"/>
            <w:tabs>
              <w:tab w:val="right" w:leader="dot" w:pos="9714"/>
            </w:tabs>
            <w:spacing w:before="1"/>
          </w:pPr>
          <w:hyperlink w:anchor="_bookmark15" w:history="1">
            <w:r>
              <w:t>Cost</w:t>
            </w:r>
            <w:r>
              <w:rPr>
                <w:spacing w:val="-6"/>
              </w:rPr>
              <w:t xml:space="preserve"> </w:t>
            </w:r>
            <w:r>
              <w:rPr>
                <w:spacing w:val="-2"/>
              </w:rPr>
              <w:t>Sharing</w:t>
            </w:r>
            <w:r>
              <w:tab/>
            </w:r>
            <w:r>
              <w:rPr>
                <w:spacing w:val="-5"/>
              </w:rPr>
              <w:t>16</w:t>
            </w:r>
          </w:hyperlink>
        </w:p>
        <w:p>
          <w:pPr>
            <w:pStyle w:val="TOC3"/>
            <w:tabs>
              <w:tab w:val="right" w:leader="dot" w:pos="9714"/>
            </w:tabs>
          </w:pPr>
          <w:hyperlink w:anchor="_bookmark16" w:history="1">
            <w:r>
              <w:rPr>
                <w:spacing w:val="-2"/>
              </w:rPr>
              <w:t>Credibility</w:t>
            </w:r>
            <w:r>
              <w:tab/>
            </w:r>
            <w:r>
              <w:rPr>
                <w:spacing w:val="-5"/>
              </w:rPr>
              <w:t>19</w:t>
            </w:r>
          </w:hyperlink>
        </w:p>
        <w:p>
          <w:pPr>
            <w:pStyle w:val="TOC3"/>
            <w:tabs>
              <w:tab w:val="right" w:leader="dot" w:pos="9714"/>
            </w:tabs>
            <w:spacing w:before="1"/>
          </w:pPr>
          <w:hyperlink w:anchor="_bookmark17" w:history="1">
            <w:r>
              <w:t>Dual-Eligible</w:t>
            </w:r>
            <w:r>
              <w:rPr>
                <w:spacing w:val="-10"/>
              </w:rPr>
              <w:t xml:space="preserve"> </w:t>
            </w:r>
            <w:r>
              <w:rPr>
                <w:spacing w:val="-2"/>
              </w:rPr>
              <w:t>Beneficiaries</w:t>
            </w:r>
            <w:r>
              <w:tab/>
            </w:r>
            <w:r>
              <w:rPr>
                <w:spacing w:val="-5"/>
              </w:rPr>
              <w:t>20</w:t>
            </w:r>
          </w:hyperlink>
        </w:p>
        <w:p>
          <w:pPr>
            <w:pStyle w:val="TOC3"/>
            <w:tabs>
              <w:tab w:val="right" w:leader="dot" w:pos="9714"/>
            </w:tabs>
          </w:pPr>
          <w:hyperlink w:anchor="_bookmark18" w:history="1">
            <w:r>
              <w:t>Employer/Union</w:t>
            </w:r>
            <w:r>
              <w:rPr>
                <w:spacing w:val="-11"/>
              </w:rPr>
              <w:t xml:space="preserve"> </w:t>
            </w:r>
            <w:r>
              <w:rPr>
                <w:spacing w:val="-2"/>
              </w:rPr>
              <w:t>Groups</w:t>
            </w:r>
            <w:r>
              <w:tab/>
            </w:r>
            <w:r>
              <w:rPr>
                <w:spacing w:val="-5"/>
              </w:rPr>
              <w:t>25</w:t>
            </w:r>
          </w:hyperlink>
        </w:p>
        <w:p>
          <w:pPr>
            <w:pStyle w:val="TOC3"/>
            <w:tabs>
              <w:tab w:val="right" w:leader="dot" w:pos="9714"/>
            </w:tabs>
            <w:spacing w:line="229" w:lineRule="exact"/>
          </w:pPr>
          <w:hyperlink w:anchor="_bookmark19" w:history="1">
            <w:r>
              <w:t>End-Stage</w:t>
            </w:r>
            <w:r>
              <w:rPr>
                <w:spacing w:val="-8"/>
              </w:rPr>
              <w:t xml:space="preserve"> </w:t>
            </w:r>
            <w:r>
              <w:t>Renal</w:t>
            </w:r>
            <w:r>
              <w:rPr>
                <w:spacing w:val="-7"/>
              </w:rPr>
              <w:t xml:space="preserve"> </w:t>
            </w:r>
            <w:r>
              <w:t>Disease</w:t>
            </w:r>
            <w:r>
              <w:rPr>
                <w:spacing w:val="-7"/>
              </w:rPr>
              <w:t xml:space="preserve"> </w:t>
            </w:r>
            <w:r>
              <w:rPr>
                <w:spacing w:val="-2"/>
              </w:rPr>
              <w:t>(ESRD)</w:t>
            </w:r>
            <w:r>
              <w:tab/>
            </w:r>
            <w:r>
              <w:rPr>
                <w:spacing w:val="-5"/>
              </w:rPr>
              <w:t>25</w:t>
            </w:r>
          </w:hyperlink>
        </w:p>
        <w:p>
          <w:pPr>
            <w:pStyle w:val="TOC3"/>
            <w:tabs>
              <w:tab w:val="right" w:leader="dot" w:pos="9714"/>
            </w:tabs>
            <w:spacing w:line="229" w:lineRule="exact"/>
          </w:pPr>
          <w:hyperlink w:anchor="_bookmark20" w:history="1">
            <w:r>
              <w:rPr>
                <w:spacing w:val="-2"/>
              </w:rPr>
              <w:t>Enrollment</w:t>
            </w:r>
            <w:r>
              <w:tab/>
            </w:r>
            <w:r>
              <w:rPr>
                <w:spacing w:val="-5"/>
              </w:rPr>
              <w:t>26</w:t>
            </w:r>
          </w:hyperlink>
        </w:p>
        <w:p>
          <w:pPr>
            <w:pStyle w:val="TOC3"/>
            <w:tabs>
              <w:tab w:val="right" w:leader="dot" w:pos="9714"/>
            </w:tabs>
            <w:spacing w:before="1"/>
          </w:pPr>
          <w:hyperlink w:anchor="_bookmark21" w:history="1">
            <w:r>
              <w:t>Gain/Loss</w:t>
            </w:r>
            <w:r>
              <w:rPr>
                <w:spacing w:val="-9"/>
              </w:rPr>
              <w:t xml:space="preserve"> </w:t>
            </w:r>
            <w:r>
              <w:rPr>
                <w:spacing w:val="-2"/>
              </w:rPr>
              <w:t>Margin</w:t>
            </w:r>
            <w:r>
              <w:tab/>
            </w:r>
            <w:r>
              <w:rPr>
                <w:spacing w:val="-7"/>
              </w:rPr>
              <w:t>26</w:t>
            </w:r>
          </w:hyperlink>
        </w:p>
        <w:p>
          <w:pPr>
            <w:pStyle w:val="TOC3"/>
            <w:tabs>
              <w:tab w:val="right" w:leader="dot" w:pos="9714"/>
            </w:tabs>
          </w:pPr>
          <w:hyperlink w:anchor="_bookmark22" w:history="1">
            <w:r>
              <w:t>Hospice</w:t>
            </w:r>
            <w:r>
              <w:rPr>
                <w:spacing w:val="-6"/>
              </w:rPr>
              <w:t xml:space="preserve"> </w:t>
            </w:r>
            <w:r>
              <w:rPr>
                <w:spacing w:val="-2"/>
              </w:rPr>
              <w:t>Enrollees</w:t>
            </w:r>
            <w:r>
              <w:tab/>
            </w:r>
            <w:r>
              <w:rPr>
                <w:spacing w:val="-7"/>
              </w:rPr>
              <w:t>28</w:t>
            </w:r>
          </w:hyperlink>
        </w:p>
        <w:p>
          <w:pPr>
            <w:pStyle w:val="TOC3"/>
            <w:tabs>
              <w:tab w:val="right" w:leader="dot" w:pos="9714"/>
            </w:tabs>
            <w:spacing w:before="1"/>
          </w:pPr>
          <w:hyperlink w:anchor="_bookmark23" w:history="1">
            <w:r>
              <w:t>Manual</w:t>
            </w:r>
            <w:r>
              <w:rPr>
                <w:spacing w:val="-5"/>
              </w:rPr>
              <w:t xml:space="preserve"> </w:t>
            </w:r>
            <w:r>
              <w:rPr>
                <w:spacing w:val="-2"/>
              </w:rPr>
              <w:t>Rating</w:t>
            </w:r>
            <w:r>
              <w:tab/>
            </w:r>
            <w:r>
              <w:rPr>
                <w:spacing w:val="-5"/>
              </w:rPr>
              <w:t>29</w:t>
            </w:r>
          </w:hyperlink>
        </w:p>
        <w:p>
          <w:pPr>
            <w:pStyle w:val="TOC3"/>
            <w:tabs>
              <w:tab w:val="right" w:leader="dot" w:pos="9714"/>
            </w:tabs>
          </w:pPr>
          <w:hyperlink w:anchor="_bookmark24" w:history="1">
            <w:r>
              <w:t>Medicare</w:t>
            </w:r>
            <w:r>
              <w:rPr>
                <w:spacing w:val="-6"/>
              </w:rPr>
              <w:t xml:space="preserve"> </w:t>
            </w:r>
            <w:r>
              <w:t>Secondary</w:t>
            </w:r>
            <w:r>
              <w:rPr>
                <w:spacing w:val="-5"/>
              </w:rPr>
              <w:t xml:space="preserve"> </w:t>
            </w:r>
            <w:r>
              <w:t>Payer</w:t>
            </w:r>
            <w:r>
              <w:rPr>
                <w:spacing w:val="-6"/>
              </w:rPr>
              <w:t xml:space="preserve"> </w:t>
            </w:r>
            <w:r>
              <w:t>(MSP)</w:t>
            </w:r>
            <w:r>
              <w:rPr>
                <w:spacing w:val="-5"/>
              </w:rPr>
              <w:t xml:space="preserve"> </w:t>
            </w:r>
            <w:r>
              <w:rPr>
                <w:spacing w:val="-2"/>
              </w:rPr>
              <w:t>Adjustment</w:t>
            </w:r>
            <w:r>
              <w:tab/>
            </w:r>
            <w:r>
              <w:rPr>
                <w:spacing w:val="-5"/>
              </w:rPr>
              <w:t>29</w:t>
            </w:r>
          </w:hyperlink>
        </w:p>
        <w:p>
          <w:pPr>
            <w:pStyle w:val="TOC3"/>
            <w:tabs>
              <w:tab w:val="right" w:leader="dot" w:pos="9714"/>
            </w:tabs>
            <w:spacing w:line="229" w:lineRule="exact"/>
          </w:pPr>
          <w:hyperlink w:anchor="_bookmark25" w:history="1">
            <w:r>
              <w:t>Non-Benefit</w:t>
            </w:r>
            <w:r>
              <w:rPr>
                <w:spacing w:val="-8"/>
              </w:rPr>
              <w:t xml:space="preserve"> </w:t>
            </w:r>
            <w:r>
              <w:rPr>
                <w:spacing w:val="-2"/>
              </w:rPr>
              <w:t>Expenses</w:t>
            </w:r>
            <w:r>
              <w:tab/>
            </w:r>
            <w:r>
              <w:rPr>
                <w:spacing w:val="-7"/>
              </w:rPr>
              <w:t>31</w:t>
            </w:r>
          </w:hyperlink>
        </w:p>
        <w:p>
          <w:pPr>
            <w:pStyle w:val="TOC3"/>
            <w:tabs>
              <w:tab w:val="right" w:leader="dot" w:pos="9714"/>
            </w:tabs>
            <w:spacing w:line="229" w:lineRule="exact"/>
          </w:pPr>
          <w:hyperlink w:anchor="_bookmark26" w:history="1">
            <w:r>
              <w:t>Optional</w:t>
            </w:r>
            <w:r>
              <w:rPr>
                <w:spacing w:val="-7"/>
              </w:rPr>
              <w:t xml:space="preserve"> </w:t>
            </w:r>
            <w:r>
              <w:t>Supplemental</w:t>
            </w:r>
            <w:r>
              <w:rPr>
                <w:spacing w:val="-7"/>
              </w:rPr>
              <w:t xml:space="preserve"> </w:t>
            </w:r>
            <w:r>
              <w:rPr>
                <w:spacing w:val="-2"/>
              </w:rPr>
              <w:t>Benefits</w:t>
            </w:r>
            <w:r>
              <w:tab/>
            </w:r>
            <w:r>
              <w:rPr>
                <w:spacing w:val="-5"/>
              </w:rPr>
              <w:t>33</w:t>
            </w:r>
          </w:hyperlink>
        </w:p>
        <w:p>
          <w:pPr>
            <w:pStyle w:val="TOC3"/>
            <w:tabs>
              <w:tab w:val="right" w:leader="dot" w:pos="9714"/>
            </w:tabs>
            <w:spacing w:before="1"/>
          </w:pPr>
          <w:hyperlink w:anchor="_bookmark27" w:history="1">
            <w:r>
              <w:t>Out-of-Area</w:t>
            </w:r>
            <w:r>
              <w:rPr>
                <w:spacing w:val="-8"/>
              </w:rPr>
              <w:t xml:space="preserve"> </w:t>
            </w:r>
            <w:r>
              <w:rPr>
                <w:spacing w:val="-2"/>
              </w:rPr>
              <w:t>Enrollees</w:t>
            </w:r>
            <w:r>
              <w:tab/>
            </w:r>
            <w:r>
              <w:rPr>
                <w:spacing w:val="-5"/>
              </w:rPr>
              <w:t>34</w:t>
            </w:r>
          </w:hyperlink>
        </w:p>
        <w:p>
          <w:pPr>
            <w:pStyle w:val="TOC3"/>
            <w:tabs>
              <w:tab w:val="right" w:leader="dot" w:pos="9714"/>
            </w:tabs>
          </w:pPr>
          <w:hyperlink w:anchor="_bookmark28" w:history="1">
            <w:r>
              <w:t>Part</w:t>
            </w:r>
            <w:r>
              <w:rPr>
                <w:spacing w:val="-4"/>
              </w:rPr>
              <w:t xml:space="preserve"> </w:t>
            </w:r>
            <w:r>
              <w:t>B</w:t>
            </w:r>
            <w:r>
              <w:rPr>
                <w:spacing w:val="-4"/>
              </w:rPr>
              <w:t xml:space="preserve"> </w:t>
            </w:r>
            <w:r>
              <w:t>Premium</w:t>
            </w:r>
            <w:r>
              <w:rPr>
                <w:spacing w:val="-3"/>
              </w:rPr>
              <w:t xml:space="preserve"> </w:t>
            </w:r>
            <w:r>
              <w:t>and</w:t>
            </w:r>
            <w:r>
              <w:rPr>
                <w:spacing w:val="-2"/>
              </w:rPr>
              <w:t xml:space="preserve"> Buydown</w:t>
            </w:r>
            <w:r>
              <w:tab/>
            </w:r>
            <w:r>
              <w:rPr>
                <w:spacing w:val="-5"/>
              </w:rPr>
              <w:t>34</w:t>
            </w:r>
          </w:hyperlink>
        </w:p>
        <w:p>
          <w:pPr>
            <w:pStyle w:val="TOC3"/>
            <w:tabs>
              <w:tab w:val="right" w:leader="dot" w:pos="9714"/>
            </w:tabs>
            <w:spacing w:before="1"/>
          </w:pPr>
          <w:hyperlink w:anchor="_bookmark29" w:history="1">
            <w:r>
              <w:t>Plan</w:t>
            </w:r>
            <w:r>
              <w:rPr>
                <w:spacing w:val="-6"/>
              </w:rPr>
              <w:t xml:space="preserve"> </w:t>
            </w:r>
            <w:r>
              <w:t>Premiums,</w:t>
            </w:r>
            <w:r>
              <w:rPr>
                <w:spacing w:val="-6"/>
              </w:rPr>
              <w:t xml:space="preserve"> </w:t>
            </w:r>
            <w:r>
              <w:t>Rebate</w:t>
            </w:r>
            <w:r>
              <w:rPr>
                <w:spacing w:val="-7"/>
              </w:rPr>
              <w:t xml:space="preserve"> </w:t>
            </w:r>
            <w:r>
              <w:t>Reallocation,</w:t>
            </w:r>
            <w:r>
              <w:rPr>
                <w:spacing w:val="-6"/>
              </w:rPr>
              <w:t xml:space="preserve"> </w:t>
            </w:r>
            <w:r>
              <w:t>and</w:t>
            </w:r>
            <w:r>
              <w:rPr>
                <w:spacing w:val="-8"/>
              </w:rPr>
              <w:t xml:space="preserve"> </w:t>
            </w:r>
            <w:r>
              <w:t>Premium</w:t>
            </w:r>
            <w:r>
              <w:rPr>
                <w:spacing w:val="-5"/>
              </w:rPr>
              <w:t xml:space="preserve"> </w:t>
            </w:r>
            <w:r>
              <w:rPr>
                <w:spacing w:val="-2"/>
              </w:rPr>
              <w:t>Rounding</w:t>
            </w:r>
            <w:r>
              <w:tab/>
            </w:r>
            <w:r>
              <w:rPr>
                <w:spacing w:val="-5"/>
              </w:rPr>
              <w:t>34</w:t>
            </w:r>
          </w:hyperlink>
        </w:p>
        <w:p>
          <w:pPr>
            <w:pStyle w:val="TOC3"/>
            <w:tabs>
              <w:tab w:val="right" w:leader="dot" w:pos="9714"/>
            </w:tabs>
          </w:pPr>
          <w:hyperlink w:anchor="_bookmark30" w:history="1">
            <w:r>
              <w:t>Plan</w:t>
            </w:r>
            <w:r>
              <w:rPr>
                <w:spacing w:val="-3"/>
              </w:rPr>
              <w:t xml:space="preserve"> </w:t>
            </w:r>
            <w:r>
              <w:t>Intention</w:t>
            </w:r>
            <w:r>
              <w:rPr>
                <w:spacing w:val="-5"/>
              </w:rPr>
              <w:t xml:space="preserve"> </w:t>
            </w:r>
            <w:r>
              <w:t>for</w:t>
            </w:r>
            <w:r>
              <w:rPr>
                <w:spacing w:val="-4"/>
              </w:rPr>
              <w:t xml:space="preserve"> </w:t>
            </w:r>
            <w:r>
              <w:t>Target</w:t>
            </w:r>
            <w:r>
              <w:rPr>
                <w:spacing w:val="-4"/>
              </w:rPr>
              <w:t xml:space="preserve"> </w:t>
            </w:r>
            <w:r>
              <w:t>Part</w:t>
            </w:r>
            <w:r>
              <w:rPr>
                <w:spacing w:val="-1"/>
              </w:rPr>
              <w:t xml:space="preserve"> </w:t>
            </w:r>
            <w:r>
              <w:t>D</w:t>
            </w:r>
            <w:r>
              <w:rPr>
                <w:spacing w:val="-4"/>
              </w:rPr>
              <w:t xml:space="preserve"> </w:t>
            </w:r>
            <w:r>
              <w:t>Basic</w:t>
            </w:r>
            <w:r>
              <w:rPr>
                <w:spacing w:val="-5"/>
              </w:rPr>
              <w:t xml:space="preserve"> </w:t>
            </w:r>
            <w:r>
              <w:rPr>
                <w:spacing w:val="-2"/>
              </w:rPr>
              <w:t>Premium</w:t>
            </w:r>
            <w:r>
              <w:tab/>
            </w:r>
            <w:r>
              <w:rPr>
                <w:spacing w:val="-5"/>
              </w:rPr>
              <w:t>35</w:t>
            </w:r>
          </w:hyperlink>
        </w:p>
        <w:p>
          <w:pPr>
            <w:pStyle w:val="TOC3"/>
            <w:tabs>
              <w:tab w:val="right" w:leader="dot" w:pos="9714"/>
            </w:tabs>
            <w:spacing w:before="1" w:line="229" w:lineRule="exact"/>
          </w:pPr>
          <w:hyperlink w:anchor="_bookmark31" w:history="1">
            <w:r>
              <w:t>Rebate</w:t>
            </w:r>
            <w:r>
              <w:rPr>
                <w:spacing w:val="-6"/>
              </w:rPr>
              <w:t xml:space="preserve"> </w:t>
            </w:r>
            <w:r>
              <w:rPr>
                <w:spacing w:val="-2"/>
              </w:rPr>
              <w:t>Allocations</w:t>
            </w:r>
            <w:r>
              <w:tab/>
            </w:r>
            <w:r>
              <w:rPr>
                <w:spacing w:val="-5"/>
              </w:rPr>
              <w:t>36</w:t>
            </w:r>
          </w:hyperlink>
        </w:p>
        <w:p>
          <w:pPr>
            <w:pStyle w:val="TOC3"/>
            <w:tabs>
              <w:tab w:val="right" w:leader="dot" w:pos="9714"/>
            </w:tabs>
            <w:spacing w:line="229" w:lineRule="exact"/>
          </w:pPr>
          <w:hyperlink w:anchor="_bookmark32" w:history="1">
            <w:r>
              <w:t>Regional</w:t>
            </w:r>
            <w:r>
              <w:rPr>
                <w:spacing w:val="-7"/>
              </w:rPr>
              <w:t xml:space="preserve"> </w:t>
            </w:r>
            <w:r>
              <w:t>Preferred</w:t>
            </w:r>
            <w:r>
              <w:rPr>
                <w:spacing w:val="-6"/>
              </w:rPr>
              <w:t xml:space="preserve"> </w:t>
            </w:r>
            <w:r>
              <w:t>Provider</w:t>
            </w:r>
            <w:r>
              <w:rPr>
                <w:spacing w:val="-8"/>
              </w:rPr>
              <w:t xml:space="preserve"> </w:t>
            </w:r>
            <w:r>
              <w:t>Organizations</w:t>
            </w:r>
            <w:r>
              <w:rPr>
                <w:spacing w:val="-7"/>
              </w:rPr>
              <w:t xml:space="preserve"> </w:t>
            </w:r>
            <w:r>
              <w:rPr>
                <w:spacing w:val="-2"/>
              </w:rPr>
              <w:t>(RPPOs)</w:t>
            </w:r>
            <w:r>
              <w:tab/>
            </w:r>
            <w:r>
              <w:rPr>
                <w:spacing w:val="-5"/>
              </w:rPr>
              <w:t>36</w:t>
            </w:r>
          </w:hyperlink>
        </w:p>
        <w:p>
          <w:pPr>
            <w:pStyle w:val="TOC3"/>
            <w:tabs>
              <w:tab w:val="right" w:leader="dot" w:pos="9714"/>
            </w:tabs>
          </w:pPr>
          <w:hyperlink w:anchor="_bookmark33" w:history="1">
            <w:r>
              <w:t>Related-Party</w:t>
            </w:r>
            <w:r>
              <w:rPr>
                <w:spacing w:val="-10"/>
              </w:rPr>
              <w:t xml:space="preserve"> </w:t>
            </w:r>
            <w:r>
              <w:rPr>
                <w:spacing w:val="-2"/>
              </w:rPr>
              <w:t>Arrangements</w:t>
            </w:r>
            <w:r>
              <w:tab/>
            </w:r>
            <w:r>
              <w:rPr>
                <w:spacing w:val="-5"/>
              </w:rPr>
              <w:t>37</w:t>
            </w:r>
          </w:hyperlink>
        </w:p>
        <w:p>
          <w:pPr>
            <w:pStyle w:val="TOC3"/>
            <w:tabs>
              <w:tab w:val="right" w:leader="dot" w:pos="9714"/>
            </w:tabs>
          </w:pPr>
          <w:hyperlink w:anchor="_bookmark34" w:history="1">
            <w:r>
              <w:t>Risk</w:t>
            </w:r>
            <w:r>
              <w:rPr>
                <w:spacing w:val="-5"/>
              </w:rPr>
              <w:t xml:space="preserve"> </w:t>
            </w:r>
            <w:r>
              <w:t>Score</w:t>
            </w:r>
            <w:r>
              <w:rPr>
                <w:spacing w:val="-5"/>
              </w:rPr>
              <w:t xml:space="preserve"> </w:t>
            </w:r>
            <w:r>
              <w:t>Development</w:t>
            </w:r>
            <w:r>
              <w:rPr>
                <w:spacing w:val="-6"/>
              </w:rPr>
              <w:t xml:space="preserve"> </w:t>
            </w:r>
            <w:r>
              <w:t>for</w:t>
            </w:r>
            <w:r>
              <w:rPr>
                <w:spacing w:val="-7"/>
              </w:rPr>
              <w:t xml:space="preserve"> </w:t>
            </w:r>
            <w:r>
              <w:rPr>
                <w:spacing w:val="-2"/>
              </w:rPr>
              <w:t>CY2027</w:t>
            </w:r>
            <w:r>
              <w:tab/>
            </w:r>
            <w:r>
              <w:rPr>
                <w:spacing w:val="-5"/>
              </w:rPr>
              <w:t>37</w:t>
            </w:r>
          </w:hyperlink>
        </w:p>
        <w:p>
          <w:pPr>
            <w:pStyle w:val="TOC3"/>
            <w:tabs>
              <w:tab w:val="right" w:leader="dot" w:pos="9714"/>
            </w:tabs>
            <w:spacing w:before="1"/>
          </w:pPr>
          <w:hyperlink w:anchor="_bookmark35" w:history="1">
            <w:r>
              <w:rPr>
                <w:spacing w:val="-2"/>
              </w:rPr>
              <w:t>Sequestration</w:t>
            </w:r>
            <w:r>
              <w:tab/>
            </w:r>
            <w:r>
              <w:rPr>
                <w:spacing w:val="-5"/>
              </w:rPr>
              <w:t>39</w:t>
            </w:r>
          </w:hyperlink>
        </w:p>
        <w:p>
          <w:pPr>
            <w:pStyle w:val="TOC3"/>
            <w:tabs>
              <w:tab w:val="right" w:leader="dot" w:pos="9714"/>
            </w:tabs>
            <w:spacing w:line="229" w:lineRule="exact"/>
          </w:pPr>
          <w:hyperlink w:anchor="_bookmark36" w:history="1">
            <w:r>
              <w:t>Service</w:t>
            </w:r>
            <w:r>
              <w:rPr>
                <w:spacing w:val="-5"/>
              </w:rPr>
              <w:t xml:space="preserve"> </w:t>
            </w:r>
            <w:r>
              <w:rPr>
                <w:spacing w:val="-4"/>
              </w:rPr>
              <w:t>Area</w:t>
            </w:r>
            <w:r>
              <w:tab/>
            </w:r>
            <w:r>
              <w:rPr>
                <w:spacing w:val="-5"/>
              </w:rPr>
              <w:t>39</w:t>
            </w:r>
          </w:hyperlink>
        </w:p>
        <w:p>
          <w:pPr>
            <w:pStyle w:val="TOC3"/>
            <w:tabs>
              <w:tab w:val="right" w:leader="dot" w:pos="9714"/>
            </w:tabs>
            <w:spacing w:line="229" w:lineRule="exact"/>
          </w:pPr>
          <w:hyperlink w:anchor="_bookmark37" w:history="1">
            <w:r>
              <w:t>Supporting</w:t>
            </w:r>
            <w:r>
              <w:rPr>
                <w:spacing w:val="-7"/>
              </w:rPr>
              <w:t xml:space="preserve"> </w:t>
            </w:r>
            <w:r>
              <w:rPr>
                <w:spacing w:val="-2"/>
              </w:rPr>
              <w:t>Documentation</w:t>
            </w:r>
            <w:r>
              <w:tab/>
            </w:r>
            <w:r>
              <w:rPr>
                <w:spacing w:val="-5"/>
              </w:rPr>
              <w:t>40</w:t>
            </w:r>
          </w:hyperlink>
        </w:p>
        <w:p>
          <w:pPr>
            <w:pStyle w:val="TOC1"/>
            <w:numPr>
              <w:ilvl w:val="0"/>
              <w:numId w:val="57"/>
            </w:numPr>
            <w:tabs>
              <w:tab w:val="left" w:pos="817"/>
              <w:tab w:val="right" w:leader="dot" w:pos="9712"/>
            </w:tabs>
            <w:spacing w:before="80" w:after="0" w:line="240" w:lineRule="auto"/>
            <w:ind w:left="817" w:right="0" w:hanging="313"/>
            <w:jc w:val="left"/>
          </w:pPr>
          <w:hyperlink w:anchor="_bookmark38" w:history="1">
            <w:r>
              <w:t>Data</w:t>
            </w:r>
            <w:r>
              <w:rPr>
                <w:spacing w:val="-3"/>
              </w:rPr>
              <w:t xml:space="preserve"> </w:t>
            </w:r>
            <w:r>
              <w:t>Entry</w:t>
            </w:r>
            <w:r>
              <w:rPr>
                <w:spacing w:val="-3"/>
              </w:rPr>
              <w:t xml:space="preserve"> </w:t>
            </w:r>
            <w:r>
              <w:t>and</w:t>
            </w:r>
            <w:r>
              <w:rPr>
                <w:spacing w:val="-5"/>
              </w:rPr>
              <w:t xml:space="preserve"> </w:t>
            </w:r>
            <w:r>
              <w:rPr>
                <w:spacing w:val="-2"/>
              </w:rPr>
              <w:t>Formulas</w:t>
            </w:r>
            <w:r>
              <w:tab/>
            </w:r>
            <w:r>
              <w:rPr>
                <w:spacing w:val="-5"/>
              </w:rPr>
              <w:t>41</w:t>
            </w:r>
          </w:hyperlink>
        </w:p>
        <w:p>
          <w:pPr>
            <w:pStyle w:val="TOC2"/>
            <w:tabs>
              <w:tab w:val="right" w:leader="dot" w:pos="9712"/>
            </w:tabs>
            <w:spacing w:before="1" w:line="240" w:lineRule="auto"/>
          </w:pPr>
          <w:hyperlink w:anchor="_bookmark39" w:history="1">
            <w:r>
              <w:t>Medicare</w:t>
            </w:r>
            <w:r>
              <w:rPr>
                <w:spacing w:val="-8"/>
              </w:rPr>
              <w:t xml:space="preserve"> </w:t>
            </w:r>
            <w:r>
              <w:rPr>
                <w:spacing w:val="-2"/>
              </w:rPr>
              <w:t>Advantage</w:t>
            </w:r>
            <w:r>
              <w:tab/>
            </w:r>
            <w:r>
              <w:rPr>
                <w:spacing w:val="-7"/>
              </w:rPr>
              <w:t>41</w:t>
            </w:r>
          </w:hyperlink>
        </w:p>
        <w:p>
          <w:pPr>
            <w:pStyle w:val="TOC2"/>
            <w:tabs>
              <w:tab w:val="right" w:leader="dot" w:pos="9712"/>
            </w:tabs>
            <w:spacing w:before="2"/>
          </w:pPr>
          <w:hyperlink w:anchor="_bookmark40" w:history="1">
            <w:r>
              <w:t>Medical</w:t>
            </w:r>
            <w:r>
              <w:rPr>
                <w:spacing w:val="-6"/>
              </w:rPr>
              <w:t xml:space="preserve"> </w:t>
            </w:r>
            <w:r>
              <w:t>Savings</w:t>
            </w:r>
            <w:r>
              <w:rPr>
                <w:spacing w:val="-6"/>
              </w:rPr>
              <w:t xml:space="preserve"> </w:t>
            </w:r>
            <w:r>
              <w:rPr>
                <w:spacing w:val="-2"/>
              </w:rPr>
              <w:t>Account</w:t>
            </w:r>
            <w:r>
              <w:tab/>
            </w:r>
            <w:r>
              <w:rPr>
                <w:spacing w:val="-5"/>
              </w:rPr>
              <w:t>41</w:t>
            </w:r>
          </w:hyperlink>
        </w:p>
        <w:p>
          <w:pPr>
            <w:pStyle w:val="TOC2"/>
            <w:tabs>
              <w:tab w:val="right" w:leader="dot" w:pos="9712"/>
            </w:tabs>
          </w:pPr>
          <w:hyperlink w:anchor="_bookmark41" w:history="1">
            <w:r>
              <w:t>Data</w:t>
            </w:r>
            <w:r>
              <w:rPr>
                <w:spacing w:val="-4"/>
              </w:rPr>
              <w:t xml:space="preserve"> </w:t>
            </w:r>
            <w:r>
              <w:rPr>
                <w:spacing w:val="-2"/>
              </w:rPr>
              <w:t>Entry</w:t>
            </w:r>
            <w:r>
              <w:tab/>
            </w:r>
            <w:r>
              <w:rPr>
                <w:spacing w:val="-5"/>
              </w:rPr>
              <w:t>41</w:t>
            </w:r>
          </w:hyperlink>
        </w:p>
        <w:p>
          <w:pPr>
            <w:pStyle w:val="TOC1"/>
            <w:tabs>
              <w:tab w:val="right" w:leader="dot" w:pos="9712"/>
            </w:tabs>
          </w:pPr>
          <w:hyperlink w:anchor="_bookmark42" w:history="1">
            <w:r>
              <w:t>MA</w:t>
            </w:r>
            <w:r>
              <w:rPr>
                <w:spacing w:val="-7"/>
              </w:rPr>
              <w:t xml:space="preserve"> </w:t>
            </w:r>
            <w:r>
              <w:t>Worksheet</w:t>
            </w:r>
            <w:r>
              <w:rPr>
                <w:spacing w:val="-4"/>
              </w:rPr>
              <w:t xml:space="preserve"> </w:t>
            </w:r>
            <w:r>
              <w:t>1</w:t>
            </w:r>
            <w:r>
              <w:rPr>
                <w:spacing w:val="-6"/>
              </w:rPr>
              <w:t xml:space="preserve"> </w:t>
            </w:r>
            <w:r>
              <w:t>–</w:t>
            </w:r>
            <w:r>
              <w:rPr>
                <w:spacing w:val="-2"/>
              </w:rPr>
              <w:t xml:space="preserve"> </w:t>
            </w:r>
            <w:r>
              <w:t>MA</w:t>
            </w:r>
            <w:r>
              <w:rPr>
                <w:spacing w:val="-5"/>
              </w:rPr>
              <w:t xml:space="preserve"> </w:t>
            </w:r>
            <w:r>
              <w:t>Base</w:t>
            </w:r>
            <w:r>
              <w:rPr>
                <w:spacing w:val="-2"/>
              </w:rPr>
              <w:t xml:space="preserve"> </w:t>
            </w:r>
            <w:r>
              <w:t>Period</w:t>
            </w:r>
            <w:r>
              <w:rPr>
                <w:spacing w:val="-3"/>
              </w:rPr>
              <w:t xml:space="preserve"> </w:t>
            </w:r>
            <w:r>
              <w:t>Experience</w:t>
            </w:r>
            <w:r>
              <w:rPr>
                <w:spacing w:val="-5"/>
              </w:rPr>
              <w:t xml:space="preserve"> </w:t>
            </w:r>
            <w:r>
              <w:t>and</w:t>
            </w:r>
            <w:r>
              <w:rPr>
                <w:spacing w:val="-6"/>
              </w:rPr>
              <w:t xml:space="preserve"> </w:t>
            </w:r>
            <w:r>
              <w:t>Projection</w:t>
            </w:r>
            <w:r>
              <w:rPr>
                <w:spacing w:val="-2"/>
              </w:rPr>
              <w:t xml:space="preserve"> Assumptions</w:t>
            </w:r>
            <w:r>
              <w:tab/>
            </w:r>
            <w:r>
              <w:rPr>
                <w:spacing w:val="-5"/>
              </w:rPr>
              <w:t>42</w:t>
            </w:r>
          </w:hyperlink>
        </w:p>
        <w:p>
          <w:pPr>
            <w:pStyle w:val="TOC2"/>
            <w:tabs>
              <w:tab w:val="right" w:leader="dot" w:pos="9712"/>
            </w:tabs>
            <w:spacing w:before="1"/>
          </w:pPr>
          <w:hyperlink w:anchor="_bookmark43"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42</w:t>
            </w:r>
          </w:hyperlink>
        </w:p>
        <w:p>
          <w:pPr>
            <w:pStyle w:val="TOC2"/>
            <w:tabs>
              <w:tab w:val="right" w:leader="dot" w:pos="9712"/>
            </w:tabs>
          </w:pPr>
          <w:hyperlink w:anchor="_bookmark44" w:history="1">
            <w:r>
              <w:t>Section</w:t>
            </w:r>
            <w:r>
              <w:rPr>
                <w:spacing w:val="-3"/>
              </w:rPr>
              <w:t xml:space="preserve"> </w:t>
            </w:r>
            <w:r>
              <w:t>II</w:t>
            </w:r>
            <w:r>
              <w:rPr>
                <w:spacing w:val="-4"/>
              </w:rPr>
              <w:t xml:space="preserve"> </w:t>
            </w:r>
            <w:r>
              <w:t>–</w:t>
            </w:r>
            <w:r>
              <w:rPr>
                <w:spacing w:val="-3"/>
              </w:rPr>
              <w:t xml:space="preserve"> </w:t>
            </w:r>
            <w:r>
              <w:t>Base</w:t>
            </w:r>
            <w:r>
              <w:rPr>
                <w:spacing w:val="-2"/>
              </w:rPr>
              <w:t xml:space="preserve"> </w:t>
            </w:r>
            <w:r>
              <w:t>Period</w:t>
            </w:r>
            <w:r>
              <w:rPr>
                <w:spacing w:val="-6"/>
              </w:rPr>
              <w:t xml:space="preserve"> </w:t>
            </w:r>
            <w:r>
              <w:t>Background</w:t>
            </w:r>
            <w:r>
              <w:rPr>
                <w:spacing w:val="-2"/>
              </w:rPr>
              <w:t xml:space="preserve"> Information</w:t>
            </w:r>
            <w:r>
              <w:tab/>
            </w:r>
            <w:r>
              <w:rPr>
                <w:spacing w:val="-5"/>
              </w:rPr>
              <w:t>44</w:t>
            </w:r>
          </w:hyperlink>
        </w:p>
        <w:p>
          <w:pPr>
            <w:pStyle w:val="TOC2"/>
            <w:tabs>
              <w:tab w:val="right" w:leader="dot" w:pos="9712"/>
            </w:tabs>
            <w:spacing w:before="1" w:line="240" w:lineRule="auto"/>
          </w:pPr>
          <w:hyperlink w:anchor="_bookmark45" w:history="1">
            <w:r>
              <w:t>Section</w:t>
            </w:r>
            <w:r>
              <w:rPr>
                <w:spacing w:val="-5"/>
              </w:rPr>
              <w:t xml:space="preserve"> </w:t>
            </w:r>
            <w:r>
              <w:t>III</w:t>
            </w:r>
            <w:r>
              <w:rPr>
                <w:spacing w:val="-3"/>
              </w:rPr>
              <w:t xml:space="preserve"> </w:t>
            </w:r>
            <w:r>
              <w:t>–</w:t>
            </w:r>
            <w:r>
              <w:rPr>
                <w:spacing w:val="-3"/>
              </w:rPr>
              <w:t xml:space="preserve"> </w:t>
            </w:r>
            <w:r>
              <w:t>Base</w:t>
            </w:r>
            <w:r>
              <w:rPr>
                <w:spacing w:val="-2"/>
              </w:rPr>
              <w:t xml:space="preserve"> </w:t>
            </w:r>
            <w:r>
              <w:t>Period</w:t>
            </w:r>
            <w:r>
              <w:rPr>
                <w:spacing w:val="-5"/>
              </w:rPr>
              <w:t xml:space="preserve"> </w:t>
            </w:r>
            <w:r>
              <w:t>Data</w:t>
            </w:r>
            <w:r>
              <w:rPr>
                <w:spacing w:val="-3"/>
              </w:rPr>
              <w:t xml:space="preserve"> </w:t>
            </w:r>
            <w:r>
              <w:t>(at</w:t>
            </w:r>
            <w:r>
              <w:rPr>
                <w:spacing w:val="-3"/>
              </w:rPr>
              <w:t xml:space="preserve"> </w:t>
            </w:r>
            <w:r>
              <w:t>Plan’s</w:t>
            </w:r>
            <w:r>
              <w:rPr>
                <w:spacing w:val="-3"/>
              </w:rPr>
              <w:t xml:space="preserve"> </w:t>
            </w:r>
            <w:r>
              <w:t>Risk</w:t>
            </w:r>
            <w:r>
              <w:rPr>
                <w:spacing w:val="-2"/>
              </w:rPr>
              <w:t xml:space="preserve"> </w:t>
            </w:r>
            <w:r>
              <w:t>Factor)</w:t>
            </w:r>
            <w:r>
              <w:rPr>
                <w:spacing w:val="-4"/>
              </w:rPr>
              <w:t xml:space="preserve"> </w:t>
            </w:r>
            <w:r>
              <w:t>for</w:t>
            </w:r>
            <w:r>
              <w:rPr>
                <w:spacing w:val="-5"/>
              </w:rPr>
              <w:t xml:space="preserve"> </w:t>
            </w:r>
            <w:r>
              <w:t>1/1/2025</w:t>
            </w:r>
            <w:r>
              <w:rPr>
                <w:spacing w:val="-3"/>
              </w:rPr>
              <w:t xml:space="preserve"> </w:t>
            </w:r>
            <w:r>
              <w:t>–</w:t>
            </w:r>
            <w:r>
              <w:rPr>
                <w:spacing w:val="-5"/>
              </w:rPr>
              <w:t xml:space="preserve"> </w:t>
            </w:r>
            <w:r>
              <w:rPr>
                <w:spacing w:val="-2"/>
              </w:rPr>
              <w:t>12/31/2025</w:t>
            </w:r>
            <w:r>
              <w:tab/>
            </w:r>
            <w:r>
              <w:rPr>
                <w:spacing w:val="-5"/>
              </w:rPr>
              <w:t>46</w:t>
            </w:r>
          </w:hyperlink>
        </w:p>
        <w:p>
          <w:pPr>
            <w:pStyle w:val="TOC2"/>
            <w:tabs>
              <w:tab w:val="right" w:leader="dot" w:pos="9712"/>
            </w:tabs>
          </w:pPr>
          <w:hyperlink w:anchor="_bookmark46" w:history="1">
            <w:r>
              <w:t>Section</w:t>
            </w:r>
            <w:r>
              <w:rPr>
                <w:spacing w:val="-3"/>
              </w:rPr>
              <w:t xml:space="preserve"> </w:t>
            </w:r>
            <w:r>
              <w:t>IV</w:t>
            </w:r>
            <w:r>
              <w:rPr>
                <w:spacing w:val="-5"/>
              </w:rPr>
              <w:t xml:space="preserve"> </w:t>
            </w:r>
            <w:r>
              <w:t>–</w:t>
            </w:r>
            <w:r>
              <w:rPr>
                <w:spacing w:val="-3"/>
              </w:rPr>
              <w:t xml:space="preserve"> </w:t>
            </w:r>
            <w:r>
              <w:t>Projection</w:t>
            </w:r>
            <w:r>
              <w:rPr>
                <w:spacing w:val="-5"/>
              </w:rPr>
              <w:t xml:space="preserve"> </w:t>
            </w:r>
            <w:r>
              <w:rPr>
                <w:spacing w:val="-2"/>
              </w:rPr>
              <w:t>Assumptions</w:t>
            </w:r>
            <w:r>
              <w:tab/>
            </w:r>
            <w:r>
              <w:rPr>
                <w:spacing w:val="-5"/>
              </w:rPr>
              <w:t>47</w:t>
            </w:r>
          </w:hyperlink>
        </w:p>
        <w:p>
          <w:pPr>
            <w:pStyle w:val="TOC2"/>
            <w:tabs>
              <w:tab w:val="right" w:leader="dot" w:pos="9712"/>
            </w:tabs>
          </w:pPr>
          <w:hyperlink w:anchor="_bookmark47" w:history="1">
            <w:r>
              <w:t>Section</w:t>
            </w:r>
            <w:r>
              <w:rPr>
                <w:spacing w:val="-6"/>
              </w:rPr>
              <w:t xml:space="preserve"> </w:t>
            </w:r>
            <w:r>
              <w:t>V</w:t>
            </w:r>
            <w:r>
              <w:rPr>
                <w:spacing w:val="-6"/>
              </w:rPr>
              <w:t xml:space="preserve"> </w:t>
            </w:r>
            <w:r>
              <w:t>–</w:t>
            </w:r>
            <w:r>
              <w:rPr>
                <w:spacing w:val="-6"/>
              </w:rPr>
              <w:t xml:space="preserve"> </w:t>
            </w:r>
            <w:r>
              <w:t>Base</w:t>
            </w:r>
            <w:r>
              <w:rPr>
                <w:spacing w:val="-4"/>
              </w:rPr>
              <w:t xml:space="preserve"> </w:t>
            </w:r>
            <w:r>
              <w:t>Period</w:t>
            </w:r>
            <w:r>
              <w:rPr>
                <w:spacing w:val="-4"/>
              </w:rPr>
              <w:t xml:space="preserve"> </w:t>
            </w:r>
            <w:r>
              <w:t>Summary</w:t>
            </w:r>
            <w:r>
              <w:rPr>
                <w:spacing w:val="-4"/>
              </w:rPr>
              <w:t xml:space="preserve"> </w:t>
            </w:r>
            <w:r>
              <w:t>for</w:t>
            </w:r>
            <w:r>
              <w:rPr>
                <w:spacing w:val="-4"/>
              </w:rPr>
              <w:t xml:space="preserve"> </w:t>
            </w:r>
            <w:r>
              <w:t>1/1/2025</w:t>
            </w:r>
            <w:r>
              <w:rPr>
                <w:spacing w:val="-6"/>
              </w:rPr>
              <w:t xml:space="preserve"> </w:t>
            </w:r>
            <w:r>
              <w:t>–</w:t>
            </w:r>
            <w:r>
              <w:rPr>
                <w:spacing w:val="-4"/>
              </w:rPr>
              <w:t xml:space="preserve"> </w:t>
            </w:r>
            <w:r>
              <w:t>12/31/2025</w:t>
            </w:r>
            <w:r>
              <w:rPr>
                <w:spacing w:val="-3"/>
              </w:rPr>
              <w:t xml:space="preserve"> </w:t>
            </w:r>
            <w:r>
              <w:t>(excludes</w:t>
            </w:r>
            <w:r>
              <w:rPr>
                <w:spacing w:val="-7"/>
              </w:rPr>
              <w:t xml:space="preserve"> </w:t>
            </w:r>
            <w:r>
              <w:t>Optional</w:t>
            </w:r>
            <w:r>
              <w:rPr>
                <w:spacing w:val="-4"/>
              </w:rPr>
              <w:t xml:space="preserve"> </w:t>
            </w:r>
            <w:r>
              <w:rPr>
                <w:spacing w:val="-2"/>
              </w:rPr>
              <w:t>Supplemental)</w:t>
            </w:r>
            <w:r>
              <w:tab/>
            </w:r>
            <w:r>
              <w:rPr>
                <w:spacing w:val="-5"/>
              </w:rPr>
              <w:t>49</w:t>
            </w:r>
          </w:hyperlink>
        </w:p>
        <w:p>
          <w:pPr>
            <w:pStyle w:val="TOC2"/>
            <w:tabs>
              <w:tab w:val="right" w:leader="dot" w:pos="9712"/>
            </w:tabs>
            <w:spacing w:before="1" w:line="240" w:lineRule="auto"/>
          </w:pPr>
          <w:hyperlink w:anchor="_bookmark48" w:history="1">
            <w:r>
              <w:t>Section</w:t>
            </w:r>
            <w:r>
              <w:rPr>
                <w:spacing w:val="-4"/>
              </w:rPr>
              <w:t xml:space="preserve"> </w:t>
            </w:r>
            <w:r>
              <w:t>VI</w:t>
            </w:r>
            <w:r>
              <w:rPr>
                <w:spacing w:val="-6"/>
              </w:rPr>
              <w:t xml:space="preserve"> </w:t>
            </w:r>
            <w:r>
              <w:t>–</w:t>
            </w:r>
            <w:r>
              <w:rPr>
                <w:spacing w:val="-3"/>
              </w:rPr>
              <w:t xml:space="preserve"> </w:t>
            </w:r>
            <w:r>
              <w:t>Base</w:t>
            </w:r>
            <w:r>
              <w:rPr>
                <w:spacing w:val="-4"/>
              </w:rPr>
              <w:t xml:space="preserve"> </w:t>
            </w:r>
            <w:r>
              <w:t>Period</w:t>
            </w:r>
            <w:r>
              <w:rPr>
                <w:spacing w:val="-6"/>
              </w:rPr>
              <w:t xml:space="preserve"> </w:t>
            </w:r>
            <w:r>
              <w:t>Risk-Sharing</w:t>
            </w:r>
            <w:r>
              <w:rPr>
                <w:spacing w:val="-3"/>
              </w:rPr>
              <w:t xml:space="preserve"> </w:t>
            </w:r>
            <w:r>
              <w:rPr>
                <w:spacing w:val="-2"/>
              </w:rPr>
              <w:t>Payments</w:t>
            </w:r>
            <w:r>
              <w:tab/>
            </w:r>
            <w:r>
              <w:rPr>
                <w:spacing w:val="-5"/>
              </w:rPr>
              <w:t>51</w:t>
            </w:r>
          </w:hyperlink>
        </w:p>
        <w:p>
          <w:pPr>
            <w:pStyle w:val="TOC1"/>
            <w:tabs>
              <w:tab w:val="right" w:leader="dot" w:pos="9712"/>
            </w:tabs>
            <w:spacing w:line="241" w:lineRule="exact"/>
          </w:pPr>
          <w:hyperlink w:anchor="_bookmark49" w:history="1">
            <w:r>
              <w:t>MA</w:t>
            </w:r>
            <w:r>
              <w:rPr>
                <w:spacing w:val="-5"/>
              </w:rPr>
              <w:t xml:space="preserve"> </w:t>
            </w:r>
            <w:r>
              <w:t>Worksheet</w:t>
            </w:r>
            <w:r>
              <w:rPr>
                <w:spacing w:val="-5"/>
              </w:rPr>
              <w:t xml:space="preserve"> </w:t>
            </w:r>
            <w:r>
              <w:t>2</w:t>
            </w:r>
            <w:r>
              <w:rPr>
                <w:spacing w:val="-6"/>
              </w:rPr>
              <w:t xml:space="preserve"> </w:t>
            </w:r>
            <w:r>
              <w:t>–</w:t>
            </w:r>
            <w:r>
              <w:rPr>
                <w:spacing w:val="-2"/>
              </w:rPr>
              <w:t xml:space="preserve"> </w:t>
            </w:r>
            <w:r>
              <w:t>MA</w:t>
            </w:r>
            <w:r>
              <w:rPr>
                <w:spacing w:val="-2"/>
              </w:rPr>
              <w:t xml:space="preserve"> </w:t>
            </w:r>
            <w:r>
              <w:t>Projected</w:t>
            </w:r>
            <w:r>
              <w:rPr>
                <w:spacing w:val="-3"/>
              </w:rPr>
              <w:t xml:space="preserve"> </w:t>
            </w:r>
            <w:r>
              <w:t>Allowed</w:t>
            </w:r>
            <w:r>
              <w:rPr>
                <w:spacing w:val="-6"/>
              </w:rPr>
              <w:t xml:space="preserve"> </w:t>
            </w:r>
            <w:r>
              <w:t>Costs</w:t>
            </w:r>
            <w:r>
              <w:rPr>
                <w:spacing w:val="-2"/>
              </w:rPr>
              <w:t xml:space="preserve"> </w:t>
            </w:r>
            <w:r>
              <w:rPr>
                <w:spacing w:val="-4"/>
              </w:rPr>
              <w:t>PMPM</w:t>
            </w:r>
            <w:r>
              <w:tab/>
            </w:r>
            <w:r>
              <w:rPr>
                <w:spacing w:val="-5"/>
              </w:rPr>
              <w:t>53</w:t>
            </w:r>
          </w:hyperlink>
        </w:p>
        <w:p>
          <w:pPr>
            <w:pStyle w:val="TOC2"/>
            <w:tabs>
              <w:tab w:val="right" w:leader="dot" w:pos="9712"/>
            </w:tabs>
            <w:spacing w:after="240"/>
          </w:pPr>
          <w:hyperlink w:anchor="_bookmark50"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53</w:t>
            </w:r>
          </w:hyperlink>
        </w:p>
        <w:p>
          <w:pPr>
            <w:pStyle w:val="TOC1"/>
            <w:tabs>
              <w:tab w:val="right" w:leader="dot" w:pos="9712"/>
            </w:tabs>
            <w:spacing w:line="241" w:lineRule="exact"/>
          </w:pPr>
          <w:hyperlink w:anchor="_bookmark52" w:history="1">
            <w:r>
              <w:t>MA</w:t>
            </w:r>
            <w:r>
              <w:rPr>
                <w:spacing w:val="-4"/>
              </w:rPr>
              <w:t xml:space="preserve"> </w:t>
            </w:r>
            <w:r>
              <w:t>Worksheet</w:t>
            </w:r>
            <w:r>
              <w:rPr>
                <w:spacing w:val="-4"/>
              </w:rPr>
              <w:t xml:space="preserve"> </w:t>
            </w:r>
            <w:r>
              <w:t>3</w:t>
            </w:r>
            <w:r>
              <w:rPr>
                <w:spacing w:val="-5"/>
              </w:rPr>
              <w:t xml:space="preserve"> </w:t>
            </w:r>
            <w:r>
              <w:t>–</w:t>
            </w:r>
            <w:r>
              <w:rPr>
                <w:spacing w:val="-2"/>
              </w:rPr>
              <w:t xml:space="preserve"> </w:t>
            </w:r>
            <w:r>
              <w:t>MA</w:t>
            </w:r>
            <w:r>
              <w:rPr>
                <w:spacing w:val="-1"/>
              </w:rPr>
              <w:t xml:space="preserve"> </w:t>
            </w:r>
            <w:r>
              <w:t>Projected</w:t>
            </w:r>
            <w:r>
              <w:rPr>
                <w:spacing w:val="-3"/>
              </w:rPr>
              <w:t xml:space="preserve"> </w:t>
            </w:r>
            <w:r>
              <w:t>Cost</w:t>
            </w:r>
            <w:r>
              <w:rPr>
                <w:spacing w:val="-5"/>
              </w:rPr>
              <w:t xml:space="preserve"> </w:t>
            </w:r>
            <w:r>
              <w:t>Sharing</w:t>
            </w:r>
            <w:r>
              <w:rPr>
                <w:spacing w:val="-2"/>
              </w:rPr>
              <w:t xml:space="preserve"> </w:t>
            </w:r>
            <w:r>
              <w:rPr>
                <w:spacing w:val="-4"/>
              </w:rPr>
              <w:t>PMPM</w:t>
            </w:r>
            <w:r>
              <w:tab/>
            </w:r>
            <w:r>
              <w:rPr>
                <w:spacing w:val="-5"/>
              </w:rPr>
              <w:t>56</w:t>
            </w:r>
          </w:hyperlink>
        </w:p>
        <w:p>
          <w:pPr>
            <w:pStyle w:val="TOC2"/>
            <w:tabs>
              <w:tab w:val="right" w:leader="dot" w:pos="9712"/>
            </w:tabs>
          </w:pPr>
          <w:hyperlink w:anchor="_bookmark53"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56</w:t>
            </w:r>
          </w:hyperlink>
        </w:p>
        <w:p>
          <w:pPr>
            <w:pStyle w:val="TOC2"/>
            <w:tabs>
              <w:tab w:val="right" w:leader="dot" w:pos="9712"/>
            </w:tabs>
          </w:pPr>
          <w:hyperlink w:anchor="_bookmark54" w:history="1">
            <w:r>
              <w:t>Section</w:t>
            </w:r>
            <w:r>
              <w:rPr>
                <w:spacing w:val="-3"/>
              </w:rPr>
              <w:t xml:space="preserve"> </w:t>
            </w:r>
            <w:r>
              <w:t>II</w:t>
            </w:r>
            <w:r>
              <w:rPr>
                <w:spacing w:val="-3"/>
              </w:rPr>
              <w:t xml:space="preserve"> </w:t>
            </w:r>
            <w:r>
              <w:t>–</w:t>
            </w:r>
            <w:r>
              <w:rPr>
                <w:spacing w:val="-2"/>
              </w:rPr>
              <w:t xml:space="preserve"> </w:t>
            </w:r>
            <w:r>
              <w:t>Maximum</w:t>
            </w:r>
            <w:r>
              <w:rPr>
                <w:spacing w:val="-6"/>
              </w:rPr>
              <w:t xml:space="preserve"> </w:t>
            </w:r>
            <w:r>
              <w:t>Cost</w:t>
            </w:r>
            <w:r>
              <w:rPr>
                <w:spacing w:val="-6"/>
              </w:rPr>
              <w:t xml:space="preserve"> </w:t>
            </w:r>
            <w:r>
              <w:t>Sharing</w:t>
            </w:r>
            <w:r>
              <w:rPr>
                <w:spacing w:val="-2"/>
              </w:rPr>
              <w:t xml:space="preserve"> </w:t>
            </w:r>
            <w:r>
              <w:t>Per</w:t>
            </w:r>
            <w:r>
              <w:rPr>
                <w:spacing w:val="-5"/>
              </w:rPr>
              <w:t xml:space="preserve"> </w:t>
            </w:r>
            <w:r>
              <w:t>Member</w:t>
            </w:r>
            <w:r>
              <w:rPr>
                <w:spacing w:val="-3"/>
              </w:rPr>
              <w:t xml:space="preserve"> </w:t>
            </w:r>
            <w:r>
              <w:t>Per</w:t>
            </w:r>
            <w:r>
              <w:rPr>
                <w:spacing w:val="-3"/>
              </w:rPr>
              <w:t xml:space="preserve"> </w:t>
            </w:r>
            <w:r>
              <w:rPr>
                <w:spacing w:val="-4"/>
              </w:rPr>
              <w:t>Year</w:t>
            </w:r>
            <w:r>
              <w:tab/>
            </w:r>
            <w:r>
              <w:rPr>
                <w:spacing w:val="-5"/>
              </w:rPr>
              <w:t>56</w:t>
            </w:r>
          </w:hyperlink>
        </w:p>
        <w:p>
          <w:pPr>
            <w:pStyle w:val="TOC2"/>
            <w:tabs>
              <w:tab w:val="right" w:leader="dot" w:pos="9712"/>
            </w:tabs>
          </w:pPr>
          <w:hyperlink w:anchor="_bookmark55" w:history="1">
            <w:r>
              <w:t>Section</w:t>
            </w:r>
            <w:r>
              <w:rPr>
                <w:spacing w:val="-5"/>
              </w:rPr>
              <w:t xml:space="preserve"> </w:t>
            </w:r>
            <w:r>
              <w:t>III</w:t>
            </w:r>
            <w:r>
              <w:rPr>
                <w:spacing w:val="-4"/>
              </w:rPr>
              <w:t xml:space="preserve"> </w:t>
            </w:r>
            <w:r>
              <w:t>–</w:t>
            </w:r>
            <w:r>
              <w:rPr>
                <w:spacing w:val="-6"/>
              </w:rPr>
              <w:t xml:space="preserve"> </w:t>
            </w:r>
            <w:r>
              <w:t>Development</w:t>
            </w:r>
            <w:r>
              <w:rPr>
                <w:spacing w:val="-3"/>
              </w:rPr>
              <w:t xml:space="preserve"> </w:t>
            </w:r>
            <w:r>
              <w:t>of</w:t>
            </w:r>
            <w:r>
              <w:rPr>
                <w:spacing w:val="-4"/>
              </w:rPr>
              <w:t xml:space="preserve"> </w:t>
            </w:r>
            <w:r>
              <w:t>Contract</w:t>
            </w:r>
            <w:r>
              <w:rPr>
                <w:spacing w:val="-6"/>
              </w:rPr>
              <w:t xml:space="preserve"> </w:t>
            </w:r>
            <w:r>
              <w:t>Year</w:t>
            </w:r>
            <w:r>
              <w:rPr>
                <w:spacing w:val="-7"/>
              </w:rPr>
              <w:t xml:space="preserve"> </w:t>
            </w:r>
            <w:r>
              <w:t>Cost</w:t>
            </w:r>
            <w:r>
              <w:rPr>
                <w:spacing w:val="-5"/>
              </w:rPr>
              <w:t xml:space="preserve"> </w:t>
            </w:r>
            <w:r>
              <w:t>Sharing</w:t>
            </w:r>
            <w:r>
              <w:rPr>
                <w:spacing w:val="-5"/>
              </w:rPr>
              <w:t xml:space="preserve"> </w:t>
            </w:r>
            <w:r>
              <w:t>PMPM</w:t>
            </w:r>
            <w:r>
              <w:rPr>
                <w:spacing w:val="-4"/>
              </w:rPr>
              <w:t xml:space="preserve"> </w:t>
            </w:r>
            <w:r>
              <w:t>(Plan’s</w:t>
            </w:r>
            <w:r>
              <w:rPr>
                <w:spacing w:val="-3"/>
              </w:rPr>
              <w:t xml:space="preserve"> </w:t>
            </w:r>
            <w:r>
              <w:t>Risk</w:t>
            </w:r>
            <w:r>
              <w:rPr>
                <w:spacing w:val="-2"/>
              </w:rPr>
              <w:t xml:space="preserve"> Factor)</w:t>
            </w:r>
            <w:r>
              <w:tab/>
            </w:r>
            <w:r>
              <w:rPr>
                <w:spacing w:val="-5"/>
              </w:rPr>
              <w:t>58</w:t>
            </w:r>
          </w:hyperlink>
        </w:p>
        <w:p>
          <w:pPr>
            <w:pStyle w:val="TOC2"/>
            <w:tabs>
              <w:tab w:val="right" w:leader="dot" w:pos="9712"/>
            </w:tabs>
            <w:spacing w:before="1" w:line="240" w:lineRule="auto"/>
          </w:pPr>
          <w:hyperlink w:anchor="_bookmark56" w:history="1">
            <w:r>
              <w:t>Section</w:t>
            </w:r>
            <w:r>
              <w:rPr>
                <w:spacing w:val="-3"/>
              </w:rPr>
              <w:t xml:space="preserve"> </w:t>
            </w:r>
            <w:r>
              <w:t>IV</w:t>
            </w:r>
            <w:r>
              <w:rPr>
                <w:spacing w:val="-5"/>
              </w:rPr>
              <w:t xml:space="preserve"> </w:t>
            </w:r>
            <w:r>
              <w:t>–</w:t>
            </w:r>
            <w:r>
              <w:rPr>
                <w:spacing w:val="-2"/>
              </w:rPr>
              <w:t xml:space="preserve"> </w:t>
            </w:r>
            <w:r>
              <w:t>Mapping</w:t>
            </w:r>
            <w:r>
              <w:rPr>
                <w:spacing w:val="-3"/>
              </w:rPr>
              <w:t xml:space="preserve"> </w:t>
            </w:r>
            <w:r>
              <w:t>of</w:t>
            </w:r>
            <w:r>
              <w:rPr>
                <w:spacing w:val="-5"/>
              </w:rPr>
              <w:t xml:space="preserve"> </w:t>
            </w:r>
            <w:r>
              <w:t>PBP</w:t>
            </w:r>
            <w:r>
              <w:rPr>
                <w:spacing w:val="-3"/>
              </w:rPr>
              <w:t xml:space="preserve"> </w:t>
            </w:r>
            <w:r>
              <w:t>Service</w:t>
            </w:r>
            <w:r>
              <w:rPr>
                <w:spacing w:val="-5"/>
              </w:rPr>
              <w:t xml:space="preserve"> </w:t>
            </w:r>
            <w:r>
              <w:t>Categories</w:t>
            </w:r>
            <w:r>
              <w:rPr>
                <w:spacing w:val="-4"/>
              </w:rPr>
              <w:t xml:space="preserve"> </w:t>
            </w:r>
            <w:r>
              <w:t>to</w:t>
            </w:r>
            <w:r>
              <w:rPr>
                <w:spacing w:val="-5"/>
              </w:rPr>
              <w:t xml:space="preserve"> BPT</w:t>
            </w:r>
            <w:r>
              <w:tab/>
            </w:r>
            <w:r>
              <w:rPr>
                <w:spacing w:val="-5"/>
              </w:rPr>
              <w:t>64</w:t>
            </w:r>
          </w:hyperlink>
        </w:p>
        <w:p>
          <w:pPr>
            <w:pStyle w:val="TOC1"/>
            <w:tabs>
              <w:tab w:val="right" w:leader="dot" w:pos="9712"/>
            </w:tabs>
            <w:spacing w:before="81"/>
          </w:pPr>
          <w:hyperlink w:anchor="_bookmark57" w:history="1">
            <w:r>
              <w:t>MA</w:t>
            </w:r>
            <w:r>
              <w:rPr>
                <w:spacing w:val="-5"/>
              </w:rPr>
              <w:t xml:space="preserve"> </w:t>
            </w:r>
            <w:r>
              <w:t>Worksheet</w:t>
            </w:r>
            <w:r>
              <w:rPr>
                <w:spacing w:val="-5"/>
              </w:rPr>
              <w:t xml:space="preserve"> </w:t>
            </w:r>
            <w:r>
              <w:t>4</w:t>
            </w:r>
            <w:r>
              <w:rPr>
                <w:spacing w:val="-6"/>
              </w:rPr>
              <w:t xml:space="preserve"> </w:t>
            </w:r>
            <w:r>
              <w:t>–</w:t>
            </w:r>
            <w:r>
              <w:rPr>
                <w:spacing w:val="-3"/>
              </w:rPr>
              <w:t xml:space="preserve"> </w:t>
            </w:r>
            <w:r>
              <w:t>MA</w:t>
            </w:r>
            <w:r>
              <w:rPr>
                <w:spacing w:val="-3"/>
              </w:rPr>
              <w:t xml:space="preserve"> </w:t>
            </w:r>
            <w:r>
              <w:t>Projected</w:t>
            </w:r>
            <w:r>
              <w:rPr>
                <w:spacing w:val="-3"/>
              </w:rPr>
              <w:t xml:space="preserve"> </w:t>
            </w:r>
            <w:r>
              <w:t>Revenue</w:t>
            </w:r>
            <w:r>
              <w:rPr>
                <w:spacing w:val="-6"/>
              </w:rPr>
              <w:t xml:space="preserve"> </w:t>
            </w:r>
            <w:r>
              <w:t>Requirement</w:t>
            </w:r>
            <w:r>
              <w:rPr>
                <w:spacing w:val="-6"/>
              </w:rPr>
              <w:t xml:space="preserve"> </w:t>
            </w:r>
            <w:r>
              <w:rPr>
                <w:spacing w:val="-4"/>
              </w:rPr>
              <w:t>PMPM</w:t>
            </w:r>
            <w:r>
              <w:tab/>
            </w:r>
            <w:r>
              <w:rPr>
                <w:spacing w:val="-5"/>
              </w:rPr>
              <w:t>65</w:t>
            </w:r>
          </w:hyperlink>
        </w:p>
        <w:p>
          <w:pPr>
            <w:pStyle w:val="TOC2"/>
            <w:tabs>
              <w:tab w:val="right" w:leader="dot" w:pos="9712"/>
            </w:tabs>
          </w:pPr>
          <w:hyperlink w:anchor="_bookmark58"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65</w:t>
            </w:r>
          </w:hyperlink>
        </w:p>
        <w:p>
          <w:pPr>
            <w:pStyle w:val="TOC2"/>
            <w:tabs>
              <w:tab w:val="right" w:leader="dot" w:pos="9712"/>
            </w:tabs>
          </w:pPr>
          <w:hyperlink w:anchor="_bookmark59" w:history="1">
            <w:r>
              <w:t>Section</w:t>
            </w:r>
            <w:r>
              <w:rPr>
                <w:spacing w:val="-4"/>
              </w:rPr>
              <w:t xml:space="preserve"> </w:t>
            </w:r>
            <w:r>
              <w:t>II</w:t>
            </w:r>
            <w:r>
              <w:rPr>
                <w:spacing w:val="-4"/>
              </w:rPr>
              <w:t xml:space="preserve"> </w:t>
            </w:r>
            <w:r>
              <w:t>–</w:t>
            </w:r>
            <w:r>
              <w:rPr>
                <w:spacing w:val="-5"/>
              </w:rPr>
              <w:t xml:space="preserve"> </w:t>
            </w:r>
            <w:r>
              <w:t>Development</w:t>
            </w:r>
            <w:r>
              <w:rPr>
                <w:spacing w:val="-4"/>
              </w:rPr>
              <w:t xml:space="preserve"> </w:t>
            </w:r>
            <w:r>
              <w:t>of</w:t>
            </w:r>
            <w:r>
              <w:rPr>
                <w:spacing w:val="-6"/>
              </w:rPr>
              <w:t xml:space="preserve"> </w:t>
            </w:r>
            <w:r>
              <w:t>Projected</w:t>
            </w:r>
            <w:r>
              <w:rPr>
                <w:spacing w:val="-3"/>
              </w:rPr>
              <w:t xml:space="preserve"> </w:t>
            </w:r>
            <w:r>
              <w:t>Revenue</w:t>
            </w:r>
            <w:r>
              <w:rPr>
                <w:spacing w:val="-3"/>
              </w:rPr>
              <w:t xml:space="preserve"> </w:t>
            </w:r>
            <w:r>
              <w:rPr>
                <w:spacing w:val="-2"/>
              </w:rPr>
              <w:t>Requirement</w:t>
            </w:r>
            <w:r>
              <w:tab/>
            </w:r>
            <w:r>
              <w:rPr>
                <w:spacing w:val="-5"/>
              </w:rPr>
              <w:t>65</w:t>
            </w:r>
          </w:hyperlink>
        </w:p>
        <w:p>
          <w:pPr>
            <w:pStyle w:val="TOC2"/>
            <w:tabs>
              <w:tab w:val="right" w:leader="dot" w:pos="9712"/>
            </w:tabs>
            <w:spacing w:before="1"/>
          </w:pPr>
          <w:hyperlink w:anchor="_bookmark60" w:history="1">
            <w:r>
              <w:t>Section</w:t>
            </w:r>
            <w:r>
              <w:rPr>
                <w:spacing w:val="-6"/>
              </w:rPr>
              <w:t xml:space="preserve"> </w:t>
            </w:r>
            <w:r>
              <w:t>III</w:t>
            </w:r>
            <w:r>
              <w:rPr>
                <w:spacing w:val="-4"/>
              </w:rPr>
              <w:t xml:space="preserve"> </w:t>
            </w:r>
            <w:r>
              <w:t>–</w:t>
            </w:r>
            <w:r>
              <w:rPr>
                <w:spacing w:val="-7"/>
              </w:rPr>
              <w:t xml:space="preserve"> </w:t>
            </w:r>
            <w:r>
              <w:t>Development</w:t>
            </w:r>
            <w:r>
              <w:rPr>
                <w:spacing w:val="-4"/>
              </w:rPr>
              <w:t xml:space="preserve"> </w:t>
            </w:r>
            <w:r>
              <w:t>of</w:t>
            </w:r>
            <w:r>
              <w:rPr>
                <w:spacing w:val="-5"/>
              </w:rPr>
              <w:t xml:space="preserve"> </w:t>
            </w:r>
            <w:r>
              <w:t>Projected</w:t>
            </w:r>
            <w:r>
              <w:rPr>
                <w:spacing w:val="-3"/>
              </w:rPr>
              <w:t xml:space="preserve"> </w:t>
            </w:r>
            <w:r>
              <w:t>Contract</w:t>
            </w:r>
            <w:r>
              <w:rPr>
                <w:spacing w:val="-6"/>
              </w:rPr>
              <w:t xml:space="preserve"> </w:t>
            </w:r>
            <w:r>
              <w:t>Year</w:t>
            </w:r>
            <w:r>
              <w:rPr>
                <w:spacing w:val="-4"/>
              </w:rPr>
              <w:t xml:space="preserve"> </w:t>
            </w:r>
            <w:r>
              <w:t>ESRD</w:t>
            </w:r>
            <w:r>
              <w:rPr>
                <w:spacing w:val="-4"/>
              </w:rPr>
              <w:t xml:space="preserve"> </w:t>
            </w:r>
            <w:r>
              <w:rPr>
                <w:spacing w:val="-2"/>
              </w:rPr>
              <w:t>“Subsidy”</w:t>
            </w:r>
            <w:r>
              <w:tab/>
            </w:r>
            <w:r>
              <w:rPr>
                <w:spacing w:val="-5"/>
              </w:rPr>
              <w:t>72</w:t>
            </w:r>
          </w:hyperlink>
        </w:p>
        <w:p>
          <w:pPr>
            <w:pStyle w:val="TOC2"/>
            <w:tabs>
              <w:tab w:val="right" w:leader="dot" w:pos="9712"/>
            </w:tabs>
          </w:pPr>
          <w:hyperlink w:anchor="_bookmark61" w:history="1">
            <w:r>
              <w:t>Section</w:t>
            </w:r>
            <w:r>
              <w:rPr>
                <w:spacing w:val="-4"/>
              </w:rPr>
              <w:t xml:space="preserve"> </w:t>
            </w:r>
            <w:r>
              <w:t>IV</w:t>
            </w:r>
            <w:r>
              <w:rPr>
                <w:spacing w:val="-5"/>
              </w:rPr>
              <w:t xml:space="preserve"> </w:t>
            </w:r>
            <w:r>
              <w:t>–</w:t>
            </w:r>
            <w:r>
              <w:rPr>
                <w:spacing w:val="-3"/>
              </w:rPr>
              <w:t xml:space="preserve"> </w:t>
            </w:r>
            <w:r>
              <w:t>Projected</w:t>
            </w:r>
            <w:r>
              <w:rPr>
                <w:spacing w:val="-6"/>
              </w:rPr>
              <w:t xml:space="preserve"> </w:t>
            </w:r>
            <w:r>
              <w:t>Medicaid</w:t>
            </w:r>
            <w:r>
              <w:rPr>
                <w:spacing w:val="-3"/>
              </w:rPr>
              <w:t xml:space="preserve"> </w:t>
            </w:r>
            <w:r>
              <w:rPr>
                <w:spacing w:val="-4"/>
              </w:rPr>
              <w:t>Data</w:t>
            </w:r>
            <w:r>
              <w:tab/>
            </w:r>
            <w:r>
              <w:rPr>
                <w:spacing w:val="-7"/>
              </w:rPr>
              <w:t>73</w:t>
            </w:r>
          </w:hyperlink>
        </w:p>
        <w:p>
          <w:pPr>
            <w:pStyle w:val="TOC1"/>
            <w:tabs>
              <w:tab w:val="right" w:leader="dot" w:pos="9712"/>
            </w:tabs>
          </w:pPr>
          <w:hyperlink w:anchor="_bookmark62" w:history="1">
            <w:r>
              <w:t>MA</w:t>
            </w:r>
            <w:r>
              <w:rPr>
                <w:spacing w:val="-6"/>
              </w:rPr>
              <w:t xml:space="preserve"> </w:t>
            </w:r>
            <w:r>
              <w:t>Worksheet</w:t>
            </w:r>
            <w:r>
              <w:rPr>
                <w:spacing w:val="-4"/>
              </w:rPr>
              <w:t xml:space="preserve"> </w:t>
            </w:r>
            <w:r>
              <w:t>5</w:t>
            </w:r>
            <w:r>
              <w:rPr>
                <w:spacing w:val="-5"/>
              </w:rPr>
              <w:t xml:space="preserve"> </w:t>
            </w:r>
            <w:r>
              <w:t>–</w:t>
            </w:r>
            <w:r>
              <w:rPr>
                <w:spacing w:val="-2"/>
              </w:rPr>
              <w:t xml:space="preserve"> </w:t>
            </w:r>
            <w:r>
              <w:t>MA</w:t>
            </w:r>
            <w:r>
              <w:rPr>
                <w:spacing w:val="-4"/>
              </w:rPr>
              <w:t xml:space="preserve"> </w:t>
            </w:r>
            <w:r>
              <w:t>Benchmark</w:t>
            </w:r>
            <w:r>
              <w:rPr>
                <w:spacing w:val="-2"/>
              </w:rPr>
              <w:t xml:space="preserve"> </w:t>
            </w:r>
            <w:r>
              <w:rPr>
                <w:spacing w:val="-4"/>
              </w:rPr>
              <w:t>PMPM</w:t>
            </w:r>
            <w:r>
              <w:tab/>
            </w:r>
            <w:r>
              <w:rPr>
                <w:spacing w:val="-5"/>
              </w:rPr>
              <w:t>74</w:t>
            </w:r>
          </w:hyperlink>
        </w:p>
        <w:p>
          <w:pPr>
            <w:pStyle w:val="TOC2"/>
            <w:tabs>
              <w:tab w:val="right" w:leader="dot" w:pos="9712"/>
            </w:tabs>
            <w:spacing w:before="1" w:line="240" w:lineRule="auto"/>
          </w:pPr>
          <w:hyperlink w:anchor="_bookmark63"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74</w:t>
            </w:r>
          </w:hyperlink>
        </w:p>
        <w:p>
          <w:pPr>
            <w:pStyle w:val="TOC2"/>
            <w:tabs>
              <w:tab w:val="right" w:leader="dot" w:pos="9712"/>
            </w:tabs>
            <w:spacing w:before="2"/>
          </w:pPr>
          <w:hyperlink w:anchor="_bookmark64" w:history="1">
            <w:r>
              <w:t>Section</w:t>
            </w:r>
            <w:r>
              <w:rPr>
                <w:spacing w:val="-3"/>
              </w:rPr>
              <w:t xml:space="preserve"> </w:t>
            </w:r>
            <w:r>
              <w:t>II</w:t>
            </w:r>
            <w:r>
              <w:rPr>
                <w:spacing w:val="-4"/>
              </w:rPr>
              <w:t xml:space="preserve"> </w:t>
            </w:r>
            <w:r>
              <w:t>–</w:t>
            </w:r>
            <w:r>
              <w:rPr>
                <w:spacing w:val="-2"/>
              </w:rPr>
              <w:t xml:space="preserve"> </w:t>
            </w:r>
            <w:r>
              <w:t>Benchmark</w:t>
            </w:r>
            <w:r>
              <w:rPr>
                <w:spacing w:val="-3"/>
              </w:rPr>
              <w:t xml:space="preserve"> </w:t>
            </w:r>
            <w:r>
              <w:t>and</w:t>
            </w:r>
            <w:r>
              <w:rPr>
                <w:spacing w:val="-5"/>
              </w:rPr>
              <w:t xml:space="preserve"> </w:t>
            </w:r>
            <w:r>
              <w:t>Bid</w:t>
            </w:r>
            <w:r>
              <w:rPr>
                <w:spacing w:val="-2"/>
              </w:rPr>
              <w:t xml:space="preserve"> Development</w:t>
            </w:r>
            <w:r>
              <w:tab/>
            </w:r>
            <w:r>
              <w:rPr>
                <w:spacing w:val="-5"/>
              </w:rPr>
              <w:t>74</w:t>
            </w:r>
          </w:hyperlink>
        </w:p>
        <w:p>
          <w:pPr>
            <w:pStyle w:val="TOC2"/>
            <w:tabs>
              <w:tab w:val="right" w:leader="dot" w:pos="9712"/>
            </w:tabs>
          </w:pPr>
          <w:hyperlink w:anchor="_bookmark65" w:history="1">
            <w:r>
              <w:t>Section</w:t>
            </w:r>
            <w:r>
              <w:rPr>
                <w:spacing w:val="-5"/>
              </w:rPr>
              <w:t xml:space="preserve"> </w:t>
            </w:r>
            <w:r>
              <w:t>III</w:t>
            </w:r>
            <w:r>
              <w:rPr>
                <w:spacing w:val="-5"/>
              </w:rPr>
              <w:t xml:space="preserve"> </w:t>
            </w:r>
            <w:r>
              <w:t>–</w:t>
            </w:r>
            <w:r>
              <w:rPr>
                <w:spacing w:val="-4"/>
              </w:rPr>
              <w:t xml:space="preserve"> </w:t>
            </w:r>
            <w:r>
              <w:t>Savings/Basic</w:t>
            </w:r>
            <w:r>
              <w:rPr>
                <w:spacing w:val="-7"/>
              </w:rPr>
              <w:t xml:space="preserve"> </w:t>
            </w:r>
            <w:r>
              <w:t>Member</w:t>
            </w:r>
            <w:r>
              <w:rPr>
                <w:spacing w:val="-6"/>
              </w:rPr>
              <w:t xml:space="preserve"> </w:t>
            </w:r>
            <w:r>
              <w:t>Premium</w:t>
            </w:r>
            <w:r>
              <w:rPr>
                <w:spacing w:val="-7"/>
              </w:rPr>
              <w:t xml:space="preserve"> </w:t>
            </w:r>
            <w:r>
              <w:rPr>
                <w:spacing w:val="-2"/>
              </w:rPr>
              <w:t>Development</w:t>
            </w:r>
            <w:r>
              <w:tab/>
            </w:r>
            <w:r>
              <w:rPr>
                <w:spacing w:val="-5"/>
              </w:rPr>
              <w:t>75</w:t>
            </w:r>
          </w:hyperlink>
        </w:p>
        <w:p>
          <w:pPr>
            <w:pStyle w:val="TOC2"/>
            <w:tabs>
              <w:tab w:val="right" w:leader="dot" w:pos="9712"/>
            </w:tabs>
            <w:spacing w:before="1"/>
          </w:pPr>
          <w:hyperlink w:anchor="_bookmark66" w:history="1">
            <w:r>
              <w:t>Section</w:t>
            </w:r>
            <w:r>
              <w:rPr>
                <w:spacing w:val="-4"/>
              </w:rPr>
              <w:t xml:space="preserve"> </w:t>
            </w:r>
            <w:r>
              <w:t>IV</w:t>
            </w:r>
            <w:r>
              <w:rPr>
                <w:spacing w:val="-5"/>
              </w:rPr>
              <w:t xml:space="preserve"> </w:t>
            </w:r>
            <w:r>
              <w:t>–</w:t>
            </w:r>
            <w:r>
              <w:rPr>
                <w:spacing w:val="-4"/>
              </w:rPr>
              <w:t xml:space="preserve"> </w:t>
            </w:r>
            <w:r>
              <w:t>Standardized</w:t>
            </w:r>
            <w:r>
              <w:rPr>
                <w:spacing w:val="-6"/>
              </w:rPr>
              <w:t xml:space="preserve"> </w:t>
            </w:r>
            <w:r>
              <w:t>A/B</w:t>
            </w:r>
            <w:r>
              <w:rPr>
                <w:spacing w:val="-4"/>
              </w:rPr>
              <w:t xml:space="preserve"> </w:t>
            </w:r>
            <w:r>
              <w:t>Benchmark</w:t>
            </w:r>
            <w:r>
              <w:rPr>
                <w:spacing w:val="-2"/>
              </w:rPr>
              <w:t xml:space="preserve"> </w:t>
            </w:r>
            <w:r>
              <w:t>–</w:t>
            </w:r>
            <w:r>
              <w:rPr>
                <w:spacing w:val="-6"/>
              </w:rPr>
              <w:t xml:space="preserve"> </w:t>
            </w:r>
            <w:r>
              <w:t>Regional</w:t>
            </w:r>
            <w:r>
              <w:rPr>
                <w:spacing w:val="-5"/>
              </w:rPr>
              <w:t xml:space="preserve"> </w:t>
            </w:r>
            <w:r>
              <w:t>PPO</w:t>
            </w:r>
            <w:r>
              <w:rPr>
                <w:spacing w:val="-4"/>
              </w:rPr>
              <w:t xml:space="preserve"> </w:t>
            </w:r>
            <w:r>
              <w:t>Plans</w:t>
            </w:r>
            <w:r>
              <w:rPr>
                <w:spacing w:val="-6"/>
              </w:rPr>
              <w:t xml:space="preserve"> </w:t>
            </w:r>
            <w:r>
              <w:rPr>
                <w:spacing w:val="-4"/>
              </w:rPr>
              <w:t>Only</w:t>
            </w:r>
            <w:r>
              <w:tab/>
            </w:r>
            <w:r>
              <w:rPr>
                <w:spacing w:val="-5"/>
              </w:rPr>
              <w:t>76</w:t>
            </w:r>
          </w:hyperlink>
        </w:p>
        <w:p>
          <w:pPr>
            <w:pStyle w:val="TOC2"/>
            <w:tabs>
              <w:tab w:val="right" w:leader="dot" w:pos="9712"/>
            </w:tabs>
          </w:pPr>
          <w:hyperlink w:anchor="_bookmark67" w:history="1">
            <w:r>
              <w:t>Section</w:t>
            </w:r>
            <w:r>
              <w:rPr>
                <w:spacing w:val="-5"/>
              </w:rPr>
              <w:t xml:space="preserve"> </w:t>
            </w:r>
            <w:r>
              <w:t>V</w:t>
            </w:r>
            <w:r>
              <w:rPr>
                <w:spacing w:val="-5"/>
              </w:rPr>
              <w:t xml:space="preserve"> </w:t>
            </w:r>
            <w:r>
              <w:t>–</w:t>
            </w:r>
            <w:r>
              <w:rPr>
                <w:spacing w:val="-5"/>
              </w:rPr>
              <w:t xml:space="preserve"> </w:t>
            </w:r>
            <w:r>
              <w:t>Quality</w:t>
            </w:r>
            <w:r>
              <w:rPr>
                <w:spacing w:val="-2"/>
              </w:rPr>
              <w:t xml:space="preserve"> Rating</w:t>
            </w:r>
            <w:r>
              <w:tab/>
            </w:r>
            <w:r>
              <w:rPr>
                <w:spacing w:val="-5"/>
              </w:rPr>
              <w:t>76</w:t>
            </w:r>
          </w:hyperlink>
        </w:p>
        <w:p>
          <w:pPr>
            <w:pStyle w:val="TOC2"/>
            <w:tabs>
              <w:tab w:val="right" w:leader="dot" w:pos="9712"/>
            </w:tabs>
            <w:spacing w:before="1" w:line="240" w:lineRule="auto"/>
          </w:pPr>
          <w:hyperlink w:anchor="_bookmark68" w:history="1">
            <w:r>
              <w:t>Section</w:t>
            </w:r>
            <w:r>
              <w:rPr>
                <w:spacing w:val="-4"/>
              </w:rPr>
              <w:t xml:space="preserve"> </w:t>
            </w:r>
            <w:r>
              <w:t>VI</w:t>
            </w:r>
            <w:r>
              <w:rPr>
                <w:spacing w:val="-5"/>
              </w:rPr>
              <w:t xml:space="preserve"> </w:t>
            </w:r>
            <w:r>
              <w:t>–</w:t>
            </w:r>
            <w:r>
              <w:rPr>
                <w:spacing w:val="-4"/>
              </w:rPr>
              <w:t xml:space="preserve"> </w:t>
            </w:r>
            <w:r>
              <w:t>County-Level</w:t>
            </w:r>
            <w:r>
              <w:rPr>
                <w:spacing w:val="-5"/>
              </w:rPr>
              <w:t xml:space="preserve"> </w:t>
            </w:r>
            <w:r>
              <w:t>Detail</w:t>
            </w:r>
            <w:r>
              <w:rPr>
                <w:spacing w:val="-4"/>
              </w:rPr>
              <w:t xml:space="preserve"> </w:t>
            </w:r>
            <w:r>
              <w:t>and</w:t>
            </w:r>
            <w:r>
              <w:rPr>
                <w:spacing w:val="-4"/>
              </w:rPr>
              <w:t xml:space="preserve"> </w:t>
            </w:r>
            <w:r>
              <w:t>Service</w:t>
            </w:r>
            <w:r>
              <w:rPr>
                <w:spacing w:val="-5"/>
              </w:rPr>
              <w:t xml:space="preserve"> </w:t>
            </w:r>
            <w:r>
              <w:t>Area</w:t>
            </w:r>
            <w:r>
              <w:rPr>
                <w:spacing w:val="-3"/>
              </w:rPr>
              <w:t xml:space="preserve"> </w:t>
            </w:r>
            <w:r>
              <w:rPr>
                <w:spacing w:val="-2"/>
              </w:rPr>
              <w:t>Summary</w:t>
            </w:r>
            <w:r>
              <w:tab/>
            </w:r>
            <w:r>
              <w:rPr>
                <w:spacing w:val="-5"/>
              </w:rPr>
              <w:t>77</w:t>
            </w:r>
          </w:hyperlink>
        </w:p>
        <w:p>
          <w:pPr>
            <w:pStyle w:val="TOC2"/>
            <w:tabs>
              <w:tab w:val="right" w:leader="dot" w:pos="9712"/>
            </w:tabs>
            <w:spacing w:before="1"/>
          </w:pPr>
          <w:hyperlink w:anchor="_bookmark69" w:history="1">
            <w:r>
              <w:t>Section</w:t>
            </w:r>
            <w:r>
              <w:rPr>
                <w:spacing w:val="-4"/>
              </w:rPr>
              <w:t xml:space="preserve"> </w:t>
            </w:r>
            <w:r>
              <w:t>VII</w:t>
            </w:r>
            <w:r>
              <w:rPr>
                <w:spacing w:val="-6"/>
              </w:rPr>
              <w:t xml:space="preserve"> </w:t>
            </w:r>
            <w:r>
              <w:t>–</w:t>
            </w:r>
            <w:r>
              <w:rPr>
                <w:spacing w:val="-4"/>
              </w:rPr>
              <w:t xml:space="preserve"> </w:t>
            </w:r>
            <w:r>
              <w:t>Other</w:t>
            </w:r>
            <w:r>
              <w:rPr>
                <w:spacing w:val="-4"/>
              </w:rPr>
              <w:t xml:space="preserve"> </w:t>
            </w:r>
            <w:r>
              <w:t>Medicare</w:t>
            </w:r>
            <w:r>
              <w:rPr>
                <w:spacing w:val="-3"/>
              </w:rPr>
              <w:t xml:space="preserve"> </w:t>
            </w:r>
            <w:r>
              <w:rPr>
                <w:spacing w:val="-2"/>
              </w:rPr>
              <w:t>Information</w:t>
            </w:r>
            <w:r>
              <w:tab/>
            </w:r>
            <w:r>
              <w:rPr>
                <w:spacing w:val="-5"/>
              </w:rPr>
              <w:t>79</w:t>
            </w:r>
          </w:hyperlink>
        </w:p>
        <w:p>
          <w:pPr>
            <w:pStyle w:val="TOC2"/>
            <w:tabs>
              <w:tab w:val="right" w:leader="dot" w:pos="9712"/>
            </w:tabs>
          </w:pPr>
          <w:hyperlink w:anchor="_bookmark70" w:history="1">
            <w:r>
              <w:t>Section</w:t>
            </w:r>
            <w:r>
              <w:rPr>
                <w:spacing w:val="-3"/>
              </w:rPr>
              <w:t xml:space="preserve"> </w:t>
            </w:r>
            <w:r>
              <w:t>VIII</w:t>
            </w:r>
            <w:r>
              <w:rPr>
                <w:spacing w:val="-4"/>
              </w:rPr>
              <w:t xml:space="preserve"> </w:t>
            </w:r>
            <w:r>
              <w:t>–</w:t>
            </w:r>
            <w:r>
              <w:rPr>
                <w:spacing w:val="-5"/>
              </w:rPr>
              <w:t xml:space="preserve"> </w:t>
            </w:r>
            <w:r>
              <w:t>Projected</w:t>
            </w:r>
            <w:r>
              <w:rPr>
                <w:spacing w:val="-5"/>
              </w:rPr>
              <w:t xml:space="preserve"> </w:t>
            </w:r>
            <w:r>
              <w:t>CY</w:t>
            </w:r>
            <w:r>
              <w:rPr>
                <w:spacing w:val="-5"/>
              </w:rPr>
              <w:t xml:space="preserve"> </w:t>
            </w:r>
            <w:r>
              <w:t>Member</w:t>
            </w:r>
            <w:r>
              <w:rPr>
                <w:spacing w:val="-3"/>
              </w:rPr>
              <w:t xml:space="preserve"> </w:t>
            </w:r>
            <w:r>
              <w:rPr>
                <w:spacing w:val="-2"/>
              </w:rPr>
              <w:t>Months</w:t>
            </w:r>
            <w:r>
              <w:tab/>
            </w:r>
            <w:r>
              <w:rPr>
                <w:spacing w:val="-5"/>
              </w:rPr>
              <w:t>80</w:t>
            </w:r>
          </w:hyperlink>
        </w:p>
        <w:p>
          <w:pPr>
            <w:pStyle w:val="TOC1"/>
            <w:tabs>
              <w:tab w:val="right" w:leader="dot" w:pos="9712"/>
            </w:tabs>
          </w:pPr>
          <w:hyperlink w:anchor="_bookmark71" w:history="1">
            <w:r>
              <w:t>MA</w:t>
            </w:r>
            <w:r>
              <w:rPr>
                <w:spacing w:val="-4"/>
              </w:rPr>
              <w:t xml:space="preserve"> </w:t>
            </w:r>
            <w:r>
              <w:t>Worksheet</w:t>
            </w:r>
            <w:r>
              <w:rPr>
                <w:spacing w:val="-3"/>
              </w:rPr>
              <w:t xml:space="preserve"> </w:t>
            </w:r>
            <w:r>
              <w:t>6</w:t>
            </w:r>
            <w:r>
              <w:rPr>
                <w:spacing w:val="-4"/>
              </w:rPr>
              <w:t xml:space="preserve"> </w:t>
            </w:r>
            <w:r>
              <w:t>–</w:t>
            </w:r>
            <w:r>
              <w:rPr>
                <w:spacing w:val="-2"/>
              </w:rPr>
              <w:t xml:space="preserve"> </w:t>
            </w:r>
            <w:r>
              <w:t>MA</w:t>
            </w:r>
            <w:r>
              <w:rPr>
                <w:spacing w:val="-3"/>
              </w:rPr>
              <w:t xml:space="preserve"> </w:t>
            </w:r>
            <w:r>
              <w:t>Bid</w:t>
            </w:r>
            <w:r>
              <w:rPr>
                <w:spacing w:val="-4"/>
              </w:rPr>
              <w:t xml:space="preserve"> </w:t>
            </w:r>
            <w:r>
              <w:rPr>
                <w:spacing w:val="-2"/>
              </w:rPr>
              <w:t>Summary</w:t>
            </w:r>
            <w:r>
              <w:tab/>
            </w:r>
            <w:r>
              <w:rPr>
                <w:spacing w:val="-5"/>
              </w:rPr>
              <w:t>81</w:t>
            </w:r>
          </w:hyperlink>
        </w:p>
        <w:p>
          <w:pPr>
            <w:pStyle w:val="TOC2"/>
            <w:tabs>
              <w:tab w:val="right" w:leader="dot" w:pos="9712"/>
            </w:tabs>
            <w:spacing w:before="1" w:line="240" w:lineRule="auto"/>
          </w:pPr>
          <w:hyperlink w:anchor="_bookmark72"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81</w:t>
            </w:r>
          </w:hyperlink>
        </w:p>
        <w:p>
          <w:pPr>
            <w:pStyle w:val="TOC2"/>
            <w:tabs>
              <w:tab w:val="right" w:leader="dot" w:pos="9712"/>
            </w:tabs>
            <w:spacing w:before="1"/>
          </w:pPr>
          <w:hyperlink w:anchor="_bookmark73" w:history="1">
            <w:r>
              <w:t>Section</w:t>
            </w:r>
            <w:r>
              <w:rPr>
                <w:spacing w:val="-2"/>
              </w:rPr>
              <w:t xml:space="preserve"> </w:t>
            </w:r>
            <w:r>
              <w:t>II</w:t>
            </w:r>
            <w:r>
              <w:rPr>
                <w:spacing w:val="-3"/>
              </w:rPr>
              <w:t xml:space="preserve"> </w:t>
            </w:r>
            <w:r>
              <w:t>–</w:t>
            </w:r>
            <w:r>
              <w:rPr>
                <w:spacing w:val="-5"/>
              </w:rPr>
              <w:t xml:space="preserve"> </w:t>
            </w:r>
            <w:r>
              <w:t>Other</w:t>
            </w:r>
            <w:r>
              <w:rPr>
                <w:spacing w:val="-2"/>
              </w:rPr>
              <w:t xml:space="preserve"> Information</w:t>
            </w:r>
            <w:r>
              <w:tab/>
            </w:r>
            <w:r>
              <w:rPr>
                <w:spacing w:val="-5"/>
              </w:rPr>
              <w:t>81</w:t>
            </w:r>
          </w:hyperlink>
        </w:p>
        <w:p>
          <w:pPr>
            <w:pStyle w:val="TOC2"/>
            <w:tabs>
              <w:tab w:val="right" w:leader="dot" w:pos="9712"/>
            </w:tabs>
          </w:pPr>
          <w:hyperlink w:anchor="_bookmark74" w:history="1">
            <w:r>
              <w:t>Section</w:t>
            </w:r>
            <w:r>
              <w:rPr>
                <w:spacing w:val="-2"/>
              </w:rPr>
              <w:t xml:space="preserve"> </w:t>
            </w:r>
            <w:r>
              <w:t>III</w:t>
            </w:r>
            <w:r>
              <w:rPr>
                <w:spacing w:val="-3"/>
              </w:rPr>
              <w:t xml:space="preserve"> </w:t>
            </w:r>
            <w:r>
              <w:t>–</w:t>
            </w:r>
            <w:r>
              <w:rPr>
                <w:spacing w:val="-2"/>
              </w:rPr>
              <w:t xml:space="preserve"> </w:t>
            </w:r>
            <w:r>
              <w:t>Plan</w:t>
            </w:r>
            <w:r>
              <w:rPr>
                <w:spacing w:val="-5"/>
              </w:rPr>
              <w:t xml:space="preserve"> </w:t>
            </w:r>
            <w:r>
              <w:t>A/B</w:t>
            </w:r>
            <w:r>
              <w:rPr>
                <w:spacing w:val="-4"/>
              </w:rPr>
              <w:t xml:space="preserve"> </w:t>
            </w:r>
            <w:r>
              <w:t>Bid</w:t>
            </w:r>
            <w:r>
              <w:rPr>
                <w:spacing w:val="-4"/>
              </w:rPr>
              <w:t xml:space="preserve"> </w:t>
            </w:r>
            <w:r>
              <w:rPr>
                <w:spacing w:val="-2"/>
              </w:rPr>
              <w:t>Summary</w:t>
            </w:r>
            <w:r>
              <w:tab/>
            </w:r>
            <w:r>
              <w:rPr>
                <w:spacing w:val="-5"/>
              </w:rPr>
              <w:t>81</w:t>
            </w:r>
          </w:hyperlink>
        </w:p>
        <w:p>
          <w:pPr>
            <w:pStyle w:val="TOC2"/>
            <w:tabs>
              <w:tab w:val="right" w:leader="dot" w:pos="9712"/>
            </w:tabs>
            <w:spacing w:before="1"/>
          </w:pPr>
          <w:hyperlink w:anchor="_bookmark75" w:history="1">
            <w:r>
              <w:t>Section</w:t>
            </w:r>
            <w:r>
              <w:rPr>
                <w:spacing w:val="-4"/>
              </w:rPr>
              <w:t xml:space="preserve"> </w:t>
            </w:r>
            <w:r>
              <w:t>IV</w:t>
            </w:r>
            <w:r>
              <w:rPr>
                <w:spacing w:val="-5"/>
              </w:rPr>
              <w:t xml:space="preserve"> </w:t>
            </w:r>
            <w:r>
              <w:t>–</w:t>
            </w:r>
            <w:r>
              <w:rPr>
                <w:spacing w:val="-3"/>
              </w:rPr>
              <w:t xml:space="preserve"> </w:t>
            </w:r>
            <w:r>
              <w:t>Contact</w:t>
            </w:r>
            <w:r>
              <w:rPr>
                <w:spacing w:val="-5"/>
              </w:rPr>
              <w:t xml:space="preserve"> </w:t>
            </w:r>
            <w:r>
              <w:t>Information</w:t>
            </w:r>
            <w:r>
              <w:rPr>
                <w:spacing w:val="-3"/>
              </w:rPr>
              <w:t xml:space="preserve"> </w:t>
            </w:r>
            <w:r>
              <w:t>and</w:t>
            </w:r>
            <w:r>
              <w:rPr>
                <w:spacing w:val="-6"/>
              </w:rPr>
              <w:t xml:space="preserve"> </w:t>
            </w:r>
            <w:r>
              <w:t>Date</w:t>
            </w:r>
            <w:r>
              <w:rPr>
                <w:spacing w:val="-3"/>
              </w:rPr>
              <w:t xml:space="preserve"> </w:t>
            </w:r>
            <w:r>
              <w:rPr>
                <w:spacing w:val="-2"/>
              </w:rPr>
              <w:t>Prepared</w:t>
            </w:r>
            <w:r>
              <w:tab/>
            </w:r>
            <w:r>
              <w:rPr>
                <w:spacing w:val="-5"/>
              </w:rPr>
              <w:t>86</w:t>
            </w:r>
          </w:hyperlink>
        </w:p>
        <w:p>
          <w:pPr>
            <w:pStyle w:val="TOC2"/>
            <w:tabs>
              <w:tab w:val="right" w:leader="dot" w:pos="9712"/>
            </w:tabs>
          </w:pPr>
          <w:hyperlink w:anchor="_bookmark76" w:history="1">
            <w:r>
              <w:t>Section</w:t>
            </w:r>
            <w:r>
              <w:rPr>
                <w:spacing w:val="-3"/>
              </w:rPr>
              <w:t xml:space="preserve"> </w:t>
            </w:r>
            <w:r>
              <w:t>V</w:t>
            </w:r>
            <w:r>
              <w:rPr>
                <w:spacing w:val="-4"/>
              </w:rPr>
              <w:t xml:space="preserve"> </w:t>
            </w:r>
            <w:r>
              <w:t>–</w:t>
            </w:r>
            <w:r>
              <w:rPr>
                <w:spacing w:val="-2"/>
              </w:rPr>
              <w:t xml:space="preserve"> </w:t>
            </w:r>
            <w:r>
              <w:t>Working</w:t>
            </w:r>
            <w:r>
              <w:rPr>
                <w:spacing w:val="-2"/>
              </w:rPr>
              <w:t xml:space="preserve"> </w:t>
            </w:r>
            <w:r>
              <w:t>Model</w:t>
            </w:r>
            <w:r>
              <w:rPr>
                <w:spacing w:val="-6"/>
              </w:rPr>
              <w:t xml:space="preserve"> </w:t>
            </w:r>
            <w:r>
              <w:t>Text</w:t>
            </w:r>
            <w:r>
              <w:rPr>
                <w:spacing w:val="-3"/>
              </w:rPr>
              <w:t xml:space="preserve"> </w:t>
            </w:r>
            <w:r>
              <w:rPr>
                <w:spacing w:val="-5"/>
              </w:rPr>
              <w:t>Box</w:t>
            </w:r>
            <w:r>
              <w:tab/>
            </w:r>
            <w:r>
              <w:rPr>
                <w:spacing w:val="-5"/>
              </w:rPr>
              <w:t>86</w:t>
            </w:r>
          </w:hyperlink>
        </w:p>
        <w:p>
          <w:pPr>
            <w:pStyle w:val="TOC1"/>
            <w:tabs>
              <w:tab w:val="right" w:leader="dot" w:pos="9712"/>
            </w:tabs>
          </w:pPr>
          <w:hyperlink w:anchor="_bookmark77" w:history="1">
            <w:r>
              <w:t>MA</w:t>
            </w:r>
            <w:r>
              <w:rPr>
                <w:spacing w:val="-5"/>
              </w:rPr>
              <w:t xml:space="preserve"> </w:t>
            </w:r>
            <w:r>
              <w:t>Worksheet</w:t>
            </w:r>
            <w:r>
              <w:rPr>
                <w:spacing w:val="-4"/>
              </w:rPr>
              <w:t xml:space="preserve"> </w:t>
            </w:r>
            <w:r>
              <w:t>7</w:t>
            </w:r>
            <w:r>
              <w:rPr>
                <w:spacing w:val="-5"/>
              </w:rPr>
              <w:t xml:space="preserve"> </w:t>
            </w:r>
            <w:r>
              <w:t>–</w:t>
            </w:r>
            <w:r>
              <w:rPr>
                <w:spacing w:val="-5"/>
              </w:rPr>
              <w:t xml:space="preserve"> </w:t>
            </w:r>
            <w:r>
              <w:t>Optional</w:t>
            </w:r>
            <w:r>
              <w:rPr>
                <w:spacing w:val="-6"/>
              </w:rPr>
              <w:t xml:space="preserve"> </w:t>
            </w:r>
            <w:r>
              <w:t>Supplemental</w:t>
            </w:r>
            <w:r>
              <w:rPr>
                <w:spacing w:val="-5"/>
              </w:rPr>
              <w:t xml:space="preserve"> </w:t>
            </w:r>
            <w:r>
              <w:rPr>
                <w:spacing w:val="-2"/>
              </w:rPr>
              <w:t>Benefits</w:t>
            </w:r>
            <w:r>
              <w:tab/>
            </w:r>
            <w:r>
              <w:rPr>
                <w:spacing w:val="-5"/>
              </w:rPr>
              <w:t>87</w:t>
            </w:r>
          </w:hyperlink>
        </w:p>
        <w:p>
          <w:pPr>
            <w:pStyle w:val="TOC2"/>
            <w:tabs>
              <w:tab w:val="right" w:leader="dot" w:pos="9712"/>
            </w:tabs>
            <w:spacing w:before="1" w:line="240" w:lineRule="auto"/>
          </w:pPr>
          <w:hyperlink w:anchor="_bookmark78"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87</w:t>
            </w:r>
          </w:hyperlink>
        </w:p>
        <w:p>
          <w:pPr>
            <w:pStyle w:val="TOC2"/>
            <w:tabs>
              <w:tab w:val="right" w:leader="dot" w:pos="9712"/>
            </w:tabs>
            <w:spacing w:before="1"/>
          </w:pPr>
          <w:hyperlink w:anchor="_bookmark79" w:history="1">
            <w:r>
              <w:t>Section</w:t>
            </w:r>
            <w:r>
              <w:rPr>
                <w:spacing w:val="-5"/>
              </w:rPr>
              <w:t xml:space="preserve"> </w:t>
            </w:r>
            <w:r>
              <w:t>II</w:t>
            </w:r>
            <w:r>
              <w:rPr>
                <w:spacing w:val="-5"/>
              </w:rPr>
              <w:t xml:space="preserve"> </w:t>
            </w:r>
            <w:r>
              <w:t>–</w:t>
            </w:r>
            <w:r>
              <w:rPr>
                <w:spacing w:val="-7"/>
              </w:rPr>
              <w:t xml:space="preserve"> </w:t>
            </w:r>
            <w:r>
              <w:t>Optional</w:t>
            </w:r>
            <w:r>
              <w:rPr>
                <w:spacing w:val="-5"/>
              </w:rPr>
              <w:t xml:space="preserve"> </w:t>
            </w:r>
            <w:r>
              <w:t>Supplemental</w:t>
            </w:r>
            <w:r>
              <w:rPr>
                <w:spacing w:val="-5"/>
              </w:rPr>
              <w:t xml:space="preserve"> </w:t>
            </w:r>
            <w:r>
              <w:rPr>
                <w:spacing w:val="-2"/>
              </w:rPr>
              <w:t>Packages</w:t>
            </w:r>
            <w:r>
              <w:tab/>
            </w:r>
            <w:r>
              <w:rPr>
                <w:spacing w:val="-5"/>
              </w:rPr>
              <w:t>87</w:t>
            </w:r>
          </w:hyperlink>
        </w:p>
        <w:p>
          <w:pPr>
            <w:pStyle w:val="TOC2"/>
            <w:tabs>
              <w:tab w:val="right" w:leader="dot" w:pos="9712"/>
            </w:tabs>
          </w:pPr>
          <w:hyperlink w:anchor="_bookmark80" w:history="1">
            <w:r>
              <w:t>Section</w:t>
            </w:r>
            <w:r>
              <w:rPr>
                <w:spacing w:val="-4"/>
              </w:rPr>
              <w:t xml:space="preserve"> </w:t>
            </w:r>
            <w:r>
              <w:t>III</w:t>
            </w:r>
            <w:r>
              <w:rPr>
                <w:spacing w:val="-4"/>
              </w:rPr>
              <w:t xml:space="preserve"> </w:t>
            </w:r>
            <w:r>
              <w:t>–</w:t>
            </w:r>
            <w:r>
              <w:rPr>
                <w:spacing w:val="-3"/>
              </w:rPr>
              <w:t xml:space="preserve"> </w:t>
            </w:r>
            <w:r>
              <w:t>Base</w:t>
            </w:r>
            <w:r>
              <w:rPr>
                <w:spacing w:val="-4"/>
              </w:rPr>
              <w:t xml:space="preserve"> </w:t>
            </w:r>
            <w:r>
              <w:t>Period</w:t>
            </w:r>
            <w:r>
              <w:rPr>
                <w:spacing w:val="-6"/>
              </w:rPr>
              <w:t xml:space="preserve"> </w:t>
            </w:r>
            <w:r>
              <w:t>Summary</w:t>
            </w:r>
            <w:r>
              <w:rPr>
                <w:spacing w:val="-3"/>
              </w:rPr>
              <w:t xml:space="preserve"> </w:t>
            </w:r>
            <w:r>
              <w:t>(entered</w:t>
            </w:r>
            <w:r>
              <w:rPr>
                <w:spacing w:val="-4"/>
              </w:rPr>
              <w:t xml:space="preserve"> </w:t>
            </w:r>
            <w:r>
              <w:t>at</w:t>
            </w:r>
            <w:r>
              <w:rPr>
                <w:spacing w:val="-5"/>
              </w:rPr>
              <w:t xml:space="preserve"> </w:t>
            </w:r>
            <w:r>
              <w:t>the</w:t>
            </w:r>
            <w:r>
              <w:rPr>
                <w:spacing w:val="-3"/>
              </w:rPr>
              <w:t xml:space="preserve"> </w:t>
            </w:r>
            <w:r>
              <w:t>contract</w:t>
            </w:r>
            <w:r>
              <w:rPr>
                <w:spacing w:val="-5"/>
              </w:rPr>
              <w:t xml:space="preserve"> </w:t>
            </w:r>
            <w:r>
              <w:rPr>
                <w:spacing w:val="-2"/>
              </w:rPr>
              <w:t>level)</w:t>
            </w:r>
            <w:r>
              <w:tab/>
            </w:r>
            <w:r>
              <w:rPr>
                <w:spacing w:val="-5"/>
              </w:rPr>
              <w:t>88</w:t>
            </w:r>
          </w:hyperlink>
        </w:p>
        <w:p>
          <w:pPr>
            <w:pStyle w:val="TOC1"/>
            <w:numPr>
              <w:ilvl w:val="0"/>
              <w:numId w:val="57"/>
            </w:numPr>
            <w:tabs>
              <w:tab w:val="left" w:pos="828"/>
              <w:tab w:val="right" w:leader="dot" w:pos="9712"/>
            </w:tabs>
            <w:spacing w:before="80" w:after="0" w:line="240" w:lineRule="auto"/>
            <w:ind w:left="828" w:right="0" w:hanging="324"/>
            <w:jc w:val="left"/>
          </w:pPr>
          <w:hyperlink w:anchor="_bookmark81" w:history="1">
            <w:r>
              <w:rPr>
                <w:spacing w:val="-2"/>
              </w:rPr>
              <w:t>Appendices</w:t>
            </w:r>
            <w:r>
              <w:tab/>
            </w:r>
            <w:r>
              <w:rPr>
                <w:spacing w:val="-5"/>
              </w:rPr>
              <w:t>89</w:t>
            </w:r>
          </w:hyperlink>
        </w:p>
        <w:p>
          <w:pPr>
            <w:pStyle w:val="TOC1"/>
            <w:tabs>
              <w:tab w:val="right" w:leader="dot" w:pos="9712"/>
            </w:tabs>
          </w:pPr>
          <w:hyperlink w:anchor="_bookmark82" w:history="1">
            <w:r>
              <w:t>Appendix</w:t>
            </w:r>
            <w:r>
              <w:rPr>
                <w:spacing w:val="-6"/>
              </w:rPr>
              <w:t xml:space="preserve"> </w:t>
            </w:r>
            <w:r>
              <w:t>A</w:t>
            </w:r>
            <w:r>
              <w:rPr>
                <w:spacing w:val="-2"/>
              </w:rPr>
              <w:t xml:space="preserve"> </w:t>
            </w:r>
            <w:r>
              <w:t>–</w:t>
            </w:r>
            <w:r>
              <w:rPr>
                <w:spacing w:val="-5"/>
              </w:rPr>
              <w:t xml:space="preserve"> </w:t>
            </w:r>
            <w:r>
              <w:t>Actuarial</w:t>
            </w:r>
            <w:r>
              <w:rPr>
                <w:spacing w:val="-6"/>
              </w:rPr>
              <w:t xml:space="preserve"> </w:t>
            </w:r>
            <w:r>
              <w:rPr>
                <w:spacing w:val="-2"/>
              </w:rPr>
              <w:t>Certification</w:t>
            </w:r>
            <w:r>
              <w:tab/>
            </w:r>
            <w:r>
              <w:rPr>
                <w:spacing w:val="-5"/>
              </w:rPr>
              <w:t>89</w:t>
            </w:r>
          </w:hyperlink>
        </w:p>
        <w:p>
          <w:pPr>
            <w:pStyle w:val="TOC2"/>
            <w:tabs>
              <w:tab w:val="right" w:leader="dot" w:pos="9712"/>
            </w:tabs>
            <w:spacing w:before="1" w:line="240" w:lineRule="auto"/>
          </w:pPr>
          <w:hyperlink w:anchor="_bookmark83" w:history="1">
            <w:r>
              <w:rPr>
                <w:spacing w:val="-2"/>
              </w:rPr>
              <w:t>General</w:t>
            </w:r>
            <w:r>
              <w:tab/>
            </w:r>
            <w:r>
              <w:rPr>
                <w:spacing w:val="-5"/>
              </w:rPr>
              <w:t>89</w:t>
            </w:r>
          </w:hyperlink>
        </w:p>
        <w:p>
          <w:pPr>
            <w:pStyle w:val="TOC1"/>
            <w:tabs>
              <w:tab w:val="right" w:leader="dot" w:pos="9712"/>
            </w:tabs>
            <w:spacing w:line="241" w:lineRule="exact"/>
          </w:pPr>
          <w:hyperlink w:anchor="_bookmark87" w:history="1">
            <w:r>
              <w:t>Appendix</w:t>
            </w:r>
            <w:r>
              <w:rPr>
                <w:spacing w:val="-7"/>
              </w:rPr>
              <w:t xml:space="preserve"> </w:t>
            </w:r>
            <w:r>
              <w:t>B</w:t>
            </w:r>
            <w:r>
              <w:rPr>
                <w:spacing w:val="-2"/>
              </w:rPr>
              <w:t xml:space="preserve"> </w:t>
            </w:r>
            <w:r>
              <w:t>–</w:t>
            </w:r>
            <w:r>
              <w:rPr>
                <w:spacing w:val="-3"/>
              </w:rPr>
              <w:t xml:space="preserve"> </w:t>
            </w:r>
            <w:r>
              <w:t>Supporting</w:t>
            </w:r>
            <w:r>
              <w:rPr>
                <w:spacing w:val="-6"/>
              </w:rPr>
              <w:t xml:space="preserve"> </w:t>
            </w:r>
            <w:r>
              <w:rPr>
                <w:spacing w:val="-2"/>
              </w:rPr>
              <w:t>Documentation</w:t>
            </w:r>
            <w:r>
              <w:tab/>
            </w:r>
            <w:r>
              <w:rPr>
                <w:spacing w:val="-5"/>
              </w:rPr>
              <w:t>91</w:t>
            </w:r>
          </w:hyperlink>
        </w:p>
        <w:p>
          <w:pPr>
            <w:pStyle w:val="TOC2"/>
            <w:tabs>
              <w:tab w:val="right" w:leader="dot" w:pos="9712"/>
            </w:tabs>
          </w:pPr>
          <w:hyperlink w:anchor="_bookmark88" w:history="1">
            <w:r>
              <w:rPr>
                <w:spacing w:val="-2"/>
              </w:rPr>
              <w:t>General</w:t>
            </w:r>
            <w:r>
              <w:tab/>
            </w:r>
            <w:r>
              <w:rPr>
                <w:spacing w:val="-5"/>
              </w:rPr>
              <w:t>91</w:t>
            </w:r>
          </w:hyperlink>
        </w:p>
        <w:p>
          <w:pPr>
            <w:pStyle w:val="TOC2"/>
            <w:tabs>
              <w:tab w:val="right" w:leader="dot" w:pos="9712"/>
            </w:tabs>
            <w:spacing w:before="1"/>
          </w:pPr>
          <w:hyperlink w:anchor="_bookmark89" w:history="1">
            <w:r>
              <w:t>Submitting</w:t>
            </w:r>
            <w:r>
              <w:rPr>
                <w:spacing w:val="-7"/>
              </w:rPr>
              <w:t xml:space="preserve"> </w:t>
            </w:r>
            <w:r>
              <w:t>Supporting</w:t>
            </w:r>
            <w:r>
              <w:rPr>
                <w:spacing w:val="-9"/>
              </w:rPr>
              <w:t xml:space="preserve"> </w:t>
            </w:r>
            <w:r>
              <w:rPr>
                <w:spacing w:val="-2"/>
              </w:rPr>
              <w:t>Documentation</w:t>
            </w:r>
            <w:r>
              <w:tab/>
            </w:r>
            <w:r>
              <w:rPr>
                <w:spacing w:val="-5"/>
              </w:rPr>
              <w:t>92</w:t>
            </w:r>
          </w:hyperlink>
        </w:p>
        <w:p>
          <w:pPr>
            <w:pStyle w:val="TOC2"/>
            <w:tabs>
              <w:tab w:val="right" w:leader="dot" w:pos="9714"/>
            </w:tabs>
          </w:pPr>
          <w:hyperlink w:anchor="_bookmark90" w:history="1">
            <w:r>
              <w:t>MA</w:t>
            </w:r>
            <w:r>
              <w:rPr>
                <w:spacing w:val="-6"/>
              </w:rPr>
              <w:t xml:space="preserve"> </w:t>
            </w:r>
            <w:r>
              <w:t>Checklist</w:t>
            </w:r>
            <w:r>
              <w:rPr>
                <w:spacing w:val="-5"/>
              </w:rPr>
              <w:t xml:space="preserve"> </w:t>
            </w:r>
            <w:r>
              <w:t>for</w:t>
            </w:r>
            <w:r>
              <w:rPr>
                <w:spacing w:val="-4"/>
              </w:rPr>
              <w:t xml:space="preserve"> </w:t>
            </w:r>
            <w:r>
              <w:t>Required</w:t>
            </w:r>
            <w:r>
              <w:rPr>
                <w:spacing w:val="-6"/>
              </w:rPr>
              <w:t xml:space="preserve"> </w:t>
            </w:r>
            <w:r>
              <w:t>Supporting</w:t>
            </w:r>
            <w:r>
              <w:rPr>
                <w:spacing w:val="-6"/>
              </w:rPr>
              <w:t xml:space="preserve"> </w:t>
            </w:r>
            <w:r>
              <w:rPr>
                <w:spacing w:val="-2"/>
              </w:rPr>
              <w:t>Documentation</w:t>
            </w:r>
            <w:r>
              <w:tab/>
            </w:r>
            <w:r>
              <w:rPr>
                <w:spacing w:val="-5"/>
              </w:rPr>
              <w:t>107</w:t>
            </w:r>
          </w:hyperlink>
        </w:p>
        <w:p>
          <w:pPr>
            <w:pStyle w:val="TOC2"/>
            <w:tabs>
              <w:tab w:val="right" w:leader="dot" w:pos="9714"/>
            </w:tabs>
            <w:spacing w:before="1" w:line="240" w:lineRule="auto"/>
          </w:pPr>
          <w:hyperlink w:anchor="_bookmark91" w:history="1">
            <w:r>
              <w:t>Sample</w:t>
            </w:r>
            <w:r>
              <w:rPr>
                <w:spacing w:val="-7"/>
              </w:rPr>
              <w:t xml:space="preserve"> </w:t>
            </w:r>
            <w:r>
              <w:t>Supporting</w:t>
            </w:r>
            <w:r>
              <w:rPr>
                <w:spacing w:val="-8"/>
              </w:rPr>
              <w:t xml:space="preserve"> </w:t>
            </w:r>
            <w:r>
              <w:rPr>
                <w:spacing w:val="-2"/>
              </w:rPr>
              <w:t>Documentation</w:t>
            </w:r>
            <w:r>
              <w:tab/>
            </w:r>
            <w:r>
              <w:rPr>
                <w:spacing w:val="-5"/>
              </w:rPr>
              <w:t>109</w:t>
            </w:r>
          </w:hyperlink>
        </w:p>
        <w:p>
          <w:pPr>
            <w:pStyle w:val="TOC1"/>
            <w:tabs>
              <w:tab w:val="right" w:leader="dot" w:pos="9714"/>
            </w:tabs>
          </w:pPr>
          <w:hyperlink w:anchor="_bookmark92" w:history="1">
            <w:r>
              <w:t>Appendix</w:t>
            </w:r>
            <w:r>
              <w:rPr>
                <w:spacing w:val="-6"/>
              </w:rPr>
              <w:t xml:space="preserve"> </w:t>
            </w:r>
            <w:r>
              <w:t>C</w:t>
            </w:r>
            <w:r>
              <w:rPr>
                <w:spacing w:val="-2"/>
              </w:rPr>
              <w:t xml:space="preserve"> </w:t>
            </w:r>
            <w:r>
              <w:t>–</w:t>
            </w:r>
            <w:r>
              <w:rPr>
                <w:spacing w:val="-3"/>
              </w:rPr>
              <w:t xml:space="preserve"> </w:t>
            </w:r>
            <w:r>
              <w:t>Part</w:t>
            </w:r>
            <w:r>
              <w:rPr>
                <w:spacing w:val="-4"/>
              </w:rPr>
              <w:t xml:space="preserve"> </w:t>
            </w:r>
            <w:r>
              <w:t>B-Only</w:t>
            </w:r>
            <w:r>
              <w:rPr>
                <w:spacing w:val="-3"/>
              </w:rPr>
              <w:t xml:space="preserve"> </w:t>
            </w:r>
            <w:r>
              <w:rPr>
                <w:spacing w:val="-2"/>
              </w:rPr>
              <w:t>Enrollees</w:t>
            </w:r>
            <w:r>
              <w:tab/>
            </w:r>
            <w:r>
              <w:rPr>
                <w:spacing w:val="-5"/>
              </w:rPr>
              <w:t>112</w:t>
            </w:r>
          </w:hyperlink>
        </w:p>
        <w:p>
          <w:pPr>
            <w:pStyle w:val="TOC1"/>
            <w:tabs>
              <w:tab w:val="right" w:leader="dot" w:pos="9714"/>
            </w:tabs>
            <w:spacing w:before="81"/>
          </w:pPr>
          <w:hyperlink w:anchor="_bookmark93" w:history="1">
            <w:r>
              <w:t>Appendix</w:t>
            </w:r>
            <w:r>
              <w:rPr>
                <w:spacing w:val="-10"/>
              </w:rPr>
              <w:t xml:space="preserve"> </w:t>
            </w:r>
            <w:r>
              <w:t>D</w:t>
            </w:r>
            <w:r>
              <w:rPr>
                <w:spacing w:val="-3"/>
              </w:rPr>
              <w:t xml:space="preserve"> </w:t>
            </w:r>
            <w:r>
              <w:t>–</w:t>
            </w:r>
            <w:r>
              <w:rPr>
                <w:spacing w:val="-7"/>
              </w:rPr>
              <w:t xml:space="preserve"> </w:t>
            </w:r>
            <w:r>
              <w:t>Medicare</w:t>
            </w:r>
            <w:r>
              <w:rPr>
                <w:spacing w:val="-7"/>
              </w:rPr>
              <w:t xml:space="preserve"> </w:t>
            </w:r>
            <w:r>
              <w:t>Advantage</w:t>
            </w:r>
            <w:r>
              <w:rPr>
                <w:spacing w:val="-5"/>
              </w:rPr>
              <w:t xml:space="preserve"> </w:t>
            </w:r>
            <w:r>
              <w:t>Plans</w:t>
            </w:r>
            <w:r>
              <w:rPr>
                <w:spacing w:val="-7"/>
              </w:rPr>
              <w:t xml:space="preserve"> </w:t>
            </w:r>
            <w:r>
              <w:t>Available</w:t>
            </w:r>
            <w:r>
              <w:rPr>
                <w:spacing w:val="-4"/>
              </w:rPr>
              <w:t xml:space="preserve"> </w:t>
            </w:r>
            <w:r>
              <w:t>to</w:t>
            </w:r>
            <w:r>
              <w:rPr>
                <w:spacing w:val="-7"/>
              </w:rPr>
              <w:t xml:space="preserve"> </w:t>
            </w:r>
            <w:r>
              <w:t>Employer/Union</w:t>
            </w:r>
            <w:r>
              <w:rPr>
                <w:spacing w:val="-7"/>
              </w:rPr>
              <w:t xml:space="preserve"> </w:t>
            </w:r>
            <w:r>
              <w:rPr>
                <w:spacing w:val="-2"/>
              </w:rPr>
              <w:t>Groups</w:t>
            </w:r>
            <w:r>
              <w:tab/>
            </w:r>
            <w:r>
              <w:rPr>
                <w:spacing w:val="-5"/>
              </w:rPr>
              <w:t>113</w:t>
            </w:r>
          </w:hyperlink>
        </w:p>
        <w:p>
          <w:pPr>
            <w:pStyle w:val="TOC2"/>
            <w:tabs>
              <w:tab w:val="right" w:leader="dot" w:pos="9714"/>
            </w:tabs>
            <w:spacing w:before="1" w:line="240" w:lineRule="auto"/>
          </w:pPr>
          <w:hyperlink w:anchor="_bookmark94" w:history="1">
            <w:r>
              <w:t>Individual-market</w:t>
            </w:r>
            <w:r>
              <w:rPr>
                <w:spacing w:val="-9"/>
              </w:rPr>
              <w:t xml:space="preserve"> </w:t>
            </w:r>
            <w:r>
              <w:t>plans</w:t>
            </w:r>
            <w:r>
              <w:rPr>
                <w:spacing w:val="-9"/>
              </w:rPr>
              <w:t xml:space="preserve"> </w:t>
            </w:r>
            <w:r>
              <w:t>(“Mixed</w:t>
            </w:r>
            <w:r>
              <w:rPr>
                <w:spacing w:val="-8"/>
              </w:rPr>
              <w:t xml:space="preserve"> </w:t>
            </w:r>
            <w:r>
              <w:t>Enrollment”</w:t>
            </w:r>
            <w:r>
              <w:rPr>
                <w:spacing w:val="-7"/>
              </w:rPr>
              <w:t xml:space="preserve"> </w:t>
            </w:r>
            <w:r>
              <w:rPr>
                <w:spacing w:val="-2"/>
              </w:rPr>
              <w:t>Plans)</w:t>
            </w:r>
            <w:r>
              <w:tab/>
            </w:r>
            <w:r>
              <w:rPr>
                <w:spacing w:val="-5"/>
              </w:rPr>
              <w:t>113</w:t>
            </w:r>
          </w:hyperlink>
        </w:p>
        <w:p>
          <w:pPr>
            <w:pStyle w:val="TOC1"/>
            <w:tabs>
              <w:tab w:val="right" w:leader="dot" w:pos="9714"/>
            </w:tabs>
            <w:spacing w:line="241" w:lineRule="exact"/>
          </w:pPr>
          <w:hyperlink w:anchor="_bookmark95" w:history="1">
            <w:r>
              <w:t>Appendix</w:t>
            </w:r>
            <w:r>
              <w:rPr>
                <w:spacing w:val="-7"/>
              </w:rPr>
              <w:t xml:space="preserve"> </w:t>
            </w:r>
            <w:r>
              <w:t>E</w:t>
            </w:r>
            <w:r>
              <w:rPr>
                <w:spacing w:val="-3"/>
              </w:rPr>
              <w:t xml:space="preserve"> </w:t>
            </w:r>
            <w:r>
              <w:t>–</w:t>
            </w:r>
            <w:r>
              <w:rPr>
                <w:spacing w:val="-6"/>
              </w:rPr>
              <w:t xml:space="preserve"> </w:t>
            </w:r>
            <w:r>
              <w:t>Rebate</w:t>
            </w:r>
            <w:r>
              <w:rPr>
                <w:spacing w:val="-7"/>
              </w:rPr>
              <w:t xml:space="preserve"> </w:t>
            </w:r>
            <w:r>
              <w:t>Reallocation</w:t>
            </w:r>
            <w:r>
              <w:rPr>
                <w:spacing w:val="-3"/>
              </w:rPr>
              <w:t xml:space="preserve"> </w:t>
            </w:r>
            <w:r>
              <w:t>and</w:t>
            </w:r>
            <w:r>
              <w:rPr>
                <w:spacing w:val="-3"/>
              </w:rPr>
              <w:t xml:space="preserve"> </w:t>
            </w:r>
            <w:r>
              <w:t>Premium</w:t>
            </w:r>
            <w:r>
              <w:rPr>
                <w:spacing w:val="-7"/>
              </w:rPr>
              <w:t xml:space="preserve"> </w:t>
            </w:r>
            <w:r>
              <w:rPr>
                <w:spacing w:val="-2"/>
              </w:rPr>
              <w:t>Rounding</w:t>
            </w:r>
            <w:r>
              <w:tab/>
            </w:r>
            <w:r>
              <w:rPr>
                <w:spacing w:val="-5"/>
              </w:rPr>
              <w:t>114</w:t>
            </w:r>
          </w:hyperlink>
        </w:p>
        <w:p>
          <w:pPr>
            <w:pStyle w:val="TOC2"/>
            <w:numPr>
              <w:ilvl w:val="1"/>
              <w:numId w:val="57"/>
            </w:numPr>
            <w:tabs>
              <w:tab w:val="left" w:pos="1038"/>
              <w:tab w:val="right" w:leader="dot" w:pos="9714"/>
            </w:tabs>
            <w:spacing w:before="0" w:after="0" w:line="241" w:lineRule="exact"/>
            <w:ind w:left="1038" w:right="0" w:hanging="174"/>
            <w:jc w:val="left"/>
          </w:pPr>
          <w:hyperlink w:anchor="_bookmark96" w:history="1">
            <w:r>
              <w:t>Rebate</w:t>
            </w:r>
            <w:r>
              <w:rPr>
                <w:spacing w:val="-8"/>
              </w:rPr>
              <w:t xml:space="preserve"> </w:t>
            </w:r>
            <w:r>
              <w:t>Reallocation</w:t>
            </w:r>
            <w:r>
              <w:rPr>
                <w:spacing w:val="-6"/>
              </w:rPr>
              <w:t xml:space="preserve"> </w:t>
            </w:r>
            <w:r>
              <w:t>and</w:t>
            </w:r>
            <w:r>
              <w:rPr>
                <w:spacing w:val="-5"/>
              </w:rPr>
              <w:t xml:space="preserve"> </w:t>
            </w:r>
            <w:r>
              <w:t>Premium</w:t>
            </w:r>
            <w:r>
              <w:rPr>
                <w:spacing w:val="-6"/>
              </w:rPr>
              <w:t xml:space="preserve"> </w:t>
            </w:r>
            <w:r>
              <w:t>Rounding</w:t>
            </w:r>
            <w:r>
              <w:rPr>
                <w:spacing w:val="-5"/>
              </w:rPr>
              <w:t xml:space="preserve"> </w:t>
            </w:r>
            <w:r>
              <w:rPr>
                <w:spacing w:val="-2"/>
              </w:rPr>
              <w:t>Permissibility</w:t>
            </w:r>
            <w:r>
              <w:tab/>
            </w:r>
            <w:r>
              <w:rPr>
                <w:spacing w:val="-5"/>
              </w:rPr>
              <w:t>114</w:t>
            </w:r>
          </w:hyperlink>
        </w:p>
        <w:p>
          <w:pPr>
            <w:pStyle w:val="TOC2"/>
            <w:numPr>
              <w:ilvl w:val="1"/>
              <w:numId w:val="57"/>
            </w:numPr>
            <w:tabs>
              <w:tab w:val="left" w:pos="1107"/>
              <w:tab w:val="right" w:leader="dot" w:pos="9714"/>
            </w:tabs>
            <w:spacing w:before="1" w:after="0" w:line="241" w:lineRule="exact"/>
            <w:ind w:left="1107" w:right="0" w:hanging="243"/>
            <w:jc w:val="left"/>
          </w:pPr>
          <w:hyperlink w:anchor="_bookmark97" w:history="1">
            <w:r>
              <w:t>Rebate</w:t>
            </w:r>
            <w:r>
              <w:rPr>
                <w:spacing w:val="-8"/>
              </w:rPr>
              <w:t xml:space="preserve"> </w:t>
            </w:r>
            <w:r>
              <w:t>Reallocation</w:t>
            </w:r>
            <w:r>
              <w:rPr>
                <w:spacing w:val="-8"/>
              </w:rPr>
              <w:t xml:space="preserve"> </w:t>
            </w:r>
            <w:r>
              <w:rPr>
                <w:spacing w:val="-2"/>
              </w:rPr>
              <w:t>Guidelines</w:t>
            </w:r>
            <w:r>
              <w:tab/>
            </w:r>
            <w:r>
              <w:rPr>
                <w:spacing w:val="-5"/>
              </w:rPr>
              <w:t>122</w:t>
            </w:r>
          </w:hyperlink>
        </w:p>
        <w:p>
          <w:pPr>
            <w:pStyle w:val="TOC2"/>
            <w:numPr>
              <w:ilvl w:val="1"/>
              <w:numId w:val="57"/>
            </w:numPr>
            <w:tabs>
              <w:tab w:val="left" w:pos="1177"/>
              <w:tab w:val="right" w:leader="dot" w:pos="9714"/>
            </w:tabs>
            <w:spacing w:before="0" w:after="0" w:line="241" w:lineRule="exact"/>
            <w:ind w:left="1177" w:right="0" w:hanging="313"/>
            <w:jc w:val="left"/>
          </w:pPr>
          <w:hyperlink w:anchor="_bookmark98" w:history="1">
            <w:r>
              <w:t>Changes</w:t>
            </w:r>
            <w:r>
              <w:rPr>
                <w:spacing w:val="-5"/>
              </w:rPr>
              <w:t xml:space="preserve"> </w:t>
            </w:r>
            <w:r>
              <w:t>Allowed</w:t>
            </w:r>
            <w:r>
              <w:rPr>
                <w:spacing w:val="-4"/>
              </w:rPr>
              <w:t xml:space="preserve"> </w:t>
            </w:r>
            <w:r>
              <w:t>to</w:t>
            </w:r>
            <w:r>
              <w:rPr>
                <w:spacing w:val="-6"/>
              </w:rPr>
              <w:t xml:space="preserve"> </w:t>
            </w:r>
            <w:r>
              <w:t>MA</w:t>
            </w:r>
            <w:r>
              <w:rPr>
                <w:spacing w:val="-6"/>
              </w:rPr>
              <w:t xml:space="preserve"> </w:t>
            </w:r>
            <w:r>
              <w:t>Pricing</w:t>
            </w:r>
            <w:r>
              <w:rPr>
                <w:spacing w:val="-3"/>
              </w:rPr>
              <w:t xml:space="preserve"> </w:t>
            </w:r>
            <w:r>
              <w:rPr>
                <w:spacing w:val="-2"/>
              </w:rPr>
              <w:t>Assumptions</w:t>
            </w:r>
            <w:r>
              <w:tab/>
            </w:r>
            <w:r>
              <w:rPr>
                <w:spacing w:val="-5"/>
              </w:rPr>
              <w:t>142</w:t>
            </w:r>
          </w:hyperlink>
        </w:p>
        <w:p>
          <w:pPr>
            <w:pStyle w:val="TOC2"/>
            <w:numPr>
              <w:ilvl w:val="1"/>
              <w:numId w:val="57"/>
            </w:numPr>
            <w:tabs>
              <w:tab w:val="left" w:pos="1191"/>
              <w:tab w:val="right" w:leader="dot" w:pos="9714"/>
            </w:tabs>
            <w:spacing w:before="1" w:after="240" w:line="240" w:lineRule="auto"/>
            <w:ind w:left="1191" w:right="0" w:hanging="327"/>
            <w:jc w:val="left"/>
          </w:pPr>
          <w:hyperlink w:anchor="_bookmark99" w:history="1">
            <w:r>
              <w:t>Premium</w:t>
            </w:r>
            <w:r>
              <w:rPr>
                <w:spacing w:val="-9"/>
              </w:rPr>
              <w:t xml:space="preserve"> </w:t>
            </w:r>
            <w:r>
              <w:t>Rounding</w:t>
            </w:r>
            <w:r>
              <w:rPr>
                <w:spacing w:val="-8"/>
              </w:rPr>
              <w:t xml:space="preserve"> </w:t>
            </w:r>
            <w:r>
              <w:rPr>
                <w:spacing w:val="-4"/>
              </w:rPr>
              <w:t>Rules</w:t>
            </w:r>
            <w:r>
              <w:tab/>
            </w:r>
            <w:r>
              <w:rPr>
                <w:spacing w:val="-5"/>
              </w:rPr>
              <w:t>142</w:t>
            </w:r>
          </w:hyperlink>
        </w:p>
        <w:p>
          <w:pPr>
            <w:pStyle w:val="TOC1"/>
            <w:tabs>
              <w:tab w:val="left" w:leader="dot" w:pos="9397"/>
            </w:tabs>
          </w:pPr>
          <w:hyperlink w:anchor="_bookmark101" w:history="1">
            <w:r>
              <w:t>Appendix</w:t>
            </w:r>
            <w:r>
              <w:rPr>
                <w:spacing w:val="-5"/>
              </w:rPr>
              <w:t xml:space="preserve"> </w:t>
            </w:r>
            <w:r>
              <w:t>G</w:t>
            </w:r>
            <w:r>
              <w:rPr>
                <w:spacing w:val="-1"/>
              </w:rPr>
              <w:t xml:space="preserve"> </w:t>
            </w:r>
            <w:r>
              <w:t>–</w:t>
            </w:r>
            <w:r>
              <w:rPr>
                <w:spacing w:val="-5"/>
              </w:rPr>
              <w:t xml:space="preserve"> </w:t>
            </w:r>
            <w:r>
              <w:t>DE#</w:t>
            </w:r>
            <w:r>
              <w:rPr>
                <w:spacing w:val="-1"/>
              </w:rPr>
              <w:t xml:space="preserve"> </w:t>
            </w:r>
            <w:r>
              <w:rPr>
                <w:spacing w:val="-2"/>
              </w:rPr>
              <w:t>Summary</w:t>
            </w:r>
            <w:r>
              <w:tab/>
            </w:r>
            <w:r>
              <w:rPr>
                <w:spacing w:val="-5"/>
              </w:rPr>
              <w:t>154</w:t>
            </w:r>
          </w:hyperlink>
        </w:p>
        <w:p>
          <w:pPr>
            <w:pStyle w:val="TOC1"/>
            <w:tabs>
              <w:tab w:val="left" w:leader="dot" w:pos="9397"/>
            </w:tabs>
            <w:spacing w:line="241" w:lineRule="exact"/>
          </w:pPr>
          <w:hyperlink w:anchor="_bookmark103" w:history="1">
            <w:r>
              <w:t>Appendix</w:t>
            </w:r>
            <w:r>
              <w:rPr>
                <w:spacing w:val="-6"/>
              </w:rPr>
              <w:t xml:space="preserve"> </w:t>
            </w:r>
            <w:r>
              <w:t>H</w:t>
            </w:r>
            <w:r>
              <w:rPr>
                <w:spacing w:val="-2"/>
              </w:rPr>
              <w:t xml:space="preserve"> </w:t>
            </w:r>
            <w:r>
              <w:t>–</w:t>
            </w:r>
            <w:r>
              <w:rPr>
                <w:spacing w:val="-6"/>
              </w:rPr>
              <w:t xml:space="preserve"> </w:t>
            </w:r>
            <w:r>
              <w:t>Medical</w:t>
            </w:r>
            <w:r>
              <w:rPr>
                <w:spacing w:val="-4"/>
              </w:rPr>
              <w:t xml:space="preserve"> </w:t>
            </w:r>
            <w:r>
              <w:t>Savings</w:t>
            </w:r>
            <w:r>
              <w:rPr>
                <w:spacing w:val="-3"/>
              </w:rPr>
              <w:t xml:space="preserve"> </w:t>
            </w:r>
            <w:r>
              <w:t>Account</w:t>
            </w:r>
            <w:r>
              <w:rPr>
                <w:spacing w:val="-6"/>
              </w:rPr>
              <w:t xml:space="preserve"> </w:t>
            </w:r>
            <w:r>
              <w:rPr>
                <w:spacing w:val="-5"/>
              </w:rPr>
              <w:t>BPT</w:t>
            </w:r>
            <w:r>
              <w:tab/>
            </w:r>
            <w:r>
              <w:rPr>
                <w:spacing w:val="-5"/>
              </w:rPr>
              <w:t>157</w:t>
            </w:r>
          </w:hyperlink>
        </w:p>
        <w:p>
          <w:pPr>
            <w:pStyle w:val="TOC2"/>
            <w:tabs>
              <w:tab w:val="left" w:leader="dot" w:pos="9397"/>
            </w:tabs>
            <w:spacing w:line="240" w:lineRule="auto"/>
            <w:ind w:left="1224" w:right="1443" w:hanging="360"/>
          </w:pPr>
          <w:hyperlink w:anchor="_bookmark104" w:history="1">
            <w:r>
              <w:t>Worksheet 1 – MSA Base Period Experience and Projection Assumptions (Corresponding to MA</w:t>
            </w:r>
          </w:hyperlink>
          <w:r>
            <w:t xml:space="preserve"> </w:t>
          </w:r>
          <w:hyperlink w:anchor="_bookmark104" w:history="1">
            <w:r>
              <w:t>Worksheet</w:t>
            </w:r>
            <w:r>
              <w:rPr>
                <w:spacing w:val="-4"/>
              </w:rPr>
              <w:t xml:space="preserve"> </w:t>
            </w:r>
            <w:r>
              <w:rPr>
                <w:spacing w:val="-5"/>
              </w:rPr>
              <w:t>1)</w:t>
            </w:r>
            <w:r>
              <w:tab/>
            </w:r>
            <w:r>
              <w:rPr>
                <w:spacing w:val="-5"/>
              </w:rPr>
              <w:t>157</w:t>
            </w:r>
          </w:hyperlink>
        </w:p>
        <w:p>
          <w:pPr>
            <w:pStyle w:val="TOC2"/>
            <w:tabs>
              <w:tab w:val="left" w:leader="dot" w:pos="9397"/>
            </w:tabs>
          </w:pPr>
          <w:hyperlink w:anchor="_bookmark105" w:history="1">
            <w:r>
              <w:t>Worksheet</w:t>
            </w:r>
            <w:r>
              <w:rPr>
                <w:spacing w:val="-8"/>
              </w:rPr>
              <w:t xml:space="preserve"> </w:t>
            </w:r>
            <w:r>
              <w:t>2</w:t>
            </w:r>
            <w:r>
              <w:rPr>
                <w:spacing w:val="-7"/>
              </w:rPr>
              <w:t xml:space="preserve"> </w:t>
            </w:r>
            <w:r>
              <w:t>–</w:t>
            </w:r>
            <w:r>
              <w:rPr>
                <w:spacing w:val="-5"/>
              </w:rPr>
              <w:t xml:space="preserve"> </w:t>
            </w:r>
            <w:r>
              <w:t>MSA</w:t>
            </w:r>
            <w:r>
              <w:rPr>
                <w:spacing w:val="-6"/>
              </w:rPr>
              <w:t xml:space="preserve"> </w:t>
            </w:r>
            <w:r>
              <w:t>Total</w:t>
            </w:r>
            <w:r>
              <w:rPr>
                <w:spacing w:val="-5"/>
              </w:rPr>
              <w:t xml:space="preserve"> </w:t>
            </w:r>
            <w:r>
              <w:t>Projected</w:t>
            </w:r>
            <w:r>
              <w:rPr>
                <w:spacing w:val="-4"/>
              </w:rPr>
              <w:t xml:space="preserve"> </w:t>
            </w:r>
            <w:r>
              <w:t>Allowed</w:t>
            </w:r>
            <w:r>
              <w:rPr>
                <w:spacing w:val="-7"/>
              </w:rPr>
              <w:t xml:space="preserve"> </w:t>
            </w:r>
            <w:r>
              <w:t>Costs</w:t>
            </w:r>
            <w:r>
              <w:rPr>
                <w:spacing w:val="-4"/>
              </w:rPr>
              <w:t xml:space="preserve"> </w:t>
            </w:r>
            <w:r>
              <w:t>PMPM</w:t>
            </w:r>
            <w:r>
              <w:rPr>
                <w:spacing w:val="-4"/>
              </w:rPr>
              <w:t xml:space="preserve"> </w:t>
            </w:r>
            <w:r>
              <w:t>(Corresponding</w:t>
            </w:r>
            <w:r>
              <w:rPr>
                <w:spacing w:val="-4"/>
              </w:rPr>
              <w:t xml:space="preserve"> </w:t>
            </w:r>
            <w:r>
              <w:t>to</w:t>
            </w:r>
            <w:r>
              <w:rPr>
                <w:spacing w:val="-4"/>
              </w:rPr>
              <w:t xml:space="preserve"> </w:t>
            </w:r>
            <w:r>
              <w:t>MA</w:t>
            </w:r>
            <w:r>
              <w:rPr>
                <w:spacing w:val="-6"/>
              </w:rPr>
              <w:t xml:space="preserve"> </w:t>
            </w:r>
            <w:r>
              <w:t>Worksheet</w:t>
            </w:r>
            <w:r>
              <w:rPr>
                <w:spacing w:val="-4"/>
              </w:rPr>
              <w:t xml:space="preserve"> </w:t>
            </w:r>
            <w:r>
              <w:rPr>
                <w:spacing w:val="-5"/>
              </w:rPr>
              <w:t>2)</w:t>
            </w:r>
            <w:r>
              <w:tab/>
            </w:r>
            <w:r>
              <w:rPr>
                <w:spacing w:val="-5"/>
              </w:rPr>
              <w:t>157</w:t>
            </w:r>
          </w:hyperlink>
        </w:p>
        <w:p>
          <w:pPr>
            <w:pStyle w:val="TOC2"/>
            <w:tabs>
              <w:tab w:val="left" w:leader="dot" w:pos="9397"/>
            </w:tabs>
            <w:spacing w:line="240" w:lineRule="auto"/>
          </w:pPr>
          <w:hyperlink w:anchor="_bookmark106" w:history="1">
            <w:r>
              <w:t>Worksheet</w:t>
            </w:r>
            <w:r>
              <w:rPr>
                <w:spacing w:val="-9"/>
              </w:rPr>
              <w:t xml:space="preserve"> </w:t>
            </w:r>
            <w:r>
              <w:t>3</w:t>
            </w:r>
            <w:r>
              <w:rPr>
                <w:spacing w:val="-7"/>
              </w:rPr>
              <w:t xml:space="preserve"> </w:t>
            </w:r>
            <w:r>
              <w:t>–</w:t>
            </w:r>
            <w:r>
              <w:rPr>
                <w:spacing w:val="-4"/>
              </w:rPr>
              <w:t xml:space="preserve"> </w:t>
            </w:r>
            <w:r>
              <w:t>MSA</w:t>
            </w:r>
            <w:r>
              <w:rPr>
                <w:spacing w:val="-6"/>
              </w:rPr>
              <w:t xml:space="preserve"> </w:t>
            </w:r>
            <w:r>
              <w:t>Benchmark</w:t>
            </w:r>
            <w:r>
              <w:rPr>
                <w:spacing w:val="-4"/>
              </w:rPr>
              <w:t xml:space="preserve"> </w:t>
            </w:r>
            <w:r>
              <w:t>PMPM</w:t>
            </w:r>
            <w:r>
              <w:rPr>
                <w:spacing w:val="-6"/>
              </w:rPr>
              <w:t xml:space="preserve"> </w:t>
            </w:r>
            <w:r>
              <w:t>(Corresponding</w:t>
            </w:r>
            <w:r>
              <w:rPr>
                <w:spacing w:val="-4"/>
              </w:rPr>
              <w:t xml:space="preserve"> </w:t>
            </w:r>
            <w:r>
              <w:t>to</w:t>
            </w:r>
            <w:r>
              <w:rPr>
                <w:spacing w:val="-4"/>
              </w:rPr>
              <w:t xml:space="preserve"> </w:t>
            </w:r>
            <w:r>
              <w:t>MA</w:t>
            </w:r>
            <w:r>
              <w:rPr>
                <w:spacing w:val="-6"/>
              </w:rPr>
              <w:t xml:space="preserve"> </w:t>
            </w:r>
            <w:r>
              <w:t>Worksheet</w:t>
            </w:r>
            <w:r>
              <w:rPr>
                <w:spacing w:val="-4"/>
              </w:rPr>
              <w:t xml:space="preserve"> </w:t>
            </w:r>
            <w:r>
              <w:rPr>
                <w:spacing w:val="-5"/>
              </w:rPr>
              <w:t>5)</w:t>
            </w:r>
            <w:r>
              <w:tab/>
            </w:r>
            <w:r>
              <w:rPr>
                <w:spacing w:val="-5"/>
              </w:rPr>
              <w:t>158</w:t>
            </w:r>
          </w:hyperlink>
        </w:p>
        <w:p>
          <w:pPr>
            <w:pStyle w:val="TOC2"/>
            <w:tabs>
              <w:tab w:val="left" w:leader="dot" w:pos="9397"/>
            </w:tabs>
            <w:spacing w:before="1"/>
          </w:pPr>
          <w:hyperlink w:anchor="_bookmark107" w:history="1">
            <w:r>
              <w:t>Worksheet</w:t>
            </w:r>
            <w:r>
              <w:rPr>
                <w:spacing w:val="-8"/>
              </w:rPr>
              <w:t xml:space="preserve"> </w:t>
            </w:r>
            <w:r>
              <w:t>4</w:t>
            </w:r>
            <w:r>
              <w:rPr>
                <w:spacing w:val="-6"/>
              </w:rPr>
              <w:t xml:space="preserve"> </w:t>
            </w:r>
            <w:r>
              <w:t>–</w:t>
            </w:r>
            <w:r>
              <w:rPr>
                <w:spacing w:val="-3"/>
              </w:rPr>
              <w:t xml:space="preserve"> </w:t>
            </w:r>
            <w:r>
              <w:t>MSA</w:t>
            </w:r>
            <w:r>
              <w:rPr>
                <w:spacing w:val="-5"/>
              </w:rPr>
              <w:t xml:space="preserve"> </w:t>
            </w:r>
            <w:r>
              <w:t>Enrollee</w:t>
            </w:r>
            <w:r>
              <w:rPr>
                <w:spacing w:val="-3"/>
              </w:rPr>
              <w:t xml:space="preserve"> </w:t>
            </w:r>
            <w:r>
              <w:t>Deposit</w:t>
            </w:r>
            <w:r>
              <w:rPr>
                <w:spacing w:val="-4"/>
              </w:rPr>
              <w:t xml:space="preserve"> </w:t>
            </w:r>
            <w:r>
              <w:t>and</w:t>
            </w:r>
            <w:r>
              <w:rPr>
                <w:spacing w:val="-4"/>
              </w:rPr>
              <w:t xml:space="preserve"> </w:t>
            </w:r>
            <w:r>
              <w:t>Plan</w:t>
            </w:r>
            <w:r>
              <w:rPr>
                <w:spacing w:val="-6"/>
              </w:rPr>
              <w:t xml:space="preserve"> </w:t>
            </w:r>
            <w:r>
              <w:t>Payment</w:t>
            </w:r>
            <w:r>
              <w:rPr>
                <w:spacing w:val="-4"/>
              </w:rPr>
              <w:t xml:space="preserve"> </w:t>
            </w:r>
            <w:r>
              <w:t>(No</w:t>
            </w:r>
            <w:r>
              <w:rPr>
                <w:spacing w:val="-3"/>
              </w:rPr>
              <w:t xml:space="preserve"> </w:t>
            </w:r>
            <w:r>
              <w:t>corresponding</w:t>
            </w:r>
            <w:r>
              <w:rPr>
                <w:spacing w:val="-6"/>
              </w:rPr>
              <w:t xml:space="preserve"> </w:t>
            </w:r>
            <w:r>
              <w:t>MA</w:t>
            </w:r>
            <w:r>
              <w:rPr>
                <w:spacing w:val="-2"/>
              </w:rPr>
              <w:t xml:space="preserve"> Worksheet)</w:t>
            </w:r>
            <w:r>
              <w:tab/>
            </w:r>
            <w:r>
              <w:rPr>
                <w:spacing w:val="-5"/>
              </w:rPr>
              <w:t>158</w:t>
            </w:r>
          </w:hyperlink>
        </w:p>
        <w:p>
          <w:pPr>
            <w:pStyle w:val="TOC2"/>
            <w:tabs>
              <w:tab w:val="left" w:leader="dot" w:pos="9397"/>
            </w:tabs>
          </w:pPr>
          <w:hyperlink w:anchor="_bookmark108" w:history="1">
            <w:r>
              <w:t>Worksheet</w:t>
            </w:r>
            <w:r>
              <w:rPr>
                <w:spacing w:val="-8"/>
              </w:rPr>
              <w:t xml:space="preserve"> </w:t>
            </w:r>
            <w:r>
              <w:t>5</w:t>
            </w:r>
            <w:r>
              <w:rPr>
                <w:spacing w:val="-7"/>
              </w:rPr>
              <w:t xml:space="preserve"> </w:t>
            </w:r>
            <w:r>
              <w:t>–</w:t>
            </w:r>
            <w:r>
              <w:rPr>
                <w:spacing w:val="-4"/>
              </w:rPr>
              <w:t xml:space="preserve"> </w:t>
            </w:r>
            <w:r>
              <w:t>MSA</w:t>
            </w:r>
            <w:r>
              <w:rPr>
                <w:spacing w:val="-5"/>
              </w:rPr>
              <w:t xml:space="preserve"> </w:t>
            </w:r>
            <w:r>
              <w:t>Optional</w:t>
            </w:r>
            <w:r>
              <w:rPr>
                <w:spacing w:val="-5"/>
              </w:rPr>
              <w:t xml:space="preserve"> </w:t>
            </w:r>
            <w:r>
              <w:t>Supplemental</w:t>
            </w:r>
            <w:r>
              <w:rPr>
                <w:spacing w:val="-8"/>
              </w:rPr>
              <w:t xml:space="preserve"> </w:t>
            </w:r>
            <w:r>
              <w:t>Benefits</w:t>
            </w:r>
            <w:r>
              <w:rPr>
                <w:spacing w:val="-4"/>
              </w:rPr>
              <w:t xml:space="preserve"> </w:t>
            </w:r>
            <w:r>
              <w:t>(Corresponding</w:t>
            </w:r>
            <w:r>
              <w:rPr>
                <w:spacing w:val="-3"/>
              </w:rPr>
              <w:t xml:space="preserve"> </w:t>
            </w:r>
            <w:r>
              <w:t>to</w:t>
            </w:r>
            <w:r>
              <w:rPr>
                <w:spacing w:val="-7"/>
              </w:rPr>
              <w:t xml:space="preserve"> </w:t>
            </w:r>
            <w:r>
              <w:t>MA</w:t>
            </w:r>
            <w:r>
              <w:rPr>
                <w:spacing w:val="-6"/>
              </w:rPr>
              <w:t xml:space="preserve"> </w:t>
            </w:r>
            <w:r>
              <w:t>Worksheet</w:t>
            </w:r>
            <w:r>
              <w:rPr>
                <w:spacing w:val="-4"/>
              </w:rPr>
              <w:t xml:space="preserve"> </w:t>
            </w:r>
            <w:r>
              <w:rPr>
                <w:spacing w:val="-5"/>
              </w:rPr>
              <w:t>7)</w:t>
            </w:r>
            <w:r>
              <w:tab/>
            </w:r>
            <w:r>
              <w:rPr>
                <w:spacing w:val="-5"/>
              </w:rPr>
              <w:t>159</w:t>
            </w:r>
          </w:hyperlink>
        </w:p>
        <w:p>
          <w:pPr>
            <w:pStyle w:val="TOC1"/>
            <w:tabs>
              <w:tab w:val="left" w:leader="dot" w:pos="9397"/>
            </w:tabs>
          </w:pPr>
          <w:hyperlink w:anchor="_bookmark109" w:history="1">
            <w:r>
              <w:t>Appendix</w:t>
            </w:r>
            <w:r>
              <w:rPr>
                <w:spacing w:val="-5"/>
              </w:rPr>
              <w:t xml:space="preserve"> </w:t>
            </w:r>
            <w:r>
              <w:t>I</w:t>
            </w:r>
            <w:r>
              <w:rPr>
                <w:spacing w:val="-3"/>
              </w:rPr>
              <w:t xml:space="preserve"> </w:t>
            </w:r>
            <w:r>
              <w:t>–</w:t>
            </w:r>
            <w:r>
              <w:rPr>
                <w:spacing w:val="-6"/>
              </w:rPr>
              <w:t xml:space="preserve"> </w:t>
            </w:r>
            <w:r>
              <w:t>Trending</w:t>
            </w:r>
            <w:r>
              <w:rPr>
                <w:spacing w:val="-2"/>
              </w:rPr>
              <w:t xml:space="preserve"> </w:t>
            </w:r>
            <w:r>
              <w:t>Risk</w:t>
            </w:r>
            <w:r>
              <w:rPr>
                <w:spacing w:val="-5"/>
              </w:rPr>
              <w:t xml:space="preserve"> </w:t>
            </w:r>
            <w:r>
              <w:rPr>
                <w:spacing w:val="-2"/>
              </w:rPr>
              <w:t>Scores</w:t>
            </w:r>
            <w:r>
              <w:tab/>
            </w:r>
            <w:r>
              <w:rPr>
                <w:spacing w:val="-5"/>
              </w:rPr>
              <w:t>160</w:t>
            </w:r>
          </w:hyperlink>
        </w:p>
        <w:p>
          <w:pPr>
            <w:pStyle w:val="TOC1"/>
            <w:tabs>
              <w:tab w:val="left" w:leader="dot" w:pos="9397"/>
            </w:tabs>
          </w:pPr>
          <w:hyperlink w:anchor="_bookmark110" w:history="1">
            <w:r>
              <w:t>Appendix</w:t>
            </w:r>
            <w:r>
              <w:rPr>
                <w:spacing w:val="-4"/>
              </w:rPr>
              <w:t xml:space="preserve"> </w:t>
            </w:r>
            <w:r>
              <w:t>J</w:t>
            </w:r>
            <w:r>
              <w:rPr>
                <w:spacing w:val="-4"/>
              </w:rPr>
              <w:t xml:space="preserve"> </w:t>
            </w:r>
            <w:r>
              <w:t>–</w:t>
            </w:r>
            <w:r>
              <w:rPr>
                <w:spacing w:val="-7"/>
              </w:rPr>
              <w:t xml:space="preserve"> </w:t>
            </w:r>
            <w:r>
              <w:t>Data</w:t>
            </w:r>
            <w:r>
              <w:rPr>
                <w:spacing w:val="-6"/>
              </w:rPr>
              <w:t xml:space="preserve"> </w:t>
            </w:r>
            <w:r>
              <w:t>Aggregation</w:t>
            </w:r>
            <w:r>
              <w:rPr>
                <w:spacing w:val="-3"/>
              </w:rPr>
              <w:t xml:space="preserve"> </w:t>
            </w:r>
            <w:r>
              <w:rPr>
                <w:spacing w:val="-2"/>
              </w:rPr>
              <w:t>Examples</w:t>
            </w:r>
            <w:r>
              <w:tab/>
            </w:r>
            <w:r>
              <w:rPr>
                <w:spacing w:val="-5"/>
              </w:rPr>
              <w:t>161</w:t>
            </w:r>
          </w:hyperlink>
        </w:p>
      </w:sdtContent>
    </w:sdt>
    <w:p>
      <w:pPr>
        <w:pStyle w:val="TOC1"/>
        <w:spacing w:after="0"/>
        <w:sectPr>
          <w:type w:val="continuous"/>
          <w:pgSz w:w="12240" w:h="15840"/>
          <w:pgMar w:top="1682" w:right="0" w:bottom="692" w:left="1080" w:header="0" w:footer="747"/>
          <w:cols w:space="720"/>
        </w:sectPr>
      </w:pPr>
    </w:p>
    <w:p>
      <w:pPr>
        <w:pStyle w:val="Heading1"/>
        <w:numPr>
          <w:ilvl w:val="0"/>
          <w:numId w:val="56"/>
        </w:numPr>
        <w:tabs>
          <w:tab w:val="left" w:pos="632"/>
          <w:tab w:val="left" w:pos="9750"/>
        </w:tabs>
        <w:spacing w:before="586" w:after="0" w:line="240" w:lineRule="auto"/>
        <w:ind w:left="632" w:right="0" w:hanging="157"/>
        <w:jc w:val="left"/>
        <w:rPr>
          <w:u w:val="single"/>
        </w:rPr>
      </w:pPr>
      <w:bookmarkStart w:id="2" w:name="I. Introduction"/>
      <w:bookmarkEnd w:id="2"/>
      <w:bookmarkStart w:id="3" w:name="_bookmark0"/>
      <w:bookmarkEnd w:id="3"/>
      <w:r>
        <w:rPr>
          <w:u w:val="single"/>
        </w:rPr>
        <w:t xml:space="preserve"> </w:t>
      </w:r>
      <w:r>
        <w:rPr>
          <w:spacing w:val="-2"/>
          <w:u w:val="single"/>
        </w:rPr>
        <w:t>INTRODUCTION</w:t>
      </w:r>
      <w:r>
        <w:rPr>
          <w:u w:val="single"/>
        </w:rPr>
        <w:tab/>
      </w:r>
    </w:p>
    <w:p>
      <w:pPr>
        <w:pStyle w:val="BodyText"/>
        <w:spacing w:before="110"/>
        <w:ind w:left="0"/>
        <w:rPr>
          <w:rFonts w:ascii="Arial"/>
          <w:b/>
          <w:sz w:val="21"/>
        </w:rPr>
      </w:pPr>
    </w:p>
    <w:p>
      <w:pPr>
        <w:pStyle w:val="Heading2"/>
      </w:pPr>
      <w:bookmarkStart w:id="4" w:name="Definitions"/>
      <w:bookmarkEnd w:id="4"/>
      <w:bookmarkStart w:id="5" w:name="_bookmark1"/>
      <w:bookmarkEnd w:id="5"/>
      <w:r>
        <w:rPr>
          <w:smallCaps/>
          <w:spacing w:val="-2"/>
        </w:rPr>
        <w:t>Definitions</w:t>
      </w:r>
    </w:p>
    <w:p>
      <w:pPr>
        <w:pStyle w:val="BodyText"/>
        <w:spacing w:before="180"/>
        <w:ind w:right="1682"/>
        <w:jc w:val="both"/>
      </w:pPr>
      <w:r>
        <w:t>In</w:t>
      </w:r>
      <w:r>
        <w:rPr>
          <w:spacing w:val="-3"/>
        </w:rPr>
        <w:t xml:space="preserve"> </w:t>
      </w:r>
      <w:r>
        <w:t>these</w:t>
      </w:r>
      <w:r>
        <w:rPr>
          <w:spacing w:val="-2"/>
        </w:rPr>
        <w:t xml:space="preserve"> </w:t>
      </w:r>
      <w:r>
        <w:t>Instructions,</w:t>
      </w:r>
      <w:r>
        <w:rPr>
          <w:spacing w:val="-3"/>
        </w:rPr>
        <w:t xml:space="preserve"> </w:t>
      </w:r>
      <w:r>
        <w:t>the</w:t>
      </w:r>
      <w:r>
        <w:rPr>
          <w:spacing w:val="-3"/>
        </w:rPr>
        <w:t xml:space="preserve"> </w:t>
      </w:r>
      <w:r>
        <w:t>term</w:t>
      </w:r>
      <w:r>
        <w:rPr>
          <w:spacing w:val="-3"/>
        </w:rPr>
        <w:t xml:space="preserve"> </w:t>
      </w:r>
      <w:r>
        <w:t>“bid”</w:t>
      </w:r>
      <w:r>
        <w:rPr>
          <w:spacing w:val="-4"/>
        </w:rPr>
        <w:t xml:space="preserve"> </w:t>
      </w:r>
      <w:r>
        <w:t>refers</w:t>
      </w:r>
      <w:r>
        <w:rPr>
          <w:spacing w:val="-4"/>
        </w:rPr>
        <w:t xml:space="preserve"> </w:t>
      </w:r>
      <w:r>
        <w:t>to</w:t>
      </w:r>
      <w:r>
        <w:rPr>
          <w:spacing w:val="-3"/>
        </w:rPr>
        <w:t xml:space="preserve"> </w:t>
      </w:r>
      <w:r>
        <w:t>the</w:t>
      </w:r>
      <w:r>
        <w:rPr>
          <w:spacing w:val="-4"/>
        </w:rPr>
        <w:t xml:space="preserve"> </w:t>
      </w:r>
      <w:r>
        <w:t>Bid</w:t>
      </w:r>
      <w:r>
        <w:rPr>
          <w:spacing w:val="-3"/>
        </w:rPr>
        <w:t xml:space="preserve"> </w:t>
      </w:r>
      <w:r>
        <w:t>Pricing</w:t>
      </w:r>
      <w:r>
        <w:rPr>
          <w:spacing w:val="-2"/>
        </w:rPr>
        <w:t xml:space="preserve"> </w:t>
      </w:r>
      <w:r>
        <w:t>Tool</w:t>
      </w:r>
      <w:r>
        <w:rPr>
          <w:spacing w:val="-3"/>
        </w:rPr>
        <w:t xml:space="preserve"> </w:t>
      </w:r>
      <w:r>
        <w:t>(BPT)</w:t>
      </w:r>
      <w:r>
        <w:rPr>
          <w:spacing w:val="-4"/>
        </w:rPr>
        <w:t xml:space="preserve"> </w:t>
      </w:r>
      <w:r>
        <w:t>and/or</w:t>
      </w:r>
      <w:r>
        <w:rPr>
          <w:spacing w:val="-3"/>
        </w:rPr>
        <w:t xml:space="preserve"> </w:t>
      </w:r>
      <w:r>
        <w:t>the</w:t>
      </w:r>
      <w:r>
        <w:rPr>
          <w:spacing w:val="-4"/>
        </w:rPr>
        <w:t xml:space="preserve"> </w:t>
      </w:r>
      <w:r>
        <w:t>Medicare Advantage</w:t>
      </w:r>
      <w:r>
        <w:rPr>
          <w:spacing w:val="-5"/>
        </w:rPr>
        <w:t xml:space="preserve"> </w:t>
      </w:r>
      <w:r>
        <w:t>(MA)</w:t>
      </w:r>
      <w:r>
        <w:rPr>
          <w:spacing w:val="-4"/>
        </w:rPr>
        <w:t xml:space="preserve"> </w:t>
      </w:r>
      <w:r>
        <w:t>Plan</w:t>
      </w:r>
      <w:r>
        <w:rPr>
          <w:spacing w:val="-3"/>
        </w:rPr>
        <w:t xml:space="preserve"> </w:t>
      </w:r>
      <w:r>
        <w:t>Benefit</w:t>
      </w:r>
      <w:r>
        <w:rPr>
          <w:spacing w:val="-3"/>
        </w:rPr>
        <w:t xml:space="preserve"> </w:t>
      </w:r>
      <w:r>
        <w:t>Package</w:t>
      </w:r>
      <w:r>
        <w:rPr>
          <w:spacing w:val="-4"/>
        </w:rPr>
        <w:t xml:space="preserve"> </w:t>
      </w:r>
      <w:r>
        <w:t>(PBP)</w:t>
      </w:r>
      <w:r>
        <w:rPr>
          <w:spacing w:val="-3"/>
        </w:rPr>
        <w:t xml:space="preserve"> </w:t>
      </w:r>
      <w:r>
        <w:t>required</w:t>
      </w:r>
      <w:r>
        <w:rPr>
          <w:spacing w:val="-2"/>
        </w:rPr>
        <w:t xml:space="preserve"> </w:t>
      </w:r>
      <w:r>
        <w:t>for</w:t>
      </w:r>
      <w:r>
        <w:rPr>
          <w:spacing w:val="-5"/>
        </w:rPr>
        <w:t xml:space="preserve"> </w:t>
      </w:r>
      <w:r>
        <w:t>a</w:t>
      </w:r>
      <w:r>
        <w:rPr>
          <w:spacing w:val="-4"/>
        </w:rPr>
        <w:t xml:space="preserve"> </w:t>
      </w:r>
      <w:r>
        <w:t>Contract-Plan</w:t>
      </w:r>
      <w:r>
        <w:rPr>
          <w:spacing w:val="-2"/>
        </w:rPr>
        <w:t xml:space="preserve"> </w:t>
      </w:r>
      <w:r>
        <w:t>ID-Segment</w:t>
      </w:r>
      <w:r>
        <w:rPr>
          <w:spacing w:val="-2"/>
        </w:rPr>
        <w:t xml:space="preserve"> </w:t>
      </w:r>
      <w:r>
        <w:t>ID</w:t>
      </w:r>
      <w:r>
        <w:rPr>
          <w:spacing w:val="-4"/>
        </w:rPr>
        <w:t xml:space="preserve"> </w:t>
      </w:r>
      <w:r>
        <w:t>of an MA-only plan or the MA portion of an MA-PD plan.</w:t>
      </w:r>
    </w:p>
    <w:p>
      <w:pPr>
        <w:pStyle w:val="BodyText"/>
        <w:spacing w:before="120"/>
        <w:jc w:val="both"/>
      </w:pPr>
      <w:r>
        <w:t>In</w:t>
      </w:r>
      <w:r>
        <w:rPr>
          <w:spacing w:val="-3"/>
        </w:rPr>
        <w:t xml:space="preserve"> </w:t>
      </w:r>
      <w:r>
        <w:t>the</w:t>
      </w:r>
      <w:r>
        <w:rPr>
          <w:spacing w:val="-2"/>
        </w:rPr>
        <w:t xml:space="preserve"> </w:t>
      </w:r>
      <w:r>
        <w:t>BPT</w:t>
      </w:r>
      <w:r>
        <w:rPr>
          <w:spacing w:val="-2"/>
        </w:rPr>
        <w:t xml:space="preserve"> </w:t>
      </w:r>
      <w:r>
        <w:t>and</w:t>
      </w:r>
      <w:r>
        <w:rPr>
          <w:spacing w:val="-3"/>
        </w:rPr>
        <w:t xml:space="preserve"> </w:t>
      </w:r>
      <w:r>
        <w:t>these Instructions,</w:t>
      </w:r>
      <w:r>
        <w:rPr>
          <w:spacing w:val="-2"/>
        </w:rPr>
        <w:t xml:space="preserve"> </w:t>
      </w:r>
      <w:r>
        <w:rPr>
          <w:spacing w:val="-10"/>
        </w:rPr>
        <w:t>—</w:t>
      </w:r>
    </w:p>
    <w:p>
      <w:pPr>
        <w:pStyle w:val="ListParagraph"/>
        <w:numPr>
          <w:ilvl w:val="0"/>
          <w:numId w:val="55"/>
        </w:numPr>
        <w:tabs>
          <w:tab w:val="left" w:pos="1584"/>
        </w:tabs>
        <w:spacing w:before="120" w:after="0" w:line="240" w:lineRule="auto"/>
        <w:ind w:left="1584" w:right="1529" w:hanging="360"/>
        <w:jc w:val="left"/>
        <w:rPr>
          <w:sz w:val="24"/>
        </w:rPr>
      </w:pPr>
      <w:r>
        <w:rPr>
          <w:sz w:val="24"/>
        </w:rPr>
        <w:t>The term “DE#” (d-e-pound) refers to dual-eligible beneficiaries without full Medicare</w:t>
      </w:r>
      <w:r>
        <w:rPr>
          <w:spacing w:val="-5"/>
          <w:sz w:val="24"/>
        </w:rPr>
        <w:t xml:space="preserve"> </w:t>
      </w:r>
      <w:r>
        <w:rPr>
          <w:sz w:val="24"/>
        </w:rPr>
        <w:t>cost-sharing</w:t>
      </w:r>
      <w:r>
        <w:rPr>
          <w:spacing w:val="-4"/>
          <w:sz w:val="24"/>
        </w:rPr>
        <w:t xml:space="preserve"> </w:t>
      </w:r>
      <w:r>
        <w:rPr>
          <w:sz w:val="24"/>
        </w:rPr>
        <w:t>liability.</w:t>
      </w:r>
      <w:r>
        <w:rPr>
          <w:spacing w:val="-4"/>
          <w:sz w:val="24"/>
        </w:rPr>
        <w:t xml:space="preserve"> </w:t>
      </w:r>
      <w:r>
        <w:rPr>
          <w:sz w:val="24"/>
        </w:rPr>
        <w:t>Included</w:t>
      </w:r>
      <w:r>
        <w:rPr>
          <w:spacing w:val="-4"/>
          <w:sz w:val="24"/>
        </w:rPr>
        <w:t xml:space="preserve"> </w:t>
      </w:r>
      <w:r>
        <w:rPr>
          <w:sz w:val="24"/>
        </w:rPr>
        <w:t>are</w:t>
      </w:r>
      <w:r>
        <w:rPr>
          <w:spacing w:val="-6"/>
          <w:sz w:val="24"/>
        </w:rPr>
        <w:t xml:space="preserve"> </w:t>
      </w:r>
      <w:r>
        <w:rPr>
          <w:sz w:val="24"/>
        </w:rPr>
        <w:t>dual-eligible</w:t>
      </w:r>
      <w:r>
        <w:rPr>
          <w:spacing w:val="-5"/>
          <w:sz w:val="24"/>
        </w:rPr>
        <w:t xml:space="preserve"> </w:t>
      </w:r>
      <w:r>
        <w:rPr>
          <w:sz w:val="24"/>
        </w:rPr>
        <w:t>beneficiaries</w:t>
      </w:r>
      <w:r>
        <w:rPr>
          <w:spacing w:val="-5"/>
          <w:sz w:val="24"/>
        </w:rPr>
        <w:t xml:space="preserve"> </w:t>
      </w:r>
      <w:r>
        <w:rPr>
          <w:sz w:val="24"/>
        </w:rPr>
        <w:t>who</w:t>
      </w:r>
      <w:r>
        <w:rPr>
          <w:spacing w:val="-4"/>
          <w:sz w:val="24"/>
        </w:rPr>
        <w:t xml:space="preserve"> </w:t>
      </w:r>
      <w:r>
        <w:rPr>
          <w:sz w:val="24"/>
        </w:rPr>
        <w:t>receive benefits in the form of reduced, as well as eliminated, Medicare cost sharing.</w:t>
      </w:r>
    </w:p>
    <w:p>
      <w:pPr>
        <w:pStyle w:val="ListParagraph"/>
        <w:numPr>
          <w:ilvl w:val="0"/>
          <w:numId w:val="55"/>
        </w:numPr>
        <w:tabs>
          <w:tab w:val="left" w:pos="1584"/>
        </w:tabs>
        <w:spacing w:before="0" w:after="0" w:line="274" w:lineRule="exact"/>
        <w:ind w:left="1584" w:right="0" w:hanging="360"/>
        <w:jc w:val="left"/>
        <w:rPr>
          <w:sz w:val="24"/>
        </w:rPr>
      </w:pPr>
      <w:r>
        <w:rPr>
          <w:sz w:val="24"/>
        </w:rPr>
        <w:t>The</w:t>
      </w:r>
      <w:r>
        <w:rPr>
          <w:spacing w:val="-5"/>
          <w:sz w:val="24"/>
        </w:rPr>
        <w:t xml:space="preserve"> </w:t>
      </w:r>
      <w:r>
        <w:rPr>
          <w:sz w:val="24"/>
        </w:rPr>
        <w:t>term</w:t>
      </w:r>
      <w:r>
        <w:rPr>
          <w:spacing w:val="-1"/>
          <w:sz w:val="24"/>
        </w:rPr>
        <w:t xml:space="preserve"> </w:t>
      </w:r>
      <w:r>
        <w:rPr>
          <w:sz w:val="24"/>
        </w:rPr>
        <w:t>“non-DE#”</w:t>
      </w:r>
      <w:r>
        <w:rPr>
          <w:spacing w:val="-3"/>
          <w:sz w:val="24"/>
        </w:rPr>
        <w:t xml:space="preserve"> </w:t>
      </w:r>
      <w:r>
        <w:rPr>
          <w:sz w:val="24"/>
        </w:rPr>
        <w:t>refers</w:t>
      </w:r>
      <w:r>
        <w:rPr>
          <w:spacing w:val="-2"/>
          <w:sz w:val="24"/>
        </w:rPr>
        <w:t xml:space="preserve"> </w:t>
      </w:r>
      <w:r>
        <w:rPr>
          <w:sz w:val="24"/>
        </w:rPr>
        <w:t>to</w:t>
      </w:r>
      <w:r>
        <w:rPr>
          <w:spacing w:val="-1"/>
          <w:sz w:val="24"/>
        </w:rPr>
        <w:t xml:space="preserve"> </w:t>
      </w:r>
      <w:r>
        <w:rPr>
          <w:sz w:val="24"/>
        </w:rPr>
        <w:t>dual-eligible</w:t>
      </w:r>
      <w:r>
        <w:rPr>
          <w:spacing w:val="-2"/>
          <w:sz w:val="24"/>
        </w:rPr>
        <w:t xml:space="preserve"> </w:t>
      </w:r>
      <w:r>
        <w:rPr>
          <w:sz w:val="24"/>
        </w:rPr>
        <w:t>beneficiaries</w:t>
      </w:r>
      <w:r>
        <w:rPr>
          <w:spacing w:val="-2"/>
          <w:sz w:val="24"/>
        </w:rPr>
        <w:t xml:space="preserve"> </w:t>
      </w:r>
      <w:r>
        <w:rPr>
          <w:sz w:val="24"/>
        </w:rPr>
        <w:t>with</w:t>
      </w:r>
      <w:r>
        <w:rPr>
          <w:spacing w:val="-1"/>
          <w:sz w:val="24"/>
        </w:rPr>
        <w:t xml:space="preserve"> </w:t>
      </w:r>
      <w:r>
        <w:rPr>
          <w:sz w:val="24"/>
        </w:rPr>
        <w:t xml:space="preserve">full </w:t>
      </w:r>
      <w:r>
        <w:rPr>
          <w:spacing w:val="-2"/>
          <w:sz w:val="24"/>
        </w:rPr>
        <w:t>Medicare</w:t>
      </w:r>
    </w:p>
    <w:p>
      <w:pPr>
        <w:pStyle w:val="BodyText"/>
        <w:ind w:left="1584" w:right="1841"/>
      </w:pPr>
      <w:r>
        <w:t>cost-sharing</w:t>
      </w:r>
      <w:r>
        <w:rPr>
          <w:spacing w:val="-4"/>
        </w:rPr>
        <w:t xml:space="preserve"> </w:t>
      </w:r>
      <w:r>
        <w:t>liability</w:t>
      </w:r>
      <w:r>
        <w:rPr>
          <w:spacing w:val="-4"/>
        </w:rPr>
        <w:t xml:space="preserve"> </w:t>
      </w:r>
      <w:r>
        <w:t>and</w:t>
      </w:r>
      <w:r>
        <w:rPr>
          <w:spacing w:val="-4"/>
        </w:rPr>
        <w:t xml:space="preserve"> </w:t>
      </w:r>
      <w:r>
        <w:t>beneficiaries</w:t>
      </w:r>
      <w:r>
        <w:rPr>
          <w:spacing w:val="-5"/>
        </w:rPr>
        <w:t xml:space="preserve"> </w:t>
      </w:r>
      <w:r>
        <w:t>who</w:t>
      </w:r>
      <w:r>
        <w:rPr>
          <w:spacing w:val="-4"/>
        </w:rPr>
        <w:t xml:space="preserve"> </w:t>
      </w:r>
      <w:r>
        <w:t>are</w:t>
      </w:r>
      <w:r>
        <w:rPr>
          <w:spacing w:val="-6"/>
        </w:rPr>
        <w:t xml:space="preserve"> </w:t>
      </w:r>
      <w:r>
        <w:t>not</w:t>
      </w:r>
      <w:r>
        <w:rPr>
          <w:spacing w:val="-2"/>
        </w:rPr>
        <w:t xml:space="preserve"> </w:t>
      </w:r>
      <w:r>
        <w:t>eligible</w:t>
      </w:r>
      <w:r>
        <w:rPr>
          <w:spacing w:val="-5"/>
        </w:rPr>
        <w:t xml:space="preserve"> </w:t>
      </w:r>
      <w:r>
        <w:t>for</w:t>
      </w:r>
      <w:r>
        <w:rPr>
          <w:spacing w:val="-6"/>
        </w:rPr>
        <w:t xml:space="preserve"> </w:t>
      </w:r>
      <w:r>
        <w:t>Medicaid (that</w:t>
      </w:r>
      <w:r>
        <w:rPr>
          <w:spacing w:val="-4"/>
        </w:rPr>
        <w:t xml:space="preserve"> </w:t>
      </w:r>
      <w:r>
        <w:t>is, non-dual-eligible beneficiaries).</w:t>
      </w:r>
    </w:p>
    <w:p>
      <w:pPr>
        <w:pStyle w:val="ListParagraph"/>
        <w:numPr>
          <w:ilvl w:val="0"/>
          <w:numId w:val="55"/>
        </w:numPr>
        <w:tabs>
          <w:tab w:val="left" w:pos="1584"/>
        </w:tabs>
        <w:spacing w:before="0" w:after="0" w:line="240" w:lineRule="auto"/>
        <w:ind w:left="1584" w:right="1807" w:hanging="360"/>
        <w:jc w:val="left"/>
        <w:rPr>
          <w:sz w:val="24"/>
        </w:rPr>
      </w:pPr>
      <w:r>
        <w:rPr>
          <w:sz w:val="24"/>
        </w:rPr>
        <w:t>The</w:t>
      </w:r>
      <w:r>
        <w:rPr>
          <w:spacing w:val="-6"/>
          <w:sz w:val="24"/>
        </w:rPr>
        <w:t xml:space="preserve"> </w:t>
      </w:r>
      <w:r>
        <w:rPr>
          <w:sz w:val="24"/>
        </w:rPr>
        <w:t>terms</w:t>
      </w:r>
      <w:r>
        <w:rPr>
          <w:spacing w:val="-4"/>
          <w:sz w:val="24"/>
        </w:rPr>
        <w:t xml:space="preserve"> </w:t>
      </w:r>
      <w:r>
        <w:rPr>
          <w:sz w:val="24"/>
        </w:rPr>
        <w:t>“total</w:t>
      </w:r>
      <w:r>
        <w:rPr>
          <w:spacing w:val="-4"/>
          <w:sz w:val="24"/>
        </w:rPr>
        <w:t xml:space="preserve"> </w:t>
      </w:r>
      <w:r>
        <w:rPr>
          <w:sz w:val="24"/>
        </w:rPr>
        <w:t>population”</w:t>
      </w:r>
      <w:r>
        <w:rPr>
          <w:spacing w:val="-5"/>
          <w:sz w:val="24"/>
        </w:rPr>
        <w:t xml:space="preserve"> </w:t>
      </w:r>
      <w:r>
        <w:rPr>
          <w:sz w:val="24"/>
        </w:rPr>
        <w:t>and</w:t>
      </w:r>
      <w:r>
        <w:rPr>
          <w:spacing w:val="-4"/>
          <w:sz w:val="24"/>
        </w:rPr>
        <w:t xml:space="preserve"> </w:t>
      </w:r>
      <w:r>
        <w:rPr>
          <w:sz w:val="24"/>
        </w:rPr>
        <w:t>“total</w:t>
      </w:r>
      <w:r>
        <w:rPr>
          <w:spacing w:val="-4"/>
          <w:sz w:val="24"/>
        </w:rPr>
        <w:t xml:space="preserve"> </w:t>
      </w:r>
      <w:r>
        <w:rPr>
          <w:sz w:val="24"/>
        </w:rPr>
        <w:t>beneficiaries”</w:t>
      </w:r>
      <w:r>
        <w:rPr>
          <w:spacing w:val="-4"/>
          <w:sz w:val="24"/>
        </w:rPr>
        <w:t xml:space="preserve"> </w:t>
      </w:r>
      <w:r>
        <w:rPr>
          <w:sz w:val="24"/>
        </w:rPr>
        <w:t>refer</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combined</w:t>
      </w:r>
      <w:r>
        <w:rPr>
          <w:spacing w:val="-2"/>
          <w:sz w:val="24"/>
        </w:rPr>
        <w:t xml:space="preserve"> </w:t>
      </w:r>
      <w:r>
        <w:rPr>
          <w:sz w:val="24"/>
        </w:rPr>
        <w:t xml:space="preserve">non-DE# and DE# population and beneficiaries, respectively, including out-of-area </w:t>
      </w:r>
      <w:r>
        <w:rPr>
          <w:spacing w:val="-2"/>
          <w:sz w:val="24"/>
        </w:rPr>
        <w:t>members.</w:t>
      </w:r>
    </w:p>
    <w:p>
      <w:pPr>
        <w:pStyle w:val="BodyText"/>
        <w:spacing w:before="45"/>
        <w:ind w:left="0"/>
      </w:pPr>
    </w:p>
    <w:p>
      <w:pPr>
        <w:pStyle w:val="Heading2"/>
      </w:pPr>
      <w:bookmarkStart w:id="6" w:name="Background"/>
      <w:bookmarkEnd w:id="6"/>
      <w:bookmarkStart w:id="7" w:name="_bookmark2"/>
      <w:bookmarkEnd w:id="7"/>
      <w:r>
        <w:rPr>
          <w:smallCaps/>
          <w:spacing w:val="-2"/>
        </w:rPr>
        <w:t>Background</w:t>
      </w:r>
    </w:p>
    <w:p>
      <w:pPr>
        <w:pStyle w:val="BodyText"/>
        <w:spacing w:before="179"/>
        <w:ind w:right="1481"/>
      </w:pPr>
      <w:r>
        <w:t>Medicare</w:t>
      </w:r>
      <w:r>
        <w:rPr>
          <w:spacing w:val="-4"/>
        </w:rPr>
        <w:t xml:space="preserve"> </w:t>
      </w:r>
      <w:r>
        <w:t>Advantage</w:t>
      </w:r>
      <w:r>
        <w:rPr>
          <w:spacing w:val="-4"/>
        </w:rPr>
        <w:t xml:space="preserve"> </w:t>
      </w:r>
      <w:r>
        <w:t>Organizations</w:t>
      </w:r>
      <w:r>
        <w:rPr>
          <w:spacing w:val="-4"/>
        </w:rPr>
        <w:t xml:space="preserve"> </w:t>
      </w:r>
      <w:r>
        <w:t>(MAOs)</w:t>
      </w:r>
      <w:r>
        <w:rPr>
          <w:spacing w:val="-4"/>
        </w:rPr>
        <w:t xml:space="preserve"> </w:t>
      </w:r>
      <w:r>
        <w:t>must submit</w:t>
      </w:r>
      <w:r>
        <w:rPr>
          <w:spacing w:val="-3"/>
        </w:rPr>
        <w:t xml:space="preserve"> </w:t>
      </w:r>
      <w:r>
        <w:t>a</w:t>
      </w:r>
      <w:r>
        <w:rPr>
          <w:spacing w:val="-4"/>
        </w:rPr>
        <w:t xml:space="preserve"> </w:t>
      </w:r>
      <w:r>
        <w:t>separate</w:t>
      </w:r>
      <w:r>
        <w:rPr>
          <w:spacing w:val="-3"/>
        </w:rPr>
        <w:t xml:space="preserve"> </w:t>
      </w:r>
      <w:r>
        <w:t>bid</w:t>
      </w:r>
      <w:r>
        <w:rPr>
          <w:spacing w:val="-3"/>
        </w:rPr>
        <w:t xml:space="preserve"> </w:t>
      </w:r>
      <w:r>
        <w:t>to</w:t>
      </w:r>
      <w:r>
        <w:rPr>
          <w:spacing w:val="-3"/>
        </w:rPr>
        <w:t xml:space="preserve"> </w:t>
      </w:r>
      <w:r>
        <w:t>the</w:t>
      </w:r>
      <w:r>
        <w:rPr>
          <w:spacing w:val="-4"/>
        </w:rPr>
        <w:t xml:space="preserve"> </w:t>
      </w:r>
      <w:r>
        <w:t>Centers</w:t>
      </w:r>
      <w:r>
        <w:rPr>
          <w:spacing w:val="-4"/>
        </w:rPr>
        <w:t xml:space="preserve"> </w:t>
      </w:r>
      <w:r>
        <w:t>for Medicare</w:t>
      </w:r>
      <w:r>
        <w:rPr>
          <w:spacing w:val="-2"/>
        </w:rPr>
        <w:t xml:space="preserve"> </w:t>
      </w:r>
      <w:r>
        <w:t>&amp;</w:t>
      </w:r>
      <w:r>
        <w:rPr>
          <w:spacing w:val="-1"/>
        </w:rPr>
        <w:t xml:space="preserve"> </w:t>
      </w:r>
      <w:r>
        <w:t>Medicaid</w:t>
      </w:r>
      <w:r>
        <w:rPr>
          <w:spacing w:val="-1"/>
        </w:rPr>
        <w:t xml:space="preserve"> </w:t>
      </w:r>
      <w:r>
        <w:t>Services (CMS)</w:t>
      </w:r>
      <w:r>
        <w:rPr>
          <w:spacing w:val="-2"/>
        </w:rPr>
        <w:t xml:space="preserve"> </w:t>
      </w:r>
      <w:r>
        <w:t>for</w:t>
      </w:r>
      <w:r>
        <w:rPr>
          <w:spacing w:val="-1"/>
        </w:rPr>
        <w:t xml:space="preserve"> </w:t>
      </w:r>
      <w:r>
        <w:t>each</w:t>
      </w:r>
      <w:r>
        <w:rPr>
          <w:spacing w:val="-1"/>
        </w:rPr>
        <w:t xml:space="preserve"> </w:t>
      </w:r>
      <w:r>
        <w:t>non-segmented</w:t>
      </w:r>
      <w:r>
        <w:rPr>
          <w:spacing w:val="-1"/>
        </w:rPr>
        <w:t xml:space="preserve"> </w:t>
      </w:r>
      <w:r>
        <w:t>plan</w:t>
      </w:r>
      <w:r>
        <w:rPr>
          <w:spacing w:val="-1"/>
        </w:rPr>
        <w:t xml:space="preserve"> </w:t>
      </w:r>
      <w:r>
        <w:t>or</w:t>
      </w:r>
      <w:r>
        <w:rPr>
          <w:spacing w:val="-1"/>
        </w:rPr>
        <w:t xml:space="preserve"> </w:t>
      </w:r>
      <w:r>
        <w:t>each</w:t>
      </w:r>
      <w:r>
        <w:rPr>
          <w:spacing w:val="-1"/>
        </w:rPr>
        <w:t xml:space="preserve"> </w:t>
      </w:r>
      <w:r>
        <w:t>segment</w:t>
      </w:r>
      <w:r>
        <w:rPr>
          <w:spacing w:val="-1"/>
        </w:rPr>
        <w:t xml:space="preserve"> </w:t>
      </w:r>
      <w:r>
        <w:t>of</w:t>
      </w:r>
      <w:r>
        <w:rPr>
          <w:spacing w:val="-2"/>
        </w:rPr>
        <w:t xml:space="preserve"> </w:t>
      </w:r>
      <w:r>
        <w:t>a segmented plan that they intend to offer under the MA program, including MA plans and Medical Savings Account (MSA) plans.</w:t>
      </w:r>
    </w:p>
    <w:p>
      <w:pPr>
        <w:pStyle w:val="BodyText"/>
        <w:spacing w:before="121"/>
        <w:ind w:right="1481"/>
      </w:pPr>
      <w:r>
        <w:t>Note that an MAO may offer private fee-for service (PFFS) and Religious Fraternal Benefit PFFS plans without Part D coverage. However, if an MAO offers, in a given service area, at least</w:t>
      </w:r>
      <w:r>
        <w:rPr>
          <w:spacing w:val="-3"/>
        </w:rPr>
        <w:t xml:space="preserve"> </w:t>
      </w:r>
      <w:r>
        <w:t>one</w:t>
      </w:r>
      <w:r>
        <w:rPr>
          <w:spacing w:val="-3"/>
        </w:rPr>
        <w:t xml:space="preserve"> </w:t>
      </w:r>
      <w:r>
        <w:t>benefit</w:t>
      </w:r>
      <w:r>
        <w:rPr>
          <w:spacing w:val="-3"/>
        </w:rPr>
        <w:t xml:space="preserve"> </w:t>
      </w:r>
      <w:r>
        <w:t>plan</w:t>
      </w:r>
      <w:r>
        <w:rPr>
          <w:spacing w:val="-3"/>
        </w:rPr>
        <w:t xml:space="preserve"> </w:t>
      </w:r>
      <w:r>
        <w:t>of</w:t>
      </w:r>
      <w:r>
        <w:rPr>
          <w:spacing w:val="-2"/>
        </w:rPr>
        <w:t xml:space="preserve"> </w:t>
      </w:r>
      <w:r>
        <w:t>any</w:t>
      </w:r>
      <w:r>
        <w:rPr>
          <w:spacing w:val="-3"/>
        </w:rPr>
        <w:t xml:space="preserve"> </w:t>
      </w:r>
      <w:r>
        <w:t>other</w:t>
      </w:r>
      <w:r>
        <w:rPr>
          <w:spacing w:val="-4"/>
        </w:rPr>
        <w:t xml:space="preserve"> </w:t>
      </w:r>
      <w:r>
        <w:t>plan</w:t>
      </w:r>
      <w:r>
        <w:rPr>
          <w:spacing w:val="-3"/>
        </w:rPr>
        <w:t xml:space="preserve"> </w:t>
      </w:r>
      <w:r>
        <w:t>type,</w:t>
      </w:r>
      <w:r>
        <w:rPr>
          <w:spacing w:val="-1"/>
        </w:rPr>
        <w:t xml:space="preserve"> </w:t>
      </w:r>
      <w:r>
        <w:t>at</w:t>
      </w:r>
      <w:r>
        <w:rPr>
          <w:spacing w:val="-3"/>
        </w:rPr>
        <w:t xml:space="preserve"> </w:t>
      </w:r>
      <w:r>
        <w:t>least</w:t>
      </w:r>
      <w:r>
        <w:rPr>
          <w:spacing w:val="-3"/>
        </w:rPr>
        <w:t xml:space="preserve"> </w:t>
      </w:r>
      <w:r>
        <w:t>one</w:t>
      </w:r>
      <w:r>
        <w:rPr>
          <w:spacing w:val="-3"/>
        </w:rPr>
        <w:t xml:space="preserve"> </w:t>
      </w:r>
      <w:r>
        <w:t>benefit</w:t>
      </w:r>
      <w:r>
        <w:rPr>
          <w:spacing w:val="-3"/>
        </w:rPr>
        <w:t xml:space="preserve"> </w:t>
      </w:r>
      <w:r>
        <w:t>plan</w:t>
      </w:r>
      <w:r>
        <w:rPr>
          <w:spacing w:val="-3"/>
        </w:rPr>
        <w:t xml:space="preserve"> </w:t>
      </w:r>
      <w:r>
        <w:t>in</w:t>
      </w:r>
      <w:r>
        <w:rPr>
          <w:spacing w:val="-2"/>
        </w:rPr>
        <w:t xml:space="preserve"> </w:t>
      </w:r>
      <w:r>
        <w:t>that</w:t>
      </w:r>
      <w:r>
        <w:rPr>
          <w:spacing w:val="-3"/>
        </w:rPr>
        <w:t xml:space="preserve"> </w:t>
      </w:r>
      <w:r>
        <w:t>service</w:t>
      </w:r>
      <w:r>
        <w:rPr>
          <w:spacing w:val="-2"/>
        </w:rPr>
        <w:t xml:space="preserve"> </w:t>
      </w:r>
      <w:r>
        <w:t>area</w:t>
      </w:r>
      <w:r>
        <w:rPr>
          <w:spacing w:val="-3"/>
        </w:rPr>
        <w:t xml:space="preserve"> </w:t>
      </w:r>
      <w:r>
        <w:t>must include Part D coverage.</w:t>
      </w:r>
    </w:p>
    <w:p>
      <w:pPr>
        <w:pStyle w:val="BodyText"/>
        <w:spacing w:before="120"/>
        <w:ind w:right="1481"/>
      </w:pPr>
      <w:r>
        <w:t>MAOs</w:t>
      </w:r>
      <w:r>
        <w:rPr>
          <w:spacing w:val="-4"/>
        </w:rPr>
        <w:t xml:space="preserve"> </w:t>
      </w:r>
      <w:r>
        <w:t>must</w:t>
      </w:r>
      <w:r>
        <w:rPr>
          <w:spacing w:val="-3"/>
        </w:rPr>
        <w:t xml:space="preserve"> </w:t>
      </w:r>
      <w:r>
        <w:t>submit</w:t>
      </w:r>
      <w:r>
        <w:rPr>
          <w:spacing w:val="-3"/>
        </w:rPr>
        <w:t xml:space="preserve"> </w:t>
      </w:r>
      <w:r>
        <w:t>the</w:t>
      </w:r>
      <w:r>
        <w:rPr>
          <w:spacing w:val="-3"/>
        </w:rPr>
        <w:t xml:space="preserve"> </w:t>
      </w:r>
      <w:r>
        <w:t>information</w:t>
      </w:r>
      <w:r>
        <w:rPr>
          <w:spacing w:val="-3"/>
        </w:rPr>
        <w:t xml:space="preserve"> </w:t>
      </w:r>
      <w:r>
        <w:t>via</w:t>
      </w:r>
      <w:r>
        <w:rPr>
          <w:spacing w:val="-4"/>
        </w:rPr>
        <w:t xml:space="preserve"> </w:t>
      </w:r>
      <w:r>
        <w:t>the</w:t>
      </w:r>
      <w:r>
        <w:rPr>
          <w:spacing w:val="-3"/>
        </w:rPr>
        <w:t xml:space="preserve"> </w:t>
      </w:r>
      <w:r>
        <w:t>CMS</w:t>
      </w:r>
      <w:r>
        <w:rPr>
          <w:spacing w:val="-2"/>
        </w:rPr>
        <w:t xml:space="preserve"> </w:t>
      </w:r>
      <w:r>
        <w:t>Health</w:t>
      </w:r>
      <w:r>
        <w:rPr>
          <w:spacing w:val="-3"/>
        </w:rPr>
        <w:t xml:space="preserve"> </w:t>
      </w:r>
      <w:r>
        <w:t>Plan</w:t>
      </w:r>
      <w:r>
        <w:rPr>
          <w:spacing w:val="-3"/>
        </w:rPr>
        <w:t xml:space="preserve"> </w:t>
      </w:r>
      <w:r>
        <w:t>Management</w:t>
      </w:r>
      <w:r>
        <w:rPr>
          <w:spacing w:val="-3"/>
        </w:rPr>
        <w:t xml:space="preserve"> </w:t>
      </w:r>
      <w:r>
        <w:t>System</w:t>
      </w:r>
      <w:r>
        <w:rPr>
          <w:spacing w:val="-3"/>
        </w:rPr>
        <w:t xml:space="preserve"> </w:t>
      </w:r>
      <w:r>
        <w:t>(HPMS)</w:t>
      </w:r>
      <w:r>
        <w:rPr>
          <w:spacing w:val="-3"/>
        </w:rPr>
        <w:t xml:space="preserve"> </w:t>
      </w:r>
      <w:r>
        <w:t>in the CMS-approved electronic format—the MA BPT or the MSA BPT. The MA BPT is not to be completed for Section 1876 cost plans, Section 1833 cost plans, and Program of All-Inclusive Care for the Elderly (PACE) plans.</w:t>
      </w:r>
    </w:p>
    <w:p>
      <w:pPr>
        <w:pStyle w:val="BodyText"/>
        <w:spacing w:before="120"/>
        <w:ind w:right="1481"/>
      </w:pPr>
      <w:r>
        <w:t>Each</w:t>
      </w:r>
      <w:r>
        <w:rPr>
          <w:spacing w:val="-4"/>
        </w:rPr>
        <w:t xml:space="preserve"> </w:t>
      </w:r>
      <w:r>
        <w:t>bid</w:t>
      </w:r>
      <w:r>
        <w:rPr>
          <w:spacing w:val="-4"/>
        </w:rPr>
        <w:t xml:space="preserve"> </w:t>
      </w:r>
      <w:r>
        <w:t>submission</w:t>
      </w:r>
      <w:r>
        <w:rPr>
          <w:spacing w:val="-4"/>
        </w:rPr>
        <w:t xml:space="preserve"> </w:t>
      </w:r>
      <w:r>
        <w:t>must</w:t>
      </w:r>
      <w:r>
        <w:rPr>
          <w:spacing w:val="-4"/>
        </w:rPr>
        <w:t xml:space="preserve"> </w:t>
      </w:r>
      <w:r>
        <w:t>include</w:t>
      </w:r>
      <w:r>
        <w:rPr>
          <w:spacing w:val="-4"/>
        </w:rPr>
        <w:t xml:space="preserve"> </w:t>
      </w:r>
      <w:r>
        <w:t>an</w:t>
      </w:r>
      <w:r>
        <w:rPr>
          <w:spacing w:val="-4"/>
        </w:rPr>
        <w:t xml:space="preserve"> </w:t>
      </w:r>
      <w:r>
        <w:t>actuarial</w:t>
      </w:r>
      <w:r>
        <w:rPr>
          <w:spacing w:val="-4"/>
        </w:rPr>
        <w:t xml:space="preserve"> </w:t>
      </w:r>
      <w:r>
        <w:t>certification</w:t>
      </w:r>
      <w:r>
        <w:rPr>
          <w:spacing w:val="-3"/>
        </w:rPr>
        <w:t xml:space="preserve"> </w:t>
      </w:r>
      <w:r>
        <w:t>and</w:t>
      </w:r>
      <w:r>
        <w:rPr>
          <w:spacing w:val="-4"/>
        </w:rPr>
        <w:t xml:space="preserve"> </w:t>
      </w:r>
      <w:r>
        <w:t>supporting</w:t>
      </w:r>
      <w:r>
        <w:rPr>
          <w:spacing w:val="-4"/>
        </w:rPr>
        <w:t xml:space="preserve"> </w:t>
      </w:r>
      <w:r>
        <w:t>documentation</w:t>
      </w:r>
      <w:r>
        <w:rPr>
          <w:spacing w:val="-3"/>
        </w:rPr>
        <w:t xml:space="preserve"> </w:t>
      </w:r>
      <w:r>
        <w:t>as described in Appendix A and Appendix B, respectively.</w:t>
      </w:r>
    </w:p>
    <w:p>
      <w:pPr>
        <w:pStyle w:val="BodyText"/>
        <w:spacing w:before="120"/>
        <w:ind w:right="1481"/>
      </w:pPr>
      <w:r>
        <w:t>The submitted bids will be subject to review and audit by CMS or by any person or organization that CMS designates. As part of the review and audit process, CMS or its representative</w:t>
      </w:r>
      <w:r>
        <w:rPr>
          <w:spacing w:val="-5"/>
        </w:rPr>
        <w:t xml:space="preserve"> </w:t>
      </w:r>
      <w:r>
        <w:t>may</w:t>
      </w:r>
      <w:r>
        <w:rPr>
          <w:spacing w:val="-5"/>
        </w:rPr>
        <w:t xml:space="preserve"> </w:t>
      </w:r>
      <w:r>
        <w:t>request</w:t>
      </w:r>
      <w:r>
        <w:rPr>
          <w:spacing w:val="-5"/>
        </w:rPr>
        <w:t xml:space="preserve"> </w:t>
      </w:r>
      <w:r>
        <w:t>additional</w:t>
      </w:r>
      <w:r>
        <w:rPr>
          <w:spacing w:val="-5"/>
        </w:rPr>
        <w:t xml:space="preserve"> </w:t>
      </w:r>
      <w:r>
        <w:t>documentation</w:t>
      </w:r>
      <w:r>
        <w:rPr>
          <w:spacing w:val="-5"/>
        </w:rPr>
        <w:t xml:space="preserve"> </w:t>
      </w:r>
      <w:r>
        <w:t>supporting</w:t>
      </w:r>
      <w:r>
        <w:rPr>
          <w:spacing w:val="-5"/>
        </w:rPr>
        <w:t xml:space="preserve"> </w:t>
      </w:r>
      <w:r>
        <w:t>the</w:t>
      </w:r>
      <w:r>
        <w:rPr>
          <w:spacing w:val="-6"/>
        </w:rPr>
        <w:t xml:space="preserve"> </w:t>
      </w:r>
      <w:r>
        <w:t>information</w:t>
      </w:r>
      <w:r>
        <w:rPr>
          <w:spacing w:val="-2"/>
        </w:rPr>
        <w:t xml:space="preserve"> </w:t>
      </w:r>
      <w:r>
        <w:t>contained</w:t>
      </w:r>
      <w:r>
        <w:rPr>
          <w:spacing w:val="-6"/>
        </w:rPr>
        <w:t xml:space="preserve"> </w:t>
      </w:r>
      <w:r>
        <w:t>in the BPT. Organizations must be prepared to provide this information in a timely manner.</w:t>
      </w:r>
    </w:p>
    <w:p>
      <w:pPr>
        <w:pStyle w:val="BodyText"/>
        <w:spacing w:before="121"/>
        <w:ind w:right="2652"/>
      </w:pPr>
      <w:r>
        <w:t>These</w:t>
      </w:r>
      <w:r>
        <w:rPr>
          <w:spacing w:val="-5"/>
        </w:rPr>
        <w:t xml:space="preserve"> </w:t>
      </w:r>
      <w:r>
        <w:t>bid</w:t>
      </w:r>
      <w:r>
        <w:rPr>
          <w:spacing w:val="-4"/>
        </w:rPr>
        <w:t xml:space="preserve"> </w:t>
      </w:r>
      <w:r>
        <w:t>instructions</w:t>
      </w:r>
      <w:r>
        <w:rPr>
          <w:spacing w:val="-5"/>
        </w:rPr>
        <w:t xml:space="preserve"> </w:t>
      </w:r>
      <w:r>
        <w:t>provide</w:t>
      </w:r>
      <w:r>
        <w:rPr>
          <w:spacing w:val="-4"/>
        </w:rPr>
        <w:t xml:space="preserve"> </w:t>
      </w:r>
      <w:r>
        <w:t>details</w:t>
      </w:r>
      <w:r>
        <w:rPr>
          <w:spacing w:val="-5"/>
        </w:rPr>
        <w:t xml:space="preserve"> </w:t>
      </w:r>
      <w:r>
        <w:t>on</w:t>
      </w:r>
      <w:r>
        <w:rPr>
          <w:spacing w:val="-4"/>
        </w:rPr>
        <w:t xml:space="preserve"> </w:t>
      </w:r>
      <w:r>
        <w:t>the</w:t>
      </w:r>
      <w:r>
        <w:rPr>
          <w:spacing w:val="-4"/>
        </w:rPr>
        <w:t xml:space="preserve"> </w:t>
      </w:r>
      <w:r>
        <w:t>bid</w:t>
      </w:r>
      <w:r>
        <w:rPr>
          <w:spacing w:val="-4"/>
        </w:rPr>
        <w:t xml:space="preserve"> </w:t>
      </w:r>
      <w:r>
        <w:t>submission</w:t>
      </w:r>
      <w:r>
        <w:rPr>
          <w:spacing w:val="-4"/>
        </w:rPr>
        <w:t xml:space="preserve"> </w:t>
      </w:r>
      <w:r>
        <w:t>elements</w:t>
      </w:r>
      <w:r>
        <w:rPr>
          <w:spacing w:val="-5"/>
        </w:rPr>
        <w:t xml:space="preserve"> </w:t>
      </w:r>
      <w:r>
        <w:t>required</w:t>
      </w:r>
      <w:r>
        <w:rPr>
          <w:spacing w:val="-4"/>
        </w:rPr>
        <w:t xml:space="preserve"> </w:t>
      </w:r>
      <w:r>
        <w:t>by 42 CFR 422.254.</w:t>
      </w:r>
    </w:p>
    <w:p>
      <w:pPr>
        <w:pStyle w:val="BodyText"/>
        <w:spacing w:after="0"/>
        <w:sectPr>
          <w:headerReference w:type="default" r:id="rId6"/>
          <w:footerReference w:type="default" r:id="rId7"/>
          <w:pgSz w:w="12240" w:h="15840"/>
          <w:pgMar w:top="960" w:right="0" w:bottom="940" w:left="1080" w:header="727" w:footer="747"/>
          <w:cols w:space="720"/>
        </w:sectPr>
      </w:pPr>
    </w:p>
    <w:p>
      <w:pPr>
        <w:pStyle w:val="BodyText"/>
        <w:spacing w:before="226"/>
        <w:ind w:left="0"/>
        <w:rPr>
          <w:sz w:val="21"/>
        </w:rPr>
      </w:pPr>
    </w:p>
    <w:p>
      <w:pPr>
        <w:pStyle w:val="Heading2"/>
      </w:pPr>
      <w:bookmarkStart w:id="8" w:name="Document Overview"/>
      <w:bookmarkEnd w:id="8"/>
      <w:bookmarkStart w:id="9" w:name="_bookmark3"/>
      <w:bookmarkEnd w:id="9"/>
      <w:r>
        <w:rPr>
          <w:smallCaps/>
        </w:rPr>
        <w:t>Document</w:t>
      </w:r>
      <w:r>
        <w:rPr>
          <w:smallCaps/>
          <w:spacing w:val="-10"/>
        </w:rPr>
        <w:t xml:space="preserve"> </w:t>
      </w:r>
      <w:r>
        <w:rPr>
          <w:smallCaps/>
          <w:spacing w:val="-2"/>
        </w:rPr>
        <w:t>Overview</w:t>
      </w:r>
    </w:p>
    <w:p>
      <w:pPr>
        <w:pStyle w:val="BodyText"/>
        <w:spacing w:before="180"/>
        <w:ind w:right="1481"/>
      </w:pPr>
      <w:r>
        <w:t>This</w:t>
      </w:r>
      <w:r>
        <w:rPr>
          <w:spacing w:val="-5"/>
        </w:rPr>
        <w:t xml:space="preserve"> </w:t>
      </w:r>
      <w:r>
        <w:t>document</w:t>
      </w:r>
      <w:r>
        <w:rPr>
          <w:spacing w:val="-4"/>
        </w:rPr>
        <w:t xml:space="preserve"> </w:t>
      </w:r>
      <w:r>
        <w:t>contains</w:t>
      </w:r>
      <w:r>
        <w:rPr>
          <w:spacing w:val="-3"/>
        </w:rPr>
        <w:t xml:space="preserve"> </w:t>
      </w:r>
      <w:r>
        <w:t>general</w:t>
      </w:r>
      <w:r>
        <w:rPr>
          <w:spacing w:val="-4"/>
        </w:rPr>
        <w:t xml:space="preserve"> </w:t>
      </w:r>
      <w:r>
        <w:t>pricing</w:t>
      </w:r>
      <w:r>
        <w:rPr>
          <w:spacing w:val="-4"/>
        </w:rPr>
        <w:t xml:space="preserve"> </w:t>
      </w:r>
      <w:r>
        <w:t>considerations</w:t>
      </w:r>
      <w:r>
        <w:rPr>
          <w:spacing w:val="-5"/>
        </w:rPr>
        <w:t xml:space="preserve"> </w:t>
      </w:r>
      <w:r>
        <w:t>and</w:t>
      </w:r>
      <w:r>
        <w:rPr>
          <w:spacing w:val="-4"/>
        </w:rPr>
        <w:t xml:space="preserve"> </w:t>
      </w:r>
      <w:r>
        <w:t>detailed</w:t>
      </w:r>
      <w:r>
        <w:rPr>
          <w:spacing w:val="-4"/>
        </w:rPr>
        <w:t xml:space="preserve"> </w:t>
      </w:r>
      <w:r>
        <w:t>instructions</w:t>
      </w:r>
      <w:r>
        <w:rPr>
          <w:spacing w:val="-3"/>
        </w:rPr>
        <w:t xml:space="preserve"> </w:t>
      </w:r>
      <w:r>
        <w:t>for</w:t>
      </w:r>
      <w:r>
        <w:rPr>
          <w:spacing w:val="-6"/>
        </w:rPr>
        <w:t xml:space="preserve"> </w:t>
      </w:r>
      <w:r>
        <w:t>completing the BPT. Following are the contents of each section:</w:t>
      </w:r>
    </w:p>
    <w:p>
      <w:pPr>
        <w:pStyle w:val="ListParagraph"/>
        <w:numPr>
          <w:ilvl w:val="0"/>
          <w:numId w:val="55"/>
        </w:numPr>
        <w:tabs>
          <w:tab w:val="left" w:pos="1584"/>
        </w:tabs>
        <w:spacing w:before="120" w:after="0" w:line="240" w:lineRule="auto"/>
        <w:ind w:left="1584" w:right="1647" w:hanging="360"/>
        <w:jc w:val="left"/>
        <w:rPr>
          <w:sz w:val="24"/>
        </w:rPr>
      </w:pPr>
      <w:r>
        <w:rPr>
          <w:sz w:val="24"/>
        </w:rPr>
        <w:t>Section</w:t>
      </w:r>
      <w:r>
        <w:rPr>
          <w:spacing w:val="-4"/>
          <w:sz w:val="24"/>
        </w:rPr>
        <w:t xml:space="preserve"> </w:t>
      </w:r>
      <w:r>
        <w:rPr>
          <w:sz w:val="24"/>
        </w:rPr>
        <w:t>I,</w:t>
      </w:r>
      <w:r>
        <w:rPr>
          <w:spacing w:val="-2"/>
          <w:sz w:val="24"/>
        </w:rPr>
        <w:t xml:space="preserve"> </w:t>
      </w:r>
      <w:r>
        <w:rPr>
          <w:sz w:val="24"/>
        </w:rPr>
        <w:t>“Introduction”:</w:t>
      </w:r>
      <w:r>
        <w:rPr>
          <w:spacing w:val="-2"/>
          <w:sz w:val="24"/>
        </w:rPr>
        <w:t xml:space="preserve"> </w:t>
      </w:r>
      <w:r>
        <w:rPr>
          <w:sz w:val="24"/>
        </w:rPr>
        <w:t>contains</w:t>
      </w:r>
      <w:r>
        <w:rPr>
          <w:spacing w:val="-5"/>
          <w:sz w:val="24"/>
        </w:rPr>
        <w:t xml:space="preserve"> </w:t>
      </w:r>
      <w:r>
        <w:rPr>
          <w:sz w:val="24"/>
        </w:rPr>
        <w:t>a</w:t>
      </w:r>
      <w:r>
        <w:rPr>
          <w:spacing w:val="-5"/>
          <w:sz w:val="24"/>
        </w:rPr>
        <w:t xml:space="preserve"> </w:t>
      </w:r>
      <w:r>
        <w:rPr>
          <w:sz w:val="24"/>
        </w:rPr>
        <w:t>list</w:t>
      </w:r>
      <w:r>
        <w:rPr>
          <w:spacing w:val="-4"/>
          <w:sz w:val="24"/>
        </w:rPr>
        <w:t xml:space="preserve"> </w:t>
      </w:r>
      <w:r>
        <w:rPr>
          <w:sz w:val="24"/>
        </w:rPr>
        <w:t>of</w:t>
      </w:r>
      <w:r>
        <w:rPr>
          <w:spacing w:val="-4"/>
          <w:sz w:val="24"/>
        </w:rPr>
        <w:t xml:space="preserve"> </w:t>
      </w:r>
      <w:r>
        <w:rPr>
          <w:sz w:val="24"/>
        </w:rPr>
        <w:t>key</w:t>
      </w:r>
      <w:r>
        <w:rPr>
          <w:spacing w:val="-4"/>
          <w:sz w:val="24"/>
        </w:rPr>
        <w:t xml:space="preserve"> </w:t>
      </w:r>
      <w:r>
        <w:rPr>
          <w:sz w:val="24"/>
        </w:rPr>
        <w:t>changes</w:t>
      </w:r>
      <w:r>
        <w:rPr>
          <w:spacing w:val="-5"/>
          <w:sz w:val="24"/>
        </w:rPr>
        <w:t xml:space="preserve"> </w:t>
      </w:r>
      <w:r>
        <w:rPr>
          <w:sz w:val="24"/>
        </w:rPr>
        <w:t>from</w:t>
      </w:r>
      <w:r>
        <w:rPr>
          <w:spacing w:val="-3"/>
          <w:sz w:val="24"/>
        </w:rPr>
        <w:t xml:space="preserve"> </w:t>
      </w:r>
      <w:r>
        <w:rPr>
          <w:sz w:val="24"/>
        </w:rPr>
        <w:t>the</w:t>
      </w:r>
      <w:r>
        <w:rPr>
          <w:spacing w:val="-5"/>
          <w:sz w:val="24"/>
        </w:rPr>
        <w:t xml:space="preserve"> </w:t>
      </w:r>
      <w:r>
        <w:rPr>
          <w:sz w:val="24"/>
        </w:rPr>
        <w:t>CY2026BPT</w:t>
      </w:r>
      <w:r>
        <w:rPr>
          <w:spacing w:val="-4"/>
          <w:sz w:val="24"/>
        </w:rPr>
        <w:t xml:space="preserve"> </w:t>
      </w:r>
      <w:r>
        <w:rPr>
          <w:sz w:val="24"/>
        </w:rPr>
        <w:t>and provides sources of information that can be accessed for assistance during the bid submission process.</w:t>
      </w:r>
    </w:p>
    <w:p>
      <w:pPr>
        <w:pStyle w:val="ListParagraph"/>
        <w:numPr>
          <w:ilvl w:val="0"/>
          <w:numId w:val="55"/>
        </w:numPr>
        <w:tabs>
          <w:tab w:val="left" w:pos="1584"/>
        </w:tabs>
        <w:spacing w:before="0" w:after="0" w:line="240" w:lineRule="auto"/>
        <w:ind w:left="1584" w:right="2068" w:hanging="360"/>
        <w:jc w:val="left"/>
        <w:rPr>
          <w:sz w:val="24"/>
        </w:rPr>
      </w:pPr>
      <w:r>
        <w:rPr>
          <w:sz w:val="24"/>
        </w:rPr>
        <w:t>Section</w:t>
      </w:r>
      <w:r>
        <w:rPr>
          <w:spacing w:val="-5"/>
          <w:sz w:val="24"/>
        </w:rPr>
        <w:t xml:space="preserve"> </w:t>
      </w:r>
      <w:r>
        <w:rPr>
          <w:sz w:val="24"/>
        </w:rPr>
        <w:t>II,</w:t>
      </w:r>
      <w:r>
        <w:rPr>
          <w:spacing w:val="-5"/>
          <w:sz w:val="24"/>
        </w:rPr>
        <w:t xml:space="preserve"> </w:t>
      </w:r>
      <w:r>
        <w:rPr>
          <w:sz w:val="24"/>
        </w:rPr>
        <w:t>“Pricing</w:t>
      </w:r>
      <w:r>
        <w:rPr>
          <w:spacing w:val="-5"/>
          <w:sz w:val="24"/>
        </w:rPr>
        <w:t xml:space="preserve"> </w:t>
      </w:r>
      <w:r>
        <w:rPr>
          <w:sz w:val="24"/>
        </w:rPr>
        <w:t>Considerations”:</w:t>
      </w:r>
      <w:r>
        <w:rPr>
          <w:spacing w:val="-5"/>
          <w:sz w:val="24"/>
        </w:rPr>
        <w:t xml:space="preserve"> </w:t>
      </w:r>
      <w:r>
        <w:rPr>
          <w:sz w:val="24"/>
        </w:rPr>
        <w:t>contains</w:t>
      </w:r>
      <w:r>
        <w:rPr>
          <w:spacing w:val="-5"/>
          <w:sz w:val="24"/>
        </w:rPr>
        <w:t xml:space="preserve"> </w:t>
      </w:r>
      <w:r>
        <w:rPr>
          <w:sz w:val="24"/>
        </w:rPr>
        <w:t>guidance</w:t>
      </w:r>
      <w:r>
        <w:rPr>
          <w:spacing w:val="-6"/>
          <w:sz w:val="24"/>
        </w:rPr>
        <w:t xml:space="preserve"> </w:t>
      </w:r>
      <w:r>
        <w:rPr>
          <w:sz w:val="24"/>
        </w:rPr>
        <w:t>for</w:t>
      </w:r>
      <w:r>
        <w:rPr>
          <w:spacing w:val="-6"/>
          <w:sz w:val="24"/>
        </w:rPr>
        <w:t xml:space="preserve"> </w:t>
      </w:r>
      <w:r>
        <w:rPr>
          <w:sz w:val="24"/>
        </w:rPr>
        <w:t>preparing</w:t>
      </w:r>
      <w:r>
        <w:rPr>
          <w:spacing w:val="-5"/>
          <w:sz w:val="24"/>
        </w:rPr>
        <w:t xml:space="preserve"> </w:t>
      </w:r>
      <w:r>
        <w:rPr>
          <w:sz w:val="24"/>
        </w:rPr>
        <w:t>bids</w:t>
      </w:r>
      <w:r>
        <w:rPr>
          <w:spacing w:val="-3"/>
          <w:sz w:val="24"/>
        </w:rPr>
        <w:t xml:space="preserve"> </w:t>
      </w:r>
      <w:r>
        <w:rPr>
          <w:sz w:val="24"/>
        </w:rPr>
        <w:t>and presenting pricing results in the BPT.</w:t>
      </w:r>
    </w:p>
    <w:p>
      <w:pPr>
        <w:pStyle w:val="ListParagraph"/>
        <w:numPr>
          <w:ilvl w:val="0"/>
          <w:numId w:val="55"/>
        </w:numPr>
        <w:tabs>
          <w:tab w:val="left" w:pos="1584"/>
        </w:tabs>
        <w:spacing w:before="0" w:after="0" w:line="240" w:lineRule="auto"/>
        <w:ind w:left="1584" w:right="1874" w:hanging="360"/>
        <w:jc w:val="left"/>
        <w:rPr>
          <w:sz w:val="24"/>
        </w:rPr>
      </w:pPr>
      <w:r>
        <w:rPr>
          <w:sz w:val="24"/>
        </w:rPr>
        <w:t>Section III, “Data Entry and Formulas”: contains directions for completing the seven</w:t>
      </w:r>
      <w:r>
        <w:rPr>
          <w:spacing w:val="-4"/>
          <w:sz w:val="24"/>
        </w:rPr>
        <w:t xml:space="preserve"> </w:t>
      </w:r>
      <w:r>
        <w:rPr>
          <w:sz w:val="24"/>
        </w:rPr>
        <w:t>worksheets</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MA</w:t>
      </w:r>
      <w:r>
        <w:rPr>
          <w:spacing w:val="-4"/>
          <w:sz w:val="24"/>
        </w:rPr>
        <w:t xml:space="preserve"> </w:t>
      </w:r>
      <w:r>
        <w:rPr>
          <w:sz w:val="24"/>
        </w:rPr>
        <w:t>BPT</w:t>
      </w:r>
      <w:r>
        <w:rPr>
          <w:spacing w:val="-4"/>
          <w:sz w:val="24"/>
        </w:rPr>
        <w:t xml:space="preserve"> </w:t>
      </w:r>
      <w:r>
        <w:rPr>
          <w:sz w:val="24"/>
        </w:rPr>
        <w:t>and</w:t>
      </w:r>
      <w:r>
        <w:rPr>
          <w:spacing w:val="-4"/>
          <w:sz w:val="24"/>
        </w:rPr>
        <w:t xml:space="preserve"> </w:t>
      </w:r>
      <w:r>
        <w:rPr>
          <w:sz w:val="24"/>
        </w:rPr>
        <w:t>explains</w:t>
      </w:r>
      <w:r>
        <w:rPr>
          <w:spacing w:val="-4"/>
          <w:sz w:val="24"/>
        </w:rPr>
        <w:t xml:space="preserve"> </w:t>
      </w:r>
      <w:r>
        <w:rPr>
          <w:sz w:val="24"/>
        </w:rPr>
        <w:t>the</w:t>
      </w:r>
      <w:r>
        <w:rPr>
          <w:spacing w:val="-4"/>
          <w:sz w:val="24"/>
        </w:rPr>
        <w:t xml:space="preserve"> </w:t>
      </w:r>
      <w:r>
        <w:rPr>
          <w:sz w:val="24"/>
        </w:rPr>
        <w:t>formulas</w:t>
      </w:r>
      <w:r>
        <w:rPr>
          <w:spacing w:val="-2"/>
          <w:sz w:val="24"/>
        </w:rPr>
        <w:t xml:space="preserve"> </w:t>
      </w:r>
      <w:r>
        <w:rPr>
          <w:sz w:val="24"/>
        </w:rPr>
        <w:t>for</w:t>
      </w:r>
      <w:r>
        <w:rPr>
          <w:spacing w:val="-4"/>
          <w:sz w:val="24"/>
        </w:rPr>
        <w:t xml:space="preserve"> </w:t>
      </w:r>
      <w:r>
        <w:rPr>
          <w:sz w:val="24"/>
        </w:rPr>
        <w:t>calculated</w:t>
      </w:r>
      <w:r>
        <w:rPr>
          <w:spacing w:val="-3"/>
          <w:sz w:val="24"/>
        </w:rPr>
        <w:t xml:space="preserve"> </w:t>
      </w:r>
      <w:r>
        <w:rPr>
          <w:sz w:val="24"/>
        </w:rPr>
        <w:t>cells.</w:t>
      </w:r>
    </w:p>
    <w:p>
      <w:pPr>
        <w:pStyle w:val="ListParagraph"/>
        <w:numPr>
          <w:ilvl w:val="0"/>
          <w:numId w:val="55"/>
        </w:numPr>
        <w:tabs>
          <w:tab w:val="left" w:pos="1584"/>
        </w:tabs>
        <w:spacing w:before="0" w:after="0" w:line="240" w:lineRule="auto"/>
        <w:ind w:left="1584" w:right="1705" w:hanging="360"/>
        <w:jc w:val="left"/>
        <w:rPr>
          <w:sz w:val="24"/>
        </w:rPr>
      </w:pPr>
      <w:r>
        <w:rPr>
          <w:sz w:val="24"/>
        </w:rPr>
        <w:t>Section</w:t>
      </w:r>
      <w:r>
        <w:rPr>
          <w:spacing w:val="-4"/>
          <w:sz w:val="24"/>
        </w:rPr>
        <w:t xml:space="preserve"> </w:t>
      </w:r>
      <w:r>
        <w:rPr>
          <w:sz w:val="24"/>
        </w:rPr>
        <w:t>IV,</w:t>
      </w:r>
      <w:r>
        <w:rPr>
          <w:spacing w:val="-4"/>
          <w:sz w:val="24"/>
        </w:rPr>
        <w:t xml:space="preserve"> </w:t>
      </w:r>
      <w:r>
        <w:rPr>
          <w:sz w:val="24"/>
        </w:rPr>
        <w:t>Appendices</w:t>
      </w:r>
      <w:r>
        <w:rPr>
          <w:spacing w:val="-1"/>
          <w:sz w:val="24"/>
        </w:rPr>
        <w:t xml:space="preserve"> </w:t>
      </w:r>
      <w:r>
        <w:rPr>
          <w:sz w:val="24"/>
        </w:rPr>
        <w:t>A</w:t>
      </w:r>
      <w:r>
        <w:rPr>
          <w:spacing w:val="-5"/>
          <w:sz w:val="24"/>
        </w:rPr>
        <w:t xml:space="preserve"> </w:t>
      </w:r>
      <w:r>
        <w:rPr>
          <w:sz w:val="24"/>
        </w:rPr>
        <w:t>through</w:t>
      </w:r>
      <w:r>
        <w:rPr>
          <w:spacing w:val="-4"/>
          <w:sz w:val="24"/>
        </w:rPr>
        <w:t xml:space="preserve"> </w:t>
      </w:r>
      <w:r>
        <w:rPr>
          <w:sz w:val="24"/>
        </w:rPr>
        <w:t>J:</w:t>
      </w:r>
      <w:r>
        <w:rPr>
          <w:spacing w:val="-4"/>
          <w:sz w:val="24"/>
        </w:rPr>
        <w:t xml:space="preserve"> </w:t>
      </w:r>
      <w:r>
        <w:rPr>
          <w:sz w:val="24"/>
        </w:rPr>
        <w:t>contain</w:t>
      </w:r>
      <w:r>
        <w:rPr>
          <w:spacing w:val="-4"/>
          <w:sz w:val="24"/>
        </w:rPr>
        <w:t xml:space="preserve"> </w:t>
      </w:r>
      <w:r>
        <w:rPr>
          <w:sz w:val="24"/>
        </w:rPr>
        <w:t>requirements</w:t>
      </w:r>
      <w:r>
        <w:rPr>
          <w:spacing w:val="-5"/>
          <w:sz w:val="24"/>
        </w:rPr>
        <w:t xml:space="preserve"> </w:t>
      </w:r>
      <w:r>
        <w:rPr>
          <w:sz w:val="24"/>
        </w:rPr>
        <w:t>for</w:t>
      </w:r>
      <w:r>
        <w:rPr>
          <w:spacing w:val="-5"/>
          <w:sz w:val="24"/>
        </w:rPr>
        <w:t xml:space="preserve"> </w:t>
      </w:r>
      <w:r>
        <w:rPr>
          <w:sz w:val="24"/>
        </w:rPr>
        <w:t>and</w:t>
      </w:r>
      <w:r>
        <w:rPr>
          <w:spacing w:val="-3"/>
          <w:sz w:val="24"/>
        </w:rPr>
        <w:t xml:space="preserve"> </w:t>
      </w:r>
      <w:r>
        <w:rPr>
          <w:sz w:val="24"/>
        </w:rPr>
        <w:t>information</w:t>
      </w:r>
      <w:r>
        <w:rPr>
          <w:spacing w:val="-4"/>
          <w:sz w:val="24"/>
        </w:rPr>
        <w:t xml:space="preserve"> </w:t>
      </w:r>
      <w:r>
        <w:rPr>
          <w:sz w:val="24"/>
        </w:rPr>
        <w:t>on Actuarial Certification, Supporting Documentation, Part B-Only Enrollees,</w:t>
      </w:r>
    </w:p>
    <w:p>
      <w:pPr>
        <w:pStyle w:val="BodyText"/>
        <w:ind w:left="1584" w:right="1481"/>
      </w:pPr>
      <w:r>
        <w:t>MA</w:t>
      </w:r>
      <w:r>
        <w:rPr>
          <w:spacing w:val="-6"/>
        </w:rPr>
        <w:t xml:space="preserve"> </w:t>
      </w:r>
      <w:r>
        <w:t>Plans</w:t>
      </w:r>
      <w:r>
        <w:rPr>
          <w:spacing w:val="-6"/>
        </w:rPr>
        <w:t xml:space="preserve"> </w:t>
      </w:r>
      <w:r>
        <w:t>Available</w:t>
      </w:r>
      <w:r>
        <w:rPr>
          <w:spacing w:val="-5"/>
        </w:rPr>
        <w:t xml:space="preserve"> </w:t>
      </w:r>
      <w:r>
        <w:t>to</w:t>
      </w:r>
      <w:r>
        <w:rPr>
          <w:spacing w:val="-5"/>
        </w:rPr>
        <w:t xml:space="preserve"> </w:t>
      </w:r>
      <w:r>
        <w:t>Employer/Union</w:t>
      </w:r>
      <w:r>
        <w:rPr>
          <w:spacing w:val="-4"/>
        </w:rPr>
        <w:t xml:space="preserve"> </w:t>
      </w:r>
      <w:r>
        <w:t>Groups,</w:t>
      </w:r>
      <w:r>
        <w:rPr>
          <w:spacing w:val="-3"/>
        </w:rPr>
        <w:t xml:space="preserve"> </w:t>
      </w:r>
      <w:r>
        <w:t>Rebate</w:t>
      </w:r>
      <w:r>
        <w:rPr>
          <w:spacing w:val="-5"/>
        </w:rPr>
        <w:t xml:space="preserve"> </w:t>
      </w:r>
      <w:r>
        <w:t>Reallocation</w:t>
      </w:r>
      <w:r>
        <w:rPr>
          <w:spacing w:val="-5"/>
        </w:rPr>
        <w:t xml:space="preserve"> </w:t>
      </w:r>
      <w:r>
        <w:t>and</w:t>
      </w:r>
      <w:r>
        <w:rPr>
          <w:spacing w:val="-3"/>
        </w:rPr>
        <w:t xml:space="preserve"> </w:t>
      </w:r>
      <w:r>
        <w:t>Premium Rounding, Suggested Mapping of MA PBP Categories to BPT Categories, DE# Summary, the MSA BPT, Trending Risk Scores, and Data Aggregation Examples.</w:t>
      </w:r>
    </w:p>
    <w:p>
      <w:pPr>
        <w:pStyle w:val="BodyText"/>
        <w:spacing w:before="43"/>
        <w:ind w:left="0"/>
      </w:pPr>
    </w:p>
    <w:p>
      <w:pPr>
        <w:pStyle w:val="Heading2"/>
      </w:pPr>
      <w:bookmarkStart w:id="10" w:name="New for Contract Year 2027 (CY2027)"/>
      <w:bookmarkEnd w:id="10"/>
      <w:bookmarkStart w:id="11" w:name="_bookmark4"/>
      <w:bookmarkEnd w:id="11"/>
      <w:r>
        <w:rPr>
          <w:smallCaps/>
        </w:rPr>
        <w:t>New</w:t>
      </w:r>
      <w:r>
        <w:rPr>
          <w:smallCaps/>
          <w:spacing w:val="-13"/>
        </w:rPr>
        <w:t xml:space="preserve"> </w:t>
      </w:r>
      <w:r>
        <w:rPr>
          <w:smallCaps/>
        </w:rPr>
        <w:t>for</w:t>
      </w:r>
      <w:r>
        <w:rPr>
          <w:smallCaps/>
          <w:spacing w:val="-6"/>
        </w:rPr>
        <w:t xml:space="preserve"> </w:t>
      </w:r>
      <w:r>
        <w:rPr>
          <w:smallCaps/>
        </w:rPr>
        <w:t>Contract</w:t>
      </w:r>
      <w:r>
        <w:rPr>
          <w:smallCaps/>
          <w:spacing w:val="-6"/>
        </w:rPr>
        <w:t xml:space="preserve"> </w:t>
      </w:r>
      <w:r>
        <w:rPr>
          <w:smallCaps/>
        </w:rPr>
        <w:t>Year</w:t>
      </w:r>
      <w:r>
        <w:rPr>
          <w:smallCaps/>
          <w:spacing w:val="-7"/>
        </w:rPr>
        <w:t xml:space="preserve"> </w:t>
      </w:r>
      <w:r>
        <w:rPr>
          <w:smallCaps/>
        </w:rPr>
        <w:t>2027</w:t>
      </w:r>
      <w:r>
        <w:rPr>
          <w:smallCaps/>
          <w:spacing w:val="-15"/>
        </w:rPr>
        <w:t xml:space="preserve"> </w:t>
      </w:r>
      <w:r>
        <w:rPr>
          <w:smallCaps/>
          <w:spacing w:val="-2"/>
        </w:rPr>
        <w:t>(CY2027)</w:t>
      </w:r>
    </w:p>
    <w:p>
      <w:pPr>
        <w:pStyle w:val="ListParagraph"/>
        <w:numPr>
          <w:ilvl w:val="0"/>
          <w:numId w:val="54"/>
        </w:numPr>
        <w:tabs>
          <w:tab w:val="left" w:pos="1224"/>
        </w:tabs>
        <w:spacing w:before="181" w:after="0" w:line="240" w:lineRule="auto"/>
        <w:ind w:left="1224" w:right="0" w:hanging="360"/>
        <w:jc w:val="left"/>
        <w:rPr>
          <w:sz w:val="24"/>
        </w:rPr>
      </w:pPr>
      <w:r>
        <w:rPr>
          <w:sz w:val="24"/>
        </w:rPr>
        <w:t>Removal</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VBID-C</w:t>
      </w:r>
      <w:r>
        <w:rPr>
          <w:spacing w:val="1"/>
          <w:sz w:val="24"/>
        </w:rPr>
        <w:t xml:space="preserve"> </w:t>
      </w:r>
      <w:r>
        <w:rPr>
          <w:sz w:val="24"/>
        </w:rPr>
        <w:t>cell from</w:t>
      </w:r>
      <w:r>
        <w:rPr>
          <w:spacing w:val="-1"/>
          <w:sz w:val="24"/>
        </w:rPr>
        <w:t xml:space="preserve"> </w:t>
      </w:r>
      <w:r>
        <w:rPr>
          <w:sz w:val="24"/>
        </w:rPr>
        <w:t>section I</w:t>
      </w:r>
      <w:r>
        <w:rPr>
          <w:spacing w:val="-5"/>
          <w:sz w:val="24"/>
        </w:rPr>
        <w:t xml:space="preserve"> </w:t>
      </w:r>
      <w:r>
        <w:rPr>
          <w:sz w:val="24"/>
        </w:rPr>
        <w:t>on</w:t>
      </w:r>
      <w:r>
        <w:rPr>
          <w:spacing w:val="2"/>
          <w:sz w:val="24"/>
        </w:rPr>
        <w:t xml:space="preserve"> </w:t>
      </w:r>
      <w:r>
        <w:rPr>
          <w:sz w:val="24"/>
        </w:rPr>
        <w:t>Worksheet</w:t>
      </w:r>
      <w:r>
        <w:rPr>
          <w:spacing w:val="-1"/>
          <w:sz w:val="24"/>
        </w:rPr>
        <w:t xml:space="preserve"> </w:t>
      </w:r>
      <w:r>
        <w:rPr>
          <w:spacing w:val="-5"/>
          <w:sz w:val="24"/>
        </w:rPr>
        <w:t>1.</w:t>
      </w:r>
    </w:p>
    <w:p>
      <w:pPr>
        <w:pStyle w:val="BodyText"/>
        <w:spacing w:before="44"/>
        <w:ind w:left="0"/>
      </w:pPr>
    </w:p>
    <w:p>
      <w:pPr>
        <w:pStyle w:val="Heading2"/>
        <w:spacing w:before="1"/>
      </w:pPr>
      <w:bookmarkStart w:id="12" w:name="Bidding Resources"/>
      <w:bookmarkEnd w:id="12"/>
      <w:bookmarkStart w:id="13" w:name="_bookmark5"/>
      <w:bookmarkEnd w:id="13"/>
      <w:r>
        <w:rPr>
          <w:smallCaps/>
        </w:rPr>
        <w:t>Bidding</w:t>
      </w:r>
      <w:r>
        <w:rPr>
          <w:smallCaps/>
          <w:spacing w:val="-10"/>
        </w:rPr>
        <w:t xml:space="preserve"> </w:t>
      </w:r>
      <w:r>
        <w:rPr>
          <w:smallCaps/>
          <w:spacing w:val="-2"/>
        </w:rPr>
        <w:t>Resources</w:t>
      </w:r>
    </w:p>
    <w:p>
      <w:pPr>
        <w:pStyle w:val="BodyText"/>
        <w:spacing w:before="176"/>
      </w:pPr>
      <w:r>
        <w:t>The</w:t>
      </w:r>
      <w:r>
        <w:rPr>
          <w:spacing w:val="-2"/>
        </w:rPr>
        <w:t xml:space="preserve"> </w:t>
      </w:r>
      <w:r>
        <w:t>following</w:t>
      </w:r>
      <w:r>
        <w:rPr>
          <w:spacing w:val="-1"/>
        </w:rPr>
        <w:t xml:space="preserve"> </w:t>
      </w:r>
      <w:r>
        <w:t>resources</w:t>
      </w:r>
      <w:r>
        <w:rPr>
          <w:spacing w:val="1"/>
        </w:rPr>
        <w:t xml:space="preserve"> </w:t>
      </w:r>
      <w:r>
        <w:t>provide</w:t>
      </w:r>
      <w:r>
        <w:rPr>
          <w:spacing w:val="-2"/>
        </w:rPr>
        <w:t xml:space="preserve"> </w:t>
      </w:r>
      <w:r>
        <w:t>information</w:t>
      </w:r>
      <w:r>
        <w:rPr>
          <w:spacing w:val="-1"/>
        </w:rPr>
        <w:t xml:space="preserve"> </w:t>
      </w:r>
      <w:r>
        <w:t>on</w:t>
      </w:r>
      <w:r>
        <w:rPr>
          <w:spacing w:val="-1"/>
        </w:rPr>
        <w:t xml:space="preserve"> </w:t>
      </w:r>
      <w:r>
        <w:t xml:space="preserve">CY2027 </w:t>
      </w:r>
      <w:r>
        <w:rPr>
          <w:spacing w:val="-2"/>
        </w:rPr>
        <w:t>bidding:</w:t>
      </w:r>
    </w:p>
    <w:p>
      <w:pPr>
        <w:pStyle w:val="ListParagraph"/>
        <w:numPr>
          <w:ilvl w:val="1"/>
          <w:numId w:val="54"/>
        </w:numPr>
        <w:tabs>
          <w:tab w:val="left" w:pos="1584"/>
        </w:tabs>
        <w:spacing w:before="121" w:after="0" w:line="240" w:lineRule="auto"/>
        <w:ind w:left="1584" w:right="2172" w:hanging="360"/>
        <w:jc w:val="left"/>
        <w:rPr>
          <w:sz w:val="24"/>
        </w:rPr>
      </w:pPr>
      <w:r>
        <w:rPr>
          <w:sz w:val="24"/>
        </w:rPr>
        <w:t xml:space="preserve">The CY2027 Advance Notices and Announcement are available at </w:t>
      </w:r>
      <w:hyperlink r:id="rId8">
        <w:r>
          <w:rPr>
            <w:color w:val="0000FF"/>
            <w:spacing w:val="-2"/>
            <w:sz w:val="24"/>
            <w:u w:val="single" w:color="0000FF"/>
          </w:rPr>
          <w:t>https://www.cms.gov/medicare/payment/medicare-advantage-rates-statistics/</w:t>
        </w:r>
      </w:hyperlink>
      <w:r>
        <w:rPr>
          <w:color w:val="0000FF"/>
          <w:spacing w:val="-2"/>
          <w:sz w:val="24"/>
          <w:u w:val="none"/>
        </w:rPr>
        <w:t xml:space="preserve"> </w:t>
      </w:r>
      <w:hyperlink r:id="rId8">
        <w:r>
          <w:rPr>
            <w:color w:val="0000FF"/>
            <w:spacing w:val="-2"/>
            <w:sz w:val="24"/>
            <w:u w:val="single" w:color="0000FF"/>
          </w:rPr>
          <w:t>announcements-and-documents</w:t>
        </w:r>
      </w:hyperlink>
      <w:r>
        <w:rPr>
          <w:spacing w:val="-2"/>
          <w:sz w:val="24"/>
          <w:u w:val="none"/>
        </w:rPr>
        <w:t>.</w:t>
      </w:r>
    </w:p>
    <w:p>
      <w:pPr>
        <w:pStyle w:val="ListParagraph"/>
        <w:numPr>
          <w:ilvl w:val="1"/>
          <w:numId w:val="54"/>
        </w:numPr>
        <w:tabs>
          <w:tab w:val="left" w:pos="1584"/>
        </w:tabs>
        <w:spacing w:before="0" w:after="0" w:line="240" w:lineRule="auto"/>
        <w:ind w:left="1584" w:right="1555" w:hanging="360"/>
        <w:jc w:val="left"/>
        <w:rPr>
          <w:sz w:val="24"/>
        </w:rPr>
      </w:pPr>
      <w:r>
        <w:rPr>
          <w:sz w:val="24"/>
        </w:rPr>
        <w:t>The</w:t>
      </w:r>
      <w:r>
        <w:rPr>
          <w:spacing w:val="-7"/>
          <w:sz w:val="24"/>
        </w:rPr>
        <w:t xml:space="preserve"> </w:t>
      </w:r>
      <w:r>
        <w:rPr>
          <w:sz w:val="24"/>
        </w:rPr>
        <w:t>Actuarial</w:t>
      </w:r>
      <w:r>
        <w:rPr>
          <w:spacing w:val="-5"/>
          <w:sz w:val="24"/>
        </w:rPr>
        <w:t xml:space="preserve"> </w:t>
      </w:r>
      <w:r>
        <w:rPr>
          <w:sz w:val="24"/>
        </w:rPr>
        <w:t>Bid</w:t>
      </w:r>
      <w:r>
        <w:rPr>
          <w:spacing w:val="-6"/>
          <w:sz w:val="24"/>
        </w:rPr>
        <w:t xml:space="preserve"> </w:t>
      </w:r>
      <w:r>
        <w:rPr>
          <w:sz w:val="24"/>
        </w:rPr>
        <w:t>Training</w:t>
      </w:r>
      <w:r>
        <w:rPr>
          <w:spacing w:val="-6"/>
          <w:sz w:val="24"/>
        </w:rPr>
        <w:t xml:space="preserve"> </w:t>
      </w:r>
      <w:r>
        <w:rPr>
          <w:sz w:val="24"/>
        </w:rPr>
        <w:t>is</w:t>
      </w:r>
      <w:r>
        <w:rPr>
          <w:spacing w:val="-6"/>
          <w:sz w:val="24"/>
        </w:rPr>
        <w:t xml:space="preserve"> </w:t>
      </w:r>
      <w:r>
        <w:rPr>
          <w:sz w:val="24"/>
        </w:rPr>
        <w:t>available</w:t>
      </w:r>
      <w:r>
        <w:rPr>
          <w:spacing w:val="-6"/>
          <w:sz w:val="24"/>
        </w:rPr>
        <w:t xml:space="preserve"> </w:t>
      </w:r>
      <w:r>
        <w:rPr>
          <w:sz w:val="24"/>
        </w:rPr>
        <w:t>at</w:t>
      </w:r>
      <w:r>
        <w:rPr>
          <w:spacing w:val="-6"/>
          <w:sz w:val="24"/>
        </w:rPr>
        <w:t xml:space="preserve"> </w:t>
      </w:r>
      <w:hyperlink r:id="rId9">
        <w:r>
          <w:rPr>
            <w:color w:val="0000FF"/>
            <w:sz w:val="24"/>
            <w:u w:val="single" w:color="0000FF"/>
          </w:rPr>
          <w:t>https://www.cms.gov/medicare/payment/</w:t>
        </w:r>
      </w:hyperlink>
      <w:r>
        <w:rPr>
          <w:color w:val="0000FF"/>
          <w:sz w:val="24"/>
          <w:u w:val="none"/>
        </w:rPr>
        <w:t xml:space="preserve"> </w:t>
      </w:r>
      <w:hyperlink r:id="rId9">
        <w:r>
          <w:rPr>
            <w:color w:val="0000FF"/>
            <w:spacing w:val="-2"/>
            <w:sz w:val="24"/>
            <w:u w:val="single" w:color="0000FF"/>
          </w:rPr>
          <w:t>medicare-advantage-rates-statistics/actuarial-bid-training</w:t>
        </w:r>
      </w:hyperlink>
      <w:r>
        <w:rPr>
          <w:spacing w:val="-2"/>
          <w:sz w:val="24"/>
          <w:u w:val="none"/>
        </w:rPr>
        <w:t>.</w:t>
      </w:r>
    </w:p>
    <w:p>
      <w:pPr>
        <w:pStyle w:val="ListParagraph"/>
        <w:numPr>
          <w:ilvl w:val="1"/>
          <w:numId w:val="54"/>
        </w:numPr>
        <w:tabs>
          <w:tab w:val="left" w:pos="1584"/>
        </w:tabs>
        <w:spacing w:before="0" w:after="0" w:line="240" w:lineRule="auto"/>
        <w:ind w:left="1584" w:right="1838" w:hanging="360"/>
        <w:jc w:val="left"/>
        <w:rPr>
          <w:sz w:val="24"/>
        </w:rPr>
      </w:pPr>
      <w:r>
        <w:rPr>
          <w:sz w:val="24"/>
        </w:rPr>
        <w:t xml:space="preserve">Medicare fee-for-service (FFS) trends can be found at </w:t>
      </w:r>
      <w:hyperlink r:id="rId10">
        <w:r>
          <w:rPr>
            <w:color w:val="0000FF"/>
            <w:spacing w:val="-2"/>
            <w:sz w:val="24"/>
            <w:u w:val="single" w:color="0000FF"/>
          </w:rPr>
          <w:t>https://www.cms.gov/medicare/payment/medicare-advantage-rates-statistics/ffs-</w:t>
        </w:r>
      </w:hyperlink>
      <w:hyperlink r:id="rId10">
        <w:r>
          <w:rPr>
            <w:color w:val="0000FF"/>
            <w:spacing w:val="-2"/>
            <w:sz w:val="24"/>
            <w:u w:val="single" w:color="0000FF"/>
          </w:rPr>
          <w:t>trends</w:t>
        </w:r>
        <w:r>
          <w:rPr>
            <w:spacing w:val="-2"/>
            <w:sz w:val="24"/>
            <w:u w:val="none"/>
          </w:rPr>
          <w:t>.</w:t>
        </w:r>
      </w:hyperlink>
    </w:p>
    <w:p>
      <w:pPr>
        <w:pStyle w:val="ListParagraph"/>
        <w:numPr>
          <w:ilvl w:val="1"/>
          <w:numId w:val="54"/>
        </w:numPr>
        <w:tabs>
          <w:tab w:val="left" w:pos="1584"/>
        </w:tabs>
        <w:spacing w:before="0" w:after="0" w:line="240" w:lineRule="auto"/>
        <w:ind w:left="1584" w:right="2029" w:hanging="360"/>
        <w:jc w:val="left"/>
        <w:rPr>
          <w:sz w:val="24"/>
        </w:rPr>
      </w:pPr>
      <w:r>
        <w:rPr>
          <w:sz w:val="24"/>
        </w:rPr>
        <w:t>For</w:t>
      </w:r>
      <w:r>
        <w:rPr>
          <w:spacing w:val="-4"/>
          <w:sz w:val="24"/>
        </w:rPr>
        <w:t xml:space="preserve"> </w:t>
      </w:r>
      <w:r>
        <w:rPr>
          <w:sz w:val="24"/>
        </w:rPr>
        <w:t>questions</w:t>
      </w:r>
      <w:r>
        <w:rPr>
          <w:spacing w:val="-4"/>
          <w:sz w:val="24"/>
        </w:rPr>
        <w:t xml:space="preserve"> </w:t>
      </w:r>
      <w:r>
        <w:rPr>
          <w:sz w:val="24"/>
        </w:rPr>
        <w:t>about</w:t>
      </w:r>
      <w:r>
        <w:rPr>
          <w:spacing w:val="-3"/>
          <w:sz w:val="24"/>
        </w:rPr>
        <w:t xml:space="preserve"> </w:t>
      </w:r>
      <w:r>
        <w:rPr>
          <w:sz w:val="24"/>
        </w:rPr>
        <w:t>the</w:t>
      </w:r>
      <w:r>
        <w:rPr>
          <w:spacing w:val="-1"/>
          <w:sz w:val="24"/>
        </w:rPr>
        <w:t xml:space="preserve"> </w:t>
      </w:r>
      <w:r>
        <w:rPr>
          <w:sz w:val="24"/>
        </w:rPr>
        <w:t>BPT,</w:t>
      </w:r>
      <w:r>
        <w:rPr>
          <w:spacing w:val="-3"/>
          <w:sz w:val="24"/>
        </w:rPr>
        <w:t xml:space="preserve"> </w:t>
      </w:r>
      <w:r>
        <w:rPr>
          <w:sz w:val="24"/>
        </w:rPr>
        <w:t>email</w:t>
      </w:r>
      <w:r>
        <w:rPr>
          <w:spacing w:val="-3"/>
          <w:sz w:val="24"/>
        </w:rPr>
        <w:t xml:space="preserve"> </w:t>
      </w:r>
      <w:r>
        <w:rPr>
          <w:sz w:val="24"/>
        </w:rPr>
        <w:t>the</w:t>
      </w:r>
      <w:r>
        <w:rPr>
          <w:spacing w:val="-4"/>
          <w:sz w:val="24"/>
        </w:rPr>
        <w:t xml:space="preserve"> </w:t>
      </w:r>
      <w:r>
        <w:rPr>
          <w:sz w:val="24"/>
        </w:rPr>
        <w:t>CMS</w:t>
      </w:r>
      <w:r>
        <w:rPr>
          <w:spacing w:val="-3"/>
          <w:sz w:val="24"/>
        </w:rPr>
        <w:t xml:space="preserve"> </w:t>
      </w:r>
      <w:r>
        <w:rPr>
          <w:sz w:val="24"/>
        </w:rPr>
        <w:t>Office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Actuary</w:t>
      </w:r>
      <w:r>
        <w:rPr>
          <w:spacing w:val="-3"/>
          <w:sz w:val="24"/>
        </w:rPr>
        <w:t xml:space="preserve"> </w:t>
      </w:r>
      <w:r>
        <w:rPr>
          <w:sz w:val="24"/>
        </w:rPr>
        <w:t>(OACT)</w:t>
      </w:r>
      <w:r>
        <w:rPr>
          <w:spacing w:val="-4"/>
          <w:sz w:val="24"/>
        </w:rPr>
        <w:t xml:space="preserve"> </w:t>
      </w:r>
      <w:r>
        <w:rPr>
          <w:sz w:val="24"/>
        </w:rPr>
        <w:t xml:space="preserve">at </w:t>
      </w:r>
      <w:hyperlink r:id="rId11">
        <w:r>
          <w:rPr>
            <w:color w:val="0000FF"/>
            <w:spacing w:val="-2"/>
            <w:sz w:val="24"/>
            <w:u w:val="single" w:color="0000FF"/>
          </w:rPr>
          <w:t>actuarial-bids@cms.hhs.gov</w:t>
        </w:r>
      </w:hyperlink>
      <w:r>
        <w:rPr>
          <w:spacing w:val="-2"/>
          <w:sz w:val="24"/>
          <w:u w:val="none"/>
        </w:rPr>
        <w:t>.</w:t>
      </w:r>
    </w:p>
    <w:p>
      <w:pPr>
        <w:pStyle w:val="ListParagraph"/>
        <w:numPr>
          <w:ilvl w:val="1"/>
          <w:numId w:val="54"/>
        </w:numPr>
        <w:tabs>
          <w:tab w:val="left" w:pos="1584"/>
        </w:tabs>
        <w:spacing w:before="0" w:after="0" w:line="240" w:lineRule="auto"/>
        <w:ind w:left="1584" w:right="1539" w:hanging="360"/>
        <w:jc w:val="left"/>
        <w:rPr>
          <w:sz w:val="24"/>
        </w:rPr>
      </w:pPr>
      <w:r>
        <w:rPr>
          <w:sz w:val="24"/>
        </w:rPr>
        <w:t>OACT</w:t>
      </w:r>
      <w:r>
        <w:rPr>
          <w:spacing w:val="-4"/>
          <w:sz w:val="24"/>
        </w:rPr>
        <w:t xml:space="preserve"> </w:t>
      </w:r>
      <w:r>
        <w:rPr>
          <w:sz w:val="24"/>
        </w:rPr>
        <w:t>will</w:t>
      </w:r>
      <w:r>
        <w:rPr>
          <w:spacing w:val="-4"/>
          <w:sz w:val="24"/>
        </w:rPr>
        <w:t xml:space="preserve"> </w:t>
      </w:r>
      <w:r>
        <w:rPr>
          <w:sz w:val="24"/>
        </w:rPr>
        <w:t>host</w:t>
      </w:r>
      <w:r>
        <w:rPr>
          <w:spacing w:val="-4"/>
          <w:sz w:val="24"/>
        </w:rPr>
        <w:t xml:space="preserve"> </w:t>
      </w:r>
      <w:r>
        <w:rPr>
          <w:sz w:val="24"/>
        </w:rPr>
        <w:t>weekly</w:t>
      </w:r>
      <w:r>
        <w:rPr>
          <w:spacing w:val="-4"/>
          <w:sz w:val="24"/>
        </w:rPr>
        <w:t xml:space="preserve"> </w:t>
      </w:r>
      <w:r>
        <w:rPr>
          <w:sz w:val="24"/>
        </w:rPr>
        <w:t>technical</w:t>
      </w:r>
      <w:r>
        <w:rPr>
          <w:spacing w:val="-4"/>
          <w:sz w:val="24"/>
        </w:rPr>
        <w:t xml:space="preserve"> </w:t>
      </w:r>
      <w:r>
        <w:rPr>
          <w:sz w:val="24"/>
        </w:rPr>
        <w:t>user</w:t>
      </w:r>
      <w:r>
        <w:rPr>
          <w:spacing w:val="-4"/>
          <w:sz w:val="24"/>
        </w:rPr>
        <w:t xml:space="preserve"> </w:t>
      </w:r>
      <w:r>
        <w:rPr>
          <w:sz w:val="24"/>
        </w:rPr>
        <w:t>group</w:t>
      </w:r>
      <w:r>
        <w:rPr>
          <w:spacing w:val="-4"/>
          <w:sz w:val="24"/>
        </w:rPr>
        <w:t xml:space="preserve"> </w:t>
      </w:r>
      <w:r>
        <w:rPr>
          <w:sz w:val="24"/>
        </w:rPr>
        <w:t>calls</w:t>
      </w:r>
      <w:r>
        <w:rPr>
          <w:spacing w:val="-5"/>
          <w:sz w:val="24"/>
        </w:rPr>
        <w:t xml:space="preserve"> </w:t>
      </w:r>
      <w:r>
        <w:rPr>
          <w:sz w:val="24"/>
        </w:rPr>
        <w:t>regarding</w:t>
      </w:r>
      <w:r>
        <w:rPr>
          <w:spacing w:val="-3"/>
          <w:sz w:val="24"/>
        </w:rPr>
        <w:t xml:space="preserve"> </w:t>
      </w:r>
      <w:r>
        <w:rPr>
          <w:sz w:val="24"/>
        </w:rPr>
        <w:t>actuarial</w:t>
      </w:r>
      <w:r>
        <w:rPr>
          <w:spacing w:val="-4"/>
          <w:sz w:val="24"/>
        </w:rPr>
        <w:t xml:space="preserve"> </w:t>
      </w:r>
      <w:r>
        <w:rPr>
          <w:sz w:val="24"/>
        </w:rPr>
        <w:t>aspects</w:t>
      </w:r>
      <w:r>
        <w:rPr>
          <w:spacing w:val="-5"/>
          <w:sz w:val="24"/>
        </w:rPr>
        <w:t xml:space="preserve"> </w:t>
      </w:r>
      <w:r>
        <w:rPr>
          <w:sz w:val="24"/>
        </w:rPr>
        <w:t>of</w:t>
      </w:r>
      <w:r>
        <w:rPr>
          <w:spacing w:val="-4"/>
          <w:sz w:val="24"/>
        </w:rPr>
        <w:t xml:space="preserve"> </w:t>
      </w:r>
      <w:r>
        <w:rPr>
          <w:sz w:val="24"/>
        </w:rPr>
        <w:t xml:space="preserve">the CY2027 bidding process. The conference calls will include live Question and Answer sessions with CMS actuaries. For call-in information, see the OACT memorandum with the subject line “Actuarial User Group Calls” released via </w:t>
      </w:r>
      <w:r>
        <w:rPr>
          <w:spacing w:val="-2"/>
          <w:sz w:val="24"/>
        </w:rPr>
        <w:t>HPMS.</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ListParagraph"/>
        <w:numPr>
          <w:ilvl w:val="1"/>
          <w:numId w:val="54"/>
        </w:numPr>
        <w:tabs>
          <w:tab w:val="left" w:pos="1584"/>
        </w:tabs>
        <w:spacing w:before="0" w:after="0" w:line="240" w:lineRule="auto"/>
        <w:ind w:left="1584" w:right="1952" w:hanging="360"/>
        <w:jc w:val="both"/>
        <w:rPr>
          <w:sz w:val="24"/>
        </w:rPr>
      </w:pPr>
      <w:r>
        <w:rPr>
          <w:sz w:val="24"/>
        </w:rPr>
        <w:t>For</w:t>
      </w:r>
      <w:r>
        <w:rPr>
          <w:spacing w:val="-3"/>
          <w:sz w:val="24"/>
        </w:rPr>
        <w:t xml:space="preserve"> </w:t>
      </w:r>
      <w:r>
        <w:rPr>
          <w:sz w:val="24"/>
        </w:rPr>
        <w:t>technical</w:t>
      </w:r>
      <w:r>
        <w:rPr>
          <w:spacing w:val="-3"/>
          <w:sz w:val="24"/>
        </w:rPr>
        <w:t xml:space="preserve"> </w:t>
      </w:r>
      <w:r>
        <w:rPr>
          <w:sz w:val="24"/>
        </w:rPr>
        <w:t>questions</w:t>
      </w:r>
      <w:r>
        <w:rPr>
          <w:spacing w:val="-2"/>
          <w:sz w:val="24"/>
        </w:rPr>
        <w:t xml:space="preserve"> </w:t>
      </w:r>
      <w:r>
        <w:rPr>
          <w:sz w:val="24"/>
        </w:rPr>
        <w:t>about</w:t>
      </w:r>
      <w:r>
        <w:rPr>
          <w:spacing w:val="-3"/>
          <w:sz w:val="24"/>
        </w:rPr>
        <w:t xml:space="preserve"> </w:t>
      </w:r>
      <w:r>
        <w:rPr>
          <w:sz w:val="24"/>
        </w:rPr>
        <w:t>the</w:t>
      </w:r>
      <w:r>
        <w:rPr>
          <w:spacing w:val="-3"/>
          <w:sz w:val="24"/>
        </w:rPr>
        <w:t xml:space="preserve"> </w:t>
      </w:r>
      <w:r>
        <w:rPr>
          <w:sz w:val="24"/>
        </w:rPr>
        <w:t>BPT,</w:t>
      </w:r>
      <w:r>
        <w:rPr>
          <w:spacing w:val="-3"/>
          <w:sz w:val="24"/>
        </w:rPr>
        <w:t xml:space="preserve"> </w:t>
      </w:r>
      <w:r>
        <w:rPr>
          <w:sz w:val="24"/>
        </w:rPr>
        <w:t>BPT</w:t>
      </w:r>
      <w:r>
        <w:rPr>
          <w:spacing w:val="-3"/>
          <w:sz w:val="24"/>
        </w:rPr>
        <w:t xml:space="preserve"> </w:t>
      </w:r>
      <w:r>
        <w:rPr>
          <w:sz w:val="24"/>
        </w:rPr>
        <w:t>Batch</w:t>
      </w:r>
      <w:r>
        <w:rPr>
          <w:spacing w:val="-3"/>
          <w:sz w:val="24"/>
        </w:rPr>
        <w:t xml:space="preserve"> </w:t>
      </w:r>
      <w:r>
        <w:rPr>
          <w:sz w:val="24"/>
        </w:rPr>
        <w:t>Tools,</w:t>
      </w:r>
      <w:r>
        <w:rPr>
          <w:spacing w:val="-3"/>
          <w:sz w:val="24"/>
        </w:rPr>
        <w:t xml:space="preserve"> </w:t>
      </w:r>
      <w:r>
        <w:rPr>
          <w:sz w:val="24"/>
        </w:rPr>
        <w:t>HPMS,</w:t>
      </w:r>
      <w:r>
        <w:rPr>
          <w:spacing w:val="-3"/>
          <w:sz w:val="24"/>
        </w:rPr>
        <w:t xml:space="preserve"> </w:t>
      </w:r>
      <w:r>
        <w:rPr>
          <w:sz w:val="24"/>
        </w:rPr>
        <w:t>or</w:t>
      </w:r>
      <w:r>
        <w:rPr>
          <w:spacing w:val="-3"/>
          <w:sz w:val="24"/>
        </w:rPr>
        <w:t xml:space="preserve"> </w:t>
      </w:r>
      <w:r>
        <w:rPr>
          <w:sz w:val="24"/>
        </w:rPr>
        <w:t>the</w:t>
      </w:r>
      <w:r>
        <w:rPr>
          <w:spacing w:val="-5"/>
          <w:sz w:val="24"/>
        </w:rPr>
        <w:t xml:space="preserve"> </w:t>
      </w:r>
      <w:r>
        <w:rPr>
          <w:sz w:val="24"/>
        </w:rPr>
        <w:t>upload process, refer to the following resources:</w:t>
      </w:r>
    </w:p>
    <w:p>
      <w:pPr>
        <w:pStyle w:val="ListParagraph"/>
        <w:numPr>
          <w:ilvl w:val="2"/>
          <w:numId w:val="54"/>
        </w:numPr>
        <w:tabs>
          <w:tab w:val="left" w:pos="1944"/>
        </w:tabs>
        <w:spacing w:before="0" w:after="0" w:line="240" w:lineRule="auto"/>
        <w:ind w:left="1944" w:right="1657" w:hanging="360"/>
        <w:jc w:val="both"/>
        <w:rPr>
          <w:sz w:val="24"/>
        </w:rPr>
      </w:pPr>
      <w:r>
        <w:rPr>
          <w:sz w:val="24"/>
        </w:rPr>
        <w:t>The</w:t>
      </w:r>
      <w:r>
        <w:rPr>
          <w:spacing w:val="-6"/>
          <w:sz w:val="24"/>
        </w:rPr>
        <w:t xml:space="preserve"> </w:t>
      </w:r>
      <w:r>
        <w:rPr>
          <w:sz w:val="24"/>
        </w:rPr>
        <w:t>BPT</w:t>
      </w:r>
      <w:r>
        <w:rPr>
          <w:spacing w:val="-4"/>
          <w:sz w:val="24"/>
        </w:rPr>
        <w:t xml:space="preserve"> </w:t>
      </w:r>
      <w:r>
        <w:rPr>
          <w:sz w:val="24"/>
        </w:rPr>
        <w:t>Technical</w:t>
      </w:r>
      <w:r>
        <w:rPr>
          <w:spacing w:val="-2"/>
          <w:sz w:val="24"/>
        </w:rPr>
        <w:t xml:space="preserve"> </w:t>
      </w:r>
      <w:r>
        <w:rPr>
          <w:sz w:val="24"/>
        </w:rPr>
        <w:t>Instructions,</w:t>
      </w:r>
      <w:r>
        <w:rPr>
          <w:spacing w:val="-4"/>
          <w:sz w:val="24"/>
        </w:rPr>
        <w:t xml:space="preserve"> </w:t>
      </w:r>
      <w:r>
        <w:rPr>
          <w:sz w:val="24"/>
        </w:rPr>
        <w:t>located</w:t>
      </w:r>
      <w:r>
        <w:rPr>
          <w:spacing w:val="-4"/>
          <w:sz w:val="24"/>
        </w:rPr>
        <w:t xml:space="preserve"> </w:t>
      </w:r>
      <w:r>
        <w:rPr>
          <w:sz w:val="24"/>
        </w:rPr>
        <w:t>in</w:t>
      </w:r>
      <w:r>
        <w:rPr>
          <w:spacing w:val="-4"/>
          <w:sz w:val="24"/>
        </w:rPr>
        <w:t xml:space="preserve"> </w:t>
      </w:r>
      <w:r>
        <w:rPr>
          <w:sz w:val="24"/>
        </w:rPr>
        <w:t>HPMS,</w:t>
      </w:r>
      <w:r>
        <w:rPr>
          <w:spacing w:val="-4"/>
          <w:sz w:val="24"/>
        </w:rPr>
        <w:t xml:space="preserve"> </w:t>
      </w:r>
      <w:r>
        <w:rPr>
          <w:sz w:val="24"/>
        </w:rPr>
        <w:t>under</w:t>
      </w:r>
      <w:r>
        <w:rPr>
          <w:spacing w:val="-5"/>
          <w:sz w:val="24"/>
        </w:rPr>
        <w:t xml:space="preserve"> </w:t>
      </w:r>
      <w:r>
        <w:rPr>
          <w:sz w:val="24"/>
        </w:rPr>
        <w:t>HPMS</w:t>
      </w:r>
      <w:r>
        <w:rPr>
          <w:spacing w:val="-3"/>
          <w:sz w:val="24"/>
        </w:rPr>
        <w:t xml:space="preserve"> </w:t>
      </w:r>
      <w:r>
        <w:rPr>
          <w:sz w:val="24"/>
        </w:rPr>
        <w:t>Home</w:t>
      </w:r>
      <w:r>
        <w:rPr>
          <w:spacing w:val="-5"/>
          <w:sz w:val="24"/>
        </w:rPr>
        <w:t xml:space="preserve"> </w:t>
      </w:r>
      <w:r>
        <w:rPr>
          <w:sz w:val="24"/>
        </w:rPr>
        <w:t>&gt;</w:t>
      </w:r>
      <w:r>
        <w:rPr>
          <w:spacing w:val="-3"/>
          <w:sz w:val="24"/>
        </w:rPr>
        <w:t xml:space="preserve"> </w:t>
      </w:r>
      <w:r>
        <w:rPr>
          <w:sz w:val="24"/>
        </w:rPr>
        <w:t>Plan Bids</w:t>
      </w:r>
      <w:r>
        <w:rPr>
          <w:spacing w:val="-3"/>
          <w:sz w:val="24"/>
        </w:rPr>
        <w:t xml:space="preserve"> </w:t>
      </w:r>
      <w:r>
        <w:rPr>
          <w:sz w:val="24"/>
        </w:rPr>
        <w:t>&gt;</w:t>
      </w:r>
      <w:r>
        <w:rPr>
          <w:spacing w:val="-2"/>
          <w:sz w:val="24"/>
        </w:rPr>
        <w:t xml:space="preserve"> </w:t>
      </w:r>
      <w:r>
        <w:rPr>
          <w:sz w:val="24"/>
        </w:rPr>
        <w:t>Bid</w:t>
      </w:r>
      <w:r>
        <w:rPr>
          <w:spacing w:val="-2"/>
          <w:sz w:val="24"/>
        </w:rPr>
        <w:t xml:space="preserve"> </w:t>
      </w:r>
      <w:r>
        <w:rPr>
          <w:sz w:val="24"/>
        </w:rPr>
        <w:t>Submission</w:t>
      </w:r>
      <w:r>
        <w:rPr>
          <w:spacing w:val="-2"/>
          <w:sz w:val="24"/>
        </w:rPr>
        <w:t xml:space="preserve"> </w:t>
      </w:r>
      <w:r>
        <w:rPr>
          <w:sz w:val="24"/>
        </w:rPr>
        <w:t>&gt;</w:t>
      </w:r>
      <w:r>
        <w:rPr>
          <w:spacing w:val="-2"/>
          <w:sz w:val="24"/>
        </w:rPr>
        <w:t xml:space="preserve"> </w:t>
      </w:r>
      <w:r>
        <w:rPr>
          <w:sz w:val="24"/>
        </w:rPr>
        <w:t>CY2027</w:t>
      </w:r>
      <w:r>
        <w:rPr>
          <w:spacing w:val="-2"/>
          <w:sz w:val="24"/>
        </w:rPr>
        <w:t xml:space="preserve"> </w:t>
      </w:r>
      <w:r>
        <w:rPr>
          <w:sz w:val="24"/>
        </w:rPr>
        <w:t>&gt;</w:t>
      </w:r>
      <w:r>
        <w:rPr>
          <w:spacing w:val="-3"/>
          <w:sz w:val="24"/>
        </w:rPr>
        <w:t xml:space="preserve"> </w:t>
      </w:r>
      <w:r>
        <w:rPr>
          <w:sz w:val="24"/>
        </w:rPr>
        <w:t>Documentation</w:t>
      </w:r>
      <w:r>
        <w:rPr>
          <w:spacing w:val="-2"/>
          <w:sz w:val="24"/>
        </w:rPr>
        <w:t xml:space="preserve"> </w:t>
      </w:r>
      <w:r>
        <w:rPr>
          <w:sz w:val="24"/>
        </w:rPr>
        <w:t>&gt;</w:t>
      </w:r>
      <w:r>
        <w:rPr>
          <w:spacing w:val="-3"/>
          <w:sz w:val="24"/>
        </w:rPr>
        <w:t xml:space="preserve"> </w:t>
      </w:r>
      <w:r>
        <w:rPr>
          <w:sz w:val="24"/>
        </w:rPr>
        <w:t>View</w:t>
      </w:r>
      <w:r>
        <w:rPr>
          <w:spacing w:val="-3"/>
          <w:sz w:val="24"/>
        </w:rPr>
        <w:t xml:space="preserve"> </w:t>
      </w:r>
      <w:r>
        <w:rPr>
          <w:sz w:val="24"/>
        </w:rPr>
        <w:t>Documentation</w:t>
      </w:r>
      <w:r>
        <w:rPr>
          <w:spacing w:val="-2"/>
          <w:sz w:val="24"/>
        </w:rPr>
        <w:t xml:space="preserve"> </w:t>
      </w:r>
      <w:r>
        <w:rPr>
          <w:sz w:val="24"/>
        </w:rPr>
        <w:t>&gt; BPT &gt; BPT Technical Instructions</w:t>
      </w:r>
    </w:p>
    <w:p>
      <w:pPr>
        <w:pStyle w:val="ListParagraph"/>
        <w:numPr>
          <w:ilvl w:val="2"/>
          <w:numId w:val="54"/>
        </w:numPr>
        <w:tabs>
          <w:tab w:val="left" w:pos="1944"/>
        </w:tabs>
        <w:spacing w:before="0" w:after="0" w:line="240" w:lineRule="auto"/>
        <w:ind w:left="1944" w:right="2025" w:hanging="360"/>
        <w:jc w:val="both"/>
        <w:rPr>
          <w:sz w:val="24"/>
        </w:rPr>
      </w:pPr>
      <w:r>
        <w:rPr>
          <w:i/>
          <w:sz w:val="24"/>
        </w:rPr>
        <w:t>The</w:t>
      </w:r>
      <w:r>
        <w:rPr>
          <w:i/>
          <w:spacing w:val="-5"/>
          <w:sz w:val="24"/>
        </w:rPr>
        <w:t xml:space="preserve"> </w:t>
      </w:r>
      <w:r>
        <w:rPr>
          <w:i/>
          <w:sz w:val="24"/>
        </w:rPr>
        <w:t>Bid</w:t>
      </w:r>
      <w:r>
        <w:rPr>
          <w:i/>
          <w:spacing w:val="-4"/>
          <w:sz w:val="24"/>
        </w:rPr>
        <w:t xml:space="preserve"> </w:t>
      </w:r>
      <w:r>
        <w:rPr>
          <w:i/>
          <w:sz w:val="24"/>
        </w:rPr>
        <w:t>Submission</w:t>
      </w:r>
      <w:r>
        <w:rPr>
          <w:i/>
          <w:spacing w:val="-4"/>
          <w:sz w:val="24"/>
        </w:rPr>
        <w:t xml:space="preserve"> </w:t>
      </w:r>
      <w:r>
        <w:rPr>
          <w:i/>
          <w:sz w:val="24"/>
        </w:rPr>
        <w:t>User’s</w:t>
      </w:r>
      <w:r>
        <w:rPr>
          <w:i/>
          <w:spacing w:val="-5"/>
          <w:sz w:val="24"/>
        </w:rPr>
        <w:t xml:space="preserve"> </w:t>
      </w:r>
      <w:r>
        <w:rPr>
          <w:i/>
          <w:sz w:val="24"/>
        </w:rPr>
        <w:t>Manual</w:t>
      </w:r>
      <w:r>
        <w:rPr>
          <w:sz w:val="24"/>
        </w:rPr>
        <w:t>,</w:t>
      </w:r>
      <w:r>
        <w:rPr>
          <w:spacing w:val="-4"/>
          <w:sz w:val="24"/>
        </w:rPr>
        <w:t xml:space="preserve"> </w:t>
      </w:r>
      <w:r>
        <w:rPr>
          <w:sz w:val="24"/>
        </w:rPr>
        <w:t>also</w:t>
      </w:r>
      <w:r>
        <w:rPr>
          <w:spacing w:val="-4"/>
          <w:sz w:val="24"/>
        </w:rPr>
        <w:t xml:space="preserve"> </w:t>
      </w:r>
      <w:r>
        <w:rPr>
          <w:sz w:val="24"/>
        </w:rPr>
        <w:t>available</w:t>
      </w:r>
      <w:r>
        <w:rPr>
          <w:spacing w:val="-3"/>
          <w:sz w:val="24"/>
        </w:rPr>
        <w:t xml:space="preserve"> </w:t>
      </w:r>
      <w:r>
        <w:rPr>
          <w:sz w:val="24"/>
        </w:rPr>
        <w:t>in</w:t>
      </w:r>
      <w:r>
        <w:rPr>
          <w:spacing w:val="-4"/>
          <w:sz w:val="24"/>
        </w:rPr>
        <w:t xml:space="preserve"> </w:t>
      </w:r>
      <w:r>
        <w:rPr>
          <w:sz w:val="24"/>
        </w:rPr>
        <w:t>HPMS,</w:t>
      </w:r>
      <w:r>
        <w:rPr>
          <w:spacing w:val="-4"/>
          <w:sz w:val="24"/>
        </w:rPr>
        <w:t xml:space="preserve"> </w:t>
      </w:r>
      <w:r>
        <w:rPr>
          <w:sz w:val="24"/>
        </w:rPr>
        <w:t>under</w:t>
      </w:r>
      <w:r>
        <w:rPr>
          <w:spacing w:val="-4"/>
          <w:sz w:val="24"/>
        </w:rPr>
        <w:t xml:space="preserve"> </w:t>
      </w:r>
      <w:r>
        <w:rPr>
          <w:sz w:val="24"/>
        </w:rPr>
        <w:t>HPMS Home &gt; Plan Bids &gt; Bid Submission &gt; CY2027 &gt; Documentation &gt; View Documentation &gt; Bid Submission User Manual</w:t>
      </w:r>
    </w:p>
    <w:p>
      <w:pPr>
        <w:pStyle w:val="ListParagraph"/>
        <w:numPr>
          <w:ilvl w:val="2"/>
          <w:numId w:val="54"/>
        </w:numPr>
        <w:tabs>
          <w:tab w:val="left" w:pos="1943"/>
        </w:tabs>
        <w:spacing w:before="0" w:after="0" w:line="240" w:lineRule="auto"/>
        <w:ind w:left="1943" w:right="0" w:hanging="359"/>
        <w:jc w:val="both"/>
        <w:rPr>
          <w:sz w:val="24"/>
        </w:rPr>
      </w:pPr>
      <w:r>
        <w:rPr>
          <w:sz w:val="24"/>
        </w:rPr>
        <w:t>HPMS</w:t>
      </w:r>
      <w:r>
        <w:rPr>
          <w:spacing w:val="-3"/>
          <w:sz w:val="24"/>
        </w:rPr>
        <w:t xml:space="preserve"> </w:t>
      </w:r>
      <w:r>
        <w:rPr>
          <w:sz w:val="24"/>
        </w:rPr>
        <w:t>Help</w:t>
      </w:r>
      <w:r>
        <w:rPr>
          <w:spacing w:val="-2"/>
          <w:sz w:val="24"/>
        </w:rPr>
        <w:t xml:space="preserve"> </w:t>
      </w:r>
      <w:r>
        <w:rPr>
          <w:sz w:val="24"/>
        </w:rPr>
        <w:t>Desk:</w:t>
      </w:r>
      <w:r>
        <w:rPr>
          <w:spacing w:val="-1"/>
          <w:sz w:val="24"/>
        </w:rPr>
        <w:t xml:space="preserve"> </w:t>
      </w:r>
      <w:r>
        <w:rPr>
          <w:sz w:val="24"/>
        </w:rPr>
        <w:t>1-800-220-2028</w:t>
      </w:r>
      <w:r>
        <w:rPr>
          <w:spacing w:val="-2"/>
          <w:sz w:val="24"/>
        </w:rPr>
        <w:t xml:space="preserve"> </w:t>
      </w:r>
      <w:r>
        <w:rPr>
          <w:sz w:val="24"/>
        </w:rPr>
        <w:t>or</w:t>
      </w:r>
      <w:r>
        <w:rPr>
          <w:spacing w:val="-2"/>
          <w:sz w:val="24"/>
        </w:rPr>
        <w:t xml:space="preserve"> </w:t>
      </w:r>
      <w:hyperlink r:id="rId12">
        <w:r>
          <w:rPr>
            <w:color w:val="0000FF"/>
            <w:spacing w:val="-2"/>
            <w:sz w:val="24"/>
            <w:u w:val="single" w:color="0000FF"/>
          </w:rPr>
          <w:t>hpms@cms.hhs.gov</w:t>
        </w:r>
      </w:hyperlink>
      <w:r>
        <w:rPr>
          <w:color w:val="0000FF"/>
          <w:spacing w:val="-2"/>
          <w:sz w:val="24"/>
          <w:u w:val="single" w:color="0000FF"/>
        </w:rPr>
        <w:t>.</w:t>
      </w:r>
    </w:p>
    <w:p>
      <w:pPr>
        <w:pStyle w:val="ListParagraph"/>
        <w:numPr>
          <w:ilvl w:val="1"/>
          <w:numId w:val="54"/>
        </w:numPr>
        <w:tabs>
          <w:tab w:val="left" w:pos="1583"/>
        </w:tabs>
        <w:spacing w:before="0" w:after="0" w:line="240" w:lineRule="auto"/>
        <w:ind w:left="1583" w:right="0" w:hanging="359"/>
        <w:jc w:val="both"/>
        <w:rPr>
          <w:sz w:val="24"/>
        </w:rPr>
      </w:pPr>
      <w:r>
        <w:rPr>
          <w:sz w:val="24"/>
        </w:rPr>
        <w:t>For</w:t>
      </w:r>
      <w:r>
        <w:rPr>
          <w:spacing w:val="-2"/>
          <w:sz w:val="24"/>
        </w:rPr>
        <w:t xml:space="preserve"> </w:t>
      </w:r>
      <w:r>
        <w:rPr>
          <w:sz w:val="24"/>
        </w:rPr>
        <w:t>information</w:t>
      </w:r>
      <w:r>
        <w:rPr>
          <w:spacing w:val="-1"/>
          <w:sz w:val="24"/>
        </w:rPr>
        <w:t xml:space="preserve"> </w:t>
      </w:r>
      <w:r>
        <w:rPr>
          <w:sz w:val="24"/>
        </w:rPr>
        <w:t>about</w:t>
      </w:r>
      <w:r>
        <w:rPr>
          <w:spacing w:val="-2"/>
          <w:sz w:val="24"/>
        </w:rPr>
        <w:t xml:space="preserve"> </w:t>
      </w:r>
      <w:r>
        <w:rPr>
          <w:sz w:val="24"/>
        </w:rPr>
        <w:t>benefits,</w:t>
      </w:r>
      <w:r>
        <w:rPr>
          <w:spacing w:val="-1"/>
          <w:sz w:val="24"/>
        </w:rPr>
        <w:t xml:space="preserve"> </w:t>
      </w:r>
      <w:r>
        <w:rPr>
          <w:spacing w:val="-4"/>
          <w:sz w:val="24"/>
        </w:rPr>
        <w:t>see:</w:t>
      </w:r>
    </w:p>
    <w:p>
      <w:pPr>
        <w:pStyle w:val="ListParagraph"/>
        <w:numPr>
          <w:ilvl w:val="2"/>
          <w:numId w:val="54"/>
        </w:numPr>
        <w:tabs>
          <w:tab w:val="left" w:pos="1944"/>
        </w:tabs>
        <w:spacing w:before="0" w:after="0" w:line="240" w:lineRule="auto"/>
        <w:ind w:left="1944" w:right="1984" w:hanging="360"/>
        <w:jc w:val="left"/>
        <w:rPr>
          <w:sz w:val="24"/>
        </w:rPr>
      </w:pPr>
      <w:r>
        <w:rPr>
          <w:sz w:val="24"/>
        </w:rPr>
        <w:t>The</w:t>
      </w:r>
      <w:r>
        <w:rPr>
          <w:spacing w:val="-5"/>
          <w:sz w:val="24"/>
        </w:rPr>
        <w:t xml:space="preserve"> </w:t>
      </w:r>
      <w:r>
        <w:rPr>
          <w:i/>
          <w:sz w:val="24"/>
        </w:rPr>
        <w:t>Medicare</w:t>
      </w:r>
      <w:r>
        <w:rPr>
          <w:i/>
          <w:spacing w:val="-5"/>
          <w:sz w:val="24"/>
        </w:rPr>
        <w:t xml:space="preserve"> </w:t>
      </w:r>
      <w:r>
        <w:rPr>
          <w:i/>
          <w:sz w:val="24"/>
        </w:rPr>
        <w:t>Managed</w:t>
      </w:r>
      <w:r>
        <w:rPr>
          <w:i/>
          <w:spacing w:val="-3"/>
          <w:sz w:val="24"/>
        </w:rPr>
        <w:t xml:space="preserve"> </w:t>
      </w:r>
      <w:r>
        <w:rPr>
          <w:i/>
          <w:sz w:val="24"/>
        </w:rPr>
        <w:t>Care</w:t>
      </w:r>
      <w:r>
        <w:rPr>
          <w:i/>
          <w:spacing w:val="-5"/>
          <w:sz w:val="24"/>
        </w:rPr>
        <w:t xml:space="preserve"> </w:t>
      </w:r>
      <w:r>
        <w:rPr>
          <w:i/>
          <w:sz w:val="24"/>
        </w:rPr>
        <w:t>Manual</w:t>
      </w:r>
      <w:r>
        <w:rPr>
          <w:i/>
          <w:spacing w:val="-5"/>
          <w:sz w:val="24"/>
        </w:rPr>
        <w:t xml:space="preserve"> </w:t>
      </w:r>
      <w:r>
        <w:rPr>
          <w:sz w:val="24"/>
        </w:rPr>
        <w:t>and</w:t>
      </w:r>
      <w:r>
        <w:rPr>
          <w:spacing w:val="-5"/>
          <w:sz w:val="24"/>
        </w:rPr>
        <w:t xml:space="preserve"> </w:t>
      </w:r>
      <w:r>
        <w:rPr>
          <w:sz w:val="24"/>
        </w:rPr>
        <w:t>the</w:t>
      </w:r>
      <w:r>
        <w:rPr>
          <w:spacing w:val="-5"/>
          <w:sz w:val="24"/>
        </w:rPr>
        <w:t xml:space="preserve"> </w:t>
      </w:r>
      <w:r>
        <w:rPr>
          <w:i/>
          <w:sz w:val="24"/>
        </w:rPr>
        <w:t>Medicare</w:t>
      </w:r>
      <w:r>
        <w:rPr>
          <w:i/>
          <w:spacing w:val="-6"/>
          <w:sz w:val="24"/>
        </w:rPr>
        <w:t xml:space="preserve"> </w:t>
      </w:r>
      <w:r>
        <w:rPr>
          <w:i/>
          <w:sz w:val="24"/>
        </w:rPr>
        <w:t>Prescription</w:t>
      </w:r>
      <w:r>
        <w:rPr>
          <w:i/>
          <w:spacing w:val="-5"/>
          <w:sz w:val="24"/>
        </w:rPr>
        <w:t xml:space="preserve"> </w:t>
      </w:r>
      <w:r>
        <w:rPr>
          <w:i/>
          <w:sz w:val="24"/>
        </w:rPr>
        <w:t>Drug</w:t>
      </w:r>
      <w:r>
        <w:rPr>
          <w:i/>
          <w:sz w:val="24"/>
        </w:rPr>
        <w:t xml:space="preserve"> Benefit Manual </w:t>
      </w:r>
      <w:r>
        <w:rPr>
          <w:sz w:val="24"/>
        </w:rPr>
        <w:t xml:space="preserve">located at </w:t>
      </w:r>
      <w:hyperlink r:id="rId13">
        <w:r>
          <w:rPr>
            <w:color w:val="0000FF"/>
            <w:sz w:val="24"/>
            <w:u w:val="single" w:color="0000FF"/>
          </w:rPr>
          <w:t>https://www.cms.gov/medicare/regulations-</w:t>
        </w:r>
      </w:hyperlink>
      <w:hyperlink r:id="rId13">
        <w:r>
          <w:rPr>
            <w:color w:val="0000FF"/>
            <w:spacing w:val="-2"/>
            <w:sz w:val="24"/>
            <w:u w:val="single" w:color="0000FF"/>
          </w:rPr>
          <w:t>guidance/manuals/internet-only-manuals-ioms.</w:t>
        </w:r>
      </w:hyperlink>
    </w:p>
    <w:p>
      <w:pPr>
        <w:pStyle w:val="ListParagraph"/>
        <w:numPr>
          <w:ilvl w:val="2"/>
          <w:numId w:val="54"/>
        </w:numPr>
        <w:tabs>
          <w:tab w:val="left" w:pos="1944"/>
        </w:tabs>
        <w:spacing w:before="1" w:after="0" w:line="240" w:lineRule="auto"/>
        <w:ind w:left="1944" w:right="0" w:hanging="360"/>
        <w:jc w:val="left"/>
        <w:rPr>
          <w:sz w:val="24"/>
        </w:rPr>
      </w:pPr>
      <w:r>
        <w:rPr>
          <w:sz w:val="24"/>
        </w:rPr>
        <w:t>Other</w:t>
      </w:r>
      <w:r>
        <w:rPr>
          <w:spacing w:val="-2"/>
          <w:sz w:val="24"/>
        </w:rPr>
        <w:t xml:space="preserve"> </w:t>
      </w:r>
      <w:r>
        <w:rPr>
          <w:sz w:val="24"/>
        </w:rPr>
        <w:t>Part</w:t>
      </w:r>
      <w:r>
        <w:rPr>
          <w:spacing w:val="-1"/>
          <w:sz w:val="24"/>
        </w:rPr>
        <w:t xml:space="preserve"> </w:t>
      </w:r>
      <w:r>
        <w:rPr>
          <w:sz w:val="24"/>
        </w:rPr>
        <w:t>C</w:t>
      </w:r>
      <w:r>
        <w:rPr>
          <w:spacing w:val="-1"/>
          <w:sz w:val="24"/>
        </w:rPr>
        <w:t xml:space="preserve"> </w:t>
      </w:r>
      <w:r>
        <w:rPr>
          <w:sz w:val="24"/>
        </w:rPr>
        <w:t>benefits</w:t>
      </w:r>
      <w:r>
        <w:rPr>
          <w:spacing w:val="-3"/>
          <w:sz w:val="24"/>
        </w:rPr>
        <w:t xml:space="preserve"> </w:t>
      </w:r>
      <w:r>
        <w:rPr>
          <w:sz w:val="24"/>
        </w:rPr>
        <w:t>information</w:t>
      </w:r>
      <w:r>
        <w:rPr>
          <w:spacing w:val="-1"/>
          <w:sz w:val="24"/>
        </w:rPr>
        <w:t xml:space="preserve"> </w:t>
      </w:r>
      <w:r>
        <w:rPr>
          <w:sz w:val="24"/>
        </w:rPr>
        <w:t>provided</w:t>
      </w:r>
      <w:r>
        <w:rPr>
          <w:spacing w:val="-1"/>
          <w:sz w:val="24"/>
        </w:rPr>
        <w:t xml:space="preserve"> </w:t>
      </w:r>
      <w:r>
        <w:rPr>
          <w:sz w:val="24"/>
        </w:rPr>
        <w:t>by</w:t>
      </w:r>
      <w:r>
        <w:rPr>
          <w:spacing w:val="-1"/>
          <w:sz w:val="24"/>
        </w:rPr>
        <w:t xml:space="preserve"> </w:t>
      </w:r>
      <w:r>
        <w:rPr>
          <w:spacing w:val="-4"/>
          <w:sz w:val="24"/>
        </w:rPr>
        <w:t>CMS.</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245"/>
        <w:ind w:left="0"/>
        <w:rPr>
          <w:sz w:val="28"/>
        </w:rPr>
      </w:pPr>
    </w:p>
    <w:p>
      <w:pPr>
        <w:pStyle w:val="Heading1"/>
        <w:numPr>
          <w:ilvl w:val="0"/>
          <w:numId w:val="56"/>
        </w:numPr>
        <w:tabs>
          <w:tab w:val="left" w:pos="708"/>
          <w:tab w:val="left" w:pos="9750"/>
        </w:tabs>
        <w:spacing w:before="0" w:after="0" w:line="240" w:lineRule="auto"/>
        <w:ind w:left="708" w:right="0" w:hanging="233"/>
        <w:jc w:val="left"/>
        <w:rPr>
          <w:u w:val="single"/>
        </w:rPr>
      </w:pPr>
      <w:bookmarkStart w:id="14" w:name="II. Pricing Considerations"/>
      <w:bookmarkEnd w:id="14"/>
      <w:bookmarkStart w:id="15" w:name="_bookmark6"/>
      <w:bookmarkEnd w:id="15"/>
      <w:r>
        <w:rPr>
          <w:spacing w:val="-4"/>
          <w:u w:val="single"/>
        </w:rPr>
        <w:t xml:space="preserve"> </w:t>
      </w:r>
      <w:r>
        <w:rPr>
          <w:u w:val="single"/>
        </w:rPr>
        <w:t>PRICING</w:t>
      </w:r>
      <w:r>
        <w:rPr>
          <w:spacing w:val="-4"/>
          <w:u w:val="single"/>
        </w:rPr>
        <w:t xml:space="preserve"> </w:t>
      </w:r>
      <w:r>
        <w:rPr>
          <w:spacing w:val="-2"/>
          <w:u w:val="single"/>
        </w:rPr>
        <w:t>CONSIDERATIONS</w:t>
      </w:r>
      <w:r>
        <w:rPr>
          <w:u w:val="single"/>
        </w:rPr>
        <w:tab/>
      </w:r>
    </w:p>
    <w:p>
      <w:pPr>
        <w:pStyle w:val="BodyText"/>
        <w:spacing w:before="108"/>
        <w:ind w:left="0"/>
        <w:rPr>
          <w:rFonts w:ascii="Arial"/>
          <w:b/>
          <w:sz w:val="21"/>
        </w:rPr>
      </w:pPr>
    </w:p>
    <w:p>
      <w:pPr>
        <w:pStyle w:val="Heading2"/>
      </w:pPr>
      <w:bookmarkStart w:id="16" w:name="Bidding/Pricing Approach"/>
      <w:bookmarkEnd w:id="16"/>
      <w:bookmarkStart w:id="17" w:name="_bookmark7"/>
      <w:bookmarkEnd w:id="17"/>
      <w:r>
        <w:rPr>
          <w:smallCaps/>
          <w:spacing w:val="-2"/>
        </w:rPr>
        <w:t>Bidding/Pricing</w:t>
      </w:r>
      <w:r>
        <w:rPr>
          <w:smallCaps/>
          <w:spacing w:val="9"/>
        </w:rPr>
        <w:t xml:space="preserve"> </w:t>
      </w:r>
      <w:r>
        <w:rPr>
          <w:smallCaps/>
          <w:spacing w:val="-2"/>
        </w:rPr>
        <w:t>Approach</w:t>
      </w:r>
    </w:p>
    <w:p>
      <w:pPr>
        <w:pStyle w:val="BodyText"/>
        <w:spacing w:before="179"/>
        <w:ind w:right="1481"/>
      </w:pPr>
      <w:r>
        <w:t>By statute, the bid must represent the revenue requirement of the expected population. Therefore,</w:t>
      </w:r>
      <w:r>
        <w:rPr>
          <w:spacing w:val="-3"/>
        </w:rPr>
        <w:t xml:space="preserve"> </w:t>
      </w:r>
      <w:r>
        <w:t>the</w:t>
      </w:r>
      <w:r>
        <w:rPr>
          <w:spacing w:val="-2"/>
        </w:rPr>
        <w:t xml:space="preserve"> </w:t>
      </w:r>
      <w:r>
        <w:t>revenue</w:t>
      </w:r>
      <w:r>
        <w:rPr>
          <w:spacing w:val="-4"/>
        </w:rPr>
        <w:t xml:space="preserve"> </w:t>
      </w:r>
      <w:r>
        <w:t>requirement</w:t>
      </w:r>
      <w:r>
        <w:rPr>
          <w:spacing w:val="-3"/>
        </w:rPr>
        <w:t xml:space="preserve"> </w:t>
      </w:r>
      <w:r>
        <w:t>in</w:t>
      </w:r>
      <w:r>
        <w:rPr>
          <w:spacing w:val="-3"/>
        </w:rPr>
        <w:t xml:space="preserve"> </w:t>
      </w:r>
      <w:r>
        <w:t>the</w:t>
      </w:r>
      <w:r>
        <w:rPr>
          <w:spacing w:val="-4"/>
        </w:rPr>
        <w:t xml:space="preserve"> </w:t>
      </w:r>
      <w:r>
        <w:t>MA</w:t>
      </w:r>
      <w:r>
        <w:rPr>
          <w:spacing w:val="-4"/>
        </w:rPr>
        <w:t xml:space="preserve"> </w:t>
      </w:r>
      <w:r>
        <w:t>BPT</w:t>
      </w:r>
      <w:r>
        <w:rPr>
          <w:spacing w:val="-3"/>
        </w:rPr>
        <w:t xml:space="preserve"> </w:t>
      </w:r>
      <w:r>
        <w:t>must</w:t>
      </w:r>
      <w:r>
        <w:rPr>
          <w:spacing w:val="-3"/>
        </w:rPr>
        <w:t xml:space="preserve"> </w:t>
      </w:r>
      <w:r>
        <w:t>reflect</w:t>
      </w:r>
      <w:r>
        <w:rPr>
          <w:spacing w:val="-3"/>
        </w:rPr>
        <w:t xml:space="preserve"> </w:t>
      </w:r>
      <w:r>
        <w:t>the</w:t>
      </w:r>
      <w:r>
        <w:rPr>
          <w:spacing w:val="-2"/>
        </w:rPr>
        <w:t xml:space="preserve"> </w:t>
      </w:r>
      <w:r>
        <w:t>costs</w:t>
      </w:r>
      <w:r>
        <w:rPr>
          <w:spacing w:val="-3"/>
        </w:rPr>
        <w:t xml:space="preserve"> </w:t>
      </w:r>
      <w:r>
        <w:t>for</w:t>
      </w:r>
      <w:r>
        <w:rPr>
          <w:spacing w:val="-5"/>
        </w:rPr>
        <w:t xml:space="preserve"> </w:t>
      </w:r>
      <w:r>
        <w:t>providing</w:t>
      </w:r>
      <w:r>
        <w:rPr>
          <w:spacing w:val="-3"/>
        </w:rPr>
        <w:t xml:space="preserve"> </w:t>
      </w:r>
      <w:r>
        <w:t>MA services; it must not include the cost for non-MA services (such as Part D).</w:t>
      </w:r>
    </w:p>
    <w:p>
      <w:pPr>
        <w:pStyle w:val="BodyText"/>
        <w:spacing w:before="120"/>
        <w:ind w:right="1481"/>
      </w:pPr>
      <w:r>
        <w:t>Further, in most circumstances, the MAO must use credible bid-specific experience in the development of projected allowed costs. This approach does not preclude the MAO from reaching</w:t>
      </w:r>
      <w:r>
        <w:rPr>
          <w:spacing w:val="-4"/>
        </w:rPr>
        <w:t xml:space="preserve"> </w:t>
      </w:r>
      <w:r>
        <w:t>specific</w:t>
      </w:r>
      <w:r>
        <w:rPr>
          <w:spacing w:val="-5"/>
        </w:rPr>
        <w:t xml:space="preserve"> </w:t>
      </w:r>
      <w:r>
        <w:t>benefit</w:t>
      </w:r>
      <w:r>
        <w:rPr>
          <w:spacing w:val="-2"/>
        </w:rPr>
        <w:t xml:space="preserve"> </w:t>
      </w:r>
      <w:r>
        <w:t>and</w:t>
      </w:r>
      <w:r>
        <w:rPr>
          <w:spacing w:val="-4"/>
        </w:rPr>
        <w:t xml:space="preserve"> </w:t>
      </w:r>
      <w:r>
        <w:t>premium</w:t>
      </w:r>
      <w:r>
        <w:rPr>
          <w:spacing w:val="-4"/>
        </w:rPr>
        <w:t xml:space="preserve"> </w:t>
      </w:r>
      <w:r>
        <w:t>goals;</w:t>
      </w:r>
      <w:r>
        <w:rPr>
          <w:spacing w:val="-4"/>
        </w:rPr>
        <w:t xml:space="preserve"> </w:t>
      </w:r>
      <w:r>
        <w:t>the</w:t>
      </w:r>
      <w:r>
        <w:rPr>
          <w:spacing w:val="-5"/>
        </w:rPr>
        <w:t xml:space="preserve"> </w:t>
      </w:r>
      <w:r>
        <w:t>gain/loss</w:t>
      </w:r>
      <w:r>
        <w:rPr>
          <w:spacing w:val="-3"/>
        </w:rPr>
        <w:t xml:space="preserve"> </w:t>
      </w:r>
      <w:r>
        <w:t>margin</w:t>
      </w:r>
      <w:r>
        <w:rPr>
          <w:spacing w:val="-4"/>
        </w:rPr>
        <w:t xml:space="preserve"> </w:t>
      </w:r>
      <w:r>
        <w:t>guidance</w:t>
      </w:r>
      <w:r>
        <w:rPr>
          <w:spacing w:val="-3"/>
        </w:rPr>
        <w:t xml:space="preserve"> </w:t>
      </w:r>
      <w:r>
        <w:t>allows</w:t>
      </w:r>
      <w:r>
        <w:rPr>
          <w:spacing w:val="-4"/>
        </w:rPr>
        <w:t xml:space="preserve"> </w:t>
      </w:r>
      <w:r>
        <w:t>sufficient flexibility to achieve pricing targets provided that the overall gain/loss margin meets the requirements in the guidance and that anti-competitive practices are not used.</w:t>
      </w:r>
    </w:p>
    <w:p>
      <w:pPr>
        <w:pStyle w:val="BodyText"/>
        <w:spacing w:before="121"/>
        <w:ind w:right="1481"/>
      </w:pPr>
      <w:r>
        <w:t>It is important to note the distinction between reporting base period experience data in Worksheet 1 and projecting credible data for pricing. Subject to the “Base Period Experience” pricing</w:t>
      </w:r>
      <w:r>
        <w:rPr>
          <w:spacing w:val="-3"/>
        </w:rPr>
        <w:t xml:space="preserve"> </w:t>
      </w:r>
      <w:r>
        <w:t>consideration,</w:t>
      </w:r>
      <w:r>
        <w:rPr>
          <w:spacing w:val="-4"/>
        </w:rPr>
        <w:t xml:space="preserve"> </w:t>
      </w:r>
      <w:r>
        <w:t>base</w:t>
      </w:r>
      <w:r>
        <w:rPr>
          <w:spacing w:val="-4"/>
        </w:rPr>
        <w:t xml:space="preserve"> </w:t>
      </w:r>
      <w:r>
        <w:t>period</w:t>
      </w:r>
      <w:r>
        <w:rPr>
          <w:spacing w:val="-3"/>
        </w:rPr>
        <w:t xml:space="preserve"> </w:t>
      </w:r>
      <w:r>
        <w:t>experience</w:t>
      </w:r>
      <w:r>
        <w:rPr>
          <w:spacing w:val="-4"/>
        </w:rPr>
        <w:t xml:space="preserve"> </w:t>
      </w:r>
      <w:r>
        <w:t>must</w:t>
      </w:r>
      <w:r>
        <w:rPr>
          <w:spacing w:val="-3"/>
        </w:rPr>
        <w:t xml:space="preserve"> </w:t>
      </w:r>
      <w:r>
        <w:t>be</w:t>
      </w:r>
      <w:r>
        <w:rPr>
          <w:spacing w:val="-3"/>
        </w:rPr>
        <w:t xml:space="preserve"> </w:t>
      </w:r>
      <w:r>
        <w:t>reported</w:t>
      </w:r>
      <w:r>
        <w:rPr>
          <w:spacing w:val="-1"/>
        </w:rPr>
        <w:t xml:space="preserve"> </w:t>
      </w:r>
      <w:r>
        <w:t>at</w:t>
      </w:r>
      <w:r>
        <w:rPr>
          <w:spacing w:val="-3"/>
        </w:rPr>
        <w:t xml:space="preserve"> </w:t>
      </w:r>
      <w:r>
        <w:t>the</w:t>
      </w:r>
      <w:r>
        <w:rPr>
          <w:spacing w:val="-3"/>
        </w:rPr>
        <w:t xml:space="preserve"> </w:t>
      </w:r>
      <w:r>
        <w:t>bid</w:t>
      </w:r>
      <w:r>
        <w:rPr>
          <w:spacing w:val="-3"/>
        </w:rPr>
        <w:t xml:space="preserve"> </w:t>
      </w:r>
      <w:r>
        <w:t>level</w:t>
      </w:r>
      <w:r>
        <w:rPr>
          <w:spacing w:val="-2"/>
        </w:rPr>
        <w:t xml:space="preserve"> </w:t>
      </w:r>
      <w:r>
        <w:t>if</w:t>
      </w:r>
      <w:r>
        <w:rPr>
          <w:spacing w:val="-4"/>
        </w:rPr>
        <w:t xml:space="preserve"> </w:t>
      </w:r>
      <w:r>
        <w:t>the</w:t>
      </w:r>
      <w:r>
        <w:rPr>
          <w:spacing w:val="-4"/>
        </w:rPr>
        <w:t xml:space="preserve"> </w:t>
      </w:r>
      <w:r>
        <w:t>bid</w:t>
      </w:r>
      <w:r>
        <w:rPr>
          <w:spacing w:val="-3"/>
        </w:rPr>
        <w:t xml:space="preserve"> </w:t>
      </w:r>
      <w:r>
        <w:t>existed in CY2025, regardless of the level of enrollment. This experience must also be projected in Worksheet 2 and assigned an appropriate level of credibility by the certifying actuary. Data may be aggregated for determining manual rates to blend with partially credible projected experience rates or to account for significant changes in enrollment from the base period to the contract year.</w:t>
      </w:r>
    </w:p>
    <w:p>
      <w:pPr>
        <w:pStyle w:val="BodyText"/>
        <w:spacing w:before="45"/>
        <w:ind w:left="0"/>
      </w:pPr>
    </w:p>
    <w:p>
      <w:pPr>
        <w:pStyle w:val="Heading2"/>
      </w:pPr>
      <w:bookmarkStart w:id="18" w:name="Specific Topics"/>
      <w:bookmarkEnd w:id="18"/>
      <w:bookmarkStart w:id="19" w:name="_bookmark8"/>
      <w:bookmarkEnd w:id="19"/>
      <w:r>
        <w:rPr>
          <w:smallCaps/>
        </w:rPr>
        <w:t>Specific</w:t>
      </w:r>
      <w:r>
        <w:rPr>
          <w:smallCaps/>
          <w:spacing w:val="-10"/>
        </w:rPr>
        <w:t xml:space="preserve"> </w:t>
      </w:r>
      <w:r>
        <w:rPr>
          <w:smallCaps/>
          <w:spacing w:val="-2"/>
        </w:rPr>
        <w:t>Topics</w:t>
      </w:r>
    </w:p>
    <w:p>
      <w:pPr>
        <w:pStyle w:val="BodyText"/>
        <w:spacing w:before="7" w:after="1"/>
        <w:ind w:left="0"/>
        <w:rPr>
          <w:rFonts w:ascii="Arial"/>
          <w:b/>
          <w:sz w:val="15"/>
        </w:rPr>
      </w:pPr>
    </w:p>
    <w:tbl>
      <w:tblPr>
        <w:tblStyle w:val="TableNormal"/>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89"/>
        <w:gridCol w:w="667"/>
        <w:gridCol w:w="4282"/>
        <w:gridCol w:w="669"/>
      </w:tblGrid>
      <w:tr>
        <w:tblPrEx>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3"/>
          <w:jc w:val="left"/>
        </w:trPr>
        <w:tc>
          <w:tcPr>
            <w:tcW w:w="3389" w:type="dxa"/>
          </w:tcPr>
          <w:p>
            <w:pPr>
              <w:pStyle w:val="TableParagraph"/>
              <w:spacing w:before="1" w:line="252" w:lineRule="exact"/>
              <w:ind w:left="107"/>
              <w:rPr>
                <w:b/>
                <w:sz w:val="22"/>
              </w:rPr>
            </w:pPr>
            <w:r>
              <w:rPr>
                <w:b/>
                <w:spacing w:val="-2"/>
                <w:sz w:val="22"/>
              </w:rPr>
              <w:t>Topic</w:t>
            </w:r>
          </w:p>
        </w:tc>
        <w:tc>
          <w:tcPr>
            <w:tcW w:w="667" w:type="dxa"/>
          </w:tcPr>
          <w:p>
            <w:pPr>
              <w:pStyle w:val="TableParagraph"/>
              <w:spacing w:before="1" w:line="252" w:lineRule="exact"/>
              <w:ind w:left="108"/>
              <w:rPr>
                <w:b/>
                <w:sz w:val="22"/>
              </w:rPr>
            </w:pPr>
            <w:r>
              <w:rPr>
                <w:b/>
                <w:spacing w:val="-4"/>
                <w:sz w:val="22"/>
              </w:rPr>
              <w:t>Page</w:t>
            </w:r>
          </w:p>
        </w:tc>
        <w:tc>
          <w:tcPr>
            <w:tcW w:w="4282" w:type="dxa"/>
          </w:tcPr>
          <w:p>
            <w:pPr>
              <w:pStyle w:val="TableParagraph"/>
              <w:spacing w:before="1" w:line="252" w:lineRule="exact"/>
              <w:ind w:left="108"/>
              <w:rPr>
                <w:b/>
                <w:sz w:val="22"/>
              </w:rPr>
            </w:pPr>
            <w:r>
              <w:rPr>
                <w:b/>
                <w:spacing w:val="-2"/>
                <w:sz w:val="22"/>
              </w:rPr>
              <w:t>Topic</w:t>
            </w:r>
          </w:p>
        </w:tc>
        <w:tc>
          <w:tcPr>
            <w:tcW w:w="669" w:type="dxa"/>
          </w:tcPr>
          <w:p>
            <w:pPr>
              <w:pStyle w:val="TableParagraph"/>
              <w:spacing w:before="1" w:line="252" w:lineRule="exact"/>
              <w:ind w:left="108"/>
              <w:rPr>
                <w:b/>
                <w:sz w:val="22"/>
              </w:rPr>
            </w:pPr>
            <w:r>
              <w:rPr>
                <w:b/>
                <w:spacing w:val="-4"/>
                <w:sz w:val="22"/>
              </w:rPr>
              <w:t>Page</w:t>
            </w:r>
          </w:p>
        </w:tc>
      </w:tr>
      <w:tr>
        <w:tblPrEx>
          <w:tblW w:w="0" w:type="auto"/>
          <w:jc w:val="left"/>
          <w:tblInd w:w="713" w:type="dxa"/>
          <w:tblLayout w:type="fixed"/>
          <w:tblCellMar>
            <w:top w:w="0" w:type="dxa"/>
            <w:left w:w="0" w:type="dxa"/>
            <w:bottom w:w="0" w:type="dxa"/>
            <w:right w:w="0" w:type="dxa"/>
          </w:tblCellMar>
          <w:tblLook w:val="01E0"/>
        </w:tblPrEx>
        <w:trPr>
          <w:trHeight w:val="506"/>
          <w:jc w:val="left"/>
        </w:trPr>
        <w:tc>
          <w:tcPr>
            <w:tcW w:w="3389" w:type="dxa"/>
          </w:tcPr>
          <w:p>
            <w:pPr>
              <w:pStyle w:val="TableParagraph"/>
              <w:spacing w:before="125"/>
              <w:ind w:left="107"/>
              <w:rPr>
                <w:sz w:val="22"/>
              </w:rPr>
            </w:pPr>
            <w:r>
              <w:rPr>
                <w:sz w:val="22"/>
              </w:rPr>
              <w:t>Affordable</w:t>
            </w:r>
            <w:r>
              <w:rPr>
                <w:spacing w:val="-5"/>
                <w:sz w:val="22"/>
              </w:rPr>
              <w:t xml:space="preserve"> </w:t>
            </w:r>
            <w:r>
              <w:rPr>
                <w:sz w:val="22"/>
              </w:rPr>
              <w:t>Care</w:t>
            </w:r>
            <w:r>
              <w:rPr>
                <w:spacing w:val="-4"/>
                <w:sz w:val="22"/>
              </w:rPr>
              <w:t xml:space="preserve"> </w:t>
            </w:r>
            <w:r>
              <w:rPr>
                <w:spacing w:val="-5"/>
                <w:sz w:val="22"/>
              </w:rPr>
              <w:t>Act</w:t>
            </w:r>
          </w:p>
        </w:tc>
        <w:tc>
          <w:tcPr>
            <w:tcW w:w="667" w:type="dxa"/>
          </w:tcPr>
          <w:p>
            <w:pPr>
              <w:pStyle w:val="TableParagraph"/>
              <w:spacing w:before="125"/>
              <w:ind w:left="108"/>
              <w:rPr>
                <w:sz w:val="22"/>
              </w:rPr>
            </w:pPr>
            <w:hyperlink w:anchor="_bookmark9" w:history="1">
              <w:r>
                <w:rPr>
                  <w:spacing w:val="-10"/>
                  <w:sz w:val="22"/>
                </w:rPr>
                <w:t>9</w:t>
              </w:r>
            </w:hyperlink>
          </w:p>
        </w:tc>
        <w:tc>
          <w:tcPr>
            <w:tcW w:w="4282" w:type="dxa"/>
          </w:tcPr>
          <w:p>
            <w:pPr>
              <w:pStyle w:val="TableParagraph"/>
              <w:spacing w:line="252" w:lineRule="exact"/>
              <w:ind w:left="108" w:right="200"/>
              <w:rPr>
                <w:sz w:val="22"/>
              </w:rPr>
            </w:pPr>
            <w:r>
              <w:rPr>
                <w:sz w:val="22"/>
              </w:rPr>
              <w:t>Medicare</w:t>
            </w:r>
            <w:r>
              <w:rPr>
                <w:spacing w:val="-11"/>
                <w:sz w:val="22"/>
              </w:rPr>
              <w:t xml:space="preserve"> </w:t>
            </w:r>
            <w:r>
              <w:rPr>
                <w:sz w:val="22"/>
              </w:rPr>
              <w:t>Secondary</w:t>
            </w:r>
            <w:r>
              <w:rPr>
                <w:spacing w:val="-11"/>
                <w:sz w:val="22"/>
              </w:rPr>
              <w:t xml:space="preserve"> </w:t>
            </w:r>
            <w:r>
              <w:rPr>
                <w:sz w:val="22"/>
              </w:rPr>
              <w:t>Payer</w:t>
            </w:r>
            <w:r>
              <w:rPr>
                <w:spacing w:val="-13"/>
                <w:sz w:val="22"/>
              </w:rPr>
              <w:t xml:space="preserve"> </w:t>
            </w:r>
            <w:r>
              <w:rPr>
                <w:sz w:val="22"/>
              </w:rPr>
              <w:t xml:space="preserve">(MSP) </w:t>
            </w:r>
            <w:r>
              <w:rPr>
                <w:spacing w:val="-2"/>
                <w:sz w:val="22"/>
              </w:rPr>
              <w:t>Adjustment</w:t>
            </w:r>
          </w:p>
        </w:tc>
        <w:tc>
          <w:tcPr>
            <w:tcW w:w="669" w:type="dxa"/>
          </w:tcPr>
          <w:p>
            <w:pPr>
              <w:pStyle w:val="TableParagraph"/>
              <w:spacing w:before="125"/>
              <w:ind w:left="108"/>
              <w:rPr>
                <w:sz w:val="22"/>
              </w:rPr>
            </w:pPr>
            <w:hyperlink w:anchor="_bookmark24" w:history="1">
              <w:r>
                <w:rPr>
                  <w:spacing w:val="-5"/>
                  <w:sz w:val="22"/>
                </w:rPr>
                <w:t>29</w:t>
              </w:r>
            </w:hyperlink>
          </w:p>
        </w:tc>
      </w:tr>
      <w:tr>
        <w:tblPrEx>
          <w:tblW w:w="0" w:type="auto"/>
          <w:jc w:val="left"/>
          <w:tblInd w:w="713" w:type="dxa"/>
          <w:tblLayout w:type="fixed"/>
          <w:tblCellMar>
            <w:top w:w="0" w:type="dxa"/>
            <w:left w:w="0" w:type="dxa"/>
            <w:bottom w:w="0" w:type="dxa"/>
            <w:right w:w="0" w:type="dxa"/>
          </w:tblCellMar>
          <w:tblLook w:val="01E0"/>
        </w:tblPrEx>
        <w:trPr>
          <w:trHeight w:val="251"/>
          <w:jc w:val="left"/>
        </w:trPr>
        <w:tc>
          <w:tcPr>
            <w:tcW w:w="3389" w:type="dxa"/>
          </w:tcPr>
          <w:p>
            <w:pPr>
              <w:pStyle w:val="TableParagraph"/>
              <w:spacing w:line="232" w:lineRule="exact"/>
              <w:ind w:left="107"/>
              <w:rPr>
                <w:sz w:val="22"/>
              </w:rPr>
            </w:pPr>
            <w:r>
              <w:rPr>
                <w:sz w:val="22"/>
              </w:rPr>
              <w:t>Bad</w:t>
            </w:r>
            <w:r>
              <w:rPr>
                <w:spacing w:val="-1"/>
                <w:sz w:val="22"/>
              </w:rPr>
              <w:t xml:space="preserve"> </w:t>
            </w:r>
            <w:r>
              <w:rPr>
                <w:spacing w:val="-4"/>
                <w:sz w:val="22"/>
              </w:rPr>
              <w:t>Debt</w:t>
            </w:r>
          </w:p>
        </w:tc>
        <w:tc>
          <w:tcPr>
            <w:tcW w:w="667" w:type="dxa"/>
          </w:tcPr>
          <w:p>
            <w:pPr>
              <w:pStyle w:val="TableParagraph"/>
              <w:spacing w:line="232" w:lineRule="exact"/>
              <w:ind w:left="108"/>
              <w:rPr>
                <w:sz w:val="22"/>
              </w:rPr>
            </w:pPr>
            <w:hyperlink w:anchor="_bookmark10" w:history="1">
              <w:r>
                <w:rPr>
                  <w:spacing w:val="-10"/>
                  <w:sz w:val="22"/>
                </w:rPr>
                <w:t>9</w:t>
              </w:r>
            </w:hyperlink>
          </w:p>
        </w:tc>
        <w:tc>
          <w:tcPr>
            <w:tcW w:w="4282" w:type="dxa"/>
          </w:tcPr>
          <w:p>
            <w:pPr>
              <w:pStyle w:val="TableParagraph"/>
              <w:spacing w:line="232" w:lineRule="exact"/>
              <w:ind w:left="108"/>
              <w:rPr>
                <w:sz w:val="22"/>
              </w:rPr>
            </w:pPr>
            <w:r>
              <w:rPr>
                <w:sz w:val="22"/>
              </w:rPr>
              <w:t>Non-Benefit</w:t>
            </w:r>
            <w:r>
              <w:rPr>
                <w:spacing w:val="-6"/>
                <w:sz w:val="22"/>
              </w:rPr>
              <w:t xml:space="preserve"> </w:t>
            </w:r>
            <w:r>
              <w:rPr>
                <w:spacing w:val="-2"/>
                <w:sz w:val="22"/>
              </w:rPr>
              <w:t>Expenses</w:t>
            </w:r>
          </w:p>
        </w:tc>
        <w:tc>
          <w:tcPr>
            <w:tcW w:w="669" w:type="dxa"/>
          </w:tcPr>
          <w:p>
            <w:pPr>
              <w:pStyle w:val="TableParagraph"/>
              <w:spacing w:line="232" w:lineRule="exact"/>
              <w:ind w:left="108"/>
              <w:rPr>
                <w:sz w:val="22"/>
              </w:rPr>
            </w:pPr>
            <w:hyperlink w:anchor="_bookmark25" w:history="1">
              <w:r>
                <w:rPr>
                  <w:spacing w:val="-5"/>
                  <w:sz w:val="22"/>
                </w:rPr>
                <w:t>31</w:t>
              </w:r>
            </w:hyperlink>
          </w:p>
        </w:tc>
      </w:tr>
      <w:tr>
        <w:tblPrEx>
          <w:tblW w:w="0" w:type="auto"/>
          <w:jc w:val="left"/>
          <w:tblInd w:w="713" w:type="dxa"/>
          <w:tblLayout w:type="fixed"/>
          <w:tblCellMar>
            <w:top w:w="0" w:type="dxa"/>
            <w:left w:w="0" w:type="dxa"/>
            <w:bottom w:w="0" w:type="dxa"/>
            <w:right w:w="0" w:type="dxa"/>
          </w:tblCellMar>
          <w:tblLook w:val="01E0"/>
        </w:tblPrEx>
        <w:trPr>
          <w:trHeight w:val="254"/>
          <w:jc w:val="left"/>
        </w:trPr>
        <w:tc>
          <w:tcPr>
            <w:tcW w:w="3389" w:type="dxa"/>
          </w:tcPr>
          <w:p>
            <w:pPr>
              <w:pStyle w:val="TableParagraph"/>
              <w:spacing w:before="1" w:line="233" w:lineRule="exact"/>
              <w:ind w:left="107"/>
              <w:rPr>
                <w:sz w:val="22"/>
              </w:rPr>
            </w:pPr>
            <w:r>
              <w:rPr>
                <w:sz w:val="22"/>
              </w:rPr>
              <w:t>Base</w:t>
            </w:r>
            <w:r>
              <w:rPr>
                <w:spacing w:val="-4"/>
                <w:sz w:val="22"/>
              </w:rPr>
              <w:t xml:space="preserve"> </w:t>
            </w:r>
            <w:r>
              <w:rPr>
                <w:sz w:val="22"/>
              </w:rPr>
              <w:t>Period</w:t>
            </w:r>
            <w:r>
              <w:rPr>
                <w:spacing w:val="-3"/>
                <w:sz w:val="22"/>
              </w:rPr>
              <w:t xml:space="preserve"> </w:t>
            </w:r>
            <w:r>
              <w:rPr>
                <w:spacing w:val="-2"/>
                <w:sz w:val="22"/>
              </w:rPr>
              <w:t>Experience</w:t>
            </w:r>
          </w:p>
        </w:tc>
        <w:tc>
          <w:tcPr>
            <w:tcW w:w="667" w:type="dxa"/>
          </w:tcPr>
          <w:p>
            <w:pPr>
              <w:pStyle w:val="TableParagraph"/>
              <w:spacing w:before="1" w:line="233" w:lineRule="exact"/>
              <w:ind w:left="108"/>
              <w:rPr>
                <w:sz w:val="22"/>
              </w:rPr>
            </w:pPr>
            <w:hyperlink w:anchor="_bookmark11" w:history="1">
              <w:r>
                <w:rPr>
                  <w:spacing w:val="-10"/>
                  <w:sz w:val="22"/>
                </w:rPr>
                <w:t>9</w:t>
              </w:r>
            </w:hyperlink>
          </w:p>
        </w:tc>
        <w:tc>
          <w:tcPr>
            <w:tcW w:w="4282" w:type="dxa"/>
          </w:tcPr>
          <w:p>
            <w:pPr>
              <w:pStyle w:val="TableParagraph"/>
              <w:spacing w:before="1" w:line="233" w:lineRule="exact"/>
              <w:ind w:left="108"/>
              <w:rPr>
                <w:sz w:val="22"/>
              </w:rPr>
            </w:pPr>
            <w:r>
              <w:rPr>
                <w:sz w:val="22"/>
              </w:rPr>
              <w:t>Optional</w:t>
            </w:r>
            <w:r>
              <w:rPr>
                <w:spacing w:val="-6"/>
                <w:sz w:val="22"/>
              </w:rPr>
              <w:t xml:space="preserve"> </w:t>
            </w:r>
            <w:r>
              <w:rPr>
                <w:sz w:val="22"/>
              </w:rPr>
              <w:t>Supplemental</w:t>
            </w:r>
            <w:r>
              <w:rPr>
                <w:spacing w:val="-6"/>
                <w:sz w:val="22"/>
              </w:rPr>
              <w:t xml:space="preserve"> </w:t>
            </w:r>
            <w:r>
              <w:rPr>
                <w:spacing w:val="-2"/>
                <w:sz w:val="22"/>
              </w:rPr>
              <w:t>Benefits</w:t>
            </w:r>
          </w:p>
        </w:tc>
        <w:tc>
          <w:tcPr>
            <w:tcW w:w="669" w:type="dxa"/>
          </w:tcPr>
          <w:p>
            <w:pPr>
              <w:pStyle w:val="TableParagraph"/>
              <w:spacing w:before="1" w:line="233" w:lineRule="exact"/>
              <w:ind w:left="108"/>
              <w:rPr>
                <w:sz w:val="22"/>
              </w:rPr>
            </w:pPr>
            <w:hyperlink w:anchor="_bookmark26" w:history="1">
              <w:r>
                <w:rPr>
                  <w:spacing w:val="-5"/>
                  <w:sz w:val="22"/>
                </w:rPr>
                <w:t>33</w:t>
              </w:r>
            </w:hyperlink>
          </w:p>
        </w:tc>
      </w:tr>
      <w:tr>
        <w:tblPrEx>
          <w:tblW w:w="0" w:type="auto"/>
          <w:jc w:val="left"/>
          <w:tblInd w:w="713" w:type="dxa"/>
          <w:tblLayout w:type="fixed"/>
          <w:tblCellMar>
            <w:top w:w="0" w:type="dxa"/>
            <w:left w:w="0" w:type="dxa"/>
            <w:bottom w:w="0" w:type="dxa"/>
            <w:right w:w="0" w:type="dxa"/>
          </w:tblCellMar>
          <w:tblLook w:val="01E0"/>
        </w:tblPrEx>
        <w:trPr>
          <w:trHeight w:val="253"/>
          <w:jc w:val="left"/>
        </w:trPr>
        <w:tc>
          <w:tcPr>
            <w:tcW w:w="3389" w:type="dxa"/>
          </w:tcPr>
          <w:p>
            <w:pPr>
              <w:pStyle w:val="TableParagraph"/>
              <w:spacing w:line="234" w:lineRule="exact"/>
              <w:ind w:left="107"/>
              <w:rPr>
                <w:sz w:val="22"/>
              </w:rPr>
            </w:pPr>
            <w:r>
              <w:rPr>
                <w:sz w:val="22"/>
              </w:rPr>
              <w:t>Benefits</w:t>
            </w:r>
            <w:r>
              <w:rPr>
                <w:spacing w:val="-5"/>
                <w:sz w:val="22"/>
              </w:rPr>
              <w:t xml:space="preserve"> </w:t>
            </w:r>
            <w:r>
              <w:rPr>
                <w:sz w:val="22"/>
              </w:rPr>
              <w:t>and</w:t>
            </w:r>
            <w:r>
              <w:rPr>
                <w:spacing w:val="-3"/>
                <w:sz w:val="22"/>
              </w:rPr>
              <w:t xml:space="preserve"> </w:t>
            </w:r>
            <w:r>
              <w:rPr>
                <w:sz w:val="22"/>
              </w:rPr>
              <w:t>Service</w:t>
            </w:r>
            <w:r>
              <w:rPr>
                <w:spacing w:val="-2"/>
                <w:sz w:val="22"/>
              </w:rPr>
              <w:t xml:space="preserve"> Categories</w:t>
            </w:r>
          </w:p>
        </w:tc>
        <w:tc>
          <w:tcPr>
            <w:tcW w:w="667" w:type="dxa"/>
          </w:tcPr>
          <w:p>
            <w:pPr>
              <w:pStyle w:val="TableParagraph"/>
              <w:spacing w:line="234" w:lineRule="exact"/>
              <w:ind w:left="108"/>
              <w:rPr>
                <w:sz w:val="22"/>
              </w:rPr>
            </w:pPr>
            <w:hyperlink w:anchor="_bookmark12" w:history="1">
              <w:r>
                <w:rPr>
                  <w:spacing w:val="-5"/>
                  <w:sz w:val="22"/>
                </w:rPr>
                <w:t>13</w:t>
              </w:r>
            </w:hyperlink>
          </w:p>
        </w:tc>
        <w:tc>
          <w:tcPr>
            <w:tcW w:w="4282" w:type="dxa"/>
          </w:tcPr>
          <w:p>
            <w:pPr>
              <w:pStyle w:val="TableParagraph"/>
              <w:spacing w:line="234" w:lineRule="exact"/>
              <w:ind w:left="108"/>
              <w:rPr>
                <w:sz w:val="22"/>
              </w:rPr>
            </w:pPr>
            <w:r>
              <w:rPr>
                <w:sz w:val="22"/>
              </w:rPr>
              <w:t>Out-of-Area</w:t>
            </w:r>
            <w:r>
              <w:rPr>
                <w:spacing w:val="-6"/>
                <w:sz w:val="22"/>
              </w:rPr>
              <w:t xml:space="preserve"> </w:t>
            </w:r>
            <w:r>
              <w:rPr>
                <w:spacing w:val="-2"/>
                <w:sz w:val="22"/>
              </w:rPr>
              <w:t>Enrollees</w:t>
            </w:r>
          </w:p>
        </w:tc>
        <w:tc>
          <w:tcPr>
            <w:tcW w:w="669" w:type="dxa"/>
          </w:tcPr>
          <w:p>
            <w:pPr>
              <w:pStyle w:val="TableParagraph"/>
              <w:spacing w:line="234" w:lineRule="exact"/>
              <w:ind w:left="108"/>
              <w:rPr>
                <w:sz w:val="22"/>
              </w:rPr>
            </w:pPr>
            <w:hyperlink w:anchor="_bookmark27" w:history="1">
              <w:r>
                <w:rPr>
                  <w:spacing w:val="-5"/>
                  <w:sz w:val="22"/>
                </w:rPr>
                <w:t>34</w:t>
              </w:r>
            </w:hyperlink>
          </w:p>
        </w:tc>
      </w:tr>
      <w:tr>
        <w:tblPrEx>
          <w:tblW w:w="0" w:type="auto"/>
          <w:jc w:val="left"/>
          <w:tblInd w:w="713" w:type="dxa"/>
          <w:tblLayout w:type="fixed"/>
          <w:tblCellMar>
            <w:top w:w="0" w:type="dxa"/>
            <w:left w:w="0" w:type="dxa"/>
            <w:bottom w:w="0" w:type="dxa"/>
            <w:right w:w="0" w:type="dxa"/>
          </w:tblCellMar>
          <w:tblLook w:val="01E0"/>
        </w:tblPrEx>
        <w:trPr>
          <w:trHeight w:val="505"/>
          <w:jc w:val="left"/>
        </w:trPr>
        <w:tc>
          <w:tcPr>
            <w:tcW w:w="3389" w:type="dxa"/>
          </w:tcPr>
          <w:p>
            <w:pPr>
              <w:pStyle w:val="TableParagraph"/>
              <w:spacing w:line="252" w:lineRule="exact"/>
              <w:ind w:left="107" w:right="143"/>
              <w:rPr>
                <w:sz w:val="22"/>
              </w:rPr>
            </w:pPr>
            <w:r>
              <w:rPr>
                <w:sz w:val="22"/>
              </w:rPr>
              <w:t>Capitated</w:t>
            </w:r>
            <w:r>
              <w:rPr>
                <w:spacing w:val="-14"/>
                <w:sz w:val="22"/>
              </w:rPr>
              <w:t xml:space="preserve"> </w:t>
            </w:r>
            <w:r>
              <w:rPr>
                <w:sz w:val="22"/>
              </w:rPr>
              <w:t>Arrangements</w:t>
            </w:r>
            <w:r>
              <w:rPr>
                <w:spacing w:val="-14"/>
                <w:sz w:val="22"/>
              </w:rPr>
              <w:t xml:space="preserve"> </w:t>
            </w:r>
            <w:r>
              <w:rPr>
                <w:sz w:val="22"/>
              </w:rPr>
              <w:t>for Medical Services</w:t>
            </w:r>
          </w:p>
        </w:tc>
        <w:tc>
          <w:tcPr>
            <w:tcW w:w="667" w:type="dxa"/>
          </w:tcPr>
          <w:p>
            <w:pPr>
              <w:pStyle w:val="TableParagraph"/>
              <w:spacing w:before="123"/>
              <w:ind w:left="108"/>
              <w:rPr>
                <w:sz w:val="22"/>
              </w:rPr>
            </w:pPr>
            <w:hyperlink w:anchor="_bookmark13" w:history="1">
              <w:r>
                <w:rPr>
                  <w:spacing w:val="-5"/>
                  <w:sz w:val="22"/>
                </w:rPr>
                <w:t>15</w:t>
              </w:r>
            </w:hyperlink>
          </w:p>
        </w:tc>
        <w:tc>
          <w:tcPr>
            <w:tcW w:w="4282" w:type="dxa"/>
          </w:tcPr>
          <w:p>
            <w:pPr>
              <w:pStyle w:val="TableParagraph"/>
              <w:spacing w:before="123"/>
              <w:ind w:left="108"/>
              <w:rPr>
                <w:sz w:val="22"/>
              </w:rPr>
            </w:pPr>
            <w:r>
              <w:rPr>
                <w:sz w:val="22"/>
              </w:rPr>
              <w:t>Part</w:t>
            </w:r>
            <w:r>
              <w:rPr>
                <w:spacing w:val="-1"/>
                <w:sz w:val="22"/>
              </w:rPr>
              <w:t xml:space="preserve"> </w:t>
            </w:r>
            <w:r>
              <w:rPr>
                <w:sz w:val="22"/>
              </w:rPr>
              <w:t>B</w:t>
            </w:r>
            <w:r>
              <w:rPr>
                <w:spacing w:val="-3"/>
                <w:sz w:val="22"/>
              </w:rPr>
              <w:t xml:space="preserve"> </w:t>
            </w:r>
            <w:r>
              <w:rPr>
                <w:sz w:val="22"/>
              </w:rPr>
              <w:t>Premium</w:t>
            </w:r>
            <w:r>
              <w:rPr>
                <w:spacing w:val="-4"/>
                <w:sz w:val="22"/>
              </w:rPr>
              <w:t xml:space="preserve"> </w:t>
            </w:r>
            <w:r>
              <w:rPr>
                <w:sz w:val="22"/>
              </w:rPr>
              <w:t>and</w:t>
            </w:r>
            <w:r>
              <w:rPr>
                <w:spacing w:val="-1"/>
                <w:sz w:val="22"/>
              </w:rPr>
              <w:t xml:space="preserve"> </w:t>
            </w:r>
            <w:r>
              <w:rPr>
                <w:spacing w:val="-2"/>
                <w:sz w:val="22"/>
              </w:rPr>
              <w:t>Buydown</w:t>
            </w:r>
          </w:p>
        </w:tc>
        <w:tc>
          <w:tcPr>
            <w:tcW w:w="669" w:type="dxa"/>
          </w:tcPr>
          <w:p>
            <w:pPr>
              <w:pStyle w:val="TableParagraph"/>
              <w:spacing w:before="123"/>
              <w:ind w:left="108"/>
              <w:rPr>
                <w:sz w:val="22"/>
              </w:rPr>
            </w:pPr>
            <w:hyperlink w:anchor="_bookmark28" w:history="1">
              <w:r>
                <w:rPr>
                  <w:spacing w:val="-5"/>
                  <w:sz w:val="22"/>
                </w:rPr>
                <w:t>34</w:t>
              </w:r>
            </w:hyperlink>
          </w:p>
        </w:tc>
      </w:tr>
      <w:tr>
        <w:tblPrEx>
          <w:tblW w:w="0" w:type="auto"/>
          <w:jc w:val="left"/>
          <w:tblInd w:w="713" w:type="dxa"/>
          <w:tblLayout w:type="fixed"/>
          <w:tblCellMar>
            <w:top w:w="0" w:type="dxa"/>
            <w:left w:w="0" w:type="dxa"/>
            <w:bottom w:w="0" w:type="dxa"/>
            <w:right w:w="0" w:type="dxa"/>
          </w:tblCellMar>
          <w:tblLook w:val="01E0"/>
        </w:tblPrEx>
        <w:trPr>
          <w:trHeight w:val="506"/>
          <w:jc w:val="left"/>
        </w:trPr>
        <w:tc>
          <w:tcPr>
            <w:tcW w:w="3389" w:type="dxa"/>
          </w:tcPr>
          <w:p>
            <w:pPr>
              <w:pStyle w:val="TableParagraph"/>
              <w:spacing w:line="252" w:lineRule="exact"/>
              <w:ind w:left="107"/>
              <w:rPr>
                <w:sz w:val="22"/>
              </w:rPr>
            </w:pPr>
            <w:r>
              <w:rPr>
                <w:sz w:val="22"/>
              </w:rPr>
              <w:t>Coordination</w:t>
            </w:r>
            <w:r>
              <w:rPr>
                <w:spacing w:val="-13"/>
                <w:sz w:val="22"/>
              </w:rPr>
              <w:t xml:space="preserve"> </w:t>
            </w:r>
            <w:r>
              <w:rPr>
                <w:sz w:val="22"/>
              </w:rPr>
              <w:t>of</w:t>
            </w:r>
            <w:r>
              <w:rPr>
                <w:spacing w:val="-13"/>
                <w:sz w:val="22"/>
              </w:rPr>
              <w:t xml:space="preserve"> </w:t>
            </w:r>
            <w:r>
              <w:rPr>
                <w:sz w:val="22"/>
              </w:rPr>
              <w:t>Benefits</w:t>
            </w:r>
            <w:r>
              <w:rPr>
                <w:spacing w:val="-14"/>
                <w:sz w:val="22"/>
              </w:rPr>
              <w:t xml:space="preserve"> </w:t>
            </w:r>
            <w:r>
              <w:rPr>
                <w:sz w:val="22"/>
              </w:rPr>
              <w:t xml:space="preserve">(COB)/ </w:t>
            </w:r>
            <w:r>
              <w:rPr>
                <w:spacing w:val="-2"/>
                <w:sz w:val="22"/>
              </w:rPr>
              <w:t>Subrogation</w:t>
            </w:r>
          </w:p>
        </w:tc>
        <w:tc>
          <w:tcPr>
            <w:tcW w:w="667" w:type="dxa"/>
          </w:tcPr>
          <w:p>
            <w:pPr>
              <w:pStyle w:val="TableParagraph"/>
              <w:spacing w:before="123"/>
              <w:ind w:left="108"/>
              <w:rPr>
                <w:sz w:val="22"/>
              </w:rPr>
            </w:pPr>
            <w:r>
              <w:rPr>
                <w:spacing w:val="-5"/>
                <w:sz w:val="22"/>
              </w:rPr>
              <w:t>16</w:t>
            </w:r>
          </w:p>
        </w:tc>
        <w:tc>
          <w:tcPr>
            <w:tcW w:w="4282" w:type="dxa"/>
          </w:tcPr>
          <w:p>
            <w:pPr>
              <w:pStyle w:val="TableParagraph"/>
              <w:spacing w:line="252" w:lineRule="exact"/>
              <w:ind w:left="108"/>
              <w:rPr>
                <w:sz w:val="22"/>
              </w:rPr>
            </w:pPr>
            <w:r>
              <w:rPr>
                <w:sz w:val="22"/>
              </w:rPr>
              <w:t>Plan</w:t>
            </w:r>
            <w:r>
              <w:rPr>
                <w:spacing w:val="-9"/>
                <w:sz w:val="22"/>
              </w:rPr>
              <w:t xml:space="preserve"> </w:t>
            </w:r>
            <w:r>
              <w:rPr>
                <w:sz w:val="22"/>
              </w:rPr>
              <w:t>Premiums,</w:t>
            </w:r>
            <w:r>
              <w:rPr>
                <w:spacing w:val="-9"/>
                <w:sz w:val="22"/>
              </w:rPr>
              <w:t xml:space="preserve"> </w:t>
            </w:r>
            <w:r>
              <w:rPr>
                <w:sz w:val="22"/>
              </w:rPr>
              <w:t>Rebate</w:t>
            </w:r>
            <w:r>
              <w:rPr>
                <w:spacing w:val="-9"/>
                <w:sz w:val="22"/>
              </w:rPr>
              <w:t xml:space="preserve"> </w:t>
            </w:r>
            <w:r>
              <w:rPr>
                <w:sz w:val="22"/>
              </w:rPr>
              <w:t>Reallocation,</w:t>
            </w:r>
            <w:r>
              <w:rPr>
                <w:spacing w:val="-12"/>
                <w:sz w:val="22"/>
              </w:rPr>
              <w:t xml:space="preserve"> </w:t>
            </w:r>
            <w:r>
              <w:rPr>
                <w:sz w:val="22"/>
              </w:rPr>
              <w:t>and Premium Rounding</w:t>
            </w:r>
          </w:p>
        </w:tc>
        <w:tc>
          <w:tcPr>
            <w:tcW w:w="669" w:type="dxa"/>
          </w:tcPr>
          <w:p>
            <w:pPr>
              <w:pStyle w:val="TableParagraph"/>
              <w:spacing w:before="123"/>
              <w:ind w:left="108"/>
              <w:rPr>
                <w:sz w:val="22"/>
              </w:rPr>
            </w:pPr>
            <w:hyperlink w:anchor="_bookmark29" w:history="1">
              <w:r>
                <w:rPr>
                  <w:spacing w:val="-5"/>
                  <w:sz w:val="22"/>
                </w:rPr>
                <w:t>34</w:t>
              </w:r>
            </w:hyperlink>
          </w:p>
        </w:tc>
      </w:tr>
      <w:tr>
        <w:tblPrEx>
          <w:tblW w:w="0" w:type="auto"/>
          <w:jc w:val="left"/>
          <w:tblInd w:w="713" w:type="dxa"/>
          <w:tblLayout w:type="fixed"/>
          <w:tblCellMar>
            <w:top w:w="0" w:type="dxa"/>
            <w:left w:w="0" w:type="dxa"/>
            <w:bottom w:w="0" w:type="dxa"/>
            <w:right w:w="0" w:type="dxa"/>
          </w:tblCellMar>
          <w:tblLook w:val="01E0"/>
        </w:tblPrEx>
        <w:trPr>
          <w:trHeight w:val="505"/>
          <w:jc w:val="left"/>
        </w:trPr>
        <w:tc>
          <w:tcPr>
            <w:tcW w:w="3389" w:type="dxa"/>
          </w:tcPr>
          <w:p>
            <w:pPr>
              <w:pStyle w:val="TableParagraph"/>
              <w:spacing w:before="123"/>
              <w:ind w:left="107"/>
              <w:rPr>
                <w:sz w:val="22"/>
              </w:rPr>
            </w:pPr>
            <w:r>
              <w:rPr>
                <w:sz w:val="22"/>
              </w:rPr>
              <w:t xml:space="preserve">Cost </w:t>
            </w:r>
            <w:r>
              <w:rPr>
                <w:spacing w:val="-2"/>
                <w:sz w:val="22"/>
              </w:rPr>
              <w:t>Sharing</w:t>
            </w:r>
          </w:p>
        </w:tc>
        <w:tc>
          <w:tcPr>
            <w:tcW w:w="667" w:type="dxa"/>
          </w:tcPr>
          <w:p>
            <w:pPr>
              <w:pStyle w:val="TableParagraph"/>
              <w:spacing w:before="123"/>
              <w:ind w:left="108"/>
              <w:rPr>
                <w:sz w:val="22"/>
              </w:rPr>
            </w:pPr>
            <w:hyperlink w:anchor="_bookmark15" w:history="1">
              <w:r>
                <w:rPr>
                  <w:spacing w:val="-5"/>
                  <w:sz w:val="22"/>
                </w:rPr>
                <w:t>16</w:t>
              </w:r>
            </w:hyperlink>
          </w:p>
        </w:tc>
        <w:tc>
          <w:tcPr>
            <w:tcW w:w="4282" w:type="dxa"/>
          </w:tcPr>
          <w:p>
            <w:pPr>
              <w:pStyle w:val="TableParagraph"/>
              <w:spacing w:line="252" w:lineRule="exact"/>
              <w:ind w:left="108" w:right="200"/>
              <w:rPr>
                <w:sz w:val="22"/>
              </w:rPr>
            </w:pPr>
            <w:r>
              <w:rPr>
                <w:sz w:val="22"/>
              </w:rPr>
              <w:t>Plan</w:t>
            </w:r>
            <w:r>
              <w:rPr>
                <w:spacing w:val="-6"/>
                <w:sz w:val="22"/>
              </w:rPr>
              <w:t xml:space="preserve"> </w:t>
            </w:r>
            <w:r>
              <w:rPr>
                <w:sz w:val="22"/>
              </w:rPr>
              <w:t>Intention</w:t>
            </w:r>
            <w:r>
              <w:rPr>
                <w:spacing w:val="-9"/>
                <w:sz w:val="22"/>
              </w:rPr>
              <w:t xml:space="preserve"> </w:t>
            </w:r>
            <w:r>
              <w:rPr>
                <w:sz w:val="22"/>
              </w:rPr>
              <w:t>for</w:t>
            </w:r>
            <w:r>
              <w:rPr>
                <w:spacing w:val="-6"/>
                <w:sz w:val="22"/>
              </w:rPr>
              <w:t xml:space="preserve"> </w:t>
            </w:r>
            <w:r>
              <w:rPr>
                <w:sz w:val="22"/>
              </w:rPr>
              <w:t>Target</w:t>
            </w:r>
            <w:r>
              <w:rPr>
                <w:spacing w:val="-4"/>
                <w:sz w:val="22"/>
              </w:rPr>
              <w:t xml:space="preserve"> </w:t>
            </w:r>
            <w:r>
              <w:rPr>
                <w:sz w:val="22"/>
              </w:rPr>
              <w:t>Part</w:t>
            </w:r>
            <w:r>
              <w:rPr>
                <w:spacing w:val="-5"/>
                <w:sz w:val="22"/>
              </w:rPr>
              <w:t xml:space="preserve"> </w:t>
            </w:r>
            <w:r>
              <w:rPr>
                <w:sz w:val="22"/>
              </w:rPr>
              <w:t>D</w:t>
            </w:r>
            <w:r>
              <w:rPr>
                <w:spacing w:val="-7"/>
                <w:sz w:val="22"/>
              </w:rPr>
              <w:t xml:space="preserve"> </w:t>
            </w:r>
            <w:r>
              <w:rPr>
                <w:sz w:val="22"/>
              </w:rPr>
              <w:t xml:space="preserve">Basic </w:t>
            </w:r>
            <w:r>
              <w:rPr>
                <w:spacing w:val="-2"/>
                <w:sz w:val="22"/>
              </w:rPr>
              <w:t>Premium</w:t>
            </w:r>
          </w:p>
        </w:tc>
        <w:tc>
          <w:tcPr>
            <w:tcW w:w="669" w:type="dxa"/>
          </w:tcPr>
          <w:p>
            <w:pPr>
              <w:pStyle w:val="TableParagraph"/>
              <w:spacing w:before="123"/>
              <w:ind w:left="108"/>
              <w:rPr>
                <w:sz w:val="22"/>
              </w:rPr>
            </w:pPr>
            <w:hyperlink w:anchor="_bookmark30" w:history="1">
              <w:r>
                <w:rPr>
                  <w:spacing w:val="-5"/>
                  <w:sz w:val="22"/>
                </w:rPr>
                <w:t>35</w:t>
              </w:r>
            </w:hyperlink>
          </w:p>
        </w:tc>
      </w:tr>
      <w:tr>
        <w:tblPrEx>
          <w:tblW w:w="0" w:type="auto"/>
          <w:jc w:val="left"/>
          <w:tblInd w:w="713" w:type="dxa"/>
          <w:tblLayout w:type="fixed"/>
          <w:tblCellMar>
            <w:top w:w="0" w:type="dxa"/>
            <w:left w:w="0" w:type="dxa"/>
            <w:bottom w:w="0" w:type="dxa"/>
            <w:right w:w="0" w:type="dxa"/>
          </w:tblCellMar>
          <w:tblLook w:val="01E0"/>
        </w:tblPrEx>
        <w:trPr>
          <w:trHeight w:val="251"/>
          <w:jc w:val="left"/>
        </w:trPr>
        <w:tc>
          <w:tcPr>
            <w:tcW w:w="3389" w:type="dxa"/>
          </w:tcPr>
          <w:p>
            <w:pPr>
              <w:pStyle w:val="TableParagraph"/>
              <w:spacing w:line="232" w:lineRule="exact"/>
              <w:ind w:left="107"/>
              <w:rPr>
                <w:sz w:val="22"/>
              </w:rPr>
            </w:pPr>
            <w:r>
              <w:rPr>
                <w:spacing w:val="-2"/>
                <w:sz w:val="22"/>
              </w:rPr>
              <w:t>Credibility</w:t>
            </w:r>
          </w:p>
        </w:tc>
        <w:tc>
          <w:tcPr>
            <w:tcW w:w="667" w:type="dxa"/>
          </w:tcPr>
          <w:p>
            <w:pPr>
              <w:pStyle w:val="TableParagraph"/>
              <w:spacing w:line="232" w:lineRule="exact"/>
              <w:ind w:left="108"/>
              <w:rPr>
                <w:sz w:val="22"/>
              </w:rPr>
            </w:pPr>
            <w:hyperlink w:anchor="_bookmark16" w:history="1">
              <w:r>
                <w:rPr>
                  <w:spacing w:val="-5"/>
                  <w:sz w:val="22"/>
                </w:rPr>
                <w:t>19</w:t>
              </w:r>
            </w:hyperlink>
          </w:p>
        </w:tc>
        <w:tc>
          <w:tcPr>
            <w:tcW w:w="4282" w:type="dxa"/>
          </w:tcPr>
          <w:p>
            <w:pPr>
              <w:pStyle w:val="TableParagraph"/>
              <w:spacing w:line="232" w:lineRule="exact"/>
              <w:ind w:left="108"/>
              <w:rPr>
                <w:sz w:val="22"/>
              </w:rPr>
            </w:pPr>
            <w:r>
              <w:rPr>
                <w:sz w:val="22"/>
              </w:rPr>
              <w:t>Rebate</w:t>
            </w:r>
            <w:r>
              <w:rPr>
                <w:spacing w:val="-3"/>
                <w:sz w:val="22"/>
              </w:rPr>
              <w:t xml:space="preserve"> </w:t>
            </w:r>
            <w:r>
              <w:rPr>
                <w:spacing w:val="-2"/>
                <w:sz w:val="22"/>
              </w:rPr>
              <w:t>Allocations</w:t>
            </w:r>
          </w:p>
        </w:tc>
        <w:tc>
          <w:tcPr>
            <w:tcW w:w="669" w:type="dxa"/>
          </w:tcPr>
          <w:p>
            <w:pPr>
              <w:pStyle w:val="TableParagraph"/>
              <w:spacing w:line="232" w:lineRule="exact"/>
              <w:ind w:left="108"/>
              <w:rPr>
                <w:sz w:val="22"/>
              </w:rPr>
            </w:pPr>
            <w:hyperlink w:anchor="_bookmark31" w:history="1">
              <w:r>
                <w:rPr>
                  <w:spacing w:val="-5"/>
                  <w:sz w:val="22"/>
                </w:rPr>
                <w:t>36</w:t>
              </w:r>
            </w:hyperlink>
          </w:p>
        </w:tc>
      </w:tr>
      <w:tr>
        <w:tblPrEx>
          <w:tblW w:w="0" w:type="auto"/>
          <w:jc w:val="left"/>
          <w:tblInd w:w="713" w:type="dxa"/>
          <w:tblLayout w:type="fixed"/>
          <w:tblCellMar>
            <w:top w:w="0" w:type="dxa"/>
            <w:left w:w="0" w:type="dxa"/>
            <w:bottom w:w="0" w:type="dxa"/>
            <w:right w:w="0" w:type="dxa"/>
          </w:tblCellMar>
          <w:tblLook w:val="01E0"/>
        </w:tblPrEx>
        <w:trPr>
          <w:trHeight w:val="506"/>
          <w:jc w:val="left"/>
        </w:trPr>
        <w:tc>
          <w:tcPr>
            <w:tcW w:w="3389" w:type="dxa"/>
          </w:tcPr>
          <w:p>
            <w:pPr>
              <w:pStyle w:val="TableParagraph"/>
              <w:spacing w:before="126"/>
              <w:ind w:left="107"/>
              <w:rPr>
                <w:sz w:val="22"/>
              </w:rPr>
            </w:pPr>
            <w:r>
              <w:rPr>
                <w:sz w:val="22"/>
              </w:rPr>
              <w:t>Dual-Eligible</w:t>
            </w:r>
            <w:r>
              <w:rPr>
                <w:spacing w:val="-8"/>
                <w:sz w:val="22"/>
              </w:rPr>
              <w:t xml:space="preserve"> </w:t>
            </w:r>
            <w:r>
              <w:rPr>
                <w:spacing w:val="-2"/>
                <w:sz w:val="22"/>
              </w:rPr>
              <w:t>Beneficiaries</w:t>
            </w:r>
          </w:p>
        </w:tc>
        <w:tc>
          <w:tcPr>
            <w:tcW w:w="667" w:type="dxa"/>
          </w:tcPr>
          <w:p>
            <w:pPr>
              <w:pStyle w:val="TableParagraph"/>
              <w:spacing w:before="126"/>
              <w:ind w:left="108"/>
              <w:rPr>
                <w:sz w:val="22"/>
              </w:rPr>
            </w:pPr>
            <w:hyperlink w:anchor="_bookmark17" w:history="1">
              <w:r>
                <w:rPr>
                  <w:spacing w:val="-5"/>
                  <w:sz w:val="22"/>
                </w:rPr>
                <w:t>20</w:t>
              </w:r>
            </w:hyperlink>
          </w:p>
        </w:tc>
        <w:tc>
          <w:tcPr>
            <w:tcW w:w="4282" w:type="dxa"/>
          </w:tcPr>
          <w:p>
            <w:pPr>
              <w:pStyle w:val="TableParagraph"/>
              <w:spacing w:line="254" w:lineRule="exact"/>
              <w:ind w:left="108"/>
              <w:rPr>
                <w:sz w:val="22"/>
              </w:rPr>
            </w:pPr>
            <w:r>
              <w:rPr>
                <w:sz w:val="22"/>
              </w:rPr>
              <w:t>Regional</w:t>
            </w:r>
            <w:r>
              <w:rPr>
                <w:spacing w:val="-12"/>
                <w:sz w:val="22"/>
              </w:rPr>
              <w:t xml:space="preserve"> </w:t>
            </w:r>
            <w:r>
              <w:rPr>
                <w:sz w:val="22"/>
              </w:rPr>
              <w:t>Preferred</w:t>
            </w:r>
            <w:r>
              <w:rPr>
                <w:spacing w:val="-13"/>
                <w:sz w:val="22"/>
              </w:rPr>
              <w:t xml:space="preserve"> </w:t>
            </w:r>
            <w:r>
              <w:rPr>
                <w:sz w:val="22"/>
              </w:rPr>
              <w:t>Provider</w:t>
            </w:r>
            <w:r>
              <w:rPr>
                <w:spacing w:val="-13"/>
                <w:sz w:val="22"/>
              </w:rPr>
              <w:t xml:space="preserve"> </w:t>
            </w:r>
            <w:r>
              <w:rPr>
                <w:sz w:val="22"/>
              </w:rPr>
              <w:t xml:space="preserve">Organizations </w:t>
            </w:r>
            <w:r>
              <w:rPr>
                <w:spacing w:val="-2"/>
                <w:sz w:val="22"/>
              </w:rPr>
              <w:t>(RPPOs)</w:t>
            </w:r>
          </w:p>
        </w:tc>
        <w:tc>
          <w:tcPr>
            <w:tcW w:w="669" w:type="dxa"/>
          </w:tcPr>
          <w:p>
            <w:pPr>
              <w:pStyle w:val="TableParagraph"/>
              <w:spacing w:before="126"/>
              <w:ind w:left="108"/>
              <w:rPr>
                <w:sz w:val="22"/>
              </w:rPr>
            </w:pPr>
            <w:hyperlink w:anchor="_bookmark32" w:history="1">
              <w:r>
                <w:rPr>
                  <w:spacing w:val="-5"/>
                  <w:sz w:val="22"/>
                </w:rPr>
                <w:t>36</w:t>
              </w:r>
            </w:hyperlink>
          </w:p>
        </w:tc>
      </w:tr>
      <w:tr>
        <w:tblPrEx>
          <w:tblW w:w="0" w:type="auto"/>
          <w:jc w:val="left"/>
          <w:tblInd w:w="713" w:type="dxa"/>
          <w:tblLayout w:type="fixed"/>
          <w:tblCellMar>
            <w:top w:w="0" w:type="dxa"/>
            <w:left w:w="0" w:type="dxa"/>
            <w:bottom w:w="0" w:type="dxa"/>
            <w:right w:w="0" w:type="dxa"/>
          </w:tblCellMar>
          <w:tblLook w:val="01E0"/>
        </w:tblPrEx>
        <w:trPr>
          <w:trHeight w:val="252"/>
          <w:jc w:val="left"/>
        </w:trPr>
        <w:tc>
          <w:tcPr>
            <w:tcW w:w="3389" w:type="dxa"/>
          </w:tcPr>
          <w:p>
            <w:pPr>
              <w:pStyle w:val="TableParagraph"/>
              <w:spacing w:line="233" w:lineRule="exact"/>
              <w:ind w:left="107"/>
              <w:rPr>
                <w:sz w:val="22"/>
              </w:rPr>
            </w:pPr>
            <w:r>
              <w:rPr>
                <w:sz w:val="22"/>
              </w:rPr>
              <w:t>Employer/Union</w:t>
            </w:r>
            <w:r>
              <w:rPr>
                <w:spacing w:val="-7"/>
                <w:sz w:val="22"/>
              </w:rPr>
              <w:t xml:space="preserve"> </w:t>
            </w:r>
            <w:r>
              <w:rPr>
                <w:spacing w:val="-2"/>
                <w:sz w:val="22"/>
              </w:rPr>
              <w:t>Groups</w:t>
            </w:r>
          </w:p>
        </w:tc>
        <w:tc>
          <w:tcPr>
            <w:tcW w:w="667" w:type="dxa"/>
          </w:tcPr>
          <w:p>
            <w:pPr>
              <w:pStyle w:val="TableParagraph"/>
              <w:spacing w:line="233" w:lineRule="exact"/>
              <w:ind w:left="108"/>
              <w:rPr>
                <w:sz w:val="22"/>
              </w:rPr>
            </w:pPr>
            <w:hyperlink w:anchor="_bookmark18" w:history="1">
              <w:r>
                <w:rPr>
                  <w:spacing w:val="-5"/>
                  <w:sz w:val="22"/>
                </w:rPr>
                <w:t>25</w:t>
              </w:r>
            </w:hyperlink>
          </w:p>
        </w:tc>
        <w:tc>
          <w:tcPr>
            <w:tcW w:w="4282" w:type="dxa"/>
          </w:tcPr>
          <w:p>
            <w:pPr>
              <w:pStyle w:val="TableParagraph"/>
              <w:spacing w:line="233" w:lineRule="exact"/>
              <w:ind w:left="108"/>
              <w:rPr>
                <w:sz w:val="22"/>
              </w:rPr>
            </w:pPr>
            <w:r>
              <w:rPr>
                <w:sz w:val="22"/>
              </w:rPr>
              <w:t>Related-Party</w:t>
            </w:r>
            <w:r>
              <w:rPr>
                <w:spacing w:val="-5"/>
                <w:sz w:val="22"/>
              </w:rPr>
              <w:t xml:space="preserve"> </w:t>
            </w:r>
            <w:r>
              <w:rPr>
                <w:spacing w:val="-2"/>
                <w:sz w:val="22"/>
              </w:rPr>
              <w:t>Arrangements</w:t>
            </w:r>
          </w:p>
        </w:tc>
        <w:tc>
          <w:tcPr>
            <w:tcW w:w="669" w:type="dxa"/>
          </w:tcPr>
          <w:p>
            <w:pPr>
              <w:pStyle w:val="TableParagraph"/>
              <w:spacing w:line="233" w:lineRule="exact"/>
              <w:ind w:left="108"/>
              <w:rPr>
                <w:sz w:val="22"/>
              </w:rPr>
            </w:pPr>
            <w:hyperlink w:anchor="_bookmark33" w:history="1">
              <w:r>
                <w:rPr>
                  <w:spacing w:val="-5"/>
                  <w:sz w:val="22"/>
                </w:rPr>
                <w:t>37</w:t>
              </w:r>
            </w:hyperlink>
          </w:p>
        </w:tc>
      </w:tr>
      <w:tr>
        <w:tblPrEx>
          <w:tblW w:w="0" w:type="auto"/>
          <w:jc w:val="left"/>
          <w:tblInd w:w="713" w:type="dxa"/>
          <w:tblLayout w:type="fixed"/>
          <w:tblCellMar>
            <w:top w:w="0" w:type="dxa"/>
            <w:left w:w="0" w:type="dxa"/>
            <w:bottom w:w="0" w:type="dxa"/>
            <w:right w:w="0" w:type="dxa"/>
          </w:tblCellMar>
          <w:tblLook w:val="01E0"/>
        </w:tblPrEx>
        <w:trPr>
          <w:trHeight w:val="251"/>
          <w:jc w:val="left"/>
        </w:trPr>
        <w:tc>
          <w:tcPr>
            <w:tcW w:w="3389" w:type="dxa"/>
          </w:tcPr>
          <w:p>
            <w:pPr>
              <w:pStyle w:val="TableParagraph"/>
              <w:spacing w:line="232" w:lineRule="exact"/>
              <w:ind w:left="107"/>
              <w:rPr>
                <w:sz w:val="22"/>
              </w:rPr>
            </w:pPr>
            <w:r>
              <w:rPr>
                <w:sz w:val="22"/>
              </w:rPr>
              <w:t>End-Stage</w:t>
            </w:r>
            <w:r>
              <w:rPr>
                <w:spacing w:val="-5"/>
                <w:sz w:val="22"/>
              </w:rPr>
              <w:t xml:space="preserve"> </w:t>
            </w:r>
            <w:r>
              <w:rPr>
                <w:sz w:val="22"/>
              </w:rPr>
              <w:t>Renal</w:t>
            </w:r>
            <w:r>
              <w:rPr>
                <w:spacing w:val="-3"/>
                <w:sz w:val="22"/>
              </w:rPr>
              <w:t xml:space="preserve"> </w:t>
            </w:r>
            <w:r>
              <w:rPr>
                <w:sz w:val="22"/>
              </w:rPr>
              <w:t>Disease</w:t>
            </w:r>
            <w:r>
              <w:rPr>
                <w:spacing w:val="-6"/>
                <w:sz w:val="22"/>
              </w:rPr>
              <w:t xml:space="preserve"> </w:t>
            </w:r>
            <w:r>
              <w:rPr>
                <w:spacing w:val="-2"/>
                <w:sz w:val="22"/>
              </w:rPr>
              <w:t>(ESRD)</w:t>
            </w:r>
          </w:p>
        </w:tc>
        <w:tc>
          <w:tcPr>
            <w:tcW w:w="667" w:type="dxa"/>
          </w:tcPr>
          <w:p>
            <w:pPr>
              <w:pStyle w:val="TableParagraph"/>
              <w:spacing w:line="232" w:lineRule="exact"/>
              <w:ind w:left="108"/>
              <w:rPr>
                <w:sz w:val="22"/>
              </w:rPr>
            </w:pPr>
            <w:hyperlink w:anchor="_bookmark19" w:history="1">
              <w:r>
                <w:rPr>
                  <w:spacing w:val="-5"/>
                  <w:sz w:val="22"/>
                </w:rPr>
                <w:t>25</w:t>
              </w:r>
            </w:hyperlink>
          </w:p>
        </w:tc>
        <w:tc>
          <w:tcPr>
            <w:tcW w:w="4282" w:type="dxa"/>
          </w:tcPr>
          <w:p>
            <w:pPr>
              <w:pStyle w:val="TableParagraph"/>
              <w:spacing w:line="232" w:lineRule="exact"/>
              <w:ind w:left="108"/>
              <w:rPr>
                <w:sz w:val="22"/>
              </w:rPr>
            </w:pPr>
            <w:r>
              <w:rPr>
                <w:sz w:val="22"/>
              </w:rPr>
              <w:t>Risk</w:t>
            </w:r>
            <w:r>
              <w:rPr>
                <w:spacing w:val="-4"/>
                <w:sz w:val="22"/>
              </w:rPr>
              <w:t xml:space="preserve"> </w:t>
            </w:r>
            <w:r>
              <w:rPr>
                <w:sz w:val="22"/>
              </w:rPr>
              <w:t>Score</w:t>
            </w:r>
            <w:r>
              <w:rPr>
                <w:spacing w:val="-3"/>
                <w:sz w:val="22"/>
              </w:rPr>
              <w:t xml:space="preserve"> </w:t>
            </w:r>
            <w:r>
              <w:rPr>
                <w:sz w:val="22"/>
              </w:rPr>
              <w:t>Development</w:t>
            </w:r>
            <w:r>
              <w:rPr>
                <w:spacing w:val="-4"/>
                <w:sz w:val="22"/>
              </w:rPr>
              <w:t xml:space="preserve"> </w:t>
            </w:r>
            <w:r>
              <w:rPr>
                <w:sz w:val="22"/>
              </w:rPr>
              <w:t>for</w:t>
            </w:r>
            <w:r>
              <w:rPr>
                <w:spacing w:val="-3"/>
                <w:sz w:val="22"/>
              </w:rPr>
              <w:t xml:space="preserve"> </w:t>
            </w:r>
            <w:r>
              <w:rPr>
                <w:spacing w:val="-2"/>
                <w:sz w:val="22"/>
              </w:rPr>
              <w:t>CY2027</w:t>
            </w:r>
          </w:p>
        </w:tc>
        <w:tc>
          <w:tcPr>
            <w:tcW w:w="669" w:type="dxa"/>
          </w:tcPr>
          <w:p>
            <w:pPr>
              <w:pStyle w:val="TableParagraph"/>
              <w:spacing w:line="232" w:lineRule="exact"/>
              <w:ind w:left="108"/>
              <w:rPr>
                <w:sz w:val="22"/>
              </w:rPr>
            </w:pPr>
            <w:hyperlink w:anchor="_bookmark34" w:history="1">
              <w:r>
                <w:rPr>
                  <w:spacing w:val="-5"/>
                  <w:sz w:val="22"/>
                </w:rPr>
                <w:t>37</w:t>
              </w:r>
            </w:hyperlink>
          </w:p>
        </w:tc>
      </w:tr>
      <w:tr>
        <w:tblPrEx>
          <w:tblW w:w="0" w:type="auto"/>
          <w:jc w:val="left"/>
          <w:tblInd w:w="713" w:type="dxa"/>
          <w:tblLayout w:type="fixed"/>
          <w:tblCellMar>
            <w:top w:w="0" w:type="dxa"/>
            <w:left w:w="0" w:type="dxa"/>
            <w:bottom w:w="0" w:type="dxa"/>
            <w:right w:w="0" w:type="dxa"/>
          </w:tblCellMar>
          <w:tblLook w:val="01E0"/>
        </w:tblPrEx>
        <w:trPr>
          <w:trHeight w:val="253"/>
          <w:jc w:val="left"/>
        </w:trPr>
        <w:tc>
          <w:tcPr>
            <w:tcW w:w="3389" w:type="dxa"/>
          </w:tcPr>
          <w:p>
            <w:pPr>
              <w:pStyle w:val="TableParagraph"/>
              <w:spacing w:line="234" w:lineRule="exact"/>
              <w:ind w:left="107"/>
              <w:rPr>
                <w:sz w:val="22"/>
              </w:rPr>
            </w:pPr>
            <w:r>
              <w:rPr>
                <w:spacing w:val="-2"/>
                <w:sz w:val="22"/>
              </w:rPr>
              <w:t>Enrollment</w:t>
            </w:r>
          </w:p>
        </w:tc>
        <w:tc>
          <w:tcPr>
            <w:tcW w:w="667" w:type="dxa"/>
          </w:tcPr>
          <w:p>
            <w:pPr>
              <w:pStyle w:val="TableParagraph"/>
              <w:spacing w:line="234" w:lineRule="exact"/>
              <w:ind w:left="108"/>
              <w:rPr>
                <w:sz w:val="22"/>
              </w:rPr>
            </w:pPr>
            <w:hyperlink w:anchor="_bookmark20" w:history="1">
              <w:r>
                <w:rPr>
                  <w:spacing w:val="-5"/>
                  <w:sz w:val="22"/>
                </w:rPr>
                <w:t>26</w:t>
              </w:r>
            </w:hyperlink>
          </w:p>
        </w:tc>
        <w:tc>
          <w:tcPr>
            <w:tcW w:w="4282" w:type="dxa"/>
          </w:tcPr>
          <w:p>
            <w:pPr>
              <w:pStyle w:val="TableParagraph"/>
              <w:spacing w:line="234" w:lineRule="exact"/>
              <w:ind w:left="108"/>
              <w:rPr>
                <w:sz w:val="22"/>
              </w:rPr>
            </w:pPr>
            <w:r>
              <w:rPr>
                <w:spacing w:val="-2"/>
                <w:sz w:val="22"/>
              </w:rPr>
              <w:t>Sequestration</w:t>
            </w:r>
          </w:p>
        </w:tc>
        <w:tc>
          <w:tcPr>
            <w:tcW w:w="669" w:type="dxa"/>
          </w:tcPr>
          <w:p>
            <w:pPr>
              <w:pStyle w:val="TableParagraph"/>
              <w:spacing w:line="234" w:lineRule="exact"/>
              <w:ind w:left="108"/>
              <w:rPr>
                <w:sz w:val="22"/>
              </w:rPr>
            </w:pPr>
            <w:hyperlink w:anchor="_bookmark35" w:history="1">
              <w:r>
                <w:rPr>
                  <w:spacing w:val="-5"/>
                  <w:sz w:val="22"/>
                </w:rPr>
                <w:t>39</w:t>
              </w:r>
            </w:hyperlink>
          </w:p>
        </w:tc>
      </w:tr>
      <w:tr>
        <w:tblPrEx>
          <w:tblW w:w="0" w:type="auto"/>
          <w:jc w:val="left"/>
          <w:tblInd w:w="713" w:type="dxa"/>
          <w:tblLayout w:type="fixed"/>
          <w:tblCellMar>
            <w:top w:w="0" w:type="dxa"/>
            <w:left w:w="0" w:type="dxa"/>
            <w:bottom w:w="0" w:type="dxa"/>
            <w:right w:w="0" w:type="dxa"/>
          </w:tblCellMar>
          <w:tblLook w:val="01E0"/>
        </w:tblPrEx>
        <w:trPr>
          <w:trHeight w:val="251"/>
          <w:jc w:val="left"/>
        </w:trPr>
        <w:tc>
          <w:tcPr>
            <w:tcW w:w="3389" w:type="dxa"/>
          </w:tcPr>
          <w:p>
            <w:pPr>
              <w:pStyle w:val="TableParagraph"/>
              <w:spacing w:line="232" w:lineRule="exact"/>
              <w:ind w:left="107"/>
              <w:rPr>
                <w:sz w:val="22"/>
              </w:rPr>
            </w:pPr>
            <w:r>
              <w:rPr>
                <w:sz w:val="22"/>
              </w:rPr>
              <w:t>Gain/Loss</w:t>
            </w:r>
            <w:r>
              <w:rPr>
                <w:spacing w:val="-7"/>
                <w:sz w:val="22"/>
              </w:rPr>
              <w:t xml:space="preserve"> </w:t>
            </w:r>
            <w:r>
              <w:rPr>
                <w:spacing w:val="-2"/>
                <w:sz w:val="22"/>
              </w:rPr>
              <w:t>Margin</w:t>
            </w:r>
          </w:p>
        </w:tc>
        <w:tc>
          <w:tcPr>
            <w:tcW w:w="667" w:type="dxa"/>
          </w:tcPr>
          <w:p>
            <w:pPr>
              <w:pStyle w:val="TableParagraph"/>
              <w:spacing w:line="232" w:lineRule="exact"/>
              <w:ind w:left="108"/>
              <w:rPr>
                <w:sz w:val="22"/>
              </w:rPr>
            </w:pPr>
            <w:hyperlink w:anchor="_bookmark21" w:history="1">
              <w:r>
                <w:rPr>
                  <w:spacing w:val="-5"/>
                  <w:sz w:val="22"/>
                </w:rPr>
                <w:t>26</w:t>
              </w:r>
            </w:hyperlink>
          </w:p>
        </w:tc>
        <w:tc>
          <w:tcPr>
            <w:tcW w:w="4282" w:type="dxa"/>
          </w:tcPr>
          <w:p>
            <w:pPr>
              <w:pStyle w:val="TableParagraph"/>
              <w:spacing w:line="232" w:lineRule="exact"/>
              <w:ind w:left="108"/>
              <w:rPr>
                <w:sz w:val="22"/>
              </w:rPr>
            </w:pPr>
            <w:r>
              <w:rPr>
                <w:sz w:val="22"/>
              </w:rPr>
              <w:t>Service</w:t>
            </w:r>
            <w:r>
              <w:rPr>
                <w:spacing w:val="-2"/>
                <w:sz w:val="22"/>
              </w:rPr>
              <w:t xml:space="preserve"> </w:t>
            </w:r>
            <w:r>
              <w:rPr>
                <w:spacing w:val="-4"/>
                <w:sz w:val="22"/>
              </w:rPr>
              <w:t>Area</w:t>
            </w:r>
          </w:p>
        </w:tc>
        <w:tc>
          <w:tcPr>
            <w:tcW w:w="669" w:type="dxa"/>
          </w:tcPr>
          <w:p>
            <w:pPr>
              <w:pStyle w:val="TableParagraph"/>
              <w:spacing w:line="232" w:lineRule="exact"/>
              <w:ind w:left="108"/>
              <w:rPr>
                <w:sz w:val="22"/>
              </w:rPr>
            </w:pPr>
            <w:hyperlink w:anchor="_bookmark36" w:history="1">
              <w:r>
                <w:rPr>
                  <w:spacing w:val="-5"/>
                  <w:sz w:val="22"/>
                </w:rPr>
                <w:t>39</w:t>
              </w:r>
            </w:hyperlink>
          </w:p>
        </w:tc>
      </w:tr>
      <w:tr>
        <w:tblPrEx>
          <w:tblW w:w="0" w:type="auto"/>
          <w:jc w:val="left"/>
          <w:tblInd w:w="713" w:type="dxa"/>
          <w:tblLayout w:type="fixed"/>
          <w:tblCellMar>
            <w:top w:w="0" w:type="dxa"/>
            <w:left w:w="0" w:type="dxa"/>
            <w:bottom w:w="0" w:type="dxa"/>
            <w:right w:w="0" w:type="dxa"/>
          </w:tblCellMar>
          <w:tblLook w:val="01E0"/>
        </w:tblPrEx>
        <w:trPr>
          <w:trHeight w:val="254"/>
          <w:jc w:val="left"/>
        </w:trPr>
        <w:tc>
          <w:tcPr>
            <w:tcW w:w="3389" w:type="dxa"/>
          </w:tcPr>
          <w:p>
            <w:pPr>
              <w:pStyle w:val="TableParagraph"/>
              <w:spacing w:before="1" w:line="233" w:lineRule="exact"/>
              <w:ind w:left="107"/>
              <w:rPr>
                <w:sz w:val="22"/>
              </w:rPr>
            </w:pPr>
            <w:r>
              <w:rPr>
                <w:sz w:val="22"/>
              </w:rPr>
              <w:t>Hospice</w:t>
            </w:r>
            <w:r>
              <w:rPr>
                <w:spacing w:val="-5"/>
                <w:sz w:val="22"/>
              </w:rPr>
              <w:t xml:space="preserve"> </w:t>
            </w:r>
            <w:r>
              <w:rPr>
                <w:spacing w:val="-2"/>
                <w:sz w:val="22"/>
              </w:rPr>
              <w:t>Enrollees</w:t>
            </w:r>
          </w:p>
        </w:tc>
        <w:tc>
          <w:tcPr>
            <w:tcW w:w="667" w:type="dxa"/>
          </w:tcPr>
          <w:p>
            <w:pPr>
              <w:pStyle w:val="TableParagraph"/>
              <w:spacing w:before="1" w:line="233" w:lineRule="exact"/>
              <w:ind w:left="108"/>
              <w:rPr>
                <w:sz w:val="22"/>
              </w:rPr>
            </w:pPr>
            <w:hyperlink w:anchor="_bookmark22" w:history="1">
              <w:r>
                <w:rPr>
                  <w:spacing w:val="-5"/>
                  <w:sz w:val="22"/>
                </w:rPr>
                <w:t>28</w:t>
              </w:r>
            </w:hyperlink>
          </w:p>
        </w:tc>
        <w:tc>
          <w:tcPr>
            <w:tcW w:w="4282" w:type="dxa"/>
          </w:tcPr>
          <w:p>
            <w:pPr>
              <w:pStyle w:val="TableParagraph"/>
              <w:spacing w:before="1" w:line="233" w:lineRule="exact"/>
              <w:ind w:left="108"/>
              <w:rPr>
                <w:sz w:val="22"/>
              </w:rPr>
            </w:pPr>
            <w:r>
              <w:rPr>
                <w:sz w:val="22"/>
              </w:rPr>
              <w:t>Supporting</w:t>
            </w:r>
            <w:r>
              <w:rPr>
                <w:spacing w:val="-5"/>
                <w:sz w:val="22"/>
              </w:rPr>
              <w:t xml:space="preserve"> </w:t>
            </w:r>
            <w:r>
              <w:rPr>
                <w:spacing w:val="-2"/>
                <w:sz w:val="22"/>
              </w:rPr>
              <w:t>Documentation</w:t>
            </w:r>
          </w:p>
        </w:tc>
        <w:tc>
          <w:tcPr>
            <w:tcW w:w="669" w:type="dxa"/>
          </w:tcPr>
          <w:p>
            <w:pPr>
              <w:pStyle w:val="TableParagraph"/>
              <w:spacing w:before="1" w:line="233" w:lineRule="exact"/>
              <w:ind w:left="108"/>
              <w:rPr>
                <w:sz w:val="22"/>
              </w:rPr>
            </w:pPr>
            <w:hyperlink w:anchor="_bookmark37" w:history="1">
              <w:r>
                <w:rPr>
                  <w:spacing w:val="-5"/>
                  <w:sz w:val="22"/>
                </w:rPr>
                <w:t>40</w:t>
              </w:r>
            </w:hyperlink>
          </w:p>
        </w:tc>
      </w:tr>
      <w:tr>
        <w:tblPrEx>
          <w:tblW w:w="0" w:type="auto"/>
          <w:jc w:val="left"/>
          <w:tblInd w:w="713" w:type="dxa"/>
          <w:tblLayout w:type="fixed"/>
          <w:tblCellMar>
            <w:top w:w="0" w:type="dxa"/>
            <w:left w:w="0" w:type="dxa"/>
            <w:bottom w:w="0" w:type="dxa"/>
            <w:right w:w="0" w:type="dxa"/>
          </w:tblCellMar>
          <w:tblLook w:val="01E0"/>
        </w:tblPrEx>
        <w:trPr>
          <w:trHeight w:val="254"/>
          <w:jc w:val="left"/>
        </w:trPr>
        <w:tc>
          <w:tcPr>
            <w:tcW w:w="3389" w:type="dxa"/>
          </w:tcPr>
          <w:p>
            <w:pPr>
              <w:pStyle w:val="TableParagraph"/>
              <w:spacing w:line="234" w:lineRule="exact"/>
              <w:ind w:left="107"/>
              <w:rPr>
                <w:sz w:val="22"/>
              </w:rPr>
            </w:pPr>
            <w:r>
              <w:rPr>
                <w:sz w:val="22"/>
              </w:rPr>
              <w:t>Manual</w:t>
            </w:r>
            <w:r>
              <w:rPr>
                <w:spacing w:val="-1"/>
                <w:sz w:val="22"/>
              </w:rPr>
              <w:t xml:space="preserve"> </w:t>
            </w:r>
            <w:r>
              <w:rPr>
                <w:spacing w:val="-2"/>
                <w:sz w:val="22"/>
              </w:rPr>
              <w:t>Rating</w:t>
            </w:r>
          </w:p>
        </w:tc>
        <w:tc>
          <w:tcPr>
            <w:tcW w:w="667" w:type="dxa"/>
          </w:tcPr>
          <w:p>
            <w:pPr>
              <w:pStyle w:val="TableParagraph"/>
              <w:spacing w:line="234" w:lineRule="exact"/>
              <w:ind w:left="108"/>
              <w:rPr>
                <w:sz w:val="22"/>
              </w:rPr>
            </w:pPr>
            <w:hyperlink w:anchor="_bookmark23" w:history="1">
              <w:r>
                <w:rPr>
                  <w:spacing w:val="-5"/>
                  <w:sz w:val="22"/>
                </w:rPr>
                <w:t>29</w:t>
              </w:r>
            </w:hyperlink>
          </w:p>
        </w:tc>
        <w:tc>
          <w:tcPr>
            <w:tcW w:w="4282" w:type="dxa"/>
          </w:tcPr>
          <w:p>
            <w:pPr>
              <w:pStyle w:val="TableParagraph"/>
              <w:rPr>
                <w:sz w:val="18"/>
              </w:rPr>
            </w:pPr>
          </w:p>
        </w:tc>
        <w:tc>
          <w:tcPr>
            <w:tcW w:w="669" w:type="dxa"/>
          </w:tcPr>
          <w:p>
            <w:pPr>
              <w:pStyle w:val="TableParagraph"/>
              <w:rPr>
                <w:sz w:val="18"/>
              </w:rPr>
            </w:pPr>
          </w:p>
        </w:tc>
      </w:tr>
    </w:tbl>
    <w:p>
      <w:pPr>
        <w:pStyle w:val="TableParagraph"/>
        <w:spacing w:after="0"/>
        <w:rPr>
          <w:sz w:val="18"/>
        </w:rPr>
        <w:sectPr>
          <w:headerReference w:type="default" r:id="rId14"/>
          <w:footerReference w:type="default" r:id="rId15"/>
          <w:pgSz w:w="12240" w:h="15840"/>
          <w:pgMar w:top="960" w:right="0" w:bottom="940" w:left="1080" w:header="727" w:footer="747"/>
          <w:cols w:space="720"/>
        </w:sectPr>
      </w:pPr>
    </w:p>
    <w:p>
      <w:pPr>
        <w:pStyle w:val="BodyText"/>
        <w:ind w:left="0"/>
        <w:rPr>
          <w:rFonts w:ascii="Arial"/>
          <w:b/>
          <w:sz w:val="21"/>
        </w:rPr>
      </w:pPr>
    </w:p>
    <w:p>
      <w:pPr>
        <w:pStyle w:val="BodyText"/>
        <w:spacing w:before="104"/>
        <w:ind w:left="0"/>
        <w:rPr>
          <w:rFonts w:ascii="Arial"/>
          <w:b/>
          <w:sz w:val="21"/>
        </w:rPr>
      </w:pPr>
    </w:p>
    <w:p>
      <w:pPr>
        <w:spacing w:before="0"/>
        <w:ind w:left="504" w:right="0" w:firstLine="0"/>
        <w:jc w:val="left"/>
        <w:rPr>
          <w:rFonts w:ascii="Arial"/>
          <w:b/>
          <w:sz w:val="21"/>
        </w:rPr>
      </w:pPr>
      <w:bookmarkStart w:id="20" w:name="Affordable Care Act"/>
      <w:bookmarkEnd w:id="20"/>
      <w:bookmarkStart w:id="21" w:name="_bookmark9"/>
      <w:bookmarkEnd w:id="21"/>
      <w:r>
        <w:rPr>
          <w:rFonts w:ascii="Arial"/>
          <w:b/>
          <w:sz w:val="21"/>
        </w:rPr>
        <w:t>Affordable</w:t>
      </w:r>
      <w:r>
        <w:rPr>
          <w:rFonts w:ascii="Arial"/>
          <w:b/>
          <w:spacing w:val="-13"/>
          <w:sz w:val="21"/>
        </w:rPr>
        <w:t xml:space="preserve"> </w:t>
      </w:r>
      <w:r>
        <w:rPr>
          <w:rFonts w:ascii="Arial"/>
          <w:b/>
          <w:sz w:val="21"/>
        </w:rPr>
        <w:t>Care</w:t>
      </w:r>
      <w:r>
        <w:rPr>
          <w:rFonts w:ascii="Arial"/>
          <w:b/>
          <w:spacing w:val="-7"/>
          <w:sz w:val="21"/>
        </w:rPr>
        <w:t xml:space="preserve"> </w:t>
      </w:r>
      <w:r>
        <w:rPr>
          <w:rFonts w:ascii="Arial"/>
          <w:b/>
          <w:spacing w:val="-5"/>
          <w:sz w:val="21"/>
        </w:rPr>
        <w:t>Act</w:t>
      </w:r>
    </w:p>
    <w:p>
      <w:pPr>
        <w:spacing w:before="120"/>
        <w:ind w:left="504" w:right="1443" w:firstLine="0"/>
        <w:jc w:val="left"/>
        <w:rPr>
          <w:sz w:val="24"/>
        </w:rPr>
      </w:pPr>
      <w:r>
        <w:rPr>
          <w:sz w:val="24"/>
        </w:rPr>
        <w:t>The</w:t>
      </w:r>
      <w:r>
        <w:rPr>
          <w:spacing w:val="-5"/>
          <w:sz w:val="24"/>
        </w:rPr>
        <w:t xml:space="preserve"> </w:t>
      </w:r>
      <w:r>
        <w:rPr>
          <w:sz w:val="24"/>
        </w:rPr>
        <w:t>Affordable</w:t>
      </w:r>
      <w:r>
        <w:rPr>
          <w:spacing w:val="-3"/>
          <w:sz w:val="24"/>
        </w:rPr>
        <w:t xml:space="preserve"> </w:t>
      </w:r>
      <w:r>
        <w:rPr>
          <w:sz w:val="24"/>
        </w:rPr>
        <w:t>Care</w:t>
      </w:r>
      <w:r>
        <w:rPr>
          <w:spacing w:val="-5"/>
          <w:sz w:val="24"/>
        </w:rPr>
        <w:t xml:space="preserve"> </w:t>
      </w:r>
      <w:r>
        <w:rPr>
          <w:sz w:val="24"/>
        </w:rPr>
        <w:t>Act</w:t>
      </w:r>
      <w:r>
        <w:rPr>
          <w:spacing w:val="-2"/>
          <w:sz w:val="24"/>
        </w:rPr>
        <w:t xml:space="preserve"> </w:t>
      </w:r>
      <w:r>
        <w:rPr>
          <w:sz w:val="24"/>
        </w:rPr>
        <w:t>(ACA)</w:t>
      </w:r>
      <w:r>
        <w:rPr>
          <w:spacing w:val="-4"/>
          <w:sz w:val="24"/>
        </w:rPr>
        <w:t xml:space="preserve"> </w:t>
      </w:r>
      <w:r>
        <w:rPr>
          <w:sz w:val="24"/>
        </w:rPr>
        <w:t>introduced</w:t>
      </w:r>
      <w:r>
        <w:rPr>
          <w:spacing w:val="-3"/>
          <w:sz w:val="24"/>
        </w:rPr>
        <w:t xml:space="preserve"> </w:t>
      </w:r>
      <w:r>
        <w:rPr>
          <w:sz w:val="24"/>
        </w:rPr>
        <w:t>quality</w:t>
      </w:r>
      <w:r>
        <w:rPr>
          <w:spacing w:val="-3"/>
          <w:sz w:val="24"/>
        </w:rPr>
        <w:t xml:space="preserve"> </w:t>
      </w:r>
      <w:r>
        <w:rPr>
          <w:sz w:val="24"/>
        </w:rPr>
        <w:t>bonus</w:t>
      </w:r>
      <w:r>
        <w:rPr>
          <w:spacing w:val="-3"/>
          <w:sz w:val="24"/>
        </w:rPr>
        <w:t xml:space="preserve"> </w:t>
      </w:r>
      <w:r>
        <w:rPr>
          <w:sz w:val="24"/>
        </w:rPr>
        <w:t>payments</w:t>
      </w:r>
      <w:r>
        <w:rPr>
          <w:spacing w:val="-4"/>
          <w:sz w:val="24"/>
        </w:rPr>
        <w:t xml:space="preserve"> </w:t>
      </w:r>
      <w:r>
        <w:rPr>
          <w:sz w:val="24"/>
        </w:rPr>
        <w:t>(QBPs)</w:t>
      </w:r>
      <w:r>
        <w:rPr>
          <w:spacing w:val="-3"/>
          <w:sz w:val="24"/>
        </w:rPr>
        <w:t xml:space="preserve"> </w:t>
      </w:r>
      <w:r>
        <w:rPr>
          <w:sz w:val="24"/>
        </w:rPr>
        <w:t>to</w:t>
      </w:r>
      <w:r>
        <w:rPr>
          <w:spacing w:val="-1"/>
          <w:sz w:val="24"/>
        </w:rPr>
        <w:t xml:space="preserve"> </w:t>
      </w:r>
      <w:r>
        <w:rPr>
          <w:sz w:val="24"/>
        </w:rPr>
        <w:t>MAOs</w:t>
      </w:r>
      <w:r>
        <w:rPr>
          <w:spacing w:val="-4"/>
          <w:sz w:val="24"/>
        </w:rPr>
        <w:t xml:space="preserve"> </w:t>
      </w:r>
      <w:r>
        <w:rPr>
          <w:sz w:val="24"/>
        </w:rPr>
        <w:t>based</w:t>
      </w:r>
      <w:r>
        <w:rPr>
          <w:spacing w:val="-3"/>
          <w:sz w:val="24"/>
        </w:rPr>
        <w:t xml:space="preserve"> </w:t>
      </w:r>
      <w:r>
        <w:rPr>
          <w:sz w:val="24"/>
        </w:rPr>
        <w:t xml:space="preserve">on a five-star quality rating system. Further, QBP rating rules classify certain contracts as </w:t>
      </w:r>
      <w:r>
        <w:rPr>
          <w:i/>
          <w:sz w:val="24"/>
        </w:rPr>
        <w:t>Low</w:t>
      </w:r>
      <w:r>
        <w:rPr>
          <w:i/>
          <w:sz w:val="24"/>
        </w:rPr>
        <w:t xml:space="preserve"> enrollment contract</w:t>
      </w:r>
      <w:r>
        <w:rPr>
          <w:sz w:val="24"/>
        </w:rPr>
        <w:t xml:space="preserve">s, </w:t>
      </w:r>
      <w:r>
        <w:rPr>
          <w:i/>
          <w:sz w:val="24"/>
        </w:rPr>
        <w:t>New contracts under existing parent org</w:t>
      </w:r>
      <w:r>
        <w:rPr>
          <w:sz w:val="24"/>
        </w:rPr>
        <w:t xml:space="preserve">, or </w:t>
      </w:r>
      <w:r>
        <w:rPr>
          <w:i/>
          <w:sz w:val="24"/>
        </w:rPr>
        <w:t>New contracts under new</w:t>
      </w:r>
      <w:r>
        <w:rPr>
          <w:i/>
          <w:sz w:val="24"/>
        </w:rPr>
        <w:t xml:space="preserve"> parent org</w:t>
      </w:r>
      <w:r>
        <w:rPr>
          <w:sz w:val="24"/>
        </w:rPr>
        <w:t>.</w:t>
      </w:r>
    </w:p>
    <w:p>
      <w:pPr>
        <w:pStyle w:val="BodyText"/>
        <w:spacing w:before="120"/>
        <w:ind w:right="1492"/>
      </w:pPr>
      <w:r>
        <w:t>The user must enter the contract-level quality bonus rating and a corresponding new or low plan indicator for</w:t>
      </w:r>
      <w:r>
        <w:rPr>
          <w:spacing w:val="-1"/>
        </w:rPr>
        <w:t xml:space="preserve"> </w:t>
      </w:r>
      <w:r>
        <w:t>the CY2027 QBP on Worksheet 5, Section 5, as described below. These data can</w:t>
      </w:r>
      <w:r>
        <w:rPr>
          <w:spacing w:val="-3"/>
        </w:rPr>
        <w:t xml:space="preserve"> </w:t>
      </w:r>
      <w:r>
        <w:t>be</w:t>
      </w:r>
      <w:r>
        <w:rPr>
          <w:spacing w:val="-4"/>
        </w:rPr>
        <w:t xml:space="preserve"> </w:t>
      </w:r>
      <w:r>
        <w:t>found</w:t>
      </w:r>
      <w:r>
        <w:rPr>
          <w:spacing w:val="-4"/>
        </w:rPr>
        <w:t xml:space="preserve"> </w:t>
      </w:r>
      <w:r>
        <w:t>in</w:t>
      </w:r>
      <w:r>
        <w:rPr>
          <w:spacing w:val="-1"/>
        </w:rPr>
        <w:t xml:space="preserve"> </w:t>
      </w:r>
      <w:r>
        <w:t>HPMS,</w:t>
      </w:r>
      <w:r>
        <w:rPr>
          <w:spacing w:val="-3"/>
        </w:rPr>
        <w:t xml:space="preserve"> </w:t>
      </w:r>
      <w:r>
        <w:t>under</w:t>
      </w:r>
      <w:r>
        <w:rPr>
          <w:spacing w:val="-3"/>
        </w:rPr>
        <w:t xml:space="preserve"> </w:t>
      </w:r>
      <w:r>
        <w:t>HPMS</w:t>
      </w:r>
      <w:r>
        <w:rPr>
          <w:spacing w:val="-2"/>
        </w:rPr>
        <w:t xml:space="preserve"> </w:t>
      </w:r>
      <w:r>
        <w:t>Home</w:t>
      </w:r>
      <w:r>
        <w:rPr>
          <w:spacing w:val="-4"/>
        </w:rPr>
        <w:t xml:space="preserve"> </w:t>
      </w:r>
      <w:r>
        <w:t>&gt;</w:t>
      </w:r>
      <w:r>
        <w:rPr>
          <w:spacing w:val="-4"/>
        </w:rPr>
        <w:t xml:space="preserve"> </w:t>
      </w:r>
      <w:r>
        <w:t>Quality</w:t>
      </w:r>
      <w:r>
        <w:rPr>
          <w:spacing w:val="-3"/>
        </w:rPr>
        <w:t xml:space="preserve"> </w:t>
      </w:r>
      <w:r>
        <w:t>and</w:t>
      </w:r>
      <w:r>
        <w:rPr>
          <w:spacing w:val="-3"/>
        </w:rPr>
        <w:t xml:space="preserve"> </w:t>
      </w:r>
      <w:r>
        <w:t>Performance</w:t>
      </w:r>
      <w:r>
        <w:rPr>
          <w:spacing w:val="-3"/>
        </w:rPr>
        <w:t xml:space="preserve"> </w:t>
      </w:r>
      <w:r>
        <w:t>&gt;</w:t>
      </w:r>
      <w:r>
        <w:rPr>
          <w:spacing w:val="-4"/>
        </w:rPr>
        <w:t xml:space="preserve"> </w:t>
      </w:r>
      <w:r>
        <w:t>Performance</w:t>
      </w:r>
      <w:r>
        <w:rPr>
          <w:spacing w:val="-4"/>
        </w:rPr>
        <w:t xml:space="preserve"> </w:t>
      </w:r>
      <w:r>
        <w:t>Metrics</w:t>
      </w:r>
    </w:p>
    <w:p>
      <w:pPr>
        <w:pStyle w:val="BodyText"/>
      </w:pPr>
      <w:r>
        <w:t>&gt;</w:t>
      </w:r>
      <w:r>
        <w:rPr>
          <w:spacing w:val="-3"/>
        </w:rPr>
        <w:t xml:space="preserve"> </w:t>
      </w:r>
      <w:r>
        <w:t>Reports</w:t>
      </w:r>
      <w:r>
        <w:rPr>
          <w:spacing w:val="-1"/>
        </w:rPr>
        <w:t xml:space="preserve"> </w:t>
      </w:r>
      <w:r>
        <w:t>&gt;</w:t>
      </w:r>
      <w:r>
        <w:rPr>
          <w:spacing w:val="-2"/>
        </w:rPr>
        <w:t xml:space="preserve"> </w:t>
      </w:r>
      <w:r>
        <w:t>Costs</w:t>
      </w:r>
      <w:r>
        <w:rPr>
          <w:spacing w:val="-2"/>
        </w:rPr>
        <w:t xml:space="preserve"> </w:t>
      </w:r>
      <w:r>
        <w:t>&gt;</w:t>
      </w:r>
      <w:r>
        <w:rPr>
          <w:spacing w:val="-2"/>
        </w:rPr>
        <w:t xml:space="preserve"> </w:t>
      </w:r>
      <w:r>
        <w:t>MA</w:t>
      </w:r>
      <w:r>
        <w:rPr>
          <w:spacing w:val="1"/>
        </w:rPr>
        <w:t xml:space="preserve"> </w:t>
      </w:r>
      <w:r>
        <w:t>QBP</w:t>
      </w:r>
      <w:r>
        <w:rPr>
          <w:spacing w:val="-1"/>
        </w:rPr>
        <w:t xml:space="preserve"> </w:t>
      </w:r>
      <w:r>
        <w:t>Rating</w:t>
      </w:r>
      <w:r>
        <w:rPr>
          <w:spacing w:val="-1"/>
        </w:rPr>
        <w:t xml:space="preserve"> </w:t>
      </w:r>
      <w:r>
        <w:t>&gt;</w:t>
      </w:r>
      <w:r>
        <w:rPr>
          <w:spacing w:val="-2"/>
        </w:rPr>
        <w:t xml:space="preserve"> 2027.</w:t>
      </w:r>
    </w:p>
    <w:p>
      <w:pPr>
        <w:pStyle w:val="ListParagraph"/>
        <w:numPr>
          <w:ilvl w:val="0"/>
          <w:numId w:val="53"/>
        </w:numPr>
        <w:tabs>
          <w:tab w:val="left" w:pos="1584"/>
        </w:tabs>
        <w:spacing w:before="120" w:after="0" w:line="240" w:lineRule="auto"/>
        <w:ind w:left="1584" w:right="1539" w:hanging="360"/>
        <w:jc w:val="left"/>
        <w:rPr>
          <w:sz w:val="24"/>
        </w:rPr>
      </w:pPr>
      <w:r>
        <w:rPr>
          <w:sz w:val="24"/>
        </w:rPr>
        <w:t>If</w:t>
      </w:r>
      <w:r>
        <w:rPr>
          <w:spacing w:val="-3"/>
          <w:sz w:val="24"/>
        </w:rPr>
        <w:t xml:space="preserve"> </w:t>
      </w:r>
      <w:r>
        <w:rPr>
          <w:sz w:val="24"/>
        </w:rPr>
        <w:t>the</w:t>
      </w:r>
      <w:r>
        <w:rPr>
          <w:spacing w:val="-5"/>
          <w:sz w:val="24"/>
        </w:rPr>
        <w:t xml:space="preserve"> </w:t>
      </w:r>
      <w:r>
        <w:rPr>
          <w:sz w:val="24"/>
        </w:rPr>
        <w:t>quality</w:t>
      </w:r>
      <w:r>
        <w:rPr>
          <w:spacing w:val="-3"/>
          <w:sz w:val="24"/>
        </w:rPr>
        <w:t xml:space="preserve"> </w:t>
      </w:r>
      <w:r>
        <w:rPr>
          <w:sz w:val="24"/>
        </w:rPr>
        <w:t>bonus</w:t>
      </w:r>
      <w:r>
        <w:rPr>
          <w:spacing w:val="-3"/>
          <w:sz w:val="24"/>
        </w:rPr>
        <w:t xml:space="preserve"> </w:t>
      </w:r>
      <w:r>
        <w:rPr>
          <w:sz w:val="24"/>
        </w:rPr>
        <w:t>rating</w:t>
      </w:r>
      <w:r>
        <w:rPr>
          <w:spacing w:val="-3"/>
          <w:sz w:val="24"/>
        </w:rPr>
        <w:t xml:space="preserve"> </w:t>
      </w:r>
      <w:r>
        <w:rPr>
          <w:sz w:val="24"/>
        </w:rPr>
        <w:t>on</w:t>
      </w:r>
      <w:r>
        <w:rPr>
          <w:spacing w:val="-3"/>
          <w:sz w:val="24"/>
        </w:rPr>
        <w:t xml:space="preserve"> </w:t>
      </w:r>
      <w:r>
        <w:rPr>
          <w:sz w:val="24"/>
        </w:rPr>
        <w:t>HPMS</w:t>
      </w:r>
      <w:r>
        <w:rPr>
          <w:spacing w:val="-2"/>
          <w:sz w:val="24"/>
        </w:rPr>
        <w:t xml:space="preserve"> </w:t>
      </w:r>
      <w:r>
        <w:rPr>
          <w:sz w:val="24"/>
        </w:rPr>
        <w:t>is</w:t>
      </w:r>
      <w:r>
        <w:rPr>
          <w:spacing w:val="-4"/>
          <w:sz w:val="24"/>
        </w:rPr>
        <w:t xml:space="preserve"> </w:t>
      </w:r>
      <w:r>
        <w:rPr>
          <w:sz w:val="24"/>
        </w:rPr>
        <w:t>blank,</w:t>
      </w:r>
      <w:r>
        <w:rPr>
          <w:spacing w:val="-1"/>
          <w:sz w:val="24"/>
        </w:rPr>
        <w:t xml:space="preserve"> </w:t>
      </w:r>
      <w:r>
        <w:rPr>
          <w:sz w:val="24"/>
        </w:rPr>
        <w:t>then</w:t>
      </w:r>
      <w:r>
        <w:rPr>
          <w:spacing w:val="-4"/>
          <w:sz w:val="24"/>
        </w:rPr>
        <w:t xml:space="preserve"> </w:t>
      </w:r>
      <w:r>
        <w:rPr>
          <w:sz w:val="24"/>
        </w:rPr>
        <w:t>the</w:t>
      </w:r>
      <w:r>
        <w:rPr>
          <w:spacing w:val="-3"/>
          <w:sz w:val="24"/>
        </w:rPr>
        <w:t xml:space="preserve"> </w:t>
      </w:r>
      <w:r>
        <w:rPr>
          <w:sz w:val="24"/>
        </w:rPr>
        <w:t>quality</w:t>
      </w:r>
      <w:r>
        <w:rPr>
          <w:spacing w:val="-3"/>
          <w:sz w:val="24"/>
        </w:rPr>
        <w:t xml:space="preserve"> </w:t>
      </w:r>
      <w:r>
        <w:rPr>
          <w:sz w:val="24"/>
        </w:rPr>
        <w:t>bonus</w:t>
      </w:r>
      <w:r>
        <w:rPr>
          <w:spacing w:val="-3"/>
          <w:sz w:val="24"/>
        </w:rPr>
        <w:t xml:space="preserve"> </w:t>
      </w:r>
      <w:r>
        <w:rPr>
          <w:sz w:val="24"/>
        </w:rPr>
        <w:t>rating</w:t>
      </w:r>
      <w:r>
        <w:rPr>
          <w:spacing w:val="-2"/>
          <w:sz w:val="24"/>
        </w:rPr>
        <w:t xml:space="preserve"> </w:t>
      </w:r>
      <w:r>
        <w:rPr>
          <w:sz w:val="24"/>
        </w:rPr>
        <w:t>in</w:t>
      </w:r>
      <w:r>
        <w:rPr>
          <w:spacing w:val="-3"/>
          <w:sz w:val="24"/>
        </w:rPr>
        <w:t xml:space="preserve"> </w:t>
      </w:r>
      <w:r>
        <w:rPr>
          <w:sz w:val="24"/>
        </w:rPr>
        <w:t>line</w:t>
      </w:r>
      <w:r>
        <w:rPr>
          <w:spacing w:val="-4"/>
          <w:sz w:val="24"/>
        </w:rPr>
        <w:t xml:space="preserve"> </w:t>
      </w:r>
      <w:r>
        <w:rPr>
          <w:sz w:val="24"/>
        </w:rPr>
        <w:t>1 must be left blank. Otherwise, the user must enter the quality bonus rating from HPMS as the quality bonus rating.</w:t>
      </w:r>
    </w:p>
    <w:p>
      <w:pPr>
        <w:pStyle w:val="ListParagraph"/>
        <w:numPr>
          <w:ilvl w:val="0"/>
          <w:numId w:val="53"/>
        </w:numPr>
        <w:tabs>
          <w:tab w:val="left" w:pos="1584"/>
        </w:tabs>
        <w:spacing w:before="0" w:after="0" w:line="274" w:lineRule="exact"/>
        <w:ind w:left="1584" w:right="0" w:hanging="360"/>
        <w:jc w:val="left"/>
        <w:rPr>
          <w:sz w:val="24"/>
        </w:rPr>
      </w:pPr>
      <w:r>
        <w:rPr>
          <w:sz w:val="24"/>
        </w:rPr>
        <w:t>If</w:t>
      </w:r>
      <w:r>
        <w:rPr>
          <w:spacing w:val="-1"/>
          <w:sz w:val="24"/>
        </w:rPr>
        <w:t xml:space="preserve"> </w:t>
      </w:r>
      <w:r>
        <w:rPr>
          <w:sz w:val="24"/>
        </w:rPr>
        <w:t>the</w:t>
      </w:r>
      <w:r>
        <w:rPr>
          <w:spacing w:val="-2"/>
          <w:sz w:val="24"/>
        </w:rPr>
        <w:t xml:space="preserve"> </w:t>
      </w:r>
      <w:r>
        <w:rPr>
          <w:sz w:val="24"/>
        </w:rPr>
        <w:t>new</w:t>
      </w:r>
      <w:r>
        <w:rPr>
          <w:spacing w:val="-2"/>
          <w:sz w:val="24"/>
        </w:rPr>
        <w:t xml:space="preserve"> </w:t>
      </w:r>
      <w:r>
        <w:rPr>
          <w:sz w:val="24"/>
        </w:rPr>
        <w:t>or low</w:t>
      </w:r>
      <w:r>
        <w:rPr>
          <w:spacing w:val="-2"/>
          <w:sz w:val="24"/>
        </w:rPr>
        <w:t xml:space="preserve"> </w:t>
      </w:r>
      <w:r>
        <w:rPr>
          <w:sz w:val="24"/>
        </w:rPr>
        <w:t>plan indicator on HPMS</w:t>
      </w:r>
      <w:r>
        <w:rPr>
          <w:spacing w:val="-1"/>
          <w:sz w:val="24"/>
        </w:rPr>
        <w:t xml:space="preserve"> </w:t>
      </w:r>
      <w:r>
        <w:rPr>
          <w:sz w:val="24"/>
        </w:rPr>
        <w:t>is</w:t>
      </w:r>
      <w:r>
        <w:rPr>
          <w:spacing w:val="-1"/>
          <w:sz w:val="24"/>
        </w:rPr>
        <w:t xml:space="preserve"> </w:t>
      </w:r>
      <w:r>
        <w:rPr>
          <w:sz w:val="24"/>
        </w:rPr>
        <w:t>blank, then</w:t>
      </w:r>
      <w:r>
        <w:rPr>
          <w:spacing w:val="-1"/>
          <w:sz w:val="24"/>
        </w:rPr>
        <w:t xml:space="preserve"> </w:t>
      </w:r>
      <w:r>
        <w:rPr>
          <w:sz w:val="24"/>
        </w:rPr>
        <w:t>the</w:t>
      </w:r>
      <w:r>
        <w:rPr>
          <w:spacing w:val="-2"/>
          <w:sz w:val="24"/>
        </w:rPr>
        <w:t xml:space="preserve"> </w:t>
      </w:r>
      <w:r>
        <w:rPr>
          <w:sz w:val="24"/>
        </w:rPr>
        <w:t xml:space="preserve">user must </w:t>
      </w:r>
      <w:r>
        <w:rPr>
          <w:spacing w:val="-2"/>
          <w:sz w:val="24"/>
        </w:rPr>
        <w:t>enter</w:t>
      </w:r>
    </w:p>
    <w:p>
      <w:pPr>
        <w:pStyle w:val="BodyText"/>
        <w:ind w:left="1584" w:right="1443"/>
      </w:pPr>
      <w:r>
        <w:t>“Not</w:t>
      </w:r>
      <w:r>
        <w:rPr>
          <w:spacing w:val="-4"/>
        </w:rPr>
        <w:t xml:space="preserve"> </w:t>
      </w:r>
      <w:r>
        <w:t>applicable”</w:t>
      </w:r>
      <w:r>
        <w:rPr>
          <w:spacing w:val="-4"/>
        </w:rPr>
        <w:t xml:space="preserve"> </w:t>
      </w:r>
      <w:r>
        <w:t>as</w:t>
      </w:r>
      <w:r>
        <w:rPr>
          <w:spacing w:val="-4"/>
        </w:rPr>
        <w:t xml:space="preserve"> </w:t>
      </w:r>
      <w:r>
        <w:t>the</w:t>
      </w:r>
      <w:r>
        <w:rPr>
          <w:spacing w:val="-3"/>
        </w:rPr>
        <w:t xml:space="preserve"> </w:t>
      </w:r>
      <w:r>
        <w:t>new</w:t>
      </w:r>
      <w:r>
        <w:rPr>
          <w:spacing w:val="-4"/>
        </w:rPr>
        <w:t xml:space="preserve"> </w:t>
      </w:r>
      <w:r>
        <w:t>or</w:t>
      </w:r>
      <w:r>
        <w:rPr>
          <w:spacing w:val="-5"/>
        </w:rPr>
        <w:t xml:space="preserve"> </w:t>
      </w:r>
      <w:r>
        <w:t>low</w:t>
      </w:r>
      <w:r>
        <w:rPr>
          <w:spacing w:val="-4"/>
        </w:rPr>
        <w:t xml:space="preserve"> </w:t>
      </w:r>
      <w:r>
        <w:t>plan</w:t>
      </w:r>
      <w:r>
        <w:rPr>
          <w:spacing w:val="-3"/>
        </w:rPr>
        <w:t xml:space="preserve"> </w:t>
      </w:r>
      <w:r>
        <w:t>indicator</w:t>
      </w:r>
      <w:r>
        <w:rPr>
          <w:spacing w:val="-2"/>
        </w:rPr>
        <w:t xml:space="preserve"> </w:t>
      </w:r>
      <w:r>
        <w:t>in</w:t>
      </w:r>
      <w:r>
        <w:rPr>
          <w:spacing w:val="-1"/>
        </w:rPr>
        <w:t xml:space="preserve"> </w:t>
      </w:r>
      <w:r>
        <w:t>line</w:t>
      </w:r>
      <w:r>
        <w:rPr>
          <w:spacing w:val="-4"/>
        </w:rPr>
        <w:t xml:space="preserve"> </w:t>
      </w:r>
      <w:r>
        <w:t>2.</w:t>
      </w:r>
      <w:r>
        <w:rPr>
          <w:spacing w:val="-3"/>
        </w:rPr>
        <w:t xml:space="preserve"> </w:t>
      </w:r>
      <w:r>
        <w:t>Otherwise,</w:t>
      </w:r>
      <w:r>
        <w:rPr>
          <w:spacing w:val="-3"/>
        </w:rPr>
        <w:t xml:space="preserve"> </w:t>
      </w:r>
      <w:r>
        <w:t>the</w:t>
      </w:r>
      <w:r>
        <w:rPr>
          <w:spacing w:val="-2"/>
        </w:rPr>
        <w:t xml:space="preserve"> </w:t>
      </w:r>
      <w:r>
        <w:t>user</w:t>
      </w:r>
      <w:r>
        <w:rPr>
          <w:spacing w:val="-3"/>
        </w:rPr>
        <w:t xml:space="preserve"> </w:t>
      </w:r>
      <w:r>
        <w:t>must enter the new or low plan indicator from HPMS as the new or low plan indicator.</w:t>
      </w:r>
    </w:p>
    <w:p>
      <w:pPr>
        <w:pStyle w:val="BodyText"/>
        <w:spacing w:before="120"/>
        <w:ind w:right="1481"/>
      </w:pPr>
      <w:r>
        <w:t>The ACA also changed the share of savings that MAOs must provide to enrollees as the beneficiary</w:t>
      </w:r>
      <w:r>
        <w:rPr>
          <w:spacing w:val="-3"/>
        </w:rPr>
        <w:t xml:space="preserve"> </w:t>
      </w:r>
      <w:r>
        <w:t>rebate,</w:t>
      </w:r>
      <w:r>
        <w:rPr>
          <w:spacing w:val="-4"/>
        </w:rPr>
        <w:t xml:space="preserve"> </w:t>
      </w:r>
      <w:r>
        <w:t>whereby</w:t>
      </w:r>
      <w:r>
        <w:rPr>
          <w:spacing w:val="-2"/>
        </w:rPr>
        <w:t xml:space="preserve"> </w:t>
      </w:r>
      <w:r>
        <w:t>the</w:t>
      </w:r>
      <w:r>
        <w:rPr>
          <w:spacing w:val="-3"/>
        </w:rPr>
        <w:t xml:space="preserve"> </w:t>
      </w:r>
      <w:r>
        <w:t>level</w:t>
      </w:r>
      <w:r>
        <w:rPr>
          <w:spacing w:val="-3"/>
        </w:rPr>
        <w:t xml:space="preserve"> </w:t>
      </w:r>
      <w:r>
        <w:t>of</w:t>
      </w:r>
      <w:r>
        <w:rPr>
          <w:spacing w:val="-3"/>
        </w:rPr>
        <w:t xml:space="preserve"> </w:t>
      </w:r>
      <w:r>
        <w:t>rebate</w:t>
      </w:r>
      <w:r>
        <w:rPr>
          <w:spacing w:val="-3"/>
        </w:rPr>
        <w:t xml:space="preserve"> </w:t>
      </w:r>
      <w:r>
        <w:t>is</w:t>
      </w:r>
      <w:r>
        <w:rPr>
          <w:spacing w:val="-4"/>
        </w:rPr>
        <w:t xml:space="preserve"> </w:t>
      </w:r>
      <w:r>
        <w:t>tied</w:t>
      </w:r>
      <w:r>
        <w:rPr>
          <w:spacing w:val="-3"/>
        </w:rPr>
        <w:t xml:space="preserve"> </w:t>
      </w:r>
      <w:r>
        <w:t>to</w:t>
      </w:r>
      <w:r>
        <w:rPr>
          <w:spacing w:val="-3"/>
        </w:rPr>
        <w:t xml:space="preserve"> </w:t>
      </w:r>
      <w:r>
        <w:t>the</w:t>
      </w:r>
      <w:r>
        <w:rPr>
          <w:spacing w:val="-3"/>
        </w:rPr>
        <w:t xml:space="preserve"> </w:t>
      </w:r>
      <w:r>
        <w:t>level</w:t>
      </w:r>
      <w:r>
        <w:rPr>
          <w:spacing w:val="-3"/>
        </w:rPr>
        <w:t xml:space="preserve"> </w:t>
      </w:r>
      <w:r>
        <w:t>of</w:t>
      </w:r>
      <w:r>
        <w:rPr>
          <w:spacing w:val="-3"/>
        </w:rPr>
        <w:t xml:space="preserve"> </w:t>
      </w:r>
      <w:r>
        <w:t>the</w:t>
      </w:r>
      <w:r>
        <w:rPr>
          <w:spacing w:val="-4"/>
        </w:rPr>
        <w:t xml:space="preserve"> </w:t>
      </w:r>
      <w:r>
        <w:t>QBP</w:t>
      </w:r>
      <w:r>
        <w:rPr>
          <w:spacing w:val="-3"/>
        </w:rPr>
        <w:t xml:space="preserve"> </w:t>
      </w:r>
      <w:r>
        <w:t>rating</w:t>
      </w:r>
      <w:r>
        <w:rPr>
          <w:spacing w:val="-2"/>
        </w:rPr>
        <w:t xml:space="preserve"> </w:t>
      </w:r>
      <w:r>
        <w:t>for</w:t>
      </w:r>
      <w:r>
        <w:rPr>
          <w:spacing w:val="-4"/>
        </w:rPr>
        <w:t xml:space="preserve"> </w:t>
      </w:r>
      <w:r>
        <w:t>the contract number. The table below outlines the QBP percentage and rebate percentage for various quality bonus ratings (that is, QBP star ratings) in CY2027.</w:t>
      </w:r>
    </w:p>
    <w:p>
      <w:pPr>
        <w:pStyle w:val="BodyText"/>
        <w:spacing w:before="6"/>
        <w:ind w:left="0"/>
        <w:rPr>
          <w:sz w:val="10"/>
        </w:rPr>
      </w:pPr>
    </w:p>
    <w:tbl>
      <w:tblPr>
        <w:tblStyle w:val="TableNormal"/>
        <w:tblW w:w="0" w:type="auto"/>
        <w:jc w:val="left"/>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98"/>
        <w:gridCol w:w="3702"/>
        <w:gridCol w:w="3601"/>
      </w:tblGrid>
      <w:tr>
        <w:tblPrEx>
          <w:tblW w:w="0" w:type="auto"/>
          <w:jc w:val="left"/>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77"/>
          <w:jc w:val="left"/>
        </w:trPr>
        <w:tc>
          <w:tcPr>
            <w:tcW w:w="1498" w:type="dxa"/>
          </w:tcPr>
          <w:p>
            <w:pPr>
              <w:pStyle w:val="TableParagraph"/>
              <w:spacing w:before="49" w:line="250" w:lineRule="atLeast"/>
              <w:ind w:left="460" w:right="300" w:hanging="152"/>
              <w:rPr>
                <w:b/>
                <w:sz w:val="22"/>
              </w:rPr>
            </w:pPr>
            <w:r>
              <w:rPr>
                <w:b/>
                <w:sz w:val="22"/>
              </w:rPr>
              <w:t>QBP</w:t>
            </w:r>
            <w:r>
              <w:rPr>
                <w:b/>
                <w:spacing w:val="-14"/>
                <w:sz w:val="22"/>
              </w:rPr>
              <w:t xml:space="preserve"> </w:t>
            </w:r>
            <w:r>
              <w:rPr>
                <w:b/>
                <w:sz w:val="22"/>
              </w:rPr>
              <w:t xml:space="preserve">star </w:t>
            </w:r>
            <w:r>
              <w:rPr>
                <w:b/>
                <w:spacing w:val="-2"/>
                <w:sz w:val="22"/>
              </w:rPr>
              <w:t>rating</w:t>
            </w:r>
          </w:p>
        </w:tc>
        <w:tc>
          <w:tcPr>
            <w:tcW w:w="3702" w:type="dxa"/>
          </w:tcPr>
          <w:p>
            <w:pPr>
              <w:pStyle w:val="TableParagraph"/>
              <w:spacing w:before="49"/>
              <w:ind w:left="10" w:right="2"/>
              <w:jc w:val="center"/>
              <w:rPr>
                <w:b/>
                <w:sz w:val="22"/>
              </w:rPr>
            </w:pPr>
            <w:r>
              <w:rPr>
                <w:b/>
                <w:spacing w:val="-2"/>
                <w:sz w:val="22"/>
              </w:rPr>
              <w:t>CY2027</w:t>
            </w:r>
          </w:p>
          <w:p>
            <w:pPr>
              <w:pStyle w:val="TableParagraph"/>
              <w:spacing w:before="3" w:line="252" w:lineRule="exact"/>
              <w:ind w:left="10"/>
              <w:jc w:val="center"/>
              <w:rPr>
                <w:b/>
                <w:sz w:val="22"/>
              </w:rPr>
            </w:pPr>
            <w:r>
              <w:rPr>
                <w:b/>
                <w:sz w:val="22"/>
              </w:rPr>
              <w:t>QBP</w:t>
            </w:r>
            <w:r>
              <w:rPr>
                <w:b/>
                <w:spacing w:val="-2"/>
                <w:sz w:val="22"/>
              </w:rPr>
              <w:t xml:space="preserve"> Percentage</w:t>
            </w:r>
          </w:p>
        </w:tc>
        <w:tc>
          <w:tcPr>
            <w:tcW w:w="3601" w:type="dxa"/>
          </w:tcPr>
          <w:p>
            <w:pPr>
              <w:pStyle w:val="TableParagraph"/>
              <w:spacing w:before="49"/>
              <w:ind w:left="3" w:right="1"/>
              <w:jc w:val="center"/>
              <w:rPr>
                <w:b/>
                <w:sz w:val="22"/>
              </w:rPr>
            </w:pPr>
            <w:r>
              <w:rPr>
                <w:b/>
                <w:spacing w:val="-2"/>
                <w:sz w:val="22"/>
              </w:rPr>
              <w:t>CY2027</w:t>
            </w:r>
          </w:p>
          <w:p>
            <w:pPr>
              <w:pStyle w:val="TableParagraph"/>
              <w:spacing w:before="3" w:line="252" w:lineRule="exact"/>
              <w:ind w:left="3"/>
              <w:jc w:val="center"/>
              <w:rPr>
                <w:b/>
                <w:sz w:val="22"/>
              </w:rPr>
            </w:pPr>
            <w:r>
              <w:rPr>
                <w:b/>
                <w:sz w:val="22"/>
              </w:rPr>
              <w:t>Rebate</w:t>
            </w:r>
            <w:r>
              <w:rPr>
                <w:b/>
                <w:spacing w:val="-2"/>
                <w:sz w:val="22"/>
              </w:rPr>
              <w:t xml:space="preserve"> Percentage</w:t>
            </w:r>
          </w:p>
        </w:tc>
      </w:tr>
      <w:tr>
        <w:tblPrEx>
          <w:tblW w:w="0" w:type="auto"/>
          <w:jc w:val="left"/>
          <w:tblInd w:w="622" w:type="dxa"/>
          <w:tblLayout w:type="fixed"/>
          <w:tblCellMar>
            <w:top w:w="0" w:type="dxa"/>
            <w:left w:w="0" w:type="dxa"/>
            <w:bottom w:w="0" w:type="dxa"/>
            <w:right w:w="0" w:type="dxa"/>
          </w:tblCellMar>
          <w:tblLook w:val="01E0"/>
        </w:tblPrEx>
        <w:trPr>
          <w:trHeight w:val="251"/>
          <w:jc w:val="left"/>
        </w:trPr>
        <w:tc>
          <w:tcPr>
            <w:tcW w:w="1498" w:type="dxa"/>
          </w:tcPr>
          <w:p>
            <w:pPr>
              <w:pStyle w:val="TableParagraph"/>
              <w:spacing w:line="232" w:lineRule="exact"/>
              <w:ind w:left="124" w:right="216"/>
              <w:jc w:val="center"/>
              <w:rPr>
                <w:sz w:val="22"/>
              </w:rPr>
            </w:pPr>
            <w:r>
              <w:rPr>
                <w:spacing w:val="-4"/>
                <w:sz w:val="22"/>
              </w:rPr>
              <w:t>4.5+</w:t>
            </w:r>
          </w:p>
        </w:tc>
        <w:tc>
          <w:tcPr>
            <w:tcW w:w="3702" w:type="dxa"/>
          </w:tcPr>
          <w:p>
            <w:pPr>
              <w:pStyle w:val="TableParagraph"/>
              <w:spacing w:line="232" w:lineRule="exact"/>
              <w:ind w:left="10" w:right="3"/>
              <w:jc w:val="center"/>
              <w:rPr>
                <w:sz w:val="22"/>
              </w:rPr>
            </w:pPr>
            <w:r>
              <w:rPr>
                <w:spacing w:val="-4"/>
                <w:sz w:val="22"/>
              </w:rPr>
              <w:t>5.0%</w:t>
            </w:r>
          </w:p>
        </w:tc>
        <w:tc>
          <w:tcPr>
            <w:tcW w:w="3601" w:type="dxa"/>
          </w:tcPr>
          <w:p>
            <w:pPr>
              <w:pStyle w:val="TableParagraph"/>
              <w:spacing w:line="232" w:lineRule="exact"/>
              <w:ind w:left="3"/>
              <w:jc w:val="center"/>
              <w:rPr>
                <w:sz w:val="22"/>
              </w:rPr>
            </w:pPr>
            <w:r>
              <w:rPr>
                <w:spacing w:val="-5"/>
                <w:sz w:val="22"/>
              </w:rPr>
              <w:t>70%</w:t>
            </w:r>
          </w:p>
        </w:tc>
      </w:tr>
      <w:tr>
        <w:tblPrEx>
          <w:tblW w:w="0" w:type="auto"/>
          <w:jc w:val="left"/>
          <w:tblInd w:w="622" w:type="dxa"/>
          <w:tblLayout w:type="fixed"/>
          <w:tblCellMar>
            <w:top w:w="0" w:type="dxa"/>
            <w:left w:w="0" w:type="dxa"/>
            <w:bottom w:w="0" w:type="dxa"/>
            <w:right w:w="0" w:type="dxa"/>
          </w:tblCellMar>
          <w:tblLook w:val="01E0"/>
        </w:tblPrEx>
        <w:trPr>
          <w:trHeight w:val="254"/>
          <w:jc w:val="left"/>
        </w:trPr>
        <w:tc>
          <w:tcPr>
            <w:tcW w:w="1498" w:type="dxa"/>
          </w:tcPr>
          <w:p>
            <w:pPr>
              <w:pStyle w:val="TableParagraph"/>
              <w:spacing w:line="234" w:lineRule="exact"/>
              <w:ind w:right="216"/>
              <w:jc w:val="center"/>
              <w:rPr>
                <w:sz w:val="22"/>
              </w:rPr>
            </w:pPr>
            <w:r>
              <w:rPr>
                <w:spacing w:val="-5"/>
                <w:sz w:val="22"/>
              </w:rPr>
              <w:t>4.0</w:t>
            </w:r>
          </w:p>
        </w:tc>
        <w:tc>
          <w:tcPr>
            <w:tcW w:w="3702" w:type="dxa"/>
          </w:tcPr>
          <w:p>
            <w:pPr>
              <w:pStyle w:val="TableParagraph"/>
              <w:spacing w:line="234" w:lineRule="exact"/>
              <w:ind w:left="10" w:right="3"/>
              <w:jc w:val="center"/>
              <w:rPr>
                <w:sz w:val="22"/>
              </w:rPr>
            </w:pPr>
            <w:r>
              <w:rPr>
                <w:spacing w:val="-4"/>
                <w:sz w:val="22"/>
              </w:rPr>
              <w:t>5.0%</w:t>
            </w:r>
          </w:p>
        </w:tc>
        <w:tc>
          <w:tcPr>
            <w:tcW w:w="3601" w:type="dxa"/>
          </w:tcPr>
          <w:p>
            <w:pPr>
              <w:pStyle w:val="TableParagraph"/>
              <w:spacing w:line="234" w:lineRule="exact"/>
              <w:ind w:left="3"/>
              <w:jc w:val="center"/>
              <w:rPr>
                <w:sz w:val="22"/>
              </w:rPr>
            </w:pPr>
            <w:r>
              <w:rPr>
                <w:spacing w:val="-5"/>
                <w:sz w:val="22"/>
              </w:rPr>
              <w:t>65%</w:t>
            </w:r>
          </w:p>
        </w:tc>
      </w:tr>
      <w:tr>
        <w:tblPrEx>
          <w:tblW w:w="0" w:type="auto"/>
          <w:jc w:val="left"/>
          <w:tblInd w:w="622" w:type="dxa"/>
          <w:tblLayout w:type="fixed"/>
          <w:tblCellMar>
            <w:top w:w="0" w:type="dxa"/>
            <w:left w:w="0" w:type="dxa"/>
            <w:bottom w:w="0" w:type="dxa"/>
            <w:right w:w="0" w:type="dxa"/>
          </w:tblCellMar>
          <w:tblLook w:val="01E0"/>
        </w:tblPrEx>
        <w:trPr>
          <w:trHeight w:val="251"/>
          <w:jc w:val="left"/>
        </w:trPr>
        <w:tc>
          <w:tcPr>
            <w:tcW w:w="1498" w:type="dxa"/>
          </w:tcPr>
          <w:p>
            <w:pPr>
              <w:pStyle w:val="TableParagraph"/>
              <w:spacing w:line="232" w:lineRule="exact"/>
              <w:ind w:right="216"/>
              <w:jc w:val="center"/>
              <w:rPr>
                <w:sz w:val="22"/>
              </w:rPr>
            </w:pPr>
            <w:r>
              <w:rPr>
                <w:spacing w:val="-5"/>
                <w:sz w:val="22"/>
              </w:rPr>
              <w:t>3.5</w:t>
            </w:r>
          </w:p>
        </w:tc>
        <w:tc>
          <w:tcPr>
            <w:tcW w:w="3702" w:type="dxa"/>
          </w:tcPr>
          <w:p>
            <w:pPr>
              <w:pStyle w:val="TableParagraph"/>
              <w:spacing w:line="232" w:lineRule="exact"/>
              <w:ind w:left="10" w:right="3"/>
              <w:jc w:val="center"/>
              <w:rPr>
                <w:sz w:val="22"/>
              </w:rPr>
            </w:pPr>
            <w:r>
              <w:rPr>
                <w:spacing w:val="-4"/>
                <w:sz w:val="22"/>
              </w:rPr>
              <w:t>0.0%</w:t>
            </w:r>
          </w:p>
        </w:tc>
        <w:tc>
          <w:tcPr>
            <w:tcW w:w="3601" w:type="dxa"/>
          </w:tcPr>
          <w:p>
            <w:pPr>
              <w:pStyle w:val="TableParagraph"/>
              <w:spacing w:line="232" w:lineRule="exact"/>
              <w:ind w:left="3"/>
              <w:jc w:val="center"/>
              <w:rPr>
                <w:sz w:val="22"/>
              </w:rPr>
            </w:pPr>
            <w:r>
              <w:rPr>
                <w:spacing w:val="-5"/>
                <w:sz w:val="22"/>
              </w:rPr>
              <w:t>65%</w:t>
            </w:r>
          </w:p>
        </w:tc>
      </w:tr>
      <w:tr>
        <w:tblPrEx>
          <w:tblW w:w="0" w:type="auto"/>
          <w:jc w:val="left"/>
          <w:tblInd w:w="622" w:type="dxa"/>
          <w:tblLayout w:type="fixed"/>
          <w:tblCellMar>
            <w:top w:w="0" w:type="dxa"/>
            <w:left w:w="0" w:type="dxa"/>
            <w:bottom w:w="0" w:type="dxa"/>
            <w:right w:w="0" w:type="dxa"/>
          </w:tblCellMar>
          <w:tblLook w:val="01E0"/>
        </w:tblPrEx>
        <w:trPr>
          <w:trHeight w:val="254"/>
          <w:jc w:val="left"/>
        </w:trPr>
        <w:tc>
          <w:tcPr>
            <w:tcW w:w="1498" w:type="dxa"/>
          </w:tcPr>
          <w:p>
            <w:pPr>
              <w:pStyle w:val="TableParagraph"/>
              <w:spacing w:line="234" w:lineRule="exact"/>
              <w:ind w:right="216"/>
              <w:jc w:val="center"/>
              <w:rPr>
                <w:sz w:val="22"/>
              </w:rPr>
            </w:pPr>
            <w:r>
              <w:rPr>
                <w:spacing w:val="-5"/>
                <w:sz w:val="22"/>
              </w:rPr>
              <w:t>3.0</w:t>
            </w:r>
          </w:p>
        </w:tc>
        <w:tc>
          <w:tcPr>
            <w:tcW w:w="3702" w:type="dxa"/>
          </w:tcPr>
          <w:p>
            <w:pPr>
              <w:pStyle w:val="TableParagraph"/>
              <w:spacing w:line="234" w:lineRule="exact"/>
              <w:ind w:left="10" w:right="3"/>
              <w:jc w:val="center"/>
              <w:rPr>
                <w:sz w:val="22"/>
              </w:rPr>
            </w:pPr>
            <w:r>
              <w:rPr>
                <w:spacing w:val="-4"/>
                <w:sz w:val="22"/>
              </w:rPr>
              <w:t>0.0%</w:t>
            </w:r>
          </w:p>
        </w:tc>
        <w:tc>
          <w:tcPr>
            <w:tcW w:w="3601" w:type="dxa"/>
          </w:tcPr>
          <w:p>
            <w:pPr>
              <w:pStyle w:val="TableParagraph"/>
              <w:spacing w:line="234" w:lineRule="exact"/>
              <w:ind w:left="3"/>
              <w:jc w:val="center"/>
              <w:rPr>
                <w:sz w:val="22"/>
              </w:rPr>
            </w:pPr>
            <w:r>
              <w:rPr>
                <w:spacing w:val="-5"/>
                <w:sz w:val="22"/>
              </w:rPr>
              <w:t>50%</w:t>
            </w:r>
          </w:p>
        </w:tc>
      </w:tr>
      <w:tr>
        <w:tblPrEx>
          <w:tblW w:w="0" w:type="auto"/>
          <w:jc w:val="left"/>
          <w:tblInd w:w="622" w:type="dxa"/>
          <w:tblLayout w:type="fixed"/>
          <w:tblCellMar>
            <w:top w:w="0" w:type="dxa"/>
            <w:left w:w="0" w:type="dxa"/>
            <w:bottom w:w="0" w:type="dxa"/>
            <w:right w:w="0" w:type="dxa"/>
          </w:tblCellMar>
          <w:tblLook w:val="01E0"/>
        </w:tblPrEx>
        <w:trPr>
          <w:trHeight w:val="251"/>
          <w:jc w:val="left"/>
        </w:trPr>
        <w:tc>
          <w:tcPr>
            <w:tcW w:w="1498" w:type="dxa"/>
          </w:tcPr>
          <w:p>
            <w:pPr>
              <w:pStyle w:val="TableParagraph"/>
              <w:spacing w:line="232" w:lineRule="exact"/>
              <w:ind w:left="316"/>
              <w:rPr>
                <w:sz w:val="22"/>
              </w:rPr>
            </w:pPr>
            <w:r>
              <w:rPr>
                <w:sz w:val="22"/>
              </w:rPr>
              <w:t xml:space="preserve">&lt; </w:t>
            </w:r>
            <w:r>
              <w:rPr>
                <w:spacing w:val="-5"/>
                <w:sz w:val="22"/>
              </w:rPr>
              <w:t>3.0</w:t>
            </w:r>
          </w:p>
        </w:tc>
        <w:tc>
          <w:tcPr>
            <w:tcW w:w="3702" w:type="dxa"/>
          </w:tcPr>
          <w:p>
            <w:pPr>
              <w:pStyle w:val="TableParagraph"/>
              <w:spacing w:line="232" w:lineRule="exact"/>
              <w:ind w:left="10" w:right="3"/>
              <w:jc w:val="center"/>
              <w:rPr>
                <w:sz w:val="22"/>
              </w:rPr>
            </w:pPr>
            <w:r>
              <w:rPr>
                <w:spacing w:val="-4"/>
                <w:sz w:val="22"/>
              </w:rPr>
              <w:t>0.0%</w:t>
            </w:r>
          </w:p>
        </w:tc>
        <w:tc>
          <w:tcPr>
            <w:tcW w:w="3601" w:type="dxa"/>
          </w:tcPr>
          <w:p>
            <w:pPr>
              <w:pStyle w:val="TableParagraph"/>
              <w:spacing w:line="232" w:lineRule="exact"/>
              <w:ind w:left="3"/>
              <w:jc w:val="center"/>
              <w:rPr>
                <w:sz w:val="22"/>
              </w:rPr>
            </w:pPr>
            <w:r>
              <w:rPr>
                <w:spacing w:val="-5"/>
                <w:sz w:val="22"/>
              </w:rPr>
              <w:t>50%</w:t>
            </w:r>
          </w:p>
        </w:tc>
      </w:tr>
      <w:tr>
        <w:tblPrEx>
          <w:tblW w:w="0" w:type="auto"/>
          <w:jc w:val="left"/>
          <w:tblInd w:w="622" w:type="dxa"/>
          <w:tblLayout w:type="fixed"/>
          <w:tblCellMar>
            <w:top w:w="0" w:type="dxa"/>
            <w:left w:w="0" w:type="dxa"/>
            <w:bottom w:w="0" w:type="dxa"/>
            <w:right w:w="0" w:type="dxa"/>
          </w:tblCellMar>
          <w:tblLook w:val="01E0"/>
        </w:tblPrEx>
        <w:trPr>
          <w:trHeight w:val="253"/>
          <w:jc w:val="left"/>
        </w:trPr>
        <w:tc>
          <w:tcPr>
            <w:tcW w:w="1498" w:type="dxa"/>
          </w:tcPr>
          <w:p>
            <w:pPr>
              <w:pStyle w:val="TableParagraph"/>
              <w:spacing w:before="1" w:line="233" w:lineRule="exact"/>
              <w:ind w:left="335"/>
              <w:rPr>
                <w:sz w:val="22"/>
              </w:rPr>
            </w:pPr>
            <w:r>
              <w:rPr>
                <w:spacing w:val="-2"/>
                <w:sz w:val="22"/>
              </w:rPr>
              <w:t>Blank</w:t>
            </w:r>
          </w:p>
        </w:tc>
        <w:tc>
          <w:tcPr>
            <w:tcW w:w="3702" w:type="dxa"/>
          </w:tcPr>
          <w:p>
            <w:pPr>
              <w:pStyle w:val="TableParagraph"/>
              <w:spacing w:before="1" w:line="233" w:lineRule="exact"/>
              <w:ind w:left="10" w:right="3"/>
              <w:jc w:val="center"/>
              <w:rPr>
                <w:sz w:val="22"/>
              </w:rPr>
            </w:pPr>
            <w:r>
              <w:rPr>
                <w:spacing w:val="-4"/>
                <w:sz w:val="22"/>
              </w:rPr>
              <w:t>3.5%</w:t>
            </w:r>
          </w:p>
        </w:tc>
        <w:tc>
          <w:tcPr>
            <w:tcW w:w="3601" w:type="dxa"/>
          </w:tcPr>
          <w:p>
            <w:pPr>
              <w:pStyle w:val="TableParagraph"/>
              <w:spacing w:before="1" w:line="233" w:lineRule="exact"/>
              <w:ind w:left="3"/>
              <w:jc w:val="center"/>
              <w:rPr>
                <w:sz w:val="22"/>
              </w:rPr>
            </w:pPr>
            <w:r>
              <w:rPr>
                <w:spacing w:val="-5"/>
                <w:sz w:val="22"/>
              </w:rPr>
              <w:t>65%</w:t>
            </w:r>
          </w:p>
        </w:tc>
      </w:tr>
    </w:tbl>
    <w:p>
      <w:pPr>
        <w:pStyle w:val="BodyText"/>
        <w:spacing w:before="123"/>
        <w:ind w:right="1481"/>
      </w:pPr>
      <w:r>
        <w:t>For additional information regarding the ACA provisions and the QBP, see the CY2027 Advance Notices, the CY2027 Announcement, and the November 13, 2018 memorandum released</w:t>
      </w:r>
      <w:r>
        <w:rPr>
          <w:spacing w:val="-4"/>
        </w:rPr>
        <w:t xml:space="preserve"> </w:t>
      </w:r>
      <w:r>
        <w:t>via</w:t>
      </w:r>
      <w:r>
        <w:rPr>
          <w:spacing w:val="-4"/>
        </w:rPr>
        <w:t xml:space="preserve"> </w:t>
      </w:r>
      <w:r>
        <w:t>HPMS</w:t>
      </w:r>
      <w:r>
        <w:rPr>
          <w:spacing w:val="-4"/>
        </w:rPr>
        <w:t xml:space="preserve"> </w:t>
      </w:r>
      <w:r>
        <w:t>titled</w:t>
      </w:r>
      <w:r>
        <w:rPr>
          <w:spacing w:val="-3"/>
        </w:rPr>
        <w:t xml:space="preserve"> </w:t>
      </w:r>
      <w:r>
        <w:t>“2020</w:t>
      </w:r>
      <w:r>
        <w:rPr>
          <w:spacing w:val="-4"/>
        </w:rPr>
        <w:t xml:space="preserve"> </w:t>
      </w:r>
      <w:r>
        <w:t>Quality</w:t>
      </w:r>
      <w:r>
        <w:rPr>
          <w:spacing w:val="-4"/>
        </w:rPr>
        <w:t xml:space="preserve"> </w:t>
      </w:r>
      <w:r>
        <w:t>Bonus</w:t>
      </w:r>
      <w:r>
        <w:rPr>
          <w:spacing w:val="-5"/>
        </w:rPr>
        <w:t xml:space="preserve"> </w:t>
      </w:r>
      <w:r>
        <w:t>Payment</w:t>
      </w:r>
      <w:r>
        <w:rPr>
          <w:spacing w:val="-4"/>
        </w:rPr>
        <w:t xml:space="preserve"> </w:t>
      </w:r>
      <w:r>
        <w:t>Determinations</w:t>
      </w:r>
      <w:r>
        <w:rPr>
          <w:spacing w:val="-5"/>
        </w:rPr>
        <w:t xml:space="preserve"> </w:t>
      </w:r>
      <w:r>
        <w:t>and</w:t>
      </w:r>
      <w:r>
        <w:rPr>
          <w:spacing w:val="-4"/>
        </w:rPr>
        <w:t xml:space="preserve"> </w:t>
      </w:r>
      <w:r>
        <w:t>Administrative Review Process for Quality Bonus Payments and Rebate Retention Allowances.”</w:t>
      </w:r>
    </w:p>
    <w:p>
      <w:pPr>
        <w:spacing w:before="240"/>
        <w:ind w:left="504" w:right="0" w:firstLine="0"/>
        <w:jc w:val="left"/>
        <w:rPr>
          <w:rFonts w:ascii="Arial"/>
          <w:b/>
          <w:sz w:val="21"/>
        </w:rPr>
      </w:pPr>
      <w:bookmarkStart w:id="22" w:name="Bad Debt"/>
      <w:bookmarkEnd w:id="22"/>
      <w:bookmarkStart w:id="23" w:name="_bookmark10"/>
      <w:bookmarkEnd w:id="23"/>
      <w:r>
        <w:rPr>
          <w:rFonts w:ascii="Arial"/>
          <w:b/>
          <w:sz w:val="21"/>
        </w:rPr>
        <w:t>Bad</w:t>
      </w:r>
      <w:r>
        <w:rPr>
          <w:rFonts w:ascii="Arial"/>
          <w:b/>
          <w:spacing w:val="-3"/>
          <w:sz w:val="21"/>
        </w:rPr>
        <w:t xml:space="preserve"> </w:t>
      </w:r>
      <w:r>
        <w:rPr>
          <w:rFonts w:ascii="Arial"/>
          <w:b/>
          <w:spacing w:val="-4"/>
          <w:sz w:val="21"/>
        </w:rPr>
        <w:t>Debt</w:t>
      </w:r>
    </w:p>
    <w:p>
      <w:pPr>
        <w:pStyle w:val="BodyText"/>
        <w:spacing w:before="121"/>
        <w:ind w:right="1524"/>
      </w:pPr>
      <w:r>
        <w:t>Bad</w:t>
      </w:r>
      <w:r>
        <w:rPr>
          <w:spacing w:val="-3"/>
        </w:rPr>
        <w:t xml:space="preserve"> </w:t>
      </w:r>
      <w:r>
        <w:t>debt</w:t>
      </w:r>
      <w:r>
        <w:rPr>
          <w:spacing w:val="-3"/>
        </w:rPr>
        <w:t xml:space="preserve"> </w:t>
      </w:r>
      <w:r>
        <w:t>for</w:t>
      </w:r>
      <w:r>
        <w:rPr>
          <w:spacing w:val="-4"/>
        </w:rPr>
        <w:t xml:space="preserve"> </w:t>
      </w:r>
      <w:r>
        <w:t>uncollected</w:t>
      </w:r>
      <w:r>
        <w:rPr>
          <w:spacing w:val="-2"/>
        </w:rPr>
        <w:t xml:space="preserve"> </w:t>
      </w:r>
      <w:r>
        <w:t>enrollee</w:t>
      </w:r>
      <w:r>
        <w:rPr>
          <w:spacing w:val="-4"/>
        </w:rPr>
        <w:t xml:space="preserve"> </w:t>
      </w:r>
      <w:r>
        <w:t>cost</w:t>
      </w:r>
      <w:r>
        <w:rPr>
          <w:spacing w:val="-3"/>
        </w:rPr>
        <w:t xml:space="preserve"> </w:t>
      </w:r>
      <w:r>
        <w:t>sharing</w:t>
      </w:r>
      <w:r>
        <w:rPr>
          <w:spacing w:val="-3"/>
        </w:rPr>
        <w:t xml:space="preserve"> </w:t>
      </w:r>
      <w:r>
        <w:t>for</w:t>
      </w:r>
      <w:r>
        <w:rPr>
          <w:spacing w:val="-3"/>
        </w:rPr>
        <w:t xml:space="preserve"> </w:t>
      </w:r>
      <w:r>
        <w:t>inpatient</w:t>
      </w:r>
      <w:r>
        <w:rPr>
          <w:spacing w:val="-3"/>
        </w:rPr>
        <w:t xml:space="preserve"> </w:t>
      </w:r>
      <w:r>
        <w:t>hospital</w:t>
      </w:r>
      <w:r>
        <w:rPr>
          <w:spacing w:val="-3"/>
        </w:rPr>
        <w:t xml:space="preserve"> </w:t>
      </w:r>
      <w:r>
        <w:t>and</w:t>
      </w:r>
      <w:r>
        <w:rPr>
          <w:spacing w:val="-3"/>
        </w:rPr>
        <w:t xml:space="preserve"> </w:t>
      </w:r>
      <w:r>
        <w:t>skilled</w:t>
      </w:r>
      <w:r>
        <w:rPr>
          <w:spacing w:val="-3"/>
        </w:rPr>
        <w:t xml:space="preserve"> </w:t>
      </w:r>
      <w:r>
        <w:t>nursing</w:t>
      </w:r>
      <w:r>
        <w:rPr>
          <w:spacing w:val="-3"/>
        </w:rPr>
        <w:t xml:space="preserve"> </w:t>
      </w:r>
      <w:r>
        <w:t>facility care</w:t>
      </w:r>
      <w:r>
        <w:rPr>
          <w:spacing w:val="-4"/>
        </w:rPr>
        <w:t xml:space="preserve"> </w:t>
      </w:r>
      <w:r>
        <w:t>is</w:t>
      </w:r>
      <w:r>
        <w:rPr>
          <w:spacing w:val="-3"/>
        </w:rPr>
        <w:t xml:space="preserve"> </w:t>
      </w:r>
      <w:r>
        <w:t>to</w:t>
      </w:r>
      <w:r>
        <w:rPr>
          <w:spacing w:val="-2"/>
        </w:rPr>
        <w:t xml:space="preserve"> </w:t>
      </w:r>
      <w:r>
        <w:t>be</w:t>
      </w:r>
      <w:r>
        <w:rPr>
          <w:spacing w:val="-3"/>
        </w:rPr>
        <w:t xml:space="preserve"> </w:t>
      </w:r>
      <w:r>
        <w:t>included</w:t>
      </w:r>
      <w:r>
        <w:rPr>
          <w:spacing w:val="-2"/>
        </w:rPr>
        <w:t xml:space="preserve"> </w:t>
      </w:r>
      <w:r>
        <w:t>in medical</w:t>
      </w:r>
      <w:r>
        <w:rPr>
          <w:spacing w:val="-2"/>
        </w:rPr>
        <w:t xml:space="preserve"> </w:t>
      </w:r>
      <w:r>
        <w:t>costs</w:t>
      </w:r>
      <w:r>
        <w:rPr>
          <w:spacing w:val="-3"/>
        </w:rPr>
        <w:t xml:space="preserve"> </w:t>
      </w:r>
      <w:r>
        <w:t>when</w:t>
      </w:r>
      <w:r>
        <w:rPr>
          <w:spacing w:val="-2"/>
        </w:rPr>
        <w:t xml:space="preserve"> </w:t>
      </w:r>
      <w:r>
        <w:t>paid</w:t>
      </w:r>
      <w:r>
        <w:rPr>
          <w:spacing w:val="-2"/>
        </w:rPr>
        <w:t xml:space="preserve"> </w:t>
      </w:r>
      <w:r>
        <w:t>for</w:t>
      </w:r>
      <w:r>
        <w:rPr>
          <w:spacing w:val="-3"/>
        </w:rPr>
        <w:t xml:space="preserve"> </w:t>
      </w:r>
      <w:r>
        <w:t>by</w:t>
      </w:r>
      <w:r>
        <w:rPr>
          <w:spacing w:val="-2"/>
        </w:rPr>
        <w:t xml:space="preserve"> </w:t>
      </w:r>
      <w:r>
        <w:t>the</w:t>
      </w:r>
      <w:r>
        <w:rPr>
          <w:spacing w:val="-1"/>
        </w:rPr>
        <w:t xml:space="preserve"> </w:t>
      </w:r>
      <w:r>
        <w:t>MAO</w:t>
      </w:r>
      <w:r>
        <w:rPr>
          <w:spacing w:val="-3"/>
        </w:rPr>
        <w:t xml:space="preserve"> </w:t>
      </w:r>
      <w:r>
        <w:t>in</w:t>
      </w:r>
      <w:r>
        <w:rPr>
          <w:spacing w:val="-2"/>
        </w:rPr>
        <w:t xml:space="preserve"> </w:t>
      </w:r>
      <w:r>
        <w:t>limited</w:t>
      </w:r>
      <w:r>
        <w:rPr>
          <w:spacing w:val="-2"/>
        </w:rPr>
        <w:t xml:space="preserve"> </w:t>
      </w:r>
      <w:r>
        <w:t>situations,</w:t>
      </w:r>
      <w:r>
        <w:rPr>
          <w:spacing w:val="-2"/>
        </w:rPr>
        <w:t xml:space="preserve"> </w:t>
      </w:r>
      <w:r>
        <w:t>such</w:t>
      </w:r>
      <w:r>
        <w:rPr>
          <w:spacing w:val="-2"/>
        </w:rPr>
        <w:t xml:space="preserve"> </w:t>
      </w:r>
      <w:r>
        <w:t>as when PFFS plans have chosen to match this aspect of Medicare FFS payment rules or when it is necessary for a plan to maintain access to a sole provider of a service.</w:t>
      </w:r>
    </w:p>
    <w:p>
      <w:pPr>
        <w:spacing w:before="241"/>
        <w:ind w:left="504" w:right="0" w:firstLine="0"/>
        <w:jc w:val="left"/>
        <w:rPr>
          <w:rFonts w:ascii="Arial"/>
          <w:b/>
          <w:sz w:val="21"/>
        </w:rPr>
      </w:pPr>
      <w:bookmarkStart w:id="24" w:name="Base Period Experience"/>
      <w:bookmarkEnd w:id="24"/>
      <w:bookmarkStart w:id="25" w:name="_bookmark11"/>
      <w:bookmarkEnd w:id="25"/>
      <w:r>
        <w:rPr>
          <w:rFonts w:ascii="Arial"/>
          <w:b/>
          <w:sz w:val="21"/>
        </w:rPr>
        <w:t>Base</w:t>
      </w:r>
      <w:r>
        <w:rPr>
          <w:rFonts w:ascii="Arial"/>
          <w:b/>
          <w:spacing w:val="-6"/>
          <w:sz w:val="21"/>
        </w:rPr>
        <w:t xml:space="preserve"> </w:t>
      </w:r>
      <w:r>
        <w:rPr>
          <w:rFonts w:ascii="Arial"/>
          <w:b/>
          <w:sz w:val="21"/>
        </w:rPr>
        <w:t>Period</w:t>
      </w:r>
      <w:r>
        <w:rPr>
          <w:rFonts w:ascii="Arial"/>
          <w:b/>
          <w:spacing w:val="-5"/>
          <w:sz w:val="21"/>
        </w:rPr>
        <w:t xml:space="preserve"> </w:t>
      </w:r>
      <w:r>
        <w:rPr>
          <w:rFonts w:ascii="Arial"/>
          <w:b/>
          <w:spacing w:val="-2"/>
          <w:sz w:val="21"/>
        </w:rPr>
        <w:t>Experience</w:t>
      </w:r>
    </w:p>
    <w:p>
      <w:pPr>
        <w:pStyle w:val="BodyText"/>
        <w:spacing w:before="118"/>
        <w:ind w:right="1939"/>
      </w:pPr>
      <w:r>
        <w:t>The experience data must be based on a calendar year 2025 incurred period with at least</w:t>
      </w:r>
      <w:r>
        <w:rPr>
          <w:spacing w:val="40"/>
        </w:rPr>
        <w:t xml:space="preserve"> </w:t>
      </w:r>
      <w:r>
        <w:t>30 days of paid claim run-out; 2–3 months of paid claim run-out is preferable. Further, the enrollment</w:t>
      </w:r>
      <w:r>
        <w:rPr>
          <w:spacing w:val="-3"/>
        </w:rPr>
        <w:t xml:space="preserve"> </w:t>
      </w:r>
      <w:r>
        <w:t>data</w:t>
      </w:r>
      <w:r>
        <w:rPr>
          <w:spacing w:val="-4"/>
        </w:rPr>
        <w:t xml:space="preserve"> </w:t>
      </w:r>
      <w:r>
        <w:t>for</w:t>
      </w:r>
      <w:r>
        <w:rPr>
          <w:spacing w:val="-5"/>
        </w:rPr>
        <w:t xml:space="preserve"> </w:t>
      </w:r>
      <w:r>
        <w:t>the</w:t>
      </w:r>
      <w:r>
        <w:rPr>
          <w:spacing w:val="-2"/>
        </w:rPr>
        <w:t xml:space="preserve"> </w:t>
      </w:r>
      <w:r>
        <w:t>MA</w:t>
      </w:r>
      <w:r>
        <w:rPr>
          <w:spacing w:val="-4"/>
        </w:rPr>
        <w:t xml:space="preserve"> </w:t>
      </w:r>
      <w:r>
        <w:t>bid</w:t>
      </w:r>
      <w:r>
        <w:rPr>
          <w:spacing w:val="-3"/>
        </w:rPr>
        <w:t xml:space="preserve"> </w:t>
      </w:r>
      <w:r>
        <w:t>in</w:t>
      </w:r>
      <w:r>
        <w:rPr>
          <w:spacing w:val="-3"/>
        </w:rPr>
        <w:t xml:space="preserve"> </w:t>
      </w:r>
      <w:r>
        <w:t>a</w:t>
      </w:r>
      <w:r>
        <w:rPr>
          <w:spacing w:val="-3"/>
        </w:rPr>
        <w:t xml:space="preserve"> </w:t>
      </w:r>
      <w:r>
        <w:t>Medicare</w:t>
      </w:r>
      <w:r>
        <w:rPr>
          <w:spacing w:val="-4"/>
        </w:rPr>
        <w:t xml:space="preserve"> </w:t>
      </w:r>
      <w:r>
        <w:t>Advantage</w:t>
      </w:r>
      <w:r>
        <w:rPr>
          <w:spacing w:val="-5"/>
        </w:rPr>
        <w:t xml:space="preserve"> </w:t>
      </w:r>
      <w:r>
        <w:t>Prescription</w:t>
      </w:r>
      <w:r>
        <w:rPr>
          <w:spacing w:val="-3"/>
        </w:rPr>
        <w:t xml:space="preserve"> </w:t>
      </w:r>
      <w:r>
        <w:t>Drug</w:t>
      </w:r>
      <w:r>
        <w:rPr>
          <w:spacing w:val="-3"/>
        </w:rPr>
        <w:t xml:space="preserve"> </w:t>
      </w:r>
      <w:r>
        <w:t>(MA-PD)</w:t>
      </w:r>
      <w:r>
        <w:rPr>
          <w:spacing w:val="-4"/>
        </w:rPr>
        <w:t xml:space="preserve"> </w:t>
      </w:r>
      <w:r>
        <w:t>plan</w:t>
      </w:r>
    </w:p>
    <w:p>
      <w:pPr>
        <w:pStyle w:val="BodyText"/>
      </w:pPr>
      <w:r>
        <w:t>must reflect an</w:t>
      </w:r>
      <w:r>
        <w:rPr>
          <w:spacing w:val="-1"/>
        </w:rPr>
        <w:t xml:space="preserve"> </w:t>
      </w:r>
      <w:r>
        <w:t>underlying population</w:t>
      </w:r>
      <w:r>
        <w:rPr>
          <w:spacing w:val="1"/>
        </w:rPr>
        <w:t xml:space="preserve"> </w:t>
      </w:r>
      <w:r>
        <w:t>that</w:t>
      </w:r>
      <w:r>
        <w:rPr>
          <w:spacing w:val="-1"/>
        </w:rPr>
        <w:t xml:space="preserve"> </w:t>
      </w:r>
      <w:r>
        <w:t>is the</w:t>
      </w:r>
      <w:r>
        <w:rPr>
          <w:spacing w:val="-1"/>
        </w:rPr>
        <w:t xml:space="preserve"> </w:t>
      </w:r>
      <w:r>
        <w:t>same as</w:t>
      </w:r>
      <w:r>
        <w:rPr>
          <w:spacing w:val="-1"/>
        </w:rPr>
        <w:t xml:space="preserve"> </w:t>
      </w:r>
      <w:r>
        <w:t>that</w:t>
      </w:r>
      <w:r>
        <w:rPr>
          <w:spacing w:val="-1"/>
        </w:rPr>
        <w:t xml:space="preserve"> </w:t>
      </w:r>
      <w:r>
        <w:t>for</w:t>
      </w:r>
      <w:r>
        <w:rPr>
          <w:spacing w:val="-2"/>
        </w:rPr>
        <w:t xml:space="preserve"> </w:t>
      </w:r>
      <w:r>
        <w:t>the</w:t>
      </w:r>
      <w:r>
        <w:rPr>
          <w:spacing w:val="-1"/>
        </w:rPr>
        <w:t xml:space="preserve"> </w:t>
      </w:r>
      <w:r>
        <w:t>corresponding Part D</w:t>
      </w:r>
      <w:r>
        <w:rPr>
          <w:spacing w:val="-1"/>
        </w:rPr>
        <w:t xml:space="preserve"> </w:t>
      </w:r>
      <w:r>
        <w:rPr>
          <w:spacing w:val="-4"/>
        </w:rPr>
        <w:t>bid.</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right="1443"/>
      </w:pPr>
      <w:r>
        <w:t>Worksheet 1 must be completed with data at the bid level for a number of CY2025 Contract-Plan ID-segment IDs as required in the “Data Aggregation” subsection of this pricing consideration,</w:t>
      </w:r>
      <w:r>
        <w:rPr>
          <w:spacing w:val="-5"/>
        </w:rPr>
        <w:t xml:space="preserve"> </w:t>
      </w:r>
      <w:r>
        <w:t>regardless</w:t>
      </w:r>
      <w:r>
        <w:rPr>
          <w:spacing w:val="-3"/>
        </w:rPr>
        <w:t xml:space="preserve"> </w:t>
      </w:r>
      <w:r>
        <w:t>of</w:t>
      </w:r>
      <w:r>
        <w:rPr>
          <w:spacing w:val="-5"/>
        </w:rPr>
        <w:t xml:space="preserve"> </w:t>
      </w:r>
      <w:r>
        <w:t>the</w:t>
      </w:r>
      <w:r>
        <w:rPr>
          <w:spacing w:val="-6"/>
        </w:rPr>
        <w:t xml:space="preserve"> </w:t>
      </w:r>
      <w:r>
        <w:t>level</w:t>
      </w:r>
      <w:r>
        <w:rPr>
          <w:spacing w:val="-5"/>
        </w:rPr>
        <w:t xml:space="preserve"> </w:t>
      </w:r>
      <w:r>
        <w:t>of</w:t>
      </w:r>
      <w:r>
        <w:rPr>
          <w:spacing w:val="-4"/>
        </w:rPr>
        <w:t xml:space="preserve"> </w:t>
      </w:r>
      <w:r>
        <w:t>enrollment.</w:t>
      </w:r>
      <w:r>
        <w:rPr>
          <w:spacing w:val="-5"/>
        </w:rPr>
        <w:t xml:space="preserve"> </w:t>
      </w:r>
      <w:r>
        <w:t>Further,</w:t>
      </w:r>
      <w:r>
        <w:rPr>
          <w:spacing w:val="-4"/>
        </w:rPr>
        <w:t xml:space="preserve"> </w:t>
      </w:r>
      <w:r>
        <w:t>each</w:t>
      </w:r>
      <w:r>
        <w:rPr>
          <w:spacing w:val="-3"/>
        </w:rPr>
        <w:t xml:space="preserve"> </w:t>
      </w:r>
      <w:r>
        <w:t>Contract-Plan</w:t>
      </w:r>
      <w:r>
        <w:rPr>
          <w:spacing w:val="-5"/>
        </w:rPr>
        <w:t xml:space="preserve"> </w:t>
      </w:r>
      <w:r>
        <w:t>ID-Segment</w:t>
      </w:r>
      <w:r>
        <w:rPr>
          <w:spacing w:val="-3"/>
        </w:rPr>
        <w:t xml:space="preserve"> </w:t>
      </w:r>
      <w:r>
        <w:t>ID must be</w:t>
      </w:r>
      <w:r>
        <w:rPr>
          <w:spacing w:val="-2"/>
        </w:rPr>
        <w:t xml:space="preserve"> </w:t>
      </w:r>
      <w:r>
        <w:t>identified</w:t>
      </w:r>
      <w:r>
        <w:rPr>
          <w:spacing w:val="-1"/>
        </w:rPr>
        <w:t xml:space="preserve"> </w:t>
      </w:r>
      <w:r>
        <w:t>in</w:t>
      </w:r>
      <w:r>
        <w:rPr>
          <w:spacing w:val="-1"/>
        </w:rPr>
        <w:t xml:space="preserve"> </w:t>
      </w:r>
      <w:r>
        <w:t>Section</w:t>
      </w:r>
      <w:r>
        <w:rPr>
          <w:spacing w:val="-1"/>
        </w:rPr>
        <w:t xml:space="preserve"> </w:t>
      </w:r>
      <w:r>
        <w:t>II,</w:t>
      </w:r>
      <w:r>
        <w:rPr>
          <w:spacing w:val="-1"/>
        </w:rPr>
        <w:t xml:space="preserve"> </w:t>
      </w:r>
      <w:r>
        <w:t>line</w:t>
      </w:r>
      <w:r>
        <w:rPr>
          <w:spacing w:val="-1"/>
        </w:rPr>
        <w:t xml:space="preserve"> </w:t>
      </w:r>
      <w:r>
        <w:t>6. Note</w:t>
      </w:r>
      <w:r>
        <w:rPr>
          <w:spacing w:val="-1"/>
        </w:rPr>
        <w:t xml:space="preserve"> </w:t>
      </w:r>
      <w:r>
        <w:t>that</w:t>
      </w:r>
      <w:r>
        <w:rPr>
          <w:spacing w:val="-1"/>
        </w:rPr>
        <w:t xml:space="preserve"> </w:t>
      </w:r>
      <w:r>
        <w:t>such</w:t>
      </w:r>
      <w:r>
        <w:rPr>
          <w:spacing w:val="-1"/>
        </w:rPr>
        <w:t xml:space="preserve"> </w:t>
      </w:r>
      <w:r>
        <w:t>data</w:t>
      </w:r>
      <w:r>
        <w:rPr>
          <w:spacing w:val="-2"/>
        </w:rPr>
        <w:t xml:space="preserve"> </w:t>
      </w:r>
      <w:r>
        <w:t>exclude</w:t>
      </w:r>
      <w:r>
        <w:rPr>
          <w:spacing w:val="-1"/>
        </w:rPr>
        <w:t xml:space="preserve"> </w:t>
      </w:r>
      <w:r>
        <w:t>Section 1876 cost</w:t>
      </w:r>
      <w:r>
        <w:rPr>
          <w:spacing w:val="-1"/>
        </w:rPr>
        <w:t xml:space="preserve"> </w:t>
      </w:r>
      <w:r>
        <w:t>plan</w:t>
      </w:r>
      <w:r>
        <w:rPr>
          <w:spacing w:val="-1"/>
        </w:rPr>
        <w:t xml:space="preserve"> </w:t>
      </w:r>
      <w:r>
        <w:t>data. The experience data on Worksheet 1—</w:t>
      </w:r>
    </w:p>
    <w:p>
      <w:pPr>
        <w:pStyle w:val="ListParagraph"/>
        <w:numPr>
          <w:ilvl w:val="0"/>
          <w:numId w:val="53"/>
        </w:numPr>
        <w:tabs>
          <w:tab w:val="left" w:pos="1584"/>
        </w:tabs>
        <w:spacing w:before="120" w:after="0" w:line="240" w:lineRule="auto"/>
        <w:ind w:left="1584" w:right="0" w:hanging="360"/>
        <w:jc w:val="left"/>
        <w:rPr>
          <w:sz w:val="24"/>
        </w:rPr>
      </w:pPr>
      <w:r>
        <w:rPr>
          <w:sz w:val="24"/>
        </w:rPr>
        <w:t>Must</w:t>
      </w:r>
      <w:r>
        <w:rPr>
          <w:spacing w:val="-4"/>
          <w:sz w:val="24"/>
        </w:rPr>
        <w:t xml:space="preserve"> </w:t>
      </w:r>
      <w:r>
        <w:rPr>
          <w:sz w:val="24"/>
        </w:rPr>
        <w:t>reconcile</w:t>
      </w:r>
      <w:r>
        <w:rPr>
          <w:spacing w:val="-2"/>
          <w:sz w:val="24"/>
        </w:rPr>
        <w:t xml:space="preserve"> </w:t>
      </w:r>
      <w:r>
        <w:rPr>
          <w:sz w:val="24"/>
        </w:rPr>
        <w:t>in</w:t>
      </w:r>
      <w:r>
        <w:rPr>
          <w:spacing w:val="-1"/>
          <w:sz w:val="24"/>
        </w:rPr>
        <w:t xml:space="preserve"> </w:t>
      </w:r>
      <w:r>
        <w:rPr>
          <w:sz w:val="24"/>
        </w:rPr>
        <w:t>an</w:t>
      </w:r>
      <w:r>
        <w:rPr>
          <w:spacing w:val="-1"/>
          <w:sz w:val="24"/>
        </w:rPr>
        <w:t xml:space="preserve"> </w:t>
      </w:r>
      <w:r>
        <w:rPr>
          <w:sz w:val="24"/>
        </w:rPr>
        <w:t>auditable</w:t>
      </w:r>
      <w:r>
        <w:rPr>
          <w:spacing w:val="-1"/>
          <w:sz w:val="24"/>
        </w:rPr>
        <w:t xml:space="preserve"> </w:t>
      </w:r>
      <w:r>
        <w:rPr>
          <w:sz w:val="24"/>
        </w:rPr>
        <w:t>manner</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MAO’s</w:t>
      </w:r>
      <w:r>
        <w:rPr>
          <w:spacing w:val="-2"/>
          <w:sz w:val="24"/>
        </w:rPr>
        <w:t xml:space="preserve"> </w:t>
      </w:r>
      <w:r>
        <w:rPr>
          <w:sz w:val="24"/>
        </w:rPr>
        <w:t>audited</w:t>
      </w:r>
      <w:r>
        <w:rPr>
          <w:spacing w:val="-1"/>
          <w:sz w:val="24"/>
        </w:rPr>
        <w:t xml:space="preserve"> </w:t>
      </w:r>
      <w:r>
        <w:rPr>
          <w:sz w:val="24"/>
        </w:rPr>
        <w:t>financial</w:t>
      </w:r>
      <w:r>
        <w:rPr>
          <w:spacing w:val="-1"/>
          <w:sz w:val="24"/>
        </w:rPr>
        <w:t xml:space="preserve"> </w:t>
      </w:r>
      <w:r>
        <w:rPr>
          <w:spacing w:val="-2"/>
          <w:sz w:val="24"/>
        </w:rPr>
        <w:t>statements.</w:t>
      </w:r>
    </w:p>
    <w:p>
      <w:pPr>
        <w:pStyle w:val="ListParagraph"/>
        <w:numPr>
          <w:ilvl w:val="0"/>
          <w:numId w:val="53"/>
        </w:numPr>
        <w:tabs>
          <w:tab w:val="left" w:pos="1584"/>
        </w:tabs>
        <w:spacing w:before="0" w:after="0" w:line="240" w:lineRule="auto"/>
        <w:ind w:left="1584" w:right="1471" w:hanging="360"/>
        <w:jc w:val="left"/>
        <w:rPr>
          <w:sz w:val="24"/>
        </w:rPr>
      </w:pPr>
      <w:r>
        <w:rPr>
          <w:sz w:val="24"/>
        </w:rPr>
        <w:t>Must</w:t>
      </w:r>
      <w:r>
        <w:rPr>
          <w:spacing w:val="-3"/>
          <w:sz w:val="24"/>
        </w:rPr>
        <w:t xml:space="preserve"> </w:t>
      </w:r>
      <w:r>
        <w:rPr>
          <w:sz w:val="24"/>
        </w:rPr>
        <w:t>be</w:t>
      </w:r>
      <w:r>
        <w:rPr>
          <w:spacing w:val="-4"/>
          <w:sz w:val="24"/>
        </w:rPr>
        <w:t xml:space="preserve"> </w:t>
      </w:r>
      <w:r>
        <w:rPr>
          <w:sz w:val="24"/>
        </w:rPr>
        <w:t>reported</w:t>
      </w:r>
      <w:r>
        <w:rPr>
          <w:spacing w:val="-3"/>
          <w:sz w:val="24"/>
        </w:rPr>
        <w:t xml:space="preserve"> </w:t>
      </w:r>
      <w:r>
        <w:rPr>
          <w:sz w:val="24"/>
        </w:rPr>
        <w:t>without</w:t>
      </w:r>
      <w:r>
        <w:rPr>
          <w:spacing w:val="-1"/>
          <w:sz w:val="24"/>
        </w:rPr>
        <w:t xml:space="preserve"> </w:t>
      </w:r>
      <w:r>
        <w:rPr>
          <w:sz w:val="24"/>
        </w:rPr>
        <w:t>adjustment</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III</w:t>
      </w:r>
      <w:r>
        <w:rPr>
          <w:spacing w:val="-1"/>
          <w:sz w:val="24"/>
        </w:rPr>
        <w:t xml:space="preserve"> </w:t>
      </w:r>
      <w:r>
        <w:rPr>
          <w:sz w:val="24"/>
        </w:rPr>
        <w:t>except</w:t>
      </w:r>
      <w:r>
        <w:rPr>
          <w:spacing w:val="-3"/>
          <w:sz w:val="24"/>
        </w:rPr>
        <w:t xml:space="preserve"> </w:t>
      </w:r>
      <w:r>
        <w:rPr>
          <w:sz w:val="24"/>
        </w:rPr>
        <w:t>as</w:t>
      </w:r>
      <w:r>
        <w:rPr>
          <w:spacing w:val="-4"/>
          <w:sz w:val="24"/>
        </w:rPr>
        <w:t xml:space="preserve"> </w:t>
      </w:r>
      <w:r>
        <w:rPr>
          <w:sz w:val="24"/>
        </w:rPr>
        <w:t>noted</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“Capitated Arrangements for Medical Services” pricing consideration. Adjustments may be made in Section IV to accommodate population, benefit design, or other changes from the base period to the contract period.</w:t>
      </w:r>
    </w:p>
    <w:p>
      <w:pPr>
        <w:pStyle w:val="ListParagraph"/>
        <w:numPr>
          <w:ilvl w:val="0"/>
          <w:numId w:val="53"/>
        </w:numPr>
        <w:tabs>
          <w:tab w:val="left" w:pos="1584"/>
        </w:tabs>
        <w:spacing w:before="0" w:after="0" w:line="240" w:lineRule="auto"/>
        <w:ind w:left="1584" w:right="0" w:hanging="360"/>
        <w:jc w:val="left"/>
        <w:rPr>
          <w:sz w:val="24"/>
        </w:rPr>
      </w:pPr>
      <w:r>
        <w:rPr>
          <w:sz w:val="24"/>
        </w:rPr>
        <w:t>Must</w:t>
      </w:r>
      <w:r>
        <w:rPr>
          <w:spacing w:val="-1"/>
          <w:sz w:val="24"/>
        </w:rPr>
        <w:t xml:space="preserve"> </w:t>
      </w:r>
      <w:r>
        <w:rPr>
          <w:sz w:val="24"/>
        </w:rPr>
        <w:t>be</w:t>
      </w:r>
      <w:r>
        <w:rPr>
          <w:spacing w:val="-2"/>
          <w:sz w:val="24"/>
        </w:rPr>
        <w:t xml:space="preserve"> </w:t>
      </w:r>
      <w:r>
        <w:rPr>
          <w:sz w:val="24"/>
        </w:rPr>
        <w:t>provided</w:t>
      </w:r>
      <w:r>
        <w:rPr>
          <w:spacing w:val="-1"/>
          <w:sz w:val="24"/>
        </w:rPr>
        <w:t xml:space="preserve"> </w:t>
      </w:r>
      <w:r>
        <w:rPr>
          <w:sz w:val="24"/>
        </w:rPr>
        <w:t>for</w:t>
      </w:r>
      <w:r>
        <w:rPr>
          <w:spacing w:val="-1"/>
          <w:sz w:val="24"/>
        </w:rPr>
        <w:t xml:space="preserve"> </w:t>
      </w:r>
      <w:r>
        <w:rPr>
          <w:sz w:val="24"/>
        </w:rPr>
        <w:t>plans</w:t>
      </w:r>
      <w:r>
        <w:rPr>
          <w:spacing w:val="-2"/>
          <w:sz w:val="24"/>
        </w:rPr>
        <w:t xml:space="preserve"> </w:t>
      </w:r>
      <w:r>
        <w:rPr>
          <w:sz w:val="24"/>
        </w:rPr>
        <w:t>acquired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pacing w:val="-4"/>
          <w:sz w:val="24"/>
        </w:rPr>
        <w:t>MAO.</w:t>
      </w:r>
    </w:p>
    <w:p>
      <w:pPr>
        <w:pStyle w:val="ListParagraph"/>
        <w:numPr>
          <w:ilvl w:val="0"/>
          <w:numId w:val="53"/>
        </w:numPr>
        <w:tabs>
          <w:tab w:val="left" w:pos="1584"/>
        </w:tabs>
        <w:spacing w:before="0" w:after="0" w:line="240" w:lineRule="auto"/>
        <w:ind w:left="1584" w:right="2220" w:hanging="360"/>
        <w:jc w:val="left"/>
        <w:rPr>
          <w:sz w:val="24"/>
        </w:rPr>
      </w:pPr>
      <w:r>
        <w:rPr>
          <w:sz w:val="24"/>
        </w:rPr>
        <w:t>May</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aggregate</w:t>
      </w:r>
      <w:r>
        <w:rPr>
          <w:spacing w:val="-3"/>
          <w:sz w:val="24"/>
        </w:rPr>
        <w:t xml:space="preserve"> </w:t>
      </w:r>
      <w:r>
        <w:rPr>
          <w:sz w:val="24"/>
        </w:rPr>
        <w:t>data</w:t>
      </w:r>
      <w:r>
        <w:rPr>
          <w:spacing w:val="-3"/>
          <w:sz w:val="24"/>
        </w:rPr>
        <w:t xml:space="preserve"> </w:t>
      </w:r>
      <w:r>
        <w:rPr>
          <w:sz w:val="24"/>
        </w:rPr>
        <w:t>from</w:t>
      </w:r>
      <w:r>
        <w:rPr>
          <w:spacing w:val="-2"/>
          <w:sz w:val="24"/>
        </w:rPr>
        <w:t xml:space="preserve"> </w:t>
      </w:r>
      <w:r>
        <w:rPr>
          <w:sz w:val="24"/>
        </w:rPr>
        <w:t>a</w:t>
      </w:r>
      <w:r>
        <w:rPr>
          <w:spacing w:val="-4"/>
          <w:sz w:val="24"/>
        </w:rPr>
        <w:t xml:space="preserve"> </w:t>
      </w:r>
      <w:r>
        <w:rPr>
          <w:sz w:val="24"/>
        </w:rPr>
        <w:t>number</w:t>
      </w:r>
      <w:r>
        <w:rPr>
          <w:spacing w:val="-3"/>
          <w:sz w:val="24"/>
        </w:rPr>
        <w:t xml:space="preserve"> </w:t>
      </w:r>
      <w:r>
        <w:rPr>
          <w:sz w:val="24"/>
        </w:rPr>
        <w:t>of</w:t>
      </w:r>
      <w:r>
        <w:rPr>
          <w:spacing w:val="-4"/>
          <w:sz w:val="24"/>
        </w:rPr>
        <w:t xml:space="preserve"> </w:t>
      </w:r>
      <w:r>
        <w:rPr>
          <w:sz w:val="24"/>
        </w:rPr>
        <w:t>bids</w:t>
      </w:r>
      <w:r>
        <w:rPr>
          <w:spacing w:val="-4"/>
          <w:sz w:val="24"/>
        </w:rPr>
        <w:t xml:space="preserve"> </w:t>
      </w:r>
      <w:r>
        <w:rPr>
          <w:sz w:val="24"/>
        </w:rPr>
        <w:t>in</w:t>
      </w:r>
      <w:r>
        <w:rPr>
          <w:spacing w:val="-3"/>
          <w:sz w:val="24"/>
        </w:rPr>
        <w:t xml:space="preserve"> </w:t>
      </w:r>
      <w:r>
        <w:rPr>
          <w:sz w:val="24"/>
        </w:rPr>
        <w:t>order</w:t>
      </w:r>
      <w:r>
        <w:rPr>
          <w:spacing w:val="-3"/>
          <w:sz w:val="24"/>
        </w:rPr>
        <w:t xml:space="preserve"> </w:t>
      </w:r>
      <w:r>
        <w:rPr>
          <w:sz w:val="24"/>
        </w:rPr>
        <w:t>to</w:t>
      </w:r>
      <w:r>
        <w:rPr>
          <w:spacing w:val="-3"/>
          <w:sz w:val="24"/>
        </w:rPr>
        <w:t xml:space="preserve"> </w:t>
      </w:r>
      <w:r>
        <w:rPr>
          <w:sz w:val="24"/>
        </w:rPr>
        <w:t xml:space="preserve">achieve </w:t>
      </w:r>
      <w:r>
        <w:rPr>
          <w:spacing w:val="-2"/>
          <w:sz w:val="24"/>
        </w:rPr>
        <w:t>credibility.</w:t>
      </w:r>
    </w:p>
    <w:p>
      <w:pPr>
        <w:pStyle w:val="ListParagraph"/>
        <w:numPr>
          <w:ilvl w:val="0"/>
          <w:numId w:val="53"/>
        </w:numPr>
        <w:tabs>
          <w:tab w:val="left" w:pos="1584"/>
        </w:tabs>
        <w:spacing w:before="1" w:after="0" w:line="240" w:lineRule="auto"/>
        <w:ind w:left="1584" w:right="1472" w:hanging="360"/>
        <w:jc w:val="left"/>
        <w:rPr>
          <w:sz w:val="24"/>
        </w:rPr>
      </w:pPr>
      <w:r>
        <w:rPr>
          <w:sz w:val="24"/>
        </w:rPr>
        <w:t>May</w:t>
      </w:r>
      <w:r>
        <w:rPr>
          <w:spacing w:val="-3"/>
          <w:sz w:val="24"/>
        </w:rPr>
        <w:t xml:space="preserve"> </w:t>
      </w:r>
      <w:r>
        <w:rPr>
          <w:sz w:val="24"/>
        </w:rPr>
        <w:t>be</w:t>
      </w:r>
      <w:r>
        <w:rPr>
          <w:spacing w:val="-4"/>
          <w:sz w:val="24"/>
        </w:rPr>
        <w:t xml:space="preserve"> </w:t>
      </w:r>
      <w:r>
        <w:rPr>
          <w:sz w:val="24"/>
        </w:rPr>
        <w:t>reported</w:t>
      </w:r>
      <w:r>
        <w:rPr>
          <w:spacing w:val="-3"/>
          <w:sz w:val="24"/>
        </w:rPr>
        <w:t xml:space="preserve"> </w:t>
      </w:r>
      <w:r>
        <w:rPr>
          <w:sz w:val="24"/>
        </w:rPr>
        <w:t>on</w:t>
      </w:r>
      <w:r>
        <w:rPr>
          <w:spacing w:val="-3"/>
          <w:sz w:val="24"/>
        </w:rPr>
        <w:t xml:space="preserve"> </w:t>
      </w:r>
      <w:r>
        <w:rPr>
          <w:sz w:val="24"/>
        </w:rPr>
        <w:t>more</w:t>
      </w:r>
      <w:r>
        <w:rPr>
          <w:spacing w:val="-3"/>
          <w:sz w:val="24"/>
        </w:rPr>
        <w:t xml:space="preserve"> </w:t>
      </w:r>
      <w:r>
        <w:rPr>
          <w:sz w:val="24"/>
        </w:rPr>
        <w:t>than</w:t>
      </w:r>
      <w:r>
        <w:rPr>
          <w:spacing w:val="-3"/>
          <w:sz w:val="24"/>
        </w:rPr>
        <w:t xml:space="preserve"> </w:t>
      </w:r>
      <w:r>
        <w:rPr>
          <w:sz w:val="24"/>
        </w:rPr>
        <w:t>one</w:t>
      </w:r>
      <w:r>
        <w:rPr>
          <w:spacing w:val="-5"/>
          <w:sz w:val="24"/>
        </w:rPr>
        <w:t xml:space="preserve"> </w:t>
      </w:r>
      <w:r>
        <w:rPr>
          <w:sz w:val="24"/>
        </w:rPr>
        <w:t>bid,</w:t>
      </w:r>
      <w:r>
        <w:rPr>
          <w:spacing w:val="-3"/>
          <w:sz w:val="24"/>
        </w:rPr>
        <w:t xml:space="preserve"> </w:t>
      </w:r>
      <w:r>
        <w:rPr>
          <w:sz w:val="24"/>
        </w:rPr>
        <w:t>depending</w:t>
      </w:r>
      <w:r>
        <w:rPr>
          <w:spacing w:val="-2"/>
          <w:sz w:val="24"/>
        </w:rPr>
        <w:t xml:space="preserve"> </w:t>
      </w:r>
      <w:r>
        <w:rPr>
          <w:sz w:val="24"/>
        </w:rPr>
        <w:t>upon</w:t>
      </w:r>
      <w:r>
        <w:rPr>
          <w:spacing w:val="-3"/>
          <w:sz w:val="24"/>
        </w:rPr>
        <w:t xml:space="preserve"> </w:t>
      </w:r>
      <w:r>
        <w:rPr>
          <w:sz w:val="24"/>
        </w:rPr>
        <w:t>how</w:t>
      </w:r>
      <w:r>
        <w:rPr>
          <w:spacing w:val="-4"/>
          <w:sz w:val="24"/>
        </w:rPr>
        <w:t xml:space="preserve"> </w:t>
      </w:r>
      <w:r>
        <w:rPr>
          <w:sz w:val="24"/>
        </w:rPr>
        <w:t>enrollment</w:t>
      </w:r>
      <w:r>
        <w:rPr>
          <w:spacing w:val="-3"/>
          <w:sz w:val="24"/>
        </w:rPr>
        <w:t xml:space="preserve"> </w:t>
      </w:r>
      <w:r>
        <w:rPr>
          <w:sz w:val="24"/>
        </w:rPr>
        <w:t>changes</w:t>
      </w:r>
      <w:r>
        <w:rPr>
          <w:spacing w:val="-4"/>
          <w:sz w:val="24"/>
        </w:rPr>
        <w:t xml:space="preserve"> </w:t>
      </w:r>
      <w:r>
        <w:rPr>
          <w:sz w:val="24"/>
        </w:rPr>
        <w:t xml:space="preserve">are </w:t>
      </w:r>
      <w:r>
        <w:rPr>
          <w:spacing w:val="-2"/>
          <w:sz w:val="24"/>
        </w:rPr>
        <w:t>processed.</w:t>
      </w:r>
    </w:p>
    <w:p>
      <w:pPr>
        <w:pStyle w:val="BodyText"/>
        <w:spacing w:before="120"/>
      </w:pPr>
      <w:r>
        <w:t>The</w:t>
      </w:r>
      <w:r>
        <w:rPr>
          <w:spacing w:val="-4"/>
        </w:rPr>
        <w:t xml:space="preserve"> </w:t>
      </w:r>
      <w:r>
        <w:t>medical</w:t>
      </w:r>
      <w:r>
        <w:rPr>
          <w:spacing w:val="-1"/>
        </w:rPr>
        <w:t xml:space="preserve"> </w:t>
      </w:r>
      <w:r>
        <w:t>expenses</w:t>
      </w:r>
      <w:r>
        <w:rPr>
          <w:spacing w:val="-2"/>
        </w:rPr>
        <w:t xml:space="preserve"> </w:t>
      </w:r>
      <w:r>
        <w:t>in</w:t>
      </w:r>
      <w:r>
        <w:rPr>
          <w:spacing w:val="1"/>
        </w:rPr>
        <w:t xml:space="preserve"> </w:t>
      </w:r>
      <w:r>
        <w:t>Section</w:t>
      </w:r>
      <w:r>
        <w:rPr>
          <w:spacing w:val="-1"/>
        </w:rPr>
        <w:t xml:space="preserve"> </w:t>
      </w:r>
      <w:r>
        <w:t>III</w:t>
      </w:r>
      <w:r>
        <w:rPr>
          <w:spacing w:val="-1"/>
        </w:rPr>
        <w:t xml:space="preserve"> </w:t>
      </w:r>
      <w:r>
        <w:rPr>
          <w:spacing w:val="-2"/>
        </w:rPr>
        <w:t>must—</w:t>
      </w:r>
    </w:p>
    <w:p>
      <w:pPr>
        <w:pStyle w:val="ListParagraph"/>
        <w:numPr>
          <w:ilvl w:val="0"/>
          <w:numId w:val="53"/>
        </w:numPr>
        <w:tabs>
          <w:tab w:val="left" w:pos="1584"/>
        </w:tabs>
        <w:spacing w:before="120" w:after="0" w:line="240" w:lineRule="auto"/>
        <w:ind w:left="1584" w:right="2114" w:hanging="360"/>
        <w:jc w:val="left"/>
        <w:rPr>
          <w:sz w:val="24"/>
        </w:rPr>
      </w:pPr>
      <w:r>
        <w:rPr>
          <w:sz w:val="24"/>
        </w:rPr>
        <w:t>Reflect the current best estimate of incurred claims on an experience basis, including</w:t>
      </w:r>
      <w:r>
        <w:rPr>
          <w:spacing w:val="-4"/>
          <w:sz w:val="24"/>
        </w:rPr>
        <w:t xml:space="preserve"> </w:t>
      </w:r>
      <w:r>
        <w:rPr>
          <w:sz w:val="24"/>
        </w:rPr>
        <w:t>estimates</w:t>
      </w:r>
      <w:r>
        <w:rPr>
          <w:spacing w:val="-5"/>
          <w:sz w:val="24"/>
        </w:rPr>
        <w:t xml:space="preserve"> </w:t>
      </w:r>
      <w:r>
        <w:rPr>
          <w:sz w:val="24"/>
        </w:rPr>
        <w:t>of</w:t>
      </w:r>
      <w:r>
        <w:rPr>
          <w:spacing w:val="-4"/>
          <w:sz w:val="24"/>
        </w:rPr>
        <w:t xml:space="preserve"> </w:t>
      </w:r>
      <w:r>
        <w:rPr>
          <w:sz w:val="24"/>
        </w:rPr>
        <w:t>unpaid</w:t>
      </w:r>
      <w:r>
        <w:rPr>
          <w:spacing w:val="-4"/>
          <w:sz w:val="24"/>
        </w:rPr>
        <w:t xml:space="preserve"> </w:t>
      </w:r>
      <w:r>
        <w:rPr>
          <w:sz w:val="24"/>
        </w:rPr>
        <w:t>claims,</w:t>
      </w:r>
      <w:r>
        <w:rPr>
          <w:spacing w:val="-4"/>
          <w:sz w:val="24"/>
        </w:rPr>
        <w:t xml:space="preserve"> </w:t>
      </w:r>
      <w:r>
        <w:rPr>
          <w:sz w:val="24"/>
        </w:rPr>
        <w:t>but</w:t>
      </w:r>
      <w:r>
        <w:rPr>
          <w:spacing w:val="-4"/>
          <w:sz w:val="24"/>
        </w:rPr>
        <w:t xml:space="preserve"> </w:t>
      </w:r>
      <w:r>
        <w:rPr>
          <w:sz w:val="24"/>
        </w:rPr>
        <w:t>excluding</w:t>
      </w:r>
      <w:r>
        <w:rPr>
          <w:spacing w:val="-3"/>
          <w:sz w:val="24"/>
        </w:rPr>
        <w:t xml:space="preserve"> </w:t>
      </w:r>
      <w:r>
        <w:rPr>
          <w:sz w:val="24"/>
        </w:rPr>
        <w:t>any</w:t>
      </w:r>
      <w:r>
        <w:rPr>
          <w:spacing w:val="-4"/>
          <w:sz w:val="24"/>
        </w:rPr>
        <w:t xml:space="preserve"> </w:t>
      </w:r>
      <w:r>
        <w:rPr>
          <w:sz w:val="24"/>
        </w:rPr>
        <w:t>provision</w:t>
      </w:r>
      <w:r>
        <w:rPr>
          <w:spacing w:val="-4"/>
          <w:sz w:val="24"/>
        </w:rPr>
        <w:t xml:space="preserve"> </w:t>
      </w:r>
      <w:r>
        <w:rPr>
          <w:sz w:val="24"/>
        </w:rPr>
        <w:t>for</w:t>
      </w:r>
      <w:r>
        <w:rPr>
          <w:spacing w:val="-6"/>
          <w:sz w:val="24"/>
        </w:rPr>
        <w:t xml:space="preserve"> </w:t>
      </w:r>
      <w:r>
        <w:rPr>
          <w:sz w:val="24"/>
        </w:rPr>
        <w:t xml:space="preserve">adverse </w:t>
      </w:r>
      <w:r>
        <w:rPr>
          <w:spacing w:val="-2"/>
          <w:sz w:val="24"/>
        </w:rPr>
        <w:t>deviation.</w:t>
      </w:r>
    </w:p>
    <w:p>
      <w:pPr>
        <w:pStyle w:val="ListParagraph"/>
        <w:numPr>
          <w:ilvl w:val="0"/>
          <w:numId w:val="53"/>
        </w:numPr>
        <w:tabs>
          <w:tab w:val="left" w:pos="1584"/>
        </w:tabs>
        <w:spacing w:before="0" w:after="0" w:line="240" w:lineRule="auto"/>
        <w:ind w:left="1584" w:right="1653" w:hanging="360"/>
        <w:jc w:val="left"/>
        <w:rPr>
          <w:sz w:val="24"/>
        </w:rPr>
      </w:pPr>
      <w:r>
        <w:rPr>
          <w:sz w:val="24"/>
        </w:rPr>
        <w:t>Be</w:t>
      </w:r>
      <w:r>
        <w:rPr>
          <w:spacing w:val="-5"/>
          <w:sz w:val="24"/>
        </w:rPr>
        <w:t xml:space="preserve"> </w:t>
      </w:r>
      <w:r>
        <w:rPr>
          <w:sz w:val="24"/>
        </w:rPr>
        <w:t>reported</w:t>
      </w:r>
      <w:r>
        <w:rPr>
          <w:spacing w:val="-4"/>
          <w:sz w:val="24"/>
        </w:rPr>
        <w:t xml:space="preserve"> </w:t>
      </w:r>
      <w:r>
        <w:rPr>
          <w:sz w:val="24"/>
        </w:rPr>
        <w:t>on</w:t>
      </w:r>
      <w:r>
        <w:rPr>
          <w:spacing w:val="-2"/>
          <w:sz w:val="24"/>
        </w:rPr>
        <w:t xml:space="preserve"> </w:t>
      </w:r>
      <w:r>
        <w:rPr>
          <w:sz w:val="24"/>
        </w:rPr>
        <w:t>an</w:t>
      </w:r>
      <w:r>
        <w:rPr>
          <w:spacing w:val="-4"/>
          <w:sz w:val="24"/>
        </w:rPr>
        <w:t xml:space="preserve"> </w:t>
      </w:r>
      <w:r>
        <w:rPr>
          <w:sz w:val="24"/>
        </w:rPr>
        <w:t>allowable</w:t>
      </w:r>
      <w:r>
        <w:rPr>
          <w:spacing w:val="-5"/>
          <w:sz w:val="24"/>
        </w:rPr>
        <w:t xml:space="preserve"> </w:t>
      </w:r>
      <w:r>
        <w:rPr>
          <w:sz w:val="24"/>
        </w:rPr>
        <w:t>basis</w:t>
      </w:r>
      <w:r>
        <w:rPr>
          <w:spacing w:val="-4"/>
          <w:sz w:val="24"/>
        </w:rPr>
        <w:t xml:space="preserve"> </w:t>
      </w:r>
      <w:r>
        <w:rPr>
          <w:sz w:val="24"/>
        </w:rPr>
        <w:t>(before</w:t>
      </w:r>
      <w:r>
        <w:rPr>
          <w:spacing w:val="-6"/>
          <w:sz w:val="24"/>
        </w:rPr>
        <w:t xml:space="preserve"> </w:t>
      </w:r>
      <w:r>
        <w:rPr>
          <w:sz w:val="24"/>
        </w:rPr>
        <w:t>any</w:t>
      </w:r>
      <w:r>
        <w:rPr>
          <w:spacing w:val="-2"/>
          <w:sz w:val="24"/>
        </w:rPr>
        <w:t xml:space="preserve"> </w:t>
      </w:r>
      <w:r>
        <w:rPr>
          <w:sz w:val="24"/>
        </w:rPr>
        <w:t>reduction</w:t>
      </w:r>
      <w:r>
        <w:rPr>
          <w:spacing w:val="-4"/>
          <w:sz w:val="24"/>
        </w:rPr>
        <w:t xml:space="preserve"> </w:t>
      </w:r>
      <w:r>
        <w:rPr>
          <w:sz w:val="24"/>
        </w:rPr>
        <w:t>for</w:t>
      </w:r>
      <w:r>
        <w:rPr>
          <w:spacing w:val="-4"/>
          <w:sz w:val="24"/>
        </w:rPr>
        <w:t xml:space="preserve"> </w:t>
      </w:r>
      <w:r>
        <w:rPr>
          <w:sz w:val="24"/>
        </w:rPr>
        <w:t>reinsurance</w:t>
      </w:r>
      <w:r>
        <w:rPr>
          <w:spacing w:val="-3"/>
          <w:sz w:val="24"/>
        </w:rPr>
        <w:t xml:space="preserve"> </w:t>
      </w:r>
      <w:r>
        <w:rPr>
          <w:sz w:val="24"/>
        </w:rPr>
        <w:t>recoveries or cost sharing) and on a net basis.</w:t>
      </w:r>
    </w:p>
    <w:p>
      <w:pPr>
        <w:pStyle w:val="ListParagraph"/>
        <w:numPr>
          <w:ilvl w:val="0"/>
          <w:numId w:val="53"/>
        </w:numPr>
        <w:tabs>
          <w:tab w:val="left" w:pos="1584"/>
        </w:tabs>
        <w:spacing w:before="0" w:after="0" w:line="240" w:lineRule="auto"/>
        <w:ind w:left="1584" w:right="0" w:hanging="360"/>
        <w:jc w:val="left"/>
        <w:rPr>
          <w:sz w:val="24"/>
        </w:rPr>
      </w:pPr>
      <w:r>
        <w:rPr>
          <w:sz w:val="24"/>
        </w:rPr>
        <w:t>Include</w:t>
      </w:r>
      <w:r>
        <w:rPr>
          <w:spacing w:val="-2"/>
          <w:sz w:val="24"/>
        </w:rPr>
        <w:t xml:space="preserve"> </w:t>
      </w:r>
      <w:r>
        <w:rPr>
          <w:sz w:val="24"/>
        </w:rPr>
        <w:t>any</w:t>
      </w:r>
      <w:r>
        <w:rPr>
          <w:spacing w:val="-1"/>
          <w:sz w:val="24"/>
        </w:rPr>
        <w:t xml:space="preserve"> </w:t>
      </w:r>
      <w:r>
        <w:rPr>
          <w:sz w:val="24"/>
        </w:rPr>
        <w:t>provider</w:t>
      </w:r>
      <w:r>
        <w:rPr>
          <w:spacing w:val="-1"/>
          <w:sz w:val="24"/>
        </w:rPr>
        <w:t xml:space="preserve"> </w:t>
      </w:r>
      <w:r>
        <w:rPr>
          <w:sz w:val="24"/>
        </w:rPr>
        <w:t>incentive</w:t>
      </w:r>
      <w:r>
        <w:rPr>
          <w:spacing w:val="-2"/>
          <w:sz w:val="24"/>
        </w:rPr>
        <w:t xml:space="preserve"> payments.</w:t>
      </w:r>
    </w:p>
    <w:p>
      <w:pPr>
        <w:pStyle w:val="ListParagraph"/>
        <w:numPr>
          <w:ilvl w:val="0"/>
          <w:numId w:val="53"/>
        </w:numPr>
        <w:tabs>
          <w:tab w:val="left" w:pos="1584"/>
        </w:tabs>
        <w:spacing w:before="0" w:after="0" w:line="240" w:lineRule="auto"/>
        <w:ind w:left="1584" w:right="1509" w:hanging="360"/>
        <w:jc w:val="left"/>
        <w:rPr>
          <w:sz w:val="24"/>
        </w:rPr>
      </w:pPr>
      <w:r>
        <w:rPr>
          <w:sz w:val="24"/>
        </w:rPr>
        <w:t>Reflect the full level of plan cost sharing in the PBP for all enrollees including the DE# beneficiaries. See the “Dual-Eligible Beneficiaries” pricing consideration for more</w:t>
      </w:r>
      <w:r>
        <w:rPr>
          <w:spacing w:val="-6"/>
          <w:sz w:val="24"/>
        </w:rPr>
        <w:t xml:space="preserve"> </w:t>
      </w:r>
      <w:r>
        <w:rPr>
          <w:sz w:val="24"/>
        </w:rPr>
        <w:t>information</w:t>
      </w:r>
      <w:r>
        <w:rPr>
          <w:spacing w:val="-4"/>
          <w:sz w:val="24"/>
        </w:rPr>
        <w:t xml:space="preserve"> </w:t>
      </w:r>
      <w:r>
        <w:rPr>
          <w:sz w:val="24"/>
        </w:rPr>
        <w:t>about</w:t>
      </w:r>
      <w:r>
        <w:rPr>
          <w:spacing w:val="-2"/>
          <w:sz w:val="24"/>
        </w:rPr>
        <w:t xml:space="preserve"> </w:t>
      </w:r>
      <w:r>
        <w:rPr>
          <w:sz w:val="24"/>
        </w:rPr>
        <w:t>DE#</w:t>
      </w:r>
      <w:r>
        <w:rPr>
          <w:spacing w:val="-4"/>
          <w:sz w:val="24"/>
        </w:rPr>
        <w:t xml:space="preserve"> </w:t>
      </w:r>
      <w:r>
        <w:rPr>
          <w:sz w:val="24"/>
        </w:rPr>
        <w:t>beneficiaries.</w:t>
      </w:r>
      <w:r>
        <w:rPr>
          <w:spacing w:val="-2"/>
          <w:sz w:val="24"/>
        </w:rPr>
        <w:t xml:space="preserve"> </w:t>
      </w:r>
      <w:r>
        <w:rPr>
          <w:sz w:val="24"/>
        </w:rPr>
        <w:t>Include</w:t>
      </w:r>
      <w:r>
        <w:rPr>
          <w:spacing w:val="-5"/>
          <w:sz w:val="24"/>
        </w:rPr>
        <w:t xml:space="preserve"> </w:t>
      </w:r>
      <w:r>
        <w:rPr>
          <w:sz w:val="24"/>
        </w:rPr>
        <w:t>claim</w:t>
      </w:r>
      <w:r>
        <w:rPr>
          <w:spacing w:val="-4"/>
          <w:sz w:val="24"/>
        </w:rPr>
        <w:t xml:space="preserve"> </w:t>
      </w:r>
      <w:r>
        <w:rPr>
          <w:sz w:val="24"/>
        </w:rPr>
        <w:t>experience</w:t>
      </w:r>
      <w:r>
        <w:rPr>
          <w:spacing w:val="-5"/>
          <w:sz w:val="24"/>
        </w:rPr>
        <w:t xml:space="preserve"> </w:t>
      </w:r>
      <w:r>
        <w:rPr>
          <w:sz w:val="24"/>
        </w:rPr>
        <w:t>for</w:t>
      </w:r>
      <w:r>
        <w:rPr>
          <w:spacing w:val="-6"/>
          <w:sz w:val="24"/>
        </w:rPr>
        <w:t xml:space="preserve"> </w:t>
      </w:r>
      <w:r>
        <w:rPr>
          <w:sz w:val="24"/>
        </w:rPr>
        <w:t xml:space="preserve">out-of-area </w:t>
      </w:r>
      <w:r>
        <w:rPr>
          <w:spacing w:val="-2"/>
          <w:sz w:val="24"/>
        </w:rPr>
        <w:t>enrollees.</w:t>
      </w:r>
    </w:p>
    <w:p>
      <w:pPr>
        <w:pStyle w:val="ListParagraph"/>
        <w:numPr>
          <w:ilvl w:val="0"/>
          <w:numId w:val="53"/>
        </w:numPr>
        <w:tabs>
          <w:tab w:val="left" w:pos="1584"/>
        </w:tabs>
        <w:spacing w:before="1" w:after="0" w:line="240" w:lineRule="auto"/>
        <w:ind w:left="1584" w:right="1474" w:hanging="360"/>
        <w:jc w:val="left"/>
        <w:rPr>
          <w:sz w:val="24"/>
        </w:rPr>
      </w:pPr>
      <w:r>
        <w:rPr>
          <w:sz w:val="24"/>
        </w:rPr>
        <w:t>Include</w:t>
      </w:r>
      <w:r>
        <w:rPr>
          <w:spacing w:val="-3"/>
          <w:sz w:val="24"/>
        </w:rPr>
        <w:t xml:space="preserve"> </w:t>
      </w:r>
      <w:r>
        <w:rPr>
          <w:sz w:val="24"/>
        </w:rPr>
        <w:t>or</w:t>
      </w:r>
      <w:r>
        <w:rPr>
          <w:spacing w:val="-3"/>
          <w:sz w:val="24"/>
        </w:rPr>
        <w:t xml:space="preserve"> </w:t>
      </w:r>
      <w:r>
        <w:rPr>
          <w:sz w:val="24"/>
        </w:rPr>
        <w:t>exclude</w:t>
      </w:r>
      <w:r>
        <w:rPr>
          <w:spacing w:val="-2"/>
          <w:sz w:val="24"/>
        </w:rPr>
        <w:t xml:space="preserve"> </w:t>
      </w:r>
      <w:r>
        <w:rPr>
          <w:sz w:val="24"/>
        </w:rPr>
        <w:t>claim</w:t>
      </w:r>
      <w:r>
        <w:rPr>
          <w:spacing w:val="-3"/>
          <w:sz w:val="24"/>
        </w:rPr>
        <w:t xml:space="preserve"> </w:t>
      </w:r>
      <w:r>
        <w:rPr>
          <w:sz w:val="24"/>
        </w:rPr>
        <w:t>experience</w:t>
      </w:r>
      <w:r>
        <w:rPr>
          <w:spacing w:val="-4"/>
          <w:sz w:val="24"/>
        </w:rPr>
        <w:t xml:space="preserve"> </w:t>
      </w:r>
      <w:r>
        <w:rPr>
          <w:sz w:val="24"/>
        </w:rPr>
        <w:t>for</w:t>
      </w:r>
      <w:r>
        <w:rPr>
          <w:spacing w:val="-3"/>
          <w:sz w:val="24"/>
        </w:rPr>
        <w:t xml:space="preserve"> </w:t>
      </w:r>
      <w:r>
        <w:rPr>
          <w:sz w:val="24"/>
        </w:rPr>
        <w:t>hospice</w:t>
      </w:r>
      <w:r>
        <w:rPr>
          <w:spacing w:val="-2"/>
          <w:sz w:val="24"/>
        </w:rPr>
        <w:t xml:space="preserve"> </w:t>
      </w:r>
      <w:r>
        <w:rPr>
          <w:sz w:val="24"/>
        </w:rPr>
        <w:t>enrollees</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time</w:t>
      </w:r>
      <w:r>
        <w:rPr>
          <w:spacing w:val="-4"/>
          <w:sz w:val="24"/>
        </w:rPr>
        <w:t xml:space="preserve"> </w:t>
      </w:r>
      <w:r>
        <w:rPr>
          <w:sz w:val="24"/>
        </w:rPr>
        <w:t>period</w:t>
      </w:r>
      <w:r>
        <w:rPr>
          <w:spacing w:val="-3"/>
          <w:sz w:val="24"/>
        </w:rPr>
        <w:t xml:space="preserve"> </w:t>
      </w:r>
      <w:r>
        <w:rPr>
          <w:sz w:val="24"/>
        </w:rPr>
        <w:t>that</w:t>
      </w:r>
      <w:r>
        <w:rPr>
          <w:spacing w:val="-3"/>
          <w:sz w:val="24"/>
        </w:rPr>
        <w:t xml:space="preserve"> </w:t>
      </w:r>
      <w:r>
        <w:rPr>
          <w:sz w:val="24"/>
        </w:rPr>
        <w:t>an enrollee is in hospice status consistent with the development of projected allowed costs.</w:t>
      </w:r>
      <w:r>
        <w:rPr>
          <w:spacing w:val="-4"/>
          <w:sz w:val="24"/>
        </w:rPr>
        <w:t xml:space="preserve"> </w:t>
      </w:r>
      <w:r>
        <w:rPr>
          <w:sz w:val="24"/>
        </w:rPr>
        <w:t>See</w:t>
      </w:r>
      <w:r>
        <w:rPr>
          <w:spacing w:val="-5"/>
          <w:sz w:val="24"/>
        </w:rPr>
        <w:t xml:space="preserve"> </w:t>
      </w:r>
      <w:r>
        <w:rPr>
          <w:sz w:val="24"/>
        </w:rPr>
        <w:t>the</w:t>
      </w:r>
      <w:r>
        <w:rPr>
          <w:spacing w:val="-4"/>
          <w:sz w:val="24"/>
        </w:rPr>
        <w:t xml:space="preserve"> </w:t>
      </w:r>
      <w:r>
        <w:rPr>
          <w:sz w:val="24"/>
        </w:rPr>
        <w:t>“Hospice</w:t>
      </w:r>
      <w:r>
        <w:rPr>
          <w:spacing w:val="-3"/>
          <w:sz w:val="24"/>
        </w:rPr>
        <w:t xml:space="preserve"> </w:t>
      </w:r>
      <w:r>
        <w:rPr>
          <w:sz w:val="24"/>
        </w:rPr>
        <w:t>Enrollees”</w:t>
      </w:r>
      <w:r>
        <w:rPr>
          <w:spacing w:val="-5"/>
          <w:sz w:val="24"/>
        </w:rPr>
        <w:t xml:space="preserve"> </w:t>
      </w:r>
      <w:r>
        <w:rPr>
          <w:sz w:val="24"/>
        </w:rPr>
        <w:t>pricing</w:t>
      </w:r>
      <w:r>
        <w:rPr>
          <w:spacing w:val="-4"/>
          <w:sz w:val="24"/>
        </w:rPr>
        <w:t xml:space="preserve"> </w:t>
      </w:r>
      <w:r>
        <w:rPr>
          <w:sz w:val="24"/>
        </w:rPr>
        <w:t>consideration</w:t>
      </w:r>
      <w:r>
        <w:rPr>
          <w:spacing w:val="-4"/>
          <w:sz w:val="24"/>
        </w:rPr>
        <w:t xml:space="preserve"> </w:t>
      </w:r>
      <w:r>
        <w:rPr>
          <w:sz w:val="24"/>
        </w:rPr>
        <w:t>for</w:t>
      </w:r>
      <w:r>
        <w:rPr>
          <w:spacing w:val="-5"/>
          <w:sz w:val="24"/>
        </w:rPr>
        <w:t xml:space="preserve"> </w:t>
      </w:r>
      <w:r>
        <w:rPr>
          <w:sz w:val="24"/>
        </w:rPr>
        <w:t>more</w:t>
      </w:r>
      <w:r>
        <w:rPr>
          <w:spacing w:val="-5"/>
          <w:sz w:val="24"/>
        </w:rPr>
        <w:t xml:space="preserve"> </w:t>
      </w:r>
      <w:r>
        <w:rPr>
          <w:sz w:val="24"/>
        </w:rPr>
        <w:t>information</w:t>
      </w:r>
      <w:r>
        <w:rPr>
          <w:spacing w:val="-4"/>
          <w:sz w:val="24"/>
        </w:rPr>
        <w:t xml:space="preserve"> </w:t>
      </w:r>
      <w:r>
        <w:rPr>
          <w:sz w:val="24"/>
        </w:rPr>
        <w:t>about reporting base period experience.</w:t>
      </w:r>
    </w:p>
    <w:p>
      <w:pPr>
        <w:pStyle w:val="ListParagraph"/>
        <w:numPr>
          <w:ilvl w:val="0"/>
          <w:numId w:val="53"/>
        </w:numPr>
        <w:tabs>
          <w:tab w:val="left" w:pos="1584"/>
        </w:tabs>
        <w:spacing w:before="0" w:after="0" w:line="240" w:lineRule="auto"/>
        <w:ind w:left="1584" w:right="1714" w:hanging="360"/>
        <w:jc w:val="left"/>
        <w:rPr>
          <w:sz w:val="24"/>
        </w:rPr>
      </w:pPr>
      <w:r>
        <w:rPr>
          <w:sz w:val="24"/>
        </w:rPr>
        <w:t>Exclude</w:t>
      </w:r>
      <w:r>
        <w:rPr>
          <w:spacing w:val="-4"/>
          <w:sz w:val="24"/>
        </w:rPr>
        <w:t xml:space="preserve"> </w:t>
      </w:r>
      <w:r>
        <w:rPr>
          <w:sz w:val="24"/>
        </w:rPr>
        <w:t>end-stage</w:t>
      </w:r>
      <w:r>
        <w:rPr>
          <w:spacing w:val="-4"/>
          <w:sz w:val="24"/>
        </w:rPr>
        <w:t xml:space="preserve"> </w:t>
      </w:r>
      <w:r>
        <w:rPr>
          <w:sz w:val="24"/>
        </w:rPr>
        <w:t>renal</w:t>
      </w:r>
      <w:r>
        <w:rPr>
          <w:spacing w:val="-1"/>
          <w:sz w:val="24"/>
        </w:rPr>
        <w:t xml:space="preserve"> </w:t>
      </w:r>
      <w:r>
        <w:rPr>
          <w:sz w:val="24"/>
        </w:rPr>
        <w:t>disease</w:t>
      </w:r>
      <w:r>
        <w:rPr>
          <w:spacing w:val="-4"/>
          <w:sz w:val="24"/>
        </w:rPr>
        <w:t xml:space="preserve"> </w:t>
      </w:r>
      <w:r>
        <w:rPr>
          <w:sz w:val="24"/>
        </w:rPr>
        <w:t>(ESRD)</w:t>
      </w:r>
      <w:r>
        <w:rPr>
          <w:spacing w:val="-5"/>
          <w:sz w:val="24"/>
        </w:rPr>
        <w:t xml:space="preserve"> </w:t>
      </w:r>
      <w:r>
        <w:rPr>
          <w:sz w:val="24"/>
        </w:rPr>
        <w:t>claim</w:t>
      </w:r>
      <w:r>
        <w:rPr>
          <w:spacing w:val="-3"/>
          <w:sz w:val="24"/>
        </w:rPr>
        <w:t xml:space="preserve"> </w:t>
      </w:r>
      <w:r>
        <w:rPr>
          <w:sz w:val="24"/>
        </w:rPr>
        <w:t>experience</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time</w:t>
      </w:r>
      <w:r>
        <w:rPr>
          <w:spacing w:val="-4"/>
          <w:sz w:val="24"/>
        </w:rPr>
        <w:t xml:space="preserve"> </w:t>
      </w:r>
      <w:r>
        <w:rPr>
          <w:sz w:val="24"/>
        </w:rPr>
        <w:t>period</w:t>
      </w:r>
      <w:r>
        <w:rPr>
          <w:spacing w:val="-3"/>
          <w:sz w:val="24"/>
        </w:rPr>
        <w:t xml:space="preserve"> </w:t>
      </w:r>
      <w:r>
        <w:rPr>
          <w:sz w:val="24"/>
        </w:rPr>
        <w:t>that an enrollee is in ESRD status. See the “ESRD” pricing consideration for more information about determining whether an enrollee is in ESRD status.</w:t>
      </w:r>
    </w:p>
    <w:p>
      <w:pPr>
        <w:pStyle w:val="ListParagraph"/>
        <w:numPr>
          <w:ilvl w:val="0"/>
          <w:numId w:val="53"/>
        </w:numPr>
        <w:tabs>
          <w:tab w:val="left" w:pos="1584"/>
        </w:tabs>
        <w:spacing w:before="0" w:after="0" w:line="240" w:lineRule="auto"/>
        <w:ind w:left="1584" w:right="0" w:hanging="360"/>
        <w:jc w:val="left"/>
        <w:rPr>
          <w:sz w:val="24"/>
        </w:rPr>
      </w:pPr>
      <w:r>
        <w:rPr>
          <w:sz w:val="24"/>
        </w:rPr>
        <w:t>Exclude</w:t>
      </w:r>
      <w:r>
        <w:rPr>
          <w:spacing w:val="-4"/>
          <w:sz w:val="24"/>
        </w:rPr>
        <w:t xml:space="preserve"> </w:t>
      </w:r>
      <w:r>
        <w:rPr>
          <w:sz w:val="24"/>
        </w:rPr>
        <w:t>claims</w:t>
      </w:r>
      <w:r>
        <w:rPr>
          <w:spacing w:val="-2"/>
          <w:sz w:val="24"/>
        </w:rPr>
        <w:t xml:space="preserve"> </w:t>
      </w:r>
      <w:r>
        <w:rPr>
          <w:sz w:val="24"/>
        </w:rPr>
        <w:t>experience</w:t>
      </w:r>
      <w:r>
        <w:rPr>
          <w:spacing w:val="-2"/>
          <w:sz w:val="24"/>
        </w:rPr>
        <w:t xml:space="preserve"> </w:t>
      </w:r>
      <w:r>
        <w:rPr>
          <w:sz w:val="24"/>
        </w:rPr>
        <w:t>for</w:t>
      </w:r>
      <w:r>
        <w:rPr>
          <w:spacing w:val="-3"/>
          <w:sz w:val="24"/>
        </w:rPr>
        <w:t xml:space="preserve"> </w:t>
      </w:r>
      <w:r>
        <w:rPr>
          <w:sz w:val="24"/>
        </w:rPr>
        <w:t>optional</w:t>
      </w:r>
      <w:r>
        <w:rPr>
          <w:spacing w:val="-2"/>
          <w:sz w:val="24"/>
        </w:rPr>
        <w:t xml:space="preserve"> </w:t>
      </w:r>
      <w:r>
        <w:rPr>
          <w:sz w:val="24"/>
        </w:rPr>
        <w:t>supplemental</w:t>
      </w:r>
      <w:r>
        <w:rPr>
          <w:spacing w:val="-1"/>
          <w:sz w:val="24"/>
        </w:rPr>
        <w:t xml:space="preserve"> </w:t>
      </w:r>
      <w:r>
        <w:rPr>
          <w:spacing w:val="-2"/>
          <w:sz w:val="24"/>
        </w:rPr>
        <w:t>benefits.</w:t>
      </w:r>
    </w:p>
    <w:p>
      <w:pPr>
        <w:pStyle w:val="ListParagraph"/>
        <w:numPr>
          <w:ilvl w:val="0"/>
          <w:numId w:val="53"/>
        </w:numPr>
        <w:tabs>
          <w:tab w:val="left" w:pos="1584"/>
        </w:tabs>
        <w:spacing w:before="0" w:after="0" w:line="240" w:lineRule="auto"/>
        <w:ind w:left="1584" w:right="0" w:hanging="360"/>
        <w:jc w:val="left"/>
        <w:rPr>
          <w:sz w:val="24"/>
        </w:rPr>
      </w:pPr>
      <w:r>
        <w:rPr>
          <w:sz w:val="24"/>
        </w:rPr>
        <w:t>Exclude</w:t>
      </w:r>
      <w:r>
        <w:rPr>
          <w:spacing w:val="-3"/>
          <w:sz w:val="24"/>
        </w:rPr>
        <w:t xml:space="preserve"> </w:t>
      </w:r>
      <w:r>
        <w:rPr>
          <w:sz w:val="24"/>
        </w:rPr>
        <w:t>incurred</w:t>
      </w:r>
      <w:r>
        <w:rPr>
          <w:spacing w:val="-2"/>
          <w:sz w:val="24"/>
        </w:rPr>
        <w:t xml:space="preserve"> </w:t>
      </w:r>
      <w:r>
        <w:rPr>
          <w:sz w:val="24"/>
        </w:rPr>
        <w:t>claims</w:t>
      </w:r>
      <w:r>
        <w:rPr>
          <w:spacing w:val="-1"/>
          <w:sz w:val="24"/>
        </w:rPr>
        <w:t xml:space="preserve"> </w:t>
      </w:r>
      <w:r>
        <w:rPr>
          <w:sz w:val="24"/>
        </w:rPr>
        <w:t>for</w:t>
      </w:r>
      <w:r>
        <w:rPr>
          <w:spacing w:val="-4"/>
          <w:sz w:val="24"/>
        </w:rPr>
        <w:t xml:space="preserve"> </w:t>
      </w:r>
      <w:r>
        <w:rPr>
          <w:sz w:val="24"/>
        </w:rPr>
        <w:t>Medicaid</w:t>
      </w:r>
      <w:r>
        <w:rPr>
          <w:spacing w:val="-2"/>
          <w:sz w:val="24"/>
        </w:rPr>
        <w:t xml:space="preserve"> benefits.</w:t>
      </w:r>
    </w:p>
    <w:p>
      <w:pPr>
        <w:pStyle w:val="BodyText"/>
        <w:spacing w:before="120"/>
        <w:ind w:right="1481"/>
      </w:pPr>
      <w:r>
        <w:t>Section</w:t>
      </w:r>
      <w:r>
        <w:rPr>
          <w:spacing w:val="-3"/>
        </w:rPr>
        <w:t xml:space="preserve"> </w:t>
      </w:r>
      <w:r>
        <w:t>V</w:t>
      </w:r>
      <w:r>
        <w:rPr>
          <w:spacing w:val="-4"/>
        </w:rPr>
        <w:t xml:space="preserve"> </w:t>
      </w:r>
      <w:r>
        <w:t>must</w:t>
      </w:r>
      <w:r>
        <w:rPr>
          <w:spacing w:val="-3"/>
        </w:rPr>
        <w:t xml:space="preserve"> </w:t>
      </w:r>
      <w:r>
        <w:t>include</w:t>
      </w:r>
      <w:r>
        <w:rPr>
          <w:spacing w:val="-3"/>
        </w:rPr>
        <w:t xml:space="preserve"> </w:t>
      </w:r>
      <w:r>
        <w:t>experience</w:t>
      </w:r>
      <w:r>
        <w:rPr>
          <w:spacing w:val="-4"/>
        </w:rPr>
        <w:t xml:space="preserve"> </w:t>
      </w:r>
      <w:r>
        <w:t>for</w:t>
      </w:r>
      <w:r>
        <w:rPr>
          <w:spacing w:val="-2"/>
        </w:rPr>
        <w:t xml:space="preserve"> </w:t>
      </w:r>
      <w:r>
        <w:t>all</w:t>
      </w:r>
      <w:r>
        <w:rPr>
          <w:spacing w:val="-3"/>
        </w:rPr>
        <w:t xml:space="preserve"> </w:t>
      </w:r>
      <w:r>
        <w:t>enrollees</w:t>
      </w:r>
      <w:r>
        <w:rPr>
          <w:spacing w:val="-4"/>
        </w:rPr>
        <w:t xml:space="preserve"> </w:t>
      </w:r>
      <w:r>
        <w:t>(that</w:t>
      </w:r>
      <w:r>
        <w:rPr>
          <w:spacing w:val="-3"/>
        </w:rPr>
        <w:t xml:space="preserve"> </w:t>
      </w:r>
      <w:r>
        <w:t>is,</w:t>
      </w:r>
      <w:r>
        <w:rPr>
          <w:spacing w:val="-2"/>
        </w:rPr>
        <w:t xml:space="preserve"> </w:t>
      </w:r>
      <w:r>
        <w:t>it</w:t>
      </w:r>
      <w:r>
        <w:rPr>
          <w:spacing w:val="-3"/>
        </w:rPr>
        <w:t xml:space="preserve"> </w:t>
      </w:r>
      <w:r>
        <w:t>must</w:t>
      </w:r>
      <w:r>
        <w:rPr>
          <w:spacing w:val="-2"/>
        </w:rPr>
        <w:t xml:space="preserve"> </w:t>
      </w:r>
      <w:r>
        <w:t>include</w:t>
      </w:r>
      <w:r>
        <w:rPr>
          <w:spacing w:val="-7"/>
        </w:rPr>
        <w:t xml:space="preserve"> </w:t>
      </w:r>
      <w:r>
        <w:t>ESRD</w:t>
      </w:r>
      <w:r>
        <w:rPr>
          <w:spacing w:val="-4"/>
        </w:rPr>
        <w:t xml:space="preserve"> </w:t>
      </w:r>
      <w:r>
        <w:t>and</w:t>
      </w:r>
      <w:r>
        <w:rPr>
          <w:spacing w:val="-3"/>
        </w:rPr>
        <w:t xml:space="preserve"> </w:t>
      </w:r>
      <w:r>
        <w:t>hospice and out-of-area and all other enrollees). Section V excludes optional supplemental benefits.</w:t>
      </w:r>
    </w:p>
    <w:p>
      <w:pPr>
        <w:pStyle w:val="BodyText"/>
        <w:spacing w:before="1"/>
        <w:ind w:right="1481"/>
      </w:pPr>
      <w:r>
        <w:t>Section</w:t>
      </w:r>
      <w:r>
        <w:rPr>
          <w:spacing w:val="-3"/>
        </w:rPr>
        <w:t xml:space="preserve"> </w:t>
      </w:r>
      <w:r>
        <w:t>V</w:t>
      </w:r>
      <w:r>
        <w:rPr>
          <w:spacing w:val="-4"/>
        </w:rPr>
        <w:t xml:space="preserve"> </w:t>
      </w:r>
      <w:r>
        <w:t>must</w:t>
      </w:r>
      <w:r>
        <w:rPr>
          <w:spacing w:val="-2"/>
        </w:rPr>
        <w:t xml:space="preserve"> </w:t>
      </w:r>
      <w:r>
        <w:t>be</w:t>
      </w:r>
      <w:r>
        <w:rPr>
          <w:spacing w:val="-4"/>
        </w:rPr>
        <w:t xml:space="preserve"> </w:t>
      </w:r>
      <w:r>
        <w:t>completed</w:t>
      </w:r>
      <w:r>
        <w:rPr>
          <w:spacing w:val="-3"/>
        </w:rPr>
        <w:t xml:space="preserve"> </w:t>
      </w:r>
      <w:r>
        <w:t>in</w:t>
      </w:r>
      <w:r>
        <w:rPr>
          <w:spacing w:val="-3"/>
        </w:rPr>
        <w:t xml:space="preserve"> </w:t>
      </w:r>
      <w:r>
        <w:t>total</w:t>
      </w:r>
      <w:r>
        <w:rPr>
          <w:spacing w:val="-3"/>
        </w:rPr>
        <w:t xml:space="preserve"> </w:t>
      </w:r>
      <w:r>
        <w:t>dollars</w:t>
      </w:r>
      <w:r>
        <w:rPr>
          <w:spacing w:val="-4"/>
        </w:rPr>
        <w:t xml:space="preserve"> </w:t>
      </w:r>
      <w:r>
        <w:t>(not</w:t>
      </w:r>
      <w:r>
        <w:rPr>
          <w:spacing w:val="-2"/>
        </w:rPr>
        <w:t xml:space="preserve"> </w:t>
      </w:r>
      <w:r>
        <w:t>“per</w:t>
      </w:r>
      <w:r>
        <w:rPr>
          <w:spacing w:val="-3"/>
        </w:rPr>
        <w:t xml:space="preserve"> </w:t>
      </w:r>
      <w:r>
        <w:t>member</w:t>
      </w:r>
      <w:r>
        <w:rPr>
          <w:spacing w:val="-3"/>
        </w:rPr>
        <w:t xml:space="preserve"> </w:t>
      </w:r>
      <w:r>
        <w:t>per</w:t>
      </w:r>
      <w:r>
        <w:rPr>
          <w:spacing w:val="-3"/>
        </w:rPr>
        <w:t xml:space="preserve"> </w:t>
      </w:r>
      <w:r>
        <w:t>month”</w:t>
      </w:r>
      <w:r>
        <w:rPr>
          <w:spacing w:val="-2"/>
        </w:rPr>
        <w:t xml:space="preserve"> </w:t>
      </w:r>
      <w:r>
        <w:t>(PMPM)</w:t>
      </w:r>
      <w:r>
        <w:rPr>
          <w:spacing w:val="-4"/>
        </w:rPr>
        <w:t xml:space="preserve"> </w:t>
      </w:r>
      <w:r>
        <w:t>amounts). Section V must not include amounts that are entered in Worksheet 1 of the Part D BPT. (For example, do not include MA rebates applied to Part D premiums.)</w:t>
      </w:r>
    </w:p>
    <w:p>
      <w:pPr>
        <w:spacing w:before="240"/>
        <w:ind w:left="1224" w:right="0" w:firstLine="0"/>
        <w:jc w:val="left"/>
        <w:rPr>
          <w:rFonts w:ascii="Arial"/>
          <w:b/>
          <w:i/>
          <w:sz w:val="21"/>
        </w:rPr>
      </w:pPr>
      <w:bookmarkStart w:id="26" w:name="Data Aggregation"/>
      <w:bookmarkEnd w:id="26"/>
      <w:r>
        <w:rPr>
          <w:rFonts w:ascii="Arial"/>
          <w:b/>
          <w:i/>
          <w:sz w:val="21"/>
        </w:rPr>
        <w:t>Data</w:t>
      </w:r>
      <w:r>
        <w:rPr>
          <w:rFonts w:ascii="Arial"/>
          <w:b/>
          <w:i/>
          <w:spacing w:val="-6"/>
          <w:sz w:val="21"/>
        </w:rPr>
        <w:t xml:space="preserve"> </w:t>
      </w:r>
      <w:r>
        <w:rPr>
          <w:rFonts w:ascii="Arial"/>
          <w:b/>
          <w:i/>
          <w:spacing w:val="-2"/>
          <w:sz w:val="21"/>
        </w:rPr>
        <w:t>Aggregation</w:t>
      </w:r>
    </w:p>
    <w:p>
      <w:pPr>
        <w:pStyle w:val="BodyText"/>
        <w:spacing w:before="118"/>
        <w:ind w:left="1224" w:right="1481"/>
      </w:pPr>
      <w:r>
        <w:t>The</w:t>
      </w:r>
      <w:r>
        <w:rPr>
          <w:spacing w:val="-5"/>
        </w:rPr>
        <w:t xml:space="preserve"> </w:t>
      </w:r>
      <w:r>
        <w:t>requirements</w:t>
      </w:r>
      <w:r>
        <w:rPr>
          <w:spacing w:val="-4"/>
        </w:rPr>
        <w:t xml:space="preserve"> </w:t>
      </w:r>
      <w:r>
        <w:t>for</w:t>
      </w:r>
      <w:r>
        <w:rPr>
          <w:spacing w:val="-5"/>
        </w:rPr>
        <w:t xml:space="preserve"> </w:t>
      </w:r>
      <w:r>
        <w:t>reporting</w:t>
      </w:r>
      <w:r>
        <w:rPr>
          <w:spacing w:val="-2"/>
        </w:rPr>
        <w:t xml:space="preserve"> </w:t>
      </w:r>
      <w:r>
        <w:t>MA</w:t>
      </w:r>
      <w:r>
        <w:rPr>
          <w:spacing w:val="-4"/>
        </w:rPr>
        <w:t xml:space="preserve"> </w:t>
      </w:r>
      <w:r>
        <w:t>base</w:t>
      </w:r>
      <w:r>
        <w:rPr>
          <w:spacing w:val="-4"/>
        </w:rPr>
        <w:t xml:space="preserve"> </w:t>
      </w:r>
      <w:r>
        <w:t>period</w:t>
      </w:r>
      <w:r>
        <w:rPr>
          <w:spacing w:val="-3"/>
        </w:rPr>
        <w:t xml:space="preserve"> </w:t>
      </w:r>
      <w:r>
        <w:t>data</w:t>
      </w:r>
      <w:r>
        <w:rPr>
          <w:spacing w:val="-3"/>
        </w:rPr>
        <w:t xml:space="preserve"> </w:t>
      </w:r>
      <w:r>
        <w:t>due</w:t>
      </w:r>
      <w:r>
        <w:rPr>
          <w:spacing w:val="-5"/>
        </w:rPr>
        <w:t xml:space="preserve"> </w:t>
      </w:r>
      <w:r>
        <w:t>to</w:t>
      </w:r>
      <w:r>
        <w:rPr>
          <w:spacing w:val="-3"/>
        </w:rPr>
        <w:t xml:space="preserve"> </w:t>
      </w:r>
      <w:r>
        <w:t>crosswalks</w:t>
      </w:r>
      <w:r>
        <w:rPr>
          <w:spacing w:val="-4"/>
        </w:rPr>
        <w:t xml:space="preserve"> </w:t>
      </w:r>
      <w:r>
        <w:t>and</w:t>
      </w:r>
      <w:r>
        <w:rPr>
          <w:spacing w:val="-1"/>
        </w:rPr>
        <w:t xml:space="preserve"> </w:t>
      </w:r>
      <w:r>
        <w:t>enrollment shifts are described in Rule 1 through Rule 4 at the end of this section. These rules</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left="1224" w:right="1481"/>
      </w:pPr>
      <w:r>
        <w:t>apply</w:t>
      </w:r>
      <w:r>
        <w:rPr>
          <w:spacing w:val="-4"/>
        </w:rPr>
        <w:t xml:space="preserve"> </w:t>
      </w:r>
      <w:r>
        <w:t>to</w:t>
      </w:r>
      <w:r>
        <w:rPr>
          <w:spacing w:val="-4"/>
        </w:rPr>
        <w:t xml:space="preserve"> </w:t>
      </w:r>
      <w:r>
        <w:t>crosswalk</w:t>
      </w:r>
      <w:r>
        <w:rPr>
          <w:spacing w:val="-4"/>
        </w:rPr>
        <w:t xml:space="preserve"> </w:t>
      </w:r>
      <w:r>
        <w:t>and</w:t>
      </w:r>
      <w:r>
        <w:rPr>
          <w:spacing w:val="-3"/>
        </w:rPr>
        <w:t xml:space="preserve"> </w:t>
      </w:r>
      <w:r>
        <w:t>enrollment</w:t>
      </w:r>
      <w:r>
        <w:rPr>
          <w:spacing w:val="-4"/>
        </w:rPr>
        <w:t xml:space="preserve"> </w:t>
      </w:r>
      <w:r>
        <w:t>shifts</w:t>
      </w:r>
      <w:r>
        <w:rPr>
          <w:spacing w:val="-5"/>
        </w:rPr>
        <w:t xml:space="preserve"> </w:t>
      </w:r>
      <w:r>
        <w:t>between</w:t>
      </w:r>
      <w:r>
        <w:rPr>
          <w:spacing w:val="-2"/>
        </w:rPr>
        <w:t xml:space="preserve"> </w:t>
      </w:r>
      <w:r>
        <w:t>segments</w:t>
      </w:r>
      <w:r>
        <w:rPr>
          <w:spacing w:val="-5"/>
        </w:rPr>
        <w:t xml:space="preserve"> </w:t>
      </w:r>
      <w:r>
        <w:t>and</w:t>
      </w:r>
      <w:r>
        <w:rPr>
          <w:spacing w:val="-4"/>
        </w:rPr>
        <w:t xml:space="preserve"> </w:t>
      </w:r>
      <w:r>
        <w:t>depend</w:t>
      </w:r>
      <w:r>
        <w:rPr>
          <w:spacing w:val="-4"/>
        </w:rPr>
        <w:t xml:space="preserve"> </w:t>
      </w:r>
      <w:r>
        <w:t>on</w:t>
      </w:r>
      <w:r>
        <w:rPr>
          <w:spacing w:val="-2"/>
        </w:rPr>
        <w:t xml:space="preserve"> </w:t>
      </w:r>
      <w:r>
        <w:t>the</w:t>
      </w:r>
      <w:r>
        <w:rPr>
          <w:spacing w:val="-4"/>
        </w:rPr>
        <w:t xml:space="preserve"> </w:t>
      </w:r>
      <w:r>
        <w:t>factors described below. Note that MA data exclude data for Section 1876 cost plans.</w:t>
      </w:r>
    </w:p>
    <w:p>
      <w:pPr>
        <w:pStyle w:val="ListParagraph"/>
        <w:numPr>
          <w:ilvl w:val="1"/>
          <w:numId w:val="53"/>
        </w:numPr>
        <w:tabs>
          <w:tab w:val="left" w:pos="1944"/>
        </w:tabs>
        <w:spacing w:before="120" w:after="0" w:line="240" w:lineRule="auto"/>
        <w:ind w:left="1944" w:right="0" w:hanging="360"/>
        <w:jc w:val="left"/>
        <w:rPr>
          <w:sz w:val="24"/>
        </w:rPr>
      </w:pPr>
      <w:r>
        <w:rPr>
          <w:sz w:val="24"/>
        </w:rPr>
        <w:t>How</w:t>
      </w:r>
      <w:r>
        <w:rPr>
          <w:spacing w:val="-3"/>
          <w:sz w:val="24"/>
        </w:rPr>
        <w:t xml:space="preserve"> </w:t>
      </w:r>
      <w:r>
        <w:rPr>
          <w:sz w:val="24"/>
        </w:rPr>
        <w:t>enrollment</w:t>
      </w:r>
      <w:r>
        <w:rPr>
          <w:spacing w:val="-1"/>
          <w:sz w:val="24"/>
        </w:rPr>
        <w:t xml:space="preserve"> </w:t>
      </w:r>
      <w:r>
        <w:rPr>
          <w:sz w:val="24"/>
        </w:rPr>
        <w:t>changes are</w:t>
      </w:r>
      <w:r>
        <w:rPr>
          <w:spacing w:val="-3"/>
          <w:sz w:val="24"/>
        </w:rPr>
        <w:t xml:space="preserve"> </w:t>
      </w:r>
      <w:r>
        <w:rPr>
          <w:spacing w:val="-2"/>
          <w:sz w:val="24"/>
        </w:rPr>
        <w:t>processed.</w:t>
      </w:r>
    </w:p>
    <w:p>
      <w:pPr>
        <w:pStyle w:val="ListParagraph"/>
        <w:numPr>
          <w:ilvl w:val="2"/>
          <w:numId w:val="53"/>
        </w:numPr>
        <w:tabs>
          <w:tab w:val="left" w:pos="2304"/>
        </w:tabs>
        <w:spacing w:before="0" w:after="0" w:line="240" w:lineRule="auto"/>
        <w:ind w:left="2304" w:right="1599" w:hanging="360"/>
        <w:jc w:val="left"/>
        <w:rPr>
          <w:sz w:val="24"/>
        </w:rPr>
      </w:pPr>
      <w:r>
        <w:rPr>
          <w:sz w:val="24"/>
        </w:rPr>
        <w:t>In these Instructions, the term “formal crosswalk” refers to the crosswalk process</w:t>
      </w:r>
      <w:r>
        <w:rPr>
          <w:spacing w:val="-5"/>
          <w:sz w:val="24"/>
        </w:rPr>
        <w:t xml:space="preserve"> </w:t>
      </w:r>
      <w:r>
        <w:rPr>
          <w:sz w:val="24"/>
        </w:rPr>
        <w:t>submitted</w:t>
      </w:r>
      <w:r>
        <w:rPr>
          <w:spacing w:val="-4"/>
          <w:sz w:val="24"/>
        </w:rPr>
        <w:t xml:space="preserve"> </w:t>
      </w:r>
      <w:r>
        <w:rPr>
          <w:sz w:val="24"/>
        </w:rPr>
        <w:t>in</w:t>
      </w:r>
      <w:r>
        <w:rPr>
          <w:spacing w:val="-4"/>
          <w:sz w:val="24"/>
        </w:rPr>
        <w:t xml:space="preserve"> </w:t>
      </w:r>
      <w:r>
        <w:rPr>
          <w:sz w:val="24"/>
        </w:rPr>
        <w:t>HPMS</w:t>
      </w:r>
      <w:r>
        <w:rPr>
          <w:spacing w:val="-2"/>
          <w:sz w:val="24"/>
        </w:rPr>
        <w:t xml:space="preserve"> </w:t>
      </w:r>
      <w:r>
        <w:rPr>
          <w:sz w:val="24"/>
        </w:rPr>
        <w:t>for</w:t>
      </w:r>
      <w:r>
        <w:rPr>
          <w:spacing w:val="-6"/>
          <w:sz w:val="24"/>
        </w:rPr>
        <w:t xml:space="preserve"> </w:t>
      </w:r>
      <w:r>
        <w:rPr>
          <w:sz w:val="24"/>
        </w:rPr>
        <w:t>non-segmented</w:t>
      </w:r>
      <w:r>
        <w:rPr>
          <w:spacing w:val="-5"/>
          <w:sz w:val="24"/>
        </w:rPr>
        <w:t xml:space="preserve"> </w:t>
      </w:r>
      <w:r>
        <w:rPr>
          <w:sz w:val="24"/>
        </w:rPr>
        <w:t>plan</w:t>
      </w:r>
      <w:r>
        <w:rPr>
          <w:spacing w:val="-4"/>
          <w:sz w:val="24"/>
        </w:rPr>
        <w:t xml:space="preserve"> </w:t>
      </w:r>
      <w:r>
        <w:rPr>
          <w:sz w:val="24"/>
        </w:rPr>
        <w:t>consolidations</w:t>
      </w:r>
      <w:r>
        <w:rPr>
          <w:spacing w:val="-5"/>
          <w:sz w:val="24"/>
        </w:rPr>
        <w:t xml:space="preserve"> </w:t>
      </w:r>
      <w:r>
        <w:rPr>
          <w:sz w:val="24"/>
        </w:rPr>
        <w:t>(that</w:t>
      </w:r>
      <w:r>
        <w:rPr>
          <w:spacing w:val="-4"/>
          <w:sz w:val="24"/>
        </w:rPr>
        <w:t xml:space="preserve"> </w:t>
      </w:r>
      <w:r>
        <w:rPr>
          <w:sz w:val="24"/>
        </w:rPr>
        <w:t>is, consolidated renewals), whereby members are automatically moved from one bid to another. Without an HPMS crosswalk in place, members are disenrolled</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terminating plan</w:t>
      </w:r>
      <w:r>
        <w:rPr>
          <w:spacing w:val="-2"/>
          <w:sz w:val="24"/>
        </w:rPr>
        <w:t xml:space="preserve"> </w:t>
      </w:r>
      <w:r>
        <w:rPr>
          <w:sz w:val="24"/>
        </w:rPr>
        <w:t>and</w:t>
      </w:r>
      <w:r>
        <w:rPr>
          <w:spacing w:val="-1"/>
          <w:sz w:val="24"/>
        </w:rPr>
        <w:t xml:space="preserve"> </w:t>
      </w:r>
      <w:r>
        <w:rPr>
          <w:sz w:val="24"/>
        </w:rPr>
        <w:t>must</w:t>
      </w:r>
      <w:r>
        <w:rPr>
          <w:spacing w:val="-1"/>
          <w:sz w:val="24"/>
        </w:rPr>
        <w:t xml:space="preserve"> </w:t>
      </w:r>
      <w:r>
        <w:rPr>
          <w:sz w:val="24"/>
        </w:rPr>
        <w:t>actively</w:t>
      </w:r>
      <w:r>
        <w:rPr>
          <w:spacing w:val="-1"/>
          <w:sz w:val="24"/>
        </w:rPr>
        <w:t xml:space="preserve"> </w:t>
      </w:r>
      <w:r>
        <w:rPr>
          <w:sz w:val="24"/>
        </w:rPr>
        <w:t>select</w:t>
      </w:r>
      <w:r>
        <w:rPr>
          <w:spacing w:val="-1"/>
          <w:sz w:val="24"/>
        </w:rPr>
        <w:t xml:space="preserve"> </w:t>
      </w:r>
      <w:r>
        <w:rPr>
          <w:sz w:val="24"/>
        </w:rPr>
        <w:t>to</w:t>
      </w:r>
      <w:r>
        <w:rPr>
          <w:spacing w:val="-1"/>
          <w:sz w:val="24"/>
        </w:rPr>
        <w:t xml:space="preserve"> </w:t>
      </w:r>
      <w:r>
        <w:rPr>
          <w:sz w:val="24"/>
        </w:rPr>
        <w:t>enroll</w:t>
      </w:r>
      <w:r>
        <w:rPr>
          <w:spacing w:val="-1"/>
          <w:sz w:val="24"/>
        </w:rPr>
        <w:t xml:space="preserve"> </w:t>
      </w:r>
      <w:r>
        <w:rPr>
          <w:sz w:val="24"/>
        </w:rPr>
        <w:t>in</w:t>
      </w:r>
      <w:r>
        <w:rPr>
          <w:spacing w:val="-1"/>
          <w:sz w:val="24"/>
        </w:rPr>
        <w:t xml:space="preserve"> </w:t>
      </w:r>
      <w:r>
        <w:rPr>
          <w:sz w:val="24"/>
        </w:rPr>
        <w:t>a new plan of their choosing.</w:t>
      </w:r>
    </w:p>
    <w:p>
      <w:pPr>
        <w:pStyle w:val="ListParagraph"/>
        <w:numPr>
          <w:ilvl w:val="2"/>
          <w:numId w:val="53"/>
        </w:numPr>
        <w:tabs>
          <w:tab w:val="left" w:pos="2304"/>
        </w:tabs>
        <w:spacing w:before="0" w:after="0" w:line="240" w:lineRule="auto"/>
        <w:ind w:left="2304" w:right="1443" w:hanging="360"/>
        <w:jc w:val="left"/>
        <w:rPr>
          <w:sz w:val="24"/>
        </w:rPr>
      </w:pPr>
      <w:r>
        <w:rPr>
          <w:sz w:val="24"/>
        </w:rPr>
        <w:t>Medicare</w:t>
      </w:r>
      <w:r>
        <w:rPr>
          <w:spacing w:val="-2"/>
          <w:sz w:val="24"/>
        </w:rPr>
        <w:t xml:space="preserve"> </w:t>
      </w:r>
      <w:r>
        <w:rPr>
          <w:sz w:val="24"/>
        </w:rPr>
        <w:t>Advantage</w:t>
      </w:r>
      <w:r>
        <w:rPr>
          <w:spacing w:val="-2"/>
          <w:sz w:val="24"/>
        </w:rPr>
        <w:t xml:space="preserve"> </w:t>
      </w:r>
      <w:r>
        <w:rPr>
          <w:sz w:val="24"/>
        </w:rPr>
        <w:t>and Prescription</w:t>
      </w:r>
      <w:r>
        <w:rPr>
          <w:spacing w:val="-1"/>
          <w:sz w:val="24"/>
        </w:rPr>
        <w:t xml:space="preserve"> </w:t>
      </w:r>
      <w:r>
        <w:rPr>
          <w:sz w:val="24"/>
        </w:rPr>
        <w:t>Drug</w:t>
      </w:r>
      <w:r>
        <w:rPr>
          <w:spacing w:val="-1"/>
          <w:sz w:val="24"/>
        </w:rPr>
        <w:t xml:space="preserve"> </w:t>
      </w:r>
      <w:r>
        <w:rPr>
          <w:sz w:val="24"/>
        </w:rPr>
        <w:t>(MARx)</w:t>
      </w:r>
      <w:r>
        <w:rPr>
          <w:spacing w:val="-2"/>
          <w:sz w:val="24"/>
        </w:rPr>
        <w:t xml:space="preserve"> </w:t>
      </w:r>
      <w:r>
        <w:rPr>
          <w:sz w:val="24"/>
        </w:rPr>
        <w:t>enrollment</w:t>
      </w:r>
      <w:r>
        <w:rPr>
          <w:spacing w:val="-1"/>
          <w:sz w:val="24"/>
        </w:rPr>
        <w:t xml:space="preserve"> </w:t>
      </w:r>
      <w:r>
        <w:rPr>
          <w:sz w:val="24"/>
        </w:rPr>
        <w:t>transactions are</w:t>
      </w:r>
      <w:r>
        <w:rPr>
          <w:spacing w:val="-3"/>
          <w:sz w:val="24"/>
        </w:rPr>
        <w:t xml:space="preserve"> </w:t>
      </w:r>
      <w:r>
        <w:rPr>
          <w:sz w:val="24"/>
        </w:rPr>
        <w:t>used</w:t>
      </w:r>
      <w:r>
        <w:rPr>
          <w:spacing w:val="-1"/>
          <w:sz w:val="24"/>
        </w:rPr>
        <w:t xml:space="preserve"> </w:t>
      </w:r>
      <w:r>
        <w:rPr>
          <w:sz w:val="24"/>
        </w:rPr>
        <w:t>to automatically</w:t>
      </w:r>
      <w:r>
        <w:rPr>
          <w:spacing w:val="-1"/>
          <w:sz w:val="24"/>
        </w:rPr>
        <w:t xml:space="preserve"> </w:t>
      </w:r>
      <w:r>
        <w:rPr>
          <w:sz w:val="24"/>
        </w:rPr>
        <w:t>move</w:t>
      </w:r>
      <w:r>
        <w:rPr>
          <w:spacing w:val="-1"/>
          <w:sz w:val="24"/>
        </w:rPr>
        <w:t xml:space="preserve"> </w:t>
      </w:r>
      <w:r>
        <w:rPr>
          <w:sz w:val="24"/>
        </w:rPr>
        <w:t>members</w:t>
      </w:r>
      <w:r>
        <w:rPr>
          <w:spacing w:val="-2"/>
          <w:sz w:val="24"/>
        </w:rPr>
        <w:t xml:space="preserve"> </w:t>
      </w:r>
      <w:r>
        <w:rPr>
          <w:sz w:val="24"/>
        </w:rPr>
        <w:t>from</w:t>
      </w:r>
      <w:r>
        <w:rPr>
          <w:spacing w:val="-1"/>
          <w:sz w:val="24"/>
        </w:rPr>
        <w:t xml:space="preserve"> </w:t>
      </w:r>
      <w:r>
        <w:rPr>
          <w:sz w:val="24"/>
        </w:rPr>
        <w:t>one bid</w:t>
      </w:r>
      <w:r>
        <w:rPr>
          <w:spacing w:val="-1"/>
          <w:sz w:val="24"/>
        </w:rPr>
        <w:t xml:space="preserve"> </w:t>
      </w:r>
      <w:r>
        <w:rPr>
          <w:sz w:val="24"/>
        </w:rPr>
        <w:t>to</w:t>
      </w:r>
      <w:r>
        <w:rPr>
          <w:spacing w:val="-1"/>
          <w:sz w:val="24"/>
        </w:rPr>
        <w:t xml:space="preserve"> </w:t>
      </w:r>
      <w:r>
        <w:rPr>
          <w:sz w:val="24"/>
        </w:rPr>
        <w:t>another,</w:t>
      </w:r>
      <w:r>
        <w:rPr>
          <w:spacing w:val="-1"/>
          <w:sz w:val="24"/>
        </w:rPr>
        <w:t xml:space="preserve"> </w:t>
      </w:r>
      <w:r>
        <w:rPr>
          <w:sz w:val="24"/>
        </w:rPr>
        <w:t>or</w:t>
      </w:r>
      <w:r>
        <w:rPr>
          <w:spacing w:val="-1"/>
          <w:sz w:val="24"/>
        </w:rPr>
        <w:t xml:space="preserve"> </w:t>
      </w:r>
      <w:r>
        <w:rPr>
          <w:sz w:val="24"/>
        </w:rPr>
        <w:t>to</w:t>
      </w:r>
      <w:r>
        <w:rPr>
          <w:spacing w:val="-1"/>
          <w:sz w:val="24"/>
        </w:rPr>
        <w:t xml:space="preserve"> </w:t>
      </w:r>
      <w:r>
        <w:rPr>
          <w:sz w:val="24"/>
        </w:rPr>
        <w:t>other bids—for example, when the service area of one or more segments is redefined. Note that in some cases, an approved crosswalk is required, such as</w:t>
      </w:r>
      <w:r>
        <w:rPr>
          <w:spacing w:val="-4"/>
          <w:sz w:val="24"/>
        </w:rPr>
        <w:t xml:space="preserve"> </w:t>
      </w:r>
      <w:r>
        <w:rPr>
          <w:sz w:val="24"/>
        </w:rPr>
        <w:t>when</w:t>
      </w:r>
      <w:r>
        <w:rPr>
          <w:spacing w:val="-4"/>
          <w:sz w:val="24"/>
        </w:rPr>
        <w:t xml:space="preserve"> </w:t>
      </w:r>
      <w:r>
        <w:rPr>
          <w:sz w:val="24"/>
        </w:rPr>
        <w:t>the</w:t>
      </w:r>
      <w:r>
        <w:rPr>
          <w:spacing w:val="-4"/>
          <w:sz w:val="24"/>
        </w:rPr>
        <w:t xml:space="preserve"> </w:t>
      </w:r>
      <w:r>
        <w:rPr>
          <w:sz w:val="24"/>
        </w:rPr>
        <w:t>service</w:t>
      </w:r>
      <w:r>
        <w:rPr>
          <w:spacing w:val="-3"/>
          <w:sz w:val="24"/>
        </w:rPr>
        <w:t xml:space="preserve"> </w:t>
      </w:r>
      <w:r>
        <w:rPr>
          <w:sz w:val="24"/>
        </w:rPr>
        <w:t>area</w:t>
      </w:r>
      <w:r>
        <w:rPr>
          <w:spacing w:val="-3"/>
          <w:sz w:val="24"/>
        </w:rPr>
        <w:t xml:space="preserve"> </w:t>
      </w:r>
      <w:r>
        <w:rPr>
          <w:sz w:val="24"/>
        </w:rPr>
        <w:t>of</w:t>
      </w:r>
      <w:r>
        <w:rPr>
          <w:spacing w:val="-4"/>
          <w:sz w:val="24"/>
        </w:rPr>
        <w:t xml:space="preserve"> </w:t>
      </w:r>
      <w:r>
        <w:rPr>
          <w:sz w:val="24"/>
        </w:rPr>
        <w:t>one</w:t>
      </w:r>
      <w:r>
        <w:rPr>
          <w:spacing w:val="-5"/>
          <w:sz w:val="24"/>
        </w:rPr>
        <w:t xml:space="preserve"> </w:t>
      </w:r>
      <w:r>
        <w:rPr>
          <w:sz w:val="24"/>
        </w:rPr>
        <w:t>or</w:t>
      </w:r>
      <w:r>
        <w:rPr>
          <w:spacing w:val="-4"/>
          <w:sz w:val="24"/>
        </w:rPr>
        <w:t xml:space="preserve"> </w:t>
      </w:r>
      <w:r>
        <w:rPr>
          <w:sz w:val="24"/>
        </w:rPr>
        <w:t>more</w:t>
      </w:r>
      <w:r>
        <w:rPr>
          <w:spacing w:val="-3"/>
          <w:sz w:val="24"/>
        </w:rPr>
        <w:t xml:space="preserve"> </w:t>
      </w:r>
      <w:r>
        <w:rPr>
          <w:sz w:val="24"/>
        </w:rPr>
        <w:t>non-segmented</w:t>
      </w:r>
      <w:r>
        <w:rPr>
          <w:spacing w:val="-4"/>
          <w:sz w:val="24"/>
        </w:rPr>
        <w:t xml:space="preserve"> </w:t>
      </w:r>
      <w:r>
        <w:rPr>
          <w:sz w:val="24"/>
        </w:rPr>
        <w:t>plans</w:t>
      </w:r>
      <w:r>
        <w:rPr>
          <w:spacing w:val="-3"/>
          <w:sz w:val="24"/>
        </w:rPr>
        <w:t xml:space="preserve"> </w:t>
      </w:r>
      <w:r>
        <w:rPr>
          <w:sz w:val="24"/>
        </w:rPr>
        <w:t>is</w:t>
      </w:r>
      <w:r>
        <w:rPr>
          <w:spacing w:val="-5"/>
          <w:sz w:val="24"/>
        </w:rPr>
        <w:t xml:space="preserve"> </w:t>
      </w:r>
      <w:r>
        <w:rPr>
          <w:sz w:val="24"/>
        </w:rPr>
        <w:t>redefined.</w:t>
      </w:r>
      <w:r>
        <w:rPr>
          <w:spacing w:val="-2"/>
          <w:sz w:val="24"/>
        </w:rPr>
        <w:t xml:space="preserve"> </w:t>
      </w:r>
      <w:r>
        <w:rPr>
          <w:sz w:val="24"/>
        </w:rPr>
        <w:t>In this situation, without an approved crosswalk in place, members in the affected counties must actively select to enroll in a bid of their choosing.</w:t>
      </w:r>
    </w:p>
    <w:p>
      <w:pPr>
        <w:pStyle w:val="ListParagraph"/>
        <w:numPr>
          <w:ilvl w:val="1"/>
          <w:numId w:val="53"/>
        </w:numPr>
        <w:tabs>
          <w:tab w:val="left" w:pos="1944"/>
        </w:tabs>
        <w:spacing w:before="1" w:after="0" w:line="240" w:lineRule="auto"/>
        <w:ind w:left="1944" w:right="1445" w:hanging="360"/>
        <w:jc w:val="left"/>
        <w:rPr>
          <w:sz w:val="24"/>
        </w:rPr>
      </w:pPr>
      <w:r>
        <w:rPr>
          <w:sz w:val="24"/>
        </w:rPr>
        <w:t>Whether or not members who are crosswalked or moved to a bid via MARx transactions are disenrolled from that bid the following year via MARx transactions—a</w:t>
      </w:r>
      <w:r>
        <w:rPr>
          <w:spacing w:val="-5"/>
          <w:sz w:val="24"/>
        </w:rPr>
        <w:t xml:space="preserve"> </w:t>
      </w:r>
      <w:r>
        <w:rPr>
          <w:sz w:val="24"/>
        </w:rPr>
        <w:t>situation</w:t>
      </w:r>
      <w:r>
        <w:rPr>
          <w:spacing w:val="-2"/>
          <w:sz w:val="24"/>
        </w:rPr>
        <w:t xml:space="preserve"> </w:t>
      </w:r>
      <w:r>
        <w:rPr>
          <w:sz w:val="24"/>
        </w:rPr>
        <w:t>in</w:t>
      </w:r>
      <w:r>
        <w:rPr>
          <w:spacing w:val="-4"/>
          <w:sz w:val="24"/>
        </w:rPr>
        <w:t xml:space="preserve"> </w:t>
      </w:r>
      <w:r>
        <w:rPr>
          <w:sz w:val="24"/>
        </w:rPr>
        <w:t>which</w:t>
      </w:r>
      <w:r>
        <w:rPr>
          <w:spacing w:val="-4"/>
          <w:sz w:val="24"/>
        </w:rPr>
        <w:t xml:space="preserve"> </w:t>
      </w:r>
      <w:r>
        <w:rPr>
          <w:sz w:val="24"/>
        </w:rPr>
        <w:t>Rule</w:t>
      </w:r>
      <w:r>
        <w:rPr>
          <w:spacing w:val="-4"/>
          <w:sz w:val="24"/>
        </w:rPr>
        <w:t xml:space="preserve"> </w:t>
      </w:r>
      <w:r>
        <w:rPr>
          <w:sz w:val="24"/>
        </w:rPr>
        <w:t>4</w:t>
      </w:r>
      <w:r>
        <w:rPr>
          <w:spacing w:val="-4"/>
          <w:sz w:val="24"/>
        </w:rPr>
        <w:t xml:space="preserve"> </w:t>
      </w:r>
      <w:r>
        <w:rPr>
          <w:sz w:val="24"/>
        </w:rPr>
        <w:t>–</w:t>
      </w:r>
      <w:r>
        <w:rPr>
          <w:spacing w:val="-4"/>
          <w:sz w:val="24"/>
        </w:rPr>
        <w:t xml:space="preserve"> </w:t>
      </w:r>
      <w:r>
        <w:rPr>
          <w:sz w:val="24"/>
        </w:rPr>
        <w:t>Two-Year</w:t>
      </w:r>
      <w:r>
        <w:rPr>
          <w:spacing w:val="-4"/>
          <w:sz w:val="24"/>
        </w:rPr>
        <w:t xml:space="preserve"> </w:t>
      </w:r>
      <w:r>
        <w:rPr>
          <w:sz w:val="24"/>
        </w:rPr>
        <w:t>Perspective</w:t>
      </w:r>
      <w:r>
        <w:rPr>
          <w:spacing w:val="-2"/>
          <w:sz w:val="24"/>
        </w:rPr>
        <w:t xml:space="preserve"> </w:t>
      </w:r>
      <w:r>
        <w:rPr>
          <w:sz w:val="24"/>
        </w:rPr>
        <w:t>applies.</w:t>
      </w:r>
      <w:r>
        <w:rPr>
          <w:spacing w:val="-2"/>
          <w:sz w:val="24"/>
        </w:rPr>
        <w:t xml:space="preserve"> </w:t>
      </w:r>
      <w:r>
        <w:rPr>
          <w:sz w:val="24"/>
        </w:rPr>
        <w:t>(Note that the disenrollment of members from a bid, in itself, is not a factor; a disenrollment must be preceded by a crosswalk for the previous year.)</w:t>
      </w:r>
    </w:p>
    <w:p>
      <w:pPr>
        <w:pStyle w:val="ListParagraph"/>
        <w:numPr>
          <w:ilvl w:val="1"/>
          <w:numId w:val="53"/>
        </w:numPr>
        <w:tabs>
          <w:tab w:val="left" w:pos="1944"/>
        </w:tabs>
        <w:spacing w:before="0" w:after="0" w:line="240" w:lineRule="auto"/>
        <w:ind w:left="1944" w:right="1573" w:hanging="360"/>
        <w:jc w:val="left"/>
        <w:rPr>
          <w:sz w:val="24"/>
        </w:rPr>
      </w:pPr>
      <w:r>
        <w:rPr>
          <w:sz w:val="24"/>
        </w:rPr>
        <w:t>Whether or not enrollment changes that are processed via MARx enrollment transactions</w:t>
      </w:r>
      <w:r>
        <w:rPr>
          <w:spacing w:val="-4"/>
          <w:sz w:val="24"/>
        </w:rPr>
        <w:t xml:space="preserve"> </w:t>
      </w:r>
      <w:r>
        <w:rPr>
          <w:sz w:val="24"/>
        </w:rPr>
        <w:t>apply</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significant</w:t>
      </w:r>
      <w:r>
        <w:rPr>
          <w:spacing w:val="-2"/>
          <w:sz w:val="24"/>
        </w:rPr>
        <w:t xml:space="preserve"> </w:t>
      </w:r>
      <w:r>
        <w:rPr>
          <w:sz w:val="24"/>
        </w:rPr>
        <w:t>proportion</w:t>
      </w:r>
      <w:r>
        <w:rPr>
          <w:spacing w:val="-3"/>
          <w:sz w:val="24"/>
        </w:rPr>
        <w:t xml:space="preserve"> </w:t>
      </w:r>
      <w:r>
        <w:rPr>
          <w:sz w:val="24"/>
        </w:rPr>
        <w:t>of</w:t>
      </w:r>
      <w:r>
        <w:rPr>
          <w:spacing w:val="-3"/>
          <w:sz w:val="24"/>
        </w:rPr>
        <w:t xml:space="preserve"> </w:t>
      </w:r>
      <w:r>
        <w:rPr>
          <w:sz w:val="24"/>
        </w:rPr>
        <w:t>members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bid</w:t>
      </w:r>
      <w:r>
        <w:rPr>
          <w:spacing w:val="-3"/>
          <w:sz w:val="24"/>
        </w:rPr>
        <w:t xml:space="preserve"> </w:t>
      </w:r>
      <w:r>
        <w:rPr>
          <w:sz w:val="24"/>
        </w:rPr>
        <w:t>from</w:t>
      </w:r>
      <w:r>
        <w:rPr>
          <w:spacing w:val="-3"/>
          <w:sz w:val="24"/>
        </w:rPr>
        <w:t xml:space="preserve"> </w:t>
      </w:r>
      <w:r>
        <w:rPr>
          <w:sz w:val="24"/>
        </w:rPr>
        <w:t xml:space="preserve">which the members are moving— a situation in which Rule 2 – Enrollment Shifts </w:t>
      </w:r>
      <w:r>
        <w:rPr>
          <w:spacing w:val="-2"/>
          <w:sz w:val="24"/>
        </w:rPr>
        <w:t>applies.</w:t>
      </w:r>
    </w:p>
    <w:p>
      <w:pPr>
        <w:pStyle w:val="BodyText"/>
        <w:spacing w:before="121"/>
        <w:ind w:left="1224" w:right="1481"/>
      </w:pPr>
      <w:r>
        <w:t>The</w:t>
      </w:r>
      <w:r>
        <w:rPr>
          <w:spacing w:val="-5"/>
        </w:rPr>
        <w:t xml:space="preserve"> </w:t>
      </w:r>
      <w:r>
        <w:t>threshold</w:t>
      </w:r>
      <w:r>
        <w:rPr>
          <w:spacing w:val="-3"/>
        </w:rPr>
        <w:t xml:space="preserve"> </w:t>
      </w:r>
      <w:r>
        <w:t>(that</w:t>
      </w:r>
      <w:r>
        <w:rPr>
          <w:spacing w:val="-3"/>
        </w:rPr>
        <w:t xml:space="preserve"> </w:t>
      </w:r>
      <w:r>
        <w:t>is,</w:t>
      </w:r>
      <w:r>
        <w:rPr>
          <w:spacing w:val="-3"/>
        </w:rPr>
        <w:t xml:space="preserve"> </w:t>
      </w:r>
      <w:r>
        <w:t>the</w:t>
      </w:r>
      <w:r>
        <w:rPr>
          <w:spacing w:val="-3"/>
        </w:rPr>
        <w:t xml:space="preserve"> </w:t>
      </w:r>
      <w:r>
        <w:t>level</w:t>
      </w:r>
      <w:r>
        <w:rPr>
          <w:spacing w:val="-3"/>
        </w:rPr>
        <w:t xml:space="preserve"> </w:t>
      </w:r>
      <w:r>
        <w:t>of</w:t>
      </w:r>
      <w:r>
        <w:rPr>
          <w:spacing w:val="-3"/>
        </w:rPr>
        <w:t xml:space="preserve"> </w:t>
      </w:r>
      <w:r>
        <w:t>significance)</w:t>
      </w:r>
      <w:r>
        <w:rPr>
          <w:spacing w:val="-2"/>
        </w:rPr>
        <w:t xml:space="preserve"> </w:t>
      </w:r>
      <w:r>
        <w:t>for</w:t>
      </w:r>
      <w:r>
        <w:rPr>
          <w:spacing w:val="-3"/>
        </w:rPr>
        <w:t xml:space="preserve"> </w:t>
      </w:r>
      <w:r>
        <w:t>determining</w:t>
      </w:r>
      <w:r>
        <w:rPr>
          <w:spacing w:val="-3"/>
        </w:rPr>
        <w:t xml:space="preserve"> </w:t>
      </w:r>
      <w:r>
        <w:t>the</w:t>
      </w:r>
      <w:r>
        <w:rPr>
          <w:spacing w:val="-4"/>
        </w:rPr>
        <w:t xml:space="preserve"> </w:t>
      </w:r>
      <w:r>
        <w:t>significance</w:t>
      </w:r>
      <w:r>
        <w:rPr>
          <w:spacing w:val="-4"/>
        </w:rPr>
        <w:t xml:space="preserve"> </w:t>
      </w:r>
      <w:r>
        <w:t>of</w:t>
      </w:r>
      <w:r>
        <w:rPr>
          <w:spacing w:val="-3"/>
        </w:rPr>
        <w:t xml:space="preserve"> </w:t>
      </w:r>
      <w:r>
        <w:t>the proportion of members in a Contract-Plan ID-Segment ID that are crosswalked into existing or new plans via MARx enrollment transactions must be the same for all MA bids that the certifying actuary certifies for the MAO.</w:t>
      </w:r>
    </w:p>
    <w:p>
      <w:pPr>
        <w:pStyle w:val="BodyText"/>
        <w:spacing w:before="120"/>
        <w:ind w:left="1224" w:right="1662"/>
        <w:jc w:val="both"/>
      </w:pPr>
      <w:r>
        <w:t>For more information about crosswalks, see the May 15, 2019 memorandum released via</w:t>
      </w:r>
      <w:r>
        <w:rPr>
          <w:spacing w:val="-4"/>
        </w:rPr>
        <w:t xml:space="preserve"> </w:t>
      </w:r>
      <w:r>
        <w:t>HPMS</w:t>
      </w:r>
      <w:r>
        <w:rPr>
          <w:spacing w:val="-4"/>
        </w:rPr>
        <w:t xml:space="preserve"> </w:t>
      </w:r>
      <w:r>
        <w:t>titled</w:t>
      </w:r>
      <w:r>
        <w:rPr>
          <w:spacing w:val="-4"/>
        </w:rPr>
        <w:t xml:space="preserve"> </w:t>
      </w:r>
      <w:r>
        <w:t>“Process</w:t>
      </w:r>
      <w:r>
        <w:rPr>
          <w:spacing w:val="-5"/>
        </w:rPr>
        <w:t xml:space="preserve"> </w:t>
      </w:r>
      <w:r>
        <w:t>for</w:t>
      </w:r>
      <w:r>
        <w:rPr>
          <w:spacing w:val="-5"/>
        </w:rPr>
        <w:t xml:space="preserve"> </w:t>
      </w:r>
      <w:r>
        <w:t>Requesting</w:t>
      </w:r>
      <w:r>
        <w:rPr>
          <w:spacing w:val="-4"/>
        </w:rPr>
        <w:t xml:space="preserve"> </w:t>
      </w:r>
      <w:r>
        <w:t>an</w:t>
      </w:r>
      <w:r>
        <w:rPr>
          <w:spacing w:val="-4"/>
        </w:rPr>
        <w:t xml:space="preserve"> </w:t>
      </w:r>
      <w:r>
        <w:t>HPMS</w:t>
      </w:r>
      <w:r>
        <w:rPr>
          <w:spacing w:val="-4"/>
        </w:rPr>
        <w:t xml:space="preserve"> </w:t>
      </w:r>
      <w:r>
        <w:t>Crosswalk</w:t>
      </w:r>
      <w:r>
        <w:rPr>
          <w:spacing w:val="-4"/>
        </w:rPr>
        <w:t xml:space="preserve"> </w:t>
      </w:r>
      <w:r>
        <w:t>Exception</w:t>
      </w:r>
      <w:r>
        <w:rPr>
          <w:spacing w:val="-4"/>
        </w:rPr>
        <w:t xml:space="preserve"> </w:t>
      </w:r>
      <w:r>
        <w:t>for</w:t>
      </w:r>
      <w:r>
        <w:rPr>
          <w:spacing w:val="-4"/>
        </w:rPr>
        <w:t xml:space="preserve"> </w:t>
      </w:r>
      <w:r>
        <w:t>Contract Year (CY) 2020.”</w:t>
      </w:r>
    </w:p>
    <w:p>
      <w:pPr>
        <w:pStyle w:val="ListParagraph"/>
        <w:numPr>
          <w:ilvl w:val="0"/>
          <w:numId w:val="52"/>
        </w:numPr>
        <w:tabs>
          <w:tab w:val="left" w:pos="1584"/>
        </w:tabs>
        <w:spacing w:before="238" w:after="0" w:line="240" w:lineRule="auto"/>
        <w:ind w:left="1584" w:right="2952" w:hanging="360"/>
        <w:jc w:val="left"/>
        <w:rPr>
          <w:rFonts w:ascii="Arial" w:hAnsi="Arial"/>
          <w:b/>
          <w:sz w:val="21"/>
        </w:rPr>
      </w:pPr>
      <w:r>
        <w:rPr>
          <w:rFonts w:ascii="Arial" w:hAnsi="Arial"/>
          <w:b/>
          <w:sz w:val="21"/>
        </w:rPr>
        <w:t>Rule</w:t>
      </w:r>
      <w:r>
        <w:rPr>
          <w:rFonts w:ascii="Arial" w:hAnsi="Arial"/>
          <w:b/>
          <w:spacing w:val="-5"/>
          <w:sz w:val="21"/>
        </w:rPr>
        <w:t xml:space="preserve"> </w:t>
      </w:r>
      <w:r>
        <w:rPr>
          <w:rFonts w:ascii="Arial" w:hAnsi="Arial"/>
          <w:b/>
          <w:sz w:val="21"/>
        </w:rPr>
        <w:t>1</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Crosswalks</w:t>
      </w:r>
      <w:r>
        <w:rPr>
          <w:rFonts w:ascii="Arial" w:hAnsi="Arial"/>
          <w:b/>
          <w:spacing w:val="-4"/>
          <w:sz w:val="21"/>
        </w:rPr>
        <w:t xml:space="preserve"> </w:t>
      </w:r>
      <w:r>
        <w:rPr>
          <w:rFonts w:ascii="Arial" w:hAnsi="Arial"/>
          <w:b/>
          <w:sz w:val="21"/>
        </w:rPr>
        <w:t>and</w:t>
      </w:r>
      <w:r>
        <w:rPr>
          <w:rFonts w:ascii="Arial" w:hAnsi="Arial"/>
          <w:b/>
          <w:spacing w:val="-3"/>
          <w:sz w:val="21"/>
        </w:rPr>
        <w:t xml:space="preserve"> </w:t>
      </w:r>
      <w:r>
        <w:rPr>
          <w:rFonts w:ascii="Arial" w:hAnsi="Arial"/>
          <w:b/>
          <w:sz w:val="21"/>
        </w:rPr>
        <w:t>transitions</w:t>
      </w:r>
      <w:r>
        <w:rPr>
          <w:rFonts w:ascii="Arial" w:hAnsi="Arial"/>
          <w:b/>
          <w:spacing w:val="-4"/>
          <w:sz w:val="21"/>
        </w:rPr>
        <w:t xml:space="preserve"> </w:t>
      </w:r>
      <w:r>
        <w:rPr>
          <w:rFonts w:ascii="Arial" w:hAnsi="Arial"/>
          <w:b/>
          <w:sz w:val="21"/>
        </w:rPr>
        <w:t>from</w:t>
      </w:r>
      <w:r>
        <w:rPr>
          <w:rFonts w:ascii="Arial" w:hAnsi="Arial"/>
          <w:b/>
          <w:spacing w:val="-7"/>
          <w:sz w:val="21"/>
        </w:rPr>
        <w:t xml:space="preserve"> </w:t>
      </w:r>
      <w:r>
        <w:rPr>
          <w:rFonts w:ascii="Arial" w:hAnsi="Arial"/>
          <w:b/>
          <w:sz w:val="21"/>
        </w:rPr>
        <w:t>D-SNP</w:t>
      </w:r>
      <w:r>
        <w:rPr>
          <w:rFonts w:ascii="Arial" w:hAnsi="Arial"/>
          <w:b/>
          <w:spacing w:val="-4"/>
          <w:sz w:val="21"/>
        </w:rPr>
        <w:t xml:space="preserve"> </w:t>
      </w:r>
      <w:r>
        <w:rPr>
          <w:rFonts w:ascii="Arial" w:hAnsi="Arial"/>
          <w:b/>
          <w:sz w:val="21"/>
        </w:rPr>
        <w:t>look-alikes</w:t>
      </w:r>
      <w:r>
        <w:rPr>
          <w:rFonts w:ascii="Arial" w:hAnsi="Arial"/>
          <w:b/>
          <w:spacing w:val="-3"/>
          <w:sz w:val="21"/>
        </w:rPr>
        <w:t xml:space="preserve"> </w:t>
      </w:r>
      <w:r>
        <w:rPr>
          <w:rFonts w:ascii="Arial" w:hAnsi="Arial"/>
          <w:b/>
          <w:sz w:val="21"/>
        </w:rPr>
        <w:t>under 42 CFR 422.514(e)</w:t>
      </w:r>
    </w:p>
    <w:p>
      <w:pPr>
        <w:pStyle w:val="BodyText"/>
        <w:spacing w:before="122"/>
        <w:ind w:left="1584" w:right="1443"/>
      </w:pPr>
      <w:r>
        <w:t>Base period data for one or more MA CY2025 Contract-Plan ID-Segment ID must be</w:t>
      </w:r>
      <w:r>
        <w:rPr>
          <w:spacing w:val="-4"/>
        </w:rPr>
        <w:t xml:space="preserve"> </w:t>
      </w:r>
      <w:r>
        <w:t>reported</w:t>
      </w:r>
      <w:r>
        <w:rPr>
          <w:spacing w:val="-3"/>
        </w:rPr>
        <w:t xml:space="preserve"> </w:t>
      </w:r>
      <w:r>
        <w:t>on</w:t>
      </w:r>
      <w:r>
        <w:rPr>
          <w:spacing w:val="-3"/>
        </w:rPr>
        <w:t xml:space="preserve"> </w:t>
      </w:r>
      <w:r>
        <w:t>Worksheet</w:t>
      </w:r>
      <w:r>
        <w:rPr>
          <w:spacing w:val="-2"/>
        </w:rPr>
        <w:t xml:space="preserve"> </w:t>
      </w:r>
      <w:r>
        <w:t>1</w:t>
      </w:r>
      <w:r>
        <w:rPr>
          <w:spacing w:val="-3"/>
        </w:rPr>
        <w:t xml:space="preserve"> </w:t>
      </w:r>
      <w:r>
        <w:t>of</w:t>
      </w:r>
      <w:r>
        <w:rPr>
          <w:spacing w:val="-4"/>
        </w:rPr>
        <w:t xml:space="preserve"> </w:t>
      </w:r>
      <w:r>
        <w:t>the</w:t>
      </w:r>
      <w:r>
        <w:rPr>
          <w:spacing w:val="-4"/>
        </w:rPr>
        <w:t xml:space="preserve"> </w:t>
      </w:r>
      <w:r>
        <w:t>bid</w:t>
      </w:r>
      <w:r>
        <w:rPr>
          <w:spacing w:val="-3"/>
        </w:rPr>
        <w:t xml:space="preserve"> </w:t>
      </w:r>
      <w:r>
        <w:t>into</w:t>
      </w:r>
      <w:r>
        <w:rPr>
          <w:spacing w:val="-3"/>
        </w:rPr>
        <w:t xml:space="preserve"> </w:t>
      </w:r>
      <w:r>
        <w:t>which</w:t>
      </w:r>
      <w:r>
        <w:rPr>
          <w:spacing w:val="-3"/>
        </w:rPr>
        <w:t xml:space="preserve"> </w:t>
      </w:r>
      <w:r>
        <w:t>the</w:t>
      </w:r>
      <w:r>
        <w:rPr>
          <w:spacing w:val="-3"/>
        </w:rPr>
        <w:t xml:space="preserve"> </w:t>
      </w:r>
      <w:r>
        <w:t>members</w:t>
      </w:r>
      <w:r>
        <w:rPr>
          <w:spacing w:val="-4"/>
        </w:rPr>
        <w:t xml:space="preserve"> </w:t>
      </w:r>
      <w:r>
        <w:t>are</w:t>
      </w:r>
      <w:r>
        <w:rPr>
          <w:spacing w:val="-4"/>
        </w:rPr>
        <w:t xml:space="preserve"> </w:t>
      </w:r>
      <w:r>
        <w:t>crosswalked</w:t>
      </w:r>
      <w:r>
        <w:rPr>
          <w:spacing w:val="-3"/>
        </w:rPr>
        <w:t xml:space="preserve"> </w:t>
      </w:r>
      <w:r>
        <w:t>only in the following circumstances:</w:t>
      </w:r>
    </w:p>
    <w:p>
      <w:pPr>
        <w:pStyle w:val="ListParagraph"/>
        <w:numPr>
          <w:ilvl w:val="1"/>
          <w:numId w:val="52"/>
        </w:numPr>
        <w:tabs>
          <w:tab w:val="left" w:pos="1944"/>
        </w:tabs>
        <w:spacing w:before="120" w:after="0" w:line="240" w:lineRule="auto"/>
        <w:ind w:left="1944" w:right="1479" w:hanging="360"/>
        <w:jc w:val="left"/>
        <w:rPr>
          <w:sz w:val="24"/>
        </w:rPr>
      </w:pPr>
      <w:r>
        <w:rPr>
          <w:sz w:val="24"/>
        </w:rPr>
        <w:t>When</w:t>
      </w:r>
      <w:r>
        <w:rPr>
          <w:spacing w:val="-3"/>
          <w:sz w:val="24"/>
        </w:rPr>
        <w:t xml:space="preserve"> </w:t>
      </w:r>
      <w:r>
        <w:rPr>
          <w:sz w:val="24"/>
        </w:rPr>
        <w:t>two</w:t>
      </w:r>
      <w:r>
        <w:rPr>
          <w:spacing w:val="-3"/>
          <w:sz w:val="24"/>
        </w:rPr>
        <w:t xml:space="preserve"> </w:t>
      </w:r>
      <w:r>
        <w:rPr>
          <w:sz w:val="24"/>
        </w:rPr>
        <w:t>or</w:t>
      </w:r>
      <w:r>
        <w:rPr>
          <w:spacing w:val="-4"/>
          <w:sz w:val="24"/>
        </w:rPr>
        <w:t xml:space="preserve"> </w:t>
      </w:r>
      <w:r>
        <w:rPr>
          <w:sz w:val="24"/>
        </w:rPr>
        <w:t>more</w:t>
      </w:r>
      <w:r>
        <w:rPr>
          <w:spacing w:val="-4"/>
          <w:sz w:val="24"/>
        </w:rPr>
        <w:t xml:space="preserve"> </w:t>
      </w:r>
      <w:r>
        <w:rPr>
          <w:sz w:val="24"/>
        </w:rPr>
        <w:t>plans</w:t>
      </w:r>
      <w:r>
        <w:rPr>
          <w:spacing w:val="-2"/>
          <w:sz w:val="24"/>
        </w:rPr>
        <w:t xml:space="preserve"> </w:t>
      </w:r>
      <w:r>
        <w:rPr>
          <w:sz w:val="24"/>
        </w:rPr>
        <w:t>are</w:t>
      </w:r>
      <w:r>
        <w:rPr>
          <w:spacing w:val="-5"/>
          <w:sz w:val="24"/>
        </w:rPr>
        <w:t xml:space="preserve"> </w:t>
      </w:r>
      <w:r>
        <w:rPr>
          <w:sz w:val="24"/>
        </w:rPr>
        <w:t>consolidated</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members</w:t>
      </w:r>
      <w:r>
        <w:rPr>
          <w:spacing w:val="-4"/>
          <w:sz w:val="24"/>
        </w:rPr>
        <w:t xml:space="preserve"> </w:t>
      </w:r>
      <w:r>
        <w:rPr>
          <w:sz w:val="24"/>
        </w:rPr>
        <w:t>are</w:t>
      </w:r>
      <w:r>
        <w:rPr>
          <w:spacing w:val="-1"/>
          <w:sz w:val="24"/>
        </w:rPr>
        <w:t xml:space="preserve"> </w:t>
      </w:r>
      <w:r>
        <w:rPr>
          <w:sz w:val="24"/>
        </w:rPr>
        <w:t>crosswalked</w:t>
      </w:r>
      <w:r>
        <w:rPr>
          <w:spacing w:val="-3"/>
          <w:sz w:val="24"/>
        </w:rPr>
        <w:t xml:space="preserve"> </w:t>
      </w:r>
      <w:r>
        <w:rPr>
          <w:sz w:val="24"/>
        </w:rPr>
        <w:t>into an existing or new plan under a formal crosswalk but are not disenrolled via MARx transactions the following year. If members are crosswalked one year and disenrolled the following year, then Rule 4 applies.</w:t>
      </w:r>
    </w:p>
    <w:p>
      <w:pPr>
        <w:pStyle w:val="ListParagraph"/>
        <w:numPr>
          <w:ilvl w:val="1"/>
          <w:numId w:val="52"/>
        </w:numPr>
        <w:tabs>
          <w:tab w:val="left" w:pos="1944"/>
        </w:tabs>
        <w:spacing w:before="0" w:after="0" w:line="240" w:lineRule="auto"/>
        <w:ind w:left="1944" w:right="1642" w:hanging="360"/>
        <w:jc w:val="both"/>
        <w:rPr>
          <w:sz w:val="24"/>
        </w:rPr>
      </w:pPr>
      <w:r>
        <w:rPr>
          <w:sz w:val="24"/>
        </w:rPr>
        <w:t>When the proportion of members in a bid that are crosswalked into existing or new</w:t>
      </w:r>
      <w:r>
        <w:rPr>
          <w:spacing w:val="-4"/>
          <w:sz w:val="24"/>
        </w:rPr>
        <w:t xml:space="preserve"> </w:t>
      </w:r>
      <w:r>
        <w:rPr>
          <w:sz w:val="24"/>
        </w:rPr>
        <w:t>plans</w:t>
      </w:r>
      <w:r>
        <w:rPr>
          <w:spacing w:val="-3"/>
          <w:sz w:val="24"/>
        </w:rPr>
        <w:t xml:space="preserve"> </w:t>
      </w:r>
      <w:r>
        <w:rPr>
          <w:sz w:val="24"/>
        </w:rPr>
        <w:t>via</w:t>
      </w:r>
      <w:r>
        <w:rPr>
          <w:spacing w:val="-4"/>
          <w:sz w:val="24"/>
        </w:rPr>
        <w:t xml:space="preserve"> </w:t>
      </w:r>
      <w:r>
        <w:rPr>
          <w:sz w:val="24"/>
        </w:rPr>
        <w:t>MARx</w:t>
      </w:r>
      <w:r>
        <w:rPr>
          <w:spacing w:val="-3"/>
          <w:sz w:val="24"/>
        </w:rPr>
        <w:t xml:space="preserve"> </w:t>
      </w:r>
      <w:r>
        <w:rPr>
          <w:sz w:val="24"/>
        </w:rPr>
        <w:t>enrollment</w:t>
      </w:r>
      <w:r>
        <w:rPr>
          <w:spacing w:val="-3"/>
          <w:sz w:val="24"/>
        </w:rPr>
        <w:t xml:space="preserve"> </w:t>
      </w:r>
      <w:r>
        <w:rPr>
          <w:sz w:val="24"/>
        </w:rPr>
        <w:t>transactions,</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Rule</w:t>
      </w:r>
      <w:r>
        <w:rPr>
          <w:spacing w:val="-3"/>
          <w:sz w:val="24"/>
        </w:rPr>
        <w:t xml:space="preserve"> </w:t>
      </w:r>
      <w:r>
        <w:rPr>
          <w:sz w:val="24"/>
        </w:rPr>
        <w:t>4,</w:t>
      </w:r>
      <w:r>
        <w:rPr>
          <w:spacing w:val="-3"/>
          <w:sz w:val="24"/>
        </w:rPr>
        <w:t xml:space="preserve"> </w:t>
      </w:r>
      <w:r>
        <w:rPr>
          <w:sz w:val="24"/>
        </w:rPr>
        <w:t>is</w:t>
      </w:r>
      <w:r>
        <w:rPr>
          <w:spacing w:val="-4"/>
          <w:sz w:val="24"/>
        </w:rPr>
        <w:t xml:space="preserve"> </w:t>
      </w:r>
      <w:r>
        <w:rPr>
          <w:sz w:val="24"/>
        </w:rPr>
        <w:t>greater</w:t>
      </w:r>
      <w:r>
        <w:rPr>
          <w:spacing w:val="-5"/>
          <w:sz w:val="24"/>
        </w:rPr>
        <w:t xml:space="preserve"> </w:t>
      </w:r>
      <w:r>
        <w:rPr>
          <w:sz w:val="24"/>
        </w:rPr>
        <w:t>than or equal to the MA level of significance determined by the certifying actuary.</w:t>
      </w:r>
    </w:p>
    <w:p>
      <w:pPr>
        <w:pStyle w:val="ListParagraph"/>
        <w:spacing w:after="0" w:line="240" w:lineRule="auto"/>
        <w:jc w:val="both"/>
        <w:rPr>
          <w:sz w:val="24"/>
        </w:rPr>
        <w:sectPr>
          <w:pgSz w:w="12240" w:h="15840"/>
          <w:pgMar w:top="960" w:right="0" w:bottom="940" w:left="1080" w:header="727" w:footer="747"/>
          <w:cols w:space="720"/>
        </w:sectPr>
      </w:pPr>
    </w:p>
    <w:p>
      <w:pPr>
        <w:pStyle w:val="BodyText"/>
        <w:spacing w:before="190"/>
        <w:ind w:left="0"/>
      </w:pPr>
    </w:p>
    <w:p>
      <w:pPr>
        <w:pStyle w:val="BodyText"/>
        <w:ind w:left="1584" w:right="1481"/>
      </w:pPr>
      <w:r>
        <w:t>Rule</w:t>
      </w:r>
      <w:r>
        <w:rPr>
          <w:spacing w:val="-4"/>
        </w:rPr>
        <w:t xml:space="preserve"> </w:t>
      </w:r>
      <w:r>
        <w:t>1</w:t>
      </w:r>
      <w:r>
        <w:rPr>
          <w:spacing w:val="-4"/>
        </w:rPr>
        <w:t xml:space="preserve"> </w:t>
      </w:r>
      <w:r>
        <w:t>applies</w:t>
      </w:r>
      <w:r>
        <w:rPr>
          <w:spacing w:val="-4"/>
        </w:rPr>
        <w:t xml:space="preserve"> </w:t>
      </w:r>
      <w:r>
        <w:t>when</w:t>
      </w:r>
      <w:r>
        <w:rPr>
          <w:spacing w:val="-4"/>
        </w:rPr>
        <w:t xml:space="preserve"> </w:t>
      </w:r>
      <w:r>
        <w:t>members</w:t>
      </w:r>
      <w:r>
        <w:rPr>
          <w:spacing w:val="-4"/>
        </w:rPr>
        <w:t xml:space="preserve"> </w:t>
      </w:r>
      <w:r>
        <w:t>are</w:t>
      </w:r>
      <w:r>
        <w:rPr>
          <w:spacing w:val="-3"/>
        </w:rPr>
        <w:t xml:space="preserve"> </w:t>
      </w:r>
      <w:r>
        <w:t>crosswalked</w:t>
      </w:r>
      <w:r>
        <w:rPr>
          <w:spacing w:val="-4"/>
        </w:rPr>
        <w:t xml:space="preserve"> </w:t>
      </w:r>
      <w:r>
        <w:t>within</w:t>
      </w:r>
      <w:r>
        <w:rPr>
          <w:spacing w:val="-3"/>
        </w:rPr>
        <w:t xml:space="preserve"> </w:t>
      </w:r>
      <w:r>
        <w:t>the</w:t>
      </w:r>
      <w:r>
        <w:rPr>
          <w:spacing w:val="-4"/>
        </w:rPr>
        <w:t xml:space="preserve"> </w:t>
      </w:r>
      <w:r>
        <w:t>same</w:t>
      </w:r>
      <w:r>
        <w:rPr>
          <w:spacing w:val="-4"/>
        </w:rPr>
        <w:t xml:space="preserve"> </w:t>
      </w:r>
      <w:r>
        <w:t>contract</w:t>
      </w:r>
      <w:r>
        <w:rPr>
          <w:spacing w:val="-4"/>
        </w:rPr>
        <w:t xml:space="preserve"> </w:t>
      </w:r>
      <w:r>
        <w:t>and</w:t>
      </w:r>
      <w:r>
        <w:rPr>
          <w:spacing w:val="-4"/>
        </w:rPr>
        <w:t xml:space="preserve"> </w:t>
      </w:r>
      <w:r>
        <w:t>when members are crosswalked between contracts in accordance with the limited exceptions described in CMS annual renewal and non-renewal guidance.</w:t>
      </w:r>
    </w:p>
    <w:p>
      <w:pPr>
        <w:pStyle w:val="ListParagraph"/>
        <w:numPr>
          <w:ilvl w:val="0"/>
          <w:numId w:val="52"/>
        </w:numPr>
        <w:tabs>
          <w:tab w:val="left" w:pos="1583"/>
        </w:tabs>
        <w:spacing w:before="241" w:after="0" w:line="240" w:lineRule="auto"/>
        <w:ind w:left="1583" w:right="0" w:hanging="359"/>
        <w:jc w:val="left"/>
        <w:rPr>
          <w:rFonts w:ascii="Arial" w:hAnsi="Arial"/>
          <w:b/>
          <w:sz w:val="21"/>
        </w:rPr>
      </w:pPr>
      <w:r>
        <w:rPr>
          <w:rFonts w:ascii="Arial" w:hAnsi="Arial"/>
          <w:b/>
          <w:sz w:val="21"/>
        </w:rPr>
        <w:t>Rule</w:t>
      </w:r>
      <w:r>
        <w:rPr>
          <w:rFonts w:ascii="Arial" w:hAnsi="Arial"/>
          <w:b/>
          <w:spacing w:val="-4"/>
          <w:sz w:val="21"/>
        </w:rPr>
        <w:t xml:space="preserve"> </w:t>
      </w:r>
      <w:r>
        <w:rPr>
          <w:rFonts w:ascii="Arial" w:hAnsi="Arial"/>
          <w:b/>
          <w:sz w:val="21"/>
        </w:rPr>
        <w:t>2</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Enrollment</w:t>
      </w:r>
      <w:r>
        <w:rPr>
          <w:rFonts w:ascii="Arial" w:hAnsi="Arial"/>
          <w:b/>
          <w:spacing w:val="-3"/>
          <w:sz w:val="21"/>
        </w:rPr>
        <w:t xml:space="preserve"> </w:t>
      </w:r>
      <w:r>
        <w:rPr>
          <w:rFonts w:ascii="Arial" w:hAnsi="Arial"/>
          <w:b/>
          <w:spacing w:val="-2"/>
          <w:sz w:val="21"/>
        </w:rPr>
        <w:t>Shifts</w:t>
      </w:r>
    </w:p>
    <w:p>
      <w:pPr>
        <w:pStyle w:val="BodyText"/>
        <w:spacing w:before="120"/>
        <w:ind w:left="1584" w:right="1443"/>
      </w:pPr>
      <w:r>
        <w:t>Base</w:t>
      </w:r>
      <w:r>
        <w:rPr>
          <w:spacing w:val="-4"/>
        </w:rPr>
        <w:t xml:space="preserve"> </w:t>
      </w:r>
      <w:r>
        <w:t>period</w:t>
      </w:r>
      <w:r>
        <w:rPr>
          <w:spacing w:val="-3"/>
        </w:rPr>
        <w:t xml:space="preserve"> </w:t>
      </w:r>
      <w:r>
        <w:t>data</w:t>
      </w:r>
      <w:r>
        <w:rPr>
          <w:spacing w:val="-2"/>
        </w:rPr>
        <w:t xml:space="preserve"> </w:t>
      </w:r>
      <w:r>
        <w:t>for</w:t>
      </w:r>
      <w:r>
        <w:rPr>
          <w:spacing w:val="-5"/>
        </w:rPr>
        <w:t xml:space="preserve"> </w:t>
      </w:r>
      <w:r>
        <w:t>one</w:t>
      </w:r>
      <w:r>
        <w:rPr>
          <w:spacing w:val="-2"/>
        </w:rPr>
        <w:t xml:space="preserve"> </w:t>
      </w:r>
      <w:r>
        <w:t>or</w:t>
      </w:r>
      <w:r>
        <w:rPr>
          <w:spacing w:val="-4"/>
        </w:rPr>
        <w:t xml:space="preserve"> </w:t>
      </w:r>
      <w:r>
        <w:t>more</w:t>
      </w:r>
      <w:r>
        <w:rPr>
          <w:spacing w:val="-5"/>
        </w:rPr>
        <w:t xml:space="preserve"> </w:t>
      </w:r>
      <w:r>
        <w:t>MA</w:t>
      </w:r>
      <w:r>
        <w:rPr>
          <w:spacing w:val="-4"/>
        </w:rPr>
        <w:t xml:space="preserve"> </w:t>
      </w:r>
      <w:r>
        <w:t>CY2025</w:t>
      </w:r>
      <w:r>
        <w:rPr>
          <w:spacing w:val="-3"/>
        </w:rPr>
        <w:t xml:space="preserve"> </w:t>
      </w:r>
      <w:r>
        <w:t>Contract-Plan</w:t>
      </w:r>
      <w:r>
        <w:rPr>
          <w:spacing w:val="-1"/>
        </w:rPr>
        <w:t xml:space="preserve"> </w:t>
      </w:r>
      <w:r>
        <w:t>ID-Segment</w:t>
      </w:r>
      <w:r>
        <w:rPr>
          <w:spacing w:val="-1"/>
        </w:rPr>
        <w:t xml:space="preserve"> </w:t>
      </w:r>
      <w:r>
        <w:t>ID</w:t>
      </w:r>
      <w:r>
        <w:rPr>
          <w:spacing w:val="-5"/>
        </w:rPr>
        <w:t xml:space="preserve"> </w:t>
      </w:r>
      <w:r>
        <w:t>cannot be reported on Worksheet 1 of the bid into which the members are moved or crosswalked to in the following circumstances:</w:t>
      </w:r>
    </w:p>
    <w:p>
      <w:pPr>
        <w:pStyle w:val="ListParagraph"/>
        <w:numPr>
          <w:ilvl w:val="1"/>
          <w:numId w:val="52"/>
        </w:numPr>
        <w:tabs>
          <w:tab w:val="left" w:pos="1944"/>
        </w:tabs>
        <w:spacing w:before="120" w:after="0" w:line="240" w:lineRule="auto"/>
        <w:ind w:left="1944" w:right="0" w:hanging="360"/>
        <w:jc w:val="left"/>
        <w:rPr>
          <w:sz w:val="24"/>
        </w:rPr>
      </w:pPr>
      <w:r>
        <w:rPr>
          <w:sz w:val="24"/>
        </w:rPr>
        <w:t>When</w:t>
      </w:r>
      <w:r>
        <w:rPr>
          <w:spacing w:val="-1"/>
          <w:sz w:val="24"/>
        </w:rPr>
        <w:t xml:space="preserve"> </w:t>
      </w:r>
      <w:r>
        <w:rPr>
          <w:sz w:val="24"/>
        </w:rPr>
        <w:t>an</w:t>
      </w:r>
      <w:r>
        <w:rPr>
          <w:spacing w:val="1"/>
          <w:sz w:val="24"/>
        </w:rPr>
        <w:t xml:space="preserve"> </w:t>
      </w:r>
      <w:r>
        <w:rPr>
          <w:sz w:val="24"/>
        </w:rPr>
        <w:t>existing</w:t>
      </w:r>
      <w:r>
        <w:rPr>
          <w:spacing w:val="-1"/>
          <w:sz w:val="24"/>
        </w:rPr>
        <w:t xml:space="preserve"> </w:t>
      </w:r>
      <w:r>
        <w:rPr>
          <w:sz w:val="24"/>
        </w:rPr>
        <w:t>member</w:t>
      </w:r>
      <w:r>
        <w:rPr>
          <w:spacing w:val="-3"/>
          <w:sz w:val="24"/>
        </w:rPr>
        <w:t xml:space="preserve"> </w:t>
      </w:r>
      <w:r>
        <w:rPr>
          <w:sz w:val="24"/>
        </w:rPr>
        <w:t>chooses</w:t>
      </w:r>
      <w:r>
        <w:rPr>
          <w:spacing w:val="-1"/>
          <w:sz w:val="24"/>
        </w:rPr>
        <w:t xml:space="preserve"> </w:t>
      </w:r>
      <w:r>
        <w:rPr>
          <w:sz w:val="24"/>
        </w:rPr>
        <w:t>to</w:t>
      </w:r>
      <w:r>
        <w:rPr>
          <w:spacing w:val="-1"/>
          <w:sz w:val="24"/>
        </w:rPr>
        <w:t xml:space="preserve"> </w:t>
      </w:r>
      <w:r>
        <w:rPr>
          <w:sz w:val="24"/>
        </w:rPr>
        <w:t>enroll</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 xml:space="preserve">different </w:t>
      </w:r>
      <w:r>
        <w:rPr>
          <w:spacing w:val="-2"/>
          <w:sz w:val="24"/>
        </w:rPr>
        <w:t>plan.</w:t>
      </w:r>
    </w:p>
    <w:p>
      <w:pPr>
        <w:pStyle w:val="ListParagraph"/>
        <w:numPr>
          <w:ilvl w:val="1"/>
          <w:numId w:val="52"/>
        </w:numPr>
        <w:tabs>
          <w:tab w:val="left" w:pos="1944"/>
        </w:tabs>
        <w:spacing w:before="0" w:after="0" w:line="240" w:lineRule="auto"/>
        <w:ind w:left="1944" w:right="1593" w:hanging="360"/>
        <w:jc w:val="left"/>
        <w:rPr>
          <w:sz w:val="24"/>
        </w:rPr>
      </w:pPr>
      <w:r>
        <w:rPr>
          <w:sz w:val="24"/>
        </w:rPr>
        <w:t>When the proportion of members in a bid that are crosswalked into existing or new</w:t>
      </w:r>
      <w:r>
        <w:rPr>
          <w:spacing w:val="-4"/>
          <w:sz w:val="24"/>
        </w:rPr>
        <w:t xml:space="preserve"> </w:t>
      </w:r>
      <w:r>
        <w:rPr>
          <w:sz w:val="24"/>
        </w:rPr>
        <w:t>plans</w:t>
      </w:r>
      <w:r>
        <w:rPr>
          <w:spacing w:val="-3"/>
          <w:sz w:val="24"/>
        </w:rPr>
        <w:t xml:space="preserve"> </w:t>
      </w:r>
      <w:r>
        <w:rPr>
          <w:sz w:val="24"/>
        </w:rPr>
        <w:t>via</w:t>
      </w:r>
      <w:r>
        <w:rPr>
          <w:spacing w:val="-4"/>
          <w:sz w:val="24"/>
        </w:rPr>
        <w:t xml:space="preserve"> </w:t>
      </w:r>
      <w:r>
        <w:rPr>
          <w:sz w:val="24"/>
        </w:rPr>
        <w:t>MARx</w:t>
      </w:r>
      <w:r>
        <w:rPr>
          <w:spacing w:val="-3"/>
          <w:sz w:val="24"/>
        </w:rPr>
        <w:t xml:space="preserve"> </w:t>
      </w:r>
      <w:r>
        <w:rPr>
          <w:sz w:val="24"/>
        </w:rPr>
        <w:t>enrollment</w:t>
      </w:r>
      <w:r>
        <w:rPr>
          <w:spacing w:val="-3"/>
          <w:sz w:val="24"/>
        </w:rPr>
        <w:t xml:space="preserve"> </w:t>
      </w:r>
      <w:r>
        <w:rPr>
          <w:sz w:val="24"/>
        </w:rPr>
        <w:t>transactions,</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Rule</w:t>
      </w:r>
      <w:r>
        <w:rPr>
          <w:spacing w:val="-3"/>
          <w:sz w:val="24"/>
        </w:rPr>
        <w:t xml:space="preserve"> </w:t>
      </w:r>
      <w:r>
        <w:rPr>
          <w:sz w:val="24"/>
        </w:rPr>
        <w:t>4,</w:t>
      </w:r>
      <w:r>
        <w:rPr>
          <w:spacing w:val="-3"/>
          <w:sz w:val="24"/>
        </w:rPr>
        <w:t xml:space="preserve"> </w:t>
      </w:r>
      <w:r>
        <w:rPr>
          <w:sz w:val="24"/>
        </w:rPr>
        <w:t>is</w:t>
      </w:r>
      <w:r>
        <w:rPr>
          <w:spacing w:val="-4"/>
          <w:sz w:val="24"/>
        </w:rPr>
        <w:t xml:space="preserve"> </w:t>
      </w:r>
      <w:r>
        <w:rPr>
          <w:sz w:val="24"/>
        </w:rPr>
        <w:t>less</w:t>
      </w:r>
      <w:r>
        <w:rPr>
          <w:spacing w:val="-4"/>
          <w:sz w:val="24"/>
        </w:rPr>
        <w:t xml:space="preserve"> </w:t>
      </w:r>
      <w:r>
        <w:rPr>
          <w:sz w:val="24"/>
        </w:rPr>
        <w:t>than</w:t>
      </w:r>
      <w:r>
        <w:rPr>
          <w:spacing w:val="-3"/>
          <w:sz w:val="24"/>
        </w:rPr>
        <w:t xml:space="preserve"> </w:t>
      </w:r>
      <w:r>
        <w:rPr>
          <w:sz w:val="24"/>
        </w:rPr>
        <w:t>the MA level of significance determined by the certifying actuary.</w:t>
      </w:r>
    </w:p>
    <w:p>
      <w:pPr>
        <w:pStyle w:val="ListParagraph"/>
        <w:numPr>
          <w:ilvl w:val="1"/>
          <w:numId w:val="52"/>
        </w:numPr>
        <w:tabs>
          <w:tab w:val="left" w:pos="1944"/>
        </w:tabs>
        <w:spacing w:before="3" w:after="0" w:line="237" w:lineRule="auto"/>
        <w:ind w:left="1944" w:right="1862" w:hanging="360"/>
        <w:jc w:val="left"/>
        <w:rPr>
          <w:sz w:val="24"/>
        </w:rPr>
      </w:pPr>
      <w:r>
        <w:rPr>
          <w:sz w:val="24"/>
        </w:rPr>
        <w:t>When</w:t>
      </w:r>
      <w:r>
        <w:rPr>
          <w:spacing w:val="-3"/>
          <w:sz w:val="24"/>
        </w:rPr>
        <w:t xml:space="preserve"> </w:t>
      </w:r>
      <w:r>
        <w:rPr>
          <w:sz w:val="24"/>
        </w:rPr>
        <w:t>enrollment</w:t>
      </w:r>
      <w:r>
        <w:rPr>
          <w:spacing w:val="-3"/>
          <w:sz w:val="24"/>
        </w:rPr>
        <w:t xml:space="preserve"> </w:t>
      </w:r>
      <w:r>
        <w:rPr>
          <w:sz w:val="24"/>
        </w:rPr>
        <w:t>changes</w:t>
      </w:r>
      <w:r>
        <w:rPr>
          <w:spacing w:val="-4"/>
          <w:sz w:val="24"/>
        </w:rPr>
        <w:t xml:space="preserve"> </w:t>
      </w:r>
      <w:r>
        <w:rPr>
          <w:sz w:val="24"/>
        </w:rPr>
        <w:t>do</w:t>
      </w:r>
      <w:r>
        <w:rPr>
          <w:spacing w:val="-3"/>
          <w:sz w:val="24"/>
        </w:rPr>
        <w:t xml:space="preserve"> </w:t>
      </w:r>
      <w:r>
        <w:rPr>
          <w:sz w:val="24"/>
        </w:rPr>
        <w:t>not</w:t>
      </w:r>
      <w:r>
        <w:rPr>
          <w:spacing w:val="-3"/>
          <w:sz w:val="24"/>
        </w:rPr>
        <w:t xml:space="preserve"> </w:t>
      </w:r>
      <w:r>
        <w:rPr>
          <w:sz w:val="24"/>
        </w:rPr>
        <w:t>involve</w:t>
      </w:r>
      <w:r>
        <w:rPr>
          <w:spacing w:val="-4"/>
          <w:sz w:val="24"/>
        </w:rPr>
        <w:t xml:space="preserve"> </w:t>
      </w:r>
      <w:r>
        <w:rPr>
          <w:sz w:val="24"/>
        </w:rPr>
        <w:t>a</w:t>
      </w:r>
      <w:r>
        <w:rPr>
          <w:spacing w:val="-3"/>
          <w:sz w:val="24"/>
        </w:rPr>
        <w:t xml:space="preserve"> </w:t>
      </w:r>
      <w:r>
        <w:rPr>
          <w:sz w:val="24"/>
        </w:rPr>
        <w:t>crosswalk</w:t>
      </w:r>
      <w:r>
        <w:rPr>
          <w:spacing w:val="-3"/>
          <w:sz w:val="24"/>
        </w:rPr>
        <w:t xml:space="preserve"> </w:t>
      </w:r>
      <w:r>
        <w:rPr>
          <w:sz w:val="24"/>
        </w:rPr>
        <w:t>whether</w:t>
      </w:r>
      <w:r>
        <w:rPr>
          <w:spacing w:val="-5"/>
          <w:sz w:val="24"/>
        </w:rPr>
        <w:t xml:space="preserve"> </w:t>
      </w:r>
      <w:r>
        <w:rPr>
          <w:sz w:val="24"/>
        </w:rPr>
        <w:t>or</w:t>
      </w:r>
      <w:r>
        <w:rPr>
          <w:spacing w:val="-3"/>
          <w:sz w:val="24"/>
        </w:rPr>
        <w:t xml:space="preserve"> </w:t>
      </w:r>
      <w:r>
        <w:rPr>
          <w:sz w:val="24"/>
        </w:rPr>
        <w:t>not</w:t>
      </w:r>
      <w:r>
        <w:rPr>
          <w:spacing w:val="-3"/>
          <w:sz w:val="24"/>
        </w:rPr>
        <w:t xml:space="preserve"> </w:t>
      </w:r>
      <w:r>
        <w:rPr>
          <w:sz w:val="24"/>
        </w:rPr>
        <w:t>a</w:t>
      </w:r>
      <w:r>
        <w:rPr>
          <w:spacing w:val="-5"/>
          <w:sz w:val="24"/>
        </w:rPr>
        <w:t xml:space="preserve"> </w:t>
      </w:r>
      <w:r>
        <w:rPr>
          <w:sz w:val="24"/>
        </w:rPr>
        <w:t>bid</w:t>
      </w:r>
      <w:r>
        <w:rPr>
          <w:spacing w:val="-3"/>
          <w:sz w:val="24"/>
        </w:rPr>
        <w:t xml:space="preserve"> </w:t>
      </w:r>
      <w:r>
        <w:rPr>
          <w:sz w:val="24"/>
        </w:rPr>
        <w:t xml:space="preserve">is </w:t>
      </w:r>
      <w:r>
        <w:rPr>
          <w:spacing w:val="-2"/>
          <w:sz w:val="24"/>
        </w:rPr>
        <w:t>terminated.</w:t>
      </w:r>
    </w:p>
    <w:p>
      <w:pPr>
        <w:pStyle w:val="ListParagraph"/>
        <w:numPr>
          <w:ilvl w:val="0"/>
          <w:numId w:val="52"/>
        </w:numPr>
        <w:tabs>
          <w:tab w:val="left" w:pos="1583"/>
        </w:tabs>
        <w:spacing w:before="242" w:after="0" w:line="240" w:lineRule="auto"/>
        <w:ind w:left="1583" w:right="0" w:hanging="359"/>
        <w:jc w:val="left"/>
        <w:rPr>
          <w:rFonts w:ascii="Arial" w:hAnsi="Arial"/>
          <w:b/>
          <w:sz w:val="21"/>
        </w:rPr>
      </w:pPr>
      <w:r>
        <w:rPr>
          <w:rFonts w:ascii="Arial" w:hAnsi="Arial"/>
          <w:b/>
          <w:sz w:val="21"/>
        </w:rPr>
        <w:t>Rule</w:t>
      </w:r>
      <w:r>
        <w:rPr>
          <w:rFonts w:ascii="Arial" w:hAnsi="Arial"/>
          <w:b/>
          <w:spacing w:val="-4"/>
          <w:sz w:val="21"/>
        </w:rPr>
        <w:t xml:space="preserve"> </w:t>
      </w:r>
      <w:r>
        <w:rPr>
          <w:rFonts w:ascii="Arial" w:hAnsi="Arial"/>
          <w:b/>
          <w:sz w:val="21"/>
        </w:rPr>
        <w:t>3</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Partial</w:t>
      </w:r>
      <w:r>
        <w:rPr>
          <w:rFonts w:ascii="Arial" w:hAnsi="Arial"/>
          <w:b/>
          <w:spacing w:val="-3"/>
          <w:sz w:val="21"/>
        </w:rPr>
        <w:t xml:space="preserve"> </w:t>
      </w:r>
      <w:r>
        <w:rPr>
          <w:rFonts w:ascii="Arial" w:hAnsi="Arial"/>
          <w:b/>
          <w:spacing w:val="-2"/>
          <w:sz w:val="21"/>
        </w:rPr>
        <w:t>Experience</w:t>
      </w:r>
    </w:p>
    <w:p>
      <w:pPr>
        <w:pStyle w:val="BodyText"/>
        <w:spacing w:before="120"/>
        <w:ind w:left="1584" w:right="2194"/>
      </w:pPr>
      <w:r>
        <w:t>Report</w:t>
      </w:r>
      <w:r>
        <w:rPr>
          <w:spacing w:val="-3"/>
        </w:rPr>
        <w:t xml:space="preserve"> </w:t>
      </w:r>
      <w:r>
        <w:t>base</w:t>
      </w:r>
      <w:r>
        <w:rPr>
          <w:spacing w:val="-4"/>
        </w:rPr>
        <w:t xml:space="preserve"> </w:t>
      </w:r>
      <w:r>
        <w:t>period</w:t>
      </w:r>
      <w:r>
        <w:rPr>
          <w:spacing w:val="-3"/>
        </w:rPr>
        <w:t xml:space="preserve"> </w:t>
      </w:r>
      <w:r>
        <w:t>experience</w:t>
      </w:r>
      <w:r>
        <w:rPr>
          <w:spacing w:val="-4"/>
        </w:rPr>
        <w:t xml:space="preserve"> </w:t>
      </w:r>
      <w:r>
        <w:t>in</w:t>
      </w:r>
      <w:r>
        <w:rPr>
          <w:spacing w:val="-2"/>
        </w:rPr>
        <w:t xml:space="preserve"> </w:t>
      </w:r>
      <w:r>
        <w:t>total</w:t>
      </w:r>
      <w:r>
        <w:rPr>
          <w:spacing w:val="-3"/>
        </w:rPr>
        <w:t xml:space="preserve"> </w:t>
      </w:r>
      <w:r>
        <w:t>at</w:t>
      </w:r>
      <w:r>
        <w:rPr>
          <w:spacing w:val="-3"/>
        </w:rPr>
        <w:t xml:space="preserve"> </w:t>
      </w:r>
      <w:r>
        <w:t>the</w:t>
      </w:r>
      <w:r>
        <w:rPr>
          <w:spacing w:val="-4"/>
        </w:rPr>
        <w:t xml:space="preserve"> </w:t>
      </w:r>
      <w:r>
        <w:t>bid</w:t>
      </w:r>
      <w:r>
        <w:rPr>
          <w:spacing w:val="-3"/>
        </w:rPr>
        <w:t xml:space="preserve"> </w:t>
      </w:r>
      <w:r>
        <w:t>level</w:t>
      </w:r>
      <w:r>
        <w:rPr>
          <w:spacing w:val="-3"/>
        </w:rPr>
        <w:t xml:space="preserve"> </w:t>
      </w:r>
      <w:r>
        <w:t>for</w:t>
      </w:r>
      <w:r>
        <w:rPr>
          <w:spacing w:val="-4"/>
        </w:rPr>
        <w:t xml:space="preserve"> </w:t>
      </w:r>
      <w:r>
        <w:t>every</w:t>
      </w:r>
      <w:r>
        <w:rPr>
          <w:spacing w:val="-3"/>
        </w:rPr>
        <w:t xml:space="preserve"> </w:t>
      </w:r>
      <w:r>
        <w:t>MA</w:t>
      </w:r>
      <w:r>
        <w:rPr>
          <w:spacing w:val="-4"/>
        </w:rPr>
        <w:t xml:space="preserve"> </w:t>
      </w:r>
      <w:r>
        <w:t>CY2025 Contract-Plan ID-Segment ID; do not include partial plan experience on Worksheet 1.</w:t>
      </w:r>
    </w:p>
    <w:p>
      <w:pPr>
        <w:pStyle w:val="ListParagraph"/>
        <w:numPr>
          <w:ilvl w:val="0"/>
          <w:numId w:val="52"/>
        </w:numPr>
        <w:tabs>
          <w:tab w:val="left" w:pos="1583"/>
        </w:tabs>
        <w:spacing w:before="241" w:after="0" w:line="240" w:lineRule="auto"/>
        <w:ind w:left="1583" w:right="0" w:hanging="359"/>
        <w:jc w:val="left"/>
        <w:rPr>
          <w:rFonts w:ascii="Arial" w:hAnsi="Arial"/>
          <w:b/>
          <w:sz w:val="21"/>
        </w:rPr>
      </w:pPr>
      <w:r>
        <w:rPr>
          <w:rFonts w:ascii="Arial" w:hAnsi="Arial"/>
          <w:b/>
          <w:sz w:val="21"/>
        </w:rPr>
        <w:t>Rule</w:t>
      </w:r>
      <w:r>
        <w:rPr>
          <w:rFonts w:ascii="Arial" w:hAnsi="Arial"/>
          <w:b/>
          <w:spacing w:val="-5"/>
          <w:sz w:val="21"/>
        </w:rPr>
        <w:t xml:space="preserve"> </w:t>
      </w:r>
      <w:r>
        <w:rPr>
          <w:rFonts w:ascii="Arial" w:hAnsi="Arial"/>
          <w:b/>
          <w:sz w:val="21"/>
        </w:rPr>
        <w:t>4</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Two-Year</w:t>
      </w:r>
      <w:r>
        <w:rPr>
          <w:rFonts w:ascii="Arial" w:hAnsi="Arial"/>
          <w:b/>
          <w:spacing w:val="-5"/>
          <w:sz w:val="21"/>
        </w:rPr>
        <w:t xml:space="preserve"> </w:t>
      </w:r>
      <w:r>
        <w:rPr>
          <w:rFonts w:ascii="Arial" w:hAnsi="Arial"/>
          <w:b/>
          <w:spacing w:val="-2"/>
          <w:sz w:val="21"/>
        </w:rPr>
        <w:t>Perspective</w:t>
      </w:r>
    </w:p>
    <w:p>
      <w:pPr>
        <w:pStyle w:val="BodyText"/>
        <w:spacing w:before="120"/>
        <w:ind w:left="1584" w:right="1475"/>
      </w:pPr>
      <w:r>
        <w:t>For</w:t>
      </w:r>
      <w:r>
        <w:rPr>
          <w:spacing w:val="-3"/>
        </w:rPr>
        <w:t xml:space="preserve"> </w:t>
      </w:r>
      <w:r>
        <w:t>BPT</w:t>
      </w:r>
      <w:r>
        <w:rPr>
          <w:spacing w:val="-3"/>
        </w:rPr>
        <w:t xml:space="preserve"> </w:t>
      </w:r>
      <w:r>
        <w:t>reporting</w:t>
      </w:r>
      <w:r>
        <w:rPr>
          <w:spacing w:val="-3"/>
        </w:rPr>
        <w:t xml:space="preserve"> </w:t>
      </w:r>
      <w:r>
        <w:t>purposes,</w:t>
      </w:r>
      <w:r>
        <w:rPr>
          <w:spacing w:val="-3"/>
        </w:rPr>
        <w:t xml:space="preserve"> </w:t>
      </w:r>
      <w:r>
        <w:t>the</w:t>
      </w:r>
      <w:r>
        <w:rPr>
          <w:spacing w:val="-3"/>
        </w:rPr>
        <w:t xml:space="preserve"> </w:t>
      </w:r>
      <w:r>
        <w:t>actuary</w:t>
      </w:r>
      <w:r>
        <w:rPr>
          <w:spacing w:val="-3"/>
        </w:rPr>
        <w:t xml:space="preserve"> </w:t>
      </w:r>
      <w:r>
        <w:t>must</w:t>
      </w:r>
      <w:r>
        <w:rPr>
          <w:spacing w:val="-1"/>
        </w:rPr>
        <w:t xml:space="preserve"> </w:t>
      </w:r>
      <w:r>
        <w:t>consider</w:t>
      </w:r>
      <w:r>
        <w:rPr>
          <w:spacing w:val="-4"/>
        </w:rPr>
        <w:t xml:space="preserve"> </w:t>
      </w:r>
      <w:r>
        <w:t>the</w:t>
      </w:r>
      <w:r>
        <w:rPr>
          <w:spacing w:val="-4"/>
        </w:rPr>
        <w:t xml:space="preserve"> </w:t>
      </w:r>
      <w:r>
        <w:t>crosswalks</w:t>
      </w:r>
      <w:r>
        <w:rPr>
          <w:spacing w:val="-4"/>
        </w:rPr>
        <w:t xml:space="preserve"> </w:t>
      </w:r>
      <w:r>
        <w:t>from</w:t>
      </w:r>
      <w:r>
        <w:rPr>
          <w:spacing w:val="-3"/>
        </w:rPr>
        <w:t xml:space="preserve"> </w:t>
      </w:r>
      <w:r>
        <w:t>the</w:t>
      </w:r>
      <w:r>
        <w:rPr>
          <w:spacing w:val="-4"/>
        </w:rPr>
        <w:t xml:space="preserve"> </w:t>
      </w:r>
      <w:r>
        <w:t>base period to the contract period (that is, two years of crosswalks, from CY2025 to CY2026 and then from CY2026 to CY2027) taking into account MARx disenrollment transactions, as explained below. That is, Rule 4 applies only if members are: (i) crosswalked both years or (ii) crosswalked one year and disenrolled the following year.</w:t>
      </w:r>
    </w:p>
    <w:p>
      <w:pPr>
        <w:pStyle w:val="ListParagraph"/>
        <w:numPr>
          <w:ilvl w:val="1"/>
          <w:numId w:val="52"/>
        </w:numPr>
        <w:tabs>
          <w:tab w:val="left" w:pos="1944"/>
        </w:tabs>
        <w:spacing w:before="120" w:after="0" w:line="240" w:lineRule="auto"/>
        <w:ind w:left="1944" w:right="1445" w:hanging="360"/>
        <w:jc w:val="left"/>
        <w:rPr>
          <w:sz w:val="24"/>
        </w:rPr>
      </w:pPr>
      <w:r>
        <w:rPr>
          <w:sz w:val="24"/>
        </w:rPr>
        <w:t>For a BPT—that is, “Bid Y”—the MAO must report base period experience of another</w:t>
      </w:r>
      <w:r>
        <w:rPr>
          <w:spacing w:val="-4"/>
          <w:sz w:val="24"/>
        </w:rPr>
        <w:t xml:space="preserve"> </w:t>
      </w:r>
      <w:r>
        <w:rPr>
          <w:sz w:val="24"/>
        </w:rPr>
        <w:t>bid—that</w:t>
      </w:r>
      <w:r>
        <w:rPr>
          <w:spacing w:val="-3"/>
          <w:sz w:val="24"/>
        </w:rPr>
        <w:t xml:space="preserve"> </w:t>
      </w:r>
      <w:r>
        <w:rPr>
          <w:sz w:val="24"/>
        </w:rPr>
        <w:t>is,</w:t>
      </w:r>
      <w:r>
        <w:rPr>
          <w:spacing w:val="-3"/>
          <w:sz w:val="24"/>
        </w:rPr>
        <w:t xml:space="preserve"> </w:t>
      </w:r>
      <w:r>
        <w:rPr>
          <w:sz w:val="24"/>
        </w:rPr>
        <w:t>“Bid</w:t>
      </w:r>
      <w:r>
        <w:rPr>
          <w:spacing w:val="-3"/>
          <w:sz w:val="24"/>
        </w:rPr>
        <w:t xml:space="preserve"> </w:t>
      </w:r>
      <w:r>
        <w:rPr>
          <w:sz w:val="24"/>
        </w:rPr>
        <w:t>X”—on</w:t>
      </w:r>
      <w:r>
        <w:rPr>
          <w:spacing w:val="-3"/>
          <w:sz w:val="24"/>
        </w:rPr>
        <w:t xml:space="preserve"> </w:t>
      </w:r>
      <w:r>
        <w:rPr>
          <w:sz w:val="24"/>
        </w:rPr>
        <w:t>Worksheet</w:t>
      </w:r>
      <w:r>
        <w:rPr>
          <w:spacing w:val="-3"/>
          <w:sz w:val="24"/>
        </w:rPr>
        <w:t xml:space="preserve"> </w:t>
      </w:r>
      <w:r>
        <w:rPr>
          <w:sz w:val="24"/>
        </w:rPr>
        <w:t>1</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Bid</w:t>
      </w:r>
      <w:r>
        <w:rPr>
          <w:spacing w:val="-3"/>
          <w:sz w:val="24"/>
        </w:rPr>
        <w:t xml:space="preserve"> </w:t>
      </w:r>
      <w:r>
        <w:rPr>
          <w:sz w:val="24"/>
        </w:rPr>
        <w:t>Y</w:t>
      </w:r>
      <w:r>
        <w:rPr>
          <w:spacing w:val="-4"/>
          <w:sz w:val="24"/>
        </w:rPr>
        <w:t xml:space="preserve"> </w:t>
      </w:r>
      <w:r>
        <w:rPr>
          <w:sz w:val="24"/>
        </w:rPr>
        <w:t>CY2027</w:t>
      </w:r>
      <w:r>
        <w:rPr>
          <w:spacing w:val="-3"/>
          <w:sz w:val="24"/>
        </w:rPr>
        <w:t xml:space="preserve"> </w:t>
      </w:r>
      <w:r>
        <w:rPr>
          <w:sz w:val="24"/>
        </w:rPr>
        <w:t>BPT</w:t>
      </w:r>
      <w:r>
        <w:rPr>
          <w:spacing w:val="-3"/>
          <w:sz w:val="24"/>
        </w:rPr>
        <w:t xml:space="preserve"> </w:t>
      </w:r>
      <w:r>
        <w:rPr>
          <w:sz w:val="24"/>
        </w:rPr>
        <w:t>if</w:t>
      </w:r>
      <w:r>
        <w:rPr>
          <w:spacing w:val="-4"/>
          <w:sz w:val="24"/>
        </w:rPr>
        <w:t xml:space="preserve"> </w:t>
      </w:r>
      <w:r>
        <w:rPr>
          <w:sz w:val="24"/>
        </w:rPr>
        <w:t>the proportion of Bid X members who are crosswalked or moved into Bid Y and who remain in Bid Y for CY2027, is greater than or equal to the level of significance determined by the certifying actuary.</w:t>
      </w:r>
    </w:p>
    <w:p>
      <w:pPr>
        <w:pStyle w:val="ListParagraph"/>
        <w:numPr>
          <w:ilvl w:val="1"/>
          <w:numId w:val="52"/>
        </w:numPr>
        <w:tabs>
          <w:tab w:val="left" w:pos="1944"/>
        </w:tabs>
        <w:spacing w:before="1" w:after="0" w:line="240" w:lineRule="auto"/>
        <w:ind w:left="1944" w:right="1443" w:hanging="360"/>
        <w:jc w:val="both"/>
        <w:rPr>
          <w:sz w:val="24"/>
        </w:rPr>
      </w:pPr>
      <w:r>
        <w:rPr>
          <w:sz w:val="24"/>
        </w:rPr>
        <w:t>The</w:t>
      </w:r>
      <w:r>
        <w:rPr>
          <w:spacing w:val="-5"/>
          <w:sz w:val="24"/>
        </w:rPr>
        <w:t xml:space="preserve"> </w:t>
      </w:r>
      <w:r>
        <w:rPr>
          <w:sz w:val="24"/>
        </w:rPr>
        <w:t>calculation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aforementioned</w:t>
      </w:r>
      <w:r>
        <w:rPr>
          <w:spacing w:val="-4"/>
          <w:sz w:val="24"/>
        </w:rPr>
        <w:t xml:space="preserve"> </w:t>
      </w:r>
      <w:r>
        <w:rPr>
          <w:sz w:val="24"/>
        </w:rPr>
        <w:t>proportion</w:t>
      </w:r>
      <w:r>
        <w:rPr>
          <w:spacing w:val="-2"/>
          <w:sz w:val="24"/>
        </w:rPr>
        <w:t xml:space="preserve"> </w:t>
      </w:r>
      <w:r>
        <w:rPr>
          <w:sz w:val="24"/>
        </w:rPr>
        <w:t>includes</w:t>
      </w:r>
      <w:r>
        <w:rPr>
          <w:spacing w:val="-5"/>
          <w:sz w:val="24"/>
        </w:rPr>
        <w:t xml:space="preserve"> </w:t>
      </w:r>
      <w:r>
        <w:rPr>
          <w:sz w:val="24"/>
        </w:rPr>
        <w:t>the</w:t>
      </w:r>
      <w:r>
        <w:rPr>
          <w:spacing w:val="-4"/>
          <w:sz w:val="24"/>
        </w:rPr>
        <w:t xml:space="preserve"> </w:t>
      </w:r>
      <w:r>
        <w:rPr>
          <w:sz w:val="24"/>
        </w:rPr>
        <w:t>following</w:t>
      </w:r>
      <w:r>
        <w:rPr>
          <w:spacing w:val="-4"/>
          <w:sz w:val="24"/>
        </w:rPr>
        <w:t xml:space="preserve"> </w:t>
      </w:r>
      <w:r>
        <w:rPr>
          <w:sz w:val="24"/>
        </w:rPr>
        <w:t>types</w:t>
      </w:r>
      <w:r>
        <w:rPr>
          <w:spacing w:val="-5"/>
          <w:sz w:val="24"/>
        </w:rPr>
        <w:t xml:space="preserve"> </w:t>
      </w:r>
      <w:r>
        <w:rPr>
          <w:sz w:val="24"/>
        </w:rPr>
        <w:t>of crosswalks</w:t>
      </w:r>
      <w:r>
        <w:rPr>
          <w:spacing w:val="-3"/>
          <w:sz w:val="24"/>
        </w:rPr>
        <w:t xml:space="preserve"> </w:t>
      </w:r>
      <w:r>
        <w:rPr>
          <w:sz w:val="24"/>
        </w:rPr>
        <w:t>and</w:t>
      </w:r>
      <w:r>
        <w:rPr>
          <w:spacing w:val="-2"/>
          <w:sz w:val="24"/>
        </w:rPr>
        <w:t xml:space="preserve"> </w:t>
      </w:r>
      <w:r>
        <w:rPr>
          <w:sz w:val="24"/>
        </w:rPr>
        <w:t>MARx</w:t>
      </w:r>
      <w:r>
        <w:rPr>
          <w:spacing w:val="-2"/>
          <w:sz w:val="24"/>
        </w:rPr>
        <w:t xml:space="preserve"> </w:t>
      </w:r>
      <w:r>
        <w:rPr>
          <w:sz w:val="24"/>
        </w:rPr>
        <w:t>enrollment</w:t>
      </w:r>
      <w:r>
        <w:rPr>
          <w:spacing w:val="-2"/>
          <w:sz w:val="24"/>
        </w:rPr>
        <w:t xml:space="preserve"> </w:t>
      </w:r>
      <w:r>
        <w:rPr>
          <w:sz w:val="24"/>
        </w:rPr>
        <w:t>and</w:t>
      </w:r>
      <w:r>
        <w:rPr>
          <w:spacing w:val="-2"/>
          <w:sz w:val="24"/>
        </w:rPr>
        <w:t xml:space="preserve"> </w:t>
      </w:r>
      <w:r>
        <w:rPr>
          <w:sz w:val="24"/>
        </w:rPr>
        <w:t>disenrollment</w:t>
      </w:r>
      <w:r>
        <w:rPr>
          <w:spacing w:val="-2"/>
          <w:sz w:val="24"/>
        </w:rPr>
        <w:t xml:space="preserve"> </w:t>
      </w:r>
      <w:r>
        <w:rPr>
          <w:sz w:val="24"/>
        </w:rPr>
        <w:t>transactions</w:t>
      </w:r>
      <w:r>
        <w:rPr>
          <w:spacing w:val="-3"/>
          <w:sz w:val="24"/>
        </w:rPr>
        <w:t xml:space="preserve"> </w:t>
      </w:r>
      <w:r>
        <w:rPr>
          <w:sz w:val="24"/>
        </w:rPr>
        <w:t>occurring</w:t>
      </w:r>
      <w:r>
        <w:rPr>
          <w:spacing w:val="-2"/>
          <w:sz w:val="24"/>
        </w:rPr>
        <w:t xml:space="preserve"> </w:t>
      </w:r>
      <w:r>
        <w:rPr>
          <w:sz w:val="24"/>
        </w:rPr>
        <w:t>over the course of the two-year period:</w:t>
      </w:r>
    </w:p>
    <w:p>
      <w:pPr>
        <w:pStyle w:val="ListParagraph"/>
        <w:numPr>
          <w:ilvl w:val="2"/>
          <w:numId w:val="52"/>
        </w:numPr>
        <w:tabs>
          <w:tab w:val="left" w:pos="2304"/>
        </w:tabs>
        <w:spacing w:before="0" w:after="0" w:line="240" w:lineRule="auto"/>
        <w:ind w:left="2304" w:right="1704" w:hanging="360"/>
        <w:jc w:val="both"/>
        <w:rPr>
          <w:sz w:val="24"/>
        </w:rPr>
      </w:pPr>
      <w:r>
        <w:rPr>
          <w:sz w:val="24"/>
        </w:rPr>
        <w:t>A</w:t>
      </w:r>
      <w:r>
        <w:rPr>
          <w:spacing w:val="-5"/>
          <w:sz w:val="24"/>
        </w:rPr>
        <w:t xml:space="preserve"> </w:t>
      </w:r>
      <w:r>
        <w:rPr>
          <w:sz w:val="24"/>
        </w:rPr>
        <w:t>plan</w:t>
      </w:r>
      <w:r>
        <w:rPr>
          <w:spacing w:val="-4"/>
          <w:sz w:val="24"/>
        </w:rPr>
        <w:t xml:space="preserve"> </w:t>
      </w:r>
      <w:r>
        <w:rPr>
          <w:sz w:val="24"/>
        </w:rPr>
        <w:t>consolidation</w:t>
      </w:r>
      <w:r>
        <w:rPr>
          <w:spacing w:val="-3"/>
          <w:sz w:val="24"/>
        </w:rPr>
        <w:t xml:space="preserve"> </w:t>
      </w:r>
      <w:r>
        <w:rPr>
          <w:sz w:val="24"/>
        </w:rPr>
        <w:t>for</w:t>
      </w:r>
      <w:r>
        <w:rPr>
          <w:spacing w:val="-4"/>
          <w:sz w:val="24"/>
        </w:rPr>
        <w:t xml:space="preserve"> </w:t>
      </w:r>
      <w:r>
        <w:rPr>
          <w:sz w:val="24"/>
        </w:rPr>
        <w:t>CY2026</w:t>
      </w:r>
      <w:r>
        <w:rPr>
          <w:spacing w:val="-4"/>
          <w:sz w:val="24"/>
        </w:rPr>
        <w:t xml:space="preserve"> </w:t>
      </w:r>
      <w:r>
        <w:rPr>
          <w:sz w:val="24"/>
        </w:rPr>
        <w:t>or</w:t>
      </w:r>
      <w:r>
        <w:rPr>
          <w:spacing w:val="-4"/>
          <w:sz w:val="24"/>
        </w:rPr>
        <w:t xml:space="preserve"> </w:t>
      </w:r>
      <w:r>
        <w:rPr>
          <w:sz w:val="24"/>
        </w:rPr>
        <w:t>a</w:t>
      </w:r>
      <w:r>
        <w:rPr>
          <w:spacing w:val="-6"/>
          <w:sz w:val="24"/>
        </w:rPr>
        <w:t xml:space="preserve"> </w:t>
      </w:r>
      <w:r>
        <w:rPr>
          <w:sz w:val="24"/>
        </w:rPr>
        <w:t>proposed</w:t>
      </w:r>
      <w:r>
        <w:rPr>
          <w:spacing w:val="-2"/>
          <w:sz w:val="24"/>
        </w:rPr>
        <w:t xml:space="preserve"> </w:t>
      </w:r>
      <w:r>
        <w:rPr>
          <w:sz w:val="24"/>
        </w:rPr>
        <w:t>consolidation</w:t>
      </w:r>
      <w:r>
        <w:rPr>
          <w:spacing w:val="-4"/>
          <w:sz w:val="24"/>
        </w:rPr>
        <w:t xml:space="preserve"> </w:t>
      </w:r>
      <w:r>
        <w:rPr>
          <w:sz w:val="24"/>
        </w:rPr>
        <w:t>for</w:t>
      </w:r>
      <w:r>
        <w:rPr>
          <w:spacing w:val="-5"/>
          <w:sz w:val="24"/>
        </w:rPr>
        <w:t xml:space="preserve"> </w:t>
      </w:r>
      <w:r>
        <w:rPr>
          <w:sz w:val="24"/>
        </w:rPr>
        <w:t>CY2027 that moves Bid X members to Bid Y under a formal crosswalk.</w:t>
      </w:r>
    </w:p>
    <w:p>
      <w:pPr>
        <w:pStyle w:val="ListParagraph"/>
        <w:numPr>
          <w:ilvl w:val="2"/>
          <w:numId w:val="52"/>
        </w:numPr>
        <w:tabs>
          <w:tab w:val="left" w:pos="2304"/>
        </w:tabs>
        <w:spacing w:before="0" w:after="0" w:line="240" w:lineRule="auto"/>
        <w:ind w:left="2304" w:right="1991" w:hanging="360"/>
        <w:jc w:val="both"/>
        <w:rPr>
          <w:sz w:val="24"/>
        </w:rPr>
      </w:pPr>
      <w:r>
        <w:rPr>
          <w:sz w:val="24"/>
        </w:rPr>
        <w:t>A</w:t>
      </w:r>
      <w:r>
        <w:rPr>
          <w:spacing w:val="-4"/>
          <w:sz w:val="24"/>
        </w:rPr>
        <w:t xml:space="preserve"> </w:t>
      </w:r>
      <w:r>
        <w:rPr>
          <w:sz w:val="24"/>
        </w:rPr>
        <w:t>service</w:t>
      </w:r>
      <w:r>
        <w:rPr>
          <w:spacing w:val="-3"/>
          <w:sz w:val="24"/>
        </w:rPr>
        <w:t xml:space="preserve"> </w:t>
      </w:r>
      <w:r>
        <w:rPr>
          <w:sz w:val="24"/>
        </w:rPr>
        <w:t>area</w:t>
      </w:r>
      <w:r>
        <w:rPr>
          <w:spacing w:val="-4"/>
          <w:sz w:val="24"/>
        </w:rPr>
        <w:t xml:space="preserve"> </w:t>
      </w:r>
      <w:r>
        <w:rPr>
          <w:sz w:val="24"/>
        </w:rPr>
        <w:t>expansion</w:t>
      </w:r>
      <w:r>
        <w:rPr>
          <w:spacing w:val="-4"/>
          <w:sz w:val="24"/>
        </w:rPr>
        <w:t xml:space="preserve"> </w:t>
      </w:r>
      <w:r>
        <w:rPr>
          <w:sz w:val="24"/>
        </w:rPr>
        <w:t>(SAE)</w:t>
      </w:r>
      <w:r>
        <w:rPr>
          <w:spacing w:val="-5"/>
          <w:sz w:val="24"/>
        </w:rPr>
        <w:t xml:space="preserve"> </w:t>
      </w:r>
      <w:r>
        <w:rPr>
          <w:sz w:val="24"/>
        </w:rPr>
        <w:t>for</w:t>
      </w:r>
      <w:r>
        <w:rPr>
          <w:spacing w:val="-4"/>
          <w:sz w:val="24"/>
        </w:rPr>
        <w:t xml:space="preserve"> </w:t>
      </w:r>
      <w:r>
        <w:rPr>
          <w:sz w:val="24"/>
        </w:rPr>
        <w:t>CY2026</w:t>
      </w:r>
      <w:r>
        <w:rPr>
          <w:spacing w:val="-4"/>
          <w:sz w:val="24"/>
        </w:rPr>
        <w:t xml:space="preserve"> </w:t>
      </w:r>
      <w:r>
        <w:rPr>
          <w:sz w:val="24"/>
        </w:rPr>
        <w:t>or</w:t>
      </w:r>
      <w:r>
        <w:rPr>
          <w:spacing w:val="-3"/>
          <w:sz w:val="24"/>
        </w:rPr>
        <w:t xml:space="preserve"> </w:t>
      </w:r>
      <w:r>
        <w:rPr>
          <w:sz w:val="24"/>
        </w:rPr>
        <w:t>a</w:t>
      </w:r>
      <w:r>
        <w:rPr>
          <w:spacing w:val="-3"/>
          <w:sz w:val="24"/>
        </w:rPr>
        <w:t xml:space="preserve"> </w:t>
      </w:r>
      <w:r>
        <w:rPr>
          <w:sz w:val="24"/>
        </w:rPr>
        <w:t>proposed</w:t>
      </w:r>
      <w:r>
        <w:rPr>
          <w:spacing w:val="-4"/>
          <w:sz w:val="24"/>
        </w:rPr>
        <w:t xml:space="preserve"> </w:t>
      </w:r>
      <w:r>
        <w:rPr>
          <w:sz w:val="24"/>
        </w:rPr>
        <w:t>SAE</w:t>
      </w:r>
      <w:r>
        <w:rPr>
          <w:spacing w:val="-4"/>
          <w:sz w:val="24"/>
        </w:rPr>
        <w:t xml:space="preserve"> </w:t>
      </w:r>
      <w:r>
        <w:rPr>
          <w:sz w:val="24"/>
        </w:rPr>
        <w:t>for</w:t>
      </w:r>
      <w:r>
        <w:rPr>
          <w:spacing w:val="-5"/>
          <w:sz w:val="24"/>
        </w:rPr>
        <w:t xml:space="preserve"> </w:t>
      </w:r>
      <w:r>
        <w:rPr>
          <w:sz w:val="24"/>
        </w:rPr>
        <w:t>the CY2027</w:t>
      </w:r>
      <w:r>
        <w:rPr>
          <w:spacing w:val="-2"/>
          <w:sz w:val="24"/>
        </w:rPr>
        <w:t xml:space="preserve"> </w:t>
      </w:r>
      <w:r>
        <w:rPr>
          <w:sz w:val="24"/>
        </w:rPr>
        <w:t>that</w:t>
      </w:r>
      <w:r>
        <w:rPr>
          <w:spacing w:val="-2"/>
          <w:sz w:val="24"/>
        </w:rPr>
        <w:t xml:space="preserve"> </w:t>
      </w:r>
      <w:r>
        <w:rPr>
          <w:sz w:val="24"/>
        </w:rPr>
        <w:t>crosswalks or</w:t>
      </w:r>
      <w:r>
        <w:rPr>
          <w:spacing w:val="-2"/>
          <w:sz w:val="24"/>
        </w:rPr>
        <w:t xml:space="preserve"> </w:t>
      </w:r>
      <w:r>
        <w:rPr>
          <w:sz w:val="24"/>
        </w:rPr>
        <w:t>moves</w:t>
      </w:r>
      <w:r>
        <w:rPr>
          <w:spacing w:val="-3"/>
          <w:sz w:val="24"/>
        </w:rPr>
        <w:t xml:space="preserve"> </w:t>
      </w:r>
      <w:r>
        <w:rPr>
          <w:sz w:val="24"/>
        </w:rPr>
        <w:t>Bid</w:t>
      </w:r>
      <w:r>
        <w:rPr>
          <w:spacing w:val="-2"/>
          <w:sz w:val="24"/>
        </w:rPr>
        <w:t xml:space="preserve"> </w:t>
      </w:r>
      <w:r>
        <w:rPr>
          <w:sz w:val="24"/>
        </w:rPr>
        <w:t>X</w:t>
      </w:r>
      <w:r>
        <w:rPr>
          <w:spacing w:val="-3"/>
          <w:sz w:val="24"/>
        </w:rPr>
        <w:t xml:space="preserve"> </w:t>
      </w:r>
      <w:r>
        <w:rPr>
          <w:sz w:val="24"/>
        </w:rPr>
        <w:t>members</w:t>
      </w:r>
      <w:r>
        <w:rPr>
          <w:spacing w:val="-3"/>
          <w:sz w:val="24"/>
        </w:rPr>
        <w:t xml:space="preserve"> </w:t>
      </w:r>
      <w:r>
        <w:rPr>
          <w:sz w:val="24"/>
        </w:rPr>
        <w:t>to</w:t>
      </w:r>
      <w:r>
        <w:rPr>
          <w:spacing w:val="-2"/>
          <w:sz w:val="24"/>
        </w:rPr>
        <w:t xml:space="preserve"> </w:t>
      </w:r>
      <w:r>
        <w:rPr>
          <w:sz w:val="24"/>
        </w:rPr>
        <w:t>Bid</w:t>
      </w:r>
      <w:r>
        <w:rPr>
          <w:spacing w:val="-2"/>
          <w:sz w:val="24"/>
        </w:rPr>
        <w:t xml:space="preserve"> </w:t>
      </w:r>
      <w:r>
        <w:rPr>
          <w:sz w:val="24"/>
        </w:rPr>
        <w:t>Y</w:t>
      </w:r>
      <w:r>
        <w:rPr>
          <w:spacing w:val="-1"/>
          <w:sz w:val="24"/>
        </w:rPr>
        <w:t xml:space="preserve"> </w:t>
      </w:r>
      <w:r>
        <w:rPr>
          <w:sz w:val="24"/>
        </w:rPr>
        <w:t>via</w:t>
      </w:r>
      <w:r>
        <w:rPr>
          <w:spacing w:val="-3"/>
          <w:sz w:val="24"/>
        </w:rPr>
        <w:t xml:space="preserve"> </w:t>
      </w:r>
      <w:r>
        <w:rPr>
          <w:sz w:val="24"/>
        </w:rPr>
        <w:t>MARx enrollment transactions.</w:t>
      </w:r>
    </w:p>
    <w:p>
      <w:pPr>
        <w:pStyle w:val="ListParagraph"/>
        <w:numPr>
          <w:ilvl w:val="2"/>
          <w:numId w:val="52"/>
        </w:numPr>
        <w:tabs>
          <w:tab w:val="left" w:pos="2304"/>
        </w:tabs>
        <w:spacing w:before="0" w:after="0" w:line="240" w:lineRule="auto"/>
        <w:ind w:left="2304" w:right="1720" w:hanging="360"/>
        <w:jc w:val="left"/>
        <w:rPr>
          <w:sz w:val="24"/>
        </w:rPr>
      </w:pPr>
      <w:r>
        <w:rPr>
          <w:sz w:val="24"/>
        </w:rPr>
        <w:t>A proposed service area reduction (SAR) for CY2027. The calculation pertains only to prior Bid X members (that is, Bid X members who were moved to Bid Y for CY2026) who will be disenrolled from Plan Y via MARx</w:t>
      </w:r>
      <w:r>
        <w:rPr>
          <w:spacing w:val="-3"/>
          <w:sz w:val="24"/>
        </w:rPr>
        <w:t xml:space="preserve"> </w:t>
      </w:r>
      <w:r>
        <w:rPr>
          <w:sz w:val="24"/>
        </w:rPr>
        <w:t>transactions</w:t>
      </w:r>
      <w:r>
        <w:rPr>
          <w:spacing w:val="-2"/>
          <w:sz w:val="24"/>
        </w:rPr>
        <w:t xml:space="preserve"> </w:t>
      </w:r>
      <w:r>
        <w:rPr>
          <w:sz w:val="24"/>
        </w:rPr>
        <w:t>due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SAR</w:t>
      </w:r>
      <w:r>
        <w:rPr>
          <w:spacing w:val="-3"/>
          <w:sz w:val="24"/>
        </w:rPr>
        <w:t xml:space="preserve"> </w:t>
      </w:r>
      <w:r>
        <w:rPr>
          <w:sz w:val="24"/>
        </w:rPr>
        <w:t>for</w:t>
      </w:r>
      <w:r>
        <w:rPr>
          <w:spacing w:val="-5"/>
          <w:sz w:val="24"/>
        </w:rPr>
        <w:t xml:space="preserve"> </w:t>
      </w:r>
      <w:r>
        <w:rPr>
          <w:sz w:val="24"/>
        </w:rPr>
        <w:t>CY2027.</w:t>
      </w:r>
      <w:r>
        <w:rPr>
          <w:spacing w:val="-2"/>
          <w:sz w:val="24"/>
        </w:rPr>
        <w:t xml:space="preserve"> </w:t>
      </w:r>
      <w:r>
        <w:rPr>
          <w:sz w:val="24"/>
        </w:rPr>
        <w:t>If</w:t>
      </w:r>
      <w:r>
        <w:rPr>
          <w:spacing w:val="-5"/>
          <w:sz w:val="24"/>
        </w:rPr>
        <w:t xml:space="preserve"> </w:t>
      </w:r>
      <w:r>
        <w:rPr>
          <w:sz w:val="24"/>
        </w:rPr>
        <w:t>all</w:t>
      </w:r>
      <w:r>
        <w:rPr>
          <w:spacing w:val="-3"/>
          <w:sz w:val="24"/>
        </w:rPr>
        <w:t xml:space="preserve"> </w:t>
      </w:r>
      <w:r>
        <w:rPr>
          <w:sz w:val="24"/>
        </w:rPr>
        <w:t>Bid</w:t>
      </w:r>
      <w:r>
        <w:rPr>
          <w:spacing w:val="-3"/>
          <w:sz w:val="24"/>
        </w:rPr>
        <w:t xml:space="preserve"> </w:t>
      </w:r>
      <w:r>
        <w:rPr>
          <w:sz w:val="24"/>
        </w:rPr>
        <w:t>X</w:t>
      </w:r>
      <w:r>
        <w:rPr>
          <w:spacing w:val="-4"/>
          <w:sz w:val="24"/>
        </w:rPr>
        <w:t xml:space="preserve"> </w:t>
      </w:r>
      <w:r>
        <w:rPr>
          <w:sz w:val="24"/>
        </w:rPr>
        <w:t>members</w:t>
      </w:r>
      <w:r>
        <w:rPr>
          <w:spacing w:val="-4"/>
          <w:sz w:val="24"/>
        </w:rPr>
        <w:t xml:space="preserve"> </w:t>
      </w:r>
      <w:r>
        <w:rPr>
          <w:sz w:val="24"/>
        </w:rPr>
        <w:t>are removed for CY2027, then Bid X members should be excluded from the</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BodyText"/>
        <w:ind w:left="2304" w:right="1481"/>
      </w:pPr>
      <w:r>
        <w:t>base</w:t>
      </w:r>
      <w:r>
        <w:rPr>
          <w:spacing w:val="-4"/>
        </w:rPr>
        <w:t xml:space="preserve"> </w:t>
      </w:r>
      <w:r>
        <w:t>period.</w:t>
      </w:r>
      <w:r>
        <w:rPr>
          <w:spacing w:val="-2"/>
        </w:rPr>
        <w:t xml:space="preserve"> </w:t>
      </w:r>
      <w:r>
        <w:t>If</w:t>
      </w:r>
      <w:r>
        <w:rPr>
          <w:spacing w:val="-5"/>
        </w:rPr>
        <w:t xml:space="preserve"> </w:t>
      </w:r>
      <w:r>
        <w:t>some</w:t>
      </w:r>
      <w:r>
        <w:rPr>
          <w:spacing w:val="-4"/>
        </w:rPr>
        <w:t xml:space="preserve"> </w:t>
      </w:r>
      <w:r>
        <w:t>of</w:t>
      </w:r>
      <w:r>
        <w:rPr>
          <w:spacing w:val="-3"/>
        </w:rPr>
        <w:t xml:space="preserve"> </w:t>
      </w:r>
      <w:r>
        <w:t>the</w:t>
      </w:r>
      <w:r>
        <w:rPr>
          <w:spacing w:val="-4"/>
        </w:rPr>
        <w:t xml:space="preserve"> </w:t>
      </w:r>
      <w:r>
        <w:t>Bid</w:t>
      </w:r>
      <w:r>
        <w:rPr>
          <w:spacing w:val="-3"/>
        </w:rPr>
        <w:t xml:space="preserve"> </w:t>
      </w:r>
      <w:r>
        <w:t>X</w:t>
      </w:r>
      <w:r>
        <w:rPr>
          <w:spacing w:val="-4"/>
        </w:rPr>
        <w:t xml:space="preserve"> </w:t>
      </w:r>
      <w:r>
        <w:t>members</w:t>
      </w:r>
      <w:r>
        <w:rPr>
          <w:spacing w:val="-4"/>
        </w:rPr>
        <w:t xml:space="preserve"> </w:t>
      </w:r>
      <w:r>
        <w:t>are</w:t>
      </w:r>
      <w:r>
        <w:rPr>
          <w:spacing w:val="-4"/>
        </w:rPr>
        <w:t xml:space="preserve"> </w:t>
      </w:r>
      <w:r>
        <w:t>disenrolled</w:t>
      </w:r>
      <w:r>
        <w:rPr>
          <w:spacing w:val="-3"/>
        </w:rPr>
        <w:t xml:space="preserve"> </w:t>
      </w:r>
      <w:r>
        <w:t>from</w:t>
      </w:r>
      <w:r>
        <w:rPr>
          <w:spacing w:val="-3"/>
        </w:rPr>
        <w:t xml:space="preserve"> </w:t>
      </w:r>
      <w:r>
        <w:t>Bid</w:t>
      </w:r>
      <w:r>
        <w:rPr>
          <w:spacing w:val="-3"/>
        </w:rPr>
        <w:t xml:space="preserve"> </w:t>
      </w:r>
      <w:r>
        <w:t>Y</w:t>
      </w:r>
      <w:r>
        <w:rPr>
          <w:spacing w:val="-4"/>
        </w:rPr>
        <w:t xml:space="preserve"> </w:t>
      </w:r>
      <w:r>
        <w:t>for CY2027 then Rule #3 applies.</w:t>
      </w:r>
    </w:p>
    <w:p>
      <w:pPr>
        <w:pStyle w:val="ListParagraph"/>
        <w:numPr>
          <w:ilvl w:val="1"/>
          <w:numId w:val="52"/>
        </w:numPr>
        <w:tabs>
          <w:tab w:val="left" w:pos="1944"/>
        </w:tabs>
        <w:spacing w:before="0" w:after="0" w:line="240" w:lineRule="auto"/>
        <w:ind w:left="1944" w:right="2059" w:hanging="360"/>
        <w:jc w:val="left"/>
        <w:rPr>
          <w:sz w:val="24"/>
        </w:rPr>
      </w:pPr>
      <w:r>
        <w:rPr>
          <w:sz w:val="24"/>
        </w:rPr>
        <w:t>A</w:t>
      </w:r>
      <w:r>
        <w:rPr>
          <w:spacing w:val="-5"/>
          <w:sz w:val="24"/>
        </w:rPr>
        <w:t xml:space="preserve"> </w:t>
      </w:r>
      <w:r>
        <w:rPr>
          <w:sz w:val="24"/>
        </w:rPr>
        <w:t>separate</w:t>
      </w:r>
      <w:r>
        <w:rPr>
          <w:spacing w:val="-4"/>
          <w:sz w:val="24"/>
        </w:rPr>
        <w:t xml:space="preserve"> </w:t>
      </w:r>
      <w:r>
        <w:rPr>
          <w:sz w:val="24"/>
        </w:rPr>
        <w:t>calculation</w:t>
      </w:r>
      <w:r>
        <w:rPr>
          <w:spacing w:val="-4"/>
          <w:sz w:val="24"/>
        </w:rPr>
        <w:t xml:space="preserve"> </w:t>
      </w:r>
      <w:r>
        <w:rPr>
          <w:sz w:val="24"/>
        </w:rPr>
        <w:t>is</w:t>
      </w:r>
      <w:r>
        <w:rPr>
          <w:spacing w:val="-4"/>
          <w:sz w:val="24"/>
        </w:rPr>
        <w:t xml:space="preserve"> </w:t>
      </w:r>
      <w:r>
        <w:rPr>
          <w:sz w:val="24"/>
        </w:rPr>
        <w:t>required</w:t>
      </w:r>
      <w:r>
        <w:rPr>
          <w:spacing w:val="-4"/>
          <w:sz w:val="24"/>
        </w:rPr>
        <w:t xml:space="preserve"> </w:t>
      </w:r>
      <w:r>
        <w:rPr>
          <w:sz w:val="24"/>
        </w:rPr>
        <w:t>for</w:t>
      </w:r>
      <w:r>
        <w:rPr>
          <w:spacing w:val="-4"/>
          <w:sz w:val="24"/>
        </w:rPr>
        <w:t xml:space="preserve"> </w:t>
      </w:r>
      <w:r>
        <w:rPr>
          <w:sz w:val="24"/>
        </w:rPr>
        <w:t>each</w:t>
      </w:r>
      <w:r>
        <w:rPr>
          <w:spacing w:val="-4"/>
          <w:sz w:val="24"/>
        </w:rPr>
        <w:t xml:space="preserve"> </w:t>
      </w:r>
      <w:r>
        <w:rPr>
          <w:sz w:val="24"/>
        </w:rPr>
        <w:t>Bid</w:t>
      </w:r>
      <w:r>
        <w:rPr>
          <w:spacing w:val="-4"/>
          <w:sz w:val="24"/>
        </w:rPr>
        <w:t xml:space="preserve"> </w:t>
      </w:r>
      <w:r>
        <w:rPr>
          <w:sz w:val="24"/>
        </w:rPr>
        <w:t>X</w:t>
      </w:r>
      <w:r>
        <w:rPr>
          <w:spacing w:val="-5"/>
          <w:sz w:val="24"/>
        </w:rPr>
        <w:t xml:space="preserve"> </w:t>
      </w:r>
      <w:r>
        <w:rPr>
          <w:sz w:val="24"/>
        </w:rPr>
        <w:t>from</w:t>
      </w:r>
      <w:r>
        <w:rPr>
          <w:spacing w:val="-4"/>
          <w:sz w:val="24"/>
        </w:rPr>
        <w:t xml:space="preserve"> </w:t>
      </w:r>
      <w:r>
        <w:rPr>
          <w:sz w:val="24"/>
        </w:rPr>
        <w:t>which</w:t>
      </w:r>
      <w:r>
        <w:rPr>
          <w:spacing w:val="-4"/>
          <w:sz w:val="24"/>
        </w:rPr>
        <w:t xml:space="preserve"> </w:t>
      </w:r>
      <w:r>
        <w:rPr>
          <w:sz w:val="24"/>
        </w:rPr>
        <w:t>members</w:t>
      </w:r>
      <w:r>
        <w:rPr>
          <w:spacing w:val="-5"/>
          <w:sz w:val="24"/>
        </w:rPr>
        <w:t xml:space="preserve"> </w:t>
      </w:r>
      <w:r>
        <w:rPr>
          <w:sz w:val="24"/>
        </w:rPr>
        <w:t>are crosswalked into Bid Y.</w:t>
      </w:r>
    </w:p>
    <w:p>
      <w:pPr>
        <w:spacing w:before="241"/>
        <w:ind w:left="504" w:right="0" w:firstLine="0"/>
        <w:jc w:val="left"/>
        <w:rPr>
          <w:rFonts w:ascii="Arial"/>
          <w:b/>
          <w:sz w:val="21"/>
        </w:rPr>
      </w:pPr>
      <w:bookmarkStart w:id="27" w:name="Benefits and Service Categories"/>
      <w:bookmarkEnd w:id="27"/>
      <w:bookmarkStart w:id="28" w:name="_bookmark12"/>
      <w:bookmarkEnd w:id="28"/>
      <w:r>
        <w:rPr>
          <w:rFonts w:ascii="Arial"/>
          <w:b/>
          <w:sz w:val="21"/>
        </w:rPr>
        <w:t>Benefits</w:t>
      </w:r>
      <w:r>
        <w:rPr>
          <w:rFonts w:ascii="Arial"/>
          <w:b/>
          <w:spacing w:val="-7"/>
          <w:sz w:val="21"/>
        </w:rPr>
        <w:t xml:space="preserve"> </w:t>
      </w:r>
      <w:r>
        <w:rPr>
          <w:rFonts w:ascii="Arial"/>
          <w:b/>
          <w:sz w:val="21"/>
        </w:rPr>
        <w:t>and</w:t>
      </w:r>
      <w:r>
        <w:rPr>
          <w:rFonts w:ascii="Arial"/>
          <w:b/>
          <w:spacing w:val="-6"/>
          <w:sz w:val="21"/>
        </w:rPr>
        <w:t xml:space="preserve"> </w:t>
      </w:r>
      <w:r>
        <w:rPr>
          <w:rFonts w:ascii="Arial"/>
          <w:b/>
          <w:sz w:val="21"/>
        </w:rPr>
        <w:t>Service</w:t>
      </w:r>
      <w:r>
        <w:rPr>
          <w:rFonts w:ascii="Arial"/>
          <w:b/>
          <w:spacing w:val="-7"/>
          <w:sz w:val="21"/>
        </w:rPr>
        <w:t xml:space="preserve"> </w:t>
      </w:r>
      <w:r>
        <w:rPr>
          <w:rFonts w:ascii="Arial"/>
          <w:b/>
          <w:spacing w:val="-2"/>
          <w:sz w:val="21"/>
        </w:rPr>
        <w:t>Categories</w:t>
      </w:r>
    </w:p>
    <w:p>
      <w:pPr>
        <w:pStyle w:val="BodyText"/>
        <w:spacing w:before="120"/>
        <w:ind w:right="1443"/>
      </w:pPr>
      <w:r>
        <w:t xml:space="preserve">Benefits are defined in regulations, Chapter 4 of the </w:t>
      </w:r>
      <w:r>
        <w:rPr>
          <w:i/>
        </w:rPr>
        <w:t>Medicare Managed Care Manual</w:t>
      </w:r>
      <w:r>
        <w:rPr>
          <w:i/>
        </w:rPr>
        <w:t xml:space="preserve"> </w:t>
      </w:r>
      <w:r>
        <w:t>(MMCM),</w:t>
      </w:r>
      <w:r>
        <w:rPr>
          <w:spacing w:val="-4"/>
        </w:rPr>
        <w:t xml:space="preserve"> </w:t>
      </w:r>
      <w:r>
        <w:t>and</w:t>
      </w:r>
      <w:r>
        <w:rPr>
          <w:spacing w:val="-4"/>
        </w:rPr>
        <w:t xml:space="preserve"> </w:t>
      </w:r>
      <w:r>
        <w:t>other</w:t>
      </w:r>
      <w:r>
        <w:rPr>
          <w:spacing w:val="-6"/>
        </w:rPr>
        <w:t xml:space="preserve"> </w:t>
      </w:r>
      <w:r>
        <w:t>CMS</w:t>
      </w:r>
      <w:r>
        <w:rPr>
          <w:spacing w:val="-2"/>
        </w:rPr>
        <w:t xml:space="preserve"> </w:t>
      </w:r>
      <w:r>
        <w:t>instructions</w:t>
      </w:r>
      <w:r>
        <w:rPr>
          <w:spacing w:val="-4"/>
        </w:rPr>
        <w:t xml:space="preserve"> </w:t>
      </w:r>
      <w:r>
        <w:t>(for</w:t>
      </w:r>
      <w:r>
        <w:rPr>
          <w:spacing w:val="-6"/>
        </w:rPr>
        <w:t xml:space="preserve"> </w:t>
      </w:r>
      <w:r>
        <w:t>example,</w:t>
      </w:r>
      <w:r>
        <w:rPr>
          <w:spacing w:val="-4"/>
        </w:rPr>
        <w:t xml:space="preserve"> </w:t>
      </w:r>
      <w:r>
        <w:t>HPMS</w:t>
      </w:r>
      <w:r>
        <w:rPr>
          <w:spacing w:val="-3"/>
        </w:rPr>
        <w:t xml:space="preserve"> </w:t>
      </w:r>
      <w:r>
        <w:t>memoranda)</w:t>
      </w:r>
      <w:r>
        <w:rPr>
          <w:spacing w:val="-5"/>
        </w:rPr>
        <w:t xml:space="preserve"> </w:t>
      </w:r>
      <w:r>
        <w:t>as</w:t>
      </w:r>
      <w:r>
        <w:rPr>
          <w:spacing w:val="-4"/>
        </w:rPr>
        <w:t xml:space="preserve"> </w:t>
      </w:r>
      <w:r>
        <w:t>Medicare-covered, mandatory supplemental, or optional supplemental benefits.</w:t>
      </w:r>
    </w:p>
    <w:p>
      <w:pPr>
        <w:pStyle w:val="BodyText"/>
        <w:spacing w:before="120"/>
        <w:ind w:right="1443"/>
      </w:pPr>
      <w:r>
        <w:t>Benefits</w:t>
      </w:r>
      <w:r>
        <w:rPr>
          <w:spacing w:val="-3"/>
        </w:rPr>
        <w:t xml:space="preserve"> </w:t>
      </w:r>
      <w:r>
        <w:t>must</w:t>
      </w:r>
      <w:r>
        <w:rPr>
          <w:spacing w:val="-2"/>
        </w:rPr>
        <w:t xml:space="preserve"> </w:t>
      </w:r>
      <w:r>
        <w:t>be</w:t>
      </w:r>
      <w:r>
        <w:rPr>
          <w:spacing w:val="-4"/>
        </w:rPr>
        <w:t xml:space="preserve"> </w:t>
      </w:r>
      <w:r>
        <w:t>priced</w:t>
      </w:r>
      <w:r>
        <w:rPr>
          <w:spacing w:val="-3"/>
        </w:rPr>
        <w:t xml:space="preserve"> </w:t>
      </w:r>
      <w:r>
        <w:t>in</w:t>
      </w:r>
      <w:r>
        <w:rPr>
          <w:spacing w:val="-3"/>
        </w:rPr>
        <w:t xml:space="preserve"> </w:t>
      </w:r>
      <w:r>
        <w:t>the</w:t>
      </w:r>
      <w:r>
        <w:rPr>
          <w:spacing w:val="-3"/>
        </w:rPr>
        <w:t xml:space="preserve"> </w:t>
      </w:r>
      <w:r>
        <w:t>BPT</w:t>
      </w:r>
      <w:r>
        <w:rPr>
          <w:spacing w:val="-3"/>
        </w:rPr>
        <w:t xml:space="preserve"> </w:t>
      </w:r>
      <w:r>
        <w:t>as</w:t>
      </w:r>
      <w:r>
        <w:rPr>
          <w:spacing w:val="-4"/>
        </w:rPr>
        <w:t xml:space="preserve"> </w:t>
      </w:r>
      <w:r>
        <w:t>benefit</w:t>
      </w:r>
      <w:r>
        <w:rPr>
          <w:spacing w:val="-3"/>
        </w:rPr>
        <w:t xml:space="preserve"> </w:t>
      </w:r>
      <w:r>
        <w:t>expenses,</w:t>
      </w:r>
      <w:r>
        <w:rPr>
          <w:spacing w:val="-3"/>
        </w:rPr>
        <w:t xml:space="preserve"> </w:t>
      </w:r>
      <w:r>
        <w:t>not</w:t>
      </w:r>
      <w:r>
        <w:rPr>
          <w:spacing w:val="-3"/>
        </w:rPr>
        <w:t xml:space="preserve"> </w:t>
      </w:r>
      <w:r>
        <w:t>non-benefit</w:t>
      </w:r>
      <w:r>
        <w:rPr>
          <w:spacing w:val="-3"/>
        </w:rPr>
        <w:t xml:space="preserve"> </w:t>
      </w:r>
      <w:r>
        <w:t>expenses.</w:t>
      </w:r>
      <w:r>
        <w:rPr>
          <w:spacing w:val="-3"/>
        </w:rPr>
        <w:t xml:space="preserve"> </w:t>
      </w:r>
      <w:r>
        <w:t>For</w:t>
      </w:r>
      <w:r>
        <w:rPr>
          <w:spacing w:val="-3"/>
        </w:rPr>
        <w:t xml:space="preserve"> </w:t>
      </w:r>
      <w:r>
        <w:t xml:space="preserve">example, dental services, a fitness benefit, and other supplemental benefits must all be priced as benefit </w:t>
      </w:r>
      <w:r>
        <w:rPr>
          <w:spacing w:val="-2"/>
        </w:rPr>
        <w:t>expenses.</w:t>
      </w:r>
    </w:p>
    <w:p>
      <w:pPr>
        <w:pStyle w:val="BodyText"/>
        <w:spacing w:before="121"/>
      </w:pPr>
      <w:r>
        <w:t>The</w:t>
      </w:r>
      <w:r>
        <w:rPr>
          <w:spacing w:val="-5"/>
        </w:rPr>
        <w:t xml:space="preserve"> </w:t>
      </w:r>
      <w:r>
        <w:t>BPT</w:t>
      </w:r>
      <w:r>
        <w:rPr>
          <w:spacing w:val="-1"/>
        </w:rPr>
        <w:t xml:space="preserve"> </w:t>
      </w:r>
      <w:r>
        <w:t>must</w:t>
      </w:r>
      <w:r>
        <w:rPr>
          <w:spacing w:val="-1"/>
        </w:rPr>
        <w:t xml:space="preserve"> </w:t>
      </w:r>
      <w:r>
        <w:t>exclude</w:t>
      </w:r>
      <w:r>
        <w:rPr>
          <w:spacing w:val="-1"/>
        </w:rPr>
        <w:t xml:space="preserve"> </w:t>
      </w:r>
      <w:r>
        <w:t>the cost</w:t>
      </w:r>
      <w:r>
        <w:rPr>
          <w:spacing w:val="-1"/>
        </w:rPr>
        <w:t xml:space="preserve"> </w:t>
      </w:r>
      <w:r>
        <w:t>of</w:t>
      </w:r>
      <w:r>
        <w:rPr>
          <w:spacing w:val="-1"/>
        </w:rPr>
        <w:t xml:space="preserve"> </w:t>
      </w:r>
      <w:r>
        <w:t>value-added</w:t>
      </w:r>
      <w:r>
        <w:rPr>
          <w:spacing w:val="-2"/>
        </w:rPr>
        <w:t xml:space="preserve"> </w:t>
      </w:r>
      <w:r>
        <w:t>items</w:t>
      </w:r>
      <w:r>
        <w:rPr>
          <w:spacing w:val="-2"/>
        </w:rPr>
        <w:t xml:space="preserve"> </w:t>
      </w:r>
      <w:r>
        <w:t xml:space="preserve">and </w:t>
      </w:r>
      <w:r>
        <w:rPr>
          <w:spacing w:val="-2"/>
        </w:rPr>
        <w:t>services.</w:t>
      </w:r>
    </w:p>
    <w:p>
      <w:pPr>
        <w:pStyle w:val="BodyText"/>
        <w:spacing w:before="117"/>
        <w:ind w:right="1492"/>
      </w:pPr>
      <w:r>
        <w:t>The user must generally enter input items related to medical expenses separately for each service category displayed in the BPT. Note that the “Part B Rx” service category includes prescription drug rebates that serve to decrease the MAO’s cost of providing Part B Rx benefits. The total amount of the Part B Rx rebate is to be included here. If the pharmacy benefit manager (PBM) retains a portion of the manufacturers’ rebate to cover administrative costs,</w:t>
      </w:r>
      <w:r>
        <w:rPr>
          <w:spacing w:val="-3"/>
        </w:rPr>
        <w:t xml:space="preserve"> </w:t>
      </w:r>
      <w:r>
        <w:t>the</w:t>
      </w:r>
      <w:r>
        <w:rPr>
          <w:spacing w:val="-3"/>
        </w:rPr>
        <w:t xml:space="preserve"> </w:t>
      </w:r>
      <w:r>
        <w:t>total</w:t>
      </w:r>
      <w:r>
        <w:rPr>
          <w:spacing w:val="-3"/>
        </w:rPr>
        <w:t xml:space="preserve"> </w:t>
      </w:r>
      <w:r>
        <w:t>rebate</w:t>
      </w:r>
      <w:r>
        <w:rPr>
          <w:spacing w:val="-3"/>
        </w:rPr>
        <w:t xml:space="preserve"> </w:t>
      </w:r>
      <w:r>
        <w:t>including</w:t>
      </w:r>
      <w:r>
        <w:rPr>
          <w:spacing w:val="-3"/>
        </w:rPr>
        <w:t xml:space="preserve"> </w:t>
      </w:r>
      <w:r>
        <w:t>the</w:t>
      </w:r>
      <w:r>
        <w:rPr>
          <w:spacing w:val="-4"/>
        </w:rPr>
        <w:t xml:space="preserve"> </w:t>
      </w:r>
      <w:r>
        <w:t>amount</w:t>
      </w:r>
      <w:r>
        <w:rPr>
          <w:spacing w:val="-3"/>
        </w:rPr>
        <w:t xml:space="preserve"> </w:t>
      </w:r>
      <w:r>
        <w:t>retained</w:t>
      </w:r>
      <w:r>
        <w:rPr>
          <w:spacing w:val="-3"/>
        </w:rPr>
        <w:t xml:space="preserve"> </w:t>
      </w:r>
      <w:r>
        <w:t>by</w:t>
      </w:r>
      <w:r>
        <w:rPr>
          <w:spacing w:val="-3"/>
        </w:rPr>
        <w:t xml:space="preserve"> </w:t>
      </w:r>
      <w:r>
        <w:t>the</w:t>
      </w:r>
      <w:r>
        <w:rPr>
          <w:spacing w:val="-3"/>
        </w:rPr>
        <w:t xml:space="preserve"> </w:t>
      </w:r>
      <w:r>
        <w:t>PBM</w:t>
      </w:r>
      <w:r>
        <w:rPr>
          <w:spacing w:val="-4"/>
        </w:rPr>
        <w:t xml:space="preserve"> </w:t>
      </w:r>
      <w:r>
        <w:t>must</w:t>
      </w:r>
      <w:r>
        <w:rPr>
          <w:spacing w:val="-3"/>
        </w:rPr>
        <w:t xml:space="preserve"> </w:t>
      </w:r>
      <w:r>
        <w:t>be</w:t>
      </w:r>
      <w:r>
        <w:rPr>
          <w:spacing w:val="-3"/>
        </w:rPr>
        <w:t xml:space="preserve"> </w:t>
      </w:r>
      <w:r>
        <w:t>reported</w:t>
      </w:r>
      <w:r>
        <w:rPr>
          <w:spacing w:val="-1"/>
        </w:rPr>
        <w:t xml:space="preserve"> </w:t>
      </w:r>
      <w:r>
        <w:t>as</w:t>
      </w:r>
      <w:r>
        <w:rPr>
          <w:spacing w:val="-4"/>
        </w:rPr>
        <w:t xml:space="preserve"> </w:t>
      </w:r>
      <w:r>
        <w:t>a</w:t>
      </w:r>
      <w:r>
        <w:rPr>
          <w:spacing w:val="-4"/>
        </w:rPr>
        <w:t xml:space="preserve"> </w:t>
      </w:r>
      <w:r>
        <w:t xml:space="preserve">decrease in medical cost. The retained amount must also be shown to increase non-benefit expenses </w:t>
      </w:r>
      <w:r>
        <w:rPr>
          <w:spacing w:val="-2"/>
        </w:rPr>
        <w:t>(NBE).</w:t>
      </w:r>
    </w:p>
    <w:p>
      <w:pPr>
        <w:pStyle w:val="BodyText"/>
        <w:spacing w:before="121" w:line="345" w:lineRule="auto"/>
        <w:ind w:right="3159"/>
      </w:pPr>
      <w:r>
        <w:t>See</w:t>
      </w:r>
      <w:r>
        <w:rPr>
          <w:spacing w:val="-4"/>
        </w:rPr>
        <w:t xml:space="preserve"> </w:t>
      </w:r>
      <w:r>
        <w:t>Appendix</w:t>
      </w:r>
      <w:r>
        <w:rPr>
          <w:spacing w:val="-3"/>
        </w:rPr>
        <w:t xml:space="preserve"> </w:t>
      </w:r>
      <w:r>
        <w:t>F</w:t>
      </w:r>
      <w:r>
        <w:rPr>
          <w:spacing w:val="-3"/>
        </w:rPr>
        <w:t xml:space="preserve"> </w:t>
      </w:r>
      <w:r>
        <w:t>for</w:t>
      </w:r>
      <w:r>
        <w:rPr>
          <w:spacing w:val="-5"/>
        </w:rPr>
        <w:t xml:space="preserve"> </w:t>
      </w:r>
      <w:r>
        <w:t>a</w:t>
      </w:r>
      <w:r>
        <w:rPr>
          <w:spacing w:val="-4"/>
        </w:rPr>
        <w:t xml:space="preserve"> </w:t>
      </w:r>
      <w:r>
        <w:t>suggested</w:t>
      </w:r>
      <w:r>
        <w:rPr>
          <w:spacing w:val="-3"/>
        </w:rPr>
        <w:t xml:space="preserve"> </w:t>
      </w:r>
      <w:r>
        <w:t>mapping</w:t>
      </w:r>
      <w:r>
        <w:rPr>
          <w:spacing w:val="-3"/>
        </w:rPr>
        <w:t xml:space="preserve"> </w:t>
      </w:r>
      <w:r>
        <w:t>of</w:t>
      </w:r>
      <w:r>
        <w:rPr>
          <w:spacing w:val="-3"/>
        </w:rPr>
        <w:t xml:space="preserve"> </w:t>
      </w:r>
      <w:r>
        <w:t>BPT</w:t>
      </w:r>
      <w:r>
        <w:rPr>
          <w:spacing w:val="-3"/>
        </w:rPr>
        <w:t xml:space="preserve"> </w:t>
      </w:r>
      <w:r>
        <w:t>and</w:t>
      </w:r>
      <w:r>
        <w:rPr>
          <w:spacing w:val="-3"/>
        </w:rPr>
        <w:t xml:space="preserve"> </w:t>
      </w:r>
      <w:r>
        <w:t>PBP</w:t>
      </w:r>
      <w:r>
        <w:rPr>
          <w:spacing w:val="-3"/>
        </w:rPr>
        <w:t xml:space="preserve"> </w:t>
      </w:r>
      <w:r>
        <w:t>service</w:t>
      </w:r>
      <w:r>
        <w:rPr>
          <w:spacing w:val="-4"/>
        </w:rPr>
        <w:t xml:space="preserve"> </w:t>
      </w:r>
      <w:r>
        <w:t>categories. For more information on benefits and service categories, see—</w:t>
      </w:r>
    </w:p>
    <w:p>
      <w:pPr>
        <w:pStyle w:val="ListParagraph"/>
        <w:numPr>
          <w:ilvl w:val="0"/>
          <w:numId w:val="51"/>
        </w:numPr>
        <w:tabs>
          <w:tab w:val="left" w:pos="1584"/>
        </w:tabs>
        <w:spacing w:before="0" w:after="0" w:line="240" w:lineRule="auto"/>
        <w:ind w:left="1584" w:right="1614" w:hanging="360"/>
        <w:jc w:val="left"/>
        <w:rPr>
          <w:sz w:val="24"/>
        </w:rPr>
      </w:pPr>
      <w:r>
        <w:rPr>
          <w:sz w:val="24"/>
        </w:rPr>
        <w:t>Chapter</w:t>
      </w:r>
      <w:r>
        <w:rPr>
          <w:spacing w:val="-6"/>
          <w:sz w:val="24"/>
        </w:rPr>
        <w:t xml:space="preserve"> </w:t>
      </w:r>
      <w:r>
        <w:rPr>
          <w:sz w:val="24"/>
        </w:rPr>
        <w:t>4,</w:t>
      </w:r>
      <w:r>
        <w:rPr>
          <w:spacing w:val="-4"/>
          <w:sz w:val="24"/>
        </w:rPr>
        <w:t xml:space="preserve"> </w:t>
      </w:r>
      <w:r>
        <w:rPr>
          <w:sz w:val="24"/>
        </w:rPr>
        <w:t>“Benefits</w:t>
      </w:r>
      <w:r>
        <w:rPr>
          <w:spacing w:val="-5"/>
          <w:sz w:val="24"/>
        </w:rPr>
        <w:t xml:space="preserve"> </w:t>
      </w:r>
      <w:r>
        <w:rPr>
          <w:sz w:val="24"/>
        </w:rPr>
        <w:t>and</w:t>
      </w:r>
      <w:r>
        <w:rPr>
          <w:spacing w:val="-3"/>
          <w:sz w:val="24"/>
        </w:rPr>
        <w:t xml:space="preserve"> </w:t>
      </w:r>
      <w:r>
        <w:rPr>
          <w:sz w:val="24"/>
        </w:rPr>
        <w:t>Beneficiary</w:t>
      </w:r>
      <w:r>
        <w:rPr>
          <w:spacing w:val="-4"/>
          <w:sz w:val="24"/>
        </w:rPr>
        <w:t xml:space="preserve"> </w:t>
      </w:r>
      <w:r>
        <w:rPr>
          <w:sz w:val="24"/>
        </w:rPr>
        <w:t>Protections,”</w:t>
      </w:r>
      <w:r>
        <w:rPr>
          <w:spacing w:val="-3"/>
          <w:sz w:val="24"/>
        </w:rPr>
        <w:t xml:space="preserve"> </w:t>
      </w:r>
      <w:r>
        <w:rPr>
          <w:sz w:val="24"/>
        </w:rPr>
        <w:t>of</w:t>
      </w:r>
      <w:r>
        <w:rPr>
          <w:spacing w:val="-4"/>
          <w:sz w:val="24"/>
        </w:rPr>
        <w:t xml:space="preserve"> </w:t>
      </w:r>
      <w:r>
        <w:rPr>
          <w:sz w:val="24"/>
        </w:rPr>
        <w:t>the</w:t>
      </w:r>
      <w:r>
        <w:rPr>
          <w:spacing w:val="-6"/>
          <w:sz w:val="24"/>
        </w:rPr>
        <w:t xml:space="preserve"> </w:t>
      </w:r>
      <w:r>
        <w:rPr>
          <w:i/>
          <w:sz w:val="24"/>
        </w:rPr>
        <w:t>Medicare</w:t>
      </w:r>
      <w:r>
        <w:rPr>
          <w:i/>
          <w:spacing w:val="-5"/>
          <w:sz w:val="24"/>
        </w:rPr>
        <w:t xml:space="preserve"> </w:t>
      </w:r>
      <w:r>
        <w:rPr>
          <w:i/>
          <w:sz w:val="24"/>
        </w:rPr>
        <w:t>Managed</w:t>
      </w:r>
      <w:r>
        <w:rPr>
          <w:i/>
          <w:spacing w:val="-4"/>
          <w:sz w:val="24"/>
        </w:rPr>
        <w:t xml:space="preserve"> </w:t>
      </w:r>
      <w:r>
        <w:rPr>
          <w:i/>
          <w:sz w:val="24"/>
        </w:rPr>
        <w:t>Care</w:t>
      </w:r>
      <w:r>
        <w:rPr>
          <w:i/>
          <w:sz w:val="24"/>
        </w:rPr>
        <w:t xml:space="preserve"> Manual </w:t>
      </w:r>
      <w:r>
        <w:rPr>
          <w:sz w:val="24"/>
        </w:rPr>
        <w:t xml:space="preserve">located at </w:t>
      </w:r>
      <w:hyperlink r:id="rId16">
        <w:r>
          <w:rPr>
            <w:color w:val="0000FF"/>
            <w:sz w:val="24"/>
            <w:u w:val="single" w:color="0000FF"/>
          </w:rPr>
          <w:t>https://www.cms.gov/Regulations-and-</w:t>
        </w:r>
      </w:hyperlink>
      <w:hyperlink r:id="rId16">
        <w:r>
          <w:rPr>
            <w:color w:val="0000FF"/>
            <w:spacing w:val="-2"/>
            <w:sz w:val="24"/>
            <w:u w:val="single" w:color="0000FF"/>
          </w:rPr>
          <w:t>Guidance/Guidance/Manuals/Internet-Only-Manuals-IOMs-Items/CMS019326</w:t>
        </w:r>
      </w:hyperlink>
      <w:r>
        <w:rPr>
          <w:spacing w:val="-2"/>
          <w:sz w:val="24"/>
          <w:u w:val="none"/>
        </w:rPr>
        <w:t>.</w:t>
      </w:r>
    </w:p>
    <w:p>
      <w:pPr>
        <w:pStyle w:val="ListParagraph"/>
        <w:numPr>
          <w:ilvl w:val="0"/>
          <w:numId w:val="51"/>
        </w:numPr>
        <w:tabs>
          <w:tab w:val="left" w:pos="1584"/>
        </w:tabs>
        <w:spacing w:before="0" w:after="0" w:line="240" w:lineRule="auto"/>
        <w:ind w:left="1584" w:right="0" w:hanging="360"/>
        <w:jc w:val="left"/>
        <w:rPr>
          <w:sz w:val="24"/>
        </w:rPr>
      </w:pPr>
      <w:r>
        <w:rPr>
          <w:sz w:val="24"/>
        </w:rPr>
        <w:t>Other</w:t>
      </w:r>
      <w:r>
        <w:rPr>
          <w:spacing w:val="-2"/>
          <w:sz w:val="24"/>
        </w:rPr>
        <w:t xml:space="preserve"> </w:t>
      </w:r>
      <w:r>
        <w:rPr>
          <w:sz w:val="24"/>
        </w:rPr>
        <w:t>Part</w:t>
      </w:r>
      <w:r>
        <w:rPr>
          <w:spacing w:val="-1"/>
          <w:sz w:val="24"/>
        </w:rPr>
        <w:t xml:space="preserve"> </w:t>
      </w:r>
      <w:r>
        <w:rPr>
          <w:sz w:val="24"/>
        </w:rPr>
        <w:t>C</w:t>
      </w:r>
      <w:r>
        <w:rPr>
          <w:spacing w:val="-1"/>
          <w:sz w:val="24"/>
        </w:rPr>
        <w:t xml:space="preserve"> </w:t>
      </w:r>
      <w:r>
        <w:rPr>
          <w:sz w:val="24"/>
        </w:rPr>
        <w:t>benefits</w:t>
      </w:r>
      <w:r>
        <w:rPr>
          <w:spacing w:val="-3"/>
          <w:sz w:val="24"/>
        </w:rPr>
        <w:t xml:space="preserve"> </w:t>
      </w:r>
      <w:r>
        <w:rPr>
          <w:sz w:val="24"/>
        </w:rPr>
        <w:t>information</w:t>
      </w:r>
      <w:r>
        <w:rPr>
          <w:spacing w:val="-1"/>
          <w:sz w:val="24"/>
        </w:rPr>
        <w:t xml:space="preserve"> </w:t>
      </w:r>
      <w:r>
        <w:rPr>
          <w:sz w:val="24"/>
        </w:rPr>
        <w:t>provided</w:t>
      </w:r>
      <w:r>
        <w:rPr>
          <w:spacing w:val="-1"/>
          <w:sz w:val="24"/>
        </w:rPr>
        <w:t xml:space="preserve"> </w:t>
      </w:r>
      <w:r>
        <w:rPr>
          <w:sz w:val="24"/>
        </w:rPr>
        <w:t>by</w:t>
      </w:r>
      <w:r>
        <w:rPr>
          <w:spacing w:val="-1"/>
          <w:sz w:val="24"/>
        </w:rPr>
        <w:t xml:space="preserve"> </w:t>
      </w:r>
      <w:r>
        <w:rPr>
          <w:spacing w:val="-4"/>
          <w:sz w:val="24"/>
        </w:rPr>
        <w:t>CMS.</w:t>
      </w:r>
    </w:p>
    <w:p>
      <w:pPr>
        <w:spacing w:before="238"/>
        <w:ind w:left="1224" w:right="0" w:firstLine="0"/>
        <w:jc w:val="left"/>
        <w:rPr>
          <w:rFonts w:ascii="Arial"/>
          <w:b/>
          <w:i/>
          <w:sz w:val="21"/>
        </w:rPr>
      </w:pPr>
      <w:bookmarkStart w:id="29" w:name="Disease Management"/>
      <w:bookmarkEnd w:id="29"/>
      <w:r>
        <w:rPr>
          <w:rFonts w:ascii="Arial"/>
          <w:b/>
          <w:i/>
          <w:sz w:val="21"/>
        </w:rPr>
        <w:t>Disease</w:t>
      </w:r>
      <w:r>
        <w:rPr>
          <w:rFonts w:ascii="Arial"/>
          <w:b/>
          <w:i/>
          <w:spacing w:val="-8"/>
          <w:sz w:val="21"/>
        </w:rPr>
        <w:t xml:space="preserve"> </w:t>
      </w:r>
      <w:r>
        <w:rPr>
          <w:rFonts w:ascii="Arial"/>
          <w:b/>
          <w:i/>
          <w:spacing w:val="-2"/>
          <w:sz w:val="21"/>
        </w:rPr>
        <w:t>Management</w:t>
      </w:r>
    </w:p>
    <w:p>
      <w:pPr>
        <w:pStyle w:val="BodyText"/>
        <w:spacing w:before="120"/>
        <w:ind w:left="1224" w:right="1445"/>
      </w:pPr>
      <w:r>
        <w:t>Disease management (DM) expenses are to be treated as medical expenses, non-benefit expenses,</w:t>
      </w:r>
      <w:r>
        <w:rPr>
          <w:spacing w:val="-3"/>
        </w:rPr>
        <w:t xml:space="preserve"> </w:t>
      </w:r>
      <w:r>
        <w:t>or</w:t>
      </w:r>
      <w:r>
        <w:rPr>
          <w:spacing w:val="-3"/>
        </w:rPr>
        <w:t xml:space="preserve"> </w:t>
      </w:r>
      <w:r>
        <w:t>both,</w:t>
      </w:r>
      <w:r>
        <w:rPr>
          <w:spacing w:val="-3"/>
        </w:rPr>
        <w:t xml:space="preserve"> </w:t>
      </w:r>
      <w:r>
        <w:t>depending</w:t>
      </w:r>
      <w:r>
        <w:rPr>
          <w:spacing w:val="-3"/>
        </w:rPr>
        <w:t xml:space="preserve"> </w:t>
      </w:r>
      <w:r>
        <w:t>upon</w:t>
      </w:r>
      <w:r>
        <w:rPr>
          <w:spacing w:val="-3"/>
        </w:rPr>
        <w:t xml:space="preserve"> </w:t>
      </w:r>
      <w:r>
        <w:t>the</w:t>
      </w:r>
      <w:r>
        <w:rPr>
          <w:spacing w:val="-4"/>
        </w:rPr>
        <w:t xml:space="preserve"> </w:t>
      </w:r>
      <w:r>
        <w:t>nature</w:t>
      </w:r>
      <w:r>
        <w:rPr>
          <w:spacing w:val="-5"/>
        </w:rPr>
        <w:t xml:space="preserve"> </w:t>
      </w:r>
      <w:r>
        <w:t>of</w:t>
      </w:r>
      <w:r>
        <w:rPr>
          <w:spacing w:val="-3"/>
        </w:rPr>
        <w:t xml:space="preserve"> </w:t>
      </w:r>
      <w:r>
        <w:t>the</w:t>
      </w:r>
      <w:r>
        <w:rPr>
          <w:spacing w:val="-4"/>
        </w:rPr>
        <w:t xml:space="preserve"> </w:t>
      </w:r>
      <w:r>
        <w:t>expense.</w:t>
      </w:r>
      <w:r>
        <w:rPr>
          <w:spacing w:val="-1"/>
        </w:rPr>
        <w:t xml:space="preserve"> </w:t>
      </w:r>
      <w:r>
        <w:t>For</w:t>
      </w:r>
      <w:r>
        <w:rPr>
          <w:spacing w:val="-2"/>
        </w:rPr>
        <w:t xml:space="preserve"> </w:t>
      </w:r>
      <w:r>
        <w:t>DM</w:t>
      </w:r>
      <w:r>
        <w:rPr>
          <w:spacing w:val="-4"/>
        </w:rPr>
        <w:t xml:space="preserve"> </w:t>
      </w:r>
      <w:r>
        <w:t>services</w:t>
      </w:r>
      <w:r>
        <w:rPr>
          <w:spacing w:val="-3"/>
        </w:rPr>
        <w:t xml:space="preserve"> </w:t>
      </w:r>
      <w:r>
        <w:t>furnished in a clinical setting by approved providers, costs are to be treated as medical expenses. The cost of durable medical equipment (DME) associated with DM activities is</w:t>
      </w:r>
      <w:r>
        <w:rPr>
          <w:spacing w:val="40"/>
        </w:rPr>
        <w:t xml:space="preserve"> </w:t>
      </w:r>
      <w:r>
        <w:t>typically classified as a medical expense.</w:t>
      </w:r>
    </w:p>
    <w:p>
      <w:pPr>
        <w:pStyle w:val="BodyText"/>
        <w:spacing w:before="121"/>
        <w:ind w:left="1224" w:right="1443"/>
      </w:pPr>
      <w:r>
        <w:t>For care management services provided under a Special Needs Plan (SNP) model of care—for example, services provided by an interdisciplinary care team as mandated by the</w:t>
      </w:r>
      <w:r>
        <w:rPr>
          <w:spacing w:val="-2"/>
        </w:rPr>
        <w:t xml:space="preserve"> </w:t>
      </w:r>
      <w:r>
        <w:t>Medicare Improvements</w:t>
      </w:r>
      <w:r>
        <w:rPr>
          <w:spacing w:val="-2"/>
        </w:rPr>
        <w:t xml:space="preserve"> </w:t>
      </w:r>
      <w:r>
        <w:t>for</w:t>
      </w:r>
      <w:r>
        <w:rPr>
          <w:spacing w:val="-2"/>
        </w:rPr>
        <w:t xml:space="preserve"> </w:t>
      </w:r>
      <w:r>
        <w:t>Patients</w:t>
      </w:r>
      <w:r>
        <w:rPr>
          <w:spacing w:val="-2"/>
        </w:rPr>
        <w:t xml:space="preserve"> </w:t>
      </w:r>
      <w:r>
        <w:t>and</w:t>
      </w:r>
      <w:r>
        <w:rPr>
          <w:spacing w:val="-1"/>
        </w:rPr>
        <w:t xml:space="preserve"> </w:t>
      </w:r>
      <w:r>
        <w:t>Providers</w:t>
      </w:r>
      <w:r>
        <w:rPr>
          <w:spacing w:val="-2"/>
        </w:rPr>
        <w:t xml:space="preserve"> </w:t>
      </w:r>
      <w:r>
        <w:t>Act (MIPPA) and</w:t>
      </w:r>
      <w:r>
        <w:rPr>
          <w:spacing w:val="-1"/>
        </w:rPr>
        <w:t xml:space="preserve"> </w:t>
      </w:r>
      <w:r>
        <w:t>addressed</w:t>
      </w:r>
      <w:r>
        <w:rPr>
          <w:spacing w:val="-1"/>
        </w:rPr>
        <w:t xml:space="preserve"> </w:t>
      </w:r>
      <w:r>
        <w:t>in</w:t>
      </w:r>
      <w:r>
        <w:rPr>
          <w:spacing w:val="-1"/>
        </w:rPr>
        <w:t xml:space="preserve"> </w:t>
      </w:r>
      <w:r>
        <w:t>a HPMS</w:t>
      </w:r>
      <w:r>
        <w:rPr>
          <w:spacing w:val="-3"/>
        </w:rPr>
        <w:t xml:space="preserve"> </w:t>
      </w:r>
      <w:r>
        <w:t>memorandum</w:t>
      </w:r>
      <w:r>
        <w:rPr>
          <w:spacing w:val="-4"/>
        </w:rPr>
        <w:t xml:space="preserve"> </w:t>
      </w:r>
      <w:r>
        <w:t>dated</w:t>
      </w:r>
      <w:r>
        <w:rPr>
          <w:spacing w:val="-4"/>
        </w:rPr>
        <w:t xml:space="preserve"> </w:t>
      </w:r>
      <w:r>
        <w:t>September</w:t>
      </w:r>
      <w:r>
        <w:rPr>
          <w:spacing w:val="-5"/>
        </w:rPr>
        <w:t xml:space="preserve"> </w:t>
      </w:r>
      <w:r>
        <w:t>15,</w:t>
      </w:r>
      <w:r>
        <w:rPr>
          <w:spacing w:val="-4"/>
        </w:rPr>
        <w:t xml:space="preserve"> </w:t>
      </w:r>
      <w:r>
        <w:t>2008—costs</w:t>
      </w:r>
      <w:r>
        <w:rPr>
          <w:spacing w:val="-4"/>
        </w:rPr>
        <w:t xml:space="preserve"> </w:t>
      </w:r>
      <w:r>
        <w:t>are</w:t>
      </w:r>
      <w:r>
        <w:rPr>
          <w:spacing w:val="-6"/>
        </w:rPr>
        <w:t xml:space="preserve"> </w:t>
      </w:r>
      <w:r>
        <w:t>treated</w:t>
      </w:r>
      <w:r>
        <w:rPr>
          <w:spacing w:val="-3"/>
        </w:rPr>
        <w:t xml:space="preserve"> </w:t>
      </w:r>
      <w:r>
        <w:t>as</w:t>
      </w:r>
      <w:r>
        <w:rPr>
          <w:spacing w:val="-5"/>
        </w:rPr>
        <w:t xml:space="preserve"> </w:t>
      </w:r>
      <w:r>
        <w:t>medical</w:t>
      </w:r>
      <w:r>
        <w:rPr>
          <w:spacing w:val="-4"/>
        </w:rPr>
        <w:t xml:space="preserve"> </w:t>
      </w:r>
      <w:r>
        <w:t>expenses. Should the team provide additional services, any added costs may be classified by the certifying actuary as medical expenses or as non-benefit expenses.</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left="1224" w:right="1443"/>
      </w:pPr>
      <w:r>
        <w:t>Absent additional CMS guidance, other DM</w:t>
      </w:r>
      <w:r>
        <w:rPr>
          <w:spacing w:val="-1"/>
        </w:rPr>
        <w:t xml:space="preserve"> </w:t>
      </w:r>
      <w:r>
        <w:t>and care</w:t>
      </w:r>
      <w:r>
        <w:rPr>
          <w:spacing w:val="-2"/>
        </w:rPr>
        <w:t xml:space="preserve"> </w:t>
      </w:r>
      <w:r>
        <w:t>coordination costs—such as</w:t>
      </w:r>
      <w:r>
        <w:rPr>
          <w:spacing w:val="-1"/>
        </w:rPr>
        <w:t xml:space="preserve"> </w:t>
      </w:r>
      <w:r>
        <w:t>those incurred during recruitment, enrollment, and general program communications—are to be</w:t>
      </w:r>
      <w:r>
        <w:rPr>
          <w:spacing w:val="-5"/>
        </w:rPr>
        <w:t xml:space="preserve"> </w:t>
      </w:r>
      <w:r>
        <w:t>classified</w:t>
      </w:r>
      <w:r>
        <w:rPr>
          <w:spacing w:val="-4"/>
        </w:rPr>
        <w:t xml:space="preserve"> </w:t>
      </w:r>
      <w:r>
        <w:t>as</w:t>
      </w:r>
      <w:r>
        <w:rPr>
          <w:spacing w:val="-4"/>
        </w:rPr>
        <w:t xml:space="preserve"> </w:t>
      </w:r>
      <w:r>
        <w:t>non-benefit,</w:t>
      </w:r>
      <w:r>
        <w:rPr>
          <w:spacing w:val="-4"/>
        </w:rPr>
        <w:t xml:space="preserve"> </w:t>
      </w:r>
      <w:r>
        <w:t>or</w:t>
      </w:r>
      <w:r>
        <w:rPr>
          <w:spacing w:val="-4"/>
        </w:rPr>
        <w:t xml:space="preserve"> </w:t>
      </w:r>
      <w:r>
        <w:t>administrative</w:t>
      </w:r>
      <w:r>
        <w:rPr>
          <w:spacing w:val="-5"/>
        </w:rPr>
        <w:t xml:space="preserve"> </w:t>
      </w:r>
      <w:r>
        <w:t>expenses.</w:t>
      </w:r>
      <w:r>
        <w:rPr>
          <w:spacing w:val="-2"/>
        </w:rPr>
        <w:t xml:space="preserve"> </w:t>
      </w:r>
      <w:r>
        <w:t>In</w:t>
      </w:r>
      <w:r>
        <w:rPr>
          <w:spacing w:val="-4"/>
        </w:rPr>
        <w:t xml:space="preserve"> </w:t>
      </w:r>
      <w:r>
        <w:t>all</w:t>
      </w:r>
      <w:r>
        <w:rPr>
          <w:spacing w:val="-4"/>
        </w:rPr>
        <w:t xml:space="preserve"> </w:t>
      </w:r>
      <w:r>
        <w:t>cases,</w:t>
      </w:r>
      <w:r>
        <w:rPr>
          <w:spacing w:val="-4"/>
        </w:rPr>
        <w:t xml:space="preserve"> </w:t>
      </w:r>
      <w:r>
        <w:t>the</w:t>
      </w:r>
      <w:r>
        <w:rPr>
          <w:spacing w:val="-4"/>
        </w:rPr>
        <w:t xml:space="preserve"> </w:t>
      </w:r>
      <w:r>
        <w:t>classification</w:t>
      </w:r>
      <w:r>
        <w:rPr>
          <w:spacing w:val="-4"/>
        </w:rPr>
        <w:t xml:space="preserve"> </w:t>
      </w:r>
      <w:r>
        <w:t>of DM expenses in the BPT must be explained in the supporting documentation for projected allowed costs and non-benefit expenses.</w:t>
      </w:r>
    </w:p>
    <w:p>
      <w:pPr>
        <w:spacing w:before="241"/>
        <w:ind w:left="1224" w:right="0" w:firstLine="0"/>
        <w:jc w:val="left"/>
        <w:rPr>
          <w:rFonts w:ascii="Arial"/>
          <w:b/>
          <w:i/>
          <w:sz w:val="21"/>
        </w:rPr>
      </w:pPr>
      <w:bookmarkStart w:id="30" w:name="Medicare-Covered and Non-Covered"/>
      <w:bookmarkEnd w:id="30"/>
      <w:r>
        <w:rPr>
          <w:rFonts w:ascii="Arial"/>
          <w:b/>
          <w:i/>
          <w:sz w:val="21"/>
        </w:rPr>
        <w:t>Medicare-Covered</w:t>
      </w:r>
      <w:r>
        <w:rPr>
          <w:rFonts w:ascii="Arial"/>
          <w:b/>
          <w:i/>
          <w:spacing w:val="-13"/>
          <w:sz w:val="21"/>
        </w:rPr>
        <w:t xml:space="preserve"> </w:t>
      </w:r>
      <w:r>
        <w:rPr>
          <w:rFonts w:ascii="Arial"/>
          <w:b/>
          <w:i/>
          <w:sz w:val="21"/>
        </w:rPr>
        <w:t>and</w:t>
      </w:r>
      <w:r>
        <w:rPr>
          <w:rFonts w:ascii="Arial"/>
          <w:b/>
          <w:i/>
          <w:spacing w:val="-14"/>
          <w:sz w:val="21"/>
        </w:rPr>
        <w:t xml:space="preserve"> </w:t>
      </w:r>
      <w:r>
        <w:rPr>
          <w:rFonts w:ascii="Arial"/>
          <w:b/>
          <w:i/>
          <w:sz w:val="21"/>
        </w:rPr>
        <w:t>Non-</w:t>
      </w:r>
      <w:r>
        <w:rPr>
          <w:rFonts w:ascii="Arial"/>
          <w:b/>
          <w:i/>
          <w:spacing w:val="-2"/>
          <w:sz w:val="21"/>
        </w:rPr>
        <w:t>Covered</w:t>
      </w:r>
    </w:p>
    <w:p>
      <w:pPr>
        <w:pStyle w:val="BodyText"/>
        <w:spacing w:before="120"/>
        <w:ind w:left="1224"/>
      </w:pPr>
      <w:r>
        <w:t>Following</w:t>
      </w:r>
      <w:r>
        <w:rPr>
          <w:spacing w:val="-1"/>
        </w:rPr>
        <w:t xml:space="preserve"> </w:t>
      </w:r>
      <w:r>
        <w:t>are</w:t>
      </w:r>
      <w:r>
        <w:rPr>
          <w:spacing w:val="-2"/>
        </w:rPr>
        <w:t xml:space="preserve"> </w:t>
      </w:r>
      <w:r>
        <w:t>the</w:t>
      </w:r>
      <w:r>
        <w:rPr>
          <w:spacing w:val="-1"/>
        </w:rPr>
        <w:t xml:space="preserve"> </w:t>
      </w:r>
      <w:r>
        <w:t>three</w:t>
      </w:r>
      <w:r>
        <w:rPr>
          <w:spacing w:val="-1"/>
        </w:rPr>
        <w:t xml:space="preserve"> </w:t>
      </w:r>
      <w:r>
        <w:t>types</w:t>
      </w:r>
      <w:r>
        <w:rPr>
          <w:spacing w:val="-1"/>
        </w:rPr>
        <w:t xml:space="preserve"> </w:t>
      </w:r>
      <w:r>
        <w:t>of service</w:t>
      </w:r>
      <w:r>
        <w:rPr>
          <w:spacing w:val="-1"/>
        </w:rPr>
        <w:t xml:space="preserve"> </w:t>
      </w:r>
      <w:r>
        <w:rPr>
          <w:spacing w:val="-2"/>
        </w:rPr>
        <w:t>categories:</w:t>
      </w:r>
    </w:p>
    <w:p>
      <w:pPr>
        <w:pStyle w:val="ListParagraph"/>
        <w:numPr>
          <w:ilvl w:val="0"/>
          <w:numId w:val="50"/>
        </w:numPr>
        <w:tabs>
          <w:tab w:val="left" w:pos="1944"/>
        </w:tabs>
        <w:spacing w:before="120" w:after="0" w:line="240" w:lineRule="auto"/>
        <w:ind w:left="1944" w:right="0" w:hanging="360"/>
        <w:jc w:val="left"/>
        <w:rPr>
          <w:sz w:val="24"/>
        </w:rPr>
      </w:pPr>
      <w:r>
        <w:rPr>
          <w:sz w:val="24"/>
        </w:rPr>
        <w:t>Services</w:t>
      </w:r>
      <w:r>
        <w:rPr>
          <w:spacing w:val="-3"/>
          <w:sz w:val="24"/>
        </w:rPr>
        <w:t xml:space="preserve"> </w:t>
      </w:r>
      <w:r>
        <w:rPr>
          <w:sz w:val="24"/>
        </w:rPr>
        <w:t>that</w:t>
      </w:r>
      <w:r>
        <w:rPr>
          <w:spacing w:val="-1"/>
          <w:sz w:val="24"/>
        </w:rPr>
        <w:t xml:space="preserve"> </w:t>
      </w:r>
      <w:r>
        <w:rPr>
          <w:sz w:val="24"/>
        </w:rPr>
        <w:t>can</w:t>
      </w:r>
      <w:r>
        <w:rPr>
          <w:spacing w:val="-2"/>
          <w:sz w:val="24"/>
        </w:rPr>
        <w:t xml:space="preserve"> </w:t>
      </w:r>
      <w:r>
        <w:rPr>
          <w:sz w:val="24"/>
        </w:rPr>
        <w:t>be</w:t>
      </w:r>
      <w:r>
        <w:rPr>
          <w:spacing w:val="-2"/>
          <w:sz w:val="24"/>
        </w:rPr>
        <w:t xml:space="preserve"> </w:t>
      </w:r>
      <w:r>
        <w:rPr>
          <w:sz w:val="24"/>
        </w:rPr>
        <w:t>only</w:t>
      </w:r>
      <w:r>
        <w:rPr>
          <w:spacing w:val="1"/>
          <w:sz w:val="24"/>
        </w:rPr>
        <w:t xml:space="preserve"> </w:t>
      </w:r>
      <w:r>
        <w:rPr>
          <w:sz w:val="24"/>
        </w:rPr>
        <w:t>Medicare-</w:t>
      </w:r>
      <w:r>
        <w:rPr>
          <w:spacing w:val="-2"/>
          <w:sz w:val="24"/>
        </w:rPr>
        <w:t>covered.</w:t>
      </w:r>
    </w:p>
    <w:p>
      <w:pPr>
        <w:pStyle w:val="ListParagraph"/>
        <w:numPr>
          <w:ilvl w:val="0"/>
          <w:numId w:val="50"/>
        </w:numPr>
        <w:tabs>
          <w:tab w:val="left" w:pos="1944"/>
        </w:tabs>
        <w:spacing w:before="0" w:after="0" w:line="240" w:lineRule="auto"/>
        <w:ind w:left="1944" w:right="0" w:hanging="360"/>
        <w:jc w:val="left"/>
        <w:rPr>
          <w:sz w:val="24"/>
        </w:rPr>
      </w:pPr>
      <w:r>
        <w:rPr>
          <w:sz w:val="24"/>
        </w:rPr>
        <w:t>Services</w:t>
      </w:r>
      <w:r>
        <w:rPr>
          <w:spacing w:val="-3"/>
          <w:sz w:val="24"/>
        </w:rPr>
        <w:t xml:space="preserve"> </w:t>
      </w:r>
      <w:r>
        <w:rPr>
          <w:sz w:val="24"/>
        </w:rPr>
        <w:t>that</w:t>
      </w:r>
      <w:r>
        <w:rPr>
          <w:spacing w:val="-1"/>
          <w:sz w:val="24"/>
        </w:rPr>
        <w:t xml:space="preserve"> </w:t>
      </w:r>
      <w:r>
        <w:rPr>
          <w:sz w:val="24"/>
        </w:rPr>
        <w:t>can</w:t>
      </w:r>
      <w:r>
        <w:rPr>
          <w:spacing w:val="-1"/>
          <w:sz w:val="24"/>
        </w:rPr>
        <w:t xml:space="preserve"> </w:t>
      </w:r>
      <w:r>
        <w:rPr>
          <w:sz w:val="24"/>
        </w:rPr>
        <w:t>be</w:t>
      </w:r>
      <w:r>
        <w:rPr>
          <w:spacing w:val="-3"/>
          <w:sz w:val="24"/>
        </w:rPr>
        <w:t xml:space="preserve"> </w:t>
      </w:r>
      <w:r>
        <w:rPr>
          <w:sz w:val="24"/>
        </w:rPr>
        <w:t>only</w:t>
      </w:r>
      <w:r>
        <w:rPr>
          <w:spacing w:val="1"/>
          <w:sz w:val="24"/>
        </w:rPr>
        <w:t xml:space="preserve"> </w:t>
      </w:r>
      <w:r>
        <w:rPr>
          <w:sz w:val="24"/>
        </w:rPr>
        <w:t>non-covered</w:t>
      </w:r>
      <w:r>
        <w:rPr>
          <w:spacing w:val="-1"/>
          <w:sz w:val="24"/>
        </w:rPr>
        <w:t xml:space="preserve"> </w:t>
      </w:r>
      <w:r>
        <w:rPr>
          <w:sz w:val="24"/>
        </w:rPr>
        <w:t>(for</w:t>
      </w:r>
      <w:r>
        <w:rPr>
          <w:spacing w:val="-2"/>
          <w:sz w:val="24"/>
        </w:rPr>
        <w:t xml:space="preserve"> </w:t>
      </w:r>
      <w:r>
        <w:rPr>
          <w:sz w:val="24"/>
        </w:rPr>
        <w:t>example,</w:t>
      </w:r>
      <w:r>
        <w:rPr>
          <w:spacing w:val="-1"/>
          <w:sz w:val="24"/>
        </w:rPr>
        <w:t xml:space="preserve"> </w:t>
      </w:r>
      <w:r>
        <w:rPr>
          <w:sz w:val="24"/>
        </w:rPr>
        <w:t>transportation</w:t>
      </w:r>
      <w:r>
        <w:rPr>
          <w:spacing w:val="-1"/>
          <w:sz w:val="24"/>
        </w:rPr>
        <w:t xml:space="preserve"> </w:t>
      </w:r>
      <w:r>
        <w:rPr>
          <w:sz w:val="24"/>
        </w:rPr>
        <w:t>benefits</w:t>
      </w:r>
      <w:r>
        <w:rPr>
          <w:spacing w:val="-2"/>
          <w:sz w:val="24"/>
        </w:rPr>
        <w:t xml:space="preserve"> </w:t>
      </w:r>
      <w:r>
        <w:rPr>
          <w:spacing w:val="-5"/>
          <w:sz w:val="24"/>
        </w:rPr>
        <w:t>in</w:t>
      </w:r>
    </w:p>
    <w:p>
      <w:pPr>
        <w:pStyle w:val="BodyText"/>
        <w:ind w:left="1944"/>
      </w:pPr>
      <w:r>
        <w:t>line</w:t>
      </w:r>
      <w:r>
        <w:rPr>
          <w:spacing w:val="-3"/>
        </w:rPr>
        <w:t xml:space="preserve"> </w:t>
      </w:r>
      <w:r>
        <w:t>1,</w:t>
      </w:r>
      <w:r>
        <w:rPr>
          <w:spacing w:val="-2"/>
        </w:rPr>
        <w:t xml:space="preserve"> </w:t>
      </w:r>
      <w:r>
        <w:t>“Transportation</w:t>
      </w:r>
      <w:r>
        <w:rPr>
          <w:spacing w:val="-1"/>
        </w:rPr>
        <w:t xml:space="preserve"> </w:t>
      </w:r>
      <w:r>
        <w:t>(Non-</w:t>
      </w:r>
      <w:r>
        <w:rPr>
          <w:spacing w:val="-2"/>
        </w:rPr>
        <w:t>Covered)”).</w:t>
      </w:r>
    </w:p>
    <w:p>
      <w:pPr>
        <w:pStyle w:val="ListParagraph"/>
        <w:numPr>
          <w:ilvl w:val="0"/>
          <w:numId w:val="50"/>
        </w:numPr>
        <w:tabs>
          <w:tab w:val="left" w:pos="1944"/>
        </w:tabs>
        <w:spacing w:before="0" w:after="0" w:line="240" w:lineRule="auto"/>
        <w:ind w:left="1944" w:right="1710" w:hanging="360"/>
        <w:jc w:val="left"/>
        <w:rPr>
          <w:sz w:val="24"/>
        </w:rPr>
      </w:pPr>
      <w:r>
        <w:rPr>
          <w:sz w:val="24"/>
        </w:rPr>
        <w:t>Medicare-covered services that may be supplemented, as an A/B mandatory supplemental</w:t>
      </w:r>
      <w:r>
        <w:rPr>
          <w:spacing w:val="-4"/>
          <w:sz w:val="24"/>
        </w:rPr>
        <w:t xml:space="preserve"> </w:t>
      </w:r>
      <w:r>
        <w:rPr>
          <w:sz w:val="24"/>
        </w:rPr>
        <w:t>benefit</w:t>
      </w:r>
      <w:r>
        <w:rPr>
          <w:spacing w:val="-4"/>
          <w:sz w:val="24"/>
        </w:rPr>
        <w:t xml:space="preserve"> </w:t>
      </w:r>
      <w:r>
        <w:rPr>
          <w:sz w:val="24"/>
        </w:rPr>
        <w:t>(for</w:t>
      </w:r>
      <w:r>
        <w:rPr>
          <w:spacing w:val="-4"/>
          <w:sz w:val="24"/>
        </w:rPr>
        <w:t xml:space="preserve"> </w:t>
      </w:r>
      <w:r>
        <w:rPr>
          <w:sz w:val="24"/>
        </w:rPr>
        <w:t>example,</w:t>
      </w:r>
      <w:r>
        <w:rPr>
          <w:spacing w:val="-4"/>
          <w:sz w:val="24"/>
        </w:rPr>
        <w:t xml:space="preserve"> </w:t>
      </w:r>
      <w:r>
        <w:rPr>
          <w:sz w:val="24"/>
        </w:rPr>
        <w:t>the</w:t>
      </w:r>
      <w:r>
        <w:rPr>
          <w:spacing w:val="-4"/>
          <w:sz w:val="24"/>
        </w:rPr>
        <w:t xml:space="preserve"> </w:t>
      </w:r>
      <w:r>
        <w:rPr>
          <w:sz w:val="24"/>
        </w:rPr>
        <w:t>cost</w:t>
      </w:r>
      <w:r>
        <w:rPr>
          <w:spacing w:val="-4"/>
          <w:sz w:val="24"/>
        </w:rPr>
        <w:t xml:space="preserve"> </w:t>
      </w:r>
      <w:r>
        <w:rPr>
          <w:sz w:val="24"/>
        </w:rPr>
        <w:t>for</w:t>
      </w:r>
      <w:r>
        <w:rPr>
          <w:spacing w:val="-4"/>
          <w:sz w:val="24"/>
        </w:rPr>
        <w:t xml:space="preserve"> </w:t>
      </w:r>
      <w:r>
        <w:rPr>
          <w:sz w:val="24"/>
        </w:rPr>
        <w:t>additional</w:t>
      </w:r>
      <w:r>
        <w:rPr>
          <w:spacing w:val="-4"/>
          <w:sz w:val="24"/>
        </w:rPr>
        <w:t xml:space="preserve"> </w:t>
      </w:r>
      <w:r>
        <w:rPr>
          <w:sz w:val="24"/>
        </w:rPr>
        <w:t>days</w:t>
      </w:r>
      <w:r>
        <w:rPr>
          <w:spacing w:val="-5"/>
          <w:sz w:val="24"/>
        </w:rPr>
        <w:t xml:space="preserve"> </w:t>
      </w:r>
      <w:r>
        <w:rPr>
          <w:sz w:val="24"/>
        </w:rPr>
        <w:t>not</w:t>
      </w:r>
      <w:r>
        <w:rPr>
          <w:spacing w:val="-4"/>
          <w:sz w:val="24"/>
        </w:rPr>
        <w:t xml:space="preserve"> </w:t>
      </w:r>
      <w:r>
        <w:rPr>
          <w:sz w:val="24"/>
        </w:rPr>
        <w:t>covered</w:t>
      </w:r>
      <w:r>
        <w:rPr>
          <w:spacing w:val="-2"/>
          <w:sz w:val="24"/>
        </w:rPr>
        <w:t xml:space="preserve"> </w:t>
      </w:r>
      <w:r>
        <w:rPr>
          <w:sz w:val="24"/>
        </w:rPr>
        <w:t>by Medicare in line a, “Inpatient Facility”).</w:t>
      </w:r>
    </w:p>
    <w:p>
      <w:pPr>
        <w:pStyle w:val="BodyText"/>
        <w:spacing w:before="118"/>
        <w:ind w:left="1224" w:right="1939"/>
      </w:pPr>
      <w:r>
        <w:t>For the third type, values are allocated between Medicare-covered benefits and</w:t>
      </w:r>
      <w:r>
        <w:rPr>
          <w:spacing w:val="40"/>
        </w:rPr>
        <w:t xml:space="preserve"> </w:t>
      </w:r>
      <w:r>
        <w:t>A/B</w:t>
      </w:r>
      <w:r>
        <w:rPr>
          <w:spacing w:val="-4"/>
        </w:rPr>
        <w:t xml:space="preserve"> </w:t>
      </w:r>
      <w:r>
        <w:t>mandatory</w:t>
      </w:r>
      <w:r>
        <w:rPr>
          <w:spacing w:val="-4"/>
        </w:rPr>
        <w:t xml:space="preserve"> </w:t>
      </w:r>
      <w:r>
        <w:t>supplemental</w:t>
      </w:r>
      <w:r>
        <w:rPr>
          <w:spacing w:val="-4"/>
        </w:rPr>
        <w:t xml:space="preserve"> </w:t>
      </w:r>
      <w:r>
        <w:t>benefits</w:t>
      </w:r>
      <w:r>
        <w:rPr>
          <w:spacing w:val="-5"/>
        </w:rPr>
        <w:t xml:space="preserve"> </w:t>
      </w:r>
      <w:r>
        <w:t>in</w:t>
      </w:r>
      <w:r>
        <w:rPr>
          <w:spacing w:val="-4"/>
        </w:rPr>
        <w:t xml:space="preserve"> </w:t>
      </w:r>
      <w:r>
        <w:t>Worksheet</w:t>
      </w:r>
      <w:r>
        <w:rPr>
          <w:spacing w:val="-4"/>
        </w:rPr>
        <w:t xml:space="preserve"> </w:t>
      </w:r>
      <w:r>
        <w:t>4</w:t>
      </w:r>
      <w:r>
        <w:rPr>
          <w:spacing w:val="-4"/>
        </w:rPr>
        <w:t xml:space="preserve"> </w:t>
      </w:r>
      <w:r>
        <w:t>as</w:t>
      </w:r>
      <w:r>
        <w:rPr>
          <w:spacing w:val="-5"/>
        </w:rPr>
        <w:t xml:space="preserve"> </w:t>
      </w:r>
      <w:r>
        <w:t>specified</w:t>
      </w:r>
      <w:r>
        <w:rPr>
          <w:spacing w:val="-4"/>
        </w:rPr>
        <w:t xml:space="preserve"> </w:t>
      </w:r>
      <w:r>
        <w:t>by</w:t>
      </w:r>
      <w:r>
        <w:rPr>
          <w:spacing w:val="-4"/>
        </w:rPr>
        <w:t xml:space="preserve"> </w:t>
      </w:r>
      <w:r>
        <w:t>the</w:t>
      </w:r>
      <w:r>
        <w:rPr>
          <w:spacing w:val="-3"/>
        </w:rPr>
        <w:t xml:space="preserve"> </w:t>
      </w:r>
      <w:r>
        <w:t>user.</w:t>
      </w:r>
      <w:r>
        <w:rPr>
          <w:spacing w:val="-4"/>
        </w:rPr>
        <w:t xml:space="preserve"> </w:t>
      </w:r>
      <w:r>
        <w:t xml:space="preserve">This allocation must be consistent with the benefit type classification in the PBP. For </w:t>
      </w:r>
      <w:r>
        <w:rPr>
          <w:spacing w:val="-2"/>
        </w:rPr>
        <w:t>example—</w:t>
      </w:r>
    </w:p>
    <w:p>
      <w:pPr>
        <w:pStyle w:val="ListParagraph"/>
        <w:numPr>
          <w:ilvl w:val="0"/>
          <w:numId w:val="50"/>
        </w:numPr>
        <w:tabs>
          <w:tab w:val="left" w:pos="1944"/>
        </w:tabs>
        <w:spacing w:before="121" w:after="0" w:line="240" w:lineRule="auto"/>
        <w:ind w:left="1944" w:right="1647" w:hanging="360"/>
        <w:jc w:val="left"/>
        <w:rPr>
          <w:sz w:val="24"/>
        </w:rPr>
      </w:pPr>
      <w:r>
        <w:rPr>
          <w:sz w:val="24"/>
        </w:rPr>
        <w:t>A</w:t>
      </w:r>
      <w:r>
        <w:rPr>
          <w:spacing w:val="-4"/>
          <w:sz w:val="24"/>
        </w:rPr>
        <w:t xml:space="preserve"> </w:t>
      </w:r>
      <w:r>
        <w:rPr>
          <w:sz w:val="24"/>
        </w:rPr>
        <w:t>skilled</w:t>
      </w:r>
      <w:r>
        <w:rPr>
          <w:spacing w:val="-4"/>
          <w:sz w:val="24"/>
        </w:rPr>
        <w:t xml:space="preserve"> </w:t>
      </w:r>
      <w:r>
        <w:rPr>
          <w:sz w:val="24"/>
        </w:rPr>
        <w:t>nursing</w:t>
      </w:r>
      <w:r>
        <w:rPr>
          <w:spacing w:val="-4"/>
          <w:sz w:val="24"/>
        </w:rPr>
        <w:t xml:space="preserve"> </w:t>
      </w:r>
      <w:r>
        <w:rPr>
          <w:sz w:val="24"/>
        </w:rPr>
        <w:t>facility</w:t>
      </w:r>
      <w:r>
        <w:rPr>
          <w:spacing w:val="-4"/>
          <w:sz w:val="24"/>
        </w:rPr>
        <w:t xml:space="preserve"> </w:t>
      </w:r>
      <w:r>
        <w:rPr>
          <w:sz w:val="24"/>
        </w:rPr>
        <w:t>(SNF)</w:t>
      </w:r>
      <w:r>
        <w:rPr>
          <w:spacing w:val="-4"/>
          <w:sz w:val="24"/>
        </w:rPr>
        <w:t xml:space="preserve"> </w:t>
      </w:r>
      <w:r>
        <w:rPr>
          <w:sz w:val="24"/>
        </w:rPr>
        <w:t>waiver</w:t>
      </w:r>
      <w:r>
        <w:rPr>
          <w:spacing w:val="-5"/>
          <w:sz w:val="24"/>
        </w:rPr>
        <w:t xml:space="preserve"> </w:t>
      </w:r>
      <w:r>
        <w:rPr>
          <w:sz w:val="24"/>
        </w:rPr>
        <w:t>of</w:t>
      </w:r>
      <w:r>
        <w:rPr>
          <w:spacing w:val="-3"/>
          <w:sz w:val="24"/>
        </w:rPr>
        <w:t xml:space="preserve"> </w:t>
      </w:r>
      <w:r>
        <w:rPr>
          <w:sz w:val="24"/>
        </w:rPr>
        <w:t>a</w:t>
      </w:r>
      <w:r>
        <w:rPr>
          <w:spacing w:val="-4"/>
          <w:sz w:val="24"/>
        </w:rPr>
        <w:t xml:space="preserve"> </w:t>
      </w:r>
      <w:r>
        <w:rPr>
          <w:sz w:val="24"/>
        </w:rPr>
        <w:t>qualifying</w:t>
      </w:r>
      <w:r>
        <w:rPr>
          <w:spacing w:val="-4"/>
          <w:sz w:val="24"/>
        </w:rPr>
        <w:t xml:space="preserve"> </w:t>
      </w:r>
      <w:r>
        <w:rPr>
          <w:sz w:val="24"/>
        </w:rPr>
        <w:t>3-day</w:t>
      </w:r>
      <w:r>
        <w:rPr>
          <w:spacing w:val="-4"/>
          <w:sz w:val="24"/>
        </w:rPr>
        <w:t xml:space="preserve"> </w:t>
      </w:r>
      <w:r>
        <w:rPr>
          <w:sz w:val="24"/>
        </w:rPr>
        <w:t>inpatient</w:t>
      </w:r>
      <w:r>
        <w:rPr>
          <w:spacing w:val="-4"/>
          <w:sz w:val="24"/>
        </w:rPr>
        <w:t xml:space="preserve"> </w:t>
      </w:r>
      <w:r>
        <w:rPr>
          <w:sz w:val="24"/>
        </w:rPr>
        <w:t>hospital stay and the associated SNF stay are Medicare-covered benefits.</w:t>
      </w:r>
    </w:p>
    <w:p>
      <w:pPr>
        <w:pStyle w:val="ListParagraph"/>
        <w:numPr>
          <w:ilvl w:val="0"/>
          <w:numId w:val="50"/>
        </w:numPr>
        <w:tabs>
          <w:tab w:val="left" w:pos="1944"/>
        </w:tabs>
        <w:spacing w:before="0" w:after="0" w:line="240" w:lineRule="auto"/>
        <w:ind w:left="1944" w:right="1832" w:hanging="360"/>
        <w:jc w:val="left"/>
        <w:rPr>
          <w:sz w:val="24"/>
        </w:rPr>
      </w:pPr>
      <w:r>
        <w:rPr>
          <w:sz w:val="24"/>
        </w:rPr>
        <w:t>For</w:t>
      </w:r>
      <w:r>
        <w:rPr>
          <w:spacing w:val="-4"/>
          <w:sz w:val="24"/>
        </w:rPr>
        <w:t xml:space="preserve"> </w:t>
      </w:r>
      <w:r>
        <w:rPr>
          <w:sz w:val="24"/>
        </w:rPr>
        <w:t>HMOPOS</w:t>
      </w:r>
      <w:r>
        <w:rPr>
          <w:spacing w:val="-4"/>
          <w:sz w:val="24"/>
        </w:rPr>
        <w:t xml:space="preserve"> </w:t>
      </w:r>
      <w:r>
        <w:rPr>
          <w:sz w:val="24"/>
        </w:rPr>
        <w:t>plans,</w:t>
      </w:r>
      <w:r>
        <w:rPr>
          <w:spacing w:val="-4"/>
          <w:sz w:val="24"/>
        </w:rPr>
        <w:t xml:space="preserve"> </w:t>
      </w:r>
      <w:r>
        <w:rPr>
          <w:sz w:val="24"/>
        </w:rPr>
        <w:t>out-of-network</w:t>
      </w:r>
      <w:r>
        <w:rPr>
          <w:spacing w:val="-4"/>
          <w:sz w:val="24"/>
        </w:rPr>
        <w:t xml:space="preserve"> </w:t>
      </w:r>
      <w:r>
        <w:rPr>
          <w:sz w:val="24"/>
        </w:rPr>
        <w:t>point-of-service</w:t>
      </w:r>
      <w:r>
        <w:rPr>
          <w:spacing w:val="-6"/>
          <w:sz w:val="24"/>
        </w:rPr>
        <w:t xml:space="preserve"> </w:t>
      </w:r>
      <w:r>
        <w:rPr>
          <w:sz w:val="24"/>
        </w:rPr>
        <w:t>inpatient</w:t>
      </w:r>
      <w:r>
        <w:rPr>
          <w:spacing w:val="-4"/>
          <w:sz w:val="24"/>
        </w:rPr>
        <w:t xml:space="preserve"> </w:t>
      </w:r>
      <w:r>
        <w:rPr>
          <w:sz w:val="24"/>
        </w:rPr>
        <w:t>stays</w:t>
      </w:r>
      <w:r>
        <w:rPr>
          <w:spacing w:val="-5"/>
          <w:sz w:val="24"/>
        </w:rPr>
        <w:t xml:space="preserve"> </w:t>
      </w:r>
      <w:r>
        <w:rPr>
          <w:sz w:val="24"/>
        </w:rPr>
        <w:t>are</w:t>
      </w:r>
      <w:r>
        <w:rPr>
          <w:spacing w:val="-5"/>
          <w:sz w:val="24"/>
        </w:rPr>
        <w:t xml:space="preserve"> </w:t>
      </w:r>
      <w:r>
        <w:rPr>
          <w:sz w:val="24"/>
        </w:rPr>
        <w:t>A/B mandatory supplemental benefits.</w:t>
      </w:r>
    </w:p>
    <w:p>
      <w:pPr>
        <w:pStyle w:val="ListParagraph"/>
        <w:numPr>
          <w:ilvl w:val="0"/>
          <w:numId w:val="50"/>
        </w:numPr>
        <w:tabs>
          <w:tab w:val="left" w:pos="1944"/>
        </w:tabs>
        <w:spacing w:before="0" w:after="0" w:line="240" w:lineRule="auto"/>
        <w:ind w:left="1944" w:right="2204" w:hanging="360"/>
        <w:jc w:val="left"/>
        <w:rPr>
          <w:sz w:val="24"/>
        </w:rPr>
      </w:pPr>
      <w:r>
        <w:rPr>
          <w:sz w:val="24"/>
        </w:rPr>
        <w:t>Physical</w:t>
      </w:r>
      <w:r>
        <w:rPr>
          <w:spacing w:val="-4"/>
          <w:sz w:val="24"/>
        </w:rPr>
        <w:t xml:space="preserve"> </w:t>
      </w:r>
      <w:r>
        <w:rPr>
          <w:sz w:val="24"/>
        </w:rPr>
        <w:t>exams</w:t>
      </w:r>
      <w:r>
        <w:rPr>
          <w:spacing w:val="-5"/>
          <w:sz w:val="24"/>
        </w:rPr>
        <w:t xml:space="preserve"> </w:t>
      </w:r>
      <w:r>
        <w:rPr>
          <w:sz w:val="24"/>
        </w:rPr>
        <w:t>that</w:t>
      </w:r>
      <w:r>
        <w:rPr>
          <w:spacing w:val="-4"/>
          <w:sz w:val="24"/>
        </w:rPr>
        <w:t xml:space="preserve"> </w:t>
      </w:r>
      <w:r>
        <w:rPr>
          <w:sz w:val="24"/>
        </w:rPr>
        <w:t>provide</w:t>
      </w:r>
      <w:r>
        <w:rPr>
          <w:spacing w:val="-4"/>
          <w:sz w:val="24"/>
        </w:rPr>
        <w:t xml:space="preserve"> </w:t>
      </w:r>
      <w:r>
        <w:rPr>
          <w:sz w:val="24"/>
        </w:rPr>
        <w:t>services</w:t>
      </w:r>
      <w:r>
        <w:rPr>
          <w:spacing w:val="-5"/>
          <w:sz w:val="24"/>
        </w:rPr>
        <w:t xml:space="preserve"> </w:t>
      </w:r>
      <w:r>
        <w:rPr>
          <w:sz w:val="24"/>
        </w:rPr>
        <w:t>not</w:t>
      </w:r>
      <w:r>
        <w:rPr>
          <w:spacing w:val="-4"/>
          <w:sz w:val="24"/>
        </w:rPr>
        <w:t xml:space="preserve"> </w:t>
      </w:r>
      <w:r>
        <w:rPr>
          <w:sz w:val="24"/>
        </w:rPr>
        <w:t>included</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required</w:t>
      </w:r>
      <w:r>
        <w:rPr>
          <w:spacing w:val="-4"/>
          <w:sz w:val="24"/>
        </w:rPr>
        <w:t xml:space="preserve"> </w:t>
      </w:r>
      <w:r>
        <w:rPr>
          <w:sz w:val="24"/>
        </w:rPr>
        <w:t>Annual Wellness Visits are A/B mandatory supplemental benefits.</w:t>
      </w:r>
    </w:p>
    <w:p>
      <w:pPr>
        <w:pStyle w:val="ListParagraph"/>
        <w:numPr>
          <w:ilvl w:val="0"/>
          <w:numId w:val="50"/>
        </w:numPr>
        <w:tabs>
          <w:tab w:val="left" w:pos="1944"/>
        </w:tabs>
        <w:spacing w:before="0" w:after="0" w:line="240" w:lineRule="auto"/>
        <w:ind w:left="1944" w:right="1480" w:hanging="360"/>
        <w:jc w:val="left"/>
        <w:rPr>
          <w:sz w:val="24"/>
        </w:rPr>
      </w:pPr>
      <w:r>
        <w:rPr>
          <w:sz w:val="24"/>
        </w:rPr>
        <w:t>For</w:t>
      </w:r>
      <w:r>
        <w:rPr>
          <w:spacing w:val="-4"/>
          <w:sz w:val="24"/>
        </w:rPr>
        <w:t xml:space="preserve"> </w:t>
      </w:r>
      <w:r>
        <w:rPr>
          <w:sz w:val="24"/>
        </w:rPr>
        <w:t>SNPs,</w:t>
      </w:r>
      <w:r>
        <w:rPr>
          <w:spacing w:val="-4"/>
          <w:sz w:val="24"/>
        </w:rPr>
        <w:t xml:space="preserve"> </w:t>
      </w:r>
      <w:r>
        <w:rPr>
          <w:sz w:val="24"/>
        </w:rPr>
        <w:t>assessments</w:t>
      </w:r>
      <w:r>
        <w:rPr>
          <w:spacing w:val="-5"/>
          <w:sz w:val="24"/>
        </w:rPr>
        <w:t xml:space="preserve"> </w:t>
      </w:r>
      <w:r>
        <w:rPr>
          <w:sz w:val="24"/>
        </w:rPr>
        <w:t>of</w:t>
      </w:r>
      <w:r>
        <w:rPr>
          <w:spacing w:val="-4"/>
          <w:sz w:val="24"/>
        </w:rPr>
        <w:t xml:space="preserve"> </w:t>
      </w:r>
      <w:r>
        <w:rPr>
          <w:sz w:val="24"/>
        </w:rPr>
        <w:t>enrollees</w:t>
      </w:r>
      <w:r>
        <w:rPr>
          <w:spacing w:val="-3"/>
          <w:sz w:val="24"/>
        </w:rPr>
        <w:t xml:space="preserve"> </w:t>
      </w:r>
      <w:r>
        <w:rPr>
          <w:sz w:val="24"/>
        </w:rPr>
        <w:t>are</w:t>
      </w:r>
      <w:r>
        <w:rPr>
          <w:spacing w:val="-4"/>
          <w:sz w:val="24"/>
        </w:rPr>
        <w:t xml:space="preserve"> </w:t>
      </w:r>
      <w:r>
        <w:rPr>
          <w:sz w:val="24"/>
        </w:rPr>
        <w:t>considered</w:t>
      </w:r>
      <w:r>
        <w:rPr>
          <w:spacing w:val="-4"/>
          <w:sz w:val="24"/>
        </w:rPr>
        <w:t xml:space="preserve"> </w:t>
      </w:r>
      <w:r>
        <w:rPr>
          <w:sz w:val="24"/>
        </w:rPr>
        <w:t>Medicare-covered</w:t>
      </w:r>
      <w:r>
        <w:rPr>
          <w:spacing w:val="-4"/>
          <w:sz w:val="24"/>
        </w:rPr>
        <w:t xml:space="preserve"> </w:t>
      </w:r>
      <w:r>
        <w:rPr>
          <w:sz w:val="24"/>
        </w:rPr>
        <w:t>benefits</w:t>
      </w:r>
      <w:r>
        <w:rPr>
          <w:spacing w:val="-5"/>
          <w:sz w:val="24"/>
        </w:rPr>
        <w:t xml:space="preserve"> </w:t>
      </w:r>
      <w:r>
        <w:rPr>
          <w:sz w:val="24"/>
        </w:rPr>
        <w:t>as explained in the CY2013 Call Letter.</w:t>
      </w:r>
    </w:p>
    <w:p>
      <w:pPr>
        <w:pStyle w:val="BodyText"/>
        <w:spacing w:before="120"/>
        <w:ind w:left="1224" w:right="1481"/>
      </w:pPr>
      <w:r>
        <w:t>To</w:t>
      </w:r>
      <w:r>
        <w:rPr>
          <w:spacing w:val="-3"/>
        </w:rPr>
        <w:t xml:space="preserve"> </w:t>
      </w:r>
      <w:r>
        <w:t>maintain</w:t>
      </w:r>
      <w:r>
        <w:rPr>
          <w:spacing w:val="-3"/>
        </w:rPr>
        <w:t xml:space="preserve"> </w:t>
      </w:r>
      <w:r>
        <w:t>consistency</w:t>
      </w:r>
      <w:r>
        <w:rPr>
          <w:spacing w:val="-1"/>
        </w:rPr>
        <w:t xml:space="preserve"> </w:t>
      </w:r>
      <w:r>
        <w:t>with</w:t>
      </w:r>
      <w:r>
        <w:rPr>
          <w:spacing w:val="-3"/>
        </w:rPr>
        <w:t xml:space="preserve"> </w:t>
      </w:r>
      <w:r>
        <w:t>the</w:t>
      </w:r>
      <w:r>
        <w:rPr>
          <w:spacing w:val="-4"/>
        </w:rPr>
        <w:t xml:space="preserve"> </w:t>
      </w:r>
      <w:r>
        <w:t>PBP,</w:t>
      </w:r>
      <w:r>
        <w:rPr>
          <w:spacing w:val="-3"/>
        </w:rPr>
        <w:t xml:space="preserve"> </w:t>
      </w:r>
      <w:r>
        <w:t>the</w:t>
      </w:r>
      <w:r>
        <w:rPr>
          <w:spacing w:val="-3"/>
        </w:rPr>
        <w:t xml:space="preserve"> </w:t>
      </w:r>
      <w:r>
        <w:t>cost</w:t>
      </w:r>
      <w:r>
        <w:rPr>
          <w:spacing w:val="-3"/>
        </w:rPr>
        <w:t xml:space="preserve"> </w:t>
      </w:r>
      <w:r>
        <w:t>to</w:t>
      </w:r>
      <w:r>
        <w:rPr>
          <w:spacing w:val="-6"/>
        </w:rPr>
        <w:t xml:space="preserve"> </w:t>
      </w:r>
      <w:r>
        <w:t>provide</w:t>
      </w:r>
      <w:r>
        <w:rPr>
          <w:spacing w:val="-5"/>
        </w:rPr>
        <w:t xml:space="preserve"> </w:t>
      </w:r>
      <w:r>
        <w:t>Medicaid</w:t>
      </w:r>
      <w:r>
        <w:rPr>
          <w:spacing w:val="-3"/>
        </w:rPr>
        <w:t xml:space="preserve"> </w:t>
      </w:r>
      <w:r>
        <w:t>benefits</w:t>
      </w:r>
      <w:r>
        <w:rPr>
          <w:spacing w:val="-4"/>
        </w:rPr>
        <w:t xml:space="preserve"> </w:t>
      </w:r>
      <w:r>
        <w:t>must</w:t>
      </w:r>
      <w:r>
        <w:rPr>
          <w:spacing w:val="-3"/>
        </w:rPr>
        <w:t xml:space="preserve"> </w:t>
      </w:r>
      <w:r>
        <w:t>be entered in Worksheet 4 Section IV since these benefits are not entered in the PBP.</w:t>
      </w:r>
    </w:p>
    <w:p>
      <w:pPr>
        <w:spacing w:before="241"/>
        <w:ind w:left="1224" w:right="0" w:firstLine="0"/>
        <w:jc w:val="left"/>
        <w:rPr>
          <w:rFonts w:ascii="Arial"/>
          <w:b/>
          <w:i/>
          <w:sz w:val="21"/>
        </w:rPr>
      </w:pPr>
      <w:bookmarkStart w:id="31" w:name="Inpatient Facility Additional Days"/>
      <w:bookmarkEnd w:id="31"/>
      <w:r>
        <w:rPr>
          <w:rFonts w:ascii="Arial"/>
          <w:b/>
          <w:i/>
          <w:sz w:val="21"/>
        </w:rPr>
        <w:t>Inpatient</w:t>
      </w:r>
      <w:r>
        <w:rPr>
          <w:rFonts w:ascii="Arial"/>
          <w:b/>
          <w:i/>
          <w:spacing w:val="-9"/>
          <w:sz w:val="21"/>
        </w:rPr>
        <w:t xml:space="preserve"> </w:t>
      </w:r>
      <w:r>
        <w:rPr>
          <w:rFonts w:ascii="Arial"/>
          <w:b/>
          <w:i/>
          <w:sz w:val="21"/>
        </w:rPr>
        <w:t>Facility</w:t>
      </w:r>
      <w:r>
        <w:rPr>
          <w:rFonts w:ascii="Arial"/>
          <w:b/>
          <w:i/>
          <w:spacing w:val="-9"/>
          <w:sz w:val="21"/>
        </w:rPr>
        <w:t xml:space="preserve"> </w:t>
      </w:r>
      <w:r>
        <w:rPr>
          <w:rFonts w:ascii="Arial"/>
          <w:b/>
          <w:i/>
          <w:sz w:val="21"/>
        </w:rPr>
        <w:t>Additional</w:t>
      </w:r>
      <w:r>
        <w:rPr>
          <w:rFonts w:ascii="Arial"/>
          <w:b/>
          <w:i/>
          <w:spacing w:val="-9"/>
          <w:sz w:val="21"/>
        </w:rPr>
        <w:t xml:space="preserve"> </w:t>
      </w:r>
      <w:r>
        <w:rPr>
          <w:rFonts w:ascii="Arial"/>
          <w:b/>
          <w:i/>
          <w:spacing w:val="-4"/>
          <w:sz w:val="21"/>
        </w:rPr>
        <w:t>Days</w:t>
      </w:r>
    </w:p>
    <w:p>
      <w:pPr>
        <w:pStyle w:val="BodyText"/>
        <w:spacing w:before="120"/>
        <w:ind w:left="1224" w:right="1619"/>
      </w:pPr>
      <w:r>
        <w:t>CMS</w:t>
      </w:r>
      <w:r>
        <w:rPr>
          <w:spacing w:val="-4"/>
        </w:rPr>
        <w:t xml:space="preserve"> </w:t>
      </w:r>
      <w:r>
        <w:t>developed</w:t>
      </w:r>
      <w:r>
        <w:rPr>
          <w:spacing w:val="-4"/>
        </w:rPr>
        <w:t xml:space="preserve"> </w:t>
      </w:r>
      <w:r>
        <w:t>a</w:t>
      </w:r>
      <w:r>
        <w:rPr>
          <w:spacing w:val="-5"/>
        </w:rPr>
        <w:t xml:space="preserve"> </w:t>
      </w:r>
      <w:r>
        <w:t>1.2-percent</w:t>
      </w:r>
      <w:r>
        <w:rPr>
          <w:spacing w:val="-4"/>
        </w:rPr>
        <w:t xml:space="preserve"> </w:t>
      </w:r>
      <w:r>
        <w:t>factor</w:t>
      </w:r>
      <w:r>
        <w:rPr>
          <w:spacing w:val="-4"/>
        </w:rPr>
        <w:t xml:space="preserve"> </w:t>
      </w:r>
      <w:r>
        <w:t>based</w:t>
      </w:r>
      <w:r>
        <w:rPr>
          <w:spacing w:val="-4"/>
        </w:rPr>
        <w:t xml:space="preserve"> </w:t>
      </w:r>
      <w:r>
        <w:t>on</w:t>
      </w:r>
      <w:r>
        <w:rPr>
          <w:spacing w:val="-4"/>
        </w:rPr>
        <w:t xml:space="preserve"> </w:t>
      </w:r>
      <w:r>
        <w:t>FFS</w:t>
      </w:r>
      <w:r>
        <w:rPr>
          <w:spacing w:val="-4"/>
        </w:rPr>
        <w:t xml:space="preserve"> </w:t>
      </w:r>
      <w:r>
        <w:t>data</w:t>
      </w:r>
      <w:r>
        <w:rPr>
          <w:spacing w:val="-3"/>
        </w:rPr>
        <w:t xml:space="preserve"> </w:t>
      </w:r>
      <w:r>
        <w:t>that</w:t>
      </w:r>
      <w:r>
        <w:rPr>
          <w:spacing w:val="-4"/>
        </w:rPr>
        <w:t xml:space="preserve"> </w:t>
      </w:r>
      <w:r>
        <w:t>the</w:t>
      </w:r>
      <w:r>
        <w:rPr>
          <w:spacing w:val="-4"/>
        </w:rPr>
        <w:t xml:space="preserve"> </w:t>
      </w:r>
      <w:r>
        <w:t>certifying</w:t>
      </w:r>
      <w:r>
        <w:rPr>
          <w:spacing w:val="-2"/>
        </w:rPr>
        <w:t xml:space="preserve"> </w:t>
      </w:r>
      <w:r>
        <w:t>actuary</w:t>
      </w:r>
      <w:r>
        <w:rPr>
          <w:spacing w:val="-4"/>
        </w:rPr>
        <w:t xml:space="preserve"> </w:t>
      </w:r>
      <w:r>
        <w:t>may use as a “safe harbor” for the proportion of the costs of inpatient facility days that are non-covered. If the non-covered inpatient facility pricing is based on an assumption other than the safe harbor, support for the data and methodology used in the development of that assumption is required.</w:t>
      </w:r>
    </w:p>
    <w:p>
      <w:pPr>
        <w:pStyle w:val="BodyText"/>
        <w:spacing w:before="121"/>
        <w:ind w:left="1224" w:right="1481"/>
      </w:pPr>
      <w:r>
        <w:t>Further, the certifying actuary may use the inpatient facility “safe harbor” as a basis for determining</w:t>
      </w:r>
      <w:r>
        <w:rPr>
          <w:spacing w:val="-5"/>
        </w:rPr>
        <w:t xml:space="preserve"> </w:t>
      </w:r>
      <w:r>
        <w:t>the</w:t>
      </w:r>
      <w:r>
        <w:rPr>
          <w:spacing w:val="-5"/>
        </w:rPr>
        <w:t xml:space="preserve"> </w:t>
      </w:r>
      <w:r>
        <w:t>inpatient</w:t>
      </w:r>
      <w:r>
        <w:rPr>
          <w:spacing w:val="-4"/>
        </w:rPr>
        <w:t xml:space="preserve"> </w:t>
      </w:r>
      <w:r>
        <w:t>facility</w:t>
      </w:r>
      <w:r>
        <w:rPr>
          <w:spacing w:val="-5"/>
        </w:rPr>
        <w:t xml:space="preserve"> </w:t>
      </w:r>
      <w:r>
        <w:t>cost-sharing</w:t>
      </w:r>
      <w:r>
        <w:rPr>
          <w:spacing w:val="-5"/>
        </w:rPr>
        <w:t xml:space="preserve"> </w:t>
      </w:r>
      <w:r>
        <w:t>Medicare-covered</w:t>
      </w:r>
      <w:r>
        <w:rPr>
          <w:spacing w:val="-5"/>
        </w:rPr>
        <w:t xml:space="preserve"> </w:t>
      </w:r>
      <w:r>
        <w:t>percentages</w:t>
      </w:r>
      <w:r>
        <w:rPr>
          <w:spacing w:val="-6"/>
        </w:rPr>
        <w:t xml:space="preserve"> </w:t>
      </w:r>
      <w:r>
        <w:t>entered</w:t>
      </w:r>
      <w:r>
        <w:rPr>
          <w:spacing w:val="-5"/>
        </w:rPr>
        <w:t xml:space="preserve"> </w:t>
      </w:r>
      <w:r>
        <w:t>on Worksheet 4.</w:t>
      </w:r>
    </w:p>
    <w:p>
      <w:pPr>
        <w:spacing w:before="241"/>
        <w:ind w:left="1224" w:right="0" w:firstLine="0"/>
        <w:jc w:val="left"/>
        <w:rPr>
          <w:rFonts w:ascii="Arial"/>
          <w:b/>
          <w:i/>
          <w:sz w:val="21"/>
        </w:rPr>
      </w:pPr>
      <w:bookmarkStart w:id="32" w:name="Non-Covered Limited Benefits"/>
      <w:bookmarkEnd w:id="32"/>
      <w:r>
        <w:rPr>
          <w:rFonts w:ascii="Arial"/>
          <w:b/>
          <w:i/>
          <w:sz w:val="21"/>
        </w:rPr>
        <w:t>Non-Covered</w:t>
      </w:r>
      <w:r>
        <w:rPr>
          <w:rFonts w:ascii="Arial"/>
          <w:b/>
          <w:i/>
          <w:spacing w:val="-10"/>
          <w:sz w:val="21"/>
        </w:rPr>
        <w:t xml:space="preserve"> </w:t>
      </w:r>
      <w:r>
        <w:rPr>
          <w:rFonts w:ascii="Arial"/>
          <w:b/>
          <w:i/>
          <w:sz w:val="21"/>
        </w:rPr>
        <w:t>Limited</w:t>
      </w:r>
      <w:r>
        <w:rPr>
          <w:rFonts w:ascii="Arial"/>
          <w:b/>
          <w:i/>
          <w:spacing w:val="-12"/>
          <w:sz w:val="21"/>
        </w:rPr>
        <w:t xml:space="preserve"> </w:t>
      </w:r>
      <w:r>
        <w:rPr>
          <w:rFonts w:ascii="Arial"/>
          <w:b/>
          <w:i/>
          <w:spacing w:val="-2"/>
          <w:sz w:val="21"/>
        </w:rPr>
        <w:t>Benefits</w:t>
      </w:r>
    </w:p>
    <w:p>
      <w:pPr>
        <w:pStyle w:val="BodyText"/>
        <w:spacing w:before="120"/>
        <w:ind w:left="1224" w:right="1443"/>
      </w:pPr>
      <w:r>
        <w:t>For non-covered limited benefits with no cost sharing, the value of benefits over the limit</w:t>
      </w:r>
      <w:r>
        <w:rPr>
          <w:spacing w:val="-3"/>
        </w:rPr>
        <w:t xml:space="preserve"> </w:t>
      </w:r>
      <w:r>
        <w:t>must</w:t>
      </w:r>
      <w:r>
        <w:rPr>
          <w:spacing w:val="-3"/>
        </w:rPr>
        <w:t xml:space="preserve"> </w:t>
      </w:r>
      <w:r>
        <w:t>be</w:t>
      </w:r>
      <w:r>
        <w:rPr>
          <w:spacing w:val="-4"/>
        </w:rPr>
        <w:t xml:space="preserve"> </w:t>
      </w:r>
      <w:r>
        <w:t>excluded</w:t>
      </w:r>
      <w:r>
        <w:rPr>
          <w:spacing w:val="-4"/>
        </w:rPr>
        <w:t xml:space="preserve"> </w:t>
      </w:r>
      <w:r>
        <w:t>from</w:t>
      </w:r>
      <w:r>
        <w:rPr>
          <w:spacing w:val="-3"/>
        </w:rPr>
        <w:t xml:space="preserve"> </w:t>
      </w:r>
      <w:r>
        <w:t>projected</w:t>
      </w:r>
      <w:r>
        <w:rPr>
          <w:spacing w:val="-4"/>
        </w:rPr>
        <w:t xml:space="preserve"> </w:t>
      </w:r>
      <w:r>
        <w:t>allowed</w:t>
      </w:r>
      <w:r>
        <w:rPr>
          <w:spacing w:val="-1"/>
        </w:rPr>
        <w:t xml:space="preserve"> </w:t>
      </w:r>
      <w:r>
        <w:t>costs.</w:t>
      </w:r>
      <w:r>
        <w:rPr>
          <w:spacing w:val="-3"/>
        </w:rPr>
        <w:t xml:space="preserve"> </w:t>
      </w:r>
      <w:r>
        <w:t>For</w:t>
      </w:r>
      <w:r>
        <w:rPr>
          <w:spacing w:val="-3"/>
        </w:rPr>
        <w:t xml:space="preserve"> </w:t>
      </w:r>
      <w:r>
        <w:t>example,</w:t>
      </w:r>
      <w:r>
        <w:rPr>
          <w:spacing w:val="-3"/>
        </w:rPr>
        <w:t xml:space="preserve"> </w:t>
      </w:r>
      <w:r>
        <w:t>if</w:t>
      </w:r>
      <w:r>
        <w:rPr>
          <w:spacing w:val="-3"/>
        </w:rPr>
        <w:t xml:space="preserve"> </w:t>
      </w:r>
      <w:r>
        <w:t>the</w:t>
      </w:r>
      <w:r>
        <w:rPr>
          <w:spacing w:val="-4"/>
        </w:rPr>
        <w:t xml:space="preserve"> </w:t>
      </w:r>
      <w:r>
        <w:t>PBP</w:t>
      </w:r>
      <w:r>
        <w:rPr>
          <w:spacing w:val="-3"/>
        </w:rPr>
        <w:t xml:space="preserve"> </w:t>
      </w:r>
      <w:r>
        <w:t>contains</w:t>
      </w:r>
      <w:r>
        <w:rPr>
          <w:spacing w:val="-4"/>
        </w:rPr>
        <w:t xml:space="preserve"> </w:t>
      </w:r>
      <w:r>
        <w:t>a hearing aid benefit with a $500 annual cost limit and no cost sharing, and the average cost of a hearing aid is $2,500, then the allowed PMPM amount must be based on the</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left="1224" w:right="1481"/>
      </w:pPr>
      <w:r>
        <w:t>$500</w:t>
      </w:r>
      <w:r>
        <w:rPr>
          <w:spacing w:val="-3"/>
        </w:rPr>
        <w:t xml:space="preserve"> </w:t>
      </w:r>
      <w:r>
        <w:t>maximum</w:t>
      </w:r>
      <w:r>
        <w:rPr>
          <w:spacing w:val="-3"/>
        </w:rPr>
        <w:t xml:space="preserve"> </w:t>
      </w:r>
      <w:r>
        <w:t>benefit.</w:t>
      </w:r>
      <w:r>
        <w:rPr>
          <w:spacing w:val="-3"/>
        </w:rPr>
        <w:t xml:space="preserve"> </w:t>
      </w:r>
      <w:r>
        <w:t>The</w:t>
      </w:r>
      <w:r>
        <w:rPr>
          <w:spacing w:val="-5"/>
        </w:rPr>
        <w:t xml:space="preserve"> </w:t>
      </w:r>
      <w:r>
        <w:t>user</w:t>
      </w:r>
      <w:r>
        <w:rPr>
          <w:spacing w:val="-3"/>
        </w:rPr>
        <w:t xml:space="preserve"> </w:t>
      </w:r>
      <w:r>
        <w:t>must</w:t>
      </w:r>
      <w:r>
        <w:rPr>
          <w:spacing w:val="-3"/>
        </w:rPr>
        <w:t xml:space="preserve"> </w:t>
      </w:r>
      <w:r>
        <w:t>not</w:t>
      </w:r>
      <w:r>
        <w:rPr>
          <w:spacing w:val="-3"/>
        </w:rPr>
        <w:t xml:space="preserve"> </w:t>
      </w:r>
      <w:r>
        <w:t>enter</w:t>
      </w:r>
      <w:r>
        <w:rPr>
          <w:spacing w:val="-2"/>
        </w:rPr>
        <w:t xml:space="preserve"> </w:t>
      </w:r>
      <w:r>
        <w:t>a</w:t>
      </w:r>
      <w:r>
        <w:rPr>
          <w:spacing w:val="-2"/>
        </w:rPr>
        <w:t xml:space="preserve"> </w:t>
      </w:r>
      <w:r>
        <w:t>$2,500</w:t>
      </w:r>
      <w:r>
        <w:rPr>
          <w:spacing w:val="-3"/>
        </w:rPr>
        <w:t xml:space="preserve"> </w:t>
      </w:r>
      <w:r>
        <w:t>cost</w:t>
      </w:r>
      <w:r>
        <w:rPr>
          <w:spacing w:val="-3"/>
        </w:rPr>
        <w:t xml:space="preserve"> </w:t>
      </w:r>
      <w:r>
        <w:t>offset</w:t>
      </w:r>
      <w:r>
        <w:rPr>
          <w:spacing w:val="-3"/>
        </w:rPr>
        <w:t xml:space="preserve"> </w:t>
      </w:r>
      <w:r>
        <w:t>by</w:t>
      </w:r>
      <w:r>
        <w:rPr>
          <w:spacing w:val="-3"/>
        </w:rPr>
        <w:t xml:space="preserve"> </w:t>
      </w:r>
      <w:r>
        <w:t>a</w:t>
      </w:r>
      <w:r>
        <w:rPr>
          <w:spacing w:val="-2"/>
        </w:rPr>
        <w:t xml:space="preserve"> </w:t>
      </w:r>
      <w:r>
        <w:t>cost-sharing entry in Worksheet 3 for the $2,000 paid by the beneficiary.</w:t>
      </w:r>
    </w:p>
    <w:p>
      <w:pPr>
        <w:spacing w:before="241"/>
        <w:ind w:left="1224" w:right="0" w:firstLine="0"/>
        <w:jc w:val="left"/>
        <w:rPr>
          <w:rFonts w:ascii="Arial"/>
          <w:b/>
          <w:i/>
          <w:sz w:val="21"/>
        </w:rPr>
      </w:pPr>
      <w:bookmarkStart w:id="33" w:name="Point-of-Service (POS)"/>
      <w:bookmarkEnd w:id="33"/>
      <w:r>
        <w:rPr>
          <w:rFonts w:ascii="Arial"/>
          <w:b/>
          <w:i/>
          <w:sz w:val="21"/>
        </w:rPr>
        <w:t>Point-of-Service</w:t>
      </w:r>
      <w:r>
        <w:rPr>
          <w:rFonts w:ascii="Arial"/>
          <w:b/>
          <w:i/>
          <w:spacing w:val="-14"/>
          <w:sz w:val="21"/>
        </w:rPr>
        <w:t xml:space="preserve"> </w:t>
      </w:r>
      <w:r>
        <w:rPr>
          <w:rFonts w:ascii="Arial"/>
          <w:b/>
          <w:i/>
          <w:spacing w:val="-4"/>
          <w:sz w:val="21"/>
        </w:rPr>
        <w:t>(POS)</w:t>
      </w:r>
    </w:p>
    <w:p>
      <w:pPr>
        <w:pStyle w:val="BodyText"/>
        <w:spacing w:before="120"/>
        <w:ind w:left="1224" w:right="1481"/>
      </w:pPr>
      <w:r>
        <w:t>There is no separate service category for point-of-service (POS); therefore, POS base period</w:t>
      </w:r>
      <w:r>
        <w:rPr>
          <w:spacing w:val="-3"/>
        </w:rPr>
        <w:t xml:space="preserve"> </w:t>
      </w:r>
      <w:r>
        <w:t>experience</w:t>
      </w:r>
      <w:r>
        <w:rPr>
          <w:spacing w:val="-3"/>
        </w:rPr>
        <w:t xml:space="preserve"> </w:t>
      </w:r>
      <w:r>
        <w:t>data</w:t>
      </w:r>
      <w:r>
        <w:rPr>
          <w:spacing w:val="-4"/>
        </w:rPr>
        <w:t xml:space="preserve"> </w:t>
      </w:r>
      <w:r>
        <w:t>and</w:t>
      </w:r>
      <w:r>
        <w:rPr>
          <w:spacing w:val="-3"/>
        </w:rPr>
        <w:t xml:space="preserve"> </w:t>
      </w:r>
      <w:r>
        <w:t>projected</w:t>
      </w:r>
      <w:r>
        <w:rPr>
          <w:spacing w:val="-3"/>
        </w:rPr>
        <w:t xml:space="preserve"> </w:t>
      </w:r>
      <w:r>
        <w:t>allowed</w:t>
      </w:r>
      <w:r>
        <w:rPr>
          <w:spacing w:val="-3"/>
        </w:rPr>
        <w:t xml:space="preserve"> </w:t>
      </w:r>
      <w:r>
        <w:t>costs</w:t>
      </w:r>
      <w:r>
        <w:rPr>
          <w:spacing w:val="-4"/>
        </w:rPr>
        <w:t xml:space="preserve"> </w:t>
      </w:r>
      <w:r>
        <w:t>must</w:t>
      </w:r>
      <w:r>
        <w:rPr>
          <w:spacing w:val="-2"/>
        </w:rPr>
        <w:t xml:space="preserve"> </w:t>
      </w:r>
      <w:r>
        <w:t>be</w:t>
      </w:r>
      <w:r>
        <w:rPr>
          <w:spacing w:val="-4"/>
        </w:rPr>
        <w:t xml:space="preserve"> </w:t>
      </w:r>
      <w:r>
        <w:t>included</w:t>
      </w:r>
      <w:r>
        <w:rPr>
          <w:spacing w:val="-3"/>
        </w:rPr>
        <w:t xml:space="preserve"> </w:t>
      </w:r>
      <w:r>
        <w:t>in</w:t>
      </w:r>
      <w:r>
        <w:rPr>
          <w:spacing w:val="-3"/>
        </w:rPr>
        <w:t xml:space="preserve"> </w:t>
      </w:r>
      <w:r>
        <w:t>the</w:t>
      </w:r>
      <w:r>
        <w:rPr>
          <w:spacing w:val="-4"/>
        </w:rPr>
        <w:t xml:space="preserve"> </w:t>
      </w:r>
      <w:r>
        <w:t>appropriate service categories.</w:t>
      </w:r>
    </w:p>
    <w:p>
      <w:pPr>
        <w:pStyle w:val="BodyText"/>
        <w:spacing w:before="120"/>
        <w:ind w:left="1224" w:right="1524"/>
      </w:pPr>
      <w:r>
        <w:t xml:space="preserve">Section 422.105 of the </w:t>
      </w:r>
      <w:r>
        <w:rPr>
          <w:i/>
        </w:rPr>
        <w:t xml:space="preserve">Code of Federal Regulations </w:t>
      </w:r>
      <w:r>
        <w:t xml:space="preserve">and Chapter 4 of the </w:t>
      </w:r>
      <w:r>
        <w:rPr>
          <w:i/>
        </w:rPr>
        <w:t>Medicare</w:t>
      </w:r>
      <w:r>
        <w:rPr>
          <w:i/>
        </w:rPr>
        <w:t xml:space="preserve"> Managed Care Manual </w:t>
      </w:r>
      <w:r>
        <w:t>allow HMOs to offer a POS option as a mandatory or optional supplemental</w:t>
      </w:r>
      <w:r>
        <w:rPr>
          <w:spacing w:val="-4"/>
        </w:rPr>
        <w:t xml:space="preserve"> </w:t>
      </w:r>
      <w:r>
        <w:t>benefit.</w:t>
      </w:r>
      <w:r>
        <w:rPr>
          <w:spacing w:val="-4"/>
        </w:rPr>
        <w:t xml:space="preserve"> </w:t>
      </w:r>
      <w:r>
        <w:t>Therefore,</w:t>
      </w:r>
      <w:r>
        <w:rPr>
          <w:spacing w:val="-4"/>
        </w:rPr>
        <w:t xml:space="preserve"> </w:t>
      </w:r>
      <w:r>
        <w:t>the</w:t>
      </w:r>
      <w:r>
        <w:rPr>
          <w:spacing w:val="-4"/>
        </w:rPr>
        <w:t xml:space="preserve"> </w:t>
      </w:r>
      <w:r>
        <w:t>projected</w:t>
      </w:r>
      <w:r>
        <w:rPr>
          <w:spacing w:val="-3"/>
        </w:rPr>
        <w:t xml:space="preserve"> </w:t>
      </w:r>
      <w:r>
        <w:t>allowed</w:t>
      </w:r>
      <w:r>
        <w:rPr>
          <w:spacing w:val="-4"/>
        </w:rPr>
        <w:t xml:space="preserve"> </w:t>
      </w:r>
      <w:r>
        <w:t>cost</w:t>
      </w:r>
      <w:r>
        <w:rPr>
          <w:spacing w:val="-4"/>
        </w:rPr>
        <w:t xml:space="preserve"> </w:t>
      </w:r>
      <w:r>
        <w:t>of</w:t>
      </w:r>
      <w:r>
        <w:rPr>
          <w:spacing w:val="-4"/>
        </w:rPr>
        <w:t xml:space="preserve"> </w:t>
      </w:r>
      <w:r>
        <w:t>all</w:t>
      </w:r>
      <w:r>
        <w:rPr>
          <w:spacing w:val="-3"/>
        </w:rPr>
        <w:t xml:space="preserve"> </w:t>
      </w:r>
      <w:r>
        <w:t>POS</w:t>
      </w:r>
      <w:r>
        <w:rPr>
          <w:spacing w:val="-5"/>
        </w:rPr>
        <w:t xml:space="preserve"> </w:t>
      </w:r>
      <w:r>
        <w:t>benefits</w:t>
      </w:r>
      <w:r>
        <w:rPr>
          <w:spacing w:val="-3"/>
        </w:rPr>
        <w:t xml:space="preserve"> </w:t>
      </w:r>
      <w:r>
        <w:t>must</w:t>
      </w:r>
      <w:r>
        <w:rPr>
          <w:spacing w:val="-3"/>
        </w:rPr>
        <w:t xml:space="preserve"> </w:t>
      </w:r>
      <w:r>
        <w:t>be allocated</w:t>
      </w:r>
      <w:r>
        <w:rPr>
          <w:spacing w:val="-3"/>
        </w:rPr>
        <w:t xml:space="preserve"> </w:t>
      </w:r>
      <w:r>
        <w:t>to</w:t>
      </w:r>
      <w:r>
        <w:rPr>
          <w:spacing w:val="-3"/>
        </w:rPr>
        <w:t xml:space="preserve"> </w:t>
      </w:r>
      <w:r>
        <w:t>A/B</w:t>
      </w:r>
      <w:r>
        <w:rPr>
          <w:spacing w:val="-2"/>
        </w:rPr>
        <w:t xml:space="preserve"> </w:t>
      </w:r>
      <w:r>
        <w:t>mandatory</w:t>
      </w:r>
      <w:r>
        <w:rPr>
          <w:spacing w:val="-3"/>
        </w:rPr>
        <w:t xml:space="preserve"> </w:t>
      </w:r>
      <w:r>
        <w:t>supplemental</w:t>
      </w:r>
      <w:r>
        <w:rPr>
          <w:spacing w:val="-3"/>
        </w:rPr>
        <w:t xml:space="preserve"> </w:t>
      </w:r>
      <w:r>
        <w:t>benefits</w:t>
      </w:r>
      <w:r>
        <w:rPr>
          <w:spacing w:val="-2"/>
        </w:rPr>
        <w:t xml:space="preserve"> </w:t>
      </w:r>
      <w:r>
        <w:t>or</w:t>
      </w:r>
      <w:r>
        <w:rPr>
          <w:spacing w:val="-3"/>
        </w:rPr>
        <w:t xml:space="preserve"> </w:t>
      </w:r>
      <w:r>
        <w:t>entered</w:t>
      </w:r>
      <w:r>
        <w:rPr>
          <w:spacing w:val="-3"/>
        </w:rPr>
        <w:t xml:space="preserve"> </w:t>
      </w:r>
      <w:r>
        <w:t>in</w:t>
      </w:r>
      <w:r>
        <w:rPr>
          <w:spacing w:val="-1"/>
        </w:rPr>
        <w:t xml:space="preserve"> </w:t>
      </w:r>
      <w:r>
        <w:t>Worksheet</w:t>
      </w:r>
      <w:r>
        <w:rPr>
          <w:spacing w:val="-3"/>
        </w:rPr>
        <w:t xml:space="preserve"> </w:t>
      </w:r>
      <w:r>
        <w:t>7</w:t>
      </w:r>
      <w:r>
        <w:rPr>
          <w:spacing w:val="-3"/>
        </w:rPr>
        <w:t xml:space="preserve"> </w:t>
      </w:r>
      <w:r>
        <w:t>consistent with the PBP. The Plan A/B Bid for Medicare-covered services may not include the cost of POS benefits.</w:t>
      </w:r>
    </w:p>
    <w:p>
      <w:pPr>
        <w:pStyle w:val="BodyText"/>
        <w:spacing w:before="118"/>
        <w:ind w:left="1224" w:right="1509"/>
      </w:pPr>
      <w:r>
        <w:t>For POS limited benefits, any benefit value exceeding the annual limit must be excluded from projected allowed costs. When cost sharing applies, the projected allowed</w:t>
      </w:r>
      <w:r>
        <w:rPr>
          <w:spacing w:val="-4"/>
        </w:rPr>
        <w:t xml:space="preserve"> </w:t>
      </w:r>
      <w:r>
        <w:t>cost</w:t>
      </w:r>
      <w:r>
        <w:rPr>
          <w:spacing w:val="-4"/>
        </w:rPr>
        <w:t xml:space="preserve"> </w:t>
      </w:r>
      <w:r>
        <w:t>should</w:t>
      </w:r>
      <w:r>
        <w:rPr>
          <w:spacing w:val="-4"/>
        </w:rPr>
        <w:t xml:space="preserve"> </w:t>
      </w:r>
      <w:r>
        <w:t>include</w:t>
      </w:r>
      <w:r>
        <w:rPr>
          <w:spacing w:val="-4"/>
        </w:rPr>
        <w:t xml:space="preserve"> </w:t>
      </w:r>
      <w:r>
        <w:t>both</w:t>
      </w:r>
      <w:r>
        <w:rPr>
          <w:spacing w:val="-4"/>
        </w:rPr>
        <w:t xml:space="preserve"> </w:t>
      </w:r>
      <w:r>
        <w:t>the</w:t>
      </w:r>
      <w:r>
        <w:rPr>
          <w:spacing w:val="-4"/>
        </w:rPr>
        <w:t xml:space="preserve"> </w:t>
      </w:r>
      <w:r>
        <w:t>plan-paid</w:t>
      </w:r>
      <w:r>
        <w:rPr>
          <w:spacing w:val="-4"/>
        </w:rPr>
        <w:t xml:space="preserve"> </w:t>
      </w:r>
      <w:r>
        <w:t>amount</w:t>
      </w:r>
      <w:r>
        <w:rPr>
          <w:spacing w:val="-4"/>
        </w:rPr>
        <w:t xml:space="preserve"> </w:t>
      </w:r>
      <w:r>
        <w:t>and</w:t>
      </w:r>
      <w:r>
        <w:rPr>
          <w:spacing w:val="-4"/>
        </w:rPr>
        <w:t xml:space="preserve"> </w:t>
      </w:r>
      <w:r>
        <w:t>the</w:t>
      </w:r>
      <w:r>
        <w:rPr>
          <w:spacing w:val="-5"/>
        </w:rPr>
        <w:t xml:space="preserve"> </w:t>
      </w:r>
      <w:r>
        <w:t>beneficiary</w:t>
      </w:r>
      <w:r>
        <w:rPr>
          <w:spacing w:val="-2"/>
        </w:rPr>
        <w:t xml:space="preserve"> </w:t>
      </w:r>
      <w:r>
        <w:t>cost</w:t>
      </w:r>
      <w:r>
        <w:rPr>
          <w:spacing w:val="-4"/>
        </w:rPr>
        <w:t xml:space="preserve"> </w:t>
      </w:r>
      <w:r>
        <w:t>sharing, but only up to the annual limit. For example, assume an HMO-POS plan covers out-of-network Part B services with 20 percent member coinsurance and a $500 annual limit. If a member incurs a $2,500 out-of-network claim, the plan pays $500 (its maximum responsibility) and the member pays $125 in coinsurance on the covered portion. The projected allowed cost is therefore $625, and the remaining $1,875 above the annual limit must be excluded from projected allowed costs.</w:t>
      </w:r>
    </w:p>
    <w:p>
      <w:pPr>
        <w:spacing w:before="241"/>
        <w:ind w:left="504" w:right="0" w:firstLine="0"/>
        <w:jc w:val="left"/>
        <w:rPr>
          <w:rFonts w:ascii="Arial"/>
          <w:b/>
          <w:sz w:val="21"/>
        </w:rPr>
      </w:pPr>
      <w:bookmarkStart w:id="34" w:name="Capitated Arrangements for Medical Servi"/>
      <w:bookmarkEnd w:id="34"/>
      <w:bookmarkStart w:id="35" w:name="_bookmark13"/>
      <w:bookmarkEnd w:id="35"/>
      <w:r>
        <w:rPr>
          <w:rFonts w:ascii="Arial"/>
          <w:b/>
          <w:sz w:val="21"/>
        </w:rPr>
        <w:t>Capitated</w:t>
      </w:r>
      <w:r>
        <w:rPr>
          <w:rFonts w:ascii="Arial"/>
          <w:b/>
          <w:spacing w:val="-10"/>
          <w:sz w:val="21"/>
        </w:rPr>
        <w:t xml:space="preserve"> </w:t>
      </w:r>
      <w:r>
        <w:rPr>
          <w:rFonts w:ascii="Arial"/>
          <w:b/>
          <w:sz w:val="21"/>
        </w:rPr>
        <w:t>Arrangements</w:t>
      </w:r>
      <w:r>
        <w:rPr>
          <w:rFonts w:ascii="Arial"/>
          <w:b/>
          <w:spacing w:val="-10"/>
          <w:sz w:val="21"/>
        </w:rPr>
        <w:t xml:space="preserve"> </w:t>
      </w:r>
      <w:r>
        <w:rPr>
          <w:rFonts w:ascii="Arial"/>
          <w:b/>
          <w:sz w:val="21"/>
        </w:rPr>
        <w:t>for</w:t>
      </w:r>
      <w:r>
        <w:rPr>
          <w:rFonts w:ascii="Arial"/>
          <w:b/>
          <w:spacing w:val="-7"/>
          <w:sz w:val="21"/>
        </w:rPr>
        <w:t xml:space="preserve"> </w:t>
      </w:r>
      <w:r>
        <w:rPr>
          <w:rFonts w:ascii="Arial"/>
          <w:b/>
          <w:sz w:val="21"/>
        </w:rPr>
        <w:t>Medical</w:t>
      </w:r>
      <w:r>
        <w:rPr>
          <w:rFonts w:ascii="Arial"/>
          <w:b/>
          <w:spacing w:val="-8"/>
          <w:sz w:val="21"/>
        </w:rPr>
        <w:t xml:space="preserve"> </w:t>
      </w:r>
      <w:r>
        <w:rPr>
          <w:rFonts w:ascii="Arial"/>
          <w:b/>
          <w:spacing w:val="-2"/>
          <w:sz w:val="21"/>
        </w:rPr>
        <w:t>Services</w:t>
      </w:r>
    </w:p>
    <w:p>
      <w:pPr>
        <w:pStyle w:val="BodyText"/>
        <w:spacing w:before="121"/>
        <w:ind w:right="1731"/>
      </w:pPr>
      <w:r>
        <w:t>This</w:t>
      </w:r>
      <w:r>
        <w:rPr>
          <w:spacing w:val="-4"/>
        </w:rPr>
        <w:t xml:space="preserve"> </w:t>
      </w:r>
      <w:r>
        <w:t>section</w:t>
      </w:r>
      <w:r>
        <w:rPr>
          <w:spacing w:val="-4"/>
        </w:rPr>
        <w:t xml:space="preserve"> </w:t>
      </w:r>
      <w:r>
        <w:t>applies</w:t>
      </w:r>
      <w:r>
        <w:rPr>
          <w:spacing w:val="-4"/>
        </w:rPr>
        <w:t xml:space="preserve"> </w:t>
      </w:r>
      <w:r>
        <w:t>to</w:t>
      </w:r>
      <w:r>
        <w:rPr>
          <w:spacing w:val="-3"/>
        </w:rPr>
        <w:t xml:space="preserve"> </w:t>
      </w:r>
      <w:r>
        <w:t>medical</w:t>
      </w:r>
      <w:r>
        <w:rPr>
          <w:spacing w:val="-4"/>
        </w:rPr>
        <w:t xml:space="preserve"> </w:t>
      </w:r>
      <w:r>
        <w:t>costs</w:t>
      </w:r>
      <w:r>
        <w:rPr>
          <w:spacing w:val="-4"/>
        </w:rPr>
        <w:t xml:space="preserve"> </w:t>
      </w:r>
      <w:r>
        <w:t>provided</w:t>
      </w:r>
      <w:r>
        <w:rPr>
          <w:spacing w:val="-4"/>
        </w:rPr>
        <w:t xml:space="preserve"> </w:t>
      </w:r>
      <w:r>
        <w:t>under</w:t>
      </w:r>
      <w:r>
        <w:rPr>
          <w:spacing w:val="-4"/>
        </w:rPr>
        <w:t xml:space="preserve"> </w:t>
      </w:r>
      <w:r>
        <w:t>all</w:t>
      </w:r>
      <w:r>
        <w:rPr>
          <w:spacing w:val="-3"/>
        </w:rPr>
        <w:t xml:space="preserve"> </w:t>
      </w:r>
      <w:r>
        <w:t>types</w:t>
      </w:r>
      <w:r>
        <w:rPr>
          <w:spacing w:val="-4"/>
        </w:rPr>
        <w:t xml:space="preserve"> </w:t>
      </w:r>
      <w:r>
        <w:t>of</w:t>
      </w:r>
      <w:r>
        <w:rPr>
          <w:spacing w:val="-4"/>
        </w:rPr>
        <w:t xml:space="preserve"> </w:t>
      </w:r>
      <w:r>
        <w:t>capitation</w:t>
      </w:r>
      <w:r>
        <w:rPr>
          <w:spacing w:val="-4"/>
        </w:rPr>
        <w:t xml:space="preserve"> </w:t>
      </w:r>
      <w:r>
        <w:t>arrangements</w:t>
      </w:r>
      <w:r>
        <w:rPr>
          <w:spacing w:val="-3"/>
        </w:rPr>
        <w:t xml:space="preserve"> </w:t>
      </w:r>
      <w:r>
        <w:t>and risk-sharing arrangements.</w:t>
      </w:r>
    </w:p>
    <w:p>
      <w:pPr>
        <w:pStyle w:val="BodyText"/>
        <w:spacing w:before="120"/>
        <w:ind w:right="1841"/>
      </w:pPr>
      <w:r>
        <w:t>The</w:t>
      </w:r>
      <w:r>
        <w:rPr>
          <w:spacing w:val="-5"/>
        </w:rPr>
        <w:t xml:space="preserve"> </w:t>
      </w:r>
      <w:r>
        <w:t>BPT</w:t>
      </w:r>
      <w:r>
        <w:rPr>
          <w:spacing w:val="-4"/>
        </w:rPr>
        <w:t xml:space="preserve"> </w:t>
      </w:r>
      <w:r>
        <w:t>must</w:t>
      </w:r>
      <w:r>
        <w:rPr>
          <w:spacing w:val="-4"/>
        </w:rPr>
        <w:t xml:space="preserve"> </w:t>
      </w:r>
      <w:r>
        <w:t>reflect</w:t>
      </w:r>
      <w:r>
        <w:rPr>
          <w:spacing w:val="-4"/>
        </w:rPr>
        <w:t xml:space="preserve"> </w:t>
      </w:r>
      <w:r>
        <w:t>base</w:t>
      </w:r>
      <w:r>
        <w:rPr>
          <w:spacing w:val="-4"/>
        </w:rPr>
        <w:t xml:space="preserve"> </w:t>
      </w:r>
      <w:r>
        <w:t>period</w:t>
      </w:r>
      <w:r>
        <w:rPr>
          <w:spacing w:val="-4"/>
        </w:rPr>
        <w:t xml:space="preserve"> </w:t>
      </w:r>
      <w:r>
        <w:t>data,</w:t>
      </w:r>
      <w:r>
        <w:rPr>
          <w:spacing w:val="-4"/>
        </w:rPr>
        <w:t xml:space="preserve"> </w:t>
      </w:r>
      <w:r>
        <w:t>projection</w:t>
      </w:r>
      <w:r>
        <w:rPr>
          <w:spacing w:val="-2"/>
        </w:rPr>
        <w:t xml:space="preserve"> </w:t>
      </w:r>
      <w:r>
        <w:t>factors,</w:t>
      </w:r>
      <w:r>
        <w:rPr>
          <w:spacing w:val="-4"/>
        </w:rPr>
        <w:t xml:space="preserve"> </w:t>
      </w:r>
      <w:r>
        <w:t>and</w:t>
      </w:r>
      <w:r>
        <w:rPr>
          <w:spacing w:val="-2"/>
        </w:rPr>
        <w:t xml:space="preserve"> </w:t>
      </w:r>
      <w:r>
        <w:t>cost</w:t>
      </w:r>
      <w:r>
        <w:rPr>
          <w:spacing w:val="-4"/>
        </w:rPr>
        <w:t xml:space="preserve"> </w:t>
      </w:r>
      <w:r>
        <w:t>sharing</w:t>
      </w:r>
      <w:r>
        <w:rPr>
          <w:spacing w:val="-3"/>
        </w:rPr>
        <w:t xml:space="preserve"> </w:t>
      </w:r>
      <w:r>
        <w:t>for</w:t>
      </w:r>
      <w:r>
        <w:rPr>
          <w:spacing w:val="-4"/>
        </w:rPr>
        <w:t xml:space="preserve"> </w:t>
      </w:r>
      <w:r>
        <w:t>medical services, as explained below.</w:t>
      </w:r>
    </w:p>
    <w:p>
      <w:pPr>
        <w:pStyle w:val="ListParagraph"/>
        <w:numPr>
          <w:ilvl w:val="0"/>
          <w:numId w:val="49"/>
        </w:numPr>
        <w:tabs>
          <w:tab w:val="left" w:pos="1223"/>
        </w:tabs>
        <w:spacing w:before="121" w:after="0" w:line="240" w:lineRule="auto"/>
        <w:ind w:left="1223" w:right="0" w:hanging="359"/>
        <w:jc w:val="left"/>
        <w:rPr>
          <w:rFonts w:ascii="Arial" w:hAnsi="Arial"/>
          <w:b/>
          <w:sz w:val="21"/>
        </w:rPr>
      </w:pPr>
      <w:r>
        <w:rPr>
          <w:rFonts w:ascii="Arial" w:hAnsi="Arial"/>
          <w:b/>
          <w:sz w:val="21"/>
        </w:rPr>
        <w:t>Annual</w:t>
      </w:r>
      <w:r>
        <w:rPr>
          <w:rFonts w:ascii="Arial" w:hAnsi="Arial"/>
          <w:b/>
          <w:spacing w:val="-8"/>
          <w:sz w:val="21"/>
        </w:rPr>
        <w:t xml:space="preserve"> </w:t>
      </w:r>
      <w:r>
        <w:rPr>
          <w:rFonts w:ascii="Arial" w:hAnsi="Arial"/>
          <w:b/>
          <w:sz w:val="21"/>
        </w:rPr>
        <w:t>Utilization</w:t>
      </w:r>
      <w:r>
        <w:rPr>
          <w:rFonts w:ascii="Arial" w:hAnsi="Arial"/>
          <w:b/>
          <w:spacing w:val="-5"/>
          <w:sz w:val="21"/>
        </w:rPr>
        <w:t xml:space="preserve"> </w:t>
      </w:r>
      <w:r>
        <w:rPr>
          <w:rFonts w:ascii="Arial" w:hAnsi="Arial"/>
          <w:b/>
          <w:sz w:val="21"/>
        </w:rPr>
        <w:t>Per</w:t>
      </w:r>
      <w:r>
        <w:rPr>
          <w:rFonts w:ascii="Arial" w:hAnsi="Arial"/>
          <w:b/>
          <w:spacing w:val="-7"/>
          <w:sz w:val="21"/>
        </w:rPr>
        <w:t xml:space="preserve"> </w:t>
      </w:r>
      <w:r>
        <w:rPr>
          <w:rFonts w:ascii="Arial" w:hAnsi="Arial"/>
          <w:b/>
          <w:spacing w:val="-2"/>
          <w:sz w:val="21"/>
        </w:rPr>
        <w:t>1,000</w:t>
      </w:r>
    </w:p>
    <w:p>
      <w:pPr>
        <w:pStyle w:val="BodyText"/>
        <w:spacing w:before="120"/>
        <w:ind w:left="1224" w:right="1481"/>
      </w:pPr>
      <w:r>
        <w:t>Utilization</w:t>
      </w:r>
      <w:r>
        <w:rPr>
          <w:spacing w:val="-3"/>
        </w:rPr>
        <w:t xml:space="preserve"> </w:t>
      </w:r>
      <w:r>
        <w:t>rates</w:t>
      </w:r>
      <w:r>
        <w:rPr>
          <w:spacing w:val="-3"/>
        </w:rPr>
        <w:t xml:space="preserve"> </w:t>
      </w:r>
      <w:r>
        <w:t>entered</w:t>
      </w:r>
      <w:r>
        <w:rPr>
          <w:spacing w:val="-1"/>
        </w:rPr>
        <w:t xml:space="preserve"> </w:t>
      </w:r>
      <w:r>
        <w:t>on</w:t>
      </w:r>
      <w:r>
        <w:rPr>
          <w:spacing w:val="-3"/>
        </w:rPr>
        <w:t xml:space="preserve"> </w:t>
      </w:r>
      <w:r>
        <w:t>Worksheet</w:t>
      </w:r>
      <w:r>
        <w:rPr>
          <w:spacing w:val="-3"/>
        </w:rPr>
        <w:t xml:space="preserve"> </w:t>
      </w:r>
      <w:r>
        <w:t>1</w:t>
      </w:r>
      <w:r>
        <w:rPr>
          <w:spacing w:val="-3"/>
        </w:rPr>
        <w:t xml:space="preserve"> </w:t>
      </w:r>
      <w:r>
        <w:t>must</w:t>
      </w:r>
      <w:r>
        <w:rPr>
          <w:spacing w:val="-2"/>
        </w:rPr>
        <w:t xml:space="preserve"> </w:t>
      </w:r>
      <w:r>
        <w:t>be</w:t>
      </w:r>
      <w:r>
        <w:rPr>
          <w:spacing w:val="-2"/>
        </w:rPr>
        <w:t xml:space="preserve"> </w:t>
      </w:r>
      <w:r>
        <w:t>based</w:t>
      </w:r>
      <w:r>
        <w:rPr>
          <w:spacing w:val="-3"/>
        </w:rPr>
        <w:t xml:space="preserve"> </w:t>
      </w:r>
      <w:r>
        <w:t>on</w:t>
      </w:r>
      <w:r>
        <w:rPr>
          <w:spacing w:val="-3"/>
        </w:rPr>
        <w:t xml:space="preserve"> </w:t>
      </w:r>
      <w:r>
        <w:t>claims</w:t>
      </w:r>
      <w:r>
        <w:rPr>
          <w:spacing w:val="-3"/>
        </w:rPr>
        <w:t xml:space="preserve"> </w:t>
      </w:r>
      <w:r>
        <w:t>or</w:t>
      </w:r>
      <w:r>
        <w:rPr>
          <w:spacing w:val="-3"/>
        </w:rPr>
        <w:t xml:space="preserve"> </w:t>
      </w:r>
      <w:r>
        <w:t>encounter</w:t>
      </w:r>
      <w:r>
        <w:rPr>
          <w:spacing w:val="-5"/>
        </w:rPr>
        <w:t xml:space="preserve"> </w:t>
      </w:r>
      <w:r>
        <w:t>data</w:t>
      </w:r>
      <w:r>
        <w:rPr>
          <w:spacing w:val="-3"/>
        </w:rPr>
        <w:t xml:space="preserve"> </w:t>
      </w:r>
      <w:r>
        <w:t xml:space="preserve">for the bid. However, if encounter data are not available for a certain service, supporting documentation must fully explain the extenuating circumstances and remedy for the </w:t>
      </w:r>
      <w:r>
        <w:rPr>
          <w:spacing w:val="-2"/>
        </w:rPr>
        <w:t>deficiency.</w:t>
      </w:r>
    </w:p>
    <w:p>
      <w:pPr>
        <w:pStyle w:val="ListParagraph"/>
        <w:numPr>
          <w:ilvl w:val="0"/>
          <w:numId w:val="49"/>
        </w:numPr>
        <w:tabs>
          <w:tab w:val="left" w:pos="1223"/>
        </w:tabs>
        <w:spacing w:before="121" w:after="0" w:line="240" w:lineRule="auto"/>
        <w:ind w:left="1223" w:right="0" w:hanging="359"/>
        <w:jc w:val="left"/>
        <w:rPr>
          <w:rFonts w:ascii="Arial" w:hAnsi="Arial"/>
          <w:b/>
          <w:sz w:val="21"/>
        </w:rPr>
      </w:pPr>
      <w:r>
        <w:rPr>
          <w:rFonts w:ascii="Arial" w:hAnsi="Arial"/>
          <w:b/>
          <w:sz w:val="21"/>
        </w:rPr>
        <w:t>Allowed</w:t>
      </w:r>
      <w:r>
        <w:rPr>
          <w:rFonts w:ascii="Arial" w:hAnsi="Arial"/>
          <w:b/>
          <w:spacing w:val="-10"/>
          <w:sz w:val="21"/>
        </w:rPr>
        <w:t xml:space="preserve"> </w:t>
      </w:r>
      <w:r>
        <w:rPr>
          <w:rFonts w:ascii="Arial" w:hAnsi="Arial"/>
          <w:b/>
          <w:spacing w:val="-4"/>
          <w:sz w:val="21"/>
        </w:rPr>
        <w:t>PMPM</w:t>
      </w:r>
    </w:p>
    <w:p>
      <w:pPr>
        <w:pStyle w:val="BodyText"/>
        <w:spacing w:before="118"/>
        <w:ind w:left="1224" w:right="1465"/>
      </w:pPr>
      <w:r>
        <w:t>If</w:t>
      </w:r>
      <w:r>
        <w:rPr>
          <w:spacing w:val="-5"/>
        </w:rPr>
        <w:t xml:space="preserve"> </w:t>
      </w:r>
      <w:r>
        <w:t>the</w:t>
      </w:r>
      <w:r>
        <w:rPr>
          <w:spacing w:val="-3"/>
        </w:rPr>
        <w:t xml:space="preserve"> </w:t>
      </w:r>
      <w:r>
        <w:t>MAO</w:t>
      </w:r>
      <w:r>
        <w:rPr>
          <w:spacing w:val="-4"/>
        </w:rPr>
        <w:t xml:space="preserve"> </w:t>
      </w:r>
      <w:r>
        <w:t>purchased</w:t>
      </w:r>
      <w:r>
        <w:rPr>
          <w:spacing w:val="-3"/>
        </w:rPr>
        <w:t xml:space="preserve"> </w:t>
      </w:r>
      <w:r>
        <w:t>capitated</w:t>
      </w:r>
      <w:r>
        <w:rPr>
          <w:spacing w:val="-3"/>
        </w:rPr>
        <w:t xml:space="preserve"> </w:t>
      </w:r>
      <w:r>
        <w:t>services,</w:t>
      </w:r>
      <w:r>
        <w:rPr>
          <w:spacing w:val="-3"/>
        </w:rPr>
        <w:t xml:space="preserve"> </w:t>
      </w:r>
      <w:r>
        <w:t>then</w:t>
      </w:r>
      <w:r>
        <w:rPr>
          <w:spacing w:val="-3"/>
        </w:rPr>
        <w:t xml:space="preserve"> </w:t>
      </w:r>
      <w:r>
        <w:t>the</w:t>
      </w:r>
      <w:r>
        <w:rPr>
          <w:spacing w:val="-2"/>
        </w:rPr>
        <w:t xml:space="preserve"> </w:t>
      </w:r>
      <w:r>
        <w:t>allowed</w:t>
      </w:r>
      <w:r>
        <w:rPr>
          <w:spacing w:val="-3"/>
        </w:rPr>
        <w:t xml:space="preserve"> </w:t>
      </w:r>
      <w:r>
        <w:t>cost</w:t>
      </w:r>
      <w:r>
        <w:rPr>
          <w:spacing w:val="-3"/>
        </w:rPr>
        <w:t xml:space="preserve"> </w:t>
      </w:r>
      <w:r>
        <w:t>is</w:t>
      </w:r>
      <w:r>
        <w:rPr>
          <w:spacing w:val="-4"/>
        </w:rPr>
        <w:t xml:space="preserve"> </w:t>
      </w:r>
      <w:r>
        <w:t>the</w:t>
      </w:r>
      <w:r>
        <w:rPr>
          <w:spacing w:val="-3"/>
        </w:rPr>
        <w:t xml:space="preserve"> </w:t>
      </w:r>
      <w:r>
        <w:t>capitation</w:t>
      </w:r>
      <w:r>
        <w:rPr>
          <w:spacing w:val="-3"/>
        </w:rPr>
        <w:t xml:space="preserve"> </w:t>
      </w:r>
      <w:r>
        <w:t>paid</w:t>
      </w:r>
      <w:r>
        <w:rPr>
          <w:spacing w:val="-3"/>
        </w:rPr>
        <w:t xml:space="preserve"> </w:t>
      </w:r>
      <w:r>
        <w:t>for medical services plus any related cost sharing plus an estimate of the outcome for any risk-sharing arrangements.</w:t>
      </w:r>
    </w:p>
    <w:p>
      <w:pPr>
        <w:pStyle w:val="ListParagraph"/>
        <w:numPr>
          <w:ilvl w:val="0"/>
          <w:numId w:val="49"/>
        </w:numPr>
        <w:tabs>
          <w:tab w:val="left" w:pos="1223"/>
        </w:tabs>
        <w:spacing w:before="121" w:after="0" w:line="240" w:lineRule="auto"/>
        <w:ind w:left="1223" w:right="0" w:hanging="359"/>
        <w:jc w:val="left"/>
        <w:rPr>
          <w:rFonts w:ascii="Arial" w:hAnsi="Arial"/>
          <w:b/>
          <w:sz w:val="21"/>
        </w:rPr>
      </w:pPr>
      <w:r>
        <w:rPr>
          <w:rFonts w:ascii="Arial" w:hAnsi="Arial"/>
          <w:b/>
          <w:sz w:val="21"/>
        </w:rPr>
        <w:t>Projection</w:t>
      </w:r>
      <w:r>
        <w:rPr>
          <w:rFonts w:ascii="Arial" w:hAnsi="Arial"/>
          <w:b/>
          <w:spacing w:val="-9"/>
          <w:sz w:val="21"/>
        </w:rPr>
        <w:t xml:space="preserve"> </w:t>
      </w:r>
      <w:r>
        <w:rPr>
          <w:rFonts w:ascii="Arial" w:hAnsi="Arial"/>
          <w:b/>
          <w:spacing w:val="-2"/>
          <w:sz w:val="21"/>
        </w:rPr>
        <w:t>Assumptions</w:t>
      </w:r>
    </w:p>
    <w:p>
      <w:pPr>
        <w:pStyle w:val="BodyText"/>
        <w:spacing w:before="120"/>
        <w:ind w:left="1224" w:right="1481"/>
      </w:pPr>
      <w:r>
        <w:t>Each projection factor must reflect the combined impact from the base period to the contract</w:t>
      </w:r>
      <w:r>
        <w:rPr>
          <w:spacing w:val="-4"/>
        </w:rPr>
        <w:t xml:space="preserve"> </w:t>
      </w:r>
      <w:r>
        <w:t>year</w:t>
      </w:r>
      <w:r>
        <w:rPr>
          <w:spacing w:val="-4"/>
        </w:rPr>
        <w:t xml:space="preserve"> </w:t>
      </w:r>
      <w:r>
        <w:t>of</w:t>
      </w:r>
      <w:r>
        <w:rPr>
          <w:spacing w:val="-6"/>
        </w:rPr>
        <w:t xml:space="preserve"> </w:t>
      </w:r>
      <w:r>
        <w:t>the</w:t>
      </w:r>
      <w:r>
        <w:rPr>
          <w:spacing w:val="-5"/>
        </w:rPr>
        <w:t xml:space="preserve"> </w:t>
      </w:r>
      <w:r>
        <w:t>change</w:t>
      </w:r>
      <w:r>
        <w:rPr>
          <w:spacing w:val="-5"/>
        </w:rPr>
        <w:t xml:space="preserve"> </w:t>
      </w:r>
      <w:r>
        <w:t>in</w:t>
      </w:r>
      <w:r>
        <w:rPr>
          <w:spacing w:val="-3"/>
        </w:rPr>
        <w:t xml:space="preserve"> </w:t>
      </w:r>
      <w:r>
        <w:t>allowed</w:t>
      </w:r>
      <w:r>
        <w:rPr>
          <w:spacing w:val="-4"/>
        </w:rPr>
        <w:t xml:space="preserve"> </w:t>
      </w:r>
      <w:r>
        <w:t>costs</w:t>
      </w:r>
      <w:r>
        <w:rPr>
          <w:spacing w:val="-4"/>
        </w:rPr>
        <w:t xml:space="preserve"> </w:t>
      </w:r>
      <w:r>
        <w:t>for</w:t>
      </w:r>
      <w:r>
        <w:rPr>
          <w:spacing w:val="-5"/>
        </w:rPr>
        <w:t xml:space="preserve"> </w:t>
      </w:r>
      <w:r>
        <w:t>non-capitated</w:t>
      </w:r>
      <w:r>
        <w:rPr>
          <w:spacing w:val="-3"/>
        </w:rPr>
        <w:t xml:space="preserve"> </w:t>
      </w:r>
      <w:r>
        <w:t>and</w:t>
      </w:r>
      <w:r>
        <w:rPr>
          <w:spacing w:val="-4"/>
        </w:rPr>
        <w:t xml:space="preserve"> </w:t>
      </w:r>
      <w:r>
        <w:t>capitated</w:t>
      </w:r>
      <w:r>
        <w:rPr>
          <w:spacing w:val="-4"/>
        </w:rPr>
        <w:t xml:space="preserve"> </w:t>
      </w:r>
      <w:r>
        <w:t>services.</w:t>
      </w:r>
    </w:p>
    <w:p>
      <w:pPr>
        <w:pStyle w:val="BodyText"/>
        <w:spacing w:after="0"/>
        <w:sectPr>
          <w:pgSz w:w="12240" w:h="15840"/>
          <w:pgMar w:top="960" w:right="0" w:bottom="940" w:left="1080" w:header="727" w:footer="747"/>
          <w:cols w:space="720"/>
        </w:sectPr>
      </w:pPr>
    </w:p>
    <w:p>
      <w:pPr>
        <w:pStyle w:val="BodyText"/>
        <w:spacing w:before="190"/>
        <w:ind w:left="0"/>
      </w:pPr>
    </w:p>
    <w:p>
      <w:pPr>
        <w:pStyle w:val="ListParagraph"/>
        <w:numPr>
          <w:ilvl w:val="1"/>
          <w:numId w:val="49"/>
        </w:numPr>
        <w:tabs>
          <w:tab w:val="left" w:pos="1584"/>
        </w:tabs>
        <w:spacing w:before="0" w:after="0" w:line="240" w:lineRule="auto"/>
        <w:ind w:left="1584" w:right="1441" w:hanging="360"/>
        <w:jc w:val="left"/>
        <w:rPr>
          <w:sz w:val="24"/>
        </w:rPr>
      </w:pPr>
      <w:r>
        <w:rPr>
          <w:sz w:val="24"/>
        </w:rPr>
        <w:t>The “Unit Cost Adjustment – Provider Payment Change” factors entered on Worksheet</w:t>
      </w:r>
      <w:r>
        <w:rPr>
          <w:spacing w:val="-3"/>
          <w:sz w:val="24"/>
        </w:rPr>
        <w:t xml:space="preserve"> </w:t>
      </w:r>
      <w:r>
        <w:rPr>
          <w:sz w:val="24"/>
        </w:rPr>
        <w:t>1</w:t>
      </w:r>
      <w:r>
        <w:rPr>
          <w:spacing w:val="-3"/>
          <w:sz w:val="24"/>
        </w:rPr>
        <w:t xml:space="preserve"> </w:t>
      </w:r>
      <w:r>
        <w:rPr>
          <w:sz w:val="24"/>
        </w:rPr>
        <w:t>must</w:t>
      </w:r>
      <w:r>
        <w:rPr>
          <w:spacing w:val="-2"/>
          <w:sz w:val="24"/>
        </w:rPr>
        <w:t xml:space="preserve"> </w:t>
      </w:r>
      <w:r>
        <w:rPr>
          <w:sz w:val="24"/>
        </w:rPr>
        <w:t>include</w:t>
      </w:r>
      <w:r>
        <w:rPr>
          <w:spacing w:val="-4"/>
          <w:sz w:val="24"/>
        </w:rPr>
        <w:t xml:space="preserve"> </w:t>
      </w:r>
      <w:r>
        <w:rPr>
          <w:sz w:val="24"/>
        </w:rPr>
        <w:t>the</w:t>
      </w:r>
      <w:r>
        <w:rPr>
          <w:spacing w:val="-3"/>
          <w:sz w:val="24"/>
        </w:rPr>
        <w:t xml:space="preserve"> </w:t>
      </w:r>
      <w:r>
        <w:rPr>
          <w:sz w:val="24"/>
        </w:rPr>
        <w:t>impact</w:t>
      </w:r>
      <w:r>
        <w:rPr>
          <w:spacing w:val="-3"/>
          <w:sz w:val="24"/>
        </w:rPr>
        <w:t xml:space="preserve"> </w:t>
      </w:r>
      <w:r>
        <w:rPr>
          <w:sz w:val="24"/>
        </w:rPr>
        <w:t>of</w:t>
      </w:r>
      <w:r>
        <w:rPr>
          <w:spacing w:val="-3"/>
          <w:sz w:val="24"/>
        </w:rPr>
        <w:t xml:space="preserve"> </w:t>
      </w:r>
      <w:r>
        <w:rPr>
          <w:sz w:val="24"/>
        </w:rPr>
        <w:t>changes</w:t>
      </w:r>
      <w:r>
        <w:rPr>
          <w:spacing w:val="-4"/>
          <w:sz w:val="24"/>
        </w:rPr>
        <w:t xml:space="preserve"> </w:t>
      </w:r>
      <w:r>
        <w:rPr>
          <w:sz w:val="24"/>
        </w:rPr>
        <w:t>in</w:t>
      </w:r>
      <w:r>
        <w:rPr>
          <w:spacing w:val="-3"/>
          <w:sz w:val="24"/>
        </w:rPr>
        <w:t xml:space="preserve"> </w:t>
      </w:r>
      <w:r>
        <w:rPr>
          <w:sz w:val="24"/>
        </w:rPr>
        <w:t>all</w:t>
      </w:r>
      <w:r>
        <w:rPr>
          <w:spacing w:val="-2"/>
          <w:sz w:val="24"/>
        </w:rPr>
        <w:t xml:space="preserve"> </w:t>
      </w:r>
      <w:r>
        <w:rPr>
          <w:sz w:val="24"/>
        </w:rPr>
        <w:t>capitation</w:t>
      </w:r>
      <w:r>
        <w:rPr>
          <w:spacing w:val="-3"/>
          <w:sz w:val="24"/>
        </w:rPr>
        <w:t xml:space="preserve"> </w:t>
      </w:r>
      <w:r>
        <w:rPr>
          <w:sz w:val="24"/>
        </w:rPr>
        <w:t>arrangements</w:t>
      </w:r>
      <w:r>
        <w:rPr>
          <w:spacing w:val="-4"/>
          <w:sz w:val="24"/>
        </w:rPr>
        <w:t xml:space="preserve"> </w:t>
      </w:r>
      <w:r>
        <w:rPr>
          <w:sz w:val="24"/>
        </w:rPr>
        <w:t>aside from those attributable to changes in utilization or benefits.</w:t>
      </w:r>
    </w:p>
    <w:p>
      <w:pPr>
        <w:spacing w:before="241"/>
        <w:ind w:left="1224" w:right="0" w:firstLine="0"/>
        <w:jc w:val="left"/>
        <w:rPr>
          <w:rFonts w:ascii="Arial"/>
          <w:b/>
          <w:i/>
          <w:sz w:val="21"/>
        </w:rPr>
      </w:pPr>
      <w:bookmarkStart w:id="36" w:name="Global Capitation and Risk-Sharing Arran"/>
      <w:bookmarkEnd w:id="36"/>
      <w:r>
        <w:rPr>
          <w:rFonts w:ascii="Arial"/>
          <w:b/>
          <w:i/>
          <w:sz w:val="21"/>
        </w:rPr>
        <w:t>Global</w:t>
      </w:r>
      <w:r>
        <w:rPr>
          <w:rFonts w:ascii="Arial"/>
          <w:b/>
          <w:i/>
          <w:spacing w:val="-9"/>
          <w:sz w:val="21"/>
        </w:rPr>
        <w:t xml:space="preserve"> </w:t>
      </w:r>
      <w:r>
        <w:rPr>
          <w:rFonts w:ascii="Arial"/>
          <w:b/>
          <w:i/>
          <w:sz w:val="21"/>
        </w:rPr>
        <w:t>Capitation</w:t>
      </w:r>
      <w:r>
        <w:rPr>
          <w:rFonts w:ascii="Arial"/>
          <w:b/>
          <w:i/>
          <w:spacing w:val="-7"/>
          <w:sz w:val="21"/>
        </w:rPr>
        <w:t xml:space="preserve"> </w:t>
      </w:r>
      <w:r>
        <w:rPr>
          <w:rFonts w:ascii="Arial"/>
          <w:b/>
          <w:i/>
          <w:sz w:val="21"/>
        </w:rPr>
        <w:t>and</w:t>
      </w:r>
      <w:r>
        <w:rPr>
          <w:rFonts w:ascii="Arial"/>
          <w:b/>
          <w:i/>
          <w:spacing w:val="-7"/>
          <w:sz w:val="21"/>
        </w:rPr>
        <w:t xml:space="preserve"> </w:t>
      </w:r>
      <w:r>
        <w:rPr>
          <w:rFonts w:ascii="Arial"/>
          <w:b/>
          <w:i/>
          <w:sz w:val="21"/>
        </w:rPr>
        <w:t>Risk-Sharing</w:t>
      </w:r>
      <w:r>
        <w:rPr>
          <w:rFonts w:ascii="Arial"/>
          <w:b/>
          <w:i/>
          <w:spacing w:val="-7"/>
          <w:sz w:val="21"/>
        </w:rPr>
        <w:t xml:space="preserve"> </w:t>
      </w:r>
      <w:r>
        <w:rPr>
          <w:rFonts w:ascii="Arial"/>
          <w:b/>
          <w:i/>
          <w:spacing w:val="-2"/>
          <w:sz w:val="21"/>
        </w:rPr>
        <w:t>Arrangements</w:t>
      </w:r>
    </w:p>
    <w:p>
      <w:pPr>
        <w:pStyle w:val="BodyText"/>
        <w:spacing w:before="120"/>
        <w:ind w:left="1224" w:right="1481"/>
      </w:pPr>
      <w:r>
        <w:t>This</w:t>
      </w:r>
      <w:r>
        <w:rPr>
          <w:spacing w:val="-6"/>
        </w:rPr>
        <w:t xml:space="preserve"> </w:t>
      </w:r>
      <w:r>
        <w:t>subsection</w:t>
      </w:r>
      <w:r>
        <w:rPr>
          <w:spacing w:val="-5"/>
        </w:rPr>
        <w:t xml:space="preserve"> </w:t>
      </w:r>
      <w:r>
        <w:t>contains</w:t>
      </w:r>
      <w:r>
        <w:rPr>
          <w:spacing w:val="-6"/>
        </w:rPr>
        <w:t xml:space="preserve"> </w:t>
      </w:r>
      <w:r>
        <w:t>additional</w:t>
      </w:r>
      <w:r>
        <w:rPr>
          <w:spacing w:val="-5"/>
        </w:rPr>
        <w:t xml:space="preserve"> </w:t>
      </w:r>
      <w:r>
        <w:t>requirements</w:t>
      </w:r>
      <w:r>
        <w:rPr>
          <w:spacing w:val="-6"/>
        </w:rPr>
        <w:t xml:space="preserve"> </w:t>
      </w:r>
      <w:r>
        <w:t>for</w:t>
      </w:r>
      <w:r>
        <w:rPr>
          <w:spacing w:val="-5"/>
        </w:rPr>
        <w:t xml:space="preserve"> </w:t>
      </w:r>
      <w:r>
        <w:t>costs</w:t>
      </w:r>
      <w:r>
        <w:rPr>
          <w:spacing w:val="-5"/>
        </w:rPr>
        <w:t xml:space="preserve"> </w:t>
      </w:r>
      <w:r>
        <w:t>associated</w:t>
      </w:r>
      <w:r>
        <w:rPr>
          <w:spacing w:val="-4"/>
        </w:rPr>
        <w:t xml:space="preserve"> </w:t>
      </w:r>
      <w:r>
        <w:t>with</w:t>
      </w:r>
      <w:r>
        <w:rPr>
          <w:spacing w:val="-5"/>
        </w:rPr>
        <w:t xml:space="preserve"> </w:t>
      </w:r>
      <w:r>
        <w:t>global capitation and risk-sharing arrangements as described below.</w:t>
      </w:r>
    </w:p>
    <w:p>
      <w:pPr>
        <w:pStyle w:val="ListParagraph"/>
        <w:numPr>
          <w:ilvl w:val="2"/>
          <w:numId w:val="49"/>
        </w:numPr>
        <w:tabs>
          <w:tab w:val="left" w:pos="1944"/>
        </w:tabs>
        <w:spacing w:before="120" w:after="0" w:line="240" w:lineRule="auto"/>
        <w:ind w:left="1944" w:right="1841" w:hanging="360"/>
        <w:jc w:val="left"/>
        <w:rPr>
          <w:sz w:val="24"/>
        </w:rPr>
      </w:pPr>
      <w:r>
        <w:rPr>
          <w:sz w:val="24"/>
        </w:rPr>
        <w:t>It</w:t>
      </w:r>
      <w:r>
        <w:rPr>
          <w:spacing w:val="-3"/>
          <w:sz w:val="24"/>
        </w:rPr>
        <w:t xml:space="preserve"> </w:t>
      </w:r>
      <w:r>
        <w:rPr>
          <w:sz w:val="24"/>
        </w:rPr>
        <w:t>is</w:t>
      </w:r>
      <w:r>
        <w:rPr>
          <w:spacing w:val="-4"/>
          <w:sz w:val="24"/>
        </w:rPr>
        <w:t xml:space="preserve"> </w:t>
      </w:r>
      <w:r>
        <w:rPr>
          <w:sz w:val="24"/>
        </w:rPr>
        <w:t>not</w:t>
      </w:r>
      <w:r>
        <w:rPr>
          <w:spacing w:val="-3"/>
          <w:sz w:val="24"/>
        </w:rPr>
        <w:t xml:space="preserve"> </w:t>
      </w:r>
      <w:r>
        <w:rPr>
          <w:sz w:val="24"/>
        </w:rPr>
        <w:t>appropriate</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risk</w:t>
      </w:r>
      <w:r>
        <w:rPr>
          <w:spacing w:val="-3"/>
          <w:sz w:val="24"/>
        </w:rPr>
        <w:t xml:space="preserve"> </w:t>
      </w:r>
      <w:r>
        <w:rPr>
          <w:sz w:val="24"/>
        </w:rPr>
        <w:t>protection</w:t>
      </w:r>
      <w:r>
        <w:rPr>
          <w:spacing w:val="-3"/>
          <w:sz w:val="24"/>
        </w:rPr>
        <w:t xml:space="preserve"> </w:t>
      </w:r>
      <w:r>
        <w:rPr>
          <w:sz w:val="24"/>
        </w:rPr>
        <w:t>for Part</w:t>
      </w:r>
      <w:r>
        <w:rPr>
          <w:spacing w:val="-3"/>
          <w:sz w:val="24"/>
        </w:rPr>
        <w:t xml:space="preserve"> </w:t>
      </w:r>
      <w:r>
        <w:rPr>
          <w:sz w:val="24"/>
        </w:rPr>
        <w:t>D</w:t>
      </w:r>
      <w:r>
        <w:rPr>
          <w:spacing w:val="-4"/>
          <w:sz w:val="24"/>
        </w:rPr>
        <w:t xml:space="preserve"> </w:t>
      </w:r>
      <w:r>
        <w:rPr>
          <w:sz w:val="24"/>
        </w:rPr>
        <w:t>through</w:t>
      </w:r>
      <w:r>
        <w:rPr>
          <w:spacing w:val="-3"/>
          <w:sz w:val="24"/>
        </w:rPr>
        <w:t xml:space="preserve"> </w:t>
      </w:r>
      <w:r>
        <w:rPr>
          <w:sz w:val="24"/>
        </w:rPr>
        <w:t>MA</w:t>
      </w:r>
      <w:r>
        <w:rPr>
          <w:spacing w:val="-4"/>
          <w:sz w:val="24"/>
        </w:rPr>
        <w:t xml:space="preserve"> </w:t>
      </w:r>
      <w:r>
        <w:rPr>
          <w:sz w:val="24"/>
        </w:rPr>
        <w:t>or</w:t>
      </w:r>
      <w:r>
        <w:rPr>
          <w:spacing w:val="-5"/>
          <w:sz w:val="24"/>
        </w:rPr>
        <w:t xml:space="preserve"> </w:t>
      </w:r>
      <w:r>
        <w:rPr>
          <w:sz w:val="24"/>
        </w:rPr>
        <w:t xml:space="preserve">vice </w:t>
      </w:r>
      <w:r>
        <w:rPr>
          <w:spacing w:val="-2"/>
          <w:sz w:val="24"/>
        </w:rPr>
        <w:t>versa.</w:t>
      </w:r>
    </w:p>
    <w:p>
      <w:pPr>
        <w:pStyle w:val="ListParagraph"/>
        <w:numPr>
          <w:ilvl w:val="2"/>
          <w:numId w:val="49"/>
        </w:numPr>
        <w:tabs>
          <w:tab w:val="left" w:pos="1944"/>
        </w:tabs>
        <w:spacing w:before="0" w:after="0" w:line="240" w:lineRule="auto"/>
        <w:ind w:left="1944" w:right="1682" w:hanging="360"/>
        <w:jc w:val="left"/>
        <w:rPr>
          <w:sz w:val="24"/>
        </w:rPr>
      </w:pPr>
      <w:r>
        <w:rPr>
          <w:sz w:val="24"/>
        </w:rPr>
        <w:t>The BPT must reflect the benefit costs in the service categories included in global</w:t>
      </w:r>
      <w:r>
        <w:rPr>
          <w:spacing w:val="-4"/>
          <w:sz w:val="24"/>
        </w:rPr>
        <w:t xml:space="preserve"> </w:t>
      </w:r>
      <w:r>
        <w:rPr>
          <w:sz w:val="24"/>
        </w:rPr>
        <w:t>capitation</w:t>
      </w:r>
      <w:r>
        <w:rPr>
          <w:spacing w:val="-4"/>
          <w:sz w:val="24"/>
        </w:rPr>
        <w:t xml:space="preserve"> </w:t>
      </w:r>
      <w:r>
        <w:rPr>
          <w:sz w:val="24"/>
        </w:rPr>
        <w:t>and</w:t>
      </w:r>
      <w:r>
        <w:rPr>
          <w:spacing w:val="-4"/>
          <w:sz w:val="24"/>
        </w:rPr>
        <w:t xml:space="preserve"> </w:t>
      </w:r>
      <w:r>
        <w:rPr>
          <w:sz w:val="24"/>
        </w:rPr>
        <w:t>risk-sharing</w:t>
      </w:r>
      <w:r>
        <w:rPr>
          <w:spacing w:val="-5"/>
          <w:sz w:val="24"/>
        </w:rPr>
        <w:t xml:space="preserve"> </w:t>
      </w:r>
      <w:r>
        <w:rPr>
          <w:sz w:val="24"/>
        </w:rPr>
        <w:t>contracts.</w:t>
      </w:r>
      <w:r>
        <w:rPr>
          <w:spacing w:val="-2"/>
          <w:sz w:val="24"/>
        </w:rPr>
        <w:t xml:space="preserve"> </w:t>
      </w:r>
      <w:r>
        <w:rPr>
          <w:sz w:val="24"/>
        </w:rPr>
        <w:t>If</w:t>
      </w:r>
      <w:r>
        <w:rPr>
          <w:spacing w:val="-4"/>
          <w:sz w:val="24"/>
        </w:rPr>
        <w:t xml:space="preserve"> </w:t>
      </w:r>
      <w:r>
        <w:rPr>
          <w:sz w:val="24"/>
        </w:rPr>
        <w:t>the</w:t>
      </w:r>
      <w:r>
        <w:rPr>
          <w:spacing w:val="-3"/>
          <w:sz w:val="24"/>
        </w:rPr>
        <w:t xml:space="preserve"> </w:t>
      </w:r>
      <w:r>
        <w:rPr>
          <w:sz w:val="24"/>
        </w:rPr>
        <w:t>certifying</w:t>
      </w:r>
      <w:r>
        <w:rPr>
          <w:spacing w:val="-4"/>
          <w:sz w:val="24"/>
        </w:rPr>
        <w:t xml:space="preserve"> </w:t>
      </w:r>
      <w:r>
        <w:rPr>
          <w:sz w:val="24"/>
        </w:rPr>
        <w:t>actuary</w:t>
      </w:r>
      <w:r>
        <w:rPr>
          <w:spacing w:val="-4"/>
          <w:sz w:val="24"/>
        </w:rPr>
        <w:t xml:space="preserve"> </w:t>
      </w:r>
      <w:r>
        <w:rPr>
          <w:sz w:val="24"/>
        </w:rPr>
        <w:t>projects</w:t>
      </w:r>
      <w:r>
        <w:rPr>
          <w:spacing w:val="-5"/>
          <w:sz w:val="24"/>
        </w:rPr>
        <w:t xml:space="preserve"> </w:t>
      </w:r>
      <w:r>
        <w:rPr>
          <w:sz w:val="24"/>
        </w:rPr>
        <w:t>a payment</w:t>
      </w:r>
      <w:r>
        <w:rPr>
          <w:spacing w:val="-3"/>
          <w:sz w:val="24"/>
        </w:rPr>
        <w:t xml:space="preserve"> </w:t>
      </w:r>
      <w:r>
        <w:rPr>
          <w:sz w:val="24"/>
        </w:rPr>
        <w:t>for</w:t>
      </w:r>
      <w:r>
        <w:rPr>
          <w:spacing w:val="-5"/>
          <w:sz w:val="24"/>
        </w:rPr>
        <w:t xml:space="preserve"> </w:t>
      </w:r>
      <w:r>
        <w:rPr>
          <w:sz w:val="24"/>
        </w:rPr>
        <w:t>the</w:t>
      </w:r>
      <w:r>
        <w:rPr>
          <w:spacing w:val="-4"/>
          <w:sz w:val="24"/>
        </w:rPr>
        <w:t xml:space="preserve"> </w:t>
      </w:r>
      <w:r>
        <w:rPr>
          <w:sz w:val="24"/>
        </w:rPr>
        <w:t>base</w:t>
      </w:r>
      <w:r>
        <w:rPr>
          <w:spacing w:val="-4"/>
          <w:sz w:val="24"/>
        </w:rPr>
        <w:t xml:space="preserve"> </w:t>
      </w:r>
      <w:r>
        <w:rPr>
          <w:sz w:val="24"/>
        </w:rPr>
        <w:t>period</w:t>
      </w:r>
      <w:r>
        <w:rPr>
          <w:spacing w:val="-3"/>
          <w:sz w:val="24"/>
        </w:rPr>
        <w:t xml:space="preserve"> </w:t>
      </w:r>
      <w:r>
        <w:rPr>
          <w:sz w:val="24"/>
        </w:rPr>
        <w:t>or</w:t>
      </w:r>
      <w:r>
        <w:rPr>
          <w:spacing w:val="-4"/>
          <w:sz w:val="24"/>
        </w:rPr>
        <w:t xml:space="preserve"> </w:t>
      </w:r>
      <w:r>
        <w:rPr>
          <w:sz w:val="24"/>
        </w:rPr>
        <w:t>contract</w:t>
      </w:r>
      <w:r>
        <w:rPr>
          <w:spacing w:val="-3"/>
          <w:sz w:val="24"/>
        </w:rPr>
        <w:t xml:space="preserve"> </w:t>
      </w:r>
      <w:r>
        <w:rPr>
          <w:sz w:val="24"/>
        </w:rPr>
        <w:t>year,</w:t>
      </w:r>
      <w:r>
        <w:rPr>
          <w:spacing w:val="-4"/>
          <w:sz w:val="24"/>
        </w:rPr>
        <w:t xml:space="preserve"> </w:t>
      </w:r>
      <w:r>
        <w:rPr>
          <w:sz w:val="24"/>
        </w:rPr>
        <w:t>the</w:t>
      </w:r>
      <w:r>
        <w:rPr>
          <w:spacing w:val="-4"/>
          <w:sz w:val="24"/>
        </w:rPr>
        <w:t xml:space="preserve"> </w:t>
      </w:r>
      <w:r>
        <w:rPr>
          <w:sz w:val="24"/>
        </w:rPr>
        <w:t>payment</w:t>
      </w:r>
      <w:r>
        <w:rPr>
          <w:spacing w:val="-3"/>
          <w:sz w:val="24"/>
        </w:rPr>
        <w:t xml:space="preserve"> </w:t>
      </w:r>
      <w:r>
        <w:rPr>
          <w:sz w:val="24"/>
        </w:rPr>
        <w:t>must</w:t>
      </w:r>
      <w:r>
        <w:rPr>
          <w:spacing w:val="-2"/>
          <w:sz w:val="24"/>
        </w:rPr>
        <w:t xml:space="preserve"> </w:t>
      </w:r>
      <w:r>
        <w:rPr>
          <w:sz w:val="24"/>
        </w:rPr>
        <w:t>be</w:t>
      </w:r>
      <w:r>
        <w:rPr>
          <w:spacing w:val="-4"/>
          <w:sz w:val="24"/>
        </w:rPr>
        <w:t xml:space="preserve"> </w:t>
      </w:r>
      <w:r>
        <w:rPr>
          <w:sz w:val="24"/>
        </w:rPr>
        <w:t>allocated</w:t>
      </w:r>
      <w:r>
        <w:rPr>
          <w:spacing w:val="-2"/>
          <w:sz w:val="24"/>
        </w:rPr>
        <w:t xml:space="preserve"> </w:t>
      </w:r>
      <w:r>
        <w:rPr>
          <w:sz w:val="24"/>
        </w:rPr>
        <w:t>to the service category based on net medical costs under the global capitation or risk-sharing arrangement prior to the</w:t>
      </w:r>
      <w:r>
        <w:rPr>
          <w:spacing w:val="-1"/>
          <w:sz w:val="24"/>
        </w:rPr>
        <w:t xml:space="preserve"> </w:t>
      </w:r>
      <w:r>
        <w:rPr>
          <w:sz w:val="24"/>
        </w:rPr>
        <w:t>payment. Specifically, the payment for a particular service category is based on the ratio of (i) net medical costs in that service category, and (ii) total net medical costs of the service</w:t>
      </w:r>
    </w:p>
    <w:p>
      <w:pPr>
        <w:pStyle w:val="BodyText"/>
        <w:spacing w:line="274" w:lineRule="exact"/>
        <w:ind w:left="1944"/>
      </w:pPr>
      <w:r>
        <w:t>categories</w:t>
      </w:r>
      <w:r>
        <w:rPr>
          <w:spacing w:val="-4"/>
        </w:rPr>
        <w:t xml:space="preserve"> </w:t>
      </w:r>
      <w:r>
        <w:t>included</w:t>
      </w:r>
      <w:r>
        <w:rPr>
          <w:spacing w:val="-2"/>
        </w:rPr>
        <w:t xml:space="preserve"> </w:t>
      </w:r>
      <w:r>
        <w:t>in</w:t>
      </w:r>
      <w:r>
        <w:rPr>
          <w:spacing w:val="-1"/>
        </w:rPr>
        <w:t xml:space="preserve"> </w:t>
      </w:r>
      <w:r>
        <w:t>the</w:t>
      </w:r>
      <w:r>
        <w:rPr>
          <w:spacing w:val="-2"/>
        </w:rPr>
        <w:t xml:space="preserve"> </w:t>
      </w:r>
      <w:r>
        <w:t>global</w:t>
      </w:r>
      <w:r>
        <w:rPr>
          <w:spacing w:val="-1"/>
        </w:rPr>
        <w:t xml:space="preserve"> </w:t>
      </w:r>
      <w:r>
        <w:t>capitation</w:t>
      </w:r>
      <w:r>
        <w:rPr>
          <w:spacing w:val="-1"/>
        </w:rPr>
        <w:t xml:space="preserve"> </w:t>
      </w:r>
      <w:r>
        <w:t>or</w:t>
      </w:r>
      <w:r>
        <w:rPr>
          <w:spacing w:val="-1"/>
        </w:rPr>
        <w:t xml:space="preserve"> </w:t>
      </w:r>
      <w:r>
        <w:t>risk-sharing</w:t>
      </w:r>
      <w:r>
        <w:rPr>
          <w:spacing w:val="-2"/>
        </w:rPr>
        <w:t xml:space="preserve"> contract.</w:t>
      </w:r>
    </w:p>
    <w:p>
      <w:pPr>
        <w:pStyle w:val="BodyText"/>
        <w:spacing w:before="120"/>
        <w:ind w:left="1224" w:right="1524"/>
      </w:pPr>
      <w:r>
        <w:t>The cost sharing PMPM in Worksheet 3, Section III, column i must be based on benefits outlined in the PBP. Therefore, in order for the BPT to reflect the appropriate projected</w:t>
      </w:r>
      <w:r>
        <w:rPr>
          <w:spacing w:val="-5"/>
        </w:rPr>
        <w:t xml:space="preserve"> </w:t>
      </w:r>
      <w:r>
        <w:t>allowed</w:t>
      </w:r>
      <w:r>
        <w:rPr>
          <w:spacing w:val="-5"/>
        </w:rPr>
        <w:t xml:space="preserve"> </w:t>
      </w:r>
      <w:r>
        <w:t>costs</w:t>
      </w:r>
      <w:r>
        <w:rPr>
          <w:spacing w:val="-5"/>
        </w:rPr>
        <w:t xml:space="preserve"> </w:t>
      </w:r>
      <w:r>
        <w:t>and</w:t>
      </w:r>
      <w:r>
        <w:rPr>
          <w:spacing w:val="-5"/>
        </w:rPr>
        <w:t xml:space="preserve"> </w:t>
      </w:r>
      <w:r>
        <w:t>net</w:t>
      </w:r>
      <w:r>
        <w:rPr>
          <w:spacing w:val="-5"/>
        </w:rPr>
        <w:t xml:space="preserve"> </w:t>
      </w:r>
      <w:r>
        <w:t>medical</w:t>
      </w:r>
      <w:r>
        <w:rPr>
          <w:spacing w:val="-5"/>
        </w:rPr>
        <w:t xml:space="preserve"> </w:t>
      </w:r>
      <w:r>
        <w:t>expenses,</w:t>
      </w:r>
      <w:r>
        <w:rPr>
          <w:spacing w:val="-3"/>
        </w:rPr>
        <w:t xml:space="preserve"> </w:t>
      </w:r>
      <w:r>
        <w:t>the</w:t>
      </w:r>
      <w:r>
        <w:rPr>
          <w:spacing w:val="-5"/>
        </w:rPr>
        <w:t xml:space="preserve"> </w:t>
      </w:r>
      <w:r>
        <w:t>effective</w:t>
      </w:r>
      <w:r>
        <w:rPr>
          <w:spacing w:val="-6"/>
        </w:rPr>
        <w:t xml:space="preserve"> </w:t>
      </w:r>
      <w:r>
        <w:t>coinsurance</w:t>
      </w:r>
      <w:r>
        <w:rPr>
          <w:spacing w:val="-6"/>
        </w:rPr>
        <w:t xml:space="preserve"> </w:t>
      </w:r>
      <w:r>
        <w:t>percentage in column i may not match the coinsurance percentage in the PBP. See the</w:t>
      </w:r>
    </w:p>
    <w:p>
      <w:pPr>
        <w:pStyle w:val="BodyText"/>
        <w:ind w:left="1224" w:right="1481"/>
      </w:pPr>
      <w:r>
        <w:t>“Cost</w:t>
      </w:r>
      <w:r>
        <w:rPr>
          <w:spacing w:val="-4"/>
        </w:rPr>
        <w:t xml:space="preserve"> </w:t>
      </w:r>
      <w:r>
        <w:t>Sharing”</w:t>
      </w:r>
      <w:r>
        <w:rPr>
          <w:spacing w:val="-5"/>
        </w:rPr>
        <w:t xml:space="preserve"> </w:t>
      </w:r>
      <w:r>
        <w:t>pricing</w:t>
      </w:r>
      <w:r>
        <w:rPr>
          <w:spacing w:val="-4"/>
        </w:rPr>
        <w:t xml:space="preserve"> </w:t>
      </w:r>
      <w:r>
        <w:t>consideration</w:t>
      </w:r>
      <w:r>
        <w:rPr>
          <w:spacing w:val="-4"/>
        </w:rPr>
        <w:t xml:space="preserve"> </w:t>
      </w:r>
      <w:r>
        <w:t>for</w:t>
      </w:r>
      <w:r>
        <w:rPr>
          <w:spacing w:val="-4"/>
        </w:rPr>
        <w:t xml:space="preserve"> </w:t>
      </w:r>
      <w:r>
        <w:t>more</w:t>
      </w:r>
      <w:r>
        <w:rPr>
          <w:spacing w:val="-5"/>
        </w:rPr>
        <w:t xml:space="preserve"> </w:t>
      </w:r>
      <w:r>
        <w:t>information</w:t>
      </w:r>
      <w:r>
        <w:rPr>
          <w:spacing w:val="-4"/>
        </w:rPr>
        <w:t xml:space="preserve"> </w:t>
      </w:r>
      <w:r>
        <w:t>about</w:t>
      </w:r>
      <w:r>
        <w:rPr>
          <w:spacing w:val="-4"/>
        </w:rPr>
        <w:t xml:space="preserve"> </w:t>
      </w:r>
      <w:r>
        <w:t>the</w:t>
      </w:r>
      <w:r>
        <w:rPr>
          <w:spacing w:val="-5"/>
        </w:rPr>
        <w:t xml:space="preserve"> </w:t>
      </w:r>
      <w:r>
        <w:t>calculation</w:t>
      </w:r>
      <w:r>
        <w:rPr>
          <w:spacing w:val="-4"/>
        </w:rPr>
        <w:t xml:space="preserve"> </w:t>
      </w:r>
      <w:r>
        <w:t>of</w:t>
      </w:r>
      <w:r>
        <w:rPr>
          <w:spacing w:val="-5"/>
        </w:rPr>
        <w:t xml:space="preserve"> </w:t>
      </w:r>
      <w:r>
        <w:t>the effective coinsurance percentage.</w:t>
      </w:r>
    </w:p>
    <w:p>
      <w:pPr>
        <w:spacing w:before="241"/>
        <w:ind w:left="504" w:right="0" w:firstLine="0"/>
        <w:jc w:val="both"/>
        <w:rPr>
          <w:rFonts w:ascii="Arial"/>
          <w:b/>
          <w:sz w:val="21"/>
        </w:rPr>
      </w:pPr>
      <w:bookmarkStart w:id="37" w:name="Coordination of Benefits (COB)/Subrogati"/>
      <w:bookmarkEnd w:id="37"/>
      <w:bookmarkStart w:id="38" w:name="_bookmark14"/>
      <w:bookmarkEnd w:id="38"/>
      <w:r>
        <w:rPr>
          <w:rFonts w:ascii="Arial"/>
          <w:b/>
          <w:sz w:val="21"/>
        </w:rPr>
        <w:t>Coordination</w:t>
      </w:r>
      <w:r>
        <w:rPr>
          <w:rFonts w:ascii="Arial"/>
          <w:b/>
          <w:spacing w:val="-6"/>
          <w:sz w:val="21"/>
        </w:rPr>
        <w:t xml:space="preserve"> </w:t>
      </w:r>
      <w:r>
        <w:rPr>
          <w:rFonts w:ascii="Arial"/>
          <w:b/>
          <w:sz w:val="21"/>
        </w:rPr>
        <w:t>of</w:t>
      </w:r>
      <w:r>
        <w:rPr>
          <w:rFonts w:ascii="Arial"/>
          <w:b/>
          <w:spacing w:val="-7"/>
          <w:sz w:val="21"/>
        </w:rPr>
        <w:t xml:space="preserve"> </w:t>
      </w:r>
      <w:r>
        <w:rPr>
          <w:rFonts w:ascii="Arial"/>
          <w:b/>
          <w:sz w:val="21"/>
        </w:rPr>
        <w:t>Benefits</w:t>
      </w:r>
      <w:r>
        <w:rPr>
          <w:rFonts w:ascii="Arial"/>
          <w:b/>
          <w:spacing w:val="-9"/>
          <w:sz w:val="21"/>
        </w:rPr>
        <w:t xml:space="preserve"> </w:t>
      </w:r>
      <w:r>
        <w:rPr>
          <w:rFonts w:ascii="Arial"/>
          <w:b/>
          <w:spacing w:val="-2"/>
          <w:sz w:val="21"/>
        </w:rPr>
        <w:t>(COB)/Subrogation</w:t>
      </w:r>
    </w:p>
    <w:p>
      <w:pPr>
        <w:pStyle w:val="BodyText"/>
        <w:spacing w:before="121"/>
        <w:ind w:right="1449"/>
        <w:jc w:val="both"/>
      </w:pPr>
      <w:r>
        <w:t>The</w:t>
      </w:r>
      <w:r>
        <w:rPr>
          <w:spacing w:val="-1"/>
        </w:rPr>
        <w:t xml:space="preserve"> </w:t>
      </w:r>
      <w:r>
        <w:t>COB/Subrogation service category is intended to include only those amounts that are</w:t>
      </w:r>
      <w:r>
        <w:rPr>
          <w:spacing w:val="-1"/>
        </w:rPr>
        <w:t xml:space="preserve"> </w:t>
      </w:r>
      <w:r>
        <w:t>to be settled outside the claim system. If an MAO pays claims for its estimated liability only (that is, net</w:t>
      </w:r>
      <w:r>
        <w:rPr>
          <w:spacing w:val="-3"/>
        </w:rPr>
        <w:t xml:space="preserve"> </w:t>
      </w:r>
      <w:r>
        <w:t>of</w:t>
      </w:r>
      <w:r>
        <w:rPr>
          <w:spacing w:val="-3"/>
        </w:rPr>
        <w:t xml:space="preserve"> </w:t>
      </w:r>
      <w:r>
        <w:t>the</w:t>
      </w:r>
      <w:r>
        <w:rPr>
          <w:spacing w:val="-4"/>
        </w:rPr>
        <w:t xml:space="preserve"> </w:t>
      </w:r>
      <w:r>
        <w:t>amount</w:t>
      </w:r>
      <w:r>
        <w:rPr>
          <w:spacing w:val="-3"/>
        </w:rPr>
        <w:t xml:space="preserve"> </w:t>
      </w:r>
      <w:r>
        <w:t>that</w:t>
      </w:r>
      <w:r>
        <w:rPr>
          <w:spacing w:val="-3"/>
        </w:rPr>
        <w:t xml:space="preserve"> </w:t>
      </w:r>
      <w:r>
        <w:t>is</w:t>
      </w:r>
      <w:r>
        <w:rPr>
          <w:spacing w:val="-3"/>
        </w:rPr>
        <w:t xml:space="preserve"> </w:t>
      </w:r>
      <w:r>
        <w:t>the</w:t>
      </w:r>
      <w:r>
        <w:rPr>
          <w:spacing w:val="-3"/>
        </w:rPr>
        <w:t xml:space="preserve"> </w:t>
      </w:r>
      <w:r>
        <w:t>responsibility</w:t>
      </w:r>
      <w:r>
        <w:rPr>
          <w:spacing w:val="-3"/>
        </w:rPr>
        <w:t xml:space="preserve"> </w:t>
      </w:r>
      <w:r>
        <w:t>of</w:t>
      </w:r>
      <w:r>
        <w:rPr>
          <w:spacing w:val="-3"/>
        </w:rPr>
        <w:t xml:space="preserve"> </w:t>
      </w:r>
      <w:r>
        <w:t>another</w:t>
      </w:r>
      <w:r>
        <w:rPr>
          <w:spacing w:val="-5"/>
        </w:rPr>
        <w:t xml:space="preserve"> </w:t>
      </w:r>
      <w:r>
        <w:t>payer,</w:t>
      </w:r>
      <w:r>
        <w:rPr>
          <w:spacing w:val="-3"/>
        </w:rPr>
        <w:t xml:space="preserve"> </w:t>
      </w:r>
      <w:r>
        <w:t>such</w:t>
      </w:r>
      <w:r>
        <w:rPr>
          <w:spacing w:val="-3"/>
        </w:rPr>
        <w:t xml:space="preserve"> </w:t>
      </w:r>
      <w:r>
        <w:t>as</w:t>
      </w:r>
      <w:r>
        <w:rPr>
          <w:spacing w:val="-1"/>
        </w:rPr>
        <w:t xml:space="preserve"> </w:t>
      </w:r>
      <w:r>
        <w:t>an</w:t>
      </w:r>
      <w:r>
        <w:rPr>
          <w:spacing w:val="-3"/>
        </w:rPr>
        <w:t xml:space="preserve"> </w:t>
      </w:r>
      <w:r>
        <w:t>auto</w:t>
      </w:r>
      <w:r>
        <w:rPr>
          <w:spacing w:val="-1"/>
        </w:rPr>
        <w:t xml:space="preserve"> </w:t>
      </w:r>
      <w:r>
        <w:t>policy),</w:t>
      </w:r>
      <w:r>
        <w:rPr>
          <w:spacing w:val="-3"/>
        </w:rPr>
        <w:t xml:space="preserve"> </w:t>
      </w:r>
      <w:r>
        <w:t>the</w:t>
      </w:r>
      <w:r>
        <w:rPr>
          <w:spacing w:val="-2"/>
        </w:rPr>
        <w:t xml:space="preserve"> </w:t>
      </w:r>
      <w:r>
        <w:t>MAO’s net liability amount (before cost-sharing reductions) must be entered on Worksheet 1,</w:t>
      </w:r>
    </w:p>
    <w:p>
      <w:pPr>
        <w:pStyle w:val="BodyText"/>
        <w:jc w:val="both"/>
      </w:pPr>
      <w:r>
        <w:t>Section</w:t>
      </w:r>
      <w:r>
        <w:rPr>
          <w:spacing w:val="-1"/>
        </w:rPr>
        <w:t xml:space="preserve"> </w:t>
      </w:r>
      <w:r>
        <w:t>III,</w:t>
      </w:r>
      <w:r>
        <w:rPr>
          <w:spacing w:val="-2"/>
        </w:rPr>
        <w:t xml:space="preserve"> </w:t>
      </w:r>
      <w:r>
        <w:t>lines</w:t>
      </w:r>
      <w:r>
        <w:rPr>
          <w:spacing w:val="-2"/>
        </w:rPr>
        <w:t xml:space="preserve"> </w:t>
      </w:r>
      <w:r>
        <w:t>a</w:t>
      </w:r>
      <w:r>
        <w:rPr>
          <w:spacing w:val="-2"/>
        </w:rPr>
        <w:t xml:space="preserve"> </w:t>
      </w:r>
      <w:r>
        <w:t xml:space="preserve">through </w:t>
      </w:r>
      <w:r>
        <w:rPr>
          <w:spacing w:val="-5"/>
        </w:rPr>
        <w:t>q.</w:t>
      </w:r>
    </w:p>
    <w:p>
      <w:pPr>
        <w:spacing w:before="240"/>
        <w:ind w:left="504" w:right="0" w:firstLine="0"/>
        <w:jc w:val="both"/>
        <w:rPr>
          <w:rFonts w:ascii="Arial"/>
          <w:b/>
          <w:sz w:val="21"/>
        </w:rPr>
      </w:pPr>
      <w:bookmarkStart w:id="39" w:name="Cost Sharing"/>
      <w:bookmarkEnd w:id="39"/>
      <w:bookmarkStart w:id="40" w:name="_bookmark15"/>
      <w:bookmarkEnd w:id="40"/>
      <w:r>
        <w:rPr>
          <w:rFonts w:ascii="Arial"/>
          <w:b/>
          <w:sz w:val="21"/>
        </w:rPr>
        <w:t>Cost</w:t>
      </w:r>
      <w:r>
        <w:rPr>
          <w:rFonts w:ascii="Arial"/>
          <w:b/>
          <w:spacing w:val="-5"/>
          <w:sz w:val="21"/>
        </w:rPr>
        <w:t xml:space="preserve"> </w:t>
      </w:r>
      <w:r>
        <w:rPr>
          <w:rFonts w:ascii="Arial"/>
          <w:b/>
          <w:spacing w:val="-2"/>
          <w:sz w:val="21"/>
        </w:rPr>
        <w:t>Sharing</w:t>
      </w:r>
    </w:p>
    <w:p>
      <w:pPr>
        <w:pStyle w:val="BodyText"/>
        <w:spacing w:before="121"/>
        <w:jc w:val="both"/>
      </w:pPr>
      <w:r>
        <w:t>Any</w:t>
      </w:r>
      <w:r>
        <w:rPr>
          <w:spacing w:val="-3"/>
        </w:rPr>
        <w:t xml:space="preserve"> </w:t>
      </w:r>
      <w:r>
        <w:t>member</w:t>
      </w:r>
      <w:r>
        <w:rPr>
          <w:spacing w:val="-3"/>
        </w:rPr>
        <w:t xml:space="preserve"> </w:t>
      </w:r>
      <w:r>
        <w:t>premium(s)</w:t>
      </w:r>
      <w:r>
        <w:rPr>
          <w:spacing w:val="-2"/>
        </w:rPr>
        <w:t xml:space="preserve"> </w:t>
      </w:r>
      <w:r>
        <w:t>and Part</w:t>
      </w:r>
      <w:r>
        <w:rPr>
          <w:spacing w:val="-1"/>
        </w:rPr>
        <w:t xml:space="preserve"> </w:t>
      </w:r>
      <w:r>
        <w:t>D</w:t>
      </w:r>
      <w:r>
        <w:rPr>
          <w:spacing w:val="-2"/>
        </w:rPr>
        <w:t xml:space="preserve"> </w:t>
      </w:r>
      <w:r>
        <w:t>cost</w:t>
      </w:r>
      <w:r>
        <w:rPr>
          <w:spacing w:val="-1"/>
        </w:rPr>
        <w:t xml:space="preserve"> </w:t>
      </w:r>
      <w:r>
        <w:t>sharing must be</w:t>
      </w:r>
      <w:r>
        <w:rPr>
          <w:spacing w:val="-2"/>
        </w:rPr>
        <w:t xml:space="preserve"> </w:t>
      </w:r>
      <w:r>
        <w:t>excluded</w:t>
      </w:r>
      <w:r>
        <w:rPr>
          <w:spacing w:val="-1"/>
        </w:rPr>
        <w:t xml:space="preserve"> </w:t>
      </w:r>
      <w:r>
        <w:t>from</w:t>
      </w:r>
      <w:r>
        <w:rPr>
          <w:spacing w:val="2"/>
        </w:rPr>
        <w:t xml:space="preserve"> </w:t>
      </w:r>
      <w:r>
        <w:t>MA</w:t>
      </w:r>
      <w:r>
        <w:rPr>
          <w:spacing w:val="-2"/>
        </w:rPr>
        <w:t xml:space="preserve"> </w:t>
      </w:r>
      <w:r>
        <w:t>Worksheet</w:t>
      </w:r>
      <w:r>
        <w:rPr>
          <w:spacing w:val="1"/>
        </w:rPr>
        <w:t xml:space="preserve"> </w:t>
      </w:r>
      <w:r>
        <w:rPr>
          <w:spacing w:val="-5"/>
        </w:rPr>
        <w:t>3.</w:t>
      </w:r>
    </w:p>
    <w:p>
      <w:pPr>
        <w:spacing w:before="240"/>
        <w:ind w:left="1224" w:right="0" w:firstLine="0"/>
        <w:jc w:val="left"/>
        <w:rPr>
          <w:rFonts w:ascii="Arial"/>
          <w:b/>
          <w:i/>
          <w:sz w:val="21"/>
        </w:rPr>
      </w:pPr>
      <w:bookmarkStart w:id="41" w:name="Coinsurance"/>
      <w:bookmarkEnd w:id="41"/>
      <w:r>
        <w:rPr>
          <w:rFonts w:ascii="Arial"/>
          <w:b/>
          <w:i/>
          <w:spacing w:val="-2"/>
          <w:sz w:val="21"/>
        </w:rPr>
        <w:t>Coinsurance</w:t>
      </w:r>
    </w:p>
    <w:p>
      <w:pPr>
        <w:pStyle w:val="BodyText"/>
        <w:spacing w:before="119"/>
        <w:ind w:left="1224" w:right="1443"/>
      </w:pPr>
      <w:r>
        <w:t>The</w:t>
      </w:r>
      <w:r>
        <w:rPr>
          <w:spacing w:val="-5"/>
        </w:rPr>
        <w:t xml:space="preserve"> </w:t>
      </w:r>
      <w:r>
        <w:t>cost-sharing</w:t>
      </w:r>
      <w:r>
        <w:rPr>
          <w:spacing w:val="-3"/>
        </w:rPr>
        <w:t xml:space="preserve"> </w:t>
      </w:r>
      <w:r>
        <w:t>PMPM</w:t>
      </w:r>
      <w:r>
        <w:rPr>
          <w:spacing w:val="-2"/>
        </w:rPr>
        <w:t xml:space="preserve"> </w:t>
      </w:r>
      <w:r>
        <w:t>amount</w:t>
      </w:r>
      <w:r>
        <w:rPr>
          <w:spacing w:val="-3"/>
        </w:rPr>
        <w:t xml:space="preserve"> </w:t>
      </w:r>
      <w:r>
        <w:t>in</w:t>
      </w:r>
      <w:r>
        <w:rPr>
          <w:spacing w:val="-3"/>
        </w:rPr>
        <w:t xml:space="preserve"> </w:t>
      </w:r>
      <w:r>
        <w:t>Worksheet</w:t>
      </w:r>
      <w:r>
        <w:rPr>
          <w:spacing w:val="-3"/>
        </w:rPr>
        <w:t xml:space="preserve"> </w:t>
      </w:r>
      <w:r>
        <w:t>3,</w:t>
      </w:r>
      <w:r>
        <w:rPr>
          <w:spacing w:val="-1"/>
        </w:rPr>
        <w:t xml:space="preserve"> </w:t>
      </w:r>
      <w:r>
        <w:t>Section</w:t>
      </w:r>
      <w:r>
        <w:rPr>
          <w:spacing w:val="-3"/>
        </w:rPr>
        <w:t xml:space="preserve"> </w:t>
      </w:r>
      <w:r>
        <w:t>III,</w:t>
      </w:r>
      <w:r>
        <w:rPr>
          <w:spacing w:val="-3"/>
        </w:rPr>
        <w:t xml:space="preserve"> </w:t>
      </w:r>
      <w:r>
        <w:t>column</w:t>
      </w:r>
      <w:r>
        <w:rPr>
          <w:spacing w:val="-3"/>
        </w:rPr>
        <w:t xml:space="preserve"> </w:t>
      </w:r>
      <w:r>
        <w:t>i</w:t>
      </w:r>
      <w:r>
        <w:rPr>
          <w:spacing w:val="-3"/>
        </w:rPr>
        <w:t xml:space="preserve"> </w:t>
      </w:r>
      <w:r>
        <w:t>must</w:t>
      </w:r>
      <w:r>
        <w:rPr>
          <w:spacing w:val="-3"/>
        </w:rPr>
        <w:t xml:space="preserve"> </w:t>
      </w:r>
      <w:r>
        <w:t>be</w:t>
      </w:r>
      <w:r>
        <w:rPr>
          <w:spacing w:val="-3"/>
        </w:rPr>
        <w:t xml:space="preserve"> </w:t>
      </w:r>
      <w:r>
        <w:t>based</w:t>
      </w:r>
      <w:r>
        <w:rPr>
          <w:spacing w:val="-3"/>
        </w:rPr>
        <w:t xml:space="preserve"> </w:t>
      </w:r>
      <w:r>
        <w:t>on benefits outlined in the PBP. Therefore, in order for the BPT to reflect the appropriate projected allowed costs and net medical expenses, the effective coinsurance percentage in column i may not match the coinsurance percentage in the PBP. Examples include, but are not limited to, the following: sequestration, unless the Medicare fee-for-service (Medicare</w:t>
      </w:r>
      <w:r>
        <w:rPr>
          <w:spacing w:val="-4"/>
        </w:rPr>
        <w:t xml:space="preserve"> </w:t>
      </w:r>
      <w:r>
        <w:t>FFS)</w:t>
      </w:r>
      <w:r>
        <w:rPr>
          <w:spacing w:val="-3"/>
        </w:rPr>
        <w:t xml:space="preserve"> </w:t>
      </w:r>
      <w:r>
        <w:t>pricing</w:t>
      </w:r>
      <w:r>
        <w:rPr>
          <w:spacing w:val="-3"/>
        </w:rPr>
        <w:t xml:space="preserve"> </w:t>
      </w:r>
      <w:r>
        <w:t>option</w:t>
      </w:r>
      <w:r>
        <w:rPr>
          <w:spacing w:val="-3"/>
        </w:rPr>
        <w:t xml:space="preserve"> </w:t>
      </w:r>
      <w:r>
        <w:t>is</w:t>
      </w:r>
      <w:r>
        <w:rPr>
          <w:spacing w:val="-4"/>
        </w:rPr>
        <w:t xml:space="preserve"> </w:t>
      </w:r>
      <w:r>
        <w:t>used;</w:t>
      </w:r>
      <w:r>
        <w:rPr>
          <w:spacing w:val="-3"/>
        </w:rPr>
        <w:t xml:space="preserve"> </w:t>
      </w:r>
      <w:r>
        <w:t>global</w:t>
      </w:r>
      <w:r>
        <w:rPr>
          <w:spacing w:val="-3"/>
        </w:rPr>
        <w:t xml:space="preserve"> </w:t>
      </w:r>
      <w:r>
        <w:t>capitation;</w:t>
      </w:r>
      <w:r>
        <w:rPr>
          <w:spacing w:val="-3"/>
        </w:rPr>
        <w:t xml:space="preserve"> </w:t>
      </w:r>
      <w:r>
        <w:t>and</w:t>
      </w:r>
      <w:r>
        <w:rPr>
          <w:spacing w:val="-4"/>
        </w:rPr>
        <w:t xml:space="preserve"> </w:t>
      </w:r>
      <w:r>
        <w:t>risk-sharing</w:t>
      </w:r>
      <w:r>
        <w:rPr>
          <w:spacing w:val="-3"/>
        </w:rPr>
        <w:t xml:space="preserve"> </w:t>
      </w:r>
      <w:r>
        <w:t>arrangements.</w:t>
      </w:r>
    </w:p>
    <w:p>
      <w:pPr>
        <w:pStyle w:val="BodyText"/>
        <w:spacing w:before="120"/>
        <w:ind w:left="1584" w:right="1481"/>
      </w:pPr>
      <w:r>
        <w:rPr>
          <w:rFonts w:ascii="Arial"/>
          <w:b/>
          <w:sz w:val="21"/>
        </w:rPr>
        <w:t>Example:</w:t>
      </w:r>
      <w:r>
        <w:rPr>
          <w:rFonts w:ascii="Arial"/>
          <w:b/>
          <w:spacing w:val="-3"/>
          <w:sz w:val="21"/>
        </w:rPr>
        <w:t xml:space="preserve"> </w:t>
      </w:r>
      <w:r>
        <w:t>The</w:t>
      </w:r>
      <w:r>
        <w:rPr>
          <w:spacing w:val="-5"/>
        </w:rPr>
        <w:t xml:space="preserve"> </w:t>
      </w:r>
      <w:r>
        <w:t>PBP</w:t>
      </w:r>
      <w:r>
        <w:rPr>
          <w:spacing w:val="-3"/>
        </w:rPr>
        <w:t xml:space="preserve"> </w:t>
      </w:r>
      <w:r>
        <w:t>contains</w:t>
      </w:r>
      <w:r>
        <w:rPr>
          <w:spacing w:val="-4"/>
        </w:rPr>
        <w:t xml:space="preserve"> </w:t>
      </w:r>
      <w:r>
        <w:t>in-network</w:t>
      </w:r>
      <w:r>
        <w:rPr>
          <w:spacing w:val="-4"/>
        </w:rPr>
        <w:t xml:space="preserve"> </w:t>
      </w:r>
      <w:r>
        <w:t>cost</w:t>
      </w:r>
      <w:r>
        <w:rPr>
          <w:spacing w:val="-3"/>
        </w:rPr>
        <w:t xml:space="preserve"> </w:t>
      </w:r>
      <w:r>
        <w:t>sharing</w:t>
      </w:r>
      <w:r>
        <w:rPr>
          <w:spacing w:val="-3"/>
        </w:rPr>
        <w:t xml:space="preserve"> </w:t>
      </w:r>
      <w:r>
        <w:t>of</w:t>
      </w:r>
      <w:r>
        <w:rPr>
          <w:spacing w:val="-4"/>
        </w:rPr>
        <w:t xml:space="preserve"> </w:t>
      </w:r>
      <w:r>
        <w:t>20</w:t>
      </w:r>
      <w:r>
        <w:rPr>
          <w:spacing w:val="-3"/>
        </w:rPr>
        <w:t xml:space="preserve"> </w:t>
      </w:r>
      <w:r>
        <w:t>percent.</w:t>
      </w:r>
      <w:r>
        <w:rPr>
          <w:spacing w:val="-3"/>
        </w:rPr>
        <w:t xml:space="preserve"> </w:t>
      </w:r>
      <w:r>
        <w:t>To</w:t>
      </w:r>
      <w:r>
        <w:rPr>
          <w:spacing w:val="-3"/>
        </w:rPr>
        <w:t xml:space="preserve"> </w:t>
      </w:r>
      <w:r>
        <w:t>reflect</w:t>
      </w:r>
      <w:r>
        <w:rPr>
          <w:spacing w:val="-3"/>
        </w:rPr>
        <w:t xml:space="preserve"> </w:t>
      </w:r>
      <w:r>
        <w:t>a global capitation arrangement, $3 PMPM of projected allowed costs must be</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left="1584" w:right="1481"/>
      </w:pPr>
      <w:r>
        <w:t>removed</w:t>
      </w:r>
      <w:r>
        <w:rPr>
          <w:spacing w:val="-4"/>
        </w:rPr>
        <w:t xml:space="preserve"> </w:t>
      </w:r>
      <w:r>
        <w:t>from</w:t>
      </w:r>
      <w:r>
        <w:rPr>
          <w:spacing w:val="-3"/>
        </w:rPr>
        <w:t xml:space="preserve"> </w:t>
      </w:r>
      <w:r>
        <w:t>medical</w:t>
      </w:r>
      <w:r>
        <w:rPr>
          <w:spacing w:val="-3"/>
        </w:rPr>
        <w:t xml:space="preserve"> </w:t>
      </w:r>
      <w:r>
        <w:t>expense.</w:t>
      </w:r>
      <w:r>
        <w:rPr>
          <w:spacing w:val="-3"/>
        </w:rPr>
        <w:t xml:space="preserve"> </w:t>
      </w:r>
      <w:r>
        <w:t>The</w:t>
      </w:r>
      <w:r>
        <w:rPr>
          <w:spacing w:val="-5"/>
        </w:rPr>
        <w:t xml:space="preserve"> </w:t>
      </w:r>
      <w:r>
        <w:t>following</w:t>
      </w:r>
      <w:r>
        <w:rPr>
          <w:spacing w:val="-3"/>
        </w:rPr>
        <w:t xml:space="preserve"> </w:t>
      </w:r>
      <w:r>
        <w:t>are</w:t>
      </w:r>
      <w:r>
        <w:rPr>
          <w:spacing w:val="-3"/>
        </w:rPr>
        <w:t xml:space="preserve"> </w:t>
      </w:r>
      <w:r>
        <w:t>BPT</w:t>
      </w:r>
      <w:r>
        <w:rPr>
          <w:spacing w:val="-3"/>
        </w:rPr>
        <w:t xml:space="preserve"> </w:t>
      </w:r>
      <w:r>
        <w:t>values</w:t>
      </w:r>
      <w:r>
        <w:rPr>
          <w:spacing w:val="-4"/>
        </w:rPr>
        <w:t xml:space="preserve"> </w:t>
      </w:r>
      <w:r>
        <w:t>before</w:t>
      </w:r>
      <w:r>
        <w:rPr>
          <w:spacing w:val="-3"/>
        </w:rPr>
        <w:t xml:space="preserve"> </w:t>
      </w:r>
      <w:r>
        <w:t>the</w:t>
      </w:r>
      <w:r>
        <w:rPr>
          <w:spacing w:val="-3"/>
        </w:rPr>
        <w:t xml:space="preserve"> </w:t>
      </w:r>
      <w:r>
        <w:t>global capitation arrangement is taken into account:</w:t>
      </w:r>
    </w:p>
    <w:p>
      <w:pPr>
        <w:pStyle w:val="BodyText"/>
        <w:spacing w:before="2"/>
        <w:ind w:left="0"/>
        <w:rPr>
          <w:sz w:val="11"/>
        </w:rPr>
      </w:pPr>
    </w:p>
    <w:tbl>
      <w:tblPr>
        <w:tblStyle w:val="TableNormal"/>
        <w:tblW w:w="0" w:type="auto"/>
        <w:jc w:val="left"/>
        <w:tblInd w:w="17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56"/>
        <w:gridCol w:w="172"/>
        <w:gridCol w:w="817"/>
        <w:gridCol w:w="169"/>
        <w:gridCol w:w="1717"/>
        <w:gridCol w:w="171"/>
        <w:gridCol w:w="1808"/>
        <w:gridCol w:w="171"/>
        <w:gridCol w:w="1332"/>
      </w:tblGrid>
      <w:tr>
        <w:tblPrEx>
          <w:tblW w:w="0" w:type="auto"/>
          <w:jc w:val="left"/>
          <w:tblInd w:w="17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48"/>
          <w:jc w:val="left"/>
        </w:trPr>
        <w:tc>
          <w:tcPr>
            <w:tcW w:w="1356" w:type="dxa"/>
          </w:tcPr>
          <w:p>
            <w:pPr>
              <w:pStyle w:val="TableParagraph"/>
              <w:spacing w:line="228" w:lineRule="exact"/>
              <w:ind w:right="1"/>
              <w:jc w:val="center"/>
              <w:rPr>
                <w:b/>
                <w:sz w:val="22"/>
              </w:rPr>
            </w:pPr>
            <w:r>
              <w:rPr>
                <w:b/>
                <w:spacing w:val="-5"/>
                <w:sz w:val="22"/>
              </w:rPr>
              <w:t>(e)</w:t>
            </w:r>
          </w:p>
        </w:tc>
        <w:tc>
          <w:tcPr>
            <w:tcW w:w="172" w:type="dxa"/>
          </w:tcPr>
          <w:p>
            <w:pPr>
              <w:pStyle w:val="TableParagraph"/>
              <w:rPr>
                <w:sz w:val="18"/>
              </w:rPr>
            </w:pPr>
          </w:p>
        </w:tc>
        <w:tc>
          <w:tcPr>
            <w:tcW w:w="817" w:type="dxa"/>
          </w:tcPr>
          <w:p>
            <w:pPr>
              <w:pStyle w:val="TableParagraph"/>
              <w:spacing w:line="228" w:lineRule="exact"/>
              <w:ind w:left="6" w:right="6"/>
              <w:jc w:val="center"/>
              <w:rPr>
                <w:b/>
                <w:sz w:val="22"/>
              </w:rPr>
            </w:pPr>
            <w:r>
              <w:rPr>
                <w:b/>
                <w:spacing w:val="-5"/>
                <w:sz w:val="22"/>
              </w:rPr>
              <w:t>(g)</w:t>
            </w:r>
          </w:p>
        </w:tc>
        <w:tc>
          <w:tcPr>
            <w:tcW w:w="169" w:type="dxa"/>
          </w:tcPr>
          <w:p>
            <w:pPr>
              <w:pStyle w:val="TableParagraph"/>
              <w:rPr>
                <w:sz w:val="18"/>
              </w:rPr>
            </w:pPr>
          </w:p>
        </w:tc>
        <w:tc>
          <w:tcPr>
            <w:tcW w:w="1717" w:type="dxa"/>
          </w:tcPr>
          <w:p>
            <w:pPr>
              <w:pStyle w:val="TableParagraph"/>
              <w:spacing w:line="228" w:lineRule="exact"/>
              <w:ind w:left="12" w:right="4"/>
              <w:jc w:val="center"/>
              <w:rPr>
                <w:b/>
                <w:sz w:val="22"/>
              </w:rPr>
            </w:pPr>
            <w:r>
              <w:rPr>
                <w:b/>
                <w:spacing w:val="-5"/>
                <w:sz w:val="22"/>
              </w:rPr>
              <w:t>(i)</w:t>
            </w:r>
          </w:p>
        </w:tc>
        <w:tc>
          <w:tcPr>
            <w:tcW w:w="171" w:type="dxa"/>
          </w:tcPr>
          <w:p>
            <w:pPr>
              <w:pStyle w:val="TableParagraph"/>
              <w:rPr>
                <w:sz w:val="18"/>
              </w:rPr>
            </w:pPr>
          </w:p>
        </w:tc>
        <w:tc>
          <w:tcPr>
            <w:tcW w:w="1808" w:type="dxa"/>
          </w:tcPr>
          <w:p>
            <w:pPr>
              <w:pStyle w:val="TableParagraph"/>
              <w:spacing w:line="228" w:lineRule="exact"/>
              <w:ind w:left="19" w:right="5"/>
              <w:jc w:val="center"/>
              <w:rPr>
                <w:b/>
                <w:sz w:val="22"/>
              </w:rPr>
            </w:pPr>
            <w:r>
              <w:rPr>
                <w:b/>
                <w:spacing w:val="-5"/>
                <w:sz w:val="22"/>
              </w:rPr>
              <w:t>(j)</w:t>
            </w:r>
          </w:p>
        </w:tc>
        <w:tc>
          <w:tcPr>
            <w:tcW w:w="171" w:type="dxa"/>
          </w:tcPr>
          <w:p>
            <w:pPr>
              <w:pStyle w:val="TableParagraph"/>
              <w:rPr>
                <w:sz w:val="18"/>
              </w:rPr>
            </w:pPr>
          </w:p>
        </w:tc>
        <w:tc>
          <w:tcPr>
            <w:tcW w:w="1332" w:type="dxa"/>
          </w:tcPr>
          <w:p>
            <w:pPr>
              <w:pStyle w:val="TableParagraph"/>
              <w:spacing w:line="228" w:lineRule="exact"/>
              <w:ind w:left="28" w:right="6"/>
              <w:jc w:val="center"/>
              <w:rPr>
                <w:b/>
                <w:sz w:val="22"/>
              </w:rPr>
            </w:pPr>
            <w:r>
              <w:rPr>
                <w:b/>
                <w:spacing w:val="-5"/>
                <w:sz w:val="22"/>
              </w:rPr>
              <w:t>(k)</w:t>
            </w:r>
          </w:p>
        </w:tc>
      </w:tr>
      <w:tr>
        <w:tblPrEx>
          <w:tblW w:w="0" w:type="auto"/>
          <w:jc w:val="left"/>
          <w:tblInd w:w="1793" w:type="dxa"/>
          <w:tblLayout w:type="fixed"/>
          <w:tblCellMar>
            <w:top w:w="0" w:type="dxa"/>
            <w:left w:w="0" w:type="dxa"/>
            <w:bottom w:w="0" w:type="dxa"/>
            <w:right w:w="0" w:type="dxa"/>
          </w:tblCellMar>
          <w:tblLook w:val="01E0"/>
        </w:tblPrEx>
        <w:trPr>
          <w:trHeight w:val="254"/>
          <w:jc w:val="left"/>
        </w:trPr>
        <w:tc>
          <w:tcPr>
            <w:tcW w:w="1356" w:type="dxa"/>
          </w:tcPr>
          <w:p>
            <w:pPr>
              <w:pStyle w:val="TableParagraph"/>
              <w:spacing w:line="234" w:lineRule="exact"/>
              <w:ind w:right="1"/>
              <w:jc w:val="center"/>
              <w:rPr>
                <w:b/>
                <w:sz w:val="22"/>
              </w:rPr>
            </w:pPr>
            <w:r>
              <w:rPr>
                <w:b/>
                <w:spacing w:val="-2"/>
                <w:sz w:val="22"/>
              </w:rPr>
              <w:t>Measurement</w:t>
            </w:r>
          </w:p>
        </w:tc>
        <w:tc>
          <w:tcPr>
            <w:tcW w:w="172" w:type="dxa"/>
          </w:tcPr>
          <w:p>
            <w:pPr>
              <w:pStyle w:val="TableParagraph"/>
              <w:rPr>
                <w:sz w:val="18"/>
              </w:rPr>
            </w:pPr>
          </w:p>
        </w:tc>
        <w:tc>
          <w:tcPr>
            <w:tcW w:w="817" w:type="dxa"/>
          </w:tcPr>
          <w:p>
            <w:pPr>
              <w:pStyle w:val="TableParagraph"/>
              <w:rPr>
                <w:sz w:val="18"/>
              </w:rPr>
            </w:pPr>
          </w:p>
        </w:tc>
        <w:tc>
          <w:tcPr>
            <w:tcW w:w="169" w:type="dxa"/>
          </w:tcPr>
          <w:p>
            <w:pPr>
              <w:pStyle w:val="TableParagraph"/>
              <w:rPr>
                <w:sz w:val="18"/>
              </w:rPr>
            </w:pPr>
          </w:p>
        </w:tc>
        <w:tc>
          <w:tcPr>
            <w:tcW w:w="1717" w:type="dxa"/>
          </w:tcPr>
          <w:p>
            <w:pPr>
              <w:pStyle w:val="TableParagraph"/>
              <w:spacing w:line="234" w:lineRule="exact"/>
              <w:ind w:left="12" w:right="1"/>
              <w:jc w:val="center"/>
              <w:rPr>
                <w:b/>
                <w:sz w:val="22"/>
              </w:rPr>
            </w:pPr>
            <w:r>
              <w:rPr>
                <w:b/>
                <w:sz w:val="22"/>
              </w:rPr>
              <w:t>Effective</w:t>
            </w:r>
            <w:r>
              <w:rPr>
                <w:b/>
                <w:spacing w:val="-5"/>
                <w:sz w:val="22"/>
              </w:rPr>
              <w:t xml:space="preserve"> </w:t>
            </w:r>
            <w:r>
              <w:rPr>
                <w:b/>
                <w:spacing w:val="-4"/>
                <w:sz w:val="22"/>
              </w:rPr>
              <w:t>Coin</w:t>
            </w:r>
          </w:p>
        </w:tc>
        <w:tc>
          <w:tcPr>
            <w:tcW w:w="171" w:type="dxa"/>
          </w:tcPr>
          <w:p>
            <w:pPr>
              <w:pStyle w:val="TableParagraph"/>
              <w:rPr>
                <w:sz w:val="18"/>
              </w:rPr>
            </w:pPr>
          </w:p>
        </w:tc>
        <w:tc>
          <w:tcPr>
            <w:tcW w:w="1808" w:type="dxa"/>
          </w:tcPr>
          <w:p>
            <w:pPr>
              <w:pStyle w:val="TableParagraph"/>
              <w:spacing w:line="234" w:lineRule="exact"/>
              <w:ind w:left="19" w:right="1"/>
              <w:jc w:val="center"/>
              <w:rPr>
                <w:b/>
                <w:sz w:val="22"/>
              </w:rPr>
            </w:pPr>
            <w:r>
              <w:rPr>
                <w:b/>
                <w:sz w:val="22"/>
              </w:rPr>
              <w:t>Effective</w:t>
            </w:r>
            <w:r>
              <w:rPr>
                <w:b/>
                <w:spacing w:val="-5"/>
                <w:sz w:val="22"/>
              </w:rPr>
              <w:t xml:space="preserve"> </w:t>
            </w:r>
            <w:r>
              <w:rPr>
                <w:b/>
                <w:spacing w:val="-4"/>
                <w:sz w:val="22"/>
              </w:rPr>
              <w:t>Coin</w:t>
            </w:r>
          </w:p>
        </w:tc>
        <w:tc>
          <w:tcPr>
            <w:tcW w:w="171" w:type="dxa"/>
          </w:tcPr>
          <w:p>
            <w:pPr>
              <w:pStyle w:val="TableParagraph"/>
              <w:rPr>
                <w:sz w:val="18"/>
              </w:rPr>
            </w:pPr>
          </w:p>
        </w:tc>
        <w:tc>
          <w:tcPr>
            <w:tcW w:w="1332" w:type="dxa"/>
          </w:tcPr>
          <w:p>
            <w:pPr>
              <w:pStyle w:val="TableParagraph"/>
              <w:spacing w:line="234" w:lineRule="exact"/>
              <w:ind w:left="28" w:right="5"/>
              <w:jc w:val="center"/>
              <w:rPr>
                <w:b/>
                <w:sz w:val="22"/>
              </w:rPr>
            </w:pPr>
            <w:r>
              <w:rPr>
                <w:b/>
                <w:spacing w:val="-2"/>
                <w:sz w:val="22"/>
              </w:rPr>
              <w:t>In-Network</w:t>
            </w:r>
          </w:p>
        </w:tc>
      </w:tr>
      <w:tr>
        <w:tblPrEx>
          <w:tblW w:w="0" w:type="auto"/>
          <w:jc w:val="left"/>
          <w:tblInd w:w="1793" w:type="dxa"/>
          <w:tblLayout w:type="fixed"/>
          <w:tblCellMar>
            <w:top w:w="0" w:type="dxa"/>
            <w:left w:w="0" w:type="dxa"/>
            <w:bottom w:w="0" w:type="dxa"/>
            <w:right w:w="0" w:type="dxa"/>
          </w:tblCellMar>
          <w:tblLook w:val="01E0"/>
        </w:tblPrEx>
        <w:trPr>
          <w:trHeight w:val="267"/>
          <w:jc w:val="left"/>
        </w:trPr>
        <w:tc>
          <w:tcPr>
            <w:tcW w:w="1356" w:type="dxa"/>
            <w:tcBorders>
              <w:bottom w:val="single" w:sz="4" w:space="0" w:color="000000"/>
            </w:tcBorders>
          </w:tcPr>
          <w:p>
            <w:pPr>
              <w:pStyle w:val="TableParagraph"/>
              <w:spacing w:line="247" w:lineRule="exact"/>
              <w:ind w:left="1" w:right="1"/>
              <w:jc w:val="center"/>
              <w:rPr>
                <w:b/>
                <w:sz w:val="22"/>
              </w:rPr>
            </w:pPr>
            <w:r>
              <w:rPr>
                <w:b/>
                <w:sz w:val="22"/>
              </w:rPr>
              <w:t>Unit</w:t>
            </w:r>
            <w:r>
              <w:rPr>
                <w:b/>
                <w:spacing w:val="-1"/>
                <w:sz w:val="22"/>
              </w:rPr>
              <w:t xml:space="preserve"> </w:t>
            </w:r>
            <w:r>
              <w:rPr>
                <w:b/>
                <w:spacing w:val="-4"/>
                <w:sz w:val="22"/>
              </w:rPr>
              <w:t>Code</w:t>
            </w:r>
          </w:p>
        </w:tc>
        <w:tc>
          <w:tcPr>
            <w:tcW w:w="172" w:type="dxa"/>
          </w:tcPr>
          <w:p>
            <w:pPr>
              <w:pStyle w:val="TableParagraph"/>
              <w:rPr>
                <w:sz w:val="18"/>
              </w:rPr>
            </w:pPr>
          </w:p>
        </w:tc>
        <w:tc>
          <w:tcPr>
            <w:tcW w:w="817" w:type="dxa"/>
            <w:tcBorders>
              <w:bottom w:val="single" w:sz="4" w:space="0" w:color="000000"/>
            </w:tcBorders>
          </w:tcPr>
          <w:p>
            <w:pPr>
              <w:pStyle w:val="TableParagraph"/>
              <w:spacing w:line="247" w:lineRule="exact"/>
              <w:ind w:left="6"/>
              <w:jc w:val="center"/>
              <w:rPr>
                <w:b/>
                <w:sz w:val="22"/>
              </w:rPr>
            </w:pPr>
            <w:r>
              <w:rPr>
                <w:b/>
                <w:spacing w:val="-4"/>
                <w:sz w:val="22"/>
              </w:rPr>
              <w:t>PMPM</w:t>
            </w:r>
          </w:p>
        </w:tc>
        <w:tc>
          <w:tcPr>
            <w:tcW w:w="169" w:type="dxa"/>
          </w:tcPr>
          <w:p>
            <w:pPr>
              <w:pStyle w:val="TableParagraph"/>
              <w:rPr>
                <w:sz w:val="18"/>
              </w:rPr>
            </w:pPr>
          </w:p>
        </w:tc>
        <w:tc>
          <w:tcPr>
            <w:tcW w:w="1717" w:type="dxa"/>
            <w:tcBorders>
              <w:bottom w:val="single" w:sz="4" w:space="0" w:color="000000"/>
            </w:tcBorders>
          </w:tcPr>
          <w:p>
            <w:pPr>
              <w:pStyle w:val="TableParagraph"/>
              <w:spacing w:line="247" w:lineRule="exact"/>
              <w:ind w:left="12" w:right="1"/>
              <w:jc w:val="center"/>
              <w:rPr>
                <w:b/>
                <w:sz w:val="22"/>
              </w:rPr>
            </w:pPr>
            <w:r>
              <w:rPr>
                <w:b/>
                <w:sz w:val="22"/>
              </w:rPr>
              <w:t>Before</w:t>
            </w:r>
            <w:r>
              <w:rPr>
                <w:b/>
                <w:spacing w:val="-5"/>
                <w:sz w:val="22"/>
              </w:rPr>
              <w:t xml:space="preserve"> </w:t>
            </w:r>
            <w:r>
              <w:rPr>
                <w:b/>
                <w:sz w:val="22"/>
              </w:rPr>
              <w:t>OOP</w:t>
            </w:r>
            <w:r>
              <w:rPr>
                <w:b/>
                <w:spacing w:val="-1"/>
                <w:sz w:val="22"/>
              </w:rPr>
              <w:t xml:space="preserve"> </w:t>
            </w:r>
            <w:r>
              <w:rPr>
                <w:b/>
                <w:spacing w:val="-5"/>
                <w:sz w:val="22"/>
              </w:rPr>
              <w:t>Max</w:t>
            </w:r>
          </w:p>
        </w:tc>
        <w:tc>
          <w:tcPr>
            <w:tcW w:w="171" w:type="dxa"/>
          </w:tcPr>
          <w:p>
            <w:pPr>
              <w:pStyle w:val="TableParagraph"/>
              <w:rPr>
                <w:sz w:val="18"/>
              </w:rPr>
            </w:pPr>
          </w:p>
        </w:tc>
        <w:tc>
          <w:tcPr>
            <w:tcW w:w="1808" w:type="dxa"/>
            <w:tcBorders>
              <w:bottom w:val="single" w:sz="4" w:space="0" w:color="000000"/>
            </w:tcBorders>
          </w:tcPr>
          <w:p>
            <w:pPr>
              <w:pStyle w:val="TableParagraph"/>
              <w:spacing w:line="247" w:lineRule="exact"/>
              <w:ind w:left="19" w:right="3"/>
              <w:jc w:val="center"/>
              <w:rPr>
                <w:b/>
                <w:sz w:val="22"/>
              </w:rPr>
            </w:pPr>
            <w:r>
              <w:rPr>
                <w:b/>
                <w:sz w:val="22"/>
              </w:rPr>
              <w:t>After</w:t>
            </w:r>
            <w:r>
              <w:rPr>
                <w:b/>
                <w:spacing w:val="-4"/>
                <w:sz w:val="22"/>
              </w:rPr>
              <w:t xml:space="preserve"> </w:t>
            </w:r>
            <w:r>
              <w:rPr>
                <w:b/>
                <w:sz w:val="22"/>
              </w:rPr>
              <w:t>OOP</w:t>
            </w:r>
            <w:r>
              <w:rPr>
                <w:b/>
                <w:spacing w:val="-2"/>
                <w:sz w:val="22"/>
              </w:rPr>
              <w:t xml:space="preserve"> </w:t>
            </w:r>
            <w:r>
              <w:rPr>
                <w:b/>
                <w:spacing w:val="-5"/>
                <w:sz w:val="22"/>
              </w:rPr>
              <w:t>Max</w:t>
            </w:r>
          </w:p>
        </w:tc>
        <w:tc>
          <w:tcPr>
            <w:tcW w:w="171" w:type="dxa"/>
          </w:tcPr>
          <w:p>
            <w:pPr>
              <w:pStyle w:val="TableParagraph"/>
              <w:rPr>
                <w:sz w:val="18"/>
              </w:rPr>
            </w:pPr>
          </w:p>
        </w:tc>
        <w:tc>
          <w:tcPr>
            <w:tcW w:w="1332" w:type="dxa"/>
            <w:tcBorders>
              <w:bottom w:val="single" w:sz="4" w:space="0" w:color="000000"/>
            </w:tcBorders>
          </w:tcPr>
          <w:p>
            <w:pPr>
              <w:pStyle w:val="TableParagraph"/>
              <w:spacing w:line="247" w:lineRule="exact"/>
              <w:ind w:left="28" w:right="2"/>
              <w:jc w:val="center"/>
              <w:rPr>
                <w:b/>
                <w:sz w:val="22"/>
              </w:rPr>
            </w:pPr>
            <w:r>
              <w:rPr>
                <w:b/>
                <w:spacing w:val="-4"/>
                <w:sz w:val="22"/>
              </w:rPr>
              <w:t>PMPM</w:t>
            </w:r>
          </w:p>
        </w:tc>
      </w:tr>
      <w:tr>
        <w:tblPrEx>
          <w:tblW w:w="0" w:type="auto"/>
          <w:jc w:val="left"/>
          <w:tblInd w:w="1793" w:type="dxa"/>
          <w:tblLayout w:type="fixed"/>
          <w:tblCellMar>
            <w:top w:w="0" w:type="dxa"/>
            <w:left w:w="0" w:type="dxa"/>
            <w:bottom w:w="0" w:type="dxa"/>
            <w:right w:w="0" w:type="dxa"/>
          </w:tblCellMar>
          <w:tblLook w:val="01E0"/>
        </w:tblPrEx>
        <w:trPr>
          <w:trHeight w:val="292"/>
          <w:jc w:val="left"/>
        </w:trPr>
        <w:tc>
          <w:tcPr>
            <w:tcW w:w="1356" w:type="dxa"/>
            <w:tcBorders>
              <w:top w:val="single" w:sz="4" w:space="0" w:color="000000"/>
            </w:tcBorders>
          </w:tcPr>
          <w:p>
            <w:pPr>
              <w:pStyle w:val="TableParagraph"/>
              <w:spacing w:before="39" w:line="233" w:lineRule="exact"/>
              <w:ind w:left="1" w:right="1"/>
              <w:jc w:val="center"/>
              <w:rPr>
                <w:sz w:val="22"/>
              </w:rPr>
            </w:pPr>
            <w:r>
              <w:rPr>
                <w:spacing w:val="-4"/>
                <w:sz w:val="22"/>
              </w:rPr>
              <w:t>Coin</w:t>
            </w:r>
          </w:p>
        </w:tc>
        <w:tc>
          <w:tcPr>
            <w:tcW w:w="172" w:type="dxa"/>
          </w:tcPr>
          <w:p>
            <w:pPr>
              <w:pStyle w:val="TableParagraph"/>
              <w:rPr>
                <w:sz w:val="20"/>
              </w:rPr>
            </w:pPr>
          </w:p>
        </w:tc>
        <w:tc>
          <w:tcPr>
            <w:tcW w:w="817" w:type="dxa"/>
            <w:tcBorders>
              <w:top w:val="single" w:sz="4" w:space="0" w:color="000000"/>
            </w:tcBorders>
          </w:tcPr>
          <w:p>
            <w:pPr>
              <w:pStyle w:val="TableParagraph"/>
              <w:spacing w:before="39" w:line="233" w:lineRule="exact"/>
              <w:ind w:left="6" w:right="5"/>
              <w:jc w:val="center"/>
              <w:rPr>
                <w:sz w:val="22"/>
              </w:rPr>
            </w:pPr>
            <w:r>
              <w:rPr>
                <w:spacing w:val="-5"/>
                <w:sz w:val="22"/>
              </w:rPr>
              <w:t>25</w:t>
            </w:r>
          </w:p>
        </w:tc>
        <w:tc>
          <w:tcPr>
            <w:tcW w:w="169" w:type="dxa"/>
          </w:tcPr>
          <w:p>
            <w:pPr>
              <w:pStyle w:val="TableParagraph"/>
              <w:rPr>
                <w:sz w:val="20"/>
              </w:rPr>
            </w:pPr>
          </w:p>
        </w:tc>
        <w:tc>
          <w:tcPr>
            <w:tcW w:w="1717" w:type="dxa"/>
            <w:tcBorders>
              <w:top w:val="single" w:sz="4" w:space="0" w:color="000000"/>
            </w:tcBorders>
          </w:tcPr>
          <w:p>
            <w:pPr>
              <w:pStyle w:val="TableParagraph"/>
              <w:spacing w:before="39" w:line="233" w:lineRule="exact"/>
              <w:ind w:left="12"/>
              <w:jc w:val="center"/>
              <w:rPr>
                <w:sz w:val="22"/>
              </w:rPr>
            </w:pPr>
            <w:r>
              <w:rPr>
                <w:spacing w:val="-2"/>
                <w:sz w:val="22"/>
              </w:rPr>
              <w:t>0.2000</w:t>
            </w:r>
          </w:p>
        </w:tc>
        <w:tc>
          <w:tcPr>
            <w:tcW w:w="171" w:type="dxa"/>
          </w:tcPr>
          <w:p>
            <w:pPr>
              <w:pStyle w:val="TableParagraph"/>
              <w:rPr>
                <w:sz w:val="20"/>
              </w:rPr>
            </w:pPr>
          </w:p>
        </w:tc>
        <w:tc>
          <w:tcPr>
            <w:tcW w:w="1808" w:type="dxa"/>
            <w:tcBorders>
              <w:top w:val="single" w:sz="4" w:space="0" w:color="000000"/>
            </w:tcBorders>
          </w:tcPr>
          <w:p>
            <w:pPr>
              <w:pStyle w:val="TableParagraph"/>
              <w:spacing w:before="39" w:line="233" w:lineRule="exact"/>
              <w:ind w:left="19"/>
              <w:jc w:val="center"/>
              <w:rPr>
                <w:sz w:val="22"/>
              </w:rPr>
            </w:pPr>
            <w:r>
              <w:rPr>
                <w:spacing w:val="-2"/>
                <w:sz w:val="22"/>
              </w:rPr>
              <w:t>0.1900</w:t>
            </w:r>
          </w:p>
        </w:tc>
        <w:tc>
          <w:tcPr>
            <w:tcW w:w="171" w:type="dxa"/>
          </w:tcPr>
          <w:p>
            <w:pPr>
              <w:pStyle w:val="TableParagraph"/>
              <w:rPr>
                <w:sz w:val="20"/>
              </w:rPr>
            </w:pPr>
          </w:p>
        </w:tc>
        <w:tc>
          <w:tcPr>
            <w:tcW w:w="1332" w:type="dxa"/>
            <w:tcBorders>
              <w:top w:val="single" w:sz="4" w:space="0" w:color="000000"/>
            </w:tcBorders>
          </w:tcPr>
          <w:p>
            <w:pPr>
              <w:pStyle w:val="TableParagraph"/>
              <w:spacing w:before="39" w:line="233" w:lineRule="exact"/>
              <w:ind w:left="28"/>
              <w:jc w:val="center"/>
              <w:rPr>
                <w:sz w:val="22"/>
              </w:rPr>
            </w:pPr>
            <w:r>
              <w:rPr>
                <w:spacing w:val="-4"/>
                <w:sz w:val="22"/>
              </w:rPr>
              <w:t>4.75</w:t>
            </w:r>
          </w:p>
        </w:tc>
      </w:tr>
    </w:tbl>
    <w:p>
      <w:pPr>
        <w:pStyle w:val="BodyText"/>
        <w:spacing w:before="221"/>
        <w:ind w:left="1584"/>
      </w:pPr>
      <w:r>
        <w:t>BPT</w:t>
      </w:r>
      <w:r>
        <w:rPr>
          <w:spacing w:val="-2"/>
        </w:rPr>
        <w:t xml:space="preserve"> </w:t>
      </w:r>
      <w:r>
        <w:t>values</w:t>
      </w:r>
      <w:r>
        <w:rPr>
          <w:spacing w:val="-2"/>
        </w:rPr>
        <w:t xml:space="preserve"> </w:t>
      </w:r>
      <w:r>
        <w:t>reflecting</w:t>
      </w:r>
      <w:r>
        <w:rPr>
          <w:spacing w:val="-2"/>
        </w:rPr>
        <w:t xml:space="preserve"> </w:t>
      </w:r>
      <w:r>
        <w:t>the</w:t>
      </w:r>
      <w:r>
        <w:rPr>
          <w:spacing w:val="-1"/>
        </w:rPr>
        <w:t xml:space="preserve"> </w:t>
      </w:r>
      <w:r>
        <w:t>global</w:t>
      </w:r>
      <w:r>
        <w:rPr>
          <w:spacing w:val="-1"/>
        </w:rPr>
        <w:t xml:space="preserve"> </w:t>
      </w:r>
      <w:r>
        <w:t>capitation</w:t>
      </w:r>
      <w:r>
        <w:rPr>
          <w:spacing w:val="-2"/>
        </w:rPr>
        <w:t xml:space="preserve"> </w:t>
      </w:r>
      <w:r>
        <w:t>arrangement</w:t>
      </w:r>
      <w:r>
        <w:rPr>
          <w:spacing w:val="-1"/>
        </w:rPr>
        <w:t xml:space="preserve"> </w:t>
      </w:r>
      <w:r>
        <w:t>are</w:t>
      </w:r>
      <w:r>
        <w:rPr>
          <w:spacing w:val="-4"/>
        </w:rPr>
        <w:t xml:space="preserve"> </w:t>
      </w:r>
      <w:r>
        <w:t>as</w:t>
      </w:r>
      <w:r>
        <w:rPr>
          <w:spacing w:val="1"/>
        </w:rPr>
        <w:t xml:space="preserve"> </w:t>
      </w:r>
      <w:r>
        <w:rPr>
          <w:spacing w:val="-2"/>
        </w:rPr>
        <w:t>follows:</w:t>
      </w:r>
    </w:p>
    <w:p>
      <w:pPr>
        <w:pStyle w:val="BodyText"/>
        <w:spacing w:before="2"/>
        <w:ind w:left="0"/>
        <w:rPr>
          <w:sz w:val="11"/>
        </w:rPr>
      </w:pPr>
    </w:p>
    <w:tbl>
      <w:tblPr>
        <w:tblStyle w:val="TableNormal"/>
        <w:tblW w:w="0" w:type="auto"/>
        <w:jc w:val="left"/>
        <w:tblInd w:w="17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56"/>
        <w:gridCol w:w="172"/>
        <w:gridCol w:w="817"/>
        <w:gridCol w:w="169"/>
        <w:gridCol w:w="1717"/>
        <w:gridCol w:w="171"/>
        <w:gridCol w:w="1808"/>
        <w:gridCol w:w="171"/>
        <w:gridCol w:w="1332"/>
      </w:tblGrid>
      <w:tr>
        <w:tblPrEx>
          <w:tblW w:w="0" w:type="auto"/>
          <w:jc w:val="left"/>
          <w:tblInd w:w="17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48"/>
          <w:jc w:val="left"/>
        </w:trPr>
        <w:tc>
          <w:tcPr>
            <w:tcW w:w="1356" w:type="dxa"/>
          </w:tcPr>
          <w:p>
            <w:pPr>
              <w:pStyle w:val="TableParagraph"/>
              <w:spacing w:line="228" w:lineRule="exact"/>
              <w:ind w:right="1"/>
              <w:jc w:val="center"/>
              <w:rPr>
                <w:b/>
                <w:sz w:val="22"/>
              </w:rPr>
            </w:pPr>
            <w:r>
              <w:rPr>
                <w:b/>
                <w:spacing w:val="-5"/>
                <w:sz w:val="22"/>
              </w:rPr>
              <w:t>(e)</w:t>
            </w:r>
          </w:p>
        </w:tc>
        <w:tc>
          <w:tcPr>
            <w:tcW w:w="172" w:type="dxa"/>
          </w:tcPr>
          <w:p>
            <w:pPr>
              <w:pStyle w:val="TableParagraph"/>
              <w:rPr>
                <w:sz w:val="18"/>
              </w:rPr>
            </w:pPr>
          </w:p>
        </w:tc>
        <w:tc>
          <w:tcPr>
            <w:tcW w:w="817" w:type="dxa"/>
          </w:tcPr>
          <w:p>
            <w:pPr>
              <w:pStyle w:val="TableParagraph"/>
              <w:spacing w:line="228" w:lineRule="exact"/>
              <w:ind w:left="6" w:right="6"/>
              <w:jc w:val="center"/>
              <w:rPr>
                <w:b/>
                <w:sz w:val="22"/>
              </w:rPr>
            </w:pPr>
            <w:r>
              <w:rPr>
                <w:b/>
                <w:spacing w:val="-5"/>
                <w:sz w:val="22"/>
              </w:rPr>
              <w:t>(g)</w:t>
            </w:r>
          </w:p>
        </w:tc>
        <w:tc>
          <w:tcPr>
            <w:tcW w:w="169" w:type="dxa"/>
          </w:tcPr>
          <w:p>
            <w:pPr>
              <w:pStyle w:val="TableParagraph"/>
              <w:rPr>
                <w:sz w:val="18"/>
              </w:rPr>
            </w:pPr>
          </w:p>
        </w:tc>
        <w:tc>
          <w:tcPr>
            <w:tcW w:w="1717" w:type="dxa"/>
          </w:tcPr>
          <w:p>
            <w:pPr>
              <w:pStyle w:val="TableParagraph"/>
              <w:spacing w:line="228" w:lineRule="exact"/>
              <w:ind w:left="12" w:right="4"/>
              <w:jc w:val="center"/>
              <w:rPr>
                <w:b/>
                <w:sz w:val="22"/>
              </w:rPr>
            </w:pPr>
            <w:r>
              <w:rPr>
                <w:b/>
                <w:spacing w:val="-5"/>
                <w:sz w:val="22"/>
              </w:rPr>
              <w:t>(i)</w:t>
            </w:r>
          </w:p>
        </w:tc>
        <w:tc>
          <w:tcPr>
            <w:tcW w:w="171" w:type="dxa"/>
          </w:tcPr>
          <w:p>
            <w:pPr>
              <w:pStyle w:val="TableParagraph"/>
              <w:rPr>
                <w:sz w:val="18"/>
              </w:rPr>
            </w:pPr>
          </w:p>
        </w:tc>
        <w:tc>
          <w:tcPr>
            <w:tcW w:w="1808" w:type="dxa"/>
          </w:tcPr>
          <w:p>
            <w:pPr>
              <w:pStyle w:val="TableParagraph"/>
              <w:spacing w:line="228" w:lineRule="exact"/>
              <w:ind w:left="19" w:right="5"/>
              <w:jc w:val="center"/>
              <w:rPr>
                <w:b/>
                <w:sz w:val="22"/>
              </w:rPr>
            </w:pPr>
            <w:r>
              <w:rPr>
                <w:b/>
                <w:spacing w:val="-5"/>
                <w:sz w:val="22"/>
              </w:rPr>
              <w:t>(j)</w:t>
            </w:r>
          </w:p>
        </w:tc>
        <w:tc>
          <w:tcPr>
            <w:tcW w:w="171" w:type="dxa"/>
          </w:tcPr>
          <w:p>
            <w:pPr>
              <w:pStyle w:val="TableParagraph"/>
              <w:rPr>
                <w:sz w:val="18"/>
              </w:rPr>
            </w:pPr>
          </w:p>
        </w:tc>
        <w:tc>
          <w:tcPr>
            <w:tcW w:w="1332" w:type="dxa"/>
          </w:tcPr>
          <w:p>
            <w:pPr>
              <w:pStyle w:val="TableParagraph"/>
              <w:spacing w:line="228" w:lineRule="exact"/>
              <w:ind w:left="28" w:right="6"/>
              <w:jc w:val="center"/>
              <w:rPr>
                <w:b/>
                <w:sz w:val="22"/>
              </w:rPr>
            </w:pPr>
            <w:r>
              <w:rPr>
                <w:b/>
                <w:spacing w:val="-5"/>
                <w:sz w:val="22"/>
              </w:rPr>
              <w:t>(k)</w:t>
            </w:r>
          </w:p>
        </w:tc>
      </w:tr>
      <w:tr>
        <w:tblPrEx>
          <w:tblW w:w="0" w:type="auto"/>
          <w:jc w:val="left"/>
          <w:tblInd w:w="1793" w:type="dxa"/>
          <w:tblLayout w:type="fixed"/>
          <w:tblCellMar>
            <w:top w:w="0" w:type="dxa"/>
            <w:left w:w="0" w:type="dxa"/>
            <w:bottom w:w="0" w:type="dxa"/>
            <w:right w:w="0" w:type="dxa"/>
          </w:tblCellMar>
          <w:tblLook w:val="01E0"/>
        </w:tblPrEx>
        <w:trPr>
          <w:trHeight w:val="253"/>
          <w:jc w:val="left"/>
        </w:trPr>
        <w:tc>
          <w:tcPr>
            <w:tcW w:w="1356" w:type="dxa"/>
          </w:tcPr>
          <w:p>
            <w:pPr>
              <w:pStyle w:val="TableParagraph"/>
              <w:spacing w:line="233" w:lineRule="exact"/>
              <w:ind w:right="1"/>
              <w:jc w:val="center"/>
              <w:rPr>
                <w:b/>
                <w:sz w:val="22"/>
              </w:rPr>
            </w:pPr>
            <w:r>
              <w:rPr>
                <w:b/>
                <w:spacing w:val="-2"/>
                <w:sz w:val="22"/>
              </w:rPr>
              <w:t>Measurement</w:t>
            </w:r>
          </w:p>
        </w:tc>
        <w:tc>
          <w:tcPr>
            <w:tcW w:w="172" w:type="dxa"/>
          </w:tcPr>
          <w:p>
            <w:pPr>
              <w:pStyle w:val="TableParagraph"/>
              <w:rPr>
                <w:sz w:val="18"/>
              </w:rPr>
            </w:pPr>
          </w:p>
        </w:tc>
        <w:tc>
          <w:tcPr>
            <w:tcW w:w="817" w:type="dxa"/>
          </w:tcPr>
          <w:p>
            <w:pPr>
              <w:pStyle w:val="TableParagraph"/>
              <w:rPr>
                <w:sz w:val="18"/>
              </w:rPr>
            </w:pPr>
          </w:p>
        </w:tc>
        <w:tc>
          <w:tcPr>
            <w:tcW w:w="169" w:type="dxa"/>
          </w:tcPr>
          <w:p>
            <w:pPr>
              <w:pStyle w:val="TableParagraph"/>
              <w:rPr>
                <w:sz w:val="18"/>
              </w:rPr>
            </w:pPr>
          </w:p>
        </w:tc>
        <w:tc>
          <w:tcPr>
            <w:tcW w:w="1717" w:type="dxa"/>
          </w:tcPr>
          <w:p>
            <w:pPr>
              <w:pStyle w:val="TableParagraph"/>
              <w:spacing w:line="233" w:lineRule="exact"/>
              <w:ind w:left="12" w:right="1"/>
              <w:jc w:val="center"/>
              <w:rPr>
                <w:b/>
                <w:sz w:val="22"/>
              </w:rPr>
            </w:pPr>
            <w:r>
              <w:rPr>
                <w:b/>
                <w:sz w:val="22"/>
              </w:rPr>
              <w:t>Effective</w:t>
            </w:r>
            <w:r>
              <w:rPr>
                <w:b/>
                <w:spacing w:val="-5"/>
                <w:sz w:val="22"/>
              </w:rPr>
              <w:t xml:space="preserve"> </w:t>
            </w:r>
            <w:r>
              <w:rPr>
                <w:b/>
                <w:spacing w:val="-4"/>
                <w:sz w:val="22"/>
              </w:rPr>
              <w:t>Coin</w:t>
            </w:r>
          </w:p>
        </w:tc>
        <w:tc>
          <w:tcPr>
            <w:tcW w:w="171" w:type="dxa"/>
          </w:tcPr>
          <w:p>
            <w:pPr>
              <w:pStyle w:val="TableParagraph"/>
              <w:rPr>
                <w:sz w:val="18"/>
              </w:rPr>
            </w:pPr>
          </w:p>
        </w:tc>
        <w:tc>
          <w:tcPr>
            <w:tcW w:w="1808" w:type="dxa"/>
          </w:tcPr>
          <w:p>
            <w:pPr>
              <w:pStyle w:val="TableParagraph"/>
              <w:spacing w:line="233" w:lineRule="exact"/>
              <w:ind w:left="19" w:right="1"/>
              <w:jc w:val="center"/>
              <w:rPr>
                <w:b/>
                <w:sz w:val="22"/>
              </w:rPr>
            </w:pPr>
            <w:r>
              <w:rPr>
                <w:b/>
                <w:sz w:val="22"/>
              </w:rPr>
              <w:t>Effective</w:t>
            </w:r>
            <w:r>
              <w:rPr>
                <w:b/>
                <w:spacing w:val="-5"/>
                <w:sz w:val="22"/>
              </w:rPr>
              <w:t xml:space="preserve"> </w:t>
            </w:r>
            <w:r>
              <w:rPr>
                <w:b/>
                <w:spacing w:val="-4"/>
                <w:sz w:val="22"/>
              </w:rPr>
              <w:t>Coin</w:t>
            </w:r>
          </w:p>
        </w:tc>
        <w:tc>
          <w:tcPr>
            <w:tcW w:w="171" w:type="dxa"/>
          </w:tcPr>
          <w:p>
            <w:pPr>
              <w:pStyle w:val="TableParagraph"/>
              <w:rPr>
                <w:sz w:val="18"/>
              </w:rPr>
            </w:pPr>
          </w:p>
        </w:tc>
        <w:tc>
          <w:tcPr>
            <w:tcW w:w="1332" w:type="dxa"/>
          </w:tcPr>
          <w:p>
            <w:pPr>
              <w:pStyle w:val="TableParagraph"/>
              <w:spacing w:line="233" w:lineRule="exact"/>
              <w:ind w:left="28" w:right="5"/>
              <w:jc w:val="center"/>
              <w:rPr>
                <w:b/>
                <w:sz w:val="22"/>
              </w:rPr>
            </w:pPr>
            <w:r>
              <w:rPr>
                <w:b/>
                <w:spacing w:val="-2"/>
                <w:sz w:val="22"/>
              </w:rPr>
              <w:t>In-Network</w:t>
            </w:r>
          </w:p>
        </w:tc>
      </w:tr>
      <w:tr>
        <w:tblPrEx>
          <w:tblW w:w="0" w:type="auto"/>
          <w:jc w:val="left"/>
          <w:tblInd w:w="1793" w:type="dxa"/>
          <w:tblLayout w:type="fixed"/>
          <w:tblCellMar>
            <w:top w:w="0" w:type="dxa"/>
            <w:left w:w="0" w:type="dxa"/>
            <w:bottom w:w="0" w:type="dxa"/>
            <w:right w:w="0" w:type="dxa"/>
          </w:tblCellMar>
          <w:tblLook w:val="01E0"/>
        </w:tblPrEx>
        <w:trPr>
          <w:trHeight w:val="268"/>
          <w:jc w:val="left"/>
        </w:trPr>
        <w:tc>
          <w:tcPr>
            <w:tcW w:w="1356" w:type="dxa"/>
            <w:tcBorders>
              <w:bottom w:val="single" w:sz="4" w:space="0" w:color="000000"/>
            </w:tcBorders>
          </w:tcPr>
          <w:p>
            <w:pPr>
              <w:pStyle w:val="TableParagraph"/>
              <w:spacing w:line="249" w:lineRule="exact"/>
              <w:ind w:left="1" w:right="1"/>
              <w:jc w:val="center"/>
              <w:rPr>
                <w:b/>
                <w:sz w:val="22"/>
              </w:rPr>
            </w:pPr>
            <w:r>
              <w:rPr>
                <w:b/>
                <w:sz w:val="22"/>
              </w:rPr>
              <w:t>Unit</w:t>
            </w:r>
            <w:r>
              <w:rPr>
                <w:b/>
                <w:spacing w:val="-1"/>
                <w:sz w:val="22"/>
              </w:rPr>
              <w:t xml:space="preserve"> </w:t>
            </w:r>
            <w:r>
              <w:rPr>
                <w:b/>
                <w:spacing w:val="-4"/>
                <w:sz w:val="22"/>
              </w:rPr>
              <w:t>Code</w:t>
            </w:r>
          </w:p>
        </w:tc>
        <w:tc>
          <w:tcPr>
            <w:tcW w:w="172" w:type="dxa"/>
          </w:tcPr>
          <w:p>
            <w:pPr>
              <w:pStyle w:val="TableParagraph"/>
              <w:rPr>
                <w:sz w:val="18"/>
              </w:rPr>
            </w:pPr>
          </w:p>
        </w:tc>
        <w:tc>
          <w:tcPr>
            <w:tcW w:w="817" w:type="dxa"/>
            <w:tcBorders>
              <w:bottom w:val="single" w:sz="4" w:space="0" w:color="000000"/>
            </w:tcBorders>
          </w:tcPr>
          <w:p>
            <w:pPr>
              <w:pStyle w:val="TableParagraph"/>
              <w:spacing w:line="249" w:lineRule="exact"/>
              <w:ind w:left="6"/>
              <w:jc w:val="center"/>
              <w:rPr>
                <w:b/>
                <w:sz w:val="22"/>
              </w:rPr>
            </w:pPr>
            <w:r>
              <w:rPr>
                <w:b/>
                <w:spacing w:val="-4"/>
                <w:sz w:val="22"/>
              </w:rPr>
              <w:t>PMPM</w:t>
            </w:r>
          </w:p>
        </w:tc>
        <w:tc>
          <w:tcPr>
            <w:tcW w:w="169" w:type="dxa"/>
          </w:tcPr>
          <w:p>
            <w:pPr>
              <w:pStyle w:val="TableParagraph"/>
              <w:rPr>
                <w:sz w:val="18"/>
              </w:rPr>
            </w:pPr>
          </w:p>
        </w:tc>
        <w:tc>
          <w:tcPr>
            <w:tcW w:w="1717" w:type="dxa"/>
            <w:tcBorders>
              <w:bottom w:val="single" w:sz="4" w:space="0" w:color="000000"/>
            </w:tcBorders>
          </w:tcPr>
          <w:p>
            <w:pPr>
              <w:pStyle w:val="TableParagraph"/>
              <w:spacing w:line="249" w:lineRule="exact"/>
              <w:ind w:left="12" w:right="1"/>
              <w:jc w:val="center"/>
              <w:rPr>
                <w:b/>
                <w:sz w:val="22"/>
              </w:rPr>
            </w:pPr>
            <w:r>
              <w:rPr>
                <w:b/>
                <w:sz w:val="22"/>
              </w:rPr>
              <w:t>Before</w:t>
            </w:r>
            <w:r>
              <w:rPr>
                <w:b/>
                <w:spacing w:val="-5"/>
                <w:sz w:val="22"/>
              </w:rPr>
              <w:t xml:space="preserve"> </w:t>
            </w:r>
            <w:r>
              <w:rPr>
                <w:b/>
                <w:sz w:val="22"/>
              </w:rPr>
              <w:t>OOP</w:t>
            </w:r>
            <w:r>
              <w:rPr>
                <w:b/>
                <w:spacing w:val="-1"/>
                <w:sz w:val="22"/>
              </w:rPr>
              <w:t xml:space="preserve"> </w:t>
            </w:r>
            <w:r>
              <w:rPr>
                <w:b/>
                <w:spacing w:val="-5"/>
                <w:sz w:val="22"/>
              </w:rPr>
              <w:t>Max</w:t>
            </w:r>
          </w:p>
        </w:tc>
        <w:tc>
          <w:tcPr>
            <w:tcW w:w="171" w:type="dxa"/>
          </w:tcPr>
          <w:p>
            <w:pPr>
              <w:pStyle w:val="TableParagraph"/>
              <w:rPr>
                <w:sz w:val="18"/>
              </w:rPr>
            </w:pPr>
          </w:p>
        </w:tc>
        <w:tc>
          <w:tcPr>
            <w:tcW w:w="1808" w:type="dxa"/>
            <w:tcBorders>
              <w:bottom w:val="single" w:sz="4" w:space="0" w:color="000000"/>
            </w:tcBorders>
          </w:tcPr>
          <w:p>
            <w:pPr>
              <w:pStyle w:val="TableParagraph"/>
              <w:spacing w:line="249" w:lineRule="exact"/>
              <w:ind w:left="19" w:right="3"/>
              <w:jc w:val="center"/>
              <w:rPr>
                <w:b/>
                <w:sz w:val="22"/>
              </w:rPr>
            </w:pPr>
            <w:r>
              <w:rPr>
                <w:b/>
                <w:sz w:val="22"/>
              </w:rPr>
              <w:t>After</w:t>
            </w:r>
            <w:r>
              <w:rPr>
                <w:b/>
                <w:spacing w:val="-4"/>
                <w:sz w:val="22"/>
              </w:rPr>
              <w:t xml:space="preserve"> </w:t>
            </w:r>
            <w:r>
              <w:rPr>
                <w:b/>
                <w:sz w:val="22"/>
              </w:rPr>
              <w:t>OOP</w:t>
            </w:r>
            <w:r>
              <w:rPr>
                <w:b/>
                <w:spacing w:val="-2"/>
                <w:sz w:val="22"/>
              </w:rPr>
              <w:t xml:space="preserve"> </w:t>
            </w:r>
            <w:r>
              <w:rPr>
                <w:b/>
                <w:spacing w:val="-5"/>
                <w:sz w:val="22"/>
              </w:rPr>
              <w:t>Max</w:t>
            </w:r>
          </w:p>
        </w:tc>
        <w:tc>
          <w:tcPr>
            <w:tcW w:w="171" w:type="dxa"/>
          </w:tcPr>
          <w:p>
            <w:pPr>
              <w:pStyle w:val="TableParagraph"/>
              <w:rPr>
                <w:sz w:val="18"/>
              </w:rPr>
            </w:pPr>
          </w:p>
        </w:tc>
        <w:tc>
          <w:tcPr>
            <w:tcW w:w="1332" w:type="dxa"/>
            <w:tcBorders>
              <w:bottom w:val="single" w:sz="4" w:space="0" w:color="000000"/>
            </w:tcBorders>
          </w:tcPr>
          <w:p>
            <w:pPr>
              <w:pStyle w:val="TableParagraph"/>
              <w:spacing w:line="249" w:lineRule="exact"/>
              <w:ind w:left="28" w:right="2"/>
              <w:jc w:val="center"/>
              <w:rPr>
                <w:b/>
                <w:sz w:val="22"/>
              </w:rPr>
            </w:pPr>
            <w:r>
              <w:rPr>
                <w:b/>
                <w:spacing w:val="-4"/>
                <w:sz w:val="22"/>
              </w:rPr>
              <w:t>PMPM</w:t>
            </w:r>
          </w:p>
        </w:tc>
      </w:tr>
      <w:tr>
        <w:tblPrEx>
          <w:tblW w:w="0" w:type="auto"/>
          <w:jc w:val="left"/>
          <w:tblInd w:w="1793" w:type="dxa"/>
          <w:tblLayout w:type="fixed"/>
          <w:tblCellMar>
            <w:top w:w="0" w:type="dxa"/>
            <w:left w:w="0" w:type="dxa"/>
            <w:bottom w:w="0" w:type="dxa"/>
            <w:right w:w="0" w:type="dxa"/>
          </w:tblCellMar>
          <w:tblLook w:val="01E0"/>
        </w:tblPrEx>
        <w:trPr>
          <w:trHeight w:val="292"/>
          <w:jc w:val="left"/>
        </w:trPr>
        <w:tc>
          <w:tcPr>
            <w:tcW w:w="1356" w:type="dxa"/>
            <w:tcBorders>
              <w:top w:val="single" w:sz="4" w:space="0" w:color="000000"/>
            </w:tcBorders>
          </w:tcPr>
          <w:p>
            <w:pPr>
              <w:pStyle w:val="TableParagraph"/>
              <w:spacing w:before="39" w:line="233" w:lineRule="exact"/>
              <w:ind w:left="1" w:right="1"/>
              <w:jc w:val="center"/>
              <w:rPr>
                <w:sz w:val="22"/>
              </w:rPr>
            </w:pPr>
            <w:r>
              <w:rPr>
                <w:spacing w:val="-4"/>
                <w:sz w:val="22"/>
              </w:rPr>
              <w:t>Coin</w:t>
            </w:r>
          </w:p>
        </w:tc>
        <w:tc>
          <w:tcPr>
            <w:tcW w:w="172" w:type="dxa"/>
          </w:tcPr>
          <w:p>
            <w:pPr>
              <w:pStyle w:val="TableParagraph"/>
              <w:rPr>
                <w:sz w:val="20"/>
              </w:rPr>
            </w:pPr>
          </w:p>
        </w:tc>
        <w:tc>
          <w:tcPr>
            <w:tcW w:w="817" w:type="dxa"/>
            <w:tcBorders>
              <w:top w:val="single" w:sz="4" w:space="0" w:color="000000"/>
            </w:tcBorders>
          </w:tcPr>
          <w:p>
            <w:pPr>
              <w:pStyle w:val="TableParagraph"/>
              <w:spacing w:before="39" w:line="233" w:lineRule="exact"/>
              <w:ind w:left="6" w:right="5"/>
              <w:jc w:val="center"/>
              <w:rPr>
                <w:sz w:val="22"/>
              </w:rPr>
            </w:pPr>
            <w:r>
              <w:rPr>
                <w:spacing w:val="-5"/>
                <w:sz w:val="22"/>
              </w:rPr>
              <w:t>22</w:t>
            </w:r>
          </w:p>
        </w:tc>
        <w:tc>
          <w:tcPr>
            <w:tcW w:w="169" w:type="dxa"/>
          </w:tcPr>
          <w:p>
            <w:pPr>
              <w:pStyle w:val="TableParagraph"/>
              <w:rPr>
                <w:sz w:val="20"/>
              </w:rPr>
            </w:pPr>
          </w:p>
        </w:tc>
        <w:tc>
          <w:tcPr>
            <w:tcW w:w="1717" w:type="dxa"/>
            <w:tcBorders>
              <w:top w:val="single" w:sz="4" w:space="0" w:color="000000"/>
            </w:tcBorders>
          </w:tcPr>
          <w:p>
            <w:pPr>
              <w:pStyle w:val="TableParagraph"/>
              <w:spacing w:before="39" w:line="233" w:lineRule="exact"/>
              <w:ind w:left="12" w:right="5"/>
              <w:jc w:val="center"/>
              <w:rPr>
                <w:sz w:val="22"/>
              </w:rPr>
            </w:pPr>
            <w:r>
              <w:rPr>
                <w:spacing w:val="-2"/>
                <w:sz w:val="22"/>
              </w:rPr>
              <w:t>0.2273</w:t>
            </w:r>
          </w:p>
        </w:tc>
        <w:tc>
          <w:tcPr>
            <w:tcW w:w="171" w:type="dxa"/>
          </w:tcPr>
          <w:p>
            <w:pPr>
              <w:pStyle w:val="TableParagraph"/>
              <w:rPr>
                <w:sz w:val="20"/>
              </w:rPr>
            </w:pPr>
          </w:p>
        </w:tc>
        <w:tc>
          <w:tcPr>
            <w:tcW w:w="1808" w:type="dxa"/>
            <w:tcBorders>
              <w:top w:val="single" w:sz="4" w:space="0" w:color="000000"/>
            </w:tcBorders>
          </w:tcPr>
          <w:p>
            <w:pPr>
              <w:pStyle w:val="TableParagraph"/>
              <w:spacing w:before="39" w:line="233" w:lineRule="exact"/>
              <w:ind w:left="19"/>
              <w:jc w:val="center"/>
              <w:rPr>
                <w:sz w:val="22"/>
              </w:rPr>
            </w:pPr>
            <w:r>
              <w:rPr>
                <w:spacing w:val="-2"/>
                <w:sz w:val="22"/>
              </w:rPr>
              <w:t>0.2159</w:t>
            </w:r>
          </w:p>
        </w:tc>
        <w:tc>
          <w:tcPr>
            <w:tcW w:w="171" w:type="dxa"/>
          </w:tcPr>
          <w:p>
            <w:pPr>
              <w:pStyle w:val="TableParagraph"/>
              <w:rPr>
                <w:sz w:val="20"/>
              </w:rPr>
            </w:pPr>
          </w:p>
        </w:tc>
        <w:tc>
          <w:tcPr>
            <w:tcW w:w="1332" w:type="dxa"/>
            <w:tcBorders>
              <w:top w:val="single" w:sz="4" w:space="0" w:color="000000"/>
            </w:tcBorders>
          </w:tcPr>
          <w:p>
            <w:pPr>
              <w:pStyle w:val="TableParagraph"/>
              <w:spacing w:before="39" w:line="233" w:lineRule="exact"/>
              <w:ind w:left="28"/>
              <w:jc w:val="center"/>
              <w:rPr>
                <w:sz w:val="22"/>
              </w:rPr>
            </w:pPr>
            <w:r>
              <w:rPr>
                <w:spacing w:val="-4"/>
                <w:sz w:val="22"/>
              </w:rPr>
              <w:t>4.75</w:t>
            </w:r>
          </w:p>
        </w:tc>
      </w:tr>
    </w:tbl>
    <w:p>
      <w:pPr>
        <w:pStyle w:val="BodyText"/>
        <w:spacing w:before="11"/>
        <w:ind w:left="0"/>
      </w:pPr>
    </w:p>
    <w:p>
      <w:pPr>
        <w:spacing w:before="1"/>
        <w:ind w:left="1224" w:right="0" w:firstLine="0"/>
        <w:jc w:val="left"/>
        <w:rPr>
          <w:rFonts w:ascii="Arial"/>
          <w:b/>
          <w:i/>
          <w:sz w:val="21"/>
        </w:rPr>
      </w:pPr>
      <w:bookmarkStart w:id="42" w:name="Consistency with PBP"/>
      <w:bookmarkEnd w:id="42"/>
      <w:r>
        <w:rPr>
          <w:rFonts w:ascii="Arial"/>
          <w:b/>
          <w:i/>
          <w:sz w:val="21"/>
        </w:rPr>
        <w:t>Consistency</w:t>
      </w:r>
      <w:r>
        <w:rPr>
          <w:rFonts w:ascii="Arial"/>
          <w:b/>
          <w:i/>
          <w:spacing w:val="-10"/>
          <w:sz w:val="21"/>
        </w:rPr>
        <w:t xml:space="preserve"> </w:t>
      </w:r>
      <w:r>
        <w:rPr>
          <w:rFonts w:ascii="Arial"/>
          <w:b/>
          <w:i/>
          <w:sz w:val="21"/>
        </w:rPr>
        <w:t>with</w:t>
      </w:r>
      <w:r>
        <w:rPr>
          <w:rFonts w:ascii="Arial"/>
          <w:b/>
          <w:i/>
          <w:spacing w:val="-9"/>
          <w:sz w:val="21"/>
        </w:rPr>
        <w:t xml:space="preserve"> </w:t>
      </w:r>
      <w:r>
        <w:rPr>
          <w:rFonts w:ascii="Arial"/>
          <w:b/>
          <w:i/>
          <w:spacing w:val="-5"/>
          <w:sz w:val="21"/>
        </w:rPr>
        <w:t>PBP</w:t>
      </w:r>
    </w:p>
    <w:p>
      <w:pPr>
        <w:pStyle w:val="BodyText"/>
        <w:spacing w:before="117"/>
        <w:ind w:left="1224" w:right="1443"/>
      </w:pPr>
      <w:r>
        <w:t>The cost-sharing information entered in the BPT must tie to data in the PBP. Note that, although</w:t>
      </w:r>
      <w:r>
        <w:rPr>
          <w:spacing w:val="-3"/>
        </w:rPr>
        <w:t xml:space="preserve"> </w:t>
      </w:r>
      <w:r>
        <w:t>there</w:t>
      </w:r>
      <w:r>
        <w:rPr>
          <w:spacing w:val="-4"/>
        </w:rPr>
        <w:t xml:space="preserve"> </w:t>
      </w:r>
      <w:r>
        <w:t>are</w:t>
      </w:r>
      <w:r>
        <w:rPr>
          <w:spacing w:val="-5"/>
        </w:rPr>
        <w:t xml:space="preserve"> </w:t>
      </w:r>
      <w:r>
        <w:t>not</w:t>
      </w:r>
      <w:r>
        <w:rPr>
          <w:spacing w:val="-3"/>
        </w:rPr>
        <w:t xml:space="preserve"> </w:t>
      </w:r>
      <w:r>
        <w:t>individual</w:t>
      </w:r>
      <w:r>
        <w:rPr>
          <w:spacing w:val="-3"/>
        </w:rPr>
        <w:t xml:space="preserve"> </w:t>
      </w:r>
      <w:r>
        <w:t>entries</w:t>
      </w:r>
      <w:r>
        <w:rPr>
          <w:spacing w:val="-4"/>
        </w:rPr>
        <w:t xml:space="preserve"> </w:t>
      </w:r>
      <w:r>
        <w:t>for</w:t>
      </w:r>
      <w:r>
        <w:rPr>
          <w:spacing w:val="-3"/>
        </w:rPr>
        <w:t xml:space="preserve"> </w:t>
      </w:r>
      <w:r>
        <w:t>each</w:t>
      </w:r>
      <w:r>
        <w:rPr>
          <w:spacing w:val="-1"/>
        </w:rPr>
        <w:t xml:space="preserve"> </w:t>
      </w:r>
      <w:r>
        <w:t>cost-sharing</w:t>
      </w:r>
      <w:r>
        <w:rPr>
          <w:spacing w:val="-3"/>
        </w:rPr>
        <w:t xml:space="preserve"> </w:t>
      </w:r>
      <w:r>
        <w:t>item</w:t>
      </w:r>
      <w:r>
        <w:rPr>
          <w:spacing w:val="-3"/>
        </w:rPr>
        <w:t xml:space="preserve"> </w:t>
      </w:r>
      <w:r>
        <w:t>listed</w:t>
      </w:r>
      <w:r>
        <w:rPr>
          <w:spacing w:val="-3"/>
        </w:rPr>
        <w:t xml:space="preserve"> </w:t>
      </w:r>
      <w:r>
        <w:t>in</w:t>
      </w:r>
      <w:r>
        <w:rPr>
          <w:spacing w:val="-3"/>
        </w:rPr>
        <w:t xml:space="preserve"> </w:t>
      </w:r>
      <w:r>
        <w:t>the</w:t>
      </w:r>
      <w:r>
        <w:rPr>
          <w:spacing w:val="-4"/>
        </w:rPr>
        <w:t xml:space="preserve"> </w:t>
      </w:r>
      <w:r>
        <w:t>PBP,</w:t>
      </w:r>
      <w:r>
        <w:rPr>
          <w:spacing w:val="-3"/>
        </w:rPr>
        <w:t xml:space="preserve"> </w:t>
      </w:r>
      <w:r>
        <w:t>the value of all cost-sharing items must be reflected in the total PMPM amount in MA Worksheet</w:t>
      </w:r>
      <w:r>
        <w:rPr>
          <w:spacing w:val="-3"/>
        </w:rPr>
        <w:t xml:space="preserve"> </w:t>
      </w:r>
      <w:r>
        <w:t>3.</w:t>
      </w:r>
      <w:r>
        <w:rPr>
          <w:spacing w:val="-3"/>
        </w:rPr>
        <w:t xml:space="preserve"> </w:t>
      </w:r>
      <w:r>
        <w:t>The</w:t>
      </w:r>
      <w:r>
        <w:rPr>
          <w:spacing w:val="-3"/>
        </w:rPr>
        <w:t xml:space="preserve"> </w:t>
      </w:r>
      <w:r>
        <w:t>PBP</w:t>
      </w:r>
      <w:r>
        <w:rPr>
          <w:spacing w:val="-3"/>
        </w:rPr>
        <w:t xml:space="preserve"> </w:t>
      </w:r>
      <w:r>
        <w:t>line</w:t>
      </w:r>
      <w:r>
        <w:rPr>
          <w:spacing w:val="-3"/>
        </w:rPr>
        <w:t xml:space="preserve"> </w:t>
      </w:r>
      <w:r>
        <w:t>numbers</w:t>
      </w:r>
      <w:r>
        <w:rPr>
          <w:spacing w:val="-3"/>
        </w:rPr>
        <w:t xml:space="preserve"> </w:t>
      </w:r>
      <w:r>
        <w:t>in</w:t>
      </w:r>
      <w:r>
        <w:rPr>
          <w:spacing w:val="-3"/>
        </w:rPr>
        <w:t xml:space="preserve"> </w:t>
      </w:r>
      <w:r>
        <w:t>Section IV</w:t>
      </w:r>
      <w:r>
        <w:rPr>
          <w:spacing w:val="-2"/>
        </w:rPr>
        <w:t xml:space="preserve"> </w:t>
      </w:r>
      <w:r>
        <w:t>of</w:t>
      </w:r>
      <w:r>
        <w:rPr>
          <w:spacing w:val="-3"/>
        </w:rPr>
        <w:t xml:space="preserve"> </w:t>
      </w:r>
      <w:r>
        <w:t>MA</w:t>
      </w:r>
      <w:r>
        <w:rPr>
          <w:spacing w:val="-3"/>
        </w:rPr>
        <w:t xml:space="preserve"> </w:t>
      </w:r>
      <w:r>
        <w:t>Worksheet</w:t>
      </w:r>
      <w:r>
        <w:rPr>
          <w:spacing w:val="-2"/>
        </w:rPr>
        <w:t xml:space="preserve"> </w:t>
      </w:r>
      <w:r>
        <w:t>3</w:t>
      </w:r>
      <w:r>
        <w:rPr>
          <w:spacing w:val="-3"/>
        </w:rPr>
        <w:t xml:space="preserve"> </w:t>
      </w:r>
      <w:r>
        <w:t>must</w:t>
      </w:r>
      <w:r>
        <w:rPr>
          <w:spacing w:val="-3"/>
        </w:rPr>
        <w:t xml:space="preserve"> </w:t>
      </w:r>
      <w:r>
        <w:t>be</w:t>
      </w:r>
      <w:r>
        <w:rPr>
          <w:spacing w:val="-3"/>
        </w:rPr>
        <w:t xml:space="preserve"> </w:t>
      </w:r>
      <w:r>
        <w:t>mapped to the BPT line numbers to identify all of the plan cost sharing.</w:t>
      </w:r>
    </w:p>
    <w:p>
      <w:pPr>
        <w:pStyle w:val="BodyText"/>
        <w:spacing w:before="120"/>
        <w:ind w:left="1224" w:right="1481"/>
      </w:pPr>
      <w:r>
        <w:t>The</w:t>
      </w:r>
      <w:r>
        <w:rPr>
          <w:spacing w:val="-5"/>
        </w:rPr>
        <w:t xml:space="preserve"> </w:t>
      </w:r>
      <w:r>
        <w:t>cost-sharing</w:t>
      </w:r>
      <w:r>
        <w:rPr>
          <w:spacing w:val="-4"/>
        </w:rPr>
        <w:t xml:space="preserve"> </w:t>
      </w:r>
      <w:r>
        <w:t>descriptions</w:t>
      </w:r>
      <w:r>
        <w:rPr>
          <w:spacing w:val="-5"/>
        </w:rPr>
        <w:t xml:space="preserve"> </w:t>
      </w:r>
      <w:r>
        <w:t>in</w:t>
      </w:r>
      <w:r>
        <w:rPr>
          <w:spacing w:val="-4"/>
        </w:rPr>
        <w:t xml:space="preserve"> </w:t>
      </w:r>
      <w:r>
        <w:t>Worksheet</w:t>
      </w:r>
      <w:r>
        <w:rPr>
          <w:spacing w:val="-3"/>
        </w:rPr>
        <w:t xml:space="preserve"> </w:t>
      </w:r>
      <w:r>
        <w:t>3</w:t>
      </w:r>
      <w:r>
        <w:rPr>
          <w:spacing w:val="-4"/>
        </w:rPr>
        <w:t xml:space="preserve"> </w:t>
      </w:r>
      <w:r>
        <w:t>may</w:t>
      </w:r>
      <w:r>
        <w:rPr>
          <w:spacing w:val="-2"/>
        </w:rPr>
        <w:t xml:space="preserve"> </w:t>
      </w:r>
      <w:r>
        <w:t>be</w:t>
      </w:r>
      <w:r>
        <w:rPr>
          <w:spacing w:val="-5"/>
        </w:rPr>
        <w:t xml:space="preserve"> </w:t>
      </w:r>
      <w:r>
        <w:t>used</w:t>
      </w:r>
      <w:r>
        <w:rPr>
          <w:spacing w:val="-4"/>
        </w:rPr>
        <w:t xml:space="preserve"> </w:t>
      </w:r>
      <w:r>
        <w:t>by</w:t>
      </w:r>
      <w:r>
        <w:rPr>
          <w:spacing w:val="-4"/>
        </w:rPr>
        <w:t xml:space="preserve"> </w:t>
      </w:r>
      <w:r>
        <w:t>plan</w:t>
      </w:r>
      <w:r>
        <w:rPr>
          <w:spacing w:val="-4"/>
        </w:rPr>
        <w:t xml:space="preserve"> </w:t>
      </w:r>
      <w:r>
        <w:t>managers,</w:t>
      </w:r>
      <w:r>
        <w:rPr>
          <w:spacing w:val="-4"/>
        </w:rPr>
        <w:t xml:space="preserve"> </w:t>
      </w:r>
      <w:r>
        <w:t>marketing staff,</w:t>
      </w:r>
      <w:r>
        <w:rPr>
          <w:spacing w:val="-1"/>
        </w:rPr>
        <w:t xml:space="preserve"> </w:t>
      </w:r>
      <w:r>
        <w:t>and</w:t>
      </w:r>
      <w:r>
        <w:rPr>
          <w:spacing w:val="-1"/>
        </w:rPr>
        <w:t xml:space="preserve"> </w:t>
      </w:r>
      <w:r>
        <w:t>plan actuaries</w:t>
      </w:r>
      <w:r>
        <w:rPr>
          <w:spacing w:val="-2"/>
        </w:rPr>
        <w:t xml:space="preserve"> </w:t>
      </w:r>
      <w:r>
        <w:t>to</w:t>
      </w:r>
      <w:r>
        <w:rPr>
          <w:spacing w:val="-1"/>
        </w:rPr>
        <w:t xml:space="preserve"> </w:t>
      </w:r>
      <w:r>
        <w:t>ensure</w:t>
      </w:r>
      <w:r>
        <w:rPr>
          <w:spacing w:val="-2"/>
        </w:rPr>
        <w:t xml:space="preserve"> </w:t>
      </w:r>
      <w:r>
        <w:t>that</w:t>
      </w:r>
      <w:r>
        <w:rPr>
          <w:spacing w:val="-1"/>
        </w:rPr>
        <w:t xml:space="preserve"> </w:t>
      </w:r>
      <w:r>
        <w:t>the</w:t>
      </w:r>
      <w:r>
        <w:rPr>
          <w:spacing w:val="-1"/>
        </w:rPr>
        <w:t xml:space="preserve"> </w:t>
      </w:r>
      <w:r>
        <w:t>benefits priced</w:t>
      </w:r>
      <w:r>
        <w:rPr>
          <w:spacing w:val="-1"/>
        </w:rPr>
        <w:t xml:space="preserve"> </w:t>
      </w:r>
      <w:r>
        <w:t>in</w:t>
      </w:r>
      <w:r>
        <w:rPr>
          <w:spacing w:val="-1"/>
        </w:rPr>
        <w:t xml:space="preserve"> </w:t>
      </w:r>
      <w:r>
        <w:t>the</w:t>
      </w:r>
      <w:r>
        <w:rPr>
          <w:spacing w:val="-2"/>
        </w:rPr>
        <w:t xml:space="preserve"> </w:t>
      </w:r>
      <w:r>
        <w:t>BPT</w:t>
      </w:r>
      <w:r>
        <w:rPr>
          <w:spacing w:val="-1"/>
        </w:rPr>
        <w:t xml:space="preserve"> </w:t>
      </w:r>
      <w:r>
        <w:t>are</w:t>
      </w:r>
      <w:r>
        <w:rPr>
          <w:spacing w:val="-1"/>
        </w:rPr>
        <w:t xml:space="preserve"> </w:t>
      </w:r>
      <w:r>
        <w:t>consistent</w:t>
      </w:r>
      <w:r>
        <w:rPr>
          <w:spacing w:val="-1"/>
        </w:rPr>
        <w:t xml:space="preserve"> </w:t>
      </w:r>
      <w:r>
        <w:t>with those in the PBP, as part of the quality control process for bid submissions. These descriptions will be deleted from the finalized BPT and therefore will not be uploaded to HPMS for use by CMS or CMS reviewers.</w:t>
      </w:r>
    </w:p>
    <w:p>
      <w:pPr>
        <w:spacing w:before="242"/>
        <w:ind w:left="1224" w:right="0" w:firstLine="0"/>
        <w:jc w:val="left"/>
        <w:rPr>
          <w:rFonts w:ascii="Arial"/>
          <w:b/>
          <w:i/>
          <w:sz w:val="21"/>
        </w:rPr>
      </w:pPr>
      <w:bookmarkStart w:id="43" w:name="Deductibles"/>
      <w:bookmarkEnd w:id="43"/>
      <w:r>
        <w:rPr>
          <w:rFonts w:ascii="Arial"/>
          <w:b/>
          <w:i/>
          <w:spacing w:val="-2"/>
          <w:sz w:val="21"/>
        </w:rPr>
        <w:t>Deductibles</w:t>
      </w:r>
    </w:p>
    <w:p>
      <w:pPr>
        <w:pStyle w:val="BodyText"/>
        <w:spacing w:before="120"/>
        <w:ind w:left="1224" w:right="1481"/>
      </w:pPr>
      <w:r>
        <w:t>In Worksheet 3, Section III, column f, “In-Network Effective Deductible PMPM,” the BPT</w:t>
      </w:r>
      <w:r>
        <w:rPr>
          <w:spacing w:val="-4"/>
        </w:rPr>
        <w:t xml:space="preserve"> </w:t>
      </w:r>
      <w:r>
        <w:t>must</w:t>
      </w:r>
      <w:r>
        <w:rPr>
          <w:spacing w:val="-4"/>
        </w:rPr>
        <w:t xml:space="preserve"> </w:t>
      </w:r>
      <w:r>
        <w:t>reflect</w:t>
      </w:r>
      <w:r>
        <w:rPr>
          <w:spacing w:val="-3"/>
        </w:rPr>
        <w:t xml:space="preserve"> </w:t>
      </w:r>
      <w:r>
        <w:t>the</w:t>
      </w:r>
      <w:r>
        <w:rPr>
          <w:spacing w:val="-4"/>
        </w:rPr>
        <w:t xml:space="preserve"> </w:t>
      </w:r>
      <w:r>
        <w:t>in-network</w:t>
      </w:r>
      <w:r>
        <w:rPr>
          <w:spacing w:val="-5"/>
        </w:rPr>
        <w:t xml:space="preserve"> </w:t>
      </w:r>
      <w:r>
        <w:t>impact</w:t>
      </w:r>
      <w:r>
        <w:rPr>
          <w:spacing w:val="-4"/>
        </w:rPr>
        <w:t xml:space="preserve"> </w:t>
      </w:r>
      <w:r>
        <w:t>of</w:t>
      </w:r>
      <w:r>
        <w:rPr>
          <w:spacing w:val="-4"/>
        </w:rPr>
        <w:t xml:space="preserve"> </w:t>
      </w:r>
      <w:r>
        <w:t>the</w:t>
      </w:r>
      <w:r>
        <w:rPr>
          <w:spacing w:val="-3"/>
        </w:rPr>
        <w:t xml:space="preserve"> </w:t>
      </w:r>
      <w:r>
        <w:t>following</w:t>
      </w:r>
      <w:r>
        <w:rPr>
          <w:spacing w:val="-4"/>
        </w:rPr>
        <w:t xml:space="preserve"> </w:t>
      </w:r>
      <w:r>
        <w:t>deductibles,</w:t>
      </w:r>
      <w:r>
        <w:rPr>
          <w:spacing w:val="-4"/>
        </w:rPr>
        <w:t xml:space="preserve"> </w:t>
      </w:r>
      <w:r>
        <w:t>with</w:t>
      </w:r>
      <w:r>
        <w:rPr>
          <w:spacing w:val="-4"/>
        </w:rPr>
        <w:t xml:space="preserve"> </w:t>
      </w:r>
      <w:r>
        <w:t>exception</w:t>
      </w:r>
      <w:r>
        <w:rPr>
          <w:spacing w:val="-4"/>
        </w:rPr>
        <w:t xml:space="preserve"> </w:t>
      </w:r>
      <w:r>
        <w:t>of the pricing option described in the “Medicare FFS Cost Sharing” subsection of this pricing consideration:</w:t>
      </w:r>
    </w:p>
    <w:p>
      <w:pPr>
        <w:pStyle w:val="ListParagraph"/>
        <w:numPr>
          <w:ilvl w:val="2"/>
          <w:numId w:val="49"/>
        </w:numPr>
        <w:tabs>
          <w:tab w:val="left" w:pos="1944"/>
        </w:tabs>
        <w:spacing w:before="120" w:after="0" w:line="240" w:lineRule="auto"/>
        <w:ind w:left="1944" w:right="1528" w:hanging="360"/>
        <w:jc w:val="left"/>
        <w:rPr>
          <w:sz w:val="24"/>
        </w:rPr>
      </w:pPr>
      <w:r>
        <w:rPr>
          <w:sz w:val="24"/>
        </w:rPr>
        <w:t>A</w:t>
      </w:r>
      <w:r>
        <w:rPr>
          <w:spacing w:val="-5"/>
          <w:sz w:val="24"/>
        </w:rPr>
        <w:t xml:space="preserve"> </w:t>
      </w:r>
      <w:r>
        <w:rPr>
          <w:sz w:val="24"/>
        </w:rPr>
        <w:t>local</w:t>
      </w:r>
      <w:r>
        <w:rPr>
          <w:spacing w:val="-4"/>
          <w:sz w:val="24"/>
        </w:rPr>
        <w:t xml:space="preserve"> </w:t>
      </w:r>
      <w:r>
        <w:rPr>
          <w:sz w:val="24"/>
        </w:rPr>
        <w:t>preferred</w:t>
      </w:r>
      <w:r>
        <w:rPr>
          <w:spacing w:val="-4"/>
          <w:sz w:val="24"/>
        </w:rPr>
        <w:t xml:space="preserve"> </w:t>
      </w:r>
      <w:r>
        <w:rPr>
          <w:sz w:val="24"/>
        </w:rPr>
        <w:t>provider</w:t>
      </w:r>
      <w:r>
        <w:rPr>
          <w:spacing w:val="-4"/>
          <w:sz w:val="24"/>
        </w:rPr>
        <w:t xml:space="preserve"> </w:t>
      </w:r>
      <w:r>
        <w:rPr>
          <w:sz w:val="24"/>
        </w:rPr>
        <w:t>organization</w:t>
      </w:r>
      <w:r>
        <w:rPr>
          <w:spacing w:val="-4"/>
          <w:sz w:val="24"/>
        </w:rPr>
        <w:t xml:space="preserve"> </w:t>
      </w:r>
      <w:r>
        <w:rPr>
          <w:sz w:val="24"/>
        </w:rPr>
        <w:t>(PPO)</w:t>
      </w:r>
      <w:r>
        <w:rPr>
          <w:spacing w:val="-5"/>
          <w:sz w:val="24"/>
        </w:rPr>
        <w:t xml:space="preserve"> </w:t>
      </w:r>
      <w:r>
        <w:rPr>
          <w:sz w:val="24"/>
        </w:rPr>
        <w:t>or</w:t>
      </w:r>
      <w:r>
        <w:rPr>
          <w:spacing w:val="-5"/>
          <w:sz w:val="24"/>
        </w:rPr>
        <w:t xml:space="preserve"> </w:t>
      </w:r>
      <w:r>
        <w:rPr>
          <w:sz w:val="24"/>
        </w:rPr>
        <w:t>a</w:t>
      </w:r>
      <w:r>
        <w:rPr>
          <w:spacing w:val="-3"/>
          <w:sz w:val="24"/>
        </w:rPr>
        <w:t xml:space="preserve"> </w:t>
      </w:r>
      <w:r>
        <w:rPr>
          <w:sz w:val="24"/>
        </w:rPr>
        <w:t>regional</w:t>
      </w:r>
      <w:r>
        <w:rPr>
          <w:spacing w:val="-4"/>
          <w:sz w:val="24"/>
        </w:rPr>
        <w:t xml:space="preserve"> </w:t>
      </w:r>
      <w:r>
        <w:rPr>
          <w:sz w:val="24"/>
        </w:rPr>
        <w:t>PPO</w:t>
      </w:r>
      <w:r>
        <w:rPr>
          <w:spacing w:val="-5"/>
          <w:sz w:val="24"/>
        </w:rPr>
        <w:t xml:space="preserve"> </w:t>
      </w:r>
      <w:r>
        <w:rPr>
          <w:sz w:val="24"/>
        </w:rPr>
        <w:t>deductible</w:t>
      </w:r>
      <w:r>
        <w:rPr>
          <w:spacing w:val="-3"/>
          <w:sz w:val="24"/>
        </w:rPr>
        <w:t xml:space="preserve"> </w:t>
      </w:r>
      <w:r>
        <w:rPr>
          <w:sz w:val="24"/>
        </w:rPr>
        <w:t>that applies to one or more in-network benefits.</w:t>
      </w:r>
    </w:p>
    <w:p>
      <w:pPr>
        <w:pStyle w:val="ListParagraph"/>
        <w:numPr>
          <w:ilvl w:val="2"/>
          <w:numId w:val="49"/>
        </w:numPr>
        <w:tabs>
          <w:tab w:val="left" w:pos="1944"/>
        </w:tabs>
        <w:spacing w:before="0" w:after="0" w:line="240" w:lineRule="auto"/>
        <w:ind w:left="1944" w:right="1893" w:hanging="360"/>
        <w:jc w:val="left"/>
        <w:rPr>
          <w:sz w:val="24"/>
        </w:rPr>
      </w:pPr>
      <w:r>
        <w:rPr>
          <w:sz w:val="24"/>
        </w:rPr>
        <w:t>A</w:t>
      </w:r>
      <w:r>
        <w:rPr>
          <w:spacing w:val="-5"/>
          <w:sz w:val="24"/>
        </w:rPr>
        <w:t xml:space="preserve"> </w:t>
      </w:r>
      <w:r>
        <w:rPr>
          <w:sz w:val="24"/>
        </w:rPr>
        <w:t>plan-level</w:t>
      </w:r>
      <w:r>
        <w:rPr>
          <w:spacing w:val="-4"/>
          <w:sz w:val="24"/>
        </w:rPr>
        <w:t xml:space="preserve"> </w:t>
      </w:r>
      <w:r>
        <w:rPr>
          <w:sz w:val="24"/>
        </w:rPr>
        <w:t>in-network</w:t>
      </w:r>
      <w:r>
        <w:rPr>
          <w:spacing w:val="-3"/>
          <w:sz w:val="24"/>
        </w:rPr>
        <w:t xml:space="preserve"> </w:t>
      </w:r>
      <w:r>
        <w:rPr>
          <w:sz w:val="24"/>
        </w:rPr>
        <w:t>or</w:t>
      </w:r>
      <w:r>
        <w:rPr>
          <w:spacing w:val="-4"/>
          <w:sz w:val="24"/>
        </w:rPr>
        <w:t xml:space="preserve"> </w:t>
      </w:r>
      <w:r>
        <w:rPr>
          <w:sz w:val="24"/>
        </w:rPr>
        <w:t>combined</w:t>
      </w:r>
      <w:r>
        <w:rPr>
          <w:spacing w:val="-4"/>
          <w:sz w:val="24"/>
        </w:rPr>
        <w:t xml:space="preserve"> </w:t>
      </w:r>
      <w:r>
        <w:rPr>
          <w:sz w:val="24"/>
        </w:rPr>
        <w:t>deductible</w:t>
      </w:r>
      <w:r>
        <w:rPr>
          <w:spacing w:val="-3"/>
          <w:sz w:val="24"/>
        </w:rPr>
        <w:t xml:space="preserve"> </w:t>
      </w:r>
      <w:r>
        <w:rPr>
          <w:sz w:val="24"/>
        </w:rPr>
        <w:t>contained</w:t>
      </w:r>
      <w:r>
        <w:rPr>
          <w:spacing w:val="-4"/>
          <w:sz w:val="24"/>
        </w:rPr>
        <w:t xml:space="preserve"> </w:t>
      </w:r>
      <w:r>
        <w:rPr>
          <w:sz w:val="24"/>
        </w:rPr>
        <w:t>in</w:t>
      </w:r>
      <w:r>
        <w:rPr>
          <w:spacing w:val="-2"/>
          <w:sz w:val="24"/>
        </w:rPr>
        <w:t xml:space="preserve"> </w:t>
      </w:r>
      <w:r>
        <w:rPr>
          <w:sz w:val="24"/>
        </w:rPr>
        <w:t>the</w:t>
      </w:r>
      <w:r>
        <w:rPr>
          <w:spacing w:val="-4"/>
          <w:sz w:val="24"/>
        </w:rPr>
        <w:t xml:space="preserve"> </w:t>
      </w:r>
      <w:r>
        <w:rPr>
          <w:sz w:val="24"/>
        </w:rPr>
        <w:t>Plan</w:t>
      </w:r>
      <w:r>
        <w:rPr>
          <w:spacing w:val="-4"/>
          <w:sz w:val="24"/>
        </w:rPr>
        <w:t xml:space="preserve"> </w:t>
      </w:r>
      <w:r>
        <w:rPr>
          <w:sz w:val="24"/>
        </w:rPr>
        <w:t>Level Cost Sharing Section of the PBP.</w:t>
      </w:r>
    </w:p>
    <w:p>
      <w:pPr>
        <w:pStyle w:val="BodyText"/>
        <w:spacing w:before="121"/>
        <w:ind w:left="1224" w:right="1481"/>
      </w:pPr>
      <w:r>
        <w:t>Further,</w:t>
      </w:r>
      <w:r>
        <w:rPr>
          <w:spacing w:val="-3"/>
        </w:rPr>
        <w:t xml:space="preserve"> </w:t>
      </w:r>
      <w:r>
        <w:t>in</w:t>
      </w:r>
      <w:r>
        <w:rPr>
          <w:spacing w:val="-2"/>
        </w:rPr>
        <w:t xml:space="preserve"> </w:t>
      </w:r>
      <w:r>
        <w:t>Worksheet</w:t>
      </w:r>
      <w:r>
        <w:rPr>
          <w:spacing w:val="-3"/>
        </w:rPr>
        <w:t xml:space="preserve"> </w:t>
      </w:r>
      <w:r>
        <w:t>3,</w:t>
      </w:r>
      <w:r>
        <w:rPr>
          <w:spacing w:val="-3"/>
        </w:rPr>
        <w:t xml:space="preserve"> </w:t>
      </w:r>
      <w:r>
        <w:t>Section</w:t>
      </w:r>
      <w:r>
        <w:rPr>
          <w:spacing w:val="-3"/>
        </w:rPr>
        <w:t xml:space="preserve"> </w:t>
      </w:r>
      <w:r>
        <w:t>III,</w:t>
      </w:r>
      <w:r>
        <w:rPr>
          <w:spacing w:val="-3"/>
        </w:rPr>
        <w:t xml:space="preserve"> </w:t>
      </w:r>
      <w:r>
        <w:t>columns</w:t>
      </w:r>
      <w:r>
        <w:rPr>
          <w:spacing w:val="-4"/>
        </w:rPr>
        <w:t xml:space="preserve"> </w:t>
      </w:r>
      <w:r>
        <w:t>g</w:t>
      </w:r>
      <w:r>
        <w:rPr>
          <w:spacing w:val="-3"/>
        </w:rPr>
        <w:t xml:space="preserve"> </w:t>
      </w:r>
      <w:r>
        <w:t>through</w:t>
      </w:r>
      <w:r>
        <w:rPr>
          <w:spacing w:val="-4"/>
        </w:rPr>
        <w:t xml:space="preserve"> </w:t>
      </w:r>
      <w:r>
        <w:t>k,</w:t>
      </w:r>
      <w:r>
        <w:rPr>
          <w:spacing w:val="-3"/>
        </w:rPr>
        <w:t xml:space="preserve"> </w:t>
      </w:r>
      <w:r>
        <w:t>“In-network</w:t>
      </w:r>
      <w:r>
        <w:rPr>
          <w:spacing w:val="-4"/>
        </w:rPr>
        <w:t xml:space="preserve"> </w:t>
      </w:r>
      <w:r>
        <w:t>Cost</w:t>
      </w:r>
      <w:r>
        <w:rPr>
          <w:spacing w:val="-3"/>
        </w:rPr>
        <w:t xml:space="preserve"> </w:t>
      </w:r>
      <w:r>
        <w:t>Sharing After Deductible,” the BPT must reflect the impact of service-category specific deductibles included in the Benefit Details Section of the PBP.</w:t>
      </w:r>
    </w:p>
    <w:p>
      <w:pPr>
        <w:spacing w:before="240"/>
        <w:ind w:left="1224" w:right="0" w:firstLine="0"/>
        <w:jc w:val="left"/>
        <w:rPr>
          <w:rFonts w:ascii="Arial"/>
          <w:b/>
          <w:i/>
          <w:sz w:val="21"/>
        </w:rPr>
      </w:pPr>
      <w:bookmarkStart w:id="44" w:name="Medicare Fee-For-Service (Medicare FFS) "/>
      <w:bookmarkEnd w:id="44"/>
      <w:r>
        <w:rPr>
          <w:rFonts w:ascii="Arial"/>
          <w:b/>
          <w:i/>
          <w:sz w:val="21"/>
        </w:rPr>
        <w:t>Medicare</w:t>
      </w:r>
      <w:r>
        <w:rPr>
          <w:rFonts w:ascii="Arial"/>
          <w:b/>
          <w:i/>
          <w:spacing w:val="-9"/>
          <w:sz w:val="21"/>
        </w:rPr>
        <w:t xml:space="preserve"> </w:t>
      </w:r>
      <w:r>
        <w:rPr>
          <w:rFonts w:ascii="Arial"/>
          <w:b/>
          <w:i/>
          <w:sz w:val="21"/>
        </w:rPr>
        <w:t>Fee-For-Service</w:t>
      </w:r>
      <w:r>
        <w:rPr>
          <w:rFonts w:ascii="Arial"/>
          <w:b/>
          <w:i/>
          <w:spacing w:val="-8"/>
          <w:sz w:val="21"/>
        </w:rPr>
        <w:t xml:space="preserve"> </w:t>
      </w:r>
      <w:r>
        <w:rPr>
          <w:rFonts w:ascii="Arial"/>
          <w:b/>
          <w:i/>
          <w:sz w:val="21"/>
        </w:rPr>
        <w:t>(Medicare</w:t>
      </w:r>
      <w:r>
        <w:rPr>
          <w:rFonts w:ascii="Arial"/>
          <w:b/>
          <w:i/>
          <w:spacing w:val="-11"/>
          <w:sz w:val="21"/>
        </w:rPr>
        <w:t xml:space="preserve"> </w:t>
      </w:r>
      <w:r>
        <w:rPr>
          <w:rFonts w:ascii="Arial"/>
          <w:b/>
          <w:i/>
          <w:sz w:val="21"/>
        </w:rPr>
        <w:t>FFS)</w:t>
      </w:r>
      <w:r>
        <w:rPr>
          <w:rFonts w:ascii="Arial"/>
          <w:b/>
          <w:i/>
          <w:spacing w:val="-9"/>
          <w:sz w:val="21"/>
        </w:rPr>
        <w:t xml:space="preserve"> </w:t>
      </w:r>
      <w:r>
        <w:rPr>
          <w:rFonts w:ascii="Arial"/>
          <w:b/>
          <w:i/>
          <w:sz w:val="21"/>
        </w:rPr>
        <w:t>Cost</w:t>
      </w:r>
      <w:r>
        <w:rPr>
          <w:rFonts w:ascii="Arial"/>
          <w:b/>
          <w:i/>
          <w:spacing w:val="-9"/>
          <w:sz w:val="21"/>
        </w:rPr>
        <w:t xml:space="preserve"> </w:t>
      </w:r>
      <w:r>
        <w:rPr>
          <w:rFonts w:ascii="Arial"/>
          <w:b/>
          <w:i/>
          <w:spacing w:val="-2"/>
          <w:sz w:val="21"/>
        </w:rPr>
        <w:t>Sharing</w:t>
      </w:r>
    </w:p>
    <w:p>
      <w:pPr>
        <w:pStyle w:val="BodyText"/>
        <w:spacing w:before="118"/>
        <w:ind w:left="1224" w:right="1496"/>
        <w:jc w:val="both"/>
      </w:pPr>
      <w:r>
        <w:t>The</w:t>
      </w:r>
      <w:r>
        <w:rPr>
          <w:spacing w:val="-5"/>
        </w:rPr>
        <w:t xml:space="preserve"> </w:t>
      </w:r>
      <w:r>
        <w:t>Medicare</w:t>
      </w:r>
      <w:r>
        <w:rPr>
          <w:spacing w:val="-4"/>
        </w:rPr>
        <w:t xml:space="preserve"> </w:t>
      </w:r>
      <w:r>
        <w:t>FFS</w:t>
      </w:r>
      <w:r>
        <w:rPr>
          <w:spacing w:val="-4"/>
        </w:rPr>
        <w:t xml:space="preserve"> </w:t>
      </w:r>
      <w:r>
        <w:t>cost-sharing</w:t>
      </w:r>
      <w:r>
        <w:rPr>
          <w:spacing w:val="-4"/>
        </w:rPr>
        <w:t xml:space="preserve"> </w:t>
      </w:r>
      <w:r>
        <w:t>pricing</w:t>
      </w:r>
      <w:r>
        <w:rPr>
          <w:spacing w:val="-4"/>
        </w:rPr>
        <w:t xml:space="preserve"> </w:t>
      </w:r>
      <w:r>
        <w:t>option</w:t>
      </w:r>
      <w:r>
        <w:rPr>
          <w:spacing w:val="-3"/>
        </w:rPr>
        <w:t xml:space="preserve"> </w:t>
      </w:r>
      <w:r>
        <w:t>allows</w:t>
      </w:r>
      <w:r>
        <w:rPr>
          <w:spacing w:val="-4"/>
        </w:rPr>
        <w:t xml:space="preserve"> </w:t>
      </w:r>
      <w:r>
        <w:t>the</w:t>
      </w:r>
      <w:r>
        <w:rPr>
          <w:spacing w:val="-4"/>
        </w:rPr>
        <w:t xml:space="preserve"> </w:t>
      </w:r>
      <w:r>
        <w:t>use</w:t>
      </w:r>
      <w:r>
        <w:rPr>
          <w:spacing w:val="-5"/>
        </w:rPr>
        <w:t xml:space="preserve"> </w:t>
      </w:r>
      <w:r>
        <w:t>of</w:t>
      </w:r>
      <w:r>
        <w:rPr>
          <w:spacing w:val="-4"/>
        </w:rPr>
        <w:t xml:space="preserve"> </w:t>
      </w:r>
      <w:r>
        <w:t>Medicare</w:t>
      </w:r>
      <w:r>
        <w:rPr>
          <w:spacing w:val="-4"/>
        </w:rPr>
        <w:t xml:space="preserve"> </w:t>
      </w:r>
      <w:r>
        <w:t>FFS</w:t>
      </w:r>
      <w:r>
        <w:rPr>
          <w:spacing w:val="-2"/>
        </w:rPr>
        <w:t xml:space="preserve"> </w:t>
      </w:r>
      <w:r>
        <w:t>actuarial equivalent cost sharing in Worksheet 4 as the basis for pricing certain plan cost sharing designed to match Medicare FFS cost sharing, as explained in this subsection.</w:t>
      </w:r>
    </w:p>
    <w:p>
      <w:pPr>
        <w:pStyle w:val="BodyText"/>
        <w:spacing w:before="120"/>
        <w:ind w:left="1224" w:right="1472"/>
        <w:jc w:val="both"/>
      </w:pPr>
      <w:r>
        <w:t>Note</w:t>
      </w:r>
      <w:r>
        <w:rPr>
          <w:spacing w:val="-4"/>
        </w:rPr>
        <w:t xml:space="preserve"> </w:t>
      </w:r>
      <w:r>
        <w:t>that</w:t>
      </w:r>
      <w:r>
        <w:rPr>
          <w:spacing w:val="-4"/>
        </w:rPr>
        <w:t xml:space="preserve"> </w:t>
      </w:r>
      <w:r>
        <w:t>the</w:t>
      </w:r>
      <w:r>
        <w:rPr>
          <w:spacing w:val="-4"/>
        </w:rPr>
        <w:t xml:space="preserve"> </w:t>
      </w:r>
      <w:r>
        <w:t>adjustment</w:t>
      </w:r>
      <w:r>
        <w:rPr>
          <w:spacing w:val="-4"/>
        </w:rPr>
        <w:t xml:space="preserve"> </w:t>
      </w:r>
      <w:r>
        <w:t>to</w:t>
      </w:r>
      <w:r>
        <w:rPr>
          <w:spacing w:val="-4"/>
        </w:rPr>
        <w:t xml:space="preserve"> </w:t>
      </w:r>
      <w:r>
        <w:t>the</w:t>
      </w:r>
      <w:r>
        <w:rPr>
          <w:spacing w:val="-4"/>
        </w:rPr>
        <w:t xml:space="preserve"> </w:t>
      </w:r>
      <w:r>
        <w:t>coinsurance</w:t>
      </w:r>
      <w:r>
        <w:rPr>
          <w:spacing w:val="-4"/>
        </w:rPr>
        <w:t xml:space="preserve"> </w:t>
      </w:r>
      <w:r>
        <w:t>percentage</w:t>
      </w:r>
      <w:r>
        <w:rPr>
          <w:spacing w:val="-5"/>
        </w:rPr>
        <w:t xml:space="preserve"> </w:t>
      </w:r>
      <w:r>
        <w:t>due</w:t>
      </w:r>
      <w:r>
        <w:rPr>
          <w:spacing w:val="-4"/>
        </w:rPr>
        <w:t xml:space="preserve"> </w:t>
      </w:r>
      <w:r>
        <w:t>to</w:t>
      </w:r>
      <w:r>
        <w:rPr>
          <w:spacing w:val="-2"/>
        </w:rPr>
        <w:t xml:space="preserve"> </w:t>
      </w:r>
      <w:r>
        <w:t>sequestration</w:t>
      </w:r>
      <w:r>
        <w:rPr>
          <w:spacing w:val="-4"/>
        </w:rPr>
        <w:t xml:space="preserve"> </w:t>
      </w:r>
      <w:r>
        <w:t>described</w:t>
      </w:r>
      <w:r>
        <w:rPr>
          <w:spacing w:val="-4"/>
        </w:rPr>
        <w:t xml:space="preserve"> </w:t>
      </w:r>
      <w:r>
        <w:t>in the “Coinsurance” subsection of this pricing consideration does not apply.</w:t>
      </w:r>
    </w:p>
    <w:p>
      <w:pPr>
        <w:pStyle w:val="BodyText"/>
        <w:spacing w:after="0"/>
        <w:jc w:val="both"/>
        <w:sectPr>
          <w:pgSz w:w="12240" w:h="15840"/>
          <w:pgMar w:top="960" w:right="0" w:bottom="940" w:left="1080" w:header="727" w:footer="747"/>
          <w:cols w:space="720"/>
        </w:sectPr>
      </w:pPr>
    </w:p>
    <w:p>
      <w:pPr>
        <w:pStyle w:val="BodyText"/>
        <w:spacing w:before="190"/>
        <w:ind w:left="0"/>
      </w:pPr>
    </w:p>
    <w:p>
      <w:pPr>
        <w:pStyle w:val="BodyText"/>
        <w:ind w:left="1224" w:right="1481"/>
      </w:pPr>
      <w:r>
        <w:t>The Medicare FFS cost-sharing pricing option is available for all inpatient facility services,</w:t>
      </w:r>
      <w:r>
        <w:rPr>
          <w:spacing w:val="-4"/>
        </w:rPr>
        <w:t xml:space="preserve"> </w:t>
      </w:r>
      <w:r>
        <w:t>and/or</w:t>
      </w:r>
      <w:r>
        <w:rPr>
          <w:spacing w:val="-4"/>
        </w:rPr>
        <w:t xml:space="preserve"> </w:t>
      </w:r>
      <w:r>
        <w:t>all</w:t>
      </w:r>
      <w:r>
        <w:rPr>
          <w:spacing w:val="-4"/>
        </w:rPr>
        <w:t xml:space="preserve"> </w:t>
      </w:r>
      <w:r>
        <w:t>SNF</w:t>
      </w:r>
      <w:r>
        <w:rPr>
          <w:spacing w:val="-4"/>
        </w:rPr>
        <w:t xml:space="preserve"> </w:t>
      </w:r>
      <w:r>
        <w:t>services,</w:t>
      </w:r>
      <w:r>
        <w:rPr>
          <w:spacing w:val="-4"/>
        </w:rPr>
        <w:t xml:space="preserve"> </w:t>
      </w:r>
      <w:r>
        <w:t>and/or</w:t>
      </w:r>
      <w:r>
        <w:rPr>
          <w:spacing w:val="-4"/>
        </w:rPr>
        <w:t xml:space="preserve"> </w:t>
      </w:r>
      <w:r>
        <w:t>all</w:t>
      </w:r>
      <w:r>
        <w:rPr>
          <w:spacing w:val="-4"/>
        </w:rPr>
        <w:t xml:space="preserve"> </w:t>
      </w:r>
      <w:r>
        <w:t>Medicare</w:t>
      </w:r>
      <w:r>
        <w:rPr>
          <w:spacing w:val="-4"/>
        </w:rPr>
        <w:t xml:space="preserve"> </w:t>
      </w:r>
      <w:r>
        <w:t>Part</w:t>
      </w:r>
      <w:r>
        <w:rPr>
          <w:spacing w:val="-4"/>
        </w:rPr>
        <w:t xml:space="preserve"> </w:t>
      </w:r>
      <w:r>
        <w:t>B</w:t>
      </w:r>
      <w:r>
        <w:rPr>
          <w:spacing w:val="-4"/>
        </w:rPr>
        <w:t xml:space="preserve"> </w:t>
      </w:r>
      <w:r>
        <w:t>services,</w:t>
      </w:r>
      <w:r>
        <w:rPr>
          <w:spacing w:val="-1"/>
        </w:rPr>
        <w:t xml:space="preserve"> </w:t>
      </w:r>
      <w:r>
        <w:t>as</w:t>
      </w:r>
      <w:r>
        <w:rPr>
          <w:spacing w:val="-5"/>
        </w:rPr>
        <w:t xml:space="preserve"> </w:t>
      </w:r>
      <w:r>
        <w:t xml:space="preserve">explained </w:t>
      </w:r>
      <w:r>
        <w:rPr>
          <w:spacing w:val="-2"/>
        </w:rPr>
        <w:t>below.</w:t>
      </w:r>
    </w:p>
    <w:p>
      <w:pPr>
        <w:pStyle w:val="ListParagraph"/>
        <w:numPr>
          <w:ilvl w:val="0"/>
          <w:numId w:val="48"/>
        </w:numPr>
        <w:tabs>
          <w:tab w:val="left" w:pos="1583"/>
        </w:tabs>
        <w:spacing w:before="241" w:after="0" w:line="240" w:lineRule="auto"/>
        <w:ind w:left="1583" w:right="0" w:hanging="359"/>
        <w:jc w:val="left"/>
        <w:rPr>
          <w:rFonts w:ascii="Arial" w:hAnsi="Arial"/>
          <w:b/>
          <w:sz w:val="21"/>
        </w:rPr>
      </w:pPr>
      <w:r>
        <w:rPr>
          <w:rFonts w:ascii="Arial" w:hAnsi="Arial"/>
          <w:b/>
          <w:sz w:val="21"/>
        </w:rPr>
        <w:t>Local</w:t>
      </w:r>
      <w:r>
        <w:rPr>
          <w:rFonts w:ascii="Arial" w:hAnsi="Arial"/>
          <w:b/>
          <w:spacing w:val="-6"/>
          <w:sz w:val="21"/>
        </w:rPr>
        <w:t xml:space="preserve"> </w:t>
      </w:r>
      <w:r>
        <w:rPr>
          <w:rFonts w:ascii="Arial" w:hAnsi="Arial"/>
          <w:b/>
          <w:sz w:val="21"/>
        </w:rPr>
        <w:t>and</w:t>
      </w:r>
      <w:r>
        <w:rPr>
          <w:rFonts w:ascii="Arial" w:hAnsi="Arial"/>
          <w:b/>
          <w:spacing w:val="-5"/>
          <w:sz w:val="21"/>
        </w:rPr>
        <w:t xml:space="preserve"> </w:t>
      </w:r>
      <w:r>
        <w:rPr>
          <w:rFonts w:ascii="Arial" w:hAnsi="Arial"/>
          <w:b/>
          <w:sz w:val="21"/>
        </w:rPr>
        <w:t>Regional</w:t>
      </w:r>
      <w:r>
        <w:rPr>
          <w:rFonts w:ascii="Arial" w:hAnsi="Arial"/>
          <w:b/>
          <w:spacing w:val="-5"/>
          <w:sz w:val="21"/>
        </w:rPr>
        <w:t xml:space="preserve"> PPO</w:t>
      </w:r>
    </w:p>
    <w:p>
      <w:pPr>
        <w:pStyle w:val="BodyText"/>
        <w:spacing w:before="120"/>
        <w:ind w:left="1584" w:right="1443"/>
      </w:pPr>
      <w:r>
        <w:t>For</w:t>
      </w:r>
      <w:r>
        <w:rPr>
          <w:spacing w:val="-3"/>
        </w:rPr>
        <w:t xml:space="preserve"> </w:t>
      </w:r>
      <w:r>
        <w:t>a</w:t>
      </w:r>
      <w:r>
        <w:rPr>
          <w:spacing w:val="-5"/>
        </w:rPr>
        <w:t xml:space="preserve"> </w:t>
      </w:r>
      <w:r>
        <w:t>local</w:t>
      </w:r>
      <w:r>
        <w:rPr>
          <w:spacing w:val="-3"/>
        </w:rPr>
        <w:t xml:space="preserve"> </w:t>
      </w:r>
      <w:r>
        <w:t>PPO</w:t>
      </w:r>
      <w:r>
        <w:rPr>
          <w:spacing w:val="-4"/>
        </w:rPr>
        <w:t xml:space="preserve"> </w:t>
      </w:r>
      <w:r>
        <w:t>or</w:t>
      </w:r>
      <w:r>
        <w:rPr>
          <w:spacing w:val="-5"/>
        </w:rPr>
        <w:t xml:space="preserve"> </w:t>
      </w:r>
      <w:r>
        <w:t>a</w:t>
      </w:r>
      <w:r>
        <w:rPr>
          <w:spacing w:val="-4"/>
        </w:rPr>
        <w:t xml:space="preserve"> </w:t>
      </w:r>
      <w:r>
        <w:t>regional</w:t>
      </w:r>
      <w:r>
        <w:rPr>
          <w:spacing w:val="-3"/>
        </w:rPr>
        <w:t xml:space="preserve"> </w:t>
      </w:r>
      <w:r>
        <w:t>PPO</w:t>
      </w:r>
      <w:r>
        <w:rPr>
          <w:spacing w:val="-4"/>
        </w:rPr>
        <w:t xml:space="preserve"> </w:t>
      </w:r>
      <w:r>
        <w:t>bid,</w:t>
      </w:r>
      <w:r>
        <w:rPr>
          <w:spacing w:val="-3"/>
        </w:rPr>
        <w:t xml:space="preserve"> </w:t>
      </w:r>
      <w:r>
        <w:t>the</w:t>
      </w:r>
      <w:r>
        <w:rPr>
          <w:spacing w:val="-3"/>
        </w:rPr>
        <w:t xml:space="preserve"> </w:t>
      </w:r>
      <w:r>
        <w:t>Medicare</w:t>
      </w:r>
      <w:r>
        <w:rPr>
          <w:spacing w:val="-3"/>
        </w:rPr>
        <w:t xml:space="preserve"> </w:t>
      </w:r>
      <w:r>
        <w:t>FFS</w:t>
      </w:r>
      <w:r>
        <w:rPr>
          <w:spacing w:val="-3"/>
        </w:rPr>
        <w:t xml:space="preserve"> </w:t>
      </w:r>
      <w:r>
        <w:t>cost</w:t>
      </w:r>
      <w:r>
        <w:rPr>
          <w:spacing w:val="-3"/>
        </w:rPr>
        <w:t xml:space="preserve"> </w:t>
      </w:r>
      <w:r>
        <w:t>sharing</w:t>
      </w:r>
      <w:r>
        <w:rPr>
          <w:spacing w:val="-3"/>
        </w:rPr>
        <w:t xml:space="preserve"> </w:t>
      </w:r>
      <w:r>
        <w:t>pricing</w:t>
      </w:r>
      <w:r>
        <w:rPr>
          <w:spacing w:val="-3"/>
        </w:rPr>
        <w:t xml:space="preserve"> </w:t>
      </w:r>
      <w:r>
        <w:t>option is available only for all Medicare Part A and Part B services.</w:t>
      </w:r>
    </w:p>
    <w:p>
      <w:pPr>
        <w:pStyle w:val="ListParagraph"/>
        <w:numPr>
          <w:ilvl w:val="1"/>
          <w:numId w:val="48"/>
        </w:numPr>
        <w:tabs>
          <w:tab w:val="left" w:pos="1944"/>
        </w:tabs>
        <w:spacing w:before="120" w:after="0" w:line="240" w:lineRule="auto"/>
        <w:ind w:left="1944" w:right="0" w:hanging="360"/>
        <w:jc w:val="left"/>
        <w:rPr>
          <w:sz w:val="24"/>
        </w:rPr>
      </w:pPr>
      <w:r>
        <w:rPr>
          <w:sz w:val="24"/>
        </w:rPr>
        <w:t>The</w:t>
      </w:r>
      <w:r>
        <w:rPr>
          <w:spacing w:val="-3"/>
          <w:sz w:val="24"/>
        </w:rPr>
        <w:t xml:space="preserve"> </w:t>
      </w:r>
      <w:r>
        <w:rPr>
          <w:sz w:val="24"/>
        </w:rPr>
        <w:t>deductible in the</w:t>
      </w:r>
      <w:r>
        <w:rPr>
          <w:spacing w:val="-2"/>
          <w:sz w:val="24"/>
        </w:rPr>
        <w:t xml:space="preserve"> </w:t>
      </w:r>
      <w:r>
        <w:rPr>
          <w:sz w:val="24"/>
        </w:rPr>
        <w:t>PBP</w:t>
      </w:r>
      <w:r>
        <w:rPr>
          <w:spacing w:val="1"/>
          <w:sz w:val="24"/>
        </w:rPr>
        <w:t xml:space="preserve"> </w:t>
      </w:r>
      <w:r>
        <w:rPr>
          <w:sz w:val="24"/>
        </w:rPr>
        <w:t>must</w:t>
      </w:r>
      <w:r>
        <w:rPr>
          <w:spacing w:val="1"/>
          <w:sz w:val="24"/>
        </w:rPr>
        <w:t xml:space="preserve"> </w:t>
      </w:r>
      <w:r>
        <w:rPr>
          <w:spacing w:val="-5"/>
          <w:sz w:val="24"/>
        </w:rPr>
        <w:t>be—</w:t>
      </w:r>
    </w:p>
    <w:p>
      <w:pPr>
        <w:pStyle w:val="ListParagraph"/>
        <w:numPr>
          <w:ilvl w:val="2"/>
          <w:numId w:val="48"/>
        </w:numPr>
        <w:tabs>
          <w:tab w:val="left" w:pos="2304"/>
        </w:tabs>
        <w:spacing w:before="0" w:after="0" w:line="240" w:lineRule="auto"/>
        <w:ind w:left="2304" w:right="1487" w:hanging="360"/>
        <w:jc w:val="left"/>
        <w:rPr>
          <w:sz w:val="24"/>
        </w:rPr>
      </w:pPr>
      <w:r>
        <w:rPr>
          <w:sz w:val="24"/>
        </w:rPr>
        <w:t>A</w:t>
      </w:r>
      <w:r>
        <w:rPr>
          <w:spacing w:val="-4"/>
          <w:sz w:val="24"/>
        </w:rPr>
        <w:t xml:space="preserve"> </w:t>
      </w:r>
      <w:r>
        <w:rPr>
          <w:sz w:val="24"/>
        </w:rPr>
        <w:t>“Medicare-Defined</w:t>
      </w:r>
      <w:r>
        <w:rPr>
          <w:spacing w:val="-3"/>
          <w:sz w:val="24"/>
        </w:rPr>
        <w:t xml:space="preserve"> </w:t>
      </w:r>
      <w:r>
        <w:rPr>
          <w:sz w:val="24"/>
        </w:rPr>
        <w:t>Part</w:t>
      </w:r>
      <w:r>
        <w:rPr>
          <w:spacing w:val="-3"/>
          <w:sz w:val="24"/>
        </w:rPr>
        <w:t xml:space="preserve"> </w:t>
      </w:r>
      <w:r>
        <w:rPr>
          <w:sz w:val="24"/>
        </w:rPr>
        <w:t>A</w:t>
      </w:r>
      <w:r>
        <w:rPr>
          <w:spacing w:val="-4"/>
          <w:sz w:val="24"/>
        </w:rPr>
        <w:t xml:space="preserve"> </w:t>
      </w:r>
      <w:r>
        <w:rPr>
          <w:sz w:val="24"/>
        </w:rPr>
        <w:t>and</w:t>
      </w:r>
      <w:r>
        <w:rPr>
          <w:spacing w:val="-3"/>
          <w:sz w:val="24"/>
        </w:rPr>
        <w:t xml:space="preserve"> </w:t>
      </w:r>
      <w:r>
        <w:rPr>
          <w:sz w:val="24"/>
        </w:rPr>
        <w:t>B</w:t>
      </w:r>
      <w:r>
        <w:rPr>
          <w:spacing w:val="-3"/>
          <w:sz w:val="24"/>
        </w:rPr>
        <w:t xml:space="preserve"> </w:t>
      </w:r>
      <w:r>
        <w:rPr>
          <w:sz w:val="24"/>
        </w:rPr>
        <w:t>Deductible</w:t>
      </w:r>
      <w:r>
        <w:rPr>
          <w:spacing w:val="-3"/>
          <w:sz w:val="24"/>
        </w:rPr>
        <w:t xml:space="preserve"> </w:t>
      </w:r>
      <w:r>
        <w:rPr>
          <w:sz w:val="24"/>
        </w:rPr>
        <w:t>amount</w:t>
      </w:r>
      <w:r>
        <w:rPr>
          <w:spacing w:val="-3"/>
          <w:sz w:val="24"/>
        </w:rPr>
        <w:t xml:space="preserve"> </w:t>
      </w:r>
      <w:r>
        <w:rPr>
          <w:sz w:val="24"/>
        </w:rPr>
        <w:t>combined</w:t>
      </w:r>
      <w:r>
        <w:rPr>
          <w:spacing w:val="-3"/>
          <w:sz w:val="24"/>
        </w:rPr>
        <w:t xml:space="preserve"> </w:t>
      </w:r>
      <w:r>
        <w:rPr>
          <w:sz w:val="24"/>
        </w:rPr>
        <w:t>as</w:t>
      </w:r>
      <w:r>
        <w:rPr>
          <w:spacing w:val="-4"/>
          <w:sz w:val="24"/>
        </w:rPr>
        <w:t xml:space="preserve"> </w:t>
      </w:r>
      <w:r>
        <w:rPr>
          <w:sz w:val="24"/>
        </w:rPr>
        <w:t>a</w:t>
      </w:r>
      <w:r>
        <w:rPr>
          <w:spacing w:val="-4"/>
          <w:sz w:val="24"/>
        </w:rPr>
        <w:t xml:space="preserve"> </w:t>
      </w:r>
      <w:r>
        <w:rPr>
          <w:sz w:val="24"/>
        </w:rPr>
        <w:t xml:space="preserve">single </w:t>
      </w:r>
      <w:r>
        <w:rPr>
          <w:spacing w:val="-2"/>
          <w:sz w:val="24"/>
        </w:rPr>
        <w:t>deductible.”</w:t>
      </w:r>
    </w:p>
    <w:p>
      <w:pPr>
        <w:pStyle w:val="ListParagraph"/>
        <w:numPr>
          <w:ilvl w:val="2"/>
          <w:numId w:val="48"/>
        </w:numPr>
        <w:tabs>
          <w:tab w:val="left" w:pos="2304"/>
        </w:tabs>
        <w:spacing w:before="0" w:after="0" w:line="240" w:lineRule="auto"/>
        <w:ind w:left="2304" w:right="0" w:hanging="360"/>
        <w:jc w:val="left"/>
        <w:rPr>
          <w:sz w:val="24"/>
        </w:rPr>
      </w:pPr>
      <w:r>
        <w:rPr>
          <w:sz w:val="24"/>
        </w:rPr>
        <w:t>“Differentially</w:t>
      </w:r>
      <w:r>
        <w:rPr>
          <w:spacing w:val="-4"/>
          <w:sz w:val="24"/>
        </w:rPr>
        <w:t xml:space="preserve"> </w:t>
      </w:r>
      <w:r>
        <w:rPr>
          <w:sz w:val="24"/>
        </w:rPr>
        <w:t>applied</w:t>
      </w:r>
      <w:r>
        <w:rPr>
          <w:spacing w:val="-1"/>
          <w:sz w:val="24"/>
        </w:rPr>
        <w:t xml:space="preserve"> </w:t>
      </w:r>
      <w:r>
        <w:rPr>
          <w:sz w:val="24"/>
        </w:rPr>
        <w:t>to</w:t>
      </w:r>
      <w:r>
        <w:rPr>
          <w:spacing w:val="3"/>
          <w:sz w:val="24"/>
        </w:rPr>
        <w:t xml:space="preserve"> </w:t>
      </w:r>
      <w:r>
        <w:rPr>
          <w:sz w:val="24"/>
        </w:rPr>
        <w:t>Part</w:t>
      </w:r>
      <w:r>
        <w:rPr>
          <w:spacing w:val="-2"/>
          <w:sz w:val="24"/>
        </w:rPr>
        <w:t xml:space="preserve"> </w:t>
      </w:r>
      <w:r>
        <w:rPr>
          <w:sz w:val="24"/>
        </w:rPr>
        <w:t>A</w:t>
      </w:r>
      <w:r>
        <w:rPr>
          <w:spacing w:val="-2"/>
          <w:sz w:val="24"/>
        </w:rPr>
        <w:t xml:space="preserve"> </w:t>
      </w:r>
      <w:r>
        <w:rPr>
          <w:sz w:val="24"/>
        </w:rPr>
        <w:t>and</w:t>
      </w:r>
      <w:r>
        <w:rPr>
          <w:spacing w:val="-1"/>
          <w:sz w:val="24"/>
        </w:rPr>
        <w:t xml:space="preserve"> </w:t>
      </w:r>
      <w:r>
        <w:rPr>
          <w:sz w:val="24"/>
        </w:rPr>
        <w:t>Part</w:t>
      </w:r>
      <w:r>
        <w:rPr>
          <w:spacing w:val="-2"/>
          <w:sz w:val="24"/>
        </w:rPr>
        <w:t xml:space="preserve"> </w:t>
      </w:r>
      <w:r>
        <w:rPr>
          <w:sz w:val="24"/>
        </w:rPr>
        <w:t>B</w:t>
      </w:r>
      <w:r>
        <w:rPr>
          <w:spacing w:val="-1"/>
          <w:sz w:val="24"/>
        </w:rPr>
        <w:t xml:space="preserve"> </w:t>
      </w:r>
      <w:r>
        <w:rPr>
          <w:sz w:val="24"/>
        </w:rPr>
        <w:t>Medicare</w:t>
      </w:r>
      <w:r>
        <w:rPr>
          <w:spacing w:val="-3"/>
          <w:sz w:val="24"/>
        </w:rPr>
        <w:t xml:space="preserve"> </w:t>
      </w:r>
      <w:r>
        <w:rPr>
          <w:sz w:val="24"/>
        </w:rPr>
        <w:t>services,</w:t>
      </w:r>
      <w:r>
        <w:rPr>
          <w:spacing w:val="-1"/>
          <w:sz w:val="24"/>
        </w:rPr>
        <w:t xml:space="preserve"> </w:t>
      </w:r>
      <w:r>
        <w:rPr>
          <w:spacing w:val="-2"/>
          <w:sz w:val="24"/>
        </w:rPr>
        <w:t>reflecting</w:t>
      </w:r>
    </w:p>
    <w:p>
      <w:pPr>
        <w:pStyle w:val="BodyText"/>
        <w:ind w:left="2304"/>
      </w:pPr>
      <w:r>
        <w:t>Original</w:t>
      </w:r>
      <w:r>
        <w:rPr>
          <w:spacing w:val="-2"/>
        </w:rPr>
        <w:t xml:space="preserve"> </w:t>
      </w:r>
      <w:r>
        <w:t>Medicare</w:t>
      </w:r>
      <w:r>
        <w:rPr>
          <w:spacing w:val="-2"/>
        </w:rPr>
        <w:t xml:space="preserve"> </w:t>
      </w:r>
      <w:r>
        <w:t>payment</w:t>
      </w:r>
      <w:r>
        <w:rPr>
          <w:spacing w:val="-1"/>
        </w:rPr>
        <w:t xml:space="preserve"> </w:t>
      </w:r>
      <w:r>
        <w:rPr>
          <w:spacing w:val="-2"/>
        </w:rPr>
        <w:t>structure.”</w:t>
      </w:r>
    </w:p>
    <w:p>
      <w:pPr>
        <w:pStyle w:val="ListParagraph"/>
        <w:numPr>
          <w:ilvl w:val="1"/>
          <w:numId w:val="48"/>
        </w:numPr>
        <w:tabs>
          <w:tab w:val="left" w:pos="1944"/>
        </w:tabs>
        <w:spacing w:before="1" w:after="0" w:line="240" w:lineRule="auto"/>
        <w:ind w:left="1944" w:right="1542" w:hanging="360"/>
        <w:jc w:val="left"/>
        <w:rPr>
          <w:sz w:val="24"/>
        </w:rPr>
      </w:pPr>
      <w:r>
        <w:rPr>
          <w:sz w:val="24"/>
        </w:rPr>
        <w:t>All other cost sharing in the PBP for Medicare Part A and Part B services must align with Medicare FFS cost sharing, subject to the applicable dollar limit specified in Part C benefits information provided by CMS. Note that the “max plan visit amount” for PBP category 4a, Emergency Services and 4b, Urgently Needed</w:t>
      </w:r>
      <w:r>
        <w:rPr>
          <w:spacing w:val="-4"/>
          <w:sz w:val="24"/>
        </w:rPr>
        <w:t xml:space="preserve"> </w:t>
      </w:r>
      <w:r>
        <w:rPr>
          <w:sz w:val="24"/>
        </w:rPr>
        <w:t>Services,</w:t>
      </w:r>
      <w:r>
        <w:rPr>
          <w:spacing w:val="-4"/>
          <w:sz w:val="24"/>
        </w:rPr>
        <w:t xml:space="preserve"> </w:t>
      </w:r>
      <w:r>
        <w:rPr>
          <w:sz w:val="24"/>
        </w:rPr>
        <w:t>must</w:t>
      </w:r>
      <w:r>
        <w:rPr>
          <w:spacing w:val="-3"/>
          <w:sz w:val="24"/>
        </w:rPr>
        <w:t xml:space="preserve"> </w:t>
      </w:r>
      <w:r>
        <w:rPr>
          <w:sz w:val="24"/>
        </w:rPr>
        <w:t>be</w:t>
      </w:r>
      <w:r>
        <w:rPr>
          <w:spacing w:val="-5"/>
          <w:sz w:val="24"/>
        </w:rPr>
        <w:t xml:space="preserve"> </w:t>
      </w:r>
      <w:r>
        <w:rPr>
          <w:sz w:val="24"/>
        </w:rPr>
        <w:t>the</w:t>
      </w:r>
      <w:r>
        <w:rPr>
          <w:spacing w:val="-4"/>
          <w:sz w:val="24"/>
        </w:rPr>
        <w:t xml:space="preserve"> </w:t>
      </w:r>
      <w:r>
        <w:rPr>
          <w:sz w:val="24"/>
        </w:rPr>
        <w:t>applicable</w:t>
      </w:r>
      <w:r>
        <w:rPr>
          <w:spacing w:val="-4"/>
          <w:sz w:val="24"/>
        </w:rPr>
        <w:t xml:space="preserve"> </w:t>
      </w:r>
      <w:r>
        <w:rPr>
          <w:sz w:val="24"/>
        </w:rPr>
        <w:t>dollar</w:t>
      </w:r>
      <w:r>
        <w:rPr>
          <w:spacing w:val="-4"/>
          <w:sz w:val="24"/>
        </w:rPr>
        <w:t xml:space="preserve"> </w:t>
      </w:r>
      <w:r>
        <w:rPr>
          <w:sz w:val="24"/>
        </w:rPr>
        <w:t>limit</w:t>
      </w:r>
      <w:r>
        <w:rPr>
          <w:spacing w:val="-2"/>
          <w:sz w:val="24"/>
        </w:rPr>
        <w:t xml:space="preserve"> </w:t>
      </w:r>
      <w:r>
        <w:rPr>
          <w:sz w:val="24"/>
        </w:rPr>
        <w:t>specified</w:t>
      </w:r>
      <w:r>
        <w:rPr>
          <w:spacing w:val="-4"/>
          <w:sz w:val="24"/>
        </w:rPr>
        <w:t xml:space="preserve"> </w:t>
      </w:r>
      <w:r>
        <w:rPr>
          <w:sz w:val="24"/>
        </w:rPr>
        <w:t>in</w:t>
      </w:r>
      <w:r>
        <w:rPr>
          <w:spacing w:val="-4"/>
          <w:sz w:val="24"/>
        </w:rPr>
        <w:t xml:space="preserve"> </w:t>
      </w:r>
      <w:r>
        <w:rPr>
          <w:sz w:val="24"/>
        </w:rPr>
        <w:t>Part</w:t>
      </w:r>
      <w:r>
        <w:rPr>
          <w:spacing w:val="-4"/>
          <w:sz w:val="24"/>
        </w:rPr>
        <w:t xml:space="preserve"> </w:t>
      </w:r>
      <w:r>
        <w:rPr>
          <w:sz w:val="24"/>
        </w:rPr>
        <w:t>C</w:t>
      </w:r>
      <w:r>
        <w:rPr>
          <w:spacing w:val="-4"/>
          <w:sz w:val="24"/>
        </w:rPr>
        <w:t xml:space="preserve"> </w:t>
      </w:r>
      <w:r>
        <w:rPr>
          <w:sz w:val="24"/>
        </w:rPr>
        <w:t>benefits information provided by CMS.</w:t>
      </w:r>
    </w:p>
    <w:p>
      <w:pPr>
        <w:pStyle w:val="ListParagraph"/>
        <w:numPr>
          <w:ilvl w:val="0"/>
          <w:numId w:val="48"/>
        </w:numPr>
        <w:tabs>
          <w:tab w:val="left" w:pos="1584"/>
        </w:tabs>
        <w:spacing w:before="238" w:after="0" w:line="240" w:lineRule="auto"/>
        <w:ind w:left="1584" w:right="1905" w:hanging="360"/>
        <w:jc w:val="left"/>
        <w:rPr>
          <w:rFonts w:ascii="Arial" w:hAnsi="Arial"/>
          <w:b/>
          <w:sz w:val="21"/>
        </w:rPr>
      </w:pPr>
      <w:r>
        <w:rPr>
          <w:rFonts w:ascii="Arial" w:hAnsi="Arial"/>
          <w:b/>
          <w:sz w:val="21"/>
        </w:rPr>
        <w:t>Health</w:t>
      </w:r>
      <w:r>
        <w:rPr>
          <w:rFonts w:ascii="Arial" w:hAnsi="Arial"/>
          <w:b/>
          <w:spacing w:val="-4"/>
          <w:sz w:val="21"/>
        </w:rPr>
        <w:t xml:space="preserve"> </w:t>
      </w:r>
      <w:r>
        <w:rPr>
          <w:rFonts w:ascii="Arial" w:hAnsi="Arial"/>
          <w:b/>
          <w:sz w:val="21"/>
        </w:rPr>
        <w:t>Maintenance</w:t>
      </w:r>
      <w:r>
        <w:rPr>
          <w:rFonts w:ascii="Arial" w:hAnsi="Arial"/>
          <w:b/>
          <w:spacing w:val="-4"/>
          <w:sz w:val="21"/>
        </w:rPr>
        <w:t xml:space="preserve"> </w:t>
      </w:r>
      <w:r>
        <w:rPr>
          <w:rFonts w:ascii="Arial" w:hAnsi="Arial"/>
          <w:b/>
          <w:sz w:val="21"/>
        </w:rPr>
        <w:t>Organization</w:t>
      </w:r>
      <w:r>
        <w:rPr>
          <w:rFonts w:ascii="Arial" w:hAnsi="Arial"/>
          <w:b/>
          <w:spacing w:val="-4"/>
          <w:sz w:val="21"/>
        </w:rPr>
        <w:t xml:space="preserve"> </w:t>
      </w:r>
      <w:r>
        <w:rPr>
          <w:rFonts w:ascii="Arial" w:hAnsi="Arial"/>
          <w:b/>
          <w:sz w:val="21"/>
        </w:rPr>
        <w:t>(HMO),</w:t>
      </w:r>
      <w:r>
        <w:rPr>
          <w:rFonts w:ascii="Arial" w:hAnsi="Arial"/>
          <w:b/>
          <w:spacing w:val="-5"/>
          <w:sz w:val="21"/>
        </w:rPr>
        <w:t xml:space="preserve"> </w:t>
      </w:r>
      <w:r>
        <w:rPr>
          <w:rFonts w:ascii="Arial" w:hAnsi="Arial"/>
          <w:b/>
          <w:sz w:val="21"/>
        </w:rPr>
        <w:t>HMO</w:t>
      </w:r>
      <w:r>
        <w:rPr>
          <w:rFonts w:ascii="Arial" w:hAnsi="Arial"/>
          <w:b/>
          <w:spacing w:val="-8"/>
          <w:sz w:val="21"/>
        </w:rPr>
        <w:t xml:space="preserve"> </w:t>
      </w:r>
      <w:r>
        <w:rPr>
          <w:rFonts w:ascii="Arial" w:hAnsi="Arial"/>
          <w:b/>
          <w:sz w:val="21"/>
        </w:rPr>
        <w:t>with</w:t>
      </w:r>
      <w:r>
        <w:rPr>
          <w:rFonts w:ascii="Arial" w:hAnsi="Arial"/>
          <w:b/>
          <w:spacing w:val="-4"/>
          <w:sz w:val="21"/>
        </w:rPr>
        <w:t xml:space="preserve"> </w:t>
      </w:r>
      <w:r>
        <w:rPr>
          <w:rFonts w:ascii="Arial" w:hAnsi="Arial"/>
          <w:b/>
          <w:sz w:val="21"/>
        </w:rPr>
        <w:t>a</w:t>
      </w:r>
      <w:r>
        <w:rPr>
          <w:rFonts w:ascii="Arial" w:hAnsi="Arial"/>
          <w:b/>
          <w:spacing w:val="-5"/>
          <w:sz w:val="21"/>
        </w:rPr>
        <w:t xml:space="preserve"> </w:t>
      </w:r>
      <w:r>
        <w:rPr>
          <w:rFonts w:ascii="Arial" w:hAnsi="Arial"/>
          <w:b/>
          <w:sz w:val="21"/>
        </w:rPr>
        <w:t>Point-of-Service</w:t>
      </w:r>
      <w:r>
        <w:rPr>
          <w:rFonts w:ascii="Arial" w:hAnsi="Arial"/>
          <w:b/>
          <w:spacing w:val="-4"/>
          <w:sz w:val="21"/>
        </w:rPr>
        <w:t xml:space="preserve"> </w:t>
      </w:r>
      <w:r>
        <w:rPr>
          <w:rFonts w:ascii="Arial" w:hAnsi="Arial"/>
          <w:b/>
          <w:sz w:val="21"/>
        </w:rPr>
        <w:t>Option (HMOPOS), and Non-Network PFFS</w:t>
      </w:r>
    </w:p>
    <w:p>
      <w:pPr>
        <w:pStyle w:val="BodyText"/>
        <w:spacing w:before="121"/>
        <w:ind w:left="1584" w:right="1443"/>
      </w:pPr>
      <w:r>
        <w:t>For an HMO, an HMOPOS, or a non-network PFFS bid, the Medicare FFS cost sharing pricing option is available only for all inpatient facility services, and/or all SNF</w:t>
      </w:r>
      <w:r>
        <w:rPr>
          <w:spacing w:val="-5"/>
        </w:rPr>
        <w:t xml:space="preserve"> </w:t>
      </w:r>
      <w:r>
        <w:t>services,</w:t>
      </w:r>
      <w:r>
        <w:rPr>
          <w:spacing w:val="-3"/>
        </w:rPr>
        <w:t xml:space="preserve"> </w:t>
      </w:r>
      <w:r>
        <w:t>and/or</w:t>
      </w:r>
      <w:r>
        <w:rPr>
          <w:spacing w:val="-3"/>
        </w:rPr>
        <w:t xml:space="preserve"> </w:t>
      </w:r>
      <w:r>
        <w:t>all</w:t>
      </w:r>
      <w:r>
        <w:rPr>
          <w:spacing w:val="-1"/>
        </w:rPr>
        <w:t xml:space="preserve"> </w:t>
      </w:r>
      <w:r>
        <w:t>Medicare</w:t>
      </w:r>
      <w:r>
        <w:rPr>
          <w:spacing w:val="-3"/>
        </w:rPr>
        <w:t xml:space="preserve"> </w:t>
      </w:r>
      <w:r>
        <w:t>Part</w:t>
      </w:r>
      <w:r>
        <w:rPr>
          <w:spacing w:val="-3"/>
        </w:rPr>
        <w:t xml:space="preserve"> </w:t>
      </w:r>
      <w:r>
        <w:t>B</w:t>
      </w:r>
      <w:r>
        <w:rPr>
          <w:spacing w:val="-3"/>
        </w:rPr>
        <w:t xml:space="preserve"> </w:t>
      </w:r>
      <w:r>
        <w:t>services.</w:t>
      </w:r>
      <w:r>
        <w:rPr>
          <w:spacing w:val="-3"/>
        </w:rPr>
        <w:t xml:space="preserve"> </w:t>
      </w:r>
      <w:r>
        <w:t>It</w:t>
      </w:r>
      <w:r>
        <w:rPr>
          <w:spacing w:val="-3"/>
        </w:rPr>
        <w:t xml:space="preserve"> </w:t>
      </w:r>
      <w:r>
        <w:t>is</w:t>
      </w:r>
      <w:r>
        <w:rPr>
          <w:spacing w:val="-4"/>
        </w:rPr>
        <w:t xml:space="preserve"> </w:t>
      </w:r>
      <w:r>
        <w:t>not</w:t>
      </w:r>
      <w:r>
        <w:rPr>
          <w:spacing w:val="-3"/>
        </w:rPr>
        <w:t xml:space="preserve"> </w:t>
      </w:r>
      <w:r>
        <w:t>available</w:t>
      </w:r>
      <w:r>
        <w:rPr>
          <w:spacing w:val="-4"/>
        </w:rPr>
        <w:t xml:space="preserve"> </w:t>
      </w:r>
      <w:r>
        <w:t>for</w:t>
      </w:r>
      <w:r>
        <w:rPr>
          <w:spacing w:val="-5"/>
        </w:rPr>
        <w:t xml:space="preserve"> </w:t>
      </w:r>
      <w:r>
        <w:t>full</w:t>
      </w:r>
      <w:r>
        <w:rPr>
          <w:spacing w:val="-3"/>
        </w:rPr>
        <w:t xml:space="preserve"> </w:t>
      </w:r>
      <w:r>
        <w:t>network PFFS or partial network PFFS bids.</w:t>
      </w:r>
    </w:p>
    <w:p>
      <w:pPr>
        <w:pStyle w:val="ListParagraph"/>
        <w:numPr>
          <w:ilvl w:val="1"/>
          <w:numId w:val="48"/>
        </w:numPr>
        <w:tabs>
          <w:tab w:val="left" w:pos="1944"/>
        </w:tabs>
        <w:spacing w:before="121" w:after="0" w:line="240" w:lineRule="auto"/>
        <w:ind w:left="1944" w:right="1687" w:hanging="360"/>
        <w:jc w:val="both"/>
        <w:rPr>
          <w:sz w:val="24"/>
        </w:rPr>
      </w:pPr>
      <w:r>
        <w:rPr>
          <w:sz w:val="24"/>
        </w:rPr>
        <w:t>If</w:t>
      </w:r>
      <w:r>
        <w:rPr>
          <w:spacing w:val="-3"/>
          <w:sz w:val="24"/>
        </w:rPr>
        <w:t xml:space="preserve"> </w:t>
      </w:r>
      <w:r>
        <w:rPr>
          <w:sz w:val="24"/>
        </w:rPr>
        <w:t>this</w:t>
      </w:r>
      <w:r>
        <w:rPr>
          <w:spacing w:val="-4"/>
          <w:sz w:val="24"/>
        </w:rPr>
        <w:t xml:space="preserve"> </w:t>
      </w:r>
      <w:r>
        <w:rPr>
          <w:sz w:val="24"/>
        </w:rPr>
        <w:t>option</w:t>
      </w:r>
      <w:r>
        <w:rPr>
          <w:spacing w:val="-3"/>
          <w:sz w:val="24"/>
        </w:rPr>
        <w:t xml:space="preserve"> </w:t>
      </w:r>
      <w:r>
        <w:rPr>
          <w:sz w:val="24"/>
        </w:rPr>
        <w:t>is</w:t>
      </w:r>
      <w:r>
        <w:rPr>
          <w:spacing w:val="-4"/>
          <w:sz w:val="24"/>
        </w:rPr>
        <w:t xml:space="preserve"> </w:t>
      </w:r>
      <w:r>
        <w:rPr>
          <w:sz w:val="24"/>
        </w:rPr>
        <w:t>used</w:t>
      </w:r>
      <w:r>
        <w:rPr>
          <w:spacing w:val="-3"/>
          <w:sz w:val="24"/>
        </w:rPr>
        <w:t xml:space="preserve"> </w:t>
      </w:r>
      <w:r>
        <w:rPr>
          <w:sz w:val="24"/>
        </w:rPr>
        <w:t>for</w:t>
      </w:r>
      <w:r>
        <w:rPr>
          <w:spacing w:val="-3"/>
          <w:sz w:val="24"/>
        </w:rPr>
        <w:t xml:space="preserve"> </w:t>
      </w:r>
      <w:r>
        <w:rPr>
          <w:sz w:val="24"/>
        </w:rPr>
        <w:t>all</w:t>
      </w:r>
      <w:r>
        <w:rPr>
          <w:spacing w:val="-3"/>
          <w:sz w:val="24"/>
        </w:rPr>
        <w:t xml:space="preserve"> </w:t>
      </w:r>
      <w:r>
        <w:rPr>
          <w:sz w:val="24"/>
        </w:rPr>
        <w:t>inpatient</w:t>
      </w:r>
      <w:r>
        <w:rPr>
          <w:spacing w:val="-3"/>
          <w:sz w:val="24"/>
        </w:rPr>
        <w:t xml:space="preserve"> </w:t>
      </w:r>
      <w:r>
        <w:rPr>
          <w:sz w:val="24"/>
        </w:rPr>
        <w:t>facility</w:t>
      </w:r>
      <w:r>
        <w:rPr>
          <w:spacing w:val="-3"/>
          <w:sz w:val="24"/>
        </w:rPr>
        <w:t xml:space="preserve"> </w:t>
      </w:r>
      <w:r>
        <w:rPr>
          <w:sz w:val="24"/>
        </w:rPr>
        <w:t>services,</w:t>
      </w:r>
      <w:r>
        <w:rPr>
          <w:spacing w:val="-2"/>
          <w:sz w:val="24"/>
        </w:rPr>
        <w:t xml:space="preserve"> </w:t>
      </w:r>
      <w:r>
        <w:rPr>
          <w:sz w:val="24"/>
        </w:rPr>
        <w:t>then</w:t>
      </w:r>
      <w:r>
        <w:rPr>
          <w:spacing w:val="-4"/>
          <w:sz w:val="24"/>
        </w:rPr>
        <w:t xml:space="preserve"> </w:t>
      </w:r>
      <w:r>
        <w:rPr>
          <w:sz w:val="24"/>
        </w:rPr>
        <w:t>the</w:t>
      </w:r>
      <w:r>
        <w:rPr>
          <w:spacing w:val="-3"/>
          <w:sz w:val="24"/>
        </w:rPr>
        <w:t xml:space="preserve"> </w:t>
      </w:r>
      <w:r>
        <w:rPr>
          <w:sz w:val="24"/>
        </w:rPr>
        <w:t>service-specific cost</w:t>
      </w:r>
      <w:r>
        <w:rPr>
          <w:spacing w:val="-2"/>
          <w:sz w:val="24"/>
        </w:rPr>
        <w:t xml:space="preserve"> </w:t>
      </w:r>
      <w:r>
        <w:rPr>
          <w:sz w:val="24"/>
        </w:rPr>
        <w:t>sharing</w:t>
      </w:r>
      <w:r>
        <w:rPr>
          <w:spacing w:val="-2"/>
          <w:sz w:val="24"/>
        </w:rPr>
        <w:t xml:space="preserve"> </w:t>
      </w:r>
      <w:r>
        <w:rPr>
          <w:sz w:val="24"/>
        </w:rPr>
        <w:t>for all</w:t>
      </w:r>
      <w:r>
        <w:rPr>
          <w:spacing w:val="-2"/>
          <w:sz w:val="24"/>
        </w:rPr>
        <w:t xml:space="preserve"> </w:t>
      </w:r>
      <w:r>
        <w:rPr>
          <w:sz w:val="24"/>
        </w:rPr>
        <w:t>inpatient</w:t>
      </w:r>
      <w:r>
        <w:rPr>
          <w:spacing w:val="-2"/>
          <w:sz w:val="24"/>
        </w:rPr>
        <w:t xml:space="preserve"> </w:t>
      </w:r>
      <w:r>
        <w:rPr>
          <w:sz w:val="24"/>
        </w:rPr>
        <w:t>facility</w:t>
      </w:r>
      <w:r>
        <w:rPr>
          <w:spacing w:val="-1"/>
          <w:sz w:val="24"/>
        </w:rPr>
        <w:t xml:space="preserve"> </w:t>
      </w:r>
      <w:r>
        <w:rPr>
          <w:sz w:val="24"/>
        </w:rPr>
        <w:t>services</w:t>
      </w:r>
      <w:r>
        <w:rPr>
          <w:spacing w:val="-3"/>
          <w:sz w:val="24"/>
        </w:rPr>
        <w:t xml:space="preserve"> </w:t>
      </w:r>
      <w:r>
        <w:rPr>
          <w:sz w:val="24"/>
        </w:rPr>
        <w:t>must</w:t>
      </w:r>
      <w:r>
        <w:rPr>
          <w:spacing w:val="-2"/>
          <w:sz w:val="24"/>
        </w:rPr>
        <w:t xml:space="preserve"> </w:t>
      </w:r>
      <w:r>
        <w:rPr>
          <w:sz w:val="24"/>
        </w:rPr>
        <w:t>be</w:t>
      </w:r>
      <w:r>
        <w:rPr>
          <w:spacing w:val="-2"/>
          <w:sz w:val="24"/>
        </w:rPr>
        <w:t xml:space="preserve"> </w:t>
      </w:r>
      <w:r>
        <w:rPr>
          <w:sz w:val="24"/>
        </w:rPr>
        <w:t>“Medicare-Defined</w:t>
      </w:r>
      <w:r>
        <w:rPr>
          <w:spacing w:val="-2"/>
          <w:sz w:val="24"/>
        </w:rPr>
        <w:t xml:space="preserve"> </w:t>
      </w:r>
      <w:r>
        <w:rPr>
          <w:sz w:val="24"/>
        </w:rPr>
        <w:t xml:space="preserve">Cost </w:t>
      </w:r>
      <w:r>
        <w:rPr>
          <w:spacing w:val="-2"/>
          <w:sz w:val="24"/>
        </w:rPr>
        <w:t>Shares.”</w:t>
      </w:r>
    </w:p>
    <w:p>
      <w:pPr>
        <w:pStyle w:val="ListParagraph"/>
        <w:numPr>
          <w:ilvl w:val="1"/>
          <w:numId w:val="48"/>
        </w:numPr>
        <w:tabs>
          <w:tab w:val="left" w:pos="1944"/>
        </w:tabs>
        <w:spacing w:before="0" w:after="0" w:line="240" w:lineRule="auto"/>
        <w:ind w:left="1944" w:right="1616" w:hanging="360"/>
        <w:jc w:val="both"/>
        <w:rPr>
          <w:sz w:val="24"/>
        </w:rPr>
      </w:pPr>
      <w:r>
        <w:rPr>
          <w:sz w:val="24"/>
        </w:rPr>
        <w:t>If</w:t>
      </w:r>
      <w:r>
        <w:rPr>
          <w:spacing w:val="-3"/>
          <w:sz w:val="24"/>
        </w:rPr>
        <w:t xml:space="preserve"> </w:t>
      </w:r>
      <w:r>
        <w:rPr>
          <w:sz w:val="24"/>
        </w:rPr>
        <w:t>this</w:t>
      </w:r>
      <w:r>
        <w:rPr>
          <w:spacing w:val="-4"/>
          <w:sz w:val="24"/>
        </w:rPr>
        <w:t xml:space="preserve"> </w:t>
      </w:r>
      <w:r>
        <w:rPr>
          <w:sz w:val="24"/>
        </w:rPr>
        <w:t>option</w:t>
      </w:r>
      <w:r>
        <w:rPr>
          <w:spacing w:val="-3"/>
          <w:sz w:val="24"/>
        </w:rPr>
        <w:t xml:space="preserve"> </w:t>
      </w:r>
      <w:r>
        <w:rPr>
          <w:sz w:val="24"/>
        </w:rPr>
        <w:t>is</w:t>
      </w:r>
      <w:r>
        <w:rPr>
          <w:spacing w:val="-4"/>
          <w:sz w:val="24"/>
        </w:rPr>
        <w:t xml:space="preserve"> </w:t>
      </w:r>
      <w:r>
        <w:rPr>
          <w:sz w:val="24"/>
        </w:rPr>
        <w:t>used</w:t>
      </w:r>
      <w:r>
        <w:rPr>
          <w:spacing w:val="-3"/>
          <w:sz w:val="24"/>
        </w:rPr>
        <w:t xml:space="preserve"> </w:t>
      </w:r>
      <w:r>
        <w:rPr>
          <w:sz w:val="24"/>
        </w:rPr>
        <w:t>for</w:t>
      </w:r>
      <w:r>
        <w:rPr>
          <w:spacing w:val="-3"/>
          <w:sz w:val="24"/>
        </w:rPr>
        <w:t xml:space="preserve"> </w:t>
      </w:r>
      <w:r>
        <w:rPr>
          <w:sz w:val="24"/>
        </w:rPr>
        <w:t>all</w:t>
      </w:r>
      <w:r>
        <w:rPr>
          <w:spacing w:val="-3"/>
          <w:sz w:val="24"/>
        </w:rPr>
        <w:t xml:space="preserve"> </w:t>
      </w:r>
      <w:r>
        <w:rPr>
          <w:sz w:val="24"/>
        </w:rPr>
        <w:t>SNF</w:t>
      </w:r>
      <w:r>
        <w:rPr>
          <w:spacing w:val="-5"/>
          <w:sz w:val="24"/>
        </w:rPr>
        <w:t xml:space="preserve"> </w:t>
      </w:r>
      <w:r>
        <w:rPr>
          <w:sz w:val="24"/>
        </w:rPr>
        <w:t>services,</w:t>
      </w:r>
      <w:r>
        <w:rPr>
          <w:spacing w:val="-2"/>
          <w:sz w:val="24"/>
        </w:rPr>
        <w:t xml:space="preserve"> </w:t>
      </w:r>
      <w:r>
        <w:rPr>
          <w:sz w:val="24"/>
        </w:rPr>
        <w:t>then</w:t>
      </w:r>
      <w:r>
        <w:rPr>
          <w:spacing w:val="-4"/>
          <w:sz w:val="24"/>
        </w:rPr>
        <w:t xml:space="preserve"> </w:t>
      </w:r>
      <w:r>
        <w:rPr>
          <w:sz w:val="24"/>
        </w:rPr>
        <w:t>the</w:t>
      </w:r>
      <w:r>
        <w:rPr>
          <w:spacing w:val="-3"/>
          <w:sz w:val="24"/>
        </w:rPr>
        <w:t xml:space="preserve"> </w:t>
      </w:r>
      <w:r>
        <w:rPr>
          <w:sz w:val="24"/>
        </w:rPr>
        <w:t>service-specific</w:t>
      </w:r>
      <w:r>
        <w:rPr>
          <w:spacing w:val="-4"/>
          <w:sz w:val="24"/>
        </w:rPr>
        <w:t xml:space="preserve"> </w:t>
      </w:r>
      <w:r>
        <w:rPr>
          <w:sz w:val="24"/>
        </w:rPr>
        <w:t>cost</w:t>
      </w:r>
      <w:r>
        <w:rPr>
          <w:spacing w:val="-3"/>
          <w:sz w:val="24"/>
        </w:rPr>
        <w:t xml:space="preserve"> </w:t>
      </w:r>
      <w:r>
        <w:rPr>
          <w:sz w:val="24"/>
        </w:rPr>
        <w:t>sharing for all SNF services must be “Medicare-Defined Cost Shares.”</w:t>
      </w:r>
    </w:p>
    <w:p>
      <w:pPr>
        <w:pStyle w:val="ListParagraph"/>
        <w:numPr>
          <w:ilvl w:val="1"/>
          <w:numId w:val="48"/>
        </w:numPr>
        <w:tabs>
          <w:tab w:val="left" w:pos="1943"/>
        </w:tabs>
        <w:spacing w:before="0" w:after="0" w:line="240" w:lineRule="auto"/>
        <w:ind w:left="1943" w:right="0" w:hanging="359"/>
        <w:jc w:val="both"/>
        <w:rPr>
          <w:sz w:val="24"/>
        </w:rPr>
      </w:pPr>
      <w:r>
        <w:rPr>
          <w:sz w:val="24"/>
        </w:rPr>
        <w:t>If</w:t>
      </w:r>
      <w:r>
        <w:rPr>
          <w:spacing w:val="-2"/>
          <w:sz w:val="24"/>
        </w:rPr>
        <w:t xml:space="preserve"> </w:t>
      </w:r>
      <w:r>
        <w:rPr>
          <w:sz w:val="24"/>
        </w:rPr>
        <w:t>this</w:t>
      </w:r>
      <w:r>
        <w:rPr>
          <w:spacing w:val="-2"/>
          <w:sz w:val="24"/>
        </w:rPr>
        <w:t xml:space="preserve"> </w:t>
      </w:r>
      <w:r>
        <w:rPr>
          <w:sz w:val="24"/>
        </w:rPr>
        <w:t>option</w:t>
      </w:r>
      <w:r>
        <w:rPr>
          <w:spacing w:val="-1"/>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2"/>
          <w:sz w:val="24"/>
        </w:rPr>
        <w:t xml:space="preserve"> </w:t>
      </w:r>
      <w:r>
        <w:rPr>
          <w:sz w:val="24"/>
        </w:rPr>
        <w:t>all</w:t>
      </w:r>
      <w:r>
        <w:rPr>
          <w:spacing w:val="-1"/>
          <w:sz w:val="24"/>
        </w:rPr>
        <w:t xml:space="preserve"> </w:t>
      </w:r>
      <w:r>
        <w:rPr>
          <w:sz w:val="24"/>
        </w:rPr>
        <w:t>Part</w:t>
      </w:r>
      <w:r>
        <w:rPr>
          <w:spacing w:val="-1"/>
          <w:sz w:val="24"/>
        </w:rPr>
        <w:t xml:space="preserve"> </w:t>
      </w:r>
      <w:r>
        <w:rPr>
          <w:sz w:val="24"/>
        </w:rPr>
        <w:t>B</w:t>
      </w:r>
      <w:r>
        <w:rPr>
          <w:spacing w:val="-1"/>
          <w:sz w:val="24"/>
        </w:rPr>
        <w:t xml:space="preserve"> </w:t>
      </w:r>
      <w:r>
        <w:rPr>
          <w:sz w:val="24"/>
        </w:rPr>
        <w:t>services,</w:t>
      </w:r>
      <w:r>
        <w:rPr>
          <w:spacing w:val="-1"/>
          <w:sz w:val="24"/>
        </w:rPr>
        <w:t xml:space="preserve"> </w:t>
      </w:r>
      <w:r>
        <w:rPr>
          <w:spacing w:val="-2"/>
          <w:sz w:val="24"/>
        </w:rPr>
        <w:t>then—</w:t>
      </w:r>
    </w:p>
    <w:p>
      <w:pPr>
        <w:pStyle w:val="ListParagraph"/>
        <w:numPr>
          <w:ilvl w:val="2"/>
          <w:numId w:val="48"/>
        </w:numPr>
        <w:tabs>
          <w:tab w:val="left" w:pos="2304"/>
        </w:tabs>
        <w:spacing w:before="0" w:after="0" w:line="240" w:lineRule="auto"/>
        <w:ind w:left="2304" w:right="1924" w:hanging="360"/>
        <w:jc w:val="left"/>
        <w:rPr>
          <w:sz w:val="24"/>
        </w:rPr>
      </w:pPr>
      <w:r>
        <w:rPr>
          <w:sz w:val="24"/>
        </w:rPr>
        <w:t>The applicable in-network plan deductible (HMO), or combined plan deductible</w:t>
      </w:r>
      <w:r>
        <w:rPr>
          <w:spacing w:val="-5"/>
          <w:sz w:val="24"/>
        </w:rPr>
        <w:t xml:space="preserve"> </w:t>
      </w:r>
      <w:r>
        <w:rPr>
          <w:sz w:val="24"/>
        </w:rPr>
        <w:t>(HMOPOS),</w:t>
      </w:r>
      <w:r>
        <w:rPr>
          <w:spacing w:val="-4"/>
          <w:sz w:val="24"/>
        </w:rPr>
        <w:t xml:space="preserve"> </w:t>
      </w:r>
      <w:r>
        <w:rPr>
          <w:sz w:val="24"/>
        </w:rPr>
        <w:t>or</w:t>
      </w:r>
      <w:r>
        <w:rPr>
          <w:spacing w:val="-5"/>
          <w:sz w:val="24"/>
        </w:rPr>
        <w:t xml:space="preserve"> </w:t>
      </w:r>
      <w:r>
        <w:rPr>
          <w:sz w:val="24"/>
        </w:rPr>
        <w:t>plan</w:t>
      </w:r>
      <w:r>
        <w:rPr>
          <w:spacing w:val="-5"/>
          <w:sz w:val="24"/>
        </w:rPr>
        <w:t xml:space="preserve"> </w:t>
      </w:r>
      <w:r>
        <w:rPr>
          <w:sz w:val="24"/>
        </w:rPr>
        <w:t>deductible</w:t>
      </w:r>
      <w:r>
        <w:rPr>
          <w:spacing w:val="-5"/>
          <w:sz w:val="24"/>
        </w:rPr>
        <w:t xml:space="preserve"> </w:t>
      </w:r>
      <w:r>
        <w:rPr>
          <w:sz w:val="24"/>
        </w:rPr>
        <w:t>(non-network</w:t>
      </w:r>
      <w:r>
        <w:rPr>
          <w:spacing w:val="-6"/>
          <w:sz w:val="24"/>
        </w:rPr>
        <w:t xml:space="preserve"> </w:t>
      </w:r>
      <w:r>
        <w:rPr>
          <w:sz w:val="24"/>
        </w:rPr>
        <w:t>PFFS)</w:t>
      </w:r>
      <w:r>
        <w:rPr>
          <w:spacing w:val="-5"/>
          <w:sz w:val="24"/>
        </w:rPr>
        <w:t xml:space="preserve"> </w:t>
      </w:r>
      <w:r>
        <w:rPr>
          <w:sz w:val="24"/>
        </w:rPr>
        <w:t>must</w:t>
      </w:r>
      <w:r>
        <w:rPr>
          <w:spacing w:val="-4"/>
          <w:sz w:val="24"/>
        </w:rPr>
        <w:t xml:space="preserve"> </w:t>
      </w:r>
      <w:r>
        <w:rPr>
          <w:sz w:val="24"/>
        </w:rPr>
        <w:t>be “Medicare-Defined Part B Deductible amount.”</w:t>
      </w:r>
    </w:p>
    <w:p>
      <w:pPr>
        <w:pStyle w:val="ListParagraph"/>
        <w:numPr>
          <w:ilvl w:val="2"/>
          <w:numId w:val="48"/>
        </w:numPr>
        <w:tabs>
          <w:tab w:val="left" w:pos="2304"/>
        </w:tabs>
        <w:spacing w:before="0" w:after="0" w:line="240" w:lineRule="auto"/>
        <w:ind w:left="2304" w:right="1573" w:hanging="360"/>
        <w:jc w:val="both"/>
        <w:rPr>
          <w:sz w:val="24"/>
        </w:rPr>
      </w:pPr>
      <w:r>
        <w:rPr>
          <w:sz w:val="24"/>
        </w:rPr>
        <w:t>The</w:t>
      </w:r>
      <w:r>
        <w:rPr>
          <w:spacing w:val="-5"/>
          <w:sz w:val="24"/>
        </w:rPr>
        <w:t xml:space="preserve"> </w:t>
      </w:r>
      <w:r>
        <w:rPr>
          <w:sz w:val="24"/>
        </w:rPr>
        <w:t>“max</w:t>
      </w:r>
      <w:r>
        <w:rPr>
          <w:spacing w:val="-4"/>
          <w:sz w:val="24"/>
        </w:rPr>
        <w:t xml:space="preserve"> </w:t>
      </w:r>
      <w:r>
        <w:rPr>
          <w:sz w:val="24"/>
        </w:rPr>
        <w:t>plan</w:t>
      </w:r>
      <w:r>
        <w:rPr>
          <w:spacing w:val="-4"/>
          <w:sz w:val="24"/>
        </w:rPr>
        <w:t xml:space="preserve"> </w:t>
      </w:r>
      <w:r>
        <w:rPr>
          <w:sz w:val="24"/>
        </w:rPr>
        <w:t>visit</w:t>
      </w:r>
      <w:r>
        <w:rPr>
          <w:spacing w:val="-4"/>
          <w:sz w:val="24"/>
        </w:rPr>
        <w:t xml:space="preserve"> </w:t>
      </w:r>
      <w:r>
        <w:rPr>
          <w:sz w:val="24"/>
        </w:rPr>
        <w:t>amount”</w:t>
      </w:r>
      <w:r>
        <w:rPr>
          <w:spacing w:val="-4"/>
          <w:sz w:val="24"/>
        </w:rPr>
        <w:t xml:space="preserve"> </w:t>
      </w:r>
      <w:r>
        <w:rPr>
          <w:sz w:val="24"/>
        </w:rPr>
        <w:t>for</w:t>
      </w:r>
      <w:r>
        <w:rPr>
          <w:spacing w:val="-6"/>
          <w:sz w:val="24"/>
        </w:rPr>
        <w:t xml:space="preserve"> </w:t>
      </w:r>
      <w:r>
        <w:rPr>
          <w:sz w:val="24"/>
        </w:rPr>
        <w:t>PBP</w:t>
      </w:r>
      <w:r>
        <w:rPr>
          <w:spacing w:val="-4"/>
          <w:sz w:val="24"/>
        </w:rPr>
        <w:t xml:space="preserve"> </w:t>
      </w:r>
      <w:r>
        <w:rPr>
          <w:sz w:val="24"/>
        </w:rPr>
        <w:t>category</w:t>
      </w:r>
      <w:r>
        <w:rPr>
          <w:spacing w:val="-4"/>
          <w:sz w:val="24"/>
        </w:rPr>
        <w:t xml:space="preserve"> </w:t>
      </w:r>
      <w:r>
        <w:rPr>
          <w:sz w:val="24"/>
        </w:rPr>
        <w:t>4a,</w:t>
      </w:r>
      <w:r>
        <w:rPr>
          <w:spacing w:val="-4"/>
          <w:sz w:val="24"/>
        </w:rPr>
        <w:t xml:space="preserve"> </w:t>
      </w:r>
      <w:r>
        <w:rPr>
          <w:sz w:val="24"/>
        </w:rPr>
        <w:t>Emergency</w:t>
      </w:r>
      <w:r>
        <w:rPr>
          <w:spacing w:val="-3"/>
          <w:sz w:val="24"/>
        </w:rPr>
        <w:t xml:space="preserve"> </w:t>
      </w:r>
      <w:r>
        <w:rPr>
          <w:sz w:val="24"/>
        </w:rPr>
        <w:t>Services</w:t>
      </w:r>
      <w:r>
        <w:rPr>
          <w:spacing w:val="-1"/>
          <w:sz w:val="24"/>
        </w:rPr>
        <w:t xml:space="preserve"> </w:t>
      </w:r>
      <w:r>
        <w:rPr>
          <w:sz w:val="24"/>
        </w:rPr>
        <w:t>and 4b, Urgently Needed Services, must be the applicable dollar limit specified in Part C benefits information provided by CMS.</w:t>
      </w:r>
    </w:p>
    <w:p>
      <w:pPr>
        <w:pStyle w:val="ListParagraph"/>
        <w:numPr>
          <w:ilvl w:val="2"/>
          <w:numId w:val="48"/>
        </w:numPr>
        <w:tabs>
          <w:tab w:val="left" w:pos="2304"/>
        </w:tabs>
        <w:spacing w:before="1" w:after="0" w:line="240" w:lineRule="auto"/>
        <w:ind w:left="2304" w:right="1821" w:hanging="360"/>
        <w:jc w:val="left"/>
        <w:rPr>
          <w:sz w:val="24"/>
        </w:rPr>
      </w:pPr>
      <w:r>
        <w:rPr>
          <w:sz w:val="24"/>
        </w:rPr>
        <w:t>All</w:t>
      </w:r>
      <w:r>
        <w:rPr>
          <w:spacing w:val="-3"/>
          <w:sz w:val="24"/>
        </w:rPr>
        <w:t xml:space="preserve"> </w:t>
      </w:r>
      <w:r>
        <w:rPr>
          <w:sz w:val="24"/>
        </w:rPr>
        <w:t>other</w:t>
      </w:r>
      <w:r>
        <w:rPr>
          <w:spacing w:val="-3"/>
          <w:sz w:val="24"/>
        </w:rPr>
        <w:t xml:space="preserve"> </w:t>
      </w:r>
      <w:r>
        <w:rPr>
          <w:sz w:val="24"/>
        </w:rPr>
        <w:t>cost</w:t>
      </w:r>
      <w:r>
        <w:rPr>
          <w:spacing w:val="-3"/>
          <w:sz w:val="24"/>
        </w:rPr>
        <w:t xml:space="preserve"> </w:t>
      </w:r>
      <w:r>
        <w:rPr>
          <w:sz w:val="24"/>
        </w:rPr>
        <w:t>sharing</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PBP</w:t>
      </w:r>
      <w:r>
        <w:rPr>
          <w:spacing w:val="-3"/>
          <w:sz w:val="24"/>
        </w:rPr>
        <w:t xml:space="preserve"> </w:t>
      </w:r>
      <w:r>
        <w:rPr>
          <w:sz w:val="24"/>
        </w:rPr>
        <w:t>for</w:t>
      </w:r>
      <w:r>
        <w:rPr>
          <w:spacing w:val="-5"/>
          <w:sz w:val="24"/>
        </w:rPr>
        <w:t xml:space="preserve"> </w:t>
      </w:r>
      <w:r>
        <w:rPr>
          <w:sz w:val="24"/>
        </w:rPr>
        <w:t>Medicare</w:t>
      </w:r>
      <w:r>
        <w:rPr>
          <w:spacing w:val="-2"/>
          <w:sz w:val="24"/>
        </w:rPr>
        <w:t xml:space="preserve"> </w:t>
      </w:r>
      <w:r>
        <w:rPr>
          <w:sz w:val="24"/>
        </w:rPr>
        <w:t>Part</w:t>
      </w:r>
      <w:r>
        <w:rPr>
          <w:spacing w:val="-2"/>
          <w:sz w:val="24"/>
        </w:rPr>
        <w:t xml:space="preserve"> </w:t>
      </w:r>
      <w:r>
        <w:rPr>
          <w:sz w:val="24"/>
        </w:rPr>
        <w:t>B</w:t>
      </w:r>
      <w:r>
        <w:rPr>
          <w:spacing w:val="-3"/>
          <w:sz w:val="24"/>
        </w:rPr>
        <w:t xml:space="preserve"> </w:t>
      </w:r>
      <w:r>
        <w:rPr>
          <w:sz w:val="24"/>
        </w:rPr>
        <w:t>services</w:t>
      </w:r>
      <w:r>
        <w:rPr>
          <w:spacing w:val="-4"/>
          <w:sz w:val="24"/>
        </w:rPr>
        <w:t xml:space="preserve"> </w:t>
      </w:r>
      <w:r>
        <w:rPr>
          <w:sz w:val="24"/>
        </w:rPr>
        <w:t>must</w:t>
      </w:r>
      <w:r>
        <w:rPr>
          <w:spacing w:val="-3"/>
          <w:sz w:val="24"/>
        </w:rPr>
        <w:t xml:space="preserve"> </w:t>
      </w:r>
      <w:r>
        <w:rPr>
          <w:sz w:val="24"/>
        </w:rPr>
        <w:t>align with Medicare FFS cost sharing, subject to the applicable dollar limit specified in Part C benefits information provided by CMS.</w:t>
      </w:r>
    </w:p>
    <w:p>
      <w:pPr>
        <w:pStyle w:val="BodyText"/>
        <w:spacing w:before="117"/>
        <w:ind w:left="1224" w:right="1481"/>
      </w:pPr>
      <w:r>
        <w:t>BPT</w:t>
      </w:r>
      <w:r>
        <w:rPr>
          <w:spacing w:val="-4"/>
        </w:rPr>
        <w:t xml:space="preserve"> </w:t>
      </w:r>
      <w:r>
        <w:t>data</w:t>
      </w:r>
      <w:r>
        <w:rPr>
          <w:spacing w:val="-4"/>
        </w:rPr>
        <w:t xml:space="preserve"> </w:t>
      </w:r>
      <w:r>
        <w:t>entry</w:t>
      </w:r>
      <w:r>
        <w:rPr>
          <w:spacing w:val="-4"/>
        </w:rPr>
        <w:t xml:space="preserve"> </w:t>
      </w:r>
      <w:r>
        <w:t>requirements</w:t>
      </w:r>
      <w:r>
        <w:rPr>
          <w:spacing w:val="-5"/>
        </w:rPr>
        <w:t xml:space="preserve"> </w:t>
      </w:r>
      <w:r>
        <w:t>under</w:t>
      </w:r>
      <w:r>
        <w:rPr>
          <w:spacing w:val="-4"/>
        </w:rPr>
        <w:t xml:space="preserve"> </w:t>
      </w:r>
      <w:r>
        <w:t>the</w:t>
      </w:r>
      <w:r>
        <w:rPr>
          <w:spacing w:val="-5"/>
        </w:rPr>
        <w:t xml:space="preserve"> </w:t>
      </w:r>
      <w:r>
        <w:t>Medicare</w:t>
      </w:r>
      <w:r>
        <w:rPr>
          <w:spacing w:val="-3"/>
        </w:rPr>
        <w:t xml:space="preserve"> </w:t>
      </w:r>
      <w:r>
        <w:t>FFS</w:t>
      </w:r>
      <w:r>
        <w:rPr>
          <w:spacing w:val="-4"/>
        </w:rPr>
        <w:t xml:space="preserve"> </w:t>
      </w:r>
      <w:r>
        <w:t>cost-sharing</w:t>
      </w:r>
      <w:r>
        <w:rPr>
          <w:spacing w:val="-4"/>
        </w:rPr>
        <w:t xml:space="preserve"> </w:t>
      </w:r>
      <w:r>
        <w:t>pricing</w:t>
      </w:r>
      <w:r>
        <w:rPr>
          <w:spacing w:val="-2"/>
        </w:rPr>
        <w:t xml:space="preserve"> </w:t>
      </w:r>
      <w:r>
        <w:t>option</w:t>
      </w:r>
      <w:r>
        <w:rPr>
          <w:spacing w:val="-3"/>
        </w:rPr>
        <w:t xml:space="preserve"> </w:t>
      </w:r>
      <w:r>
        <w:t>are described below.</w:t>
      </w:r>
    </w:p>
    <w:p>
      <w:pPr>
        <w:pStyle w:val="ListParagraph"/>
        <w:numPr>
          <w:ilvl w:val="0"/>
          <w:numId w:val="48"/>
        </w:numPr>
        <w:tabs>
          <w:tab w:val="left" w:pos="1583"/>
        </w:tabs>
        <w:spacing w:before="241" w:after="0" w:line="240" w:lineRule="auto"/>
        <w:ind w:left="1583" w:right="0" w:hanging="359"/>
        <w:jc w:val="left"/>
        <w:rPr>
          <w:rFonts w:ascii="Arial" w:hAnsi="Arial"/>
          <w:b/>
          <w:sz w:val="21"/>
        </w:rPr>
      </w:pPr>
      <w:r>
        <w:rPr>
          <w:rFonts w:ascii="Arial" w:hAnsi="Arial"/>
          <w:b/>
          <w:sz w:val="21"/>
        </w:rPr>
        <w:t>Worksheet</w:t>
      </w:r>
      <w:r>
        <w:rPr>
          <w:rFonts w:ascii="Arial" w:hAnsi="Arial"/>
          <w:b/>
          <w:spacing w:val="-5"/>
          <w:sz w:val="21"/>
        </w:rPr>
        <w:t xml:space="preserve"> </w:t>
      </w:r>
      <w:r>
        <w:rPr>
          <w:rFonts w:ascii="Arial" w:hAnsi="Arial"/>
          <w:b/>
          <w:sz w:val="21"/>
        </w:rPr>
        <w:t>3</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Plan</w:t>
      </w:r>
      <w:r>
        <w:rPr>
          <w:rFonts w:ascii="Arial" w:hAnsi="Arial"/>
          <w:b/>
          <w:spacing w:val="-3"/>
          <w:sz w:val="21"/>
        </w:rPr>
        <w:t xml:space="preserve"> </w:t>
      </w:r>
      <w:r>
        <w:rPr>
          <w:rFonts w:ascii="Arial" w:hAnsi="Arial"/>
          <w:b/>
          <w:sz w:val="21"/>
        </w:rPr>
        <w:t>Cost</w:t>
      </w:r>
      <w:r>
        <w:rPr>
          <w:rFonts w:ascii="Arial" w:hAnsi="Arial"/>
          <w:b/>
          <w:spacing w:val="-7"/>
          <w:sz w:val="21"/>
        </w:rPr>
        <w:t xml:space="preserve"> </w:t>
      </w:r>
      <w:r>
        <w:rPr>
          <w:rFonts w:ascii="Arial" w:hAnsi="Arial"/>
          <w:b/>
          <w:spacing w:val="-2"/>
          <w:sz w:val="21"/>
        </w:rPr>
        <w:t>Sharing</w:t>
      </w:r>
    </w:p>
    <w:p>
      <w:pPr>
        <w:pStyle w:val="BodyText"/>
        <w:spacing w:before="120"/>
        <w:ind w:left="1584"/>
      </w:pPr>
      <w:r>
        <w:t>For</w:t>
      </w:r>
      <w:r>
        <w:rPr>
          <w:spacing w:val="-1"/>
        </w:rPr>
        <w:t xml:space="preserve"> </w:t>
      </w:r>
      <w:r>
        <w:t>the</w:t>
      </w:r>
      <w:r>
        <w:rPr>
          <w:spacing w:val="-2"/>
        </w:rPr>
        <w:t xml:space="preserve"> </w:t>
      </w:r>
      <w:r>
        <w:t>applicable</w:t>
      </w:r>
      <w:r>
        <w:rPr>
          <w:spacing w:val="-1"/>
        </w:rPr>
        <w:t xml:space="preserve"> </w:t>
      </w:r>
      <w:r>
        <w:t>service</w:t>
      </w:r>
      <w:r>
        <w:rPr>
          <w:spacing w:val="-1"/>
        </w:rPr>
        <w:t xml:space="preserve"> </w:t>
      </w:r>
      <w:r>
        <w:t>categories,</w:t>
      </w:r>
      <w:r>
        <w:rPr>
          <w:spacing w:val="1"/>
        </w:rPr>
        <w:t xml:space="preserve"> </w:t>
      </w:r>
      <w:r>
        <w:t>the</w:t>
      </w:r>
      <w:r>
        <w:rPr>
          <w:spacing w:val="-1"/>
        </w:rPr>
        <w:t xml:space="preserve"> </w:t>
      </w:r>
      <w:r>
        <w:t xml:space="preserve">user must </w:t>
      </w:r>
      <w:r>
        <w:rPr>
          <w:spacing w:val="-2"/>
        </w:rPr>
        <w:t>enter—</w:t>
      </w:r>
    </w:p>
    <w:p>
      <w:pPr>
        <w:pStyle w:val="BodyText"/>
        <w:spacing w:after="0"/>
        <w:sectPr>
          <w:pgSz w:w="12240" w:h="15840"/>
          <w:pgMar w:top="960" w:right="0" w:bottom="940" w:left="1080" w:header="727" w:footer="747"/>
          <w:cols w:space="720"/>
        </w:sectPr>
      </w:pPr>
    </w:p>
    <w:p>
      <w:pPr>
        <w:pStyle w:val="BodyText"/>
        <w:spacing w:before="190"/>
        <w:ind w:left="0"/>
      </w:pPr>
    </w:p>
    <w:p>
      <w:pPr>
        <w:pStyle w:val="ListParagraph"/>
        <w:numPr>
          <w:ilvl w:val="1"/>
          <w:numId w:val="48"/>
        </w:numPr>
        <w:tabs>
          <w:tab w:val="left" w:pos="1944"/>
        </w:tabs>
        <w:spacing w:before="0" w:after="0" w:line="240" w:lineRule="auto"/>
        <w:ind w:left="1944" w:right="0" w:hanging="360"/>
        <w:jc w:val="left"/>
        <w:rPr>
          <w:sz w:val="24"/>
        </w:rPr>
      </w:pPr>
      <w:r>
        <w:rPr>
          <w:sz w:val="24"/>
        </w:rPr>
        <w:t>Zeroes</w:t>
      </w:r>
      <w:r>
        <w:rPr>
          <w:spacing w:val="-1"/>
          <w:sz w:val="24"/>
        </w:rPr>
        <w:t xml:space="preserve"> </w:t>
      </w:r>
      <w:r>
        <w:rPr>
          <w:sz w:val="24"/>
        </w:rPr>
        <w:t>(0)</w:t>
      </w:r>
      <w:r>
        <w:rPr>
          <w:spacing w:val="-1"/>
          <w:sz w:val="24"/>
        </w:rPr>
        <w:t xml:space="preserve"> </w:t>
      </w:r>
      <w:r>
        <w:rPr>
          <w:sz w:val="24"/>
        </w:rPr>
        <w:t>as</w:t>
      </w:r>
      <w:r>
        <w:rPr>
          <w:spacing w:val="-2"/>
          <w:sz w:val="24"/>
        </w:rPr>
        <w:t xml:space="preserve"> </w:t>
      </w:r>
      <w:r>
        <w:rPr>
          <w:sz w:val="24"/>
        </w:rPr>
        <w:t>the in-network</w:t>
      </w:r>
      <w:r>
        <w:rPr>
          <w:spacing w:val="-1"/>
          <w:sz w:val="24"/>
        </w:rPr>
        <w:t xml:space="preserve"> </w:t>
      </w:r>
      <w:r>
        <w:rPr>
          <w:sz w:val="24"/>
        </w:rPr>
        <w:t>cost</w:t>
      </w:r>
      <w:r>
        <w:rPr>
          <w:spacing w:val="-1"/>
          <w:sz w:val="24"/>
        </w:rPr>
        <w:t xml:space="preserve"> </w:t>
      </w:r>
      <w:r>
        <w:rPr>
          <w:sz w:val="24"/>
        </w:rPr>
        <w:t>of</w:t>
      </w:r>
      <w:r>
        <w:rPr>
          <w:spacing w:val="-1"/>
          <w:sz w:val="24"/>
        </w:rPr>
        <w:t xml:space="preserve"> </w:t>
      </w:r>
      <w:r>
        <w:rPr>
          <w:sz w:val="24"/>
        </w:rPr>
        <w:t>the plan</w:t>
      </w:r>
      <w:r>
        <w:rPr>
          <w:spacing w:val="-1"/>
          <w:sz w:val="24"/>
        </w:rPr>
        <w:t xml:space="preserve"> </w:t>
      </w:r>
      <w:r>
        <w:rPr>
          <w:sz w:val="24"/>
        </w:rPr>
        <w:t>deductible</w:t>
      </w:r>
      <w:r>
        <w:rPr>
          <w:spacing w:val="-1"/>
          <w:sz w:val="24"/>
        </w:rPr>
        <w:t xml:space="preserve"> </w:t>
      </w:r>
      <w:r>
        <w:rPr>
          <w:sz w:val="24"/>
        </w:rPr>
        <w:t xml:space="preserve">(column </w:t>
      </w:r>
      <w:r>
        <w:rPr>
          <w:spacing w:val="-5"/>
          <w:sz w:val="24"/>
        </w:rPr>
        <w:t>f).</w:t>
      </w:r>
    </w:p>
    <w:p>
      <w:pPr>
        <w:pStyle w:val="ListParagraph"/>
        <w:numPr>
          <w:ilvl w:val="1"/>
          <w:numId w:val="48"/>
        </w:numPr>
        <w:tabs>
          <w:tab w:val="left" w:pos="1944"/>
        </w:tabs>
        <w:spacing w:before="0" w:after="0" w:line="240" w:lineRule="auto"/>
        <w:ind w:left="1944" w:right="1858" w:hanging="360"/>
        <w:jc w:val="left"/>
        <w:rPr>
          <w:sz w:val="24"/>
        </w:rPr>
      </w:pPr>
      <w:r>
        <w:rPr>
          <w:sz w:val="24"/>
        </w:rPr>
        <w:t>The in-network portion of plan cost sharing as the in-network effective copay/coinsurance</w:t>
      </w:r>
      <w:r>
        <w:rPr>
          <w:spacing w:val="-3"/>
          <w:sz w:val="24"/>
        </w:rPr>
        <w:t xml:space="preserve"> </w:t>
      </w:r>
      <w:r>
        <w:rPr>
          <w:sz w:val="24"/>
        </w:rPr>
        <w:t>after</w:t>
      </w:r>
      <w:r>
        <w:rPr>
          <w:spacing w:val="-4"/>
          <w:sz w:val="24"/>
        </w:rPr>
        <w:t xml:space="preserve"> </w:t>
      </w:r>
      <w:r>
        <w:rPr>
          <w:sz w:val="24"/>
        </w:rPr>
        <w:t>the</w:t>
      </w:r>
      <w:r>
        <w:rPr>
          <w:spacing w:val="-5"/>
          <w:sz w:val="24"/>
        </w:rPr>
        <w:t xml:space="preserve"> </w:t>
      </w:r>
      <w:r>
        <w:rPr>
          <w:sz w:val="24"/>
        </w:rPr>
        <w:t>plan</w:t>
      </w:r>
      <w:r>
        <w:rPr>
          <w:spacing w:val="-4"/>
          <w:sz w:val="24"/>
        </w:rPr>
        <w:t xml:space="preserve"> </w:t>
      </w:r>
      <w:r>
        <w:rPr>
          <w:sz w:val="24"/>
        </w:rPr>
        <w:t>deductible</w:t>
      </w:r>
      <w:r>
        <w:rPr>
          <w:spacing w:val="-4"/>
          <w:sz w:val="24"/>
        </w:rPr>
        <w:t xml:space="preserve"> </w:t>
      </w:r>
      <w:r>
        <w:rPr>
          <w:sz w:val="24"/>
        </w:rPr>
        <w:t>has</w:t>
      </w:r>
      <w:r>
        <w:rPr>
          <w:spacing w:val="-5"/>
          <w:sz w:val="24"/>
        </w:rPr>
        <w:t xml:space="preserve"> </w:t>
      </w:r>
      <w:r>
        <w:rPr>
          <w:sz w:val="24"/>
        </w:rPr>
        <w:t>been</w:t>
      </w:r>
      <w:r>
        <w:rPr>
          <w:spacing w:val="-4"/>
          <w:sz w:val="24"/>
        </w:rPr>
        <w:t xml:space="preserve"> </w:t>
      </w:r>
      <w:r>
        <w:rPr>
          <w:sz w:val="24"/>
        </w:rPr>
        <w:t>satisfied</w:t>
      </w:r>
      <w:r>
        <w:rPr>
          <w:spacing w:val="-4"/>
          <w:sz w:val="24"/>
        </w:rPr>
        <w:t xml:space="preserve"> </w:t>
      </w:r>
      <w:r>
        <w:rPr>
          <w:sz w:val="24"/>
        </w:rPr>
        <w:t>and</w:t>
      </w:r>
      <w:r>
        <w:rPr>
          <w:spacing w:val="-4"/>
          <w:sz w:val="24"/>
        </w:rPr>
        <w:t xml:space="preserve"> </w:t>
      </w:r>
      <w:r>
        <w:rPr>
          <w:sz w:val="24"/>
        </w:rPr>
        <w:t>before</w:t>
      </w:r>
      <w:r>
        <w:rPr>
          <w:spacing w:val="-5"/>
          <w:sz w:val="24"/>
        </w:rPr>
        <w:t xml:space="preserve"> </w:t>
      </w:r>
      <w:r>
        <w:rPr>
          <w:sz w:val="24"/>
        </w:rPr>
        <w:t>the impact of the maximum out-of-pocket (MOOP) (column i).</w:t>
      </w:r>
    </w:p>
    <w:p>
      <w:pPr>
        <w:spacing w:before="241"/>
        <w:ind w:left="1224" w:right="0" w:firstLine="0"/>
        <w:jc w:val="left"/>
        <w:rPr>
          <w:rFonts w:ascii="Arial"/>
          <w:b/>
          <w:i/>
          <w:sz w:val="21"/>
        </w:rPr>
      </w:pPr>
      <w:bookmarkStart w:id="45" w:name="Visitor/Travel Benefits"/>
      <w:bookmarkEnd w:id="45"/>
      <w:r>
        <w:rPr>
          <w:rFonts w:ascii="Arial"/>
          <w:b/>
          <w:i/>
          <w:sz w:val="21"/>
        </w:rPr>
        <w:t>Visitor/Travel</w:t>
      </w:r>
      <w:r>
        <w:rPr>
          <w:rFonts w:ascii="Arial"/>
          <w:b/>
          <w:i/>
          <w:spacing w:val="-13"/>
          <w:sz w:val="21"/>
        </w:rPr>
        <w:t xml:space="preserve"> </w:t>
      </w:r>
      <w:r>
        <w:rPr>
          <w:rFonts w:ascii="Arial"/>
          <w:b/>
          <w:i/>
          <w:spacing w:val="-2"/>
          <w:sz w:val="21"/>
        </w:rPr>
        <w:t>Benefits</w:t>
      </w:r>
    </w:p>
    <w:p>
      <w:pPr>
        <w:pStyle w:val="BodyText"/>
        <w:spacing w:before="120"/>
        <w:ind w:left="1224" w:right="1481"/>
      </w:pPr>
      <w:r>
        <w:t>In-network cost sharing in Worksheet 3 includes mandatory supplemental benefits offered</w:t>
      </w:r>
      <w:r>
        <w:rPr>
          <w:spacing w:val="-5"/>
        </w:rPr>
        <w:t xml:space="preserve"> </w:t>
      </w:r>
      <w:r>
        <w:t>under</w:t>
      </w:r>
      <w:r>
        <w:rPr>
          <w:spacing w:val="-5"/>
        </w:rPr>
        <w:t xml:space="preserve"> </w:t>
      </w:r>
      <w:r>
        <w:t>the</w:t>
      </w:r>
      <w:r>
        <w:rPr>
          <w:spacing w:val="-6"/>
        </w:rPr>
        <w:t xml:space="preserve"> </w:t>
      </w:r>
      <w:r>
        <w:t>Visitor/Travel</w:t>
      </w:r>
      <w:r>
        <w:rPr>
          <w:spacing w:val="-5"/>
        </w:rPr>
        <w:t xml:space="preserve"> </w:t>
      </w:r>
      <w:r>
        <w:t>Program</w:t>
      </w:r>
      <w:r>
        <w:rPr>
          <w:spacing w:val="-5"/>
        </w:rPr>
        <w:t xml:space="preserve"> </w:t>
      </w:r>
      <w:r>
        <w:t>(that</w:t>
      </w:r>
      <w:r>
        <w:rPr>
          <w:spacing w:val="-5"/>
        </w:rPr>
        <w:t xml:space="preserve"> </w:t>
      </w:r>
      <w:r>
        <w:t>is,</w:t>
      </w:r>
      <w:r>
        <w:rPr>
          <w:spacing w:val="-5"/>
        </w:rPr>
        <w:t xml:space="preserve"> </w:t>
      </w:r>
      <w:r>
        <w:t>Medicare-covered</w:t>
      </w:r>
      <w:r>
        <w:rPr>
          <w:spacing w:val="-3"/>
        </w:rPr>
        <w:t xml:space="preserve"> </w:t>
      </w:r>
      <w:r>
        <w:t>and</w:t>
      </w:r>
      <w:r>
        <w:rPr>
          <w:spacing w:val="-5"/>
        </w:rPr>
        <w:t xml:space="preserve"> </w:t>
      </w:r>
      <w:r>
        <w:t>non-covered services obtained outside the bid’s service area).</w:t>
      </w:r>
    </w:p>
    <w:p>
      <w:pPr>
        <w:spacing w:before="241"/>
        <w:ind w:left="504" w:right="0" w:firstLine="0"/>
        <w:jc w:val="left"/>
        <w:rPr>
          <w:rFonts w:ascii="Arial"/>
          <w:b/>
          <w:sz w:val="21"/>
        </w:rPr>
      </w:pPr>
      <w:bookmarkStart w:id="46" w:name="Credibility"/>
      <w:bookmarkEnd w:id="46"/>
      <w:bookmarkStart w:id="47" w:name="_bookmark16"/>
      <w:bookmarkEnd w:id="47"/>
      <w:r>
        <w:rPr>
          <w:rFonts w:ascii="Arial"/>
          <w:b/>
          <w:spacing w:val="-2"/>
          <w:sz w:val="21"/>
        </w:rPr>
        <w:t>Credibility</w:t>
      </w:r>
    </w:p>
    <w:p>
      <w:pPr>
        <w:pStyle w:val="BodyText"/>
        <w:spacing w:before="118"/>
        <w:ind w:right="1443"/>
      </w:pPr>
      <w:r>
        <w:t>CMS</w:t>
      </w:r>
      <w:r>
        <w:rPr>
          <w:spacing w:val="-3"/>
        </w:rPr>
        <w:t xml:space="preserve"> </w:t>
      </w:r>
      <w:r>
        <w:t>does</w:t>
      </w:r>
      <w:r>
        <w:rPr>
          <w:spacing w:val="-4"/>
        </w:rPr>
        <w:t xml:space="preserve"> </w:t>
      </w:r>
      <w:r>
        <w:t>not</w:t>
      </w:r>
      <w:r>
        <w:rPr>
          <w:spacing w:val="-3"/>
        </w:rPr>
        <w:t xml:space="preserve"> </w:t>
      </w:r>
      <w:r>
        <w:t>permit</w:t>
      </w:r>
      <w:r>
        <w:rPr>
          <w:spacing w:val="-3"/>
        </w:rPr>
        <w:t xml:space="preserve"> </w:t>
      </w:r>
      <w:r>
        <w:t>adjustments</w:t>
      </w:r>
      <w:r>
        <w:rPr>
          <w:spacing w:val="-4"/>
        </w:rPr>
        <w:t xml:space="preserve"> </w:t>
      </w:r>
      <w:r>
        <w:t>to</w:t>
      </w:r>
      <w:r>
        <w:rPr>
          <w:spacing w:val="-3"/>
        </w:rPr>
        <w:t xml:space="preserve"> </w:t>
      </w:r>
      <w:r>
        <w:t>the</w:t>
      </w:r>
      <w:r>
        <w:rPr>
          <w:spacing w:val="-3"/>
        </w:rPr>
        <w:t xml:space="preserve"> </w:t>
      </w:r>
      <w:r>
        <w:t>credibility</w:t>
      </w:r>
      <w:r>
        <w:rPr>
          <w:spacing w:val="-3"/>
        </w:rPr>
        <w:t xml:space="preserve"> </w:t>
      </w:r>
      <w:r>
        <w:t>percentages</w:t>
      </w:r>
      <w:r>
        <w:rPr>
          <w:spacing w:val="-4"/>
        </w:rPr>
        <w:t xml:space="preserve"> </w:t>
      </w:r>
      <w:r>
        <w:t>on</w:t>
      </w:r>
      <w:r>
        <w:rPr>
          <w:spacing w:val="-3"/>
        </w:rPr>
        <w:t xml:space="preserve"> </w:t>
      </w:r>
      <w:r>
        <w:t>Worksheet</w:t>
      </w:r>
      <w:r>
        <w:rPr>
          <w:spacing w:val="-3"/>
        </w:rPr>
        <w:t xml:space="preserve"> </w:t>
      </w:r>
      <w:r>
        <w:t>2</w:t>
      </w:r>
      <w:r>
        <w:rPr>
          <w:spacing w:val="-3"/>
        </w:rPr>
        <w:t xml:space="preserve"> </w:t>
      </w:r>
      <w:r>
        <w:t>for</w:t>
      </w:r>
      <w:r>
        <w:rPr>
          <w:spacing w:val="-4"/>
        </w:rPr>
        <w:t xml:space="preserve"> </w:t>
      </w:r>
      <w:r>
        <w:t>the</w:t>
      </w:r>
      <w:r>
        <w:rPr>
          <w:spacing w:val="-3"/>
        </w:rPr>
        <w:t xml:space="preserve"> </w:t>
      </w:r>
      <w:r>
        <w:t>purpose of</w:t>
      </w:r>
      <w:r>
        <w:rPr>
          <w:spacing w:val="-2"/>
        </w:rPr>
        <w:t xml:space="preserve"> </w:t>
      </w:r>
      <w:r>
        <w:t>modifying</w:t>
      </w:r>
      <w:r>
        <w:rPr>
          <w:spacing w:val="-2"/>
        </w:rPr>
        <w:t xml:space="preserve"> </w:t>
      </w:r>
      <w:r>
        <w:t>the</w:t>
      </w:r>
      <w:r>
        <w:rPr>
          <w:spacing w:val="-2"/>
        </w:rPr>
        <w:t xml:space="preserve"> </w:t>
      </w:r>
      <w:r>
        <w:t>manual rate.</w:t>
      </w:r>
      <w:r>
        <w:rPr>
          <w:spacing w:val="-2"/>
        </w:rPr>
        <w:t xml:space="preserve"> </w:t>
      </w:r>
      <w:r>
        <w:t>For</w:t>
      </w:r>
      <w:r>
        <w:rPr>
          <w:spacing w:val="-2"/>
        </w:rPr>
        <w:t xml:space="preserve"> </w:t>
      </w:r>
      <w:r>
        <w:t>example,</w:t>
      </w:r>
      <w:r>
        <w:rPr>
          <w:spacing w:val="-2"/>
        </w:rPr>
        <w:t xml:space="preserve"> </w:t>
      </w:r>
      <w:r>
        <w:t>do</w:t>
      </w:r>
      <w:r>
        <w:rPr>
          <w:spacing w:val="-2"/>
        </w:rPr>
        <w:t xml:space="preserve"> </w:t>
      </w:r>
      <w:r>
        <w:t>not</w:t>
      </w:r>
      <w:r>
        <w:rPr>
          <w:spacing w:val="-2"/>
        </w:rPr>
        <w:t xml:space="preserve"> </w:t>
      </w:r>
      <w:r>
        <w:t>adjust</w:t>
      </w:r>
      <w:r>
        <w:rPr>
          <w:spacing w:val="-2"/>
        </w:rPr>
        <w:t xml:space="preserve"> </w:t>
      </w:r>
      <w:r>
        <w:t>the</w:t>
      </w:r>
      <w:r>
        <w:rPr>
          <w:spacing w:val="-2"/>
        </w:rPr>
        <w:t xml:space="preserve"> </w:t>
      </w:r>
      <w:r>
        <w:t>credibility</w:t>
      </w:r>
      <w:r>
        <w:rPr>
          <w:spacing w:val="-2"/>
        </w:rPr>
        <w:t xml:space="preserve"> </w:t>
      </w:r>
      <w:r>
        <w:t>percentages</w:t>
      </w:r>
      <w:r>
        <w:rPr>
          <w:spacing w:val="-3"/>
        </w:rPr>
        <w:t xml:space="preserve"> </w:t>
      </w:r>
      <w:r>
        <w:t>in</w:t>
      </w:r>
      <w:r>
        <w:rPr>
          <w:spacing w:val="-2"/>
        </w:rPr>
        <w:t xml:space="preserve"> </w:t>
      </w:r>
      <w:r>
        <w:t>the</w:t>
      </w:r>
      <w:r>
        <w:rPr>
          <w:spacing w:val="-3"/>
        </w:rPr>
        <w:t xml:space="preserve"> </w:t>
      </w:r>
      <w:r>
        <w:t xml:space="preserve">BPT as an equivalent alternative to removing the base period experience from the manual rate </w:t>
      </w:r>
      <w:r>
        <w:rPr>
          <w:spacing w:val="-2"/>
        </w:rPr>
        <w:t>development.</w:t>
      </w:r>
    </w:p>
    <w:p>
      <w:pPr>
        <w:pStyle w:val="BodyText"/>
        <w:spacing w:before="120"/>
        <w:ind w:right="1481"/>
      </w:pPr>
      <w:r>
        <w:t>The</w:t>
      </w:r>
      <w:r>
        <w:rPr>
          <w:spacing w:val="-5"/>
        </w:rPr>
        <w:t xml:space="preserve"> </w:t>
      </w:r>
      <w:r>
        <w:t>following</w:t>
      </w:r>
      <w:r>
        <w:rPr>
          <w:spacing w:val="-3"/>
        </w:rPr>
        <w:t xml:space="preserve"> </w:t>
      </w:r>
      <w:r>
        <w:t>credibility</w:t>
      </w:r>
      <w:r>
        <w:rPr>
          <w:spacing w:val="-3"/>
        </w:rPr>
        <w:t xml:space="preserve"> </w:t>
      </w:r>
      <w:r>
        <w:t>guidance</w:t>
      </w:r>
      <w:r>
        <w:rPr>
          <w:spacing w:val="-4"/>
        </w:rPr>
        <w:t xml:space="preserve"> </w:t>
      </w:r>
      <w:r>
        <w:t>in</w:t>
      </w:r>
      <w:r>
        <w:rPr>
          <w:spacing w:val="-3"/>
        </w:rPr>
        <w:t xml:space="preserve"> </w:t>
      </w:r>
      <w:r>
        <w:t>this</w:t>
      </w:r>
      <w:r>
        <w:rPr>
          <w:spacing w:val="-4"/>
        </w:rPr>
        <w:t xml:space="preserve"> </w:t>
      </w:r>
      <w:r>
        <w:t>section</w:t>
      </w:r>
      <w:r>
        <w:rPr>
          <w:spacing w:val="-3"/>
        </w:rPr>
        <w:t xml:space="preserve"> </w:t>
      </w:r>
      <w:r>
        <w:t>is</w:t>
      </w:r>
      <w:r>
        <w:rPr>
          <w:spacing w:val="-3"/>
        </w:rPr>
        <w:t xml:space="preserve"> </w:t>
      </w:r>
      <w:r>
        <w:t>provided</w:t>
      </w:r>
      <w:r>
        <w:rPr>
          <w:spacing w:val="-3"/>
        </w:rPr>
        <w:t xml:space="preserve"> </w:t>
      </w:r>
      <w:r>
        <w:t>as</w:t>
      </w:r>
      <w:r>
        <w:rPr>
          <w:spacing w:val="-4"/>
        </w:rPr>
        <w:t xml:space="preserve"> </w:t>
      </w:r>
      <w:r>
        <w:t>a</w:t>
      </w:r>
      <w:r>
        <w:rPr>
          <w:spacing w:val="-4"/>
        </w:rPr>
        <w:t xml:space="preserve"> </w:t>
      </w:r>
      <w:r>
        <w:t>resource</w:t>
      </w:r>
      <w:r>
        <w:rPr>
          <w:spacing w:val="-4"/>
        </w:rPr>
        <w:t xml:space="preserve"> </w:t>
      </w:r>
      <w:r>
        <w:t>to</w:t>
      </w:r>
      <w:r>
        <w:rPr>
          <w:spacing w:val="-3"/>
        </w:rPr>
        <w:t xml:space="preserve"> </w:t>
      </w:r>
      <w:r>
        <w:t>certifying actuaries, not as a requirement.</w:t>
      </w:r>
    </w:p>
    <w:p>
      <w:pPr>
        <w:pStyle w:val="BodyText"/>
        <w:spacing w:before="120"/>
        <w:ind w:right="1478"/>
      </w:pPr>
      <w:r>
        <w:t xml:space="preserve">Information on the development of CMS guidelines for full credibility can be found at </w:t>
      </w:r>
      <w:hyperlink r:id="rId17">
        <w:r>
          <w:rPr>
            <w:color w:val="0000FF"/>
            <w:spacing w:val="-2"/>
            <w:u w:val="single" w:color="0000FF"/>
          </w:rPr>
          <w:t>https://www.cms.gov/Medicare/Health-Plans/MedicareAdvtgSpecRateStats/Bid-Pricing-Tools-</w:t>
        </w:r>
      </w:hyperlink>
      <w:hyperlink r:id="rId17">
        <w:r>
          <w:rPr>
            <w:color w:val="0000FF"/>
            <w:spacing w:val="-2"/>
            <w:u w:val="single" w:color="0000FF"/>
          </w:rPr>
          <w:t>and-Instructions-Items/BidGuidance</w:t>
        </w:r>
        <w:r>
          <w:rPr>
            <w:spacing w:val="-2"/>
            <w:u w:val="none"/>
          </w:rPr>
          <w:t>.</w:t>
        </w:r>
      </w:hyperlink>
    </w:p>
    <w:p>
      <w:pPr>
        <w:spacing w:before="241"/>
        <w:ind w:left="1224" w:right="0" w:firstLine="0"/>
        <w:jc w:val="left"/>
        <w:rPr>
          <w:rFonts w:ascii="Arial"/>
          <w:b/>
          <w:i/>
          <w:sz w:val="21"/>
        </w:rPr>
      </w:pPr>
      <w:bookmarkStart w:id="48" w:name="Claims Credibility"/>
      <w:bookmarkEnd w:id="48"/>
      <w:r>
        <w:rPr>
          <w:rFonts w:ascii="Arial"/>
          <w:b/>
          <w:i/>
          <w:sz w:val="21"/>
        </w:rPr>
        <w:t>Claims</w:t>
      </w:r>
      <w:r>
        <w:rPr>
          <w:rFonts w:ascii="Arial"/>
          <w:b/>
          <w:i/>
          <w:spacing w:val="-8"/>
          <w:sz w:val="21"/>
        </w:rPr>
        <w:t xml:space="preserve"> </w:t>
      </w:r>
      <w:r>
        <w:rPr>
          <w:rFonts w:ascii="Arial"/>
          <w:b/>
          <w:i/>
          <w:spacing w:val="-2"/>
          <w:sz w:val="21"/>
        </w:rPr>
        <w:t>Credibility</w:t>
      </w:r>
    </w:p>
    <w:p>
      <w:pPr>
        <w:pStyle w:val="BodyText"/>
        <w:spacing w:before="120"/>
        <w:ind w:left="1224" w:right="1481"/>
      </w:pPr>
      <w:r>
        <w:t>This</w:t>
      </w:r>
      <w:r>
        <w:rPr>
          <w:spacing w:val="-4"/>
        </w:rPr>
        <w:t xml:space="preserve"> </w:t>
      </w:r>
      <w:r>
        <w:t>section</w:t>
      </w:r>
      <w:r>
        <w:rPr>
          <w:spacing w:val="-4"/>
        </w:rPr>
        <w:t xml:space="preserve"> </w:t>
      </w:r>
      <w:r>
        <w:t>pertains</w:t>
      </w:r>
      <w:r>
        <w:rPr>
          <w:spacing w:val="-4"/>
        </w:rPr>
        <w:t xml:space="preserve"> </w:t>
      </w:r>
      <w:r>
        <w:t>to</w:t>
      </w:r>
      <w:r>
        <w:rPr>
          <w:spacing w:val="-4"/>
        </w:rPr>
        <w:t xml:space="preserve"> </w:t>
      </w:r>
      <w:r>
        <w:t>the</w:t>
      </w:r>
      <w:r>
        <w:rPr>
          <w:spacing w:val="-4"/>
        </w:rPr>
        <w:t xml:space="preserve"> </w:t>
      </w:r>
      <w:r>
        <w:t>credibility</w:t>
      </w:r>
      <w:r>
        <w:rPr>
          <w:spacing w:val="-4"/>
        </w:rPr>
        <w:t xml:space="preserve"> </w:t>
      </w:r>
      <w:r>
        <w:t>percentages</w:t>
      </w:r>
      <w:r>
        <w:rPr>
          <w:spacing w:val="-2"/>
        </w:rPr>
        <w:t xml:space="preserve"> </w:t>
      </w:r>
      <w:r>
        <w:t>on</w:t>
      </w:r>
      <w:r>
        <w:rPr>
          <w:spacing w:val="-4"/>
        </w:rPr>
        <w:t xml:space="preserve"> </w:t>
      </w:r>
      <w:r>
        <w:t>Worksheet</w:t>
      </w:r>
      <w:r>
        <w:rPr>
          <w:spacing w:val="-4"/>
        </w:rPr>
        <w:t xml:space="preserve"> </w:t>
      </w:r>
      <w:r>
        <w:t>2</w:t>
      </w:r>
      <w:r>
        <w:rPr>
          <w:spacing w:val="-2"/>
        </w:rPr>
        <w:t xml:space="preserve"> </w:t>
      </w:r>
      <w:r>
        <w:t>and</w:t>
      </w:r>
      <w:r>
        <w:rPr>
          <w:spacing w:val="-4"/>
        </w:rPr>
        <w:t xml:space="preserve"> </w:t>
      </w:r>
      <w:r>
        <w:t>to</w:t>
      </w:r>
      <w:r>
        <w:rPr>
          <w:spacing w:val="-4"/>
        </w:rPr>
        <w:t xml:space="preserve"> </w:t>
      </w:r>
      <w:r>
        <w:t>the</w:t>
      </w:r>
      <w:r>
        <w:rPr>
          <w:spacing w:val="-4"/>
        </w:rPr>
        <w:t xml:space="preserve"> </w:t>
      </w:r>
      <w:r>
        <w:t>ESRD subsidy on Worksheet 4.</w:t>
      </w:r>
    </w:p>
    <w:p>
      <w:pPr>
        <w:pStyle w:val="BodyText"/>
        <w:spacing w:before="121"/>
        <w:ind w:left="1224"/>
      </w:pPr>
      <w:r>
        <w:t>CMS</w:t>
      </w:r>
      <w:r>
        <w:rPr>
          <w:spacing w:val="-2"/>
        </w:rPr>
        <w:t xml:space="preserve"> </w:t>
      </w:r>
      <w:r>
        <w:t>has</w:t>
      </w:r>
      <w:r>
        <w:rPr>
          <w:spacing w:val="-2"/>
        </w:rPr>
        <w:t xml:space="preserve"> </w:t>
      </w:r>
      <w:r>
        <w:t>established</w:t>
      </w:r>
      <w:r>
        <w:rPr>
          <w:spacing w:val="-1"/>
        </w:rPr>
        <w:t xml:space="preserve"> </w:t>
      </w:r>
      <w:r>
        <w:t>MA</w:t>
      </w:r>
      <w:r>
        <w:rPr>
          <w:spacing w:val="-2"/>
        </w:rPr>
        <w:t xml:space="preserve"> </w:t>
      </w:r>
      <w:r>
        <w:t>credibility</w:t>
      </w:r>
      <w:r>
        <w:rPr>
          <w:spacing w:val="-1"/>
        </w:rPr>
        <w:t xml:space="preserve"> </w:t>
      </w:r>
      <w:r>
        <w:t>guidelines</w:t>
      </w:r>
      <w:r>
        <w:rPr>
          <w:spacing w:val="-1"/>
        </w:rPr>
        <w:t xml:space="preserve"> </w:t>
      </w:r>
      <w:r>
        <w:t>as</w:t>
      </w:r>
      <w:r>
        <w:rPr>
          <w:spacing w:val="-1"/>
        </w:rPr>
        <w:t xml:space="preserve"> </w:t>
      </w:r>
      <w:r>
        <w:t>summarized</w:t>
      </w:r>
      <w:r>
        <w:rPr>
          <w:spacing w:val="-1"/>
        </w:rPr>
        <w:t xml:space="preserve"> </w:t>
      </w:r>
      <w:r>
        <w:t>in</w:t>
      </w:r>
      <w:r>
        <w:rPr>
          <w:spacing w:val="-2"/>
        </w:rPr>
        <w:t xml:space="preserve"> </w:t>
      </w:r>
      <w:r>
        <w:t>the</w:t>
      </w:r>
      <w:r>
        <w:rPr>
          <w:spacing w:val="-2"/>
        </w:rPr>
        <w:t xml:space="preserve"> </w:t>
      </w:r>
      <w:r>
        <w:t>following</w:t>
      </w:r>
      <w:r>
        <w:rPr>
          <w:spacing w:val="-1"/>
        </w:rPr>
        <w:t xml:space="preserve"> </w:t>
      </w:r>
      <w:r>
        <w:rPr>
          <w:spacing w:val="-2"/>
        </w:rPr>
        <w:t>table:</w:t>
      </w:r>
    </w:p>
    <w:p>
      <w:pPr>
        <w:pStyle w:val="BodyText"/>
        <w:spacing w:before="5" w:after="1"/>
        <w:ind w:left="0"/>
        <w:rPr>
          <w:sz w:val="10"/>
        </w:rPr>
      </w:pPr>
    </w:p>
    <w:tbl>
      <w:tblPr>
        <w:tblStyle w:val="TableNormal"/>
        <w:tblW w:w="0" w:type="auto"/>
        <w:jc w:val="left"/>
        <w:tblInd w:w="1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5"/>
        <w:gridCol w:w="2624"/>
        <w:gridCol w:w="3332"/>
      </w:tblGrid>
      <w:tr>
        <w:tblPrEx>
          <w:tblW w:w="0" w:type="auto"/>
          <w:jc w:val="left"/>
          <w:tblInd w:w="1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71"/>
          <w:jc w:val="left"/>
        </w:trPr>
        <w:tc>
          <w:tcPr>
            <w:tcW w:w="2305" w:type="dxa"/>
          </w:tcPr>
          <w:p>
            <w:pPr>
              <w:pStyle w:val="TableParagraph"/>
              <w:spacing w:before="58"/>
              <w:rPr>
                <w:sz w:val="24"/>
              </w:rPr>
            </w:pPr>
          </w:p>
          <w:p>
            <w:pPr>
              <w:pStyle w:val="TableParagraph"/>
              <w:spacing w:before="1"/>
              <w:ind w:left="115"/>
              <w:rPr>
                <w:sz w:val="24"/>
              </w:rPr>
            </w:pPr>
            <w:r>
              <w:rPr>
                <w:sz w:val="24"/>
              </w:rPr>
              <w:t>Subject</w:t>
            </w:r>
            <w:r>
              <w:rPr>
                <w:spacing w:val="-2"/>
                <w:sz w:val="24"/>
              </w:rPr>
              <w:t xml:space="preserve"> Experience</w:t>
            </w:r>
          </w:p>
        </w:tc>
        <w:tc>
          <w:tcPr>
            <w:tcW w:w="2624" w:type="dxa"/>
          </w:tcPr>
          <w:p>
            <w:pPr>
              <w:pStyle w:val="TableParagraph"/>
              <w:spacing w:before="59"/>
              <w:ind w:left="565" w:hanging="348"/>
              <w:rPr>
                <w:sz w:val="24"/>
              </w:rPr>
            </w:pPr>
            <w:r>
              <w:rPr>
                <w:sz w:val="24"/>
              </w:rPr>
              <w:t>Exposure</w:t>
            </w:r>
            <w:r>
              <w:rPr>
                <w:spacing w:val="-15"/>
                <w:sz w:val="24"/>
              </w:rPr>
              <w:t xml:space="preserve"> </w:t>
            </w:r>
            <w:r>
              <w:rPr>
                <w:sz w:val="24"/>
              </w:rPr>
              <w:t>Required</w:t>
            </w:r>
            <w:r>
              <w:rPr>
                <w:spacing w:val="-15"/>
                <w:sz w:val="24"/>
              </w:rPr>
              <w:t xml:space="preserve"> </w:t>
            </w:r>
            <w:r>
              <w:rPr>
                <w:sz w:val="24"/>
              </w:rPr>
              <w:t>for Full Credibility</w:t>
            </w:r>
          </w:p>
        </w:tc>
        <w:tc>
          <w:tcPr>
            <w:tcW w:w="3332" w:type="dxa"/>
          </w:tcPr>
          <w:p>
            <w:pPr>
              <w:pStyle w:val="TableParagraph"/>
              <w:spacing w:before="59"/>
              <w:ind w:left="1143" w:hanging="684"/>
              <w:rPr>
                <w:sz w:val="24"/>
              </w:rPr>
            </w:pPr>
            <w:r>
              <w:rPr>
                <w:sz w:val="24"/>
              </w:rPr>
              <w:t>CMS</w:t>
            </w:r>
            <w:r>
              <w:rPr>
                <w:spacing w:val="-13"/>
                <w:sz w:val="24"/>
              </w:rPr>
              <w:t xml:space="preserve"> </w:t>
            </w:r>
            <w:r>
              <w:rPr>
                <w:sz w:val="24"/>
              </w:rPr>
              <w:t>Formula</w:t>
            </w:r>
            <w:r>
              <w:rPr>
                <w:spacing w:val="-13"/>
                <w:sz w:val="24"/>
              </w:rPr>
              <w:t xml:space="preserve"> </w:t>
            </w:r>
            <w:r>
              <w:rPr>
                <w:sz w:val="24"/>
              </w:rPr>
              <w:t>for</w:t>
            </w:r>
            <w:r>
              <w:rPr>
                <w:spacing w:val="-13"/>
                <w:sz w:val="24"/>
              </w:rPr>
              <w:t xml:space="preserve"> </w:t>
            </w:r>
            <w:r>
              <w:rPr>
                <w:sz w:val="24"/>
              </w:rPr>
              <w:t xml:space="preserve">Partial </w:t>
            </w:r>
            <w:r>
              <w:rPr>
                <w:spacing w:val="-2"/>
                <w:sz w:val="24"/>
              </w:rPr>
              <w:t>Credibility</w:t>
            </w:r>
          </w:p>
        </w:tc>
      </w:tr>
      <w:tr>
        <w:tblPrEx>
          <w:tblW w:w="0" w:type="auto"/>
          <w:jc w:val="left"/>
          <w:tblInd w:w="1342" w:type="dxa"/>
          <w:tblLayout w:type="fixed"/>
          <w:tblCellMar>
            <w:top w:w="0" w:type="dxa"/>
            <w:left w:w="0" w:type="dxa"/>
            <w:bottom w:w="0" w:type="dxa"/>
            <w:right w:w="0" w:type="dxa"/>
          </w:tblCellMar>
          <w:tblLook w:val="01E0"/>
        </w:tblPrEx>
        <w:trPr>
          <w:trHeight w:val="971"/>
          <w:jc w:val="left"/>
        </w:trPr>
        <w:tc>
          <w:tcPr>
            <w:tcW w:w="2305" w:type="dxa"/>
          </w:tcPr>
          <w:p>
            <w:pPr>
              <w:pStyle w:val="TableParagraph"/>
              <w:spacing w:before="207"/>
              <w:ind w:left="115"/>
              <w:rPr>
                <w:sz w:val="24"/>
              </w:rPr>
            </w:pPr>
            <w:r>
              <w:rPr>
                <w:spacing w:val="-2"/>
                <w:sz w:val="24"/>
              </w:rPr>
              <w:t>Non-</w:t>
            </w:r>
            <w:r>
              <w:rPr>
                <w:spacing w:val="-4"/>
                <w:sz w:val="24"/>
              </w:rPr>
              <w:t>ESRD</w:t>
            </w:r>
          </w:p>
          <w:p>
            <w:pPr>
              <w:pStyle w:val="TableParagraph"/>
              <w:ind w:left="115"/>
              <w:rPr>
                <w:sz w:val="24"/>
              </w:rPr>
            </w:pPr>
            <w:r>
              <w:rPr>
                <w:sz w:val="24"/>
              </w:rPr>
              <w:t>Allowed</w:t>
            </w:r>
            <w:r>
              <w:rPr>
                <w:spacing w:val="-2"/>
                <w:sz w:val="24"/>
              </w:rPr>
              <w:t xml:space="preserve"> Costs</w:t>
            </w:r>
          </w:p>
        </w:tc>
        <w:tc>
          <w:tcPr>
            <w:tcW w:w="2624" w:type="dxa"/>
          </w:tcPr>
          <w:p>
            <w:pPr>
              <w:pStyle w:val="TableParagraph"/>
              <w:spacing w:before="70"/>
              <w:rPr>
                <w:sz w:val="24"/>
              </w:rPr>
            </w:pPr>
          </w:p>
          <w:p>
            <w:pPr>
              <w:pStyle w:val="TableParagraph"/>
              <w:spacing w:before="1"/>
              <w:ind w:left="127"/>
              <w:jc w:val="center"/>
              <w:rPr>
                <w:sz w:val="24"/>
              </w:rPr>
            </w:pPr>
            <w:r>
              <w:rPr>
                <w:sz w:val="24"/>
              </w:rPr>
              <w:t>24,000</w:t>
            </w:r>
            <w:r>
              <w:rPr>
                <w:spacing w:val="-1"/>
                <w:sz w:val="24"/>
              </w:rPr>
              <w:t xml:space="preserve"> </w:t>
            </w:r>
            <w:r>
              <w:rPr>
                <w:sz w:val="24"/>
              </w:rPr>
              <w:t xml:space="preserve">member </w:t>
            </w:r>
            <w:r>
              <w:rPr>
                <w:spacing w:val="-2"/>
                <w:sz w:val="24"/>
              </w:rPr>
              <w:t>months</w:t>
            </w:r>
          </w:p>
        </w:tc>
        <w:tc>
          <w:tcPr>
            <w:tcW w:w="3332" w:type="dxa"/>
          </w:tcPr>
          <w:p>
            <w:pPr>
              <w:pStyle w:val="TableParagraph"/>
              <w:spacing w:before="6"/>
              <w:rPr>
                <w:sz w:val="9"/>
              </w:rPr>
            </w:pPr>
          </w:p>
          <w:p>
            <w:pPr>
              <w:pStyle w:val="TableParagraph"/>
              <w:spacing w:line="20" w:lineRule="exact"/>
              <w:ind w:left="911"/>
              <w:rPr>
                <w:sz w:val="2"/>
              </w:rPr>
            </w:pPr>
            <w:r>
              <w:rPr>
                <w:sz w:val="2"/>
              </w:rPr>
              <mc:AlternateContent>
                <mc:Choice Requires="wpg">
                  <w:drawing>
                    <wp:inline distT="0" distB="0" distL="0" distR="0">
                      <wp:extent cx="1076325" cy="10795"/>
                      <wp:effectExtent l="0" t="0" r="0" b="0"/>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076325" cy="10795"/>
                                <a:chOff x="0" y="0"/>
                                <a:chExt cx="1076325" cy="10795"/>
                              </a:xfrm>
                            </wpg:grpSpPr>
                            <wps:wsp xmlns:wps="http://schemas.microsoft.com/office/word/2010/wordprocessingShape">
                              <wps:cNvPr id="13" name="Graphic 13"/>
                              <wps:cNvSpPr/>
                              <wps:spPr>
                                <a:xfrm>
                                  <a:off x="0" y="0"/>
                                  <a:ext cx="1076325" cy="10795"/>
                                </a:xfrm>
                                <a:custGeom>
                                  <a:avLst/>
                                  <a:gdLst/>
                                  <a:rect l="l" t="t" r="r" b="b"/>
                                  <a:pathLst>
                                    <a:path fill="norm" h="10795" w="1076325" stroke="1">
                                      <a:moveTo>
                                        <a:pt x="1076248" y="0"/>
                                      </a:moveTo>
                                      <a:lnTo>
                                        <a:pt x="0" y="0"/>
                                      </a:lnTo>
                                      <a:lnTo>
                                        <a:pt x="0" y="10667"/>
                                      </a:lnTo>
                                      <a:lnTo>
                                        <a:pt x="1076248" y="10667"/>
                                      </a:lnTo>
                                      <a:lnTo>
                                        <a:pt x="1076248"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27" style="width:84.75pt;height:0.85pt;mso-position-horizontal-relative:char;mso-position-vertical-relative:line" coordorigin="0,0" coordsize="1695,17">
                      <v:rect id="_x0000_s1028" style="width:1695;height:17;position:absolute" filled="t" fillcolor="black" stroked="f">
                        <v:fill type="solid"/>
                      </v:rect>
                      <w10:wrap type="none"/>
                    </v:group>
                  </w:pict>
                </mc:Fallback>
              </mc:AlternateContent>
            </w:r>
          </w:p>
          <w:p>
            <w:pPr>
              <w:pStyle w:val="TableParagraph"/>
              <w:spacing w:before="64" w:line="223" w:lineRule="exact"/>
              <w:ind w:left="911"/>
              <w:rPr>
                <w:rFonts w:ascii="Cambria Math"/>
                <w:sz w:val="24"/>
              </w:rPr>
            </w:pPr>
            <w:r>
              <w:rPr>
                <w:rFonts w:ascii="Cambria Math"/>
                <w:sz w:val="24"/>
              </w:rPr>
              <w:t>member</w:t>
            </w:r>
            <w:r>
              <w:rPr>
                <w:rFonts w:ascii="Cambria Math"/>
                <w:spacing w:val="-1"/>
                <w:sz w:val="24"/>
              </w:rPr>
              <w:t xml:space="preserve"> </w:t>
            </w:r>
            <w:r>
              <w:rPr>
                <w:rFonts w:ascii="Cambria Math"/>
                <w:spacing w:val="-2"/>
                <w:sz w:val="24"/>
              </w:rPr>
              <w:t>months</w:t>
            </w:r>
          </w:p>
          <w:p>
            <w:pPr>
              <w:pStyle w:val="TableParagraph"/>
              <w:spacing w:line="172" w:lineRule="exact"/>
              <w:ind w:left="726"/>
              <w:rPr>
                <w:rFonts w:ascii="Cambria Math" w:hAnsi="Cambria Math"/>
                <w:sz w:val="24"/>
              </w:rPr>
            </w:pPr>
            <w:r>
              <w:rPr>
                <w:rFonts w:ascii="Cambria Math" w:hAnsi="Cambria Math"/>
                <w:sz w:val="24"/>
              </w:rPr>
              <mc:AlternateContent>
                <mc:Choice Requires="wpg">
                  <w:drawing>
                    <wp:anchor distT="0" distB="0" distL="0" distR="0" simplePos="0" relativeHeight="251658240" behindDoc="1" locked="0" layoutInCell="1" allowOverlap="1">
                      <wp:simplePos x="0" y="0"/>
                      <wp:positionH relativeFrom="column">
                        <wp:posOffset>579120</wp:posOffset>
                      </wp:positionH>
                      <wp:positionV relativeFrom="paragraph">
                        <wp:posOffset>69953</wp:posOffset>
                      </wp:positionV>
                      <wp:extent cx="1076325" cy="10795"/>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076325" cy="10795"/>
                                <a:chOff x="0" y="0"/>
                                <a:chExt cx="1076325" cy="10795"/>
                              </a:xfrm>
                            </wpg:grpSpPr>
                            <wps:wsp xmlns:wps="http://schemas.microsoft.com/office/word/2010/wordprocessingShape">
                              <wps:cNvPr id="15" name="Graphic 15"/>
                              <wps:cNvSpPr/>
                              <wps:spPr>
                                <a:xfrm>
                                  <a:off x="0" y="0"/>
                                  <a:ext cx="1076325" cy="10795"/>
                                </a:xfrm>
                                <a:custGeom>
                                  <a:avLst/>
                                  <a:gdLst/>
                                  <a:rect l="l" t="t" r="r" b="b"/>
                                  <a:pathLst>
                                    <a:path fill="norm" h="10795" w="1076325" stroke="1">
                                      <a:moveTo>
                                        <a:pt x="1076248" y="0"/>
                                      </a:moveTo>
                                      <a:lnTo>
                                        <a:pt x="0" y="0"/>
                                      </a:lnTo>
                                      <a:lnTo>
                                        <a:pt x="0" y="10667"/>
                                      </a:lnTo>
                                      <a:lnTo>
                                        <a:pt x="1076248" y="10667"/>
                                      </a:lnTo>
                                      <a:lnTo>
                                        <a:pt x="1076248"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_x0000_s1029" style="width:84.75pt;height:0.85pt;margin-top:5.51pt;margin-left:45.6pt;position:absolute;z-index:-251657216" coordorigin="912,110" coordsize="1695,17">
                      <v:rect id="_x0000_s1030" style="width:1695;height:17;left:912;position:absolute;top:110" filled="t" fillcolor="black" stroked="f">
                        <v:fill type="solid"/>
                      </v:rect>
                    </v:group>
                  </w:pict>
                </mc:Fallback>
              </mc:AlternateContent>
            </w:r>
            <w:r>
              <w:rPr>
                <w:rFonts w:ascii="Cambria Math" w:hAnsi="Cambria Math"/>
                <w:spacing w:val="-10"/>
                <w:w w:val="115"/>
                <w:sz w:val="24"/>
              </w:rPr>
              <w:t>√</w:t>
            </w:r>
          </w:p>
          <w:p>
            <w:pPr>
              <w:pStyle w:val="TableParagraph"/>
              <w:spacing w:line="229" w:lineRule="exact"/>
              <w:ind w:left="1400"/>
              <w:rPr>
                <w:rFonts w:ascii="Cambria Math"/>
                <w:sz w:val="24"/>
              </w:rPr>
            </w:pPr>
            <w:r>
              <w:rPr>
                <w:rFonts w:ascii="Cambria Math"/>
                <w:spacing w:val="-2"/>
                <w:sz w:val="24"/>
              </w:rPr>
              <w:t>24,000</w:t>
            </w:r>
          </w:p>
        </w:tc>
      </w:tr>
      <w:tr>
        <w:tblPrEx>
          <w:tblW w:w="0" w:type="auto"/>
          <w:jc w:val="left"/>
          <w:tblInd w:w="1342" w:type="dxa"/>
          <w:tblLayout w:type="fixed"/>
          <w:tblCellMar>
            <w:top w:w="0" w:type="dxa"/>
            <w:left w:w="0" w:type="dxa"/>
            <w:bottom w:w="0" w:type="dxa"/>
            <w:right w:w="0" w:type="dxa"/>
          </w:tblCellMar>
          <w:tblLook w:val="01E0"/>
        </w:tblPrEx>
        <w:trPr>
          <w:trHeight w:val="969"/>
          <w:jc w:val="left"/>
        </w:trPr>
        <w:tc>
          <w:tcPr>
            <w:tcW w:w="2305" w:type="dxa"/>
          </w:tcPr>
          <w:p>
            <w:pPr>
              <w:pStyle w:val="TableParagraph"/>
              <w:spacing w:before="207"/>
              <w:ind w:left="115"/>
              <w:rPr>
                <w:sz w:val="24"/>
              </w:rPr>
            </w:pPr>
            <w:r>
              <w:rPr>
                <w:spacing w:val="-4"/>
                <w:sz w:val="24"/>
              </w:rPr>
              <w:t>ESRD</w:t>
            </w:r>
          </w:p>
          <w:p>
            <w:pPr>
              <w:pStyle w:val="TableParagraph"/>
              <w:ind w:left="115"/>
              <w:rPr>
                <w:sz w:val="24"/>
              </w:rPr>
            </w:pPr>
            <w:r>
              <w:rPr>
                <w:sz w:val="24"/>
              </w:rPr>
              <w:t>Allowed</w:t>
            </w:r>
            <w:r>
              <w:rPr>
                <w:spacing w:val="-1"/>
                <w:sz w:val="24"/>
              </w:rPr>
              <w:t xml:space="preserve"> </w:t>
            </w:r>
            <w:r>
              <w:rPr>
                <w:spacing w:val="-2"/>
                <w:sz w:val="24"/>
              </w:rPr>
              <w:t>Costs</w:t>
            </w:r>
          </w:p>
        </w:tc>
        <w:tc>
          <w:tcPr>
            <w:tcW w:w="2624" w:type="dxa"/>
          </w:tcPr>
          <w:p>
            <w:pPr>
              <w:pStyle w:val="TableParagraph"/>
              <w:spacing w:before="68"/>
              <w:rPr>
                <w:sz w:val="24"/>
              </w:rPr>
            </w:pPr>
          </w:p>
          <w:p>
            <w:pPr>
              <w:pStyle w:val="TableParagraph"/>
              <w:ind w:left="247"/>
              <w:jc w:val="center"/>
              <w:rPr>
                <w:sz w:val="24"/>
              </w:rPr>
            </w:pPr>
            <w:r>
              <w:rPr>
                <w:sz w:val="24"/>
              </w:rPr>
              <w:t>3,000</w:t>
            </w:r>
            <w:r>
              <w:rPr>
                <w:spacing w:val="-1"/>
                <w:sz w:val="24"/>
              </w:rPr>
              <w:t xml:space="preserve"> </w:t>
            </w:r>
            <w:r>
              <w:rPr>
                <w:sz w:val="24"/>
              </w:rPr>
              <w:t xml:space="preserve">member </w:t>
            </w:r>
            <w:r>
              <w:rPr>
                <w:spacing w:val="-2"/>
                <w:sz w:val="24"/>
              </w:rPr>
              <w:t>months</w:t>
            </w:r>
          </w:p>
        </w:tc>
        <w:tc>
          <w:tcPr>
            <w:tcW w:w="3332" w:type="dxa"/>
          </w:tcPr>
          <w:p>
            <w:pPr>
              <w:pStyle w:val="TableParagraph"/>
              <w:spacing w:before="6"/>
              <w:rPr>
                <w:sz w:val="9"/>
              </w:rPr>
            </w:pPr>
          </w:p>
          <w:p>
            <w:pPr>
              <w:pStyle w:val="TableParagraph"/>
              <w:spacing w:line="20" w:lineRule="exact"/>
              <w:ind w:left="911"/>
              <w:rPr>
                <w:sz w:val="2"/>
              </w:rPr>
            </w:pPr>
            <w:r>
              <w:rPr>
                <w:sz w:val="2"/>
              </w:rPr>
              <mc:AlternateContent>
                <mc:Choice Requires="wpg">
                  <w:drawing>
                    <wp:inline distT="0" distB="0" distL="0" distR="0">
                      <wp:extent cx="1076325" cy="10795"/>
                      <wp:effectExtent l="0" t="0" r="0" b="0"/>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076325" cy="10795"/>
                                <a:chOff x="0" y="0"/>
                                <a:chExt cx="1076325" cy="10795"/>
                              </a:xfrm>
                            </wpg:grpSpPr>
                            <wps:wsp xmlns:wps="http://schemas.microsoft.com/office/word/2010/wordprocessingShape">
                              <wps:cNvPr id="17" name="Graphic 17"/>
                              <wps:cNvSpPr/>
                              <wps:spPr>
                                <a:xfrm>
                                  <a:off x="0" y="0"/>
                                  <a:ext cx="1076325" cy="10795"/>
                                </a:xfrm>
                                <a:custGeom>
                                  <a:avLst/>
                                  <a:gdLst/>
                                  <a:rect l="l" t="t" r="r" b="b"/>
                                  <a:pathLst>
                                    <a:path fill="norm" h="10795" w="1076325" stroke="1">
                                      <a:moveTo>
                                        <a:pt x="1076248" y="0"/>
                                      </a:moveTo>
                                      <a:lnTo>
                                        <a:pt x="0" y="0"/>
                                      </a:lnTo>
                                      <a:lnTo>
                                        <a:pt x="0" y="10668"/>
                                      </a:lnTo>
                                      <a:lnTo>
                                        <a:pt x="1076248" y="10668"/>
                                      </a:lnTo>
                                      <a:lnTo>
                                        <a:pt x="1076248"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1" style="width:84.75pt;height:0.85pt;mso-position-horizontal-relative:char;mso-position-vertical-relative:line" coordorigin="0,0" coordsize="1695,17">
                      <v:rect id="_x0000_s1032" style="width:1695;height:17;position:absolute" filled="t" fillcolor="black" stroked="f">
                        <v:fill type="solid"/>
                      </v:rect>
                      <w10:wrap type="none"/>
                    </v:group>
                  </w:pict>
                </mc:Fallback>
              </mc:AlternateContent>
            </w:r>
          </w:p>
          <w:p>
            <w:pPr>
              <w:pStyle w:val="TableParagraph"/>
              <w:spacing w:before="64" w:line="223" w:lineRule="exact"/>
              <w:ind w:left="911"/>
              <w:rPr>
                <w:rFonts w:ascii="Cambria Math"/>
                <w:sz w:val="24"/>
              </w:rPr>
            </w:pPr>
            <w:r>
              <w:rPr>
                <w:rFonts w:ascii="Cambria Math"/>
                <w:sz w:val="24"/>
              </w:rPr>
              <w:t>member</w:t>
            </w:r>
            <w:r>
              <w:rPr>
                <w:rFonts w:ascii="Cambria Math"/>
                <w:spacing w:val="-1"/>
                <w:sz w:val="24"/>
              </w:rPr>
              <w:t xml:space="preserve"> </w:t>
            </w:r>
            <w:r>
              <w:rPr>
                <w:rFonts w:ascii="Cambria Math"/>
                <w:spacing w:val="-2"/>
                <w:sz w:val="24"/>
              </w:rPr>
              <w:t>months</w:t>
            </w:r>
          </w:p>
          <w:p>
            <w:pPr>
              <w:pStyle w:val="TableParagraph"/>
              <w:spacing w:line="172" w:lineRule="exact"/>
              <w:ind w:left="726"/>
              <w:rPr>
                <w:rFonts w:ascii="Cambria Math" w:hAnsi="Cambria Math"/>
                <w:sz w:val="24"/>
              </w:rPr>
            </w:pPr>
            <w:r>
              <w:rPr>
                <w:rFonts w:ascii="Cambria Math" w:hAnsi="Cambria Math"/>
                <w:sz w:val="24"/>
              </w:rPr>
              <mc:AlternateContent>
                <mc:Choice Requires="wpg">
                  <w:drawing>
                    <wp:anchor distT="0" distB="0" distL="0" distR="0" simplePos="0" relativeHeight="251660288" behindDoc="1" locked="0" layoutInCell="1" allowOverlap="1">
                      <wp:simplePos x="0" y="0"/>
                      <wp:positionH relativeFrom="column">
                        <wp:posOffset>579120</wp:posOffset>
                      </wp:positionH>
                      <wp:positionV relativeFrom="paragraph">
                        <wp:posOffset>69953</wp:posOffset>
                      </wp:positionV>
                      <wp:extent cx="1076325" cy="10795"/>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076325" cy="10795"/>
                                <a:chOff x="0" y="0"/>
                                <a:chExt cx="1076325" cy="10795"/>
                              </a:xfrm>
                            </wpg:grpSpPr>
                            <wps:wsp xmlns:wps="http://schemas.microsoft.com/office/word/2010/wordprocessingShape">
                              <wps:cNvPr id="19" name="Graphic 19"/>
                              <wps:cNvSpPr/>
                              <wps:spPr>
                                <a:xfrm>
                                  <a:off x="0" y="0"/>
                                  <a:ext cx="1076325" cy="10795"/>
                                </a:xfrm>
                                <a:custGeom>
                                  <a:avLst/>
                                  <a:gdLst/>
                                  <a:rect l="l" t="t" r="r" b="b"/>
                                  <a:pathLst>
                                    <a:path fill="norm" h="10795" w="1076325" stroke="1">
                                      <a:moveTo>
                                        <a:pt x="1076248" y="0"/>
                                      </a:moveTo>
                                      <a:lnTo>
                                        <a:pt x="0" y="0"/>
                                      </a:lnTo>
                                      <a:lnTo>
                                        <a:pt x="0" y="10668"/>
                                      </a:lnTo>
                                      <a:lnTo>
                                        <a:pt x="1076248" y="10668"/>
                                      </a:lnTo>
                                      <a:lnTo>
                                        <a:pt x="1076248"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_x0000_s1033" style="width:84.75pt;height:0.85pt;margin-top:5.51pt;margin-left:45.6pt;position:absolute;z-index:-251655168" coordorigin="912,110" coordsize="1695,17">
                      <v:rect id="_x0000_s1034" style="width:1695;height:17;left:912;position:absolute;top:110" filled="t" fillcolor="black" stroked="f">
                        <v:fill type="solid"/>
                      </v:rect>
                    </v:group>
                  </w:pict>
                </mc:Fallback>
              </mc:AlternateContent>
            </w:r>
            <w:r>
              <w:rPr>
                <w:rFonts w:ascii="Cambria Math" w:hAnsi="Cambria Math"/>
                <w:spacing w:val="-10"/>
                <w:w w:val="115"/>
                <w:sz w:val="24"/>
              </w:rPr>
              <w:t>√</w:t>
            </w:r>
          </w:p>
          <w:p>
            <w:pPr>
              <w:pStyle w:val="TableParagraph"/>
              <w:spacing w:line="229" w:lineRule="exact"/>
              <w:ind w:left="1467"/>
              <w:rPr>
                <w:rFonts w:ascii="Cambria Math"/>
                <w:sz w:val="24"/>
              </w:rPr>
            </w:pPr>
            <w:r>
              <w:rPr>
                <w:rFonts w:ascii="Cambria Math"/>
                <w:spacing w:val="-4"/>
                <w:sz w:val="24"/>
              </w:rPr>
              <w:t>3,000</w:t>
            </w:r>
          </w:p>
        </w:tc>
      </w:tr>
    </w:tbl>
    <w:p>
      <w:pPr>
        <w:spacing w:before="241"/>
        <w:ind w:left="1224" w:right="0" w:firstLine="0"/>
        <w:jc w:val="left"/>
        <w:rPr>
          <w:rFonts w:ascii="Arial"/>
          <w:b/>
          <w:i/>
          <w:sz w:val="21"/>
        </w:rPr>
      </w:pPr>
      <w:bookmarkStart w:id="49" w:name="Risk Score Credibility"/>
      <w:bookmarkEnd w:id="49"/>
      <w:r>
        <w:rPr>
          <w:rFonts w:ascii="Arial"/>
          <w:b/>
          <w:i/>
          <w:sz w:val="21"/>
        </w:rPr>
        <w:t>Risk</w:t>
      </w:r>
      <w:r>
        <w:rPr>
          <w:rFonts w:ascii="Arial"/>
          <w:b/>
          <w:i/>
          <w:spacing w:val="-5"/>
          <w:sz w:val="21"/>
        </w:rPr>
        <w:t xml:space="preserve"> </w:t>
      </w:r>
      <w:r>
        <w:rPr>
          <w:rFonts w:ascii="Arial"/>
          <w:b/>
          <w:i/>
          <w:sz w:val="21"/>
        </w:rPr>
        <w:t>Score</w:t>
      </w:r>
      <w:r>
        <w:rPr>
          <w:rFonts w:ascii="Arial"/>
          <w:b/>
          <w:i/>
          <w:spacing w:val="-5"/>
          <w:sz w:val="21"/>
        </w:rPr>
        <w:t xml:space="preserve"> </w:t>
      </w:r>
      <w:r>
        <w:rPr>
          <w:rFonts w:ascii="Arial"/>
          <w:b/>
          <w:i/>
          <w:spacing w:val="-2"/>
          <w:sz w:val="21"/>
        </w:rPr>
        <w:t>Credibility</w:t>
      </w:r>
    </w:p>
    <w:p>
      <w:pPr>
        <w:pStyle w:val="BodyText"/>
        <w:spacing w:before="121"/>
        <w:ind w:left="1224" w:right="1481"/>
      </w:pPr>
      <w:r>
        <w:t>This section pertains to the credibility of risk scores based on the CMS preferred methodology.</w:t>
      </w:r>
      <w:r>
        <w:rPr>
          <w:spacing w:val="-4"/>
        </w:rPr>
        <w:t xml:space="preserve"> </w:t>
      </w:r>
      <w:r>
        <w:t>CMS</w:t>
      </w:r>
      <w:r>
        <w:rPr>
          <w:spacing w:val="-4"/>
        </w:rPr>
        <w:t xml:space="preserve"> </w:t>
      </w:r>
      <w:r>
        <w:t>has</w:t>
      </w:r>
      <w:r>
        <w:rPr>
          <w:spacing w:val="-5"/>
        </w:rPr>
        <w:t xml:space="preserve"> </w:t>
      </w:r>
      <w:r>
        <w:t>not</w:t>
      </w:r>
      <w:r>
        <w:rPr>
          <w:spacing w:val="-4"/>
        </w:rPr>
        <w:t xml:space="preserve"> </w:t>
      </w:r>
      <w:r>
        <w:t>developed</w:t>
      </w:r>
      <w:r>
        <w:rPr>
          <w:spacing w:val="-4"/>
        </w:rPr>
        <w:t xml:space="preserve"> </w:t>
      </w:r>
      <w:r>
        <w:t>credibility</w:t>
      </w:r>
      <w:r>
        <w:rPr>
          <w:spacing w:val="-4"/>
        </w:rPr>
        <w:t xml:space="preserve"> </w:t>
      </w:r>
      <w:r>
        <w:t>guidelines</w:t>
      </w:r>
      <w:r>
        <w:rPr>
          <w:spacing w:val="-5"/>
        </w:rPr>
        <w:t xml:space="preserve"> </w:t>
      </w:r>
      <w:r>
        <w:t>for</w:t>
      </w:r>
      <w:r>
        <w:rPr>
          <w:spacing w:val="-6"/>
        </w:rPr>
        <w:t xml:space="preserve"> </w:t>
      </w:r>
      <w:r>
        <w:t>risk</w:t>
      </w:r>
      <w:r>
        <w:rPr>
          <w:spacing w:val="-4"/>
        </w:rPr>
        <w:t xml:space="preserve"> </w:t>
      </w:r>
      <w:r>
        <w:t>scores</w:t>
      </w:r>
      <w:r>
        <w:rPr>
          <w:spacing w:val="-2"/>
        </w:rPr>
        <w:t xml:space="preserve"> </w:t>
      </w:r>
      <w:r>
        <w:t>based</w:t>
      </w:r>
      <w:r>
        <w:rPr>
          <w:spacing w:val="-4"/>
        </w:rPr>
        <w:t xml:space="preserve"> </w:t>
      </w:r>
      <w:r>
        <w:t>on alternate approaches or for CMS-HCC ESRD risk scores.</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left="1224"/>
      </w:pPr>
      <w:r>
        <w:t>CMS</w:t>
      </w:r>
      <w:r>
        <w:rPr>
          <w:spacing w:val="-2"/>
        </w:rPr>
        <w:t xml:space="preserve"> </w:t>
      </w:r>
      <w:r>
        <w:t>has</w:t>
      </w:r>
      <w:r>
        <w:rPr>
          <w:spacing w:val="-2"/>
        </w:rPr>
        <w:t xml:space="preserve"> </w:t>
      </w:r>
      <w:r>
        <w:t>established</w:t>
      </w:r>
      <w:r>
        <w:rPr>
          <w:spacing w:val="-1"/>
        </w:rPr>
        <w:t xml:space="preserve"> </w:t>
      </w:r>
      <w:r>
        <w:t>MA</w:t>
      </w:r>
      <w:r>
        <w:rPr>
          <w:spacing w:val="-2"/>
        </w:rPr>
        <w:t xml:space="preserve"> </w:t>
      </w:r>
      <w:r>
        <w:t>credibility</w:t>
      </w:r>
      <w:r>
        <w:rPr>
          <w:spacing w:val="-1"/>
        </w:rPr>
        <w:t xml:space="preserve"> </w:t>
      </w:r>
      <w:r>
        <w:t>guidelines</w:t>
      </w:r>
      <w:r>
        <w:rPr>
          <w:spacing w:val="-1"/>
        </w:rPr>
        <w:t xml:space="preserve"> </w:t>
      </w:r>
      <w:r>
        <w:t>as</w:t>
      </w:r>
      <w:r>
        <w:rPr>
          <w:spacing w:val="-1"/>
        </w:rPr>
        <w:t xml:space="preserve"> </w:t>
      </w:r>
      <w:r>
        <w:t>summarized</w:t>
      </w:r>
      <w:r>
        <w:rPr>
          <w:spacing w:val="-1"/>
        </w:rPr>
        <w:t xml:space="preserve"> </w:t>
      </w:r>
      <w:r>
        <w:t>in</w:t>
      </w:r>
      <w:r>
        <w:rPr>
          <w:spacing w:val="-2"/>
        </w:rPr>
        <w:t xml:space="preserve"> </w:t>
      </w:r>
      <w:r>
        <w:t>the</w:t>
      </w:r>
      <w:r>
        <w:rPr>
          <w:spacing w:val="-2"/>
        </w:rPr>
        <w:t xml:space="preserve"> </w:t>
      </w:r>
      <w:r>
        <w:t>following</w:t>
      </w:r>
      <w:r>
        <w:rPr>
          <w:spacing w:val="-1"/>
        </w:rPr>
        <w:t xml:space="preserve"> </w:t>
      </w:r>
      <w:r>
        <w:rPr>
          <w:spacing w:val="-2"/>
        </w:rPr>
        <w:t>table:</w:t>
      </w:r>
    </w:p>
    <w:p>
      <w:pPr>
        <w:pStyle w:val="BodyText"/>
        <w:spacing w:before="6"/>
        <w:ind w:left="0"/>
        <w:rPr>
          <w:sz w:val="10"/>
        </w:rPr>
      </w:pPr>
    </w:p>
    <w:tbl>
      <w:tblPr>
        <w:tblStyle w:val="TableNormal"/>
        <w:tblW w:w="0" w:type="auto"/>
        <w:jc w:val="left"/>
        <w:tblInd w:w="1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2"/>
        <w:gridCol w:w="2379"/>
        <w:gridCol w:w="2850"/>
      </w:tblGrid>
      <w:tr>
        <w:tblPrEx>
          <w:tblW w:w="0" w:type="auto"/>
          <w:jc w:val="left"/>
          <w:tblInd w:w="1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71"/>
          <w:jc w:val="left"/>
        </w:trPr>
        <w:tc>
          <w:tcPr>
            <w:tcW w:w="3152" w:type="dxa"/>
          </w:tcPr>
          <w:p>
            <w:pPr>
              <w:pStyle w:val="TableParagraph"/>
              <w:spacing w:before="58"/>
              <w:rPr>
                <w:sz w:val="24"/>
              </w:rPr>
            </w:pPr>
          </w:p>
          <w:p>
            <w:pPr>
              <w:pStyle w:val="TableParagraph"/>
              <w:spacing w:before="1"/>
              <w:ind w:left="115"/>
              <w:rPr>
                <w:sz w:val="24"/>
              </w:rPr>
            </w:pPr>
            <w:r>
              <w:rPr>
                <w:sz w:val="24"/>
              </w:rPr>
              <w:t>Subject</w:t>
            </w:r>
            <w:r>
              <w:rPr>
                <w:spacing w:val="-2"/>
                <w:sz w:val="24"/>
              </w:rPr>
              <w:t xml:space="preserve"> Experience</w:t>
            </w:r>
          </w:p>
        </w:tc>
        <w:tc>
          <w:tcPr>
            <w:tcW w:w="2379" w:type="dxa"/>
          </w:tcPr>
          <w:p>
            <w:pPr>
              <w:pStyle w:val="TableParagraph"/>
              <w:spacing w:before="59"/>
              <w:ind w:left="275" w:right="252" w:hanging="10"/>
              <w:rPr>
                <w:sz w:val="24"/>
              </w:rPr>
            </w:pPr>
            <w:r>
              <w:rPr>
                <w:sz w:val="24"/>
              </w:rPr>
              <w:t>Exposure</w:t>
            </w:r>
            <w:r>
              <w:rPr>
                <w:spacing w:val="-15"/>
                <w:sz w:val="24"/>
              </w:rPr>
              <w:t xml:space="preserve"> </w:t>
            </w:r>
            <w:r>
              <w:rPr>
                <w:sz w:val="24"/>
              </w:rPr>
              <w:t>Required for</w:t>
            </w:r>
            <w:r>
              <w:rPr>
                <w:spacing w:val="-5"/>
                <w:sz w:val="24"/>
              </w:rPr>
              <w:t xml:space="preserve"> </w:t>
            </w:r>
            <w:r>
              <w:rPr>
                <w:sz w:val="24"/>
              </w:rPr>
              <w:t>Full</w:t>
            </w:r>
            <w:r>
              <w:rPr>
                <w:spacing w:val="-1"/>
                <w:sz w:val="24"/>
              </w:rPr>
              <w:t xml:space="preserve"> </w:t>
            </w:r>
            <w:r>
              <w:rPr>
                <w:spacing w:val="-2"/>
                <w:sz w:val="24"/>
              </w:rPr>
              <w:t>Credibility</w:t>
            </w:r>
          </w:p>
        </w:tc>
        <w:tc>
          <w:tcPr>
            <w:tcW w:w="2850" w:type="dxa"/>
          </w:tcPr>
          <w:p>
            <w:pPr>
              <w:pStyle w:val="TableParagraph"/>
              <w:spacing w:before="59"/>
              <w:ind w:left="561" w:firstLine="2"/>
              <w:rPr>
                <w:sz w:val="24"/>
              </w:rPr>
            </w:pPr>
            <w:r>
              <w:rPr>
                <w:sz w:val="24"/>
              </w:rPr>
              <w:t>CMS</w:t>
            </w:r>
            <w:r>
              <w:rPr>
                <w:spacing w:val="-15"/>
                <w:sz w:val="24"/>
              </w:rPr>
              <w:t xml:space="preserve"> </w:t>
            </w:r>
            <w:r>
              <w:rPr>
                <w:sz w:val="24"/>
              </w:rPr>
              <w:t>Formula</w:t>
            </w:r>
            <w:r>
              <w:rPr>
                <w:spacing w:val="-15"/>
                <w:sz w:val="24"/>
              </w:rPr>
              <w:t xml:space="preserve"> </w:t>
            </w:r>
            <w:r>
              <w:rPr>
                <w:sz w:val="24"/>
              </w:rPr>
              <w:t>for Partial</w:t>
            </w:r>
            <w:r>
              <w:rPr>
                <w:spacing w:val="-2"/>
                <w:sz w:val="24"/>
              </w:rPr>
              <w:t xml:space="preserve"> Credibility</w:t>
            </w:r>
          </w:p>
        </w:tc>
      </w:tr>
      <w:tr>
        <w:tblPrEx>
          <w:tblW w:w="0" w:type="auto"/>
          <w:jc w:val="left"/>
          <w:tblInd w:w="1342" w:type="dxa"/>
          <w:tblLayout w:type="fixed"/>
          <w:tblCellMar>
            <w:top w:w="0" w:type="dxa"/>
            <w:left w:w="0" w:type="dxa"/>
            <w:bottom w:w="0" w:type="dxa"/>
            <w:right w:w="0" w:type="dxa"/>
          </w:tblCellMar>
          <w:tblLook w:val="01E0"/>
        </w:tblPrEx>
        <w:trPr>
          <w:trHeight w:val="971"/>
          <w:jc w:val="left"/>
        </w:trPr>
        <w:tc>
          <w:tcPr>
            <w:tcW w:w="3152" w:type="dxa"/>
          </w:tcPr>
          <w:p>
            <w:pPr>
              <w:pStyle w:val="TableParagraph"/>
              <w:spacing w:before="71"/>
              <w:ind w:left="115" w:right="60"/>
              <w:rPr>
                <w:sz w:val="24"/>
              </w:rPr>
            </w:pPr>
            <w:r>
              <w:rPr>
                <w:sz w:val="24"/>
              </w:rPr>
              <w:t>Estimated Part C risk scores for</w:t>
            </w:r>
            <w:r>
              <w:rPr>
                <w:spacing w:val="-12"/>
                <w:sz w:val="24"/>
              </w:rPr>
              <w:t xml:space="preserve"> </w:t>
            </w:r>
            <w:r>
              <w:rPr>
                <w:sz w:val="24"/>
              </w:rPr>
              <w:t>development</w:t>
            </w:r>
            <w:r>
              <w:rPr>
                <w:spacing w:val="-10"/>
                <w:sz w:val="24"/>
              </w:rPr>
              <w:t xml:space="preserve"> </w:t>
            </w:r>
            <w:r>
              <w:rPr>
                <w:sz w:val="24"/>
              </w:rPr>
              <w:t>of</w:t>
            </w:r>
            <w:r>
              <w:rPr>
                <w:spacing w:val="-10"/>
                <w:sz w:val="24"/>
              </w:rPr>
              <w:t xml:space="preserve"> </w:t>
            </w:r>
            <w:r>
              <w:rPr>
                <w:sz w:val="24"/>
              </w:rPr>
              <w:t>2027</w:t>
            </w:r>
            <w:r>
              <w:rPr>
                <w:spacing w:val="-8"/>
                <w:sz w:val="24"/>
              </w:rPr>
              <w:t xml:space="preserve"> </w:t>
            </w:r>
            <w:r>
              <w:rPr>
                <w:sz w:val="24"/>
              </w:rPr>
              <w:t>bids as posted on HPMS</w:t>
            </w:r>
          </w:p>
        </w:tc>
        <w:tc>
          <w:tcPr>
            <w:tcW w:w="2379" w:type="dxa"/>
          </w:tcPr>
          <w:p>
            <w:pPr>
              <w:pStyle w:val="TableParagraph"/>
              <w:spacing w:before="70"/>
              <w:rPr>
                <w:sz w:val="24"/>
              </w:rPr>
            </w:pPr>
          </w:p>
          <w:p>
            <w:pPr>
              <w:pStyle w:val="TableParagraph"/>
              <w:spacing w:before="1"/>
              <w:ind w:left="364"/>
              <w:rPr>
                <w:sz w:val="24"/>
              </w:rPr>
            </w:pPr>
            <w:r>
              <w:rPr>
                <w:sz w:val="24"/>
              </w:rPr>
              <w:t xml:space="preserve">300 </w:t>
            </w:r>
            <w:r>
              <w:rPr>
                <w:spacing w:val="-2"/>
                <w:sz w:val="24"/>
              </w:rPr>
              <w:t>beneficiaries</w:t>
            </w:r>
          </w:p>
        </w:tc>
        <w:tc>
          <w:tcPr>
            <w:tcW w:w="2850" w:type="dxa"/>
          </w:tcPr>
          <w:p>
            <w:pPr>
              <w:pStyle w:val="TableParagraph"/>
              <w:spacing w:before="9"/>
              <w:rPr>
                <w:sz w:val="9"/>
              </w:rPr>
            </w:pPr>
          </w:p>
          <w:p>
            <w:pPr>
              <w:pStyle w:val="TableParagraph"/>
              <w:spacing w:line="20" w:lineRule="exact"/>
              <w:ind w:left="299"/>
              <w:rPr>
                <w:sz w:val="2"/>
              </w:rPr>
            </w:pPr>
            <w:r>
              <w:rPr>
                <w:sz w:val="2"/>
              </w:rPr>
              <mc:AlternateContent>
                <mc:Choice Requires="wpg">
                  <w:drawing>
                    <wp:inline distT="0" distB="0" distL="0" distR="0">
                      <wp:extent cx="1545590" cy="10795"/>
                      <wp:effectExtent l="0" t="0" r="0" b="0"/>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545590" cy="10795"/>
                                <a:chOff x="0" y="0"/>
                                <a:chExt cx="1545590" cy="10795"/>
                              </a:xfrm>
                            </wpg:grpSpPr>
                            <wps:wsp xmlns:wps="http://schemas.microsoft.com/office/word/2010/wordprocessingShape">
                              <wps:cNvPr id="21" name="Graphic 21"/>
                              <wps:cNvSpPr/>
                              <wps:spPr>
                                <a:xfrm>
                                  <a:off x="0" y="0"/>
                                  <a:ext cx="1545590" cy="10795"/>
                                </a:xfrm>
                                <a:custGeom>
                                  <a:avLst/>
                                  <a:gdLst/>
                                  <a:rect l="l" t="t" r="r" b="b"/>
                                  <a:pathLst>
                                    <a:path fill="norm" h="10795" w="1545590" stroke="1">
                                      <a:moveTo>
                                        <a:pt x="1545590" y="0"/>
                                      </a:moveTo>
                                      <a:lnTo>
                                        <a:pt x="0" y="0"/>
                                      </a:lnTo>
                                      <a:lnTo>
                                        <a:pt x="0" y="10668"/>
                                      </a:lnTo>
                                      <a:lnTo>
                                        <a:pt x="1545590" y="10668"/>
                                      </a:lnTo>
                                      <a:lnTo>
                                        <a:pt x="154559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5" style="width:121.7pt;height:0.85pt;mso-position-horizontal-relative:char;mso-position-vertical-relative:line" coordorigin="0,0" coordsize="2434,17">
                      <v:rect id="_x0000_s1036" style="width:2434;height:17;position:absolute" filled="t" fillcolor="black" stroked="f">
                        <v:fill type="solid"/>
                      </v:rect>
                      <w10:wrap type="none"/>
                    </v:group>
                  </w:pict>
                </mc:Fallback>
              </mc:AlternateContent>
            </w:r>
          </w:p>
          <w:p>
            <w:pPr>
              <w:pStyle w:val="TableParagraph"/>
              <w:spacing w:before="94" w:line="192" w:lineRule="auto"/>
              <w:ind w:left="1317" w:hanging="1203"/>
              <w:rPr>
                <w:rFonts w:ascii="Cambria Math" w:hAnsi="Cambria Math"/>
                <w:sz w:val="24"/>
              </w:rPr>
            </w:pPr>
            <w:r>
              <w:rPr>
                <w:rFonts w:ascii="Cambria Math" w:hAnsi="Cambria Math"/>
                <w:sz w:val="24"/>
              </w:rPr>
              <mc:AlternateContent>
                <mc:Choice Requires="wpg">
                  <w:drawing>
                    <wp:anchor distT="0" distB="0" distL="0" distR="0" simplePos="0" relativeHeight="251662336" behindDoc="1" locked="0" layoutInCell="1" allowOverlap="1">
                      <wp:simplePos x="0" y="0"/>
                      <wp:positionH relativeFrom="column">
                        <wp:posOffset>190500</wp:posOffset>
                      </wp:positionH>
                      <wp:positionV relativeFrom="paragraph">
                        <wp:posOffset>261643</wp:posOffset>
                      </wp:positionV>
                      <wp:extent cx="1545590" cy="10795"/>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545590" cy="10795"/>
                                <a:chOff x="0" y="0"/>
                                <a:chExt cx="1545590" cy="10795"/>
                              </a:xfrm>
                            </wpg:grpSpPr>
                            <wps:wsp xmlns:wps="http://schemas.microsoft.com/office/word/2010/wordprocessingShape">
                              <wps:cNvPr id="23" name="Graphic 23"/>
                              <wps:cNvSpPr/>
                              <wps:spPr>
                                <a:xfrm>
                                  <a:off x="0" y="0"/>
                                  <a:ext cx="1545590" cy="10795"/>
                                </a:xfrm>
                                <a:custGeom>
                                  <a:avLst/>
                                  <a:gdLst/>
                                  <a:rect l="l" t="t" r="r" b="b"/>
                                  <a:pathLst>
                                    <a:path fill="norm" h="10795" w="1545590" stroke="1">
                                      <a:moveTo>
                                        <a:pt x="1545590" y="0"/>
                                      </a:moveTo>
                                      <a:lnTo>
                                        <a:pt x="0" y="0"/>
                                      </a:lnTo>
                                      <a:lnTo>
                                        <a:pt x="0" y="10668"/>
                                      </a:lnTo>
                                      <a:lnTo>
                                        <a:pt x="1545590" y="10668"/>
                                      </a:lnTo>
                                      <a:lnTo>
                                        <a:pt x="1545590"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_x0000_s1037" style="width:121.7pt;height:0.85pt;margin-top:20.6pt;margin-left:15pt;position:absolute;z-index:-251653120" coordorigin="300,412" coordsize="2434,17">
                      <v:rect id="_x0000_s1038" style="width:2434;height:17;left:300;position:absolute;top:412" filled="t" fillcolor="black" stroked="f">
                        <v:fill type="solid"/>
                      </v:rect>
                    </v:group>
                  </w:pict>
                </mc:Fallback>
              </mc:AlternateContent>
            </w:r>
            <w:r>
              <w:rPr>
                <w:rFonts w:ascii="Cambria Math" w:hAnsi="Cambria Math"/>
                <w:position w:val="-14"/>
                <w:sz w:val="24"/>
              </w:rPr>
              <w:t>√</w:t>
            </w:r>
            <w:r>
              <w:rPr>
                <w:rFonts w:ascii="Cambria Math" w:hAnsi="Cambria Math"/>
                <w:sz w:val="24"/>
              </w:rPr>
              <w:t>number</w:t>
            </w:r>
            <w:r>
              <w:rPr>
                <w:rFonts w:ascii="Cambria Math" w:hAnsi="Cambria Math"/>
                <w:spacing w:val="-5"/>
                <w:sz w:val="24"/>
              </w:rPr>
              <w:t xml:space="preserve"> </w:t>
            </w:r>
            <w:r>
              <w:rPr>
                <w:rFonts w:ascii="Cambria Math" w:hAnsi="Cambria Math"/>
                <w:sz w:val="24"/>
              </w:rPr>
              <w:t>of</w:t>
            </w:r>
            <w:r>
              <w:rPr>
                <w:rFonts w:ascii="Cambria Math" w:hAnsi="Cambria Math"/>
                <w:spacing w:val="-5"/>
                <w:sz w:val="24"/>
              </w:rPr>
              <w:t xml:space="preserve"> </w:t>
            </w:r>
            <w:r>
              <w:rPr>
                <w:rFonts w:ascii="Cambria Math" w:hAnsi="Cambria Math"/>
                <w:sz w:val="24"/>
              </w:rPr>
              <w:t xml:space="preserve">beneficiaries </w:t>
            </w:r>
            <w:r>
              <w:rPr>
                <w:rFonts w:ascii="Cambria Math" w:hAnsi="Cambria Math"/>
                <w:spacing w:val="-4"/>
                <w:sz w:val="24"/>
              </w:rPr>
              <w:t>300</w:t>
            </w:r>
          </w:p>
        </w:tc>
      </w:tr>
      <w:tr>
        <w:tblPrEx>
          <w:tblW w:w="0" w:type="auto"/>
          <w:jc w:val="left"/>
          <w:tblInd w:w="1342" w:type="dxa"/>
          <w:tblLayout w:type="fixed"/>
          <w:tblCellMar>
            <w:top w:w="0" w:type="dxa"/>
            <w:left w:w="0" w:type="dxa"/>
            <w:bottom w:w="0" w:type="dxa"/>
            <w:right w:w="0" w:type="dxa"/>
          </w:tblCellMar>
          <w:tblLook w:val="01E0"/>
        </w:tblPrEx>
        <w:trPr>
          <w:trHeight w:val="971"/>
          <w:jc w:val="left"/>
        </w:trPr>
        <w:tc>
          <w:tcPr>
            <w:tcW w:w="3152" w:type="dxa"/>
          </w:tcPr>
          <w:p>
            <w:pPr>
              <w:pStyle w:val="TableParagraph"/>
              <w:spacing w:before="71"/>
              <w:ind w:left="115" w:right="60"/>
              <w:rPr>
                <w:sz w:val="24"/>
              </w:rPr>
            </w:pPr>
            <w:r>
              <w:rPr>
                <w:sz w:val="24"/>
              </w:rPr>
              <w:t>Beneficiary-level file to support</w:t>
            </w:r>
            <w:r>
              <w:rPr>
                <w:spacing w:val="-8"/>
                <w:sz w:val="24"/>
              </w:rPr>
              <w:t xml:space="preserve"> </w:t>
            </w:r>
            <w:r>
              <w:rPr>
                <w:sz w:val="24"/>
              </w:rPr>
              <w:t>2027</w:t>
            </w:r>
            <w:r>
              <w:rPr>
                <w:spacing w:val="-8"/>
                <w:sz w:val="24"/>
              </w:rPr>
              <w:t xml:space="preserve"> </w:t>
            </w:r>
            <w:r>
              <w:rPr>
                <w:sz w:val="24"/>
              </w:rPr>
              <w:t>Part</w:t>
            </w:r>
            <w:r>
              <w:rPr>
                <w:spacing w:val="-8"/>
                <w:sz w:val="24"/>
              </w:rPr>
              <w:t xml:space="preserve"> </w:t>
            </w:r>
            <w:r>
              <w:rPr>
                <w:sz w:val="24"/>
              </w:rPr>
              <w:t>C</w:t>
            </w:r>
            <w:r>
              <w:rPr>
                <w:spacing w:val="-8"/>
                <w:sz w:val="24"/>
              </w:rPr>
              <w:t xml:space="preserve"> </w:t>
            </w:r>
            <w:r>
              <w:rPr>
                <w:sz w:val="24"/>
              </w:rPr>
              <w:t>bids</w:t>
            </w:r>
            <w:r>
              <w:rPr>
                <w:spacing w:val="-8"/>
                <w:sz w:val="24"/>
              </w:rPr>
              <w:t xml:space="preserve"> </w:t>
            </w:r>
            <w:r>
              <w:rPr>
                <w:sz w:val="24"/>
              </w:rPr>
              <w:t>as distributed by CMS</w:t>
            </w:r>
          </w:p>
        </w:tc>
        <w:tc>
          <w:tcPr>
            <w:tcW w:w="2379" w:type="dxa"/>
          </w:tcPr>
          <w:p>
            <w:pPr>
              <w:pStyle w:val="TableParagraph"/>
              <w:spacing w:before="207"/>
              <w:ind w:left="835" w:right="481" w:hanging="339"/>
              <w:rPr>
                <w:sz w:val="24"/>
              </w:rPr>
            </w:pPr>
            <w:r>
              <w:rPr>
                <w:sz w:val="24"/>
              </w:rPr>
              <w:t>3,600</w:t>
            </w:r>
            <w:r>
              <w:rPr>
                <w:spacing w:val="-15"/>
                <w:sz w:val="24"/>
              </w:rPr>
              <w:t xml:space="preserve"> </w:t>
            </w:r>
            <w:r>
              <w:rPr>
                <w:sz w:val="24"/>
              </w:rPr>
              <w:t xml:space="preserve">member </w:t>
            </w:r>
            <w:r>
              <w:rPr>
                <w:spacing w:val="-2"/>
                <w:sz w:val="24"/>
              </w:rPr>
              <w:t>months</w:t>
            </w:r>
          </w:p>
        </w:tc>
        <w:tc>
          <w:tcPr>
            <w:tcW w:w="2850" w:type="dxa"/>
          </w:tcPr>
          <w:p>
            <w:pPr>
              <w:pStyle w:val="TableParagraph"/>
              <w:spacing w:before="6"/>
              <w:rPr>
                <w:sz w:val="9"/>
              </w:rPr>
            </w:pPr>
          </w:p>
          <w:p>
            <w:pPr>
              <w:pStyle w:val="TableParagraph"/>
              <w:spacing w:line="20" w:lineRule="exact"/>
              <w:ind w:left="669"/>
              <w:rPr>
                <w:sz w:val="2"/>
              </w:rPr>
            </w:pPr>
            <w:r>
              <w:rPr>
                <w:sz w:val="2"/>
              </w:rPr>
              <mc:AlternateContent>
                <mc:Choice Requires="wpg">
                  <w:drawing>
                    <wp:inline distT="0" distB="0" distL="0" distR="0">
                      <wp:extent cx="1076325" cy="10795"/>
                      <wp:effectExtent l="0" t="0" r="0" b="0"/>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1076325" cy="10795"/>
                                <a:chOff x="0" y="0"/>
                                <a:chExt cx="1076325" cy="10795"/>
                              </a:xfrm>
                            </wpg:grpSpPr>
                            <wps:wsp xmlns:wps="http://schemas.microsoft.com/office/word/2010/wordprocessingShape">
                              <wps:cNvPr id="25" name="Graphic 25"/>
                              <wps:cNvSpPr/>
                              <wps:spPr>
                                <a:xfrm>
                                  <a:off x="0" y="0"/>
                                  <a:ext cx="1076325" cy="10795"/>
                                </a:xfrm>
                                <a:custGeom>
                                  <a:avLst/>
                                  <a:gdLst/>
                                  <a:rect l="l" t="t" r="r" b="b"/>
                                  <a:pathLst>
                                    <a:path fill="norm" h="10795" w="1076325" stroke="1">
                                      <a:moveTo>
                                        <a:pt x="1076248" y="0"/>
                                      </a:moveTo>
                                      <a:lnTo>
                                        <a:pt x="0" y="0"/>
                                      </a:lnTo>
                                      <a:lnTo>
                                        <a:pt x="0" y="10668"/>
                                      </a:lnTo>
                                      <a:lnTo>
                                        <a:pt x="1076248" y="10668"/>
                                      </a:lnTo>
                                      <a:lnTo>
                                        <a:pt x="1076248"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9" style="width:84.75pt;height:0.85pt;mso-position-horizontal-relative:char;mso-position-vertical-relative:line" coordorigin="0,0" coordsize="1695,17">
                      <v:rect id="_x0000_s1040" style="width:1695;height:17;position:absolute" filled="t" fillcolor="black" stroked="f">
                        <v:fill type="solid"/>
                      </v:rect>
                      <w10:wrap type="none"/>
                    </v:group>
                  </w:pict>
                </mc:Fallback>
              </mc:AlternateContent>
            </w:r>
          </w:p>
          <w:p>
            <w:pPr>
              <w:pStyle w:val="TableParagraph"/>
              <w:spacing w:before="64" w:line="223" w:lineRule="exact"/>
              <w:ind w:left="668"/>
              <w:rPr>
                <w:rFonts w:ascii="Cambria Math"/>
                <w:sz w:val="24"/>
              </w:rPr>
            </w:pPr>
            <w:r>
              <w:rPr>
                <w:rFonts w:ascii="Cambria Math"/>
                <w:sz w:val="24"/>
              </w:rPr>
              <w:t>member</w:t>
            </w:r>
            <w:r>
              <w:rPr>
                <w:rFonts w:ascii="Cambria Math"/>
                <w:spacing w:val="-1"/>
                <w:sz w:val="24"/>
              </w:rPr>
              <w:t xml:space="preserve"> </w:t>
            </w:r>
            <w:r>
              <w:rPr>
                <w:rFonts w:ascii="Cambria Math"/>
                <w:spacing w:val="-2"/>
                <w:sz w:val="24"/>
              </w:rPr>
              <w:t>months</w:t>
            </w:r>
          </w:p>
          <w:p>
            <w:pPr>
              <w:pStyle w:val="TableParagraph"/>
              <w:spacing w:line="172" w:lineRule="exact"/>
              <w:ind w:left="484"/>
              <w:rPr>
                <w:rFonts w:ascii="Cambria Math" w:hAnsi="Cambria Math"/>
                <w:sz w:val="24"/>
              </w:rPr>
            </w:pPr>
            <w:r>
              <w:rPr>
                <w:rFonts w:ascii="Cambria Math" w:hAnsi="Cambria Math"/>
                <w:sz w:val="24"/>
              </w:rPr>
              <mc:AlternateContent>
                <mc:Choice Requires="wpg">
                  <w:drawing>
                    <wp:anchor distT="0" distB="0" distL="0" distR="0" simplePos="0" relativeHeight="251664384" behindDoc="1" locked="0" layoutInCell="1" allowOverlap="1">
                      <wp:simplePos x="0" y="0"/>
                      <wp:positionH relativeFrom="column">
                        <wp:posOffset>425196</wp:posOffset>
                      </wp:positionH>
                      <wp:positionV relativeFrom="paragraph">
                        <wp:posOffset>69953</wp:posOffset>
                      </wp:positionV>
                      <wp:extent cx="1076325" cy="10795"/>
                      <wp:effectExtent l="0" t="0" r="0" b="0"/>
                      <wp:wrapNone/>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076325" cy="10795"/>
                                <a:chOff x="0" y="0"/>
                                <a:chExt cx="1076325" cy="10795"/>
                              </a:xfrm>
                            </wpg:grpSpPr>
                            <wps:wsp xmlns:wps="http://schemas.microsoft.com/office/word/2010/wordprocessingShape">
                              <wps:cNvPr id="27" name="Graphic 27"/>
                              <wps:cNvSpPr/>
                              <wps:spPr>
                                <a:xfrm>
                                  <a:off x="0" y="0"/>
                                  <a:ext cx="1076325" cy="10795"/>
                                </a:xfrm>
                                <a:custGeom>
                                  <a:avLst/>
                                  <a:gdLst/>
                                  <a:rect l="l" t="t" r="r" b="b"/>
                                  <a:pathLst>
                                    <a:path fill="norm" h="10795" w="1076325" stroke="1">
                                      <a:moveTo>
                                        <a:pt x="1076248" y="0"/>
                                      </a:moveTo>
                                      <a:lnTo>
                                        <a:pt x="0" y="0"/>
                                      </a:lnTo>
                                      <a:lnTo>
                                        <a:pt x="0" y="10668"/>
                                      </a:lnTo>
                                      <a:lnTo>
                                        <a:pt x="1076248" y="10668"/>
                                      </a:lnTo>
                                      <a:lnTo>
                                        <a:pt x="1076248"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_x0000_s1041" style="width:84.75pt;height:0.85pt;margin-top:5.51pt;margin-left:33.48pt;position:absolute;z-index:-251651072" coordorigin="670,110" coordsize="1695,17">
                      <v:rect id="_x0000_s1042" style="width:1695;height:17;left:669;position:absolute;top:110" filled="t" fillcolor="black" stroked="f">
                        <v:fill type="solid"/>
                      </v:rect>
                    </v:group>
                  </w:pict>
                </mc:Fallback>
              </mc:AlternateContent>
            </w:r>
            <w:r>
              <w:rPr>
                <w:rFonts w:ascii="Cambria Math" w:hAnsi="Cambria Math"/>
                <w:spacing w:val="-10"/>
                <w:w w:val="115"/>
                <w:sz w:val="24"/>
              </w:rPr>
              <w:t>√</w:t>
            </w:r>
          </w:p>
          <w:p>
            <w:pPr>
              <w:pStyle w:val="TableParagraph"/>
              <w:spacing w:line="229" w:lineRule="exact"/>
              <w:ind w:left="1226"/>
              <w:rPr>
                <w:rFonts w:ascii="Cambria Math"/>
                <w:sz w:val="24"/>
              </w:rPr>
            </w:pPr>
            <w:r>
              <w:rPr>
                <w:rFonts w:ascii="Cambria Math"/>
                <w:spacing w:val="-4"/>
                <w:sz w:val="24"/>
              </w:rPr>
              <w:t>3,600</w:t>
            </w:r>
          </w:p>
        </w:tc>
      </w:tr>
    </w:tbl>
    <w:p>
      <w:pPr>
        <w:spacing w:before="242"/>
        <w:ind w:left="1224" w:right="0" w:firstLine="0"/>
        <w:jc w:val="left"/>
        <w:rPr>
          <w:rFonts w:ascii="Arial"/>
          <w:b/>
          <w:i/>
          <w:sz w:val="21"/>
        </w:rPr>
      </w:pPr>
      <w:bookmarkStart w:id="50" w:name="Overriding the CMS Formulas for Partial "/>
      <w:bookmarkEnd w:id="50"/>
      <w:r>
        <w:rPr>
          <w:rFonts w:ascii="Arial"/>
          <w:b/>
          <w:i/>
          <w:sz w:val="21"/>
        </w:rPr>
        <w:t>Overriding</w:t>
      </w:r>
      <w:r>
        <w:rPr>
          <w:rFonts w:ascii="Arial"/>
          <w:b/>
          <w:i/>
          <w:spacing w:val="-6"/>
          <w:sz w:val="21"/>
        </w:rPr>
        <w:t xml:space="preserve"> </w:t>
      </w:r>
      <w:r>
        <w:rPr>
          <w:rFonts w:ascii="Arial"/>
          <w:b/>
          <w:i/>
          <w:sz w:val="21"/>
        </w:rPr>
        <w:t>the</w:t>
      </w:r>
      <w:r>
        <w:rPr>
          <w:rFonts w:ascii="Arial"/>
          <w:b/>
          <w:i/>
          <w:spacing w:val="-7"/>
          <w:sz w:val="21"/>
        </w:rPr>
        <w:t xml:space="preserve"> </w:t>
      </w:r>
      <w:r>
        <w:rPr>
          <w:rFonts w:ascii="Arial"/>
          <w:b/>
          <w:i/>
          <w:sz w:val="21"/>
        </w:rPr>
        <w:t>CMS</w:t>
      </w:r>
      <w:r>
        <w:rPr>
          <w:rFonts w:ascii="Arial"/>
          <w:b/>
          <w:i/>
          <w:spacing w:val="-6"/>
          <w:sz w:val="21"/>
        </w:rPr>
        <w:t xml:space="preserve"> </w:t>
      </w:r>
      <w:r>
        <w:rPr>
          <w:rFonts w:ascii="Arial"/>
          <w:b/>
          <w:i/>
          <w:sz w:val="21"/>
        </w:rPr>
        <w:t>Formulas</w:t>
      </w:r>
      <w:r>
        <w:rPr>
          <w:rFonts w:ascii="Arial"/>
          <w:b/>
          <w:i/>
          <w:spacing w:val="-7"/>
          <w:sz w:val="21"/>
        </w:rPr>
        <w:t xml:space="preserve"> </w:t>
      </w:r>
      <w:r>
        <w:rPr>
          <w:rFonts w:ascii="Arial"/>
          <w:b/>
          <w:i/>
          <w:sz w:val="21"/>
        </w:rPr>
        <w:t>for</w:t>
      </w:r>
      <w:r>
        <w:rPr>
          <w:rFonts w:ascii="Arial"/>
          <w:b/>
          <w:i/>
          <w:spacing w:val="-6"/>
          <w:sz w:val="21"/>
        </w:rPr>
        <w:t xml:space="preserve"> </w:t>
      </w:r>
      <w:r>
        <w:rPr>
          <w:rFonts w:ascii="Arial"/>
          <w:b/>
          <w:i/>
          <w:sz w:val="21"/>
        </w:rPr>
        <w:t>Partial</w:t>
      </w:r>
      <w:r>
        <w:rPr>
          <w:rFonts w:ascii="Arial"/>
          <w:b/>
          <w:i/>
          <w:spacing w:val="-7"/>
          <w:sz w:val="21"/>
        </w:rPr>
        <w:t xml:space="preserve"> </w:t>
      </w:r>
      <w:r>
        <w:rPr>
          <w:rFonts w:ascii="Arial"/>
          <w:b/>
          <w:i/>
          <w:spacing w:val="-2"/>
          <w:sz w:val="21"/>
        </w:rPr>
        <w:t>Credibility</w:t>
      </w:r>
    </w:p>
    <w:p>
      <w:pPr>
        <w:pStyle w:val="BodyText"/>
        <w:spacing w:before="117"/>
        <w:ind w:left="1224" w:right="1492"/>
      </w:pPr>
      <w:r>
        <w:t>The</w:t>
      </w:r>
      <w:r>
        <w:rPr>
          <w:spacing w:val="-5"/>
        </w:rPr>
        <w:t xml:space="preserve"> </w:t>
      </w:r>
      <w:r>
        <w:t>following</w:t>
      </w:r>
      <w:r>
        <w:rPr>
          <w:spacing w:val="-3"/>
        </w:rPr>
        <w:t xml:space="preserve"> </w:t>
      </w:r>
      <w:r>
        <w:t>guideline</w:t>
      </w:r>
      <w:r>
        <w:rPr>
          <w:spacing w:val="-4"/>
        </w:rPr>
        <w:t xml:space="preserve"> </w:t>
      </w:r>
      <w:r>
        <w:t>is</w:t>
      </w:r>
      <w:r>
        <w:rPr>
          <w:spacing w:val="-4"/>
        </w:rPr>
        <w:t xml:space="preserve"> </w:t>
      </w:r>
      <w:r>
        <w:t>applicable</w:t>
      </w:r>
      <w:r>
        <w:rPr>
          <w:spacing w:val="-3"/>
        </w:rPr>
        <w:t xml:space="preserve"> </w:t>
      </w:r>
      <w:r>
        <w:t>only</w:t>
      </w:r>
      <w:r>
        <w:rPr>
          <w:spacing w:val="-3"/>
        </w:rPr>
        <w:t xml:space="preserve"> </w:t>
      </w:r>
      <w:r>
        <w:t>to</w:t>
      </w:r>
      <w:r>
        <w:rPr>
          <w:spacing w:val="-3"/>
        </w:rPr>
        <w:t xml:space="preserve"> </w:t>
      </w:r>
      <w:r>
        <w:t>the</w:t>
      </w:r>
      <w:r>
        <w:rPr>
          <w:spacing w:val="-4"/>
        </w:rPr>
        <w:t xml:space="preserve"> </w:t>
      </w:r>
      <w:r>
        <w:t>CMS claims</w:t>
      </w:r>
      <w:r>
        <w:rPr>
          <w:spacing w:val="-4"/>
        </w:rPr>
        <w:t xml:space="preserve"> </w:t>
      </w:r>
      <w:r>
        <w:t>and</w:t>
      </w:r>
      <w:r>
        <w:rPr>
          <w:spacing w:val="-3"/>
        </w:rPr>
        <w:t xml:space="preserve"> </w:t>
      </w:r>
      <w:r>
        <w:t>risk</w:t>
      </w:r>
      <w:r>
        <w:rPr>
          <w:spacing w:val="-3"/>
        </w:rPr>
        <w:t xml:space="preserve"> </w:t>
      </w:r>
      <w:r>
        <w:t>score</w:t>
      </w:r>
      <w:r>
        <w:rPr>
          <w:spacing w:val="-2"/>
        </w:rPr>
        <w:t xml:space="preserve"> </w:t>
      </w:r>
      <w:r>
        <w:t>credibility formulas presented above; such guideline may not be suitable for any alternative credibility formula. If the CMS formula for partial credibility is applied and the resulting credibility is—</w:t>
      </w:r>
    </w:p>
    <w:p>
      <w:pPr>
        <w:pStyle w:val="ListParagraph"/>
        <w:numPr>
          <w:ilvl w:val="1"/>
          <w:numId w:val="48"/>
        </w:numPr>
        <w:tabs>
          <w:tab w:val="left" w:pos="1944"/>
        </w:tabs>
        <w:spacing w:before="120" w:after="0" w:line="240" w:lineRule="auto"/>
        <w:ind w:left="1944" w:right="1804" w:hanging="360"/>
        <w:jc w:val="left"/>
        <w:rPr>
          <w:sz w:val="24"/>
        </w:rPr>
      </w:pPr>
      <w:r>
        <w:rPr>
          <w:sz w:val="24"/>
        </w:rPr>
        <w:t>Less</w:t>
      </w:r>
      <w:r>
        <w:rPr>
          <w:spacing w:val="-4"/>
          <w:sz w:val="24"/>
        </w:rPr>
        <w:t xml:space="preserve"> </w:t>
      </w:r>
      <w:r>
        <w:rPr>
          <w:sz w:val="24"/>
        </w:rPr>
        <w:t>than</w:t>
      </w:r>
      <w:r>
        <w:rPr>
          <w:spacing w:val="-3"/>
          <w:sz w:val="24"/>
        </w:rPr>
        <w:t xml:space="preserve"> </w:t>
      </w:r>
      <w:r>
        <w:rPr>
          <w:sz w:val="24"/>
        </w:rPr>
        <w:t>or</w:t>
      </w:r>
      <w:r>
        <w:rPr>
          <w:spacing w:val="-3"/>
          <w:sz w:val="24"/>
        </w:rPr>
        <w:t xml:space="preserve"> </w:t>
      </w:r>
      <w:r>
        <w:rPr>
          <w:sz w:val="24"/>
        </w:rPr>
        <w:t>equal</w:t>
      </w:r>
      <w:r>
        <w:rPr>
          <w:spacing w:val="-3"/>
          <w:sz w:val="24"/>
        </w:rPr>
        <w:t xml:space="preserve"> </w:t>
      </w:r>
      <w:r>
        <w:rPr>
          <w:sz w:val="24"/>
        </w:rPr>
        <w:t>to</w:t>
      </w:r>
      <w:r>
        <w:rPr>
          <w:spacing w:val="-3"/>
          <w:sz w:val="24"/>
        </w:rPr>
        <w:t xml:space="preserve"> </w:t>
      </w:r>
      <w:r>
        <w:rPr>
          <w:sz w:val="24"/>
        </w:rPr>
        <w:t>20</w:t>
      </w:r>
      <w:r>
        <w:rPr>
          <w:spacing w:val="-3"/>
          <w:sz w:val="24"/>
        </w:rPr>
        <w:t xml:space="preserve"> </w:t>
      </w:r>
      <w:r>
        <w:rPr>
          <w:sz w:val="24"/>
        </w:rPr>
        <w:t>percent,</w:t>
      </w:r>
      <w:r>
        <w:rPr>
          <w:spacing w:val="-3"/>
          <w:sz w:val="24"/>
        </w:rPr>
        <w:t xml:space="preserve"> </w:t>
      </w:r>
      <w:r>
        <w:rPr>
          <w:sz w:val="24"/>
        </w:rPr>
        <w:t>then</w:t>
      </w:r>
      <w:r>
        <w:rPr>
          <w:spacing w:val="-3"/>
          <w:sz w:val="24"/>
        </w:rPr>
        <w:t xml:space="preserve"> </w:t>
      </w:r>
      <w:r>
        <w:rPr>
          <w:sz w:val="24"/>
        </w:rPr>
        <w:t>the</w:t>
      </w:r>
      <w:r>
        <w:rPr>
          <w:spacing w:val="-4"/>
          <w:sz w:val="24"/>
        </w:rPr>
        <w:t xml:space="preserve"> </w:t>
      </w:r>
      <w:r>
        <w:rPr>
          <w:sz w:val="24"/>
        </w:rPr>
        <w:t>actuary</w:t>
      </w:r>
      <w:r>
        <w:rPr>
          <w:spacing w:val="-2"/>
          <w:sz w:val="24"/>
        </w:rPr>
        <w:t xml:space="preserve"> </w:t>
      </w:r>
      <w:r>
        <w:rPr>
          <w:sz w:val="24"/>
        </w:rPr>
        <w:t>may</w:t>
      </w:r>
      <w:r>
        <w:rPr>
          <w:spacing w:val="-3"/>
          <w:sz w:val="24"/>
        </w:rPr>
        <w:t xml:space="preserve"> </w:t>
      </w:r>
      <w:r>
        <w:rPr>
          <w:sz w:val="24"/>
        </w:rPr>
        <w:t>override</w:t>
      </w:r>
      <w:r>
        <w:rPr>
          <w:spacing w:val="-3"/>
          <w:sz w:val="24"/>
        </w:rPr>
        <w:t xml:space="preserve"> </w:t>
      </w:r>
      <w:r>
        <w:rPr>
          <w:sz w:val="24"/>
        </w:rPr>
        <w:t>the</w:t>
      </w:r>
      <w:r>
        <w:rPr>
          <w:spacing w:val="-4"/>
          <w:sz w:val="24"/>
        </w:rPr>
        <w:t xml:space="preserve"> </w:t>
      </w:r>
      <w:r>
        <w:rPr>
          <w:sz w:val="24"/>
        </w:rPr>
        <w:t>computed credibility with 0-percent credibility.</w:t>
      </w:r>
    </w:p>
    <w:p>
      <w:pPr>
        <w:pStyle w:val="ListParagraph"/>
        <w:numPr>
          <w:ilvl w:val="1"/>
          <w:numId w:val="48"/>
        </w:numPr>
        <w:tabs>
          <w:tab w:val="left" w:pos="1944"/>
        </w:tabs>
        <w:spacing w:before="0" w:after="0" w:line="240" w:lineRule="auto"/>
        <w:ind w:left="1944" w:right="1523" w:hanging="360"/>
        <w:jc w:val="left"/>
        <w:rPr>
          <w:sz w:val="24"/>
        </w:rPr>
      </w:pPr>
      <w:r>
        <w:rPr>
          <w:sz w:val="24"/>
        </w:rPr>
        <w:t>Greater</w:t>
      </w:r>
      <w:r>
        <w:rPr>
          <w:spacing w:val="-4"/>
          <w:sz w:val="24"/>
        </w:rPr>
        <w:t xml:space="preserve"> </w:t>
      </w:r>
      <w:r>
        <w:rPr>
          <w:sz w:val="24"/>
        </w:rPr>
        <w:t>than</w:t>
      </w:r>
      <w:r>
        <w:rPr>
          <w:spacing w:val="-4"/>
          <w:sz w:val="24"/>
        </w:rPr>
        <w:t xml:space="preserve"> </w:t>
      </w:r>
      <w:r>
        <w:rPr>
          <w:sz w:val="24"/>
        </w:rPr>
        <w:t>or</w:t>
      </w:r>
      <w:r>
        <w:rPr>
          <w:spacing w:val="-3"/>
          <w:sz w:val="24"/>
        </w:rPr>
        <w:t xml:space="preserve"> </w:t>
      </w:r>
      <w:r>
        <w:rPr>
          <w:sz w:val="24"/>
        </w:rPr>
        <w:t>equal</w:t>
      </w:r>
      <w:r>
        <w:rPr>
          <w:spacing w:val="-4"/>
          <w:sz w:val="24"/>
        </w:rPr>
        <w:t xml:space="preserve"> </w:t>
      </w:r>
      <w:r>
        <w:rPr>
          <w:sz w:val="24"/>
        </w:rPr>
        <w:t>to</w:t>
      </w:r>
      <w:r>
        <w:rPr>
          <w:spacing w:val="-2"/>
          <w:sz w:val="24"/>
        </w:rPr>
        <w:t xml:space="preserve"> </w:t>
      </w:r>
      <w:r>
        <w:rPr>
          <w:sz w:val="24"/>
        </w:rPr>
        <w:t>90</w:t>
      </w:r>
      <w:r>
        <w:rPr>
          <w:spacing w:val="-4"/>
          <w:sz w:val="24"/>
        </w:rPr>
        <w:t xml:space="preserve"> </w:t>
      </w:r>
      <w:r>
        <w:rPr>
          <w:sz w:val="24"/>
        </w:rPr>
        <w:t>percent,</w:t>
      </w:r>
      <w:r>
        <w:rPr>
          <w:spacing w:val="-4"/>
          <w:sz w:val="24"/>
        </w:rPr>
        <w:t xml:space="preserve"> </w:t>
      </w:r>
      <w:r>
        <w:rPr>
          <w:sz w:val="24"/>
        </w:rPr>
        <w:t>then</w:t>
      </w:r>
      <w:r>
        <w:rPr>
          <w:spacing w:val="-4"/>
          <w:sz w:val="24"/>
        </w:rPr>
        <w:t xml:space="preserve"> </w:t>
      </w:r>
      <w:r>
        <w:rPr>
          <w:sz w:val="24"/>
        </w:rPr>
        <w:t>the</w:t>
      </w:r>
      <w:r>
        <w:rPr>
          <w:spacing w:val="-5"/>
          <w:sz w:val="24"/>
        </w:rPr>
        <w:t xml:space="preserve"> </w:t>
      </w:r>
      <w:r>
        <w:rPr>
          <w:sz w:val="24"/>
        </w:rPr>
        <w:t>actuary</w:t>
      </w:r>
      <w:r>
        <w:rPr>
          <w:spacing w:val="-4"/>
          <w:sz w:val="24"/>
        </w:rPr>
        <w:t xml:space="preserve"> </w:t>
      </w:r>
      <w:r>
        <w:rPr>
          <w:sz w:val="24"/>
        </w:rPr>
        <w:t>may</w:t>
      </w:r>
      <w:r>
        <w:rPr>
          <w:spacing w:val="-4"/>
          <w:sz w:val="24"/>
        </w:rPr>
        <w:t xml:space="preserve"> </w:t>
      </w:r>
      <w:r>
        <w:rPr>
          <w:sz w:val="24"/>
        </w:rPr>
        <w:t>override</w:t>
      </w:r>
      <w:r>
        <w:rPr>
          <w:spacing w:val="-4"/>
          <w:sz w:val="24"/>
        </w:rPr>
        <w:t xml:space="preserve"> </w:t>
      </w:r>
      <w:r>
        <w:rPr>
          <w:sz w:val="24"/>
        </w:rPr>
        <w:t>the</w:t>
      </w:r>
      <w:r>
        <w:rPr>
          <w:spacing w:val="-3"/>
          <w:sz w:val="24"/>
        </w:rPr>
        <w:t xml:space="preserve"> </w:t>
      </w:r>
      <w:r>
        <w:rPr>
          <w:sz w:val="24"/>
        </w:rPr>
        <w:t>computed credibility with 100-percent credibility.</w:t>
      </w:r>
    </w:p>
    <w:p>
      <w:pPr>
        <w:pStyle w:val="BodyText"/>
        <w:spacing w:before="121"/>
        <w:ind w:right="1481"/>
      </w:pPr>
      <w:r>
        <w:t>Information</w:t>
      </w:r>
      <w:r>
        <w:rPr>
          <w:spacing w:val="-3"/>
        </w:rPr>
        <w:t xml:space="preserve"> </w:t>
      </w:r>
      <w:r>
        <w:t>on</w:t>
      </w:r>
      <w:r>
        <w:rPr>
          <w:spacing w:val="-3"/>
        </w:rPr>
        <w:t xml:space="preserve"> </w:t>
      </w:r>
      <w:r>
        <w:t>why</w:t>
      </w:r>
      <w:r>
        <w:rPr>
          <w:spacing w:val="-3"/>
        </w:rPr>
        <w:t xml:space="preserve"> </w:t>
      </w:r>
      <w:r>
        <w:t>it</w:t>
      </w:r>
      <w:r>
        <w:rPr>
          <w:spacing w:val="-3"/>
        </w:rPr>
        <w:t xml:space="preserve"> </w:t>
      </w:r>
      <w:r>
        <w:t>is</w:t>
      </w:r>
      <w:r>
        <w:rPr>
          <w:spacing w:val="-4"/>
        </w:rPr>
        <w:t xml:space="preserve"> </w:t>
      </w:r>
      <w:r>
        <w:t>inappropriate</w:t>
      </w:r>
      <w:r>
        <w:rPr>
          <w:spacing w:val="-3"/>
        </w:rPr>
        <w:t xml:space="preserve"> </w:t>
      </w:r>
      <w:r>
        <w:t>to</w:t>
      </w:r>
      <w:r>
        <w:rPr>
          <w:spacing w:val="-3"/>
        </w:rPr>
        <w:t xml:space="preserve"> </w:t>
      </w:r>
      <w:r>
        <w:t>use</w:t>
      </w:r>
      <w:r>
        <w:rPr>
          <w:spacing w:val="-4"/>
        </w:rPr>
        <w:t xml:space="preserve"> </w:t>
      </w:r>
      <w:r>
        <w:t>blended</w:t>
      </w:r>
      <w:r>
        <w:rPr>
          <w:spacing w:val="-3"/>
        </w:rPr>
        <w:t xml:space="preserve"> </w:t>
      </w:r>
      <w:r>
        <w:t>risk</w:t>
      </w:r>
      <w:r>
        <w:rPr>
          <w:spacing w:val="-3"/>
        </w:rPr>
        <w:t xml:space="preserve"> </w:t>
      </w:r>
      <w:r>
        <w:t>scores</w:t>
      </w:r>
      <w:r>
        <w:rPr>
          <w:spacing w:val="-3"/>
        </w:rPr>
        <w:t xml:space="preserve"> </w:t>
      </w:r>
      <w:r>
        <w:t>to</w:t>
      </w:r>
      <w:r>
        <w:rPr>
          <w:spacing w:val="-1"/>
        </w:rPr>
        <w:t xml:space="preserve"> </w:t>
      </w:r>
      <w:r>
        <w:t>adjust</w:t>
      </w:r>
      <w:r>
        <w:rPr>
          <w:spacing w:val="-2"/>
        </w:rPr>
        <w:t xml:space="preserve"> </w:t>
      </w:r>
      <w:r>
        <w:t>manual</w:t>
      </w:r>
      <w:r>
        <w:rPr>
          <w:spacing w:val="-3"/>
        </w:rPr>
        <w:t xml:space="preserve"> </w:t>
      </w:r>
      <w:r>
        <w:t xml:space="preserve">claims experience can be found at </w:t>
      </w:r>
      <w:hyperlink r:id="rId18">
        <w:r>
          <w:rPr>
            <w:color w:val="0000FF"/>
            <w:u w:val="single" w:color="0000FF"/>
          </w:rPr>
          <w:t>https://www.cms.gov/Medicare/Health-Plans/</w:t>
        </w:r>
      </w:hyperlink>
      <w:r>
        <w:rPr>
          <w:color w:val="0000FF"/>
          <w:u w:val="none"/>
        </w:rPr>
        <w:t xml:space="preserve"> </w:t>
      </w:r>
      <w:hyperlink r:id="rId18">
        <w:r>
          <w:rPr>
            <w:color w:val="0000FF"/>
            <w:spacing w:val="-2"/>
            <w:u w:val="single" w:color="0000FF"/>
          </w:rPr>
          <w:t>MedicareAdvtgSpecRateStats/Downloads/CredibilityDemo2016.zip</w:t>
        </w:r>
      </w:hyperlink>
      <w:r>
        <w:rPr>
          <w:color w:val="0000FF"/>
          <w:spacing w:val="-2"/>
          <w:u w:val="single" w:color="0000FF"/>
        </w:rPr>
        <w:t>.</w:t>
      </w:r>
    </w:p>
    <w:p>
      <w:pPr>
        <w:spacing w:before="241"/>
        <w:ind w:left="504" w:right="0" w:firstLine="0"/>
        <w:jc w:val="left"/>
        <w:rPr>
          <w:rFonts w:ascii="Arial"/>
          <w:b/>
          <w:sz w:val="21"/>
        </w:rPr>
      </w:pPr>
      <w:bookmarkStart w:id="51" w:name="Dual-Eligible Beneficiaries"/>
      <w:bookmarkEnd w:id="51"/>
      <w:bookmarkStart w:id="52" w:name="_bookmark17"/>
      <w:bookmarkEnd w:id="52"/>
      <w:r>
        <w:rPr>
          <w:rFonts w:ascii="Arial"/>
          <w:b/>
          <w:sz w:val="21"/>
        </w:rPr>
        <w:t>Dual-Eligible</w:t>
      </w:r>
      <w:r>
        <w:rPr>
          <w:rFonts w:ascii="Arial"/>
          <w:b/>
          <w:spacing w:val="-14"/>
          <w:sz w:val="21"/>
        </w:rPr>
        <w:t xml:space="preserve"> </w:t>
      </w:r>
      <w:r>
        <w:rPr>
          <w:rFonts w:ascii="Arial"/>
          <w:b/>
          <w:spacing w:val="-2"/>
          <w:sz w:val="21"/>
        </w:rPr>
        <w:t>Beneficiaries</w:t>
      </w:r>
    </w:p>
    <w:p>
      <w:pPr>
        <w:pStyle w:val="BodyText"/>
        <w:spacing w:before="120"/>
        <w:ind w:right="1443"/>
      </w:pPr>
      <w:r>
        <w:t>Dual-eligible beneficiaries are individuals who are eligible for both Medicare and Medicaid benefits under Titles XVIII and XIX of the Social Security Act, respectively. There are several categories</w:t>
      </w:r>
      <w:r>
        <w:rPr>
          <w:spacing w:val="-5"/>
        </w:rPr>
        <w:t xml:space="preserve"> </w:t>
      </w:r>
      <w:r>
        <w:t>of</w:t>
      </w:r>
      <w:r>
        <w:rPr>
          <w:spacing w:val="-5"/>
        </w:rPr>
        <w:t xml:space="preserve"> </w:t>
      </w:r>
      <w:r>
        <w:t>dual-eligible</w:t>
      </w:r>
      <w:r>
        <w:rPr>
          <w:spacing w:val="-4"/>
        </w:rPr>
        <w:t xml:space="preserve"> </w:t>
      </w:r>
      <w:r>
        <w:t>beneficiaries,</w:t>
      </w:r>
      <w:r>
        <w:rPr>
          <w:spacing w:val="-4"/>
        </w:rPr>
        <w:t xml:space="preserve"> </w:t>
      </w:r>
      <w:r>
        <w:t>such</w:t>
      </w:r>
      <w:r>
        <w:rPr>
          <w:spacing w:val="-4"/>
        </w:rPr>
        <w:t xml:space="preserve"> </w:t>
      </w:r>
      <w:r>
        <w:t>as</w:t>
      </w:r>
      <w:r>
        <w:rPr>
          <w:spacing w:val="-4"/>
        </w:rPr>
        <w:t xml:space="preserve"> </w:t>
      </w:r>
      <w:r>
        <w:t>qualified</w:t>
      </w:r>
      <w:r>
        <w:rPr>
          <w:spacing w:val="-4"/>
        </w:rPr>
        <w:t xml:space="preserve"> </w:t>
      </w:r>
      <w:r>
        <w:t>Medicare</w:t>
      </w:r>
      <w:r>
        <w:rPr>
          <w:spacing w:val="-6"/>
        </w:rPr>
        <w:t xml:space="preserve"> </w:t>
      </w:r>
      <w:r>
        <w:t>beneficiaries</w:t>
      </w:r>
      <w:r>
        <w:rPr>
          <w:spacing w:val="-5"/>
        </w:rPr>
        <w:t xml:space="preserve"> </w:t>
      </w:r>
      <w:r>
        <w:t>(QMBs),</w:t>
      </w:r>
      <w:r>
        <w:rPr>
          <w:spacing w:val="-2"/>
        </w:rPr>
        <w:t xml:space="preserve"> </w:t>
      </w:r>
      <w:r>
        <w:t>with different benefits based on income and other qualifying circumstances. Some dual-eligible beneficiaries receive benefits in the form of reduced or eliminated Medicare cost sharing.</w:t>
      </w:r>
    </w:p>
    <w:p>
      <w:pPr>
        <w:pStyle w:val="BodyText"/>
        <w:spacing w:before="120"/>
        <w:ind w:right="1481"/>
      </w:pPr>
      <w:r>
        <w:t>The</w:t>
      </w:r>
      <w:r>
        <w:rPr>
          <w:spacing w:val="-5"/>
        </w:rPr>
        <w:t xml:space="preserve"> </w:t>
      </w:r>
      <w:r>
        <w:t>BPT</w:t>
      </w:r>
      <w:r>
        <w:rPr>
          <w:spacing w:val="-3"/>
        </w:rPr>
        <w:t xml:space="preserve"> </w:t>
      </w:r>
      <w:r>
        <w:t>reflects</w:t>
      </w:r>
      <w:r>
        <w:rPr>
          <w:spacing w:val="-4"/>
        </w:rPr>
        <w:t xml:space="preserve"> </w:t>
      </w:r>
      <w:r>
        <w:t>the</w:t>
      </w:r>
      <w:r>
        <w:rPr>
          <w:spacing w:val="-4"/>
        </w:rPr>
        <w:t xml:space="preserve"> </w:t>
      </w:r>
      <w:r>
        <w:t>difference</w:t>
      </w:r>
      <w:r>
        <w:rPr>
          <w:spacing w:val="-4"/>
        </w:rPr>
        <w:t xml:space="preserve"> </w:t>
      </w:r>
      <w:r>
        <w:t>in</w:t>
      </w:r>
      <w:r>
        <w:rPr>
          <w:spacing w:val="-3"/>
        </w:rPr>
        <w:t xml:space="preserve"> </w:t>
      </w:r>
      <w:r>
        <w:t>cost-sharing</w:t>
      </w:r>
      <w:r>
        <w:rPr>
          <w:spacing w:val="-3"/>
        </w:rPr>
        <w:t xml:space="preserve"> </w:t>
      </w:r>
      <w:r>
        <w:t>liability</w:t>
      </w:r>
      <w:r>
        <w:rPr>
          <w:spacing w:val="-3"/>
        </w:rPr>
        <w:t xml:space="preserve"> </w:t>
      </w:r>
      <w:r>
        <w:t>for</w:t>
      </w:r>
      <w:r>
        <w:rPr>
          <w:spacing w:val="-5"/>
        </w:rPr>
        <w:t xml:space="preserve"> </w:t>
      </w:r>
      <w:r>
        <w:t>certain</w:t>
      </w:r>
      <w:r>
        <w:rPr>
          <w:spacing w:val="-2"/>
        </w:rPr>
        <w:t xml:space="preserve"> </w:t>
      </w:r>
      <w:r>
        <w:t>dual-eligible</w:t>
      </w:r>
      <w:r>
        <w:rPr>
          <w:spacing w:val="-3"/>
        </w:rPr>
        <w:t xml:space="preserve"> </w:t>
      </w:r>
      <w:r>
        <w:t>beneficiaries</w:t>
      </w:r>
      <w:r>
        <w:rPr>
          <w:spacing w:val="-4"/>
        </w:rPr>
        <w:t xml:space="preserve"> </w:t>
      </w:r>
      <w:r>
        <w:t>in the development of total medical costs.</w:t>
      </w:r>
    </w:p>
    <w:p>
      <w:pPr>
        <w:spacing w:before="241"/>
        <w:ind w:left="1224" w:right="0" w:firstLine="0"/>
        <w:jc w:val="left"/>
        <w:rPr>
          <w:rFonts w:ascii="Arial"/>
          <w:b/>
          <w:i/>
          <w:sz w:val="21"/>
        </w:rPr>
      </w:pPr>
      <w:bookmarkStart w:id="53" w:name="Medicaid Revenue and Costs"/>
      <w:bookmarkEnd w:id="53"/>
      <w:r>
        <w:rPr>
          <w:rFonts w:ascii="Arial"/>
          <w:b/>
          <w:i/>
          <w:sz w:val="21"/>
        </w:rPr>
        <w:t>Medicaid</w:t>
      </w:r>
      <w:r>
        <w:rPr>
          <w:rFonts w:ascii="Arial"/>
          <w:b/>
          <w:i/>
          <w:spacing w:val="-6"/>
          <w:sz w:val="21"/>
        </w:rPr>
        <w:t xml:space="preserve"> </w:t>
      </w:r>
      <w:r>
        <w:rPr>
          <w:rFonts w:ascii="Arial"/>
          <w:b/>
          <w:i/>
          <w:sz w:val="21"/>
        </w:rPr>
        <w:t>Revenue</w:t>
      </w:r>
      <w:r>
        <w:rPr>
          <w:rFonts w:ascii="Arial"/>
          <w:b/>
          <w:i/>
          <w:spacing w:val="-9"/>
          <w:sz w:val="21"/>
        </w:rPr>
        <w:t xml:space="preserve"> </w:t>
      </w:r>
      <w:r>
        <w:rPr>
          <w:rFonts w:ascii="Arial"/>
          <w:b/>
          <w:i/>
          <w:sz w:val="21"/>
        </w:rPr>
        <w:t>and</w:t>
      </w:r>
      <w:r>
        <w:rPr>
          <w:rFonts w:ascii="Arial"/>
          <w:b/>
          <w:i/>
          <w:spacing w:val="-5"/>
          <w:sz w:val="21"/>
        </w:rPr>
        <w:t xml:space="preserve"> </w:t>
      </w:r>
      <w:r>
        <w:rPr>
          <w:rFonts w:ascii="Arial"/>
          <w:b/>
          <w:i/>
          <w:spacing w:val="-2"/>
          <w:sz w:val="21"/>
        </w:rPr>
        <w:t>Costs</w:t>
      </w:r>
    </w:p>
    <w:p>
      <w:pPr>
        <w:pStyle w:val="BodyText"/>
        <w:spacing w:before="118"/>
        <w:ind w:left="1224" w:right="1481"/>
      </w:pPr>
      <w:r>
        <w:t>In</w:t>
      </w:r>
      <w:r>
        <w:rPr>
          <w:spacing w:val="-1"/>
        </w:rPr>
        <w:t xml:space="preserve"> </w:t>
      </w:r>
      <w:r>
        <w:t>Worksheet</w:t>
      </w:r>
      <w:r>
        <w:rPr>
          <w:spacing w:val="-3"/>
        </w:rPr>
        <w:t xml:space="preserve"> </w:t>
      </w:r>
      <w:r>
        <w:t>4,</w:t>
      </w:r>
      <w:r>
        <w:rPr>
          <w:spacing w:val="-3"/>
        </w:rPr>
        <w:t xml:space="preserve"> </w:t>
      </w:r>
      <w:r>
        <w:t>Section</w:t>
      </w:r>
      <w:r>
        <w:rPr>
          <w:spacing w:val="-3"/>
        </w:rPr>
        <w:t xml:space="preserve"> </w:t>
      </w:r>
      <w:r>
        <w:t>IV,</w:t>
      </w:r>
      <w:r>
        <w:rPr>
          <w:spacing w:val="-3"/>
        </w:rPr>
        <w:t xml:space="preserve"> </w:t>
      </w:r>
      <w:r>
        <w:t>if</w:t>
      </w:r>
      <w:r>
        <w:rPr>
          <w:spacing w:val="-4"/>
        </w:rPr>
        <w:t xml:space="preserve"> </w:t>
      </w:r>
      <w:r>
        <w:t>the</w:t>
      </w:r>
      <w:r>
        <w:rPr>
          <w:spacing w:val="-4"/>
        </w:rPr>
        <w:t xml:space="preserve"> </w:t>
      </w:r>
      <w:r>
        <w:t>MAO</w:t>
      </w:r>
      <w:r>
        <w:rPr>
          <w:spacing w:val="-4"/>
        </w:rPr>
        <w:t xml:space="preserve"> </w:t>
      </w:r>
      <w:r>
        <w:t>has</w:t>
      </w:r>
      <w:r>
        <w:rPr>
          <w:spacing w:val="-4"/>
        </w:rPr>
        <w:t xml:space="preserve"> </w:t>
      </w:r>
      <w:r>
        <w:t>a</w:t>
      </w:r>
      <w:r>
        <w:rPr>
          <w:spacing w:val="-4"/>
        </w:rPr>
        <w:t xml:space="preserve"> </w:t>
      </w:r>
      <w:r>
        <w:t>separate</w:t>
      </w:r>
      <w:r>
        <w:rPr>
          <w:spacing w:val="-2"/>
        </w:rPr>
        <w:t xml:space="preserve"> </w:t>
      </w:r>
      <w:r>
        <w:t>contract</w:t>
      </w:r>
      <w:r>
        <w:rPr>
          <w:spacing w:val="-3"/>
        </w:rPr>
        <w:t xml:space="preserve"> </w:t>
      </w:r>
      <w:r>
        <w:t>with</w:t>
      </w:r>
      <w:r>
        <w:rPr>
          <w:spacing w:val="-3"/>
        </w:rPr>
        <w:t xml:space="preserve"> </w:t>
      </w:r>
      <w:r>
        <w:t>a</w:t>
      </w:r>
      <w:r>
        <w:rPr>
          <w:spacing w:val="-4"/>
        </w:rPr>
        <w:t xml:space="preserve"> </w:t>
      </w:r>
      <w:r>
        <w:t>state</w:t>
      </w:r>
      <w:r>
        <w:rPr>
          <w:spacing w:val="-2"/>
        </w:rPr>
        <w:t xml:space="preserve"> </w:t>
      </w:r>
      <w:r>
        <w:t>or</w:t>
      </w:r>
      <w:r>
        <w:rPr>
          <w:spacing w:val="-3"/>
        </w:rPr>
        <w:t xml:space="preserve"> </w:t>
      </w:r>
      <w:r>
        <w:t>territory for Medicaid services, then enter projected Medicaid revenue and cost for members of the MA bid.</w:t>
      </w:r>
    </w:p>
    <w:p>
      <w:pPr>
        <w:pStyle w:val="ListParagraph"/>
        <w:numPr>
          <w:ilvl w:val="1"/>
          <w:numId w:val="48"/>
        </w:numPr>
        <w:tabs>
          <w:tab w:val="left" w:pos="1944"/>
        </w:tabs>
        <w:spacing w:before="120" w:after="0" w:line="240" w:lineRule="auto"/>
        <w:ind w:left="1944" w:right="0" w:hanging="360"/>
        <w:jc w:val="left"/>
        <w:rPr>
          <w:sz w:val="24"/>
        </w:rPr>
      </w:pPr>
      <w:r>
        <w:rPr>
          <w:sz w:val="24"/>
        </w:rPr>
        <w:t>The</w:t>
      </w:r>
      <w:r>
        <w:rPr>
          <w:spacing w:val="-4"/>
          <w:sz w:val="24"/>
        </w:rPr>
        <w:t xml:space="preserve"> </w:t>
      </w:r>
      <w:r>
        <w:rPr>
          <w:sz w:val="24"/>
        </w:rPr>
        <w:t>projected</w:t>
      </w:r>
      <w:r>
        <w:rPr>
          <w:spacing w:val="-2"/>
          <w:sz w:val="24"/>
        </w:rPr>
        <w:t xml:space="preserve"> </w:t>
      </w:r>
      <w:r>
        <w:rPr>
          <w:sz w:val="24"/>
        </w:rPr>
        <w:t>Medicaid</w:t>
      </w:r>
      <w:r>
        <w:rPr>
          <w:spacing w:val="1"/>
          <w:sz w:val="24"/>
        </w:rPr>
        <w:t xml:space="preserve"> </w:t>
      </w:r>
      <w:r>
        <w:rPr>
          <w:spacing w:val="-4"/>
          <w:sz w:val="24"/>
        </w:rPr>
        <w:t>cost—</w:t>
      </w:r>
    </w:p>
    <w:p>
      <w:pPr>
        <w:pStyle w:val="ListParagraph"/>
        <w:numPr>
          <w:ilvl w:val="2"/>
          <w:numId w:val="48"/>
        </w:numPr>
        <w:tabs>
          <w:tab w:val="left" w:pos="2304"/>
        </w:tabs>
        <w:spacing w:before="0" w:after="0" w:line="240" w:lineRule="auto"/>
        <w:ind w:left="2304" w:right="1682" w:hanging="360"/>
        <w:jc w:val="left"/>
        <w:rPr>
          <w:sz w:val="24"/>
        </w:rPr>
      </w:pPr>
      <w:r>
        <w:rPr>
          <w:sz w:val="24"/>
        </w:rPr>
        <w:t>Includes</w:t>
      </w:r>
      <w:r>
        <w:rPr>
          <w:spacing w:val="-4"/>
          <w:sz w:val="24"/>
        </w:rPr>
        <w:t xml:space="preserve"> </w:t>
      </w:r>
      <w:r>
        <w:rPr>
          <w:sz w:val="24"/>
        </w:rPr>
        <w:t>the</w:t>
      </w:r>
      <w:r>
        <w:rPr>
          <w:spacing w:val="-4"/>
          <w:sz w:val="24"/>
        </w:rPr>
        <w:t xml:space="preserve"> </w:t>
      </w:r>
      <w:r>
        <w:rPr>
          <w:sz w:val="24"/>
        </w:rPr>
        <w:t>cost</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Medicaid</w:t>
      </w:r>
      <w:r>
        <w:rPr>
          <w:spacing w:val="-4"/>
          <w:sz w:val="24"/>
        </w:rPr>
        <w:t xml:space="preserve"> </w:t>
      </w:r>
      <w:r>
        <w:rPr>
          <w:sz w:val="24"/>
        </w:rPr>
        <w:t>benefits</w:t>
      </w:r>
      <w:r>
        <w:rPr>
          <w:spacing w:val="-3"/>
          <w:sz w:val="24"/>
        </w:rPr>
        <w:t xml:space="preserve"> </w:t>
      </w:r>
      <w:r>
        <w:rPr>
          <w:sz w:val="24"/>
        </w:rPr>
        <w:t>that</w:t>
      </w:r>
      <w:r>
        <w:rPr>
          <w:spacing w:val="-4"/>
          <w:sz w:val="24"/>
        </w:rPr>
        <w:t xml:space="preserve"> </w:t>
      </w:r>
      <w:r>
        <w:rPr>
          <w:sz w:val="24"/>
        </w:rPr>
        <w:t>the</w:t>
      </w:r>
      <w:r>
        <w:rPr>
          <w:spacing w:val="-4"/>
          <w:sz w:val="24"/>
        </w:rPr>
        <w:t xml:space="preserve"> </w:t>
      </w:r>
      <w:r>
        <w:rPr>
          <w:sz w:val="24"/>
        </w:rPr>
        <w:t>MAO</w:t>
      </w:r>
      <w:r>
        <w:rPr>
          <w:spacing w:val="-4"/>
          <w:sz w:val="24"/>
        </w:rPr>
        <w:t xml:space="preserve"> </w:t>
      </w:r>
      <w:r>
        <w:rPr>
          <w:sz w:val="24"/>
        </w:rPr>
        <w:t>has</w:t>
      </w:r>
      <w:r>
        <w:rPr>
          <w:spacing w:val="-4"/>
          <w:sz w:val="24"/>
        </w:rPr>
        <w:t xml:space="preserve"> </w:t>
      </w:r>
      <w:r>
        <w:rPr>
          <w:sz w:val="24"/>
        </w:rPr>
        <w:t>contracted</w:t>
      </w:r>
      <w:r>
        <w:rPr>
          <w:spacing w:val="-4"/>
          <w:sz w:val="24"/>
        </w:rPr>
        <w:t xml:space="preserve"> </w:t>
      </w:r>
      <w:r>
        <w:rPr>
          <w:sz w:val="24"/>
        </w:rPr>
        <w:t>to provide bid members under the state or territory Medicaid program.</w:t>
      </w:r>
    </w:p>
    <w:p>
      <w:pPr>
        <w:pStyle w:val="ListParagraph"/>
        <w:numPr>
          <w:ilvl w:val="2"/>
          <w:numId w:val="48"/>
        </w:numPr>
        <w:tabs>
          <w:tab w:val="left" w:pos="2304"/>
        </w:tabs>
        <w:spacing w:before="0" w:after="0" w:line="240" w:lineRule="auto"/>
        <w:ind w:left="2304" w:right="2082" w:hanging="360"/>
        <w:jc w:val="left"/>
        <w:rPr>
          <w:sz w:val="24"/>
        </w:rPr>
      </w:pPr>
      <w:r>
        <w:rPr>
          <w:sz w:val="24"/>
        </w:rPr>
        <w:t>Reflects</w:t>
      </w:r>
      <w:r>
        <w:rPr>
          <w:spacing w:val="-5"/>
          <w:sz w:val="24"/>
        </w:rPr>
        <w:t xml:space="preserve"> </w:t>
      </w:r>
      <w:r>
        <w:rPr>
          <w:sz w:val="24"/>
        </w:rPr>
        <w:t>the</w:t>
      </w:r>
      <w:r>
        <w:rPr>
          <w:spacing w:val="-5"/>
          <w:sz w:val="24"/>
        </w:rPr>
        <w:t xml:space="preserve"> </w:t>
      </w:r>
      <w:r>
        <w:rPr>
          <w:sz w:val="24"/>
        </w:rPr>
        <w:t>full</w:t>
      </w:r>
      <w:r>
        <w:rPr>
          <w:spacing w:val="-4"/>
          <w:sz w:val="24"/>
        </w:rPr>
        <w:t xml:space="preserve"> </w:t>
      </w:r>
      <w:r>
        <w:rPr>
          <w:sz w:val="24"/>
        </w:rPr>
        <w:t>cost,</w:t>
      </w:r>
      <w:r>
        <w:rPr>
          <w:spacing w:val="-4"/>
          <w:sz w:val="24"/>
        </w:rPr>
        <w:t xml:space="preserve"> </w:t>
      </w:r>
      <w:r>
        <w:rPr>
          <w:sz w:val="24"/>
        </w:rPr>
        <w:t>which</w:t>
      </w:r>
      <w:r>
        <w:rPr>
          <w:spacing w:val="-4"/>
          <w:sz w:val="24"/>
        </w:rPr>
        <w:t xml:space="preserve"> </w:t>
      </w:r>
      <w:r>
        <w:rPr>
          <w:sz w:val="24"/>
        </w:rPr>
        <w:t>includes</w:t>
      </w:r>
      <w:r>
        <w:rPr>
          <w:spacing w:val="-5"/>
          <w:sz w:val="24"/>
        </w:rPr>
        <w:t xml:space="preserve"> </w:t>
      </w:r>
      <w:r>
        <w:rPr>
          <w:sz w:val="24"/>
        </w:rPr>
        <w:t>benefit</w:t>
      </w:r>
      <w:r>
        <w:rPr>
          <w:spacing w:val="-4"/>
          <w:sz w:val="24"/>
        </w:rPr>
        <w:t xml:space="preserve"> </w:t>
      </w:r>
      <w:r>
        <w:rPr>
          <w:sz w:val="24"/>
        </w:rPr>
        <w:t>expenses</w:t>
      </w:r>
      <w:r>
        <w:rPr>
          <w:spacing w:val="-5"/>
          <w:sz w:val="24"/>
        </w:rPr>
        <w:t xml:space="preserve"> </w:t>
      </w:r>
      <w:r>
        <w:rPr>
          <w:sz w:val="24"/>
        </w:rPr>
        <w:t>and</w:t>
      </w:r>
      <w:r>
        <w:rPr>
          <w:spacing w:val="-4"/>
          <w:sz w:val="24"/>
        </w:rPr>
        <w:t xml:space="preserve"> </w:t>
      </w:r>
      <w:r>
        <w:rPr>
          <w:sz w:val="24"/>
        </w:rPr>
        <w:t xml:space="preserve">non-benefit </w:t>
      </w:r>
      <w:r>
        <w:rPr>
          <w:spacing w:val="-2"/>
          <w:sz w:val="24"/>
        </w:rPr>
        <w:t>expenses.</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ListParagraph"/>
        <w:numPr>
          <w:ilvl w:val="2"/>
          <w:numId w:val="48"/>
        </w:numPr>
        <w:tabs>
          <w:tab w:val="left" w:pos="2304"/>
        </w:tabs>
        <w:spacing w:before="0" w:after="0" w:line="240" w:lineRule="auto"/>
        <w:ind w:left="2304" w:right="0" w:hanging="360"/>
        <w:jc w:val="left"/>
        <w:rPr>
          <w:sz w:val="24"/>
        </w:rPr>
      </w:pPr>
      <w:r>
        <w:rPr>
          <w:sz w:val="24"/>
        </w:rPr>
        <w:t>May</w:t>
      </w:r>
      <w:r>
        <w:rPr>
          <w:spacing w:val="-2"/>
          <w:sz w:val="24"/>
        </w:rPr>
        <w:t xml:space="preserve"> </w:t>
      </w:r>
      <w:r>
        <w:rPr>
          <w:sz w:val="24"/>
        </w:rPr>
        <w:t>include</w:t>
      </w:r>
      <w:r>
        <w:rPr>
          <w:spacing w:val="-2"/>
          <w:sz w:val="24"/>
        </w:rPr>
        <w:t xml:space="preserve"> </w:t>
      </w:r>
      <w:r>
        <w:rPr>
          <w:sz w:val="24"/>
        </w:rPr>
        <w:t>prescription</w:t>
      </w:r>
      <w:r>
        <w:rPr>
          <w:spacing w:val="-1"/>
          <w:sz w:val="24"/>
        </w:rPr>
        <w:t xml:space="preserve"> </w:t>
      </w:r>
      <w:r>
        <w:rPr>
          <w:sz w:val="24"/>
        </w:rPr>
        <w:t>drug</w:t>
      </w:r>
      <w:r>
        <w:rPr>
          <w:spacing w:val="-2"/>
          <w:sz w:val="24"/>
        </w:rPr>
        <w:t xml:space="preserve"> </w:t>
      </w:r>
      <w:r>
        <w:rPr>
          <w:sz w:val="24"/>
        </w:rPr>
        <w:t>benefits</w:t>
      </w:r>
      <w:r>
        <w:rPr>
          <w:spacing w:val="-2"/>
          <w:sz w:val="24"/>
        </w:rPr>
        <w:t xml:space="preserve"> </w:t>
      </w:r>
      <w:r>
        <w:rPr>
          <w:sz w:val="24"/>
        </w:rPr>
        <w:t>that</w:t>
      </w:r>
      <w:r>
        <w:rPr>
          <w:spacing w:val="-1"/>
          <w:sz w:val="24"/>
        </w:rPr>
        <w:t xml:space="preserve"> </w:t>
      </w:r>
      <w:r>
        <w:rPr>
          <w:sz w:val="24"/>
        </w:rPr>
        <w:t>the</w:t>
      </w:r>
      <w:r>
        <w:rPr>
          <w:spacing w:val="-2"/>
          <w:sz w:val="24"/>
        </w:rPr>
        <w:t xml:space="preserve"> </w:t>
      </w:r>
      <w:r>
        <w:rPr>
          <w:sz w:val="24"/>
        </w:rPr>
        <w:t>Commonwealth</w:t>
      </w:r>
      <w:r>
        <w:rPr>
          <w:spacing w:val="-1"/>
          <w:sz w:val="24"/>
        </w:rPr>
        <w:t xml:space="preserve"> </w:t>
      </w:r>
      <w:r>
        <w:rPr>
          <w:spacing w:val="-5"/>
          <w:sz w:val="24"/>
        </w:rPr>
        <w:t>of</w:t>
      </w:r>
    </w:p>
    <w:p>
      <w:pPr>
        <w:pStyle w:val="BodyText"/>
        <w:ind w:left="2304" w:right="1481"/>
      </w:pPr>
      <w:r>
        <w:t>Puerto</w:t>
      </w:r>
      <w:r>
        <w:rPr>
          <w:spacing w:val="-3"/>
        </w:rPr>
        <w:t xml:space="preserve"> </w:t>
      </w:r>
      <w:r>
        <w:t>Rico</w:t>
      </w:r>
      <w:r>
        <w:rPr>
          <w:spacing w:val="-3"/>
        </w:rPr>
        <w:t xml:space="preserve"> </w:t>
      </w:r>
      <w:r>
        <w:t>requires</w:t>
      </w:r>
      <w:r>
        <w:rPr>
          <w:spacing w:val="-4"/>
        </w:rPr>
        <w:t xml:space="preserve"> </w:t>
      </w:r>
      <w:r>
        <w:t>to</w:t>
      </w:r>
      <w:r>
        <w:rPr>
          <w:spacing w:val="-3"/>
        </w:rPr>
        <w:t xml:space="preserve"> </w:t>
      </w:r>
      <w:r>
        <w:t>be</w:t>
      </w:r>
      <w:r>
        <w:rPr>
          <w:spacing w:val="-4"/>
        </w:rPr>
        <w:t xml:space="preserve"> </w:t>
      </w:r>
      <w:r>
        <w:t>offered,</w:t>
      </w:r>
      <w:r>
        <w:rPr>
          <w:spacing w:val="-3"/>
        </w:rPr>
        <w:t xml:space="preserve"> </w:t>
      </w:r>
      <w:r>
        <w:t>beyond</w:t>
      </w:r>
      <w:r>
        <w:rPr>
          <w:spacing w:val="-1"/>
        </w:rPr>
        <w:t xml:space="preserve"> </w:t>
      </w:r>
      <w:r>
        <w:t>what</w:t>
      </w:r>
      <w:r>
        <w:rPr>
          <w:spacing w:val="-3"/>
        </w:rPr>
        <w:t xml:space="preserve"> </w:t>
      </w:r>
      <w:r>
        <w:t>is</w:t>
      </w:r>
      <w:r>
        <w:rPr>
          <w:spacing w:val="-1"/>
        </w:rPr>
        <w:t xml:space="preserve"> </w:t>
      </w:r>
      <w:r>
        <w:t>submitted</w:t>
      </w:r>
      <w:r>
        <w:rPr>
          <w:spacing w:val="-3"/>
        </w:rPr>
        <w:t xml:space="preserve"> </w:t>
      </w:r>
      <w:r>
        <w:t>in</w:t>
      </w:r>
      <w:r>
        <w:rPr>
          <w:spacing w:val="-3"/>
        </w:rPr>
        <w:t xml:space="preserve"> </w:t>
      </w:r>
      <w:r>
        <w:t>the</w:t>
      </w:r>
      <w:r>
        <w:rPr>
          <w:spacing w:val="-2"/>
        </w:rPr>
        <w:t xml:space="preserve"> </w:t>
      </w:r>
      <w:r>
        <w:t>Part</w:t>
      </w:r>
      <w:r>
        <w:rPr>
          <w:spacing w:val="-3"/>
        </w:rPr>
        <w:t xml:space="preserve"> </w:t>
      </w:r>
      <w:r>
        <w:t>D bid, in order to participate in the Platino Program.</w:t>
      </w:r>
    </w:p>
    <w:p>
      <w:pPr>
        <w:pStyle w:val="ListParagraph"/>
        <w:numPr>
          <w:ilvl w:val="1"/>
          <w:numId w:val="48"/>
        </w:numPr>
        <w:tabs>
          <w:tab w:val="left" w:pos="1944"/>
        </w:tabs>
        <w:spacing w:before="0" w:after="0" w:line="240" w:lineRule="auto"/>
        <w:ind w:left="1944" w:right="1521" w:hanging="360"/>
        <w:jc w:val="left"/>
        <w:rPr>
          <w:sz w:val="24"/>
        </w:rPr>
      </w:pPr>
      <w:r>
        <w:rPr>
          <w:sz w:val="24"/>
        </w:rPr>
        <w:t>The</w:t>
      </w:r>
      <w:r>
        <w:rPr>
          <w:spacing w:val="-6"/>
          <w:sz w:val="24"/>
        </w:rPr>
        <w:t xml:space="preserve"> </w:t>
      </w:r>
      <w:r>
        <w:rPr>
          <w:sz w:val="24"/>
        </w:rPr>
        <w:t>projected</w:t>
      </w:r>
      <w:r>
        <w:rPr>
          <w:spacing w:val="-4"/>
          <w:sz w:val="24"/>
        </w:rPr>
        <w:t xml:space="preserve"> </w:t>
      </w:r>
      <w:r>
        <w:rPr>
          <w:sz w:val="24"/>
        </w:rPr>
        <w:t>Medicaid</w:t>
      </w:r>
      <w:r>
        <w:rPr>
          <w:spacing w:val="-2"/>
          <w:sz w:val="24"/>
        </w:rPr>
        <w:t xml:space="preserve"> </w:t>
      </w:r>
      <w:r>
        <w:rPr>
          <w:sz w:val="24"/>
        </w:rPr>
        <w:t>revenue</w:t>
      </w:r>
      <w:r>
        <w:rPr>
          <w:spacing w:val="-5"/>
          <w:sz w:val="24"/>
        </w:rPr>
        <w:t xml:space="preserve"> </w:t>
      </w:r>
      <w:r>
        <w:rPr>
          <w:sz w:val="24"/>
        </w:rPr>
        <w:t>is</w:t>
      </w:r>
      <w:r>
        <w:rPr>
          <w:spacing w:val="-5"/>
          <w:sz w:val="24"/>
        </w:rPr>
        <w:t xml:space="preserve"> </w:t>
      </w:r>
      <w:r>
        <w:rPr>
          <w:sz w:val="24"/>
        </w:rPr>
        <w:t>the</w:t>
      </w:r>
      <w:r>
        <w:rPr>
          <w:spacing w:val="-5"/>
          <w:sz w:val="24"/>
        </w:rPr>
        <w:t xml:space="preserve"> </w:t>
      </w:r>
      <w:r>
        <w:rPr>
          <w:sz w:val="24"/>
        </w:rPr>
        <w:t>corresponding</w:t>
      </w:r>
      <w:r>
        <w:rPr>
          <w:spacing w:val="-3"/>
          <w:sz w:val="24"/>
        </w:rPr>
        <w:t xml:space="preserve"> </w:t>
      </w:r>
      <w:r>
        <w:rPr>
          <w:sz w:val="24"/>
        </w:rPr>
        <w:t>revenue</w:t>
      </w:r>
      <w:r>
        <w:rPr>
          <w:spacing w:val="-3"/>
          <w:sz w:val="24"/>
        </w:rPr>
        <w:t xml:space="preserve"> </w:t>
      </w:r>
      <w:r>
        <w:rPr>
          <w:sz w:val="24"/>
        </w:rPr>
        <w:t>received</w:t>
      </w:r>
      <w:r>
        <w:rPr>
          <w:spacing w:val="-4"/>
          <w:sz w:val="24"/>
        </w:rPr>
        <w:t xml:space="preserve"> </w:t>
      </w:r>
      <w:r>
        <w:rPr>
          <w:sz w:val="24"/>
        </w:rPr>
        <w:t>from</w:t>
      </w:r>
      <w:r>
        <w:rPr>
          <w:spacing w:val="-4"/>
          <w:sz w:val="24"/>
        </w:rPr>
        <w:t xml:space="preserve"> </w:t>
      </w:r>
      <w:r>
        <w:rPr>
          <w:sz w:val="24"/>
        </w:rPr>
        <w:t>the state Medicaid program to provide the Medicaid benefits.</w:t>
      </w:r>
    </w:p>
    <w:p>
      <w:pPr>
        <w:pStyle w:val="ListParagraph"/>
        <w:numPr>
          <w:ilvl w:val="1"/>
          <w:numId w:val="48"/>
        </w:numPr>
        <w:tabs>
          <w:tab w:val="left" w:pos="1944"/>
        </w:tabs>
        <w:spacing w:before="0" w:after="0" w:line="240" w:lineRule="auto"/>
        <w:ind w:left="1944" w:right="0" w:hanging="360"/>
        <w:jc w:val="left"/>
        <w:rPr>
          <w:sz w:val="24"/>
        </w:rPr>
      </w:pPr>
      <w:r>
        <w:rPr>
          <w:sz w:val="24"/>
        </w:rPr>
        <w:t>The</w:t>
      </w:r>
      <w:r>
        <w:rPr>
          <w:spacing w:val="-3"/>
          <w:sz w:val="24"/>
        </w:rPr>
        <w:t xml:space="preserve"> </w:t>
      </w:r>
      <w:r>
        <w:rPr>
          <w:sz w:val="24"/>
        </w:rPr>
        <w:t>values</w:t>
      </w:r>
      <w:r>
        <w:rPr>
          <w:spacing w:val="-2"/>
          <w:sz w:val="24"/>
        </w:rPr>
        <w:t xml:space="preserve"> </w:t>
      </w:r>
      <w:r>
        <w:rPr>
          <w:sz w:val="24"/>
        </w:rPr>
        <w:t>must</w:t>
      </w:r>
      <w:r>
        <w:rPr>
          <w:spacing w:val="-1"/>
          <w:sz w:val="24"/>
        </w:rPr>
        <w:t xml:space="preserve"> </w:t>
      </w:r>
      <w:r>
        <w:rPr>
          <w:sz w:val="24"/>
        </w:rPr>
        <w:t>be</w:t>
      </w:r>
      <w:r>
        <w:rPr>
          <w:spacing w:val="-1"/>
          <w:sz w:val="24"/>
        </w:rPr>
        <w:t xml:space="preserve"> </w:t>
      </w:r>
      <w:r>
        <w:rPr>
          <w:sz w:val="24"/>
        </w:rPr>
        <w:t>on</w:t>
      </w:r>
      <w:r>
        <w:rPr>
          <w:spacing w:val="-1"/>
          <w:sz w:val="24"/>
        </w:rPr>
        <w:t xml:space="preserve"> </w:t>
      </w:r>
      <w:r>
        <w:rPr>
          <w:sz w:val="24"/>
        </w:rPr>
        <w:t>a</w:t>
      </w:r>
      <w:r>
        <w:rPr>
          <w:spacing w:val="1"/>
          <w:sz w:val="24"/>
        </w:rPr>
        <w:t xml:space="preserve"> </w:t>
      </w:r>
      <w:r>
        <w:rPr>
          <w:sz w:val="24"/>
        </w:rPr>
        <w:t xml:space="preserve">PMPM </w:t>
      </w:r>
      <w:r>
        <w:rPr>
          <w:spacing w:val="-2"/>
          <w:sz w:val="24"/>
        </w:rPr>
        <w:t>basis.</w:t>
      </w:r>
    </w:p>
    <w:p>
      <w:pPr>
        <w:pStyle w:val="ListParagraph"/>
        <w:numPr>
          <w:ilvl w:val="1"/>
          <w:numId w:val="48"/>
        </w:numPr>
        <w:tabs>
          <w:tab w:val="left" w:pos="1944"/>
        </w:tabs>
        <w:spacing w:before="0" w:after="0" w:line="240" w:lineRule="auto"/>
        <w:ind w:left="1944" w:right="1704" w:hanging="360"/>
        <w:jc w:val="left"/>
        <w:rPr>
          <w:sz w:val="24"/>
        </w:rPr>
      </w:pPr>
      <w:r>
        <w:rPr>
          <w:sz w:val="24"/>
        </w:rPr>
        <w:t>Worksheet 1 collects the Medicaid revenue and costs (in total dollars) in the base</w:t>
      </w:r>
      <w:r>
        <w:rPr>
          <w:spacing w:val="-4"/>
          <w:sz w:val="24"/>
        </w:rPr>
        <w:t xml:space="preserve"> </w:t>
      </w:r>
      <w:r>
        <w:rPr>
          <w:sz w:val="24"/>
        </w:rPr>
        <w:t>period</w:t>
      </w:r>
      <w:r>
        <w:rPr>
          <w:spacing w:val="-3"/>
          <w:sz w:val="24"/>
        </w:rPr>
        <w:t xml:space="preserve"> </w:t>
      </w:r>
      <w:r>
        <w:rPr>
          <w:sz w:val="24"/>
        </w:rPr>
        <w:t>(Section</w:t>
      </w:r>
      <w:r>
        <w:rPr>
          <w:spacing w:val="-3"/>
          <w:sz w:val="24"/>
        </w:rPr>
        <w:t xml:space="preserve"> </w:t>
      </w:r>
      <w:r>
        <w:rPr>
          <w:sz w:val="24"/>
        </w:rPr>
        <w:t>V,</w:t>
      </w:r>
      <w:r>
        <w:rPr>
          <w:spacing w:val="-3"/>
          <w:sz w:val="24"/>
        </w:rPr>
        <w:t xml:space="preserve"> </w:t>
      </w:r>
      <w:r>
        <w:rPr>
          <w:sz w:val="24"/>
        </w:rPr>
        <w:t>lines</w:t>
      </w:r>
      <w:r>
        <w:rPr>
          <w:spacing w:val="-4"/>
          <w:sz w:val="24"/>
        </w:rPr>
        <w:t xml:space="preserve"> </w:t>
      </w:r>
      <w:r>
        <w:rPr>
          <w:sz w:val="24"/>
        </w:rPr>
        <w:t>10a,</w:t>
      </w:r>
      <w:r>
        <w:rPr>
          <w:spacing w:val="-3"/>
          <w:sz w:val="24"/>
        </w:rPr>
        <w:t xml:space="preserve"> </w:t>
      </w:r>
      <w:r>
        <w:rPr>
          <w:sz w:val="24"/>
        </w:rPr>
        <w:t>10b1,</w:t>
      </w:r>
      <w:r>
        <w:rPr>
          <w:spacing w:val="-3"/>
          <w:sz w:val="24"/>
        </w:rPr>
        <w:t xml:space="preserve"> </w:t>
      </w:r>
      <w:r>
        <w:rPr>
          <w:sz w:val="24"/>
        </w:rPr>
        <w:t>and</w:t>
      </w:r>
      <w:r>
        <w:rPr>
          <w:spacing w:val="-3"/>
          <w:sz w:val="24"/>
        </w:rPr>
        <w:t xml:space="preserve"> </w:t>
      </w:r>
      <w:r>
        <w:rPr>
          <w:sz w:val="24"/>
        </w:rPr>
        <w:t>10b2).</w:t>
      </w:r>
      <w:r>
        <w:rPr>
          <w:spacing w:val="-3"/>
          <w:sz w:val="24"/>
        </w:rPr>
        <w:t xml:space="preserve"> </w:t>
      </w:r>
      <w:r>
        <w:rPr>
          <w:sz w:val="24"/>
        </w:rPr>
        <w:t>These</w:t>
      </w:r>
      <w:r>
        <w:rPr>
          <w:spacing w:val="-4"/>
          <w:sz w:val="24"/>
        </w:rPr>
        <w:t xml:space="preserve"> </w:t>
      </w:r>
      <w:r>
        <w:rPr>
          <w:sz w:val="24"/>
        </w:rPr>
        <w:t>items</w:t>
      </w:r>
      <w:r>
        <w:rPr>
          <w:spacing w:val="-4"/>
          <w:sz w:val="24"/>
        </w:rPr>
        <w:t xml:space="preserve"> </w:t>
      </w:r>
      <w:r>
        <w:rPr>
          <w:sz w:val="24"/>
        </w:rPr>
        <w:t>are</w:t>
      </w:r>
      <w:r>
        <w:rPr>
          <w:spacing w:val="-4"/>
          <w:sz w:val="24"/>
        </w:rPr>
        <w:t xml:space="preserve"> </w:t>
      </w:r>
      <w:r>
        <w:rPr>
          <w:sz w:val="24"/>
        </w:rPr>
        <w:t>defined</w:t>
      </w:r>
      <w:r>
        <w:rPr>
          <w:spacing w:val="-1"/>
          <w:sz w:val="24"/>
        </w:rPr>
        <w:t xml:space="preserve"> </w:t>
      </w:r>
      <w:r>
        <w:rPr>
          <w:sz w:val="24"/>
        </w:rPr>
        <w:t>in the same manner as for the projection period.</w:t>
      </w:r>
    </w:p>
    <w:p>
      <w:pPr>
        <w:pStyle w:val="BodyText"/>
        <w:spacing w:before="120"/>
        <w:ind w:left="1224" w:right="1716"/>
        <w:jc w:val="both"/>
      </w:pPr>
      <w:r>
        <w:t xml:space="preserve">For more information on Medicaid benefits, see Chapter 4 of the </w:t>
      </w:r>
      <w:r>
        <w:rPr>
          <w:i/>
        </w:rPr>
        <w:t>Medicare Managed</w:t>
      </w:r>
      <w:r>
        <w:rPr>
          <w:i/>
        </w:rPr>
        <w:t xml:space="preserve"> Care</w:t>
      </w:r>
      <w:r>
        <w:rPr>
          <w:i/>
          <w:spacing w:val="-14"/>
        </w:rPr>
        <w:t xml:space="preserve"> </w:t>
      </w:r>
      <w:r>
        <w:rPr>
          <w:i/>
        </w:rPr>
        <w:t>Manual</w:t>
      </w:r>
      <w:r>
        <w:rPr>
          <w:i/>
          <w:spacing w:val="-13"/>
        </w:rPr>
        <w:t xml:space="preserve"> </w:t>
      </w:r>
      <w:r>
        <w:t>at</w:t>
      </w:r>
      <w:r>
        <w:rPr>
          <w:spacing w:val="-13"/>
        </w:rPr>
        <w:t xml:space="preserve"> </w:t>
      </w:r>
      <w:hyperlink r:id="rId16">
        <w:r>
          <w:rPr>
            <w:color w:val="0000FF"/>
            <w:u w:val="single" w:color="0000FF"/>
          </w:rPr>
          <w:t>https://www.cms.gov/Regulations-and-Guidance/Guidance/Manuals/</w:t>
        </w:r>
      </w:hyperlink>
      <w:r>
        <w:rPr>
          <w:color w:val="0000FF"/>
          <w:u w:val="none"/>
        </w:rPr>
        <w:t xml:space="preserve"> </w:t>
      </w:r>
      <w:hyperlink r:id="rId16">
        <w:r>
          <w:rPr>
            <w:color w:val="0000FF"/>
            <w:spacing w:val="-2"/>
            <w:u w:val="single" w:color="0000FF"/>
          </w:rPr>
          <w:t>Internet-Only-Manuals-IOMs-Items/CMS019326</w:t>
        </w:r>
      </w:hyperlink>
      <w:r>
        <w:rPr>
          <w:spacing w:val="-2"/>
          <w:u w:val="none"/>
        </w:rPr>
        <w:t>.</w:t>
      </w:r>
    </w:p>
    <w:p>
      <w:pPr>
        <w:pStyle w:val="BodyText"/>
        <w:ind w:left="0"/>
        <w:rPr>
          <w:sz w:val="21"/>
        </w:rPr>
      </w:pPr>
    </w:p>
    <w:p>
      <w:pPr>
        <w:spacing w:before="0"/>
        <w:ind w:left="1224" w:right="0" w:firstLine="0"/>
        <w:jc w:val="both"/>
        <w:rPr>
          <w:rFonts w:ascii="Arial"/>
          <w:b/>
          <w:i/>
          <w:sz w:val="21"/>
        </w:rPr>
      </w:pPr>
      <w:bookmarkStart w:id="54" w:name="Determination of DE# Beneficiaries"/>
      <w:bookmarkEnd w:id="54"/>
      <w:r>
        <w:rPr>
          <w:rFonts w:ascii="Arial"/>
          <w:b/>
          <w:i/>
          <w:sz w:val="21"/>
        </w:rPr>
        <w:t>Determination</w:t>
      </w:r>
      <w:r>
        <w:rPr>
          <w:rFonts w:ascii="Arial"/>
          <w:b/>
          <w:i/>
          <w:spacing w:val="-6"/>
          <w:sz w:val="21"/>
        </w:rPr>
        <w:t xml:space="preserve"> </w:t>
      </w:r>
      <w:r>
        <w:rPr>
          <w:rFonts w:ascii="Arial"/>
          <w:b/>
          <w:i/>
          <w:sz w:val="21"/>
        </w:rPr>
        <w:t>of</w:t>
      </w:r>
      <w:r>
        <w:rPr>
          <w:rFonts w:ascii="Arial"/>
          <w:b/>
          <w:i/>
          <w:spacing w:val="-6"/>
          <w:sz w:val="21"/>
        </w:rPr>
        <w:t xml:space="preserve"> </w:t>
      </w:r>
      <w:r>
        <w:rPr>
          <w:rFonts w:ascii="Arial"/>
          <w:b/>
          <w:i/>
          <w:sz w:val="21"/>
        </w:rPr>
        <w:t>DE#</w:t>
      </w:r>
      <w:r>
        <w:rPr>
          <w:rFonts w:ascii="Arial"/>
          <w:b/>
          <w:i/>
          <w:spacing w:val="-8"/>
          <w:sz w:val="21"/>
        </w:rPr>
        <w:t xml:space="preserve"> </w:t>
      </w:r>
      <w:r>
        <w:rPr>
          <w:rFonts w:ascii="Arial"/>
          <w:b/>
          <w:i/>
          <w:spacing w:val="-2"/>
          <w:sz w:val="21"/>
        </w:rPr>
        <w:t>Beneficiaries</w:t>
      </w:r>
    </w:p>
    <w:p>
      <w:pPr>
        <w:pStyle w:val="BodyText"/>
        <w:spacing w:before="118"/>
        <w:ind w:left="1224" w:right="1707"/>
        <w:jc w:val="both"/>
      </w:pPr>
      <w:r>
        <w:t>Per</w:t>
      </w:r>
      <w:r>
        <w:rPr>
          <w:spacing w:val="-4"/>
        </w:rPr>
        <w:t xml:space="preserve"> </w:t>
      </w:r>
      <w:r>
        <w:t>federal</w:t>
      </w:r>
      <w:r>
        <w:rPr>
          <w:spacing w:val="-3"/>
        </w:rPr>
        <w:t xml:space="preserve"> </w:t>
      </w:r>
      <w:r>
        <w:t>statute,</w:t>
      </w:r>
      <w:r>
        <w:rPr>
          <w:spacing w:val="-3"/>
        </w:rPr>
        <w:t xml:space="preserve"> </w:t>
      </w:r>
      <w:r>
        <w:t>QMBs</w:t>
      </w:r>
      <w:r>
        <w:rPr>
          <w:spacing w:val="-4"/>
        </w:rPr>
        <w:t xml:space="preserve"> </w:t>
      </w:r>
      <w:r>
        <w:t>and</w:t>
      </w:r>
      <w:r>
        <w:rPr>
          <w:spacing w:val="-3"/>
        </w:rPr>
        <w:t xml:space="preserve"> </w:t>
      </w:r>
      <w:r>
        <w:t>QMBs</w:t>
      </w:r>
      <w:r>
        <w:rPr>
          <w:spacing w:val="-3"/>
        </w:rPr>
        <w:t xml:space="preserve"> </w:t>
      </w:r>
      <w:r>
        <w:t>with</w:t>
      </w:r>
      <w:r>
        <w:rPr>
          <w:spacing w:val="-3"/>
        </w:rPr>
        <w:t xml:space="preserve"> </w:t>
      </w:r>
      <w:r>
        <w:t>full</w:t>
      </w:r>
      <w:r>
        <w:rPr>
          <w:spacing w:val="-3"/>
        </w:rPr>
        <w:t xml:space="preserve"> </w:t>
      </w:r>
      <w:r>
        <w:t>Medicaid</w:t>
      </w:r>
      <w:r>
        <w:rPr>
          <w:spacing w:val="-3"/>
        </w:rPr>
        <w:t xml:space="preserve"> </w:t>
      </w:r>
      <w:r>
        <w:t>benefits</w:t>
      </w:r>
      <w:r>
        <w:rPr>
          <w:spacing w:val="-4"/>
        </w:rPr>
        <w:t xml:space="preserve"> </w:t>
      </w:r>
      <w:r>
        <w:t>(QMB</w:t>
      </w:r>
      <w:r>
        <w:rPr>
          <w:spacing w:val="-1"/>
        </w:rPr>
        <w:t xml:space="preserve"> </w:t>
      </w:r>
      <w:r>
        <w:t>Plus)</w:t>
      </w:r>
      <w:r>
        <w:rPr>
          <w:spacing w:val="-4"/>
        </w:rPr>
        <w:t xml:space="preserve"> </w:t>
      </w:r>
      <w:r>
        <w:t>are</w:t>
      </w:r>
      <w:r>
        <w:rPr>
          <w:spacing w:val="-5"/>
        </w:rPr>
        <w:t xml:space="preserve"> </w:t>
      </w:r>
      <w:r>
        <w:t>not liable</w:t>
      </w:r>
      <w:r>
        <w:rPr>
          <w:spacing w:val="-2"/>
        </w:rPr>
        <w:t xml:space="preserve"> </w:t>
      </w:r>
      <w:r>
        <w:t>for</w:t>
      </w:r>
      <w:r>
        <w:rPr>
          <w:spacing w:val="-2"/>
        </w:rPr>
        <w:t xml:space="preserve"> </w:t>
      </w:r>
      <w:r>
        <w:t>Medicare</w:t>
      </w:r>
      <w:r>
        <w:rPr>
          <w:spacing w:val="-2"/>
        </w:rPr>
        <w:t xml:space="preserve"> </w:t>
      </w:r>
      <w:r>
        <w:t>cost</w:t>
      </w:r>
      <w:r>
        <w:rPr>
          <w:spacing w:val="-2"/>
        </w:rPr>
        <w:t xml:space="preserve"> </w:t>
      </w:r>
      <w:r>
        <w:t>sharing;</w:t>
      </w:r>
      <w:r>
        <w:rPr>
          <w:spacing w:val="-2"/>
        </w:rPr>
        <w:t xml:space="preserve"> </w:t>
      </w:r>
      <w:r>
        <w:t>therefore,</w:t>
      </w:r>
      <w:r>
        <w:rPr>
          <w:spacing w:val="-2"/>
        </w:rPr>
        <w:t xml:space="preserve"> </w:t>
      </w:r>
      <w:r>
        <w:t>these</w:t>
      </w:r>
      <w:r>
        <w:rPr>
          <w:spacing w:val="-1"/>
        </w:rPr>
        <w:t xml:space="preserve"> </w:t>
      </w:r>
      <w:r>
        <w:t>individuals</w:t>
      </w:r>
      <w:r>
        <w:rPr>
          <w:spacing w:val="-2"/>
        </w:rPr>
        <w:t xml:space="preserve"> </w:t>
      </w:r>
      <w:r>
        <w:t>are</w:t>
      </w:r>
      <w:r>
        <w:rPr>
          <w:spacing w:val="-4"/>
        </w:rPr>
        <w:t xml:space="preserve"> </w:t>
      </w:r>
      <w:r>
        <w:t>always</w:t>
      </w:r>
      <w:r>
        <w:rPr>
          <w:spacing w:val="-3"/>
        </w:rPr>
        <w:t xml:space="preserve"> </w:t>
      </w:r>
      <w:r>
        <w:t>considered</w:t>
      </w:r>
      <w:r>
        <w:rPr>
          <w:spacing w:val="-2"/>
        </w:rPr>
        <w:t xml:space="preserve"> </w:t>
      </w:r>
      <w:r>
        <w:t>to be DE# beneficiaries, as defined in the “Introduction” of these Instructions.</w:t>
      </w:r>
    </w:p>
    <w:p>
      <w:pPr>
        <w:pStyle w:val="BodyText"/>
        <w:spacing w:before="120"/>
        <w:ind w:left="1224" w:right="1481"/>
      </w:pPr>
      <w:r>
        <w:t>The</w:t>
      </w:r>
      <w:r>
        <w:rPr>
          <w:spacing w:val="-6"/>
        </w:rPr>
        <w:t xml:space="preserve"> </w:t>
      </w:r>
      <w:r>
        <w:t>certifying</w:t>
      </w:r>
      <w:r>
        <w:rPr>
          <w:spacing w:val="-4"/>
        </w:rPr>
        <w:t xml:space="preserve"> </w:t>
      </w:r>
      <w:r>
        <w:t>actuary</w:t>
      </w:r>
      <w:r>
        <w:rPr>
          <w:spacing w:val="-4"/>
        </w:rPr>
        <w:t xml:space="preserve"> </w:t>
      </w:r>
      <w:r>
        <w:t>must</w:t>
      </w:r>
      <w:r>
        <w:rPr>
          <w:spacing w:val="-4"/>
        </w:rPr>
        <w:t xml:space="preserve"> </w:t>
      </w:r>
      <w:r>
        <w:t>determine</w:t>
      </w:r>
      <w:r>
        <w:rPr>
          <w:spacing w:val="-5"/>
        </w:rPr>
        <w:t xml:space="preserve"> </w:t>
      </w:r>
      <w:r>
        <w:t>which</w:t>
      </w:r>
      <w:r>
        <w:rPr>
          <w:spacing w:val="-3"/>
        </w:rPr>
        <w:t xml:space="preserve"> </w:t>
      </w:r>
      <w:r>
        <w:t>additional</w:t>
      </w:r>
      <w:r>
        <w:rPr>
          <w:spacing w:val="-4"/>
        </w:rPr>
        <w:t xml:space="preserve"> </w:t>
      </w:r>
      <w:r>
        <w:t>beneficiaries</w:t>
      </w:r>
      <w:r>
        <w:rPr>
          <w:spacing w:val="-5"/>
        </w:rPr>
        <w:t xml:space="preserve"> </w:t>
      </w:r>
      <w:r>
        <w:t>are</w:t>
      </w:r>
      <w:r>
        <w:rPr>
          <w:spacing w:val="-5"/>
        </w:rPr>
        <w:t xml:space="preserve"> </w:t>
      </w:r>
      <w:r>
        <w:t>DE#</w:t>
      </w:r>
      <w:r>
        <w:rPr>
          <w:spacing w:val="-4"/>
        </w:rPr>
        <w:t xml:space="preserve"> </w:t>
      </w:r>
      <w:r>
        <w:t>based</w:t>
      </w:r>
      <w:r>
        <w:rPr>
          <w:spacing w:val="-4"/>
        </w:rPr>
        <w:t xml:space="preserve"> </w:t>
      </w:r>
      <w:r>
        <w:t>on the Medicaid cost-sharing policy for the states or territories in the bid’s service area.</w:t>
      </w:r>
    </w:p>
    <w:p>
      <w:pPr>
        <w:pStyle w:val="BodyText"/>
        <w:ind w:left="1224" w:right="1481"/>
      </w:pPr>
      <w:r>
        <w:t>However,</w:t>
      </w:r>
      <w:r>
        <w:rPr>
          <w:spacing w:val="-3"/>
        </w:rPr>
        <w:t xml:space="preserve"> </w:t>
      </w:r>
      <w:r>
        <w:t>the</w:t>
      </w:r>
      <w:r>
        <w:rPr>
          <w:spacing w:val="-4"/>
        </w:rPr>
        <w:t xml:space="preserve"> </w:t>
      </w:r>
      <w:r>
        <w:t>certifying</w:t>
      </w:r>
      <w:r>
        <w:rPr>
          <w:spacing w:val="-3"/>
        </w:rPr>
        <w:t xml:space="preserve"> </w:t>
      </w:r>
      <w:r>
        <w:t>actuary</w:t>
      </w:r>
      <w:r>
        <w:rPr>
          <w:spacing w:val="-2"/>
        </w:rPr>
        <w:t xml:space="preserve"> </w:t>
      </w:r>
      <w:r>
        <w:t>has</w:t>
      </w:r>
      <w:r>
        <w:rPr>
          <w:spacing w:val="-4"/>
        </w:rPr>
        <w:t xml:space="preserve"> </w:t>
      </w:r>
      <w:r>
        <w:t>the</w:t>
      </w:r>
      <w:r>
        <w:rPr>
          <w:spacing w:val="-3"/>
        </w:rPr>
        <w:t xml:space="preserve"> </w:t>
      </w:r>
      <w:r>
        <w:t>option</w:t>
      </w:r>
      <w:r>
        <w:rPr>
          <w:spacing w:val="-3"/>
        </w:rPr>
        <w:t xml:space="preserve"> </w:t>
      </w:r>
      <w:r>
        <w:t>to</w:t>
      </w:r>
      <w:r>
        <w:rPr>
          <w:spacing w:val="-3"/>
        </w:rPr>
        <w:t xml:space="preserve"> </w:t>
      </w:r>
      <w:r>
        <w:t>approximate</w:t>
      </w:r>
      <w:r>
        <w:rPr>
          <w:spacing w:val="-3"/>
        </w:rPr>
        <w:t xml:space="preserve"> </w:t>
      </w:r>
      <w:r>
        <w:t>the</w:t>
      </w:r>
      <w:r>
        <w:rPr>
          <w:spacing w:val="-4"/>
        </w:rPr>
        <w:t xml:space="preserve"> </w:t>
      </w:r>
      <w:r>
        <w:t>DE#</w:t>
      </w:r>
      <w:r>
        <w:rPr>
          <w:spacing w:val="-3"/>
        </w:rPr>
        <w:t xml:space="preserve"> </w:t>
      </w:r>
      <w:r>
        <w:t>population</w:t>
      </w:r>
      <w:r>
        <w:rPr>
          <w:spacing w:val="-3"/>
        </w:rPr>
        <w:t xml:space="preserve"> </w:t>
      </w:r>
      <w:r>
        <w:t>as described below, if the condition in the second bullet point is satisfied.</w:t>
      </w:r>
    </w:p>
    <w:p>
      <w:pPr>
        <w:pStyle w:val="ListParagraph"/>
        <w:numPr>
          <w:ilvl w:val="1"/>
          <w:numId w:val="48"/>
        </w:numPr>
        <w:tabs>
          <w:tab w:val="left" w:pos="1944"/>
        </w:tabs>
        <w:spacing w:before="120" w:after="0" w:line="240" w:lineRule="auto"/>
        <w:ind w:left="1944" w:right="1461" w:hanging="360"/>
        <w:jc w:val="left"/>
        <w:rPr>
          <w:sz w:val="24"/>
        </w:rPr>
      </w:pPr>
      <w:r>
        <w:rPr>
          <w:sz w:val="24"/>
        </w:rPr>
        <w:t>The first step is to consider the bid-specific enrollment data available in HPMS, under</w:t>
      </w:r>
      <w:r>
        <w:rPr>
          <w:spacing w:val="-3"/>
          <w:sz w:val="24"/>
        </w:rPr>
        <w:t xml:space="preserve"> </w:t>
      </w:r>
      <w:r>
        <w:rPr>
          <w:sz w:val="24"/>
        </w:rPr>
        <w:t>the</w:t>
      </w:r>
      <w:r>
        <w:rPr>
          <w:spacing w:val="-5"/>
          <w:sz w:val="24"/>
        </w:rPr>
        <w:t xml:space="preserve"> </w:t>
      </w:r>
      <w:r>
        <w:rPr>
          <w:sz w:val="24"/>
        </w:rPr>
        <w:t>“Risk</w:t>
      </w:r>
      <w:r>
        <w:rPr>
          <w:spacing w:val="-2"/>
          <w:sz w:val="24"/>
        </w:rPr>
        <w:t xml:space="preserve"> </w:t>
      </w:r>
      <w:r>
        <w:rPr>
          <w:sz w:val="24"/>
        </w:rPr>
        <w:t>Adjustment”</w:t>
      </w:r>
      <w:r>
        <w:rPr>
          <w:spacing w:val="-4"/>
          <w:sz w:val="24"/>
        </w:rPr>
        <w:t xml:space="preserve"> </w:t>
      </w:r>
      <w:r>
        <w:rPr>
          <w:sz w:val="24"/>
        </w:rPr>
        <w:t>link</w:t>
      </w:r>
      <w:r>
        <w:rPr>
          <w:spacing w:val="-3"/>
          <w:sz w:val="24"/>
        </w:rPr>
        <w:t xml:space="preserve"> </w:t>
      </w:r>
      <w:r>
        <w:rPr>
          <w:sz w:val="24"/>
        </w:rPr>
        <w:t>as</w:t>
      </w:r>
      <w:r>
        <w:rPr>
          <w:spacing w:val="-4"/>
          <w:sz w:val="24"/>
        </w:rPr>
        <w:t xml:space="preserve"> </w:t>
      </w:r>
      <w:r>
        <w:rPr>
          <w:sz w:val="24"/>
        </w:rPr>
        <w:t>well</w:t>
      </w:r>
      <w:r>
        <w:rPr>
          <w:spacing w:val="-3"/>
          <w:sz w:val="24"/>
        </w:rPr>
        <w:t xml:space="preserve"> </w:t>
      </w:r>
      <w:r>
        <w:rPr>
          <w:sz w:val="24"/>
        </w:rPr>
        <w:t>as</w:t>
      </w:r>
      <w:r>
        <w:rPr>
          <w:spacing w:val="-3"/>
          <w:sz w:val="24"/>
        </w:rPr>
        <w:t xml:space="preserve"> </w:t>
      </w:r>
      <w:r>
        <w:rPr>
          <w:sz w:val="24"/>
        </w:rPr>
        <w:t>the</w:t>
      </w:r>
      <w:r>
        <w:rPr>
          <w:spacing w:val="-4"/>
          <w:sz w:val="24"/>
        </w:rPr>
        <w:t xml:space="preserve"> </w:t>
      </w:r>
      <w:r>
        <w:rPr>
          <w:sz w:val="24"/>
        </w:rPr>
        <w:t>2025</w:t>
      </w:r>
      <w:r>
        <w:rPr>
          <w:spacing w:val="-3"/>
          <w:sz w:val="24"/>
        </w:rPr>
        <w:t xml:space="preserve"> </w:t>
      </w:r>
      <w:r>
        <w:rPr>
          <w:sz w:val="24"/>
        </w:rPr>
        <w:t>membership</w:t>
      </w:r>
      <w:r>
        <w:rPr>
          <w:spacing w:val="-3"/>
          <w:sz w:val="24"/>
        </w:rPr>
        <w:t xml:space="preserve"> </w:t>
      </w:r>
      <w:r>
        <w:rPr>
          <w:sz w:val="24"/>
        </w:rPr>
        <w:t>data</w:t>
      </w:r>
      <w:r>
        <w:rPr>
          <w:spacing w:val="-3"/>
          <w:sz w:val="24"/>
        </w:rPr>
        <w:t xml:space="preserve"> </w:t>
      </w:r>
      <w:r>
        <w:rPr>
          <w:sz w:val="24"/>
        </w:rPr>
        <w:t>posted</w:t>
      </w:r>
      <w:r>
        <w:rPr>
          <w:spacing w:val="-3"/>
          <w:sz w:val="24"/>
        </w:rPr>
        <w:t xml:space="preserve"> </w:t>
      </w:r>
      <w:r>
        <w:rPr>
          <w:sz w:val="24"/>
        </w:rPr>
        <w:t>in HPMS for the Contract-Plan ID-Segment ID(s) listed in Worksheet 1 for the base period.</w:t>
      </w:r>
    </w:p>
    <w:p>
      <w:pPr>
        <w:pStyle w:val="ListParagraph"/>
        <w:numPr>
          <w:ilvl w:val="1"/>
          <w:numId w:val="48"/>
        </w:numPr>
        <w:tabs>
          <w:tab w:val="left" w:pos="1944"/>
        </w:tabs>
        <w:spacing w:before="1" w:after="0" w:line="240" w:lineRule="auto"/>
        <w:ind w:left="1944" w:right="0" w:hanging="360"/>
        <w:jc w:val="left"/>
        <w:rPr>
          <w:sz w:val="24"/>
        </w:rPr>
      </w:pPr>
      <w:r>
        <w:rPr>
          <w:sz w:val="24"/>
        </w:rPr>
        <w:t>If</w:t>
      </w:r>
      <w:r>
        <w:rPr>
          <w:spacing w:val="-3"/>
          <w:sz w:val="24"/>
        </w:rPr>
        <w:t xml:space="preserve"> </w:t>
      </w:r>
      <w:r>
        <w:rPr>
          <w:sz w:val="24"/>
        </w:rPr>
        <w:t>the</w:t>
      </w:r>
      <w:r>
        <w:rPr>
          <w:spacing w:val="-3"/>
          <w:sz w:val="24"/>
        </w:rPr>
        <w:t xml:space="preserve"> </w:t>
      </w:r>
      <w:r>
        <w:rPr>
          <w:sz w:val="24"/>
        </w:rPr>
        <w:t>percentage</w:t>
      </w:r>
      <w:r>
        <w:rPr>
          <w:spacing w:val="-2"/>
          <w:sz w:val="24"/>
        </w:rPr>
        <w:t xml:space="preserve"> </w:t>
      </w:r>
      <w:r>
        <w:rPr>
          <w:sz w:val="24"/>
        </w:rPr>
        <w:t>of</w:t>
      </w:r>
      <w:r>
        <w:rPr>
          <w:spacing w:val="-1"/>
          <w:sz w:val="24"/>
        </w:rPr>
        <w:t xml:space="preserve"> </w:t>
      </w:r>
      <w:r>
        <w:rPr>
          <w:sz w:val="24"/>
        </w:rPr>
        <w:t>total</w:t>
      </w:r>
      <w:r>
        <w:rPr>
          <w:spacing w:val="-1"/>
          <w:sz w:val="24"/>
        </w:rPr>
        <w:t xml:space="preserve"> </w:t>
      </w:r>
      <w:r>
        <w:rPr>
          <w:sz w:val="24"/>
        </w:rPr>
        <w:t>dual-eligible</w:t>
      </w:r>
      <w:r>
        <w:rPr>
          <w:spacing w:val="-1"/>
          <w:sz w:val="24"/>
        </w:rPr>
        <w:t xml:space="preserve"> </w:t>
      </w:r>
      <w:r>
        <w:rPr>
          <w:sz w:val="24"/>
        </w:rPr>
        <w:t>beneficiaries</w:t>
      </w:r>
      <w:r>
        <w:rPr>
          <w:spacing w:val="-2"/>
          <w:sz w:val="24"/>
        </w:rPr>
        <w:t xml:space="preserve"> </w:t>
      </w:r>
      <w:r>
        <w:rPr>
          <w:sz w:val="24"/>
        </w:rPr>
        <w:t>(who</w:t>
      </w:r>
      <w:r>
        <w:rPr>
          <w:spacing w:val="-1"/>
          <w:sz w:val="24"/>
        </w:rPr>
        <w:t xml:space="preserve"> </w:t>
      </w:r>
      <w:r>
        <w:rPr>
          <w:sz w:val="24"/>
        </w:rPr>
        <w:t>comprise</w:t>
      </w:r>
      <w:r>
        <w:rPr>
          <w:spacing w:val="-2"/>
          <w:sz w:val="24"/>
        </w:rPr>
        <w:t xml:space="preserve"> </w:t>
      </w:r>
      <w:r>
        <w:rPr>
          <w:spacing w:val="-5"/>
          <w:sz w:val="24"/>
        </w:rPr>
        <w:t>all</w:t>
      </w:r>
    </w:p>
    <w:p>
      <w:pPr>
        <w:pStyle w:val="BodyText"/>
        <w:ind w:left="1944" w:right="1481"/>
      </w:pPr>
      <w:r>
        <w:t>dual-eligible</w:t>
      </w:r>
      <w:r>
        <w:rPr>
          <w:spacing w:val="-4"/>
        </w:rPr>
        <w:t xml:space="preserve"> </w:t>
      </w:r>
      <w:r>
        <w:t>categories</w:t>
      </w:r>
      <w:r>
        <w:rPr>
          <w:spacing w:val="-4"/>
        </w:rPr>
        <w:t xml:space="preserve"> </w:t>
      </w:r>
      <w:r>
        <w:t>and</w:t>
      </w:r>
      <w:r>
        <w:rPr>
          <w:spacing w:val="-4"/>
        </w:rPr>
        <w:t xml:space="preserve"> </w:t>
      </w:r>
      <w:r>
        <w:t>not</w:t>
      </w:r>
      <w:r>
        <w:rPr>
          <w:spacing w:val="-4"/>
        </w:rPr>
        <w:t xml:space="preserve"> </w:t>
      </w:r>
      <w:r>
        <w:t>just</w:t>
      </w:r>
      <w:r>
        <w:rPr>
          <w:spacing w:val="-2"/>
        </w:rPr>
        <w:t xml:space="preserve"> </w:t>
      </w:r>
      <w:r>
        <w:t>the</w:t>
      </w:r>
      <w:r>
        <w:rPr>
          <w:spacing w:val="-4"/>
        </w:rPr>
        <w:t xml:space="preserve"> </w:t>
      </w:r>
      <w:r>
        <w:t>QMB</w:t>
      </w:r>
      <w:r>
        <w:rPr>
          <w:spacing w:val="-4"/>
        </w:rPr>
        <w:t xml:space="preserve"> </w:t>
      </w:r>
      <w:r>
        <w:t>and</w:t>
      </w:r>
      <w:r>
        <w:rPr>
          <w:spacing w:val="-4"/>
        </w:rPr>
        <w:t xml:space="preserve"> </w:t>
      </w:r>
      <w:r>
        <w:t>QMB</w:t>
      </w:r>
      <w:r>
        <w:rPr>
          <w:spacing w:val="-4"/>
        </w:rPr>
        <w:t xml:space="preserve"> </w:t>
      </w:r>
      <w:r>
        <w:t>Plus</w:t>
      </w:r>
      <w:r>
        <w:rPr>
          <w:spacing w:val="-3"/>
        </w:rPr>
        <w:t xml:space="preserve"> </w:t>
      </w:r>
      <w:r>
        <w:t>categories)</w:t>
      </w:r>
      <w:r>
        <w:rPr>
          <w:spacing w:val="-4"/>
        </w:rPr>
        <w:t xml:space="preserve"> </w:t>
      </w:r>
      <w:r>
        <w:t>is</w:t>
      </w:r>
      <w:r>
        <w:rPr>
          <w:spacing w:val="-2"/>
        </w:rPr>
        <w:t xml:space="preserve"> </w:t>
      </w:r>
      <w:r>
        <w:t>less than 10 percent of total beneficiaries, then the certifying actuary may consider the membership in the QMB and QMB Plus categories to represent the entire DE# population.</w:t>
      </w:r>
    </w:p>
    <w:p>
      <w:pPr>
        <w:spacing w:before="240"/>
        <w:ind w:left="1224" w:right="0" w:firstLine="0"/>
        <w:jc w:val="left"/>
        <w:rPr>
          <w:rFonts w:ascii="Arial"/>
          <w:b/>
          <w:i/>
          <w:sz w:val="21"/>
        </w:rPr>
      </w:pPr>
      <w:bookmarkStart w:id="55" w:name="Bid Values"/>
      <w:bookmarkEnd w:id="55"/>
      <w:r>
        <w:rPr>
          <w:rFonts w:ascii="Arial"/>
          <w:b/>
          <w:i/>
          <w:sz w:val="21"/>
        </w:rPr>
        <w:t>Bid</w:t>
      </w:r>
      <w:r>
        <w:rPr>
          <w:rFonts w:ascii="Arial"/>
          <w:b/>
          <w:i/>
          <w:spacing w:val="-4"/>
          <w:sz w:val="21"/>
        </w:rPr>
        <w:t xml:space="preserve"> </w:t>
      </w:r>
      <w:r>
        <w:rPr>
          <w:rFonts w:ascii="Arial"/>
          <w:b/>
          <w:i/>
          <w:spacing w:val="-2"/>
          <w:sz w:val="21"/>
        </w:rPr>
        <w:t>Values</w:t>
      </w:r>
    </w:p>
    <w:p>
      <w:pPr>
        <w:pStyle w:val="BodyText"/>
        <w:spacing w:before="121"/>
        <w:ind w:left="1224" w:right="1633"/>
        <w:jc w:val="both"/>
      </w:pPr>
      <w:r>
        <w:t>The</w:t>
      </w:r>
      <w:r>
        <w:rPr>
          <w:spacing w:val="-4"/>
        </w:rPr>
        <w:t xml:space="preserve"> </w:t>
      </w:r>
      <w:r>
        <w:t>BPT</w:t>
      </w:r>
      <w:r>
        <w:rPr>
          <w:spacing w:val="-2"/>
        </w:rPr>
        <w:t xml:space="preserve"> </w:t>
      </w:r>
      <w:r>
        <w:t>must</w:t>
      </w:r>
      <w:r>
        <w:rPr>
          <w:spacing w:val="-2"/>
        </w:rPr>
        <w:t xml:space="preserve"> </w:t>
      </w:r>
      <w:r>
        <w:t>reflect</w:t>
      </w:r>
      <w:r>
        <w:rPr>
          <w:spacing w:val="-2"/>
        </w:rPr>
        <w:t xml:space="preserve"> </w:t>
      </w:r>
      <w:r>
        <w:t>data</w:t>
      </w:r>
      <w:r>
        <w:rPr>
          <w:spacing w:val="-3"/>
        </w:rPr>
        <w:t xml:space="preserve"> </w:t>
      </w:r>
      <w:r>
        <w:t>and</w:t>
      </w:r>
      <w:r>
        <w:rPr>
          <w:spacing w:val="-2"/>
        </w:rPr>
        <w:t xml:space="preserve"> </w:t>
      </w:r>
      <w:r>
        <w:t>costs</w:t>
      </w:r>
      <w:r>
        <w:rPr>
          <w:spacing w:val="-2"/>
        </w:rPr>
        <w:t xml:space="preserve"> </w:t>
      </w:r>
      <w:r>
        <w:t>for</w:t>
      </w:r>
      <w:r>
        <w:rPr>
          <w:spacing w:val="-4"/>
        </w:rPr>
        <w:t xml:space="preserve"> </w:t>
      </w:r>
      <w:r>
        <w:t>the</w:t>
      </w:r>
      <w:r>
        <w:rPr>
          <w:spacing w:val="-3"/>
        </w:rPr>
        <w:t xml:space="preserve"> </w:t>
      </w:r>
      <w:r>
        <w:t>DE#</w:t>
      </w:r>
      <w:r>
        <w:rPr>
          <w:spacing w:val="-2"/>
        </w:rPr>
        <w:t xml:space="preserve"> </w:t>
      </w:r>
      <w:r>
        <w:t>and</w:t>
      </w:r>
      <w:r>
        <w:rPr>
          <w:spacing w:val="-2"/>
        </w:rPr>
        <w:t xml:space="preserve"> </w:t>
      </w:r>
      <w:r>
        <w:t>non-DE#</w:t>
      </w:r>
      <w:r>
        <w:rPr>
          <w:spacing w:val="-2"/>
        </w:rPr>
        <w:t xml:space="preserve"> </w:t>
      </w:r>
      <w:r>
        <w:t>populations</w:t>
      </w:r>
      <w:r>
        <w:rPr>
          <w:spacing w:val="-2"/>
        </w:rPr>
        <w:t xml:space="preserve"> </w:t>
      </w:r>
      <w:r>
        <w:t>separately, as</w:t>
      </w:r>
      <w:r>
        <w:rPr>
          <w:spacing w:val="-4"/>
        </w:rPr>
        <w:t xml:space="preserve"> </w:t>
      </w:r>
      <w:r>
        <w:t>explained</w:t>
      </w:r>
      <w:r>
        <w:rPr>
          <w:spacing w:val="-4"/>
        </w:rPr>
        <w:t xml:space="preserve"> </w:t>
      </w:r>
      <w:r>
        <w:t>in</w:t>
      </w:r>
      <w:r>
        <w:rPr>
          <w:spacing w:val="-3"/>
        </w:rPr>
        <w:t xml:space="preserve"> </w:t>
      </w:r>
      <w:r>
        <w:t>this</w:t>
      </w:r>
      <w:r>
        <w:rPr>
          <w:spacing w:val="-4"/>
        </w:rPr>
        <w:t xml:space="preserve"> </w:t>
      </w:r>
      <w:r>
        <w:t>section</w:t>
      </w:r>
      <w:r>
        <w:rPr>
          <w:spacing w:val="-3"/>
        </w:rPr>
        <w:t xml:space="preserve"> </w:t>
      </w:r>
      <w:r>
        <w:t>and</w:t>
      </w:r>
      <w:r>
        <w:rPr>
          <w:spacing w:val="-3"/>
        </w:rPr>
        <w:t xml:space="preserve"> </w:t>
      </w:r>
      <w:r>
        <w:t>summarized</w:t>
      </w:r>
      <w:r>
        <w:rPr>
          <w:spacing w:val="-3"/>
        </w:rPr>
        <w:t xml:space="preserve"> </w:t>
      </w:r>
      <w:r>
        <w:t>in</w:t>
      </w:r>
      <w:r>
        <w:rPr>
          <w:spacing w:val="-3"/>
        </w:rPr>
        <w:t xml:space="preserve"> </w:t>
      </w:r>
      <w:r>
        <w:t>Appendix</w:t>
      </w:r>
      <w:r>
        <w:rPr>
          <w:spacing w:val="-1"/>
        </w:rPr>
        <w:t xml:space="preserve"> </w:t>
      </w:r>
      <w:r>
        <w:t>G.</w:t>
      </w:r>
      <w:r>
        <w:rPr>
          <w:spacing w:val="-3"/>
        </w:rPr>
        <w:t xml:space="preserve"> </w:t>
      </w:r>
      <w:r>
        <w:t>Note</w:t>
      </w:r>
      <w:r>
        <w:rPr>
          <w:spacing w:val="-3"/>
        </w:rPr>
        <w:t xml:space="preserve"> </w:t>
      </w:r>
      <w:r>
        <w:t>that</w:t>
      </w:r>
      <w:r>
        <w:rPr>
          <w:spacing w:val="-3"/>
        </w:rPr>
        <w:t xml:space="preserve"> </w:t>
      </w:r>
      <w:r>
        <w:t>the</w:t>
      </w:r>
      <w:r>
        <w:rPr>
          <w:spacing w:val="-2"/>
        </w:rPr>
        <w:t xml:space="preserve"> </w:t>
      </w:r>
      <w:r>
        <w:t>distinct</w:t>
      </w:r>
      <w:r>
        <w:rPr>
          <w:spacing w:val="-3"/>
        </w:rPr>
        <w:t xml:space="preserve"> </w:t>
      </w:r>
      <w:r>
        <w:t>data and costs for both the DE# and non-DE# populations must reflect the impact of</w:t>
      </w:r>
    </w:p>
    <w:p>
      <w:pPr>
        <w:pStyle w:val="BodyText"/>
        <w:ind w:left="1224"/>
        <w:jc w:val="both"/>
      </w:pPr>
      <w:r>
        <w:t>out-of-area</w:t>
      </w:r>
      <w:r>
        <w:rPr>
          <w:spacing w:val="-5"/>
        </w:rPr>
        <w:t xml:space="preserve"> </w:t>
      </w:r>
      <w:r>
        <w:rPr>
          <w:spacing w:val="-2"/>
        </w:rPr>
        <w:t>members.</w:t>
      </w:r>
    </w:p>
    <w:p>
      <w:pPr>
        <w:pStyle w:val="ListParagraph"/>
        <w:numPr>
          <w:ilvl w:val="0"/>
          <w:numId w:val="48"/>
        </w:numPr>
        <w:tabs>
          <w:tab w:val="left" w:pos="1583"/>
        </w:tabs>
        <w:spacing w:before="241" w:after="0" w:line="240" w:lineRule="auto"/>
        <w:ind w:left="1583" w:right="0" w:hanging="359"/>
        <w:jc w:val="left"/>
        <w:rPr>
          <w:rFonts w:ascii="Arial" w:hAnsi="Arial"/>
          <w:b/>
          <w:sz w:val="21"/>
        </w:rPr>
      </w:pPr>
      <w:r>
        <w:rPr>
          <w:rFonts w:ascii="Arial" w:hAnsi="Arial"/>
          <w:b/>
          <w:sz w:val="21"/>
        </w:rPr>
        <w:t>Worksheet</w:t>
      </w:r>
      <w:r>
        <w:rPr>
          <w:rFonts w:ascii="Arial" w:hAnsi="Arial"/>
          <w:b/>
          <w:spacing w:val="-5"/>
          <w:sz w:val="21"/>
        </w:rPr>
        <w:t xml:space="preserve"> </w:t>
      </w:r>
      <w:r>
        <w:rPr>
          <w:rFonts w:ascii="Arial" w:hAnsi="Arial"/>
          <w:b/>
          <w:sz w:val="21"/>
        </w:rPr>
        <w:t>1</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Base</w:t>
      </w:r>
      <w:r>
        <w:rPr>
          <w:rFonts w:ascii="Arial" w:hAnsi="Arial"/>
          <w:b/>
          <w:spacing w:val="-4"/>
          <w:sz w:val="21"/>
        </w:rPr>
        <w:t xml:space="preserve"> </w:t>
      </w:r>
      <w:r>
        <w:rPr>
          <w:rFonts w:ascii="Arial" w:hAnsi="Arial"/>
          <w:b/>
          <w:sz w:val="21"/>
        </w:rPr>
        <w:t>Period</w:t>
      </w:r>
      <w:r>
        <w:rPr>
          <w:rFonts w:ascii="Arial" w:hAnsi="Arial"/>
          <w:b/>
          <w:spacing w:val="-6"/>
          <w:sz w:val="21"/>
        </w:rPr>
        <w:t xml:space="preserve"> </w:t>
      </w:r>
      <w:r>
        <w:rPr>
          <w:rFonts w:ascii="Arial" w:hAnsi="Arial"/>
          <w:b/>
          <w:spacing w:val="-4"/>
          <w:sz w:val="21"/>
        </w:rPr>
        <w:t>Data</w:t>
      </w:r>
    </w:p>
    <w:p>
      <w:pPr>
        <w:pStyle w:val="BodyText"/>
        <w:spacing w:before="120"/>
        <w:ind w:left="1584" w:right="1492"/>
      </w:pPr>
      <w:r>
        <w:t>Enter distinct base period member months and risk scores separately for the total and non-DE# populations regardless of the size of the actual and projected DE# populations.</w:t>
      </w:r>
      <w:r>
        <w:rPr>
          <w:spacing w:val="-3"/>
        </w:rPr>
        <w:t xml:space="preserve"> </w:t>
      </w:r>
      <w:r>
        <w:t>The</w:t>
      </w:r>
      <w:r>
        <w:rPr>
          <w:spacing w:val="-4"/>
        </w:rPr>
        <w:t xml:space="preserve"> </w:t>
      </w:r>
      <w:r>
        <w:t>BPT</w:t>
      </w:r>
      <w:r>
        <w:rPr>
          <w:spacing w:val="-3"/>
        </w:rPr>
        <w:t xml:space="preserve"> </w:t>
      </w:r>
      <w:r>
        <w:t>calculates</w:t>
      </w:r>
      <w:r>
        <w:rPr>
          <w:spacing w:val="-4"/>
        </w:rPr>
        <w:t xml:space="preserve"> </w:t>
      </w:r>
      <w:r>
        <w:t>base</w:t>
      </w:r>
      <w:r>
        <w:rPr>
          <w:spacing w:val="-4"/>
        </w:rPr>
        <w:t xml:space="preserve"> </w:t>
      </w:r>
      <w:r>
        <w:t>period</w:t>
      </w:r>
      <w:r>
        <w:rPr>
          <w:spacing w:val="-3"/>
        </w:rPr>
        <w:t xml:space="preserve"> </w:t>
      </w:r>
      <w:r>
        <w:t>member</w:t>
      </w:r>
      <w:r>
        <w:rPr>
          <w:spacing w:val="-3"/>
        </w:rPr>
        <w:t xml:space="preserve"> </w:t>
      </w:r>
      <w:r>
        <w:t>months</w:t>
      </w:r>
      <w:r>
        <w:rPr>
          <w:spacing w:val="-4"/>
        </w:rPr>
        <w:t xml:space="preserve"> </w:t>
      </w:r>
      <w:r>
        <w:t>and</w:t>
      </w:r>
      <w:r>
        <w:rPr>
          <w:spacing w:val="-3"/>
        </w:rPr>
        <w:t xml:space="preserve"> </w:t>
      </w:r>
      <w:r>
        <w:t>risk</w:t>
      </w:r>
      <w:r>
        <w:rPr>
          <w:spacing w:val="-3"/>
        </w:rPr>
        <w:t xml:space="preserve"> </w:t>
      </w:r>
      <w:r>
        <w:t>scores</w:t>
      </w:r>
      <w:r>
        <w:rPr>
          <w:spacing w:val="-4"/>
        </w:rPr>
        <w:t xml:space="preserve"> </w:t>
      </w:r>
      <w:r>
        <w:t>for</w:t>
      </w:r>
      <w:r>
        <w:rPr>
          <w:spacing w:val="-5"/>
        </w:rPr>
        <w:t xml:space="preserve"> </w:t>
      </w:r>
      <w:r>
        <w:t>the DE# population based on the user-entered values for the total and non-DE# populations.</w:t>
      </w:r>
      <w:r>
        <w:rPr>
          <w:spacing w:val="-1"/>
        </w:rPr>
        <w:t xml:space="preserve"> </w:t>
      </w:r>
      <w:r>
        <w:t>The</w:t>
      </w:r>
      <w:r>
        <w:rPr>
          <w:spacing w:val="-2"/>
        </w:rPr>
        <w:t xml:space="preserve"> </w:t>
      </w:r>
      <w:r>
        <w:t>DE#</w:t>
      </w:r>
      <w:r>
        <w:rPr>
          <w:spacing w:val="-1"/>
        </w:rPr>
        <w:t xml:space="preserve"> </w:t>
      </w:r>
      <w:r>
        <w:t>risk</w:t>
      </w:r>
      <w:r>
        <w:rPr>
          <w:spacing w:val="-1"/>
        </w:rPr>
        <w:t xml:space="preserve"> </w:t>
      </w:r>
      <w:r>
        <w:t>score</w:t>
      </w:r>
      <w:r>
        <w:rPr>
          <w:spacing w:val="-3"/>
        </w:rPr>
        <w:t xml:space="preserve"> </w:t>
      </w:r>
      <w:r>
        <w:t>default</w:t>
      </w:r>
      <w:r>
        <w:rPr>
          <w:spacing w:val="-1"/>
        </w:rPr>
        <w:t xml:space="preserve"> </w:t>
      </w:r>
      <w:r>
        <w:t>calculation</w:t>
      </w:r>
      <w:r>
        <w:rPr>
          <w:spacing w:val="-1"/>
        </w:rPr>
        <w:t xml:space="preserve"> </w:t>
      </w:r>
      <w:r>
        <w:t>may</w:t>
      </w:r>
      <w:r>
        <w:rPr>
          <w:spacing w:val="-1"/>
        </w:rPr>
        <w:t xml:space="preserve"> </w:t>
      </w:r>
      <w:r>
        <w:t>be</w:t>
      </w:r>
      <w:r>
        <w:rPr>
          <w:spacing w:val="-2"/>
        </w:rPr>
        <w:t xml:space="preserve"> </w:t>
      </w:r>
      <w:r>
        <w:t>overwritten</w:t>
      </w:r>
      <w:r>
        <w:rPr>
          <w:spacing w:val="-1"/>
        </w:rPr>
        <w:t xml:space="preserve"> </w:t>
      </w:r>
      <w:r>
        <w:t>by the</w:t>
      </w:r>
      <w:r>
        <w:rPr>
          <w:spacing w:val="-1"/>
        </w:rPr>
        <w:t xml:space="preserve"> </w:t>
      </w:r>
      <w:r>
        <w:t>user, for example, to take into account payments as well as member months.</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left="1584"/>
      </w:pPr>
      <w:r>
        <w:t>All</w:t>
      </w:r>
      <w:r>
        <w:rPr>
          <w:spacing w:val="-1"/>
        </w:rPr>
        <w:t xml:space="preserve"> </w:t>
      </w:r>
      <w:r>
        <w:t>other</w:t>
      </w:r>
      <w:r>
        <w:rPr>
          <w:spacing w:val="-1"/>
        </w:rPr>
        <w:t xml:space="preserve"> </w:t>
      </w:r>
      <w:r>
        <w:t>data on</w:t>
      </w:r>
      <w:r>
        <w:rPr>
          <w:spacing w:val="-1"/>
        </w:rPr>
        <w:t xml:space="preserve"> </w:t>
      </w:r>
      <w:r>
        <w:t>Worksheet 1</w:t>
      </w:r>
      <w:r>
        <w:rPr>
          <w:spacing w:val="-1"/>
        </w:rPr>
        <w:t xml:space="preserve"> </w:t>
      </w:r>
      <w:r>
        <w:t>are</w:t>
      </w:r>
      <w:r>
        <w:rPr>
          <w:spacing w:val="-1"/>
        </w:rPr>
        <w:t xml:space="preserve"> </w:t>
      </w:r>
      <w:r>
        <w:t>to</w:t>
      </w:r>
      <w:r>
        <w:rPr>
          <w:spacing w:val="-1"/>
        </w:rPr>
        <w:t xml:space="preserve"> </w:t>
      </w:r>
      <w:r>
        <w:t>be entered</w:t>
      </w:r>
      <w:r>
        <w:rPr>
          <w:spacing w:val="-1"/>
        </w:rPr>
        <w:t xml:space="preserve"> </w:t>
      </w:r>
      <w:r>
        <w:t>for</w:t>
      </w:r>
      <w:r>
        <w:rPr>
          <w:spacing w:val="1"/>
        </w:rPr>
        <w:t xml:space="preserve"> </w:t>
      </w:r>
      <w:r>
        <w:t>the</w:t>
      </w:r>
      <w:r>
        <w:rPr>
          <w:spacing w:val="-1"/>
        </w:rPr>
        <w:t xml:space="preserve"> </w:t>
      </w:r>
      <w:r>
        <w:t xml:space="preserve">total </w:t>
      </w:r>
      <w:r>
        <w:rPr>
          <w:spacing w:val="-2"/>
        </w:rPr>
        <w:t>population.</w:t>
      </w:r>
    </w:p>
    <w:p>
      <w:pPr>
        <w:pStyle w:val="BodyText"/>
        <w:spacing w:before="120"/>
        <w:ind w:left="1584" w:right="1481"/>
      </w:pPr>
      <w:r>
        <w:t>See</w:t>
      </w:r>
      <w:r>
        <w:rPr>
          <w:spacing w:val="-4"/>
        </w:rPr>
        <w:t xml:space="preserve"> </w:t>
      </w:r>
      <w:r>
        <w:t>the</w:t>
      </w:r>
      <w:r>
        <w:rPr>
          <w:spacing w:val="-5"/>
        </w:rPr>
        <w:t xml:space="preserve"> </w:t>
      </w:r>
      <w:r>
        <w:t>“Medicaid</w:t>
      </w:r>
      <w:r>
        <w:rPr>
          <w:spacing w:val="-4"/>
        </w:rPr>
        <w:t xml:space="preserve"> </w:t>
      </w:r>
      <w:r>
        <w:t>Revenue</w:t>
      </w:r>
      <w:r>
        <w:rPr>
          <w:spacing w:val="-4"/>
        </w:rPr>
        <w:t xml:space="preserve"> </w:t>
      </w:r>
      <w:r>
        <w:t>and</w:t>
      </w:r>
      <w:r>
        <w:rPr>
          <w:spacing w:val="-4"/>
        </w:rPr>
        <w:t xml:space="preserve"> </w:t>
      </w:r>
      <w:r>
        <w:t>Costs”</w:t>
      </w:r>
      <w:r>
        <w:rPr>
          <w:spacing w:val="-4"/>
        </w:rPr>
        <w:t xml:space="preserve"> </w:t>
      </w:r>
      <w:r>
        <w:t>subsection</w:t>
      </w:r>
      <w:r>
        <w:rPr>
          <w:spacing w:val="-2"/>
        </w:rPr>
        <w:t xml:space="preserve"> </w:t>
      </w:r>
      <w:r>
        <w:t>of</w:t>
      </w:r>
      <w:r>
        <w:rPr>
          <w:spacing w:val="-4"/>
        </w:rPr>
        <w:t xml:space="preserve"> </w:t>
      </w:r>
      <w:r>
        <w:t>this</w:t>
      </w:r>
      <w:r>
        <w:rPr>
          <w:spacing w:val="-4"/>
        </w:rPr>
        <w:t xml:space="preserve"> </w:t>
      </w:r>
      <w:r>
        <w:t>pricing</w:t>
      </w:r>
      <w:r>
        <w:rPr>
          <w:spacing w:val="-4"/>
        </w:rPr>
        <w:t xml:space="preserve"> </w:t>
      </w:r>
      <w:r>
        <w:t>consideration</w:t>
      </w:r>
      <w:r>
        <w:rPr>
          <w:spacing w:val="-4"/>
        </w:rPr>
        <w:t xml:space="preserve"> </w:t>
      </w:r>
      <w:r>
        <w:t>for information about entering Medicaid data in Worksheet 1.</w:t>
      </w:r>
    </w:p>
    <w:p>
      <w:pPr>
        <w:pStyle w:val="ListParagraph"/>
        <w:numPr>
          <w:ilvl w:val="0"/>
          <w:numId w:val="48"/>
        </w:numPr>
        <w:tabs>
          <w:tab w:val="left" w:pos="1583"/>
        </w:tabs>
        <w:spacing w:before="241" w:after="0" w:line="240" w:lineRule="auto"/>
        <w:ind w:left="1583" w:right="0" w:hanging="359"/>
        <w:jc w:val="left"/>
        <w:rPr>
          <w:rFonts w:ascii="Arial" w:hAnsi="Arial"/>
          <w:b/>
          <w:sz w:val="21"/>
        </w:rPr>
      </w:pPr>
      <w:r>
        <w:rPr>
          <w:rFonts w:ascii="Arial" w:hAnsi="Arial"/>
          <w:b/>
          <w:sz w:val="21"/>
        </w:rPr>
        <w:t>Worksheet</w:t>
      </w:r>
      <w:r>
        <w:rPr>
          <w:rFonts w:ascii="Arial" w:hAnsi="Arial"/>
          <w:b/>
          <w:spacing w:val="-7"/>
          <w:sz w:val="21"/>
        </w:rPr>
        <w:t xml:space="preserve"> </w:t>
      </w:r>
      <w:r>
        <w:rPr>
          <w:rFonts w:ascii="Arial" w:hAnsi="Arial"/>
          <w:b/>
          <w:sz w:val="21"/>
        </w:rPr>
        <w:t>2</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Projected</w:t>
      </w:r>
      <w:r>
        <w:rPr>
          <w:rFonts w:ascii="Arial" w:hAnsi="Arial"/>
          <w:b/>
          <w:spacing w:val="-8"/>
          <w:sz w:val="21"/>
        </w:rPr>
        <w:t xml:space="preserve"> </w:t>
      </w:r>
      <w:r>
        <w:rPr>
          <w:rFonts w:ascii="Arial" w:hAnsi="Arial"/>
          <w:b/>
          <w:sz w:val="21"/>
        </w:rPr>
        <w:t>Allowed</w:t>
      </w:r>
      <w:r>
        <w:rPr>
          <w:rFonts w:ascii="Arial" w:hAnsi="Arial"/>
          <w:b/>
          <w:spacing w:val="-9"/>
          <w:sz w:val="21"/>
        </w:rPr>
        <w:t xml:space="preserve"> </w:t>
      </w:r>
      <w:r>
        <w:rPr>
          <w:rFonts w:ascii="Arial" w:hAnsi="Arial"/>
          <w:b/>
          <w:sz w:val="21"/>
        </w:rPr>
        <w:t>Costs</w:t>
      </w:r>
      <w:r>
        <w:rPr>
          <w:rFonts w:ascii="Arial" w:hAnsi="Arial"/>
          <w:b/>
          <w:spacing w:val="-7"/>
          <w:sz w:val="21"/>
        </w:rPr>
        <w:t xml:space="preserve"> </w:t>
      </w:r>
      <w:r>
        <w:rPr>
          <w:rFonts w:ascii="Arial" w:hAnsi="Arial"/>
          <w:b/>
          <w:sz w:val="21"/>
        </w:rPr>
        <w:t>(Blended</w:t>
      </w:r>
      <w:r>
        <w:rPr>
          <w:rFonts w:ascii="Arial" w:hAnsi="Arial"/>
          <w:b/>
          <w:spacing w:val="-5"/>
          <w:sz w:val="21"/>
        </w:rPr>
        <w:t xml:space="preserve"> </w:t>
      </w:r>
      <w:r>
        <w:rPr>
          <w:rFonts w:ascii="Arial" w:hAnsi="Arial"/>
          <w:b/>
          <w:spacing w:val="-2"/>
          <w:sz w:val="21"/>
        </w:rPr>
        <w:t>Rates)</w:t>
      </w:r>
    </w:p>
    <w:p>
      <w:pPr>
        <w:pStyle w:val="BodyText"/>
        <w:spacing w:before="120"/>
        <w:ind w:left="1584" w:right="1481"/>
      </w:pPr>
      <w:r>
        <w:t>The</w:t>
      </w:r>
      <w:r>
        <w:rPr>
          <w:spacing w:val="-6"/>
        </w:rPr>
        <w:t xml:space="preserve"> </w:t>
      </w:r>
      <w:r>
        <w:t>BPT</w:t>
      </w:r>
      <w:r>
        <w:rPr>
          <w:spacing w:val="-4"/>
        </w:rPr>
        <w:t xml:space="preserve"> </w:t>
      </w:r>
      <w:r>
        <w:t>calculates</w:t>
      </w:r>
      <w:r>
        <w:rPr>
          <w:spacing w:val="-5"/>
        </w:rPr>
        <w:t xml:space="preserve"> </w:t>
      </w:r>
      <w:r>
        <w:t>blended</w:t>
      </w:r>
      <w:r>
        <w:rPr>
          <w:spacing w:val="-4"/>
        </w:rPr>
        <w:t xml:space="preserve"> </w:t>
      </w:r>
      <w:r>
        <w:t>allowed</w:t>
      </w:r>
      <w:r>
        <w:rPr>
          <w:spacing w:val="-4"/>
        </w:rPr>
        <w:t xml:space="preserve"> </w:t>
      </w:r>
      <w:r>
        <w:t>costs</w:t>
      </w:r>
      <w:r>
        <w:rPr>
          <w:spacing w:val="-4"/>
        </w:rPr>
        <w:t xml:space="preserve"> </w:t>
      </w:r>
      <w:r>
        <w:t>for</w:t>
      </w:r>
      <w:r>
        <w:rPr>
          <w:spacing w:val="-4"/>
        </w:rPr>
        <w:t xml:space="preserve"> </w:t>
      </w:r>
      <w:r>
        <w:t>the</w:t>
      </w:r>
      <w:r>
        <w:rPr>
          <w:spacing w:val="-3"/>
        </w:rPr>
        <w:t xml:space="preserve"> </w:t>
      </w:r>
      <w:r>
        <w:t>total</w:t>
      </w:r>
      <w:r>
        <w:rPr>
          <w:spacing w:val="-4"/>
        </w:rPr>
        <w:t xml:space="preserve"> </w:t>
      </w:r>
      <w:r>
        <w:t>population</w:t>
      </w:r>
      <w:r>
        <w:rPr>
          <w:spacing w:val="-4"/>
        </w:rPr>
        <w:t xml:space="preserve"> </w:t>
      </w:r>
      <w:r>
        <w:t>(column</w:t>
      </w:r>
      <w:r>
        <w:rPr>
          <w:spacing w:val="-4"/>
        </w:rPr>
        <w:t xml:space="preserve"> </w:t>
      </w:r>
      <w:r>
        <w:t>o)</w:t>
      </w:r>
      <w:r>
        <w:rPr>
          <w:spacing w:val="-4"/>
        </w:rPr>
        <w:t xml:space="preserve"> </w:t>
      </w:r>
      <w:r>
        <w:t>based on the projected experience rate and manual rate. The CMS credibility guideline applies to total (DE# plus non-DE#) member months.</w:t>
      </w:r>
    </w:p>
    <w:p>
      <w:pPr>
        <w:pStyle w:val="BodyText"/>
        <w:spacing w:before="120"/>
        <w:ind w:left="1584" w:right="1841"/>
      </w:pPr>
      <w:r>
        <w:t>Enter</w:t>
      </w:r>
      <w:r>
        <w:rPr>
          <w:spacing w:val="-6"/>
        </w:rPr>
        <w:t xml:space="preserve"> </w:t>
      </w:r>
      <w:r>
        <w:t>projected</w:t>
      </w:r>
      <w:r>
        <w:rPr>
          <w:spacing w:val="-4"/>
        </w:rPr>
        <w:t xml:space="preserve"> </w:t>
      </w:r>
      <w:r>
        <w:t>allowed</w:t>
      </w:r>
      <w:r>
        <w:rPr>
          <w:spacing w:val="-2"/>
        </w:rPr>
        <w:t xml:space="preserve"> </w:t>
      </w:r>
      <w:r>
        <w:t>costs</w:t>
      </w:r>
      <w:r>
        <w:rPr>
          <w:spacing w:val="-4"/>
        </w:rPr>
        <w:t xml:space="preserve"> </w:t>
      </w:r>
      <w:r>
        <w:t>for</w:t>
      </w:r>
      <w:r>
        <w:rPr>
          <w:spacing w:val="-6"/>
        </w:rPr>
        <w:t xml:space="preserve"> </w:t>
      </w:r>
      <w:r>
        <w:t>both</w:t>
      </w:r>
      <w:r>
        <w:rPr>
          <w:spacing w:val="-4"/>
        </w:rPr>
        <w:t xml:space="preserve"> </w:t>
      </w:r>
      <w:r>
        <w:t>the</w:t>
      </w:r>
      <w:r>
        <w:rPr>
          <w:spacing w:val="-5"/>
        </w:rPr>
        <w:t xml:space="preserve"> </w:t>
      </w:r>
      <w:r>
        <w:t>non-DE#</w:t>
      </w:r>
      <w:r>
        <w:rPr>
          <w:spacing w:val="-4"/>
        </w:rPr>
        <w:t xml:space="preserve"> </w:t>
      </w:r>
      <w:r>
        <w:t>and</w:t>
      </w:r>
      <w:r>
        <w:rPr>
          <w:spacing w:val="-4"/>
        </w:rPr>
        <w:t xml:space="preserve"> </w:t>
      </w:r>
      <w:r>
        <w:t>DE#</w:t>
      </w:r>
      <w:r>
        <w:rPr>
          <w:spacing w:val="-4"/>
        </w:rPr>
        <w:t xml:space="preserve"> </w:t>
      </w:r>
      <w:r>
        <w:t>populations (columns p and q) as follows:</w:t>
      </w:r>
    </w:p>
    <w:p>
      <w:pPr>
        <w:pStyle w:val="ListParagraph"/>
        <w:numPr>
          <w:ilvl w:val="1"/>
          <w:numId w:val="48"/>
        </w:numPr>
        <w:tabs>
          <w:tab w:val="left" w:pos="1944"/>
        </w:tabs>
        <w:spacing w:before="120" w:after="0" w:line="240" w:lineRule="auto"/>
        <w:ind w:left="1944" w:right="1848" w:hanging="360"/>
        <w:jc w:val="left"/>
        <w:rPr>
          <w:sz w:val="24"/>
        </w:rPr>
      </w:pPr>
      <w:r>
        <w:rPr>
          <w:sz w:val="24"/>
        </w:rPr>
        <w:t>Enter</w:t>
      </w:r>
      <w:r>
        <w:rPr>
          <w:spacing w:val="-5"/>
          <w:sz w:val="24"/>
        </w:rPr>
        <w:t xml:space="preserve"> </w:t>
      </w:r>
      <w:r>
        <w:rPr>
          <w:sz w:val="24"/>
        </w:rPr>
        <w:t>projected</w:t>
      </w:r>
      <w:r>
        <w:rPr>
          <w:spacing w:val="-4"/>
          <w:sz w:val="24"/>
        </w:rPr>
        <w:t xml:space="preserve"> </w:t>
      </w:r>
      <w:r>
        <w:rPr>
          <w:sz w:val="24"/>
        </w:rPr>
        <w:t>allowed</w:t>
      </w:r>
      <w:r>
        <w:rPr>
          <w:spacing w:val="-2"/>
          <w:sz w:val="24"/>
        </w:rPr>
        <w:t xml:space="preserve"> </w:t>
      </w:r>
      <w:r>
        <w:rPr>
          <w:sz w:val="24"/>
        </w:rPr>
        <w:t>costs</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non-DE#</w:t>
      </w:r>
      <w:r>
        <w:rPr>
          <w:spacing w:val="-4"/>
          <w:sz w:val="24"/>
        </w:rPr>
        <w:t xml:space="preserve"> </w:t>
      </w:r>
      <w:r>
        <w:rPr>
          <w:sz w:val="24"/>
        </w:rPr>
        <w:t>beneficiaries</w:t>
      </w:r>
      <w:r>
        <w:rPr>
          <w:spacing w:val="-4"/>
          <w:sz w:val="24"/>
        </w:rPr>
        <w:t xml:space="preserve"> </w:t>
      </w:r>
      <w:r>
        <w:rPr>
          <w:sz w:val="24"/>
        </w:rPr>
        <w:t>in</w:t>
      </w:r>
      <w:r>
        <w:rPr>
          <w:spacing w:val="-4"/>
          <w:sz w:val="24"/>
        </w:rPr>
        <w:t xml:space="preserve"> </w:t>
      </w:r>
      <w:r>
        <w:rPr>
          <w:sz w:val="24"/>
        </w:rPr>
        <w:t>column</w:t>
      </w:r>
      <w:r>
        <w:rPr>
          <w:spacing w:val="-4"/>
          <w:sz w:val="24"/>
        </w:rPr>
        <w:t xml:space="preserve"> </w:t>
      </w:r>
      <w:r>
        <w:rPr>
          <w:sz w:val="24"/>
        </w:rPr>
        <w:t>p</w:t>
      </w:r>
      <w:r>
        <w:rPr>
          <w:spacing w:val="-4"/>
          <w:sz w:val="24"/>
        </w:rPr>
        <w:t xml:space="preserve"> </w:t>
      </w:r>
      <w:r>
        <w:rPr>
          <w:sz w:val="24"/>
        </w:rPr>
        <w:t>and projected allowed costs for the DE# beneficiaries in column q.</w:t>
      </w:r>
    </w:p>
    <w:p>
      <w:pPr>
        <w:pStyle w:val="ListParagraph"/>
        <w:numPr>
          <w:ilvl w:val="1"/>
          <w:numId w:val="48"/>
        </w:numPr>
        <w:tabs>
          <w:tab w:val="left" w:pos="1944"/>
        </w:tabs>
        <w:spacing w:before="1" w:after="0" w:line="240" w:lineRule="auto"/>
        <w:ind w:left="1944" w:right="1582" w:hanging="360"/>
        <w:jc w:val="both"/>
        <w:rPr>
          <w:sz w:val="24"/>
        </w:rPr>
      </w:pPr>
      <w:r>
        <w:rPr>
          <w:sz w:val="24"/>
        </w:rPr>
        <w:t>If</w:t>
      </w:r>
      <w:r>
        <w:rPr>
          <w:spacing w:val="-2"/>
          <w:sz w:val="24"/>
        </w:rPr>
        <w:t xml:space="preserve"> </w:t>
      </w:r>
      <w:r>
        <w:rPr>
          <w:sz w:val="24"/>
        </w:rPr>
        <w:t>DE# projected member months</w:t>
      </w:r>
      <w:r>
        <w:rPr>
          <w:spacing w:val="-1"/>
          <w:sz w:val="24"/>
        </w:rPr>
        <w:t xml:space="preserve"> </w:t>
      </w:r>
      <w:r>
        <w:rPr>
          <w:sz w:val="24"/>
        </w:rPr>
        <w:t>are</w:t>
      </w:r>
      <w:r>
        <w:rPr>
          <w:spacing w:val="-1"/>
          <w:sz w:val="24"/>
        </w:rPr>
        <w:t xml:space="preserve"> </w:t>
      </w:r>
      <w:r>
        <w:rPr>
          <w:sz w:val="24"/>
        </w:rPr>
        <w:t>between 10 percent and 90 percent of the total</w:t>
      </w:r>
      <w:r>
        <w:rPr>
          <w:spacing w:val="-4"/>
          <w:sz w:val="24"/>
        </w:rPr>
        <w:t xml:space="preserve"> </w:t>
      </w:r>
      <w:r>
        <w:rPr>
          <w:sz w:val="24"/>
        </w:rPr>
        <w:t>projected</w:t>
      </w:r>
      <w:r>
        <w:rPr>
          <w:spacing w:val="-4"/>
          <w:sz w:val="24"/>
        </w:rPr>
        <w:t xml:space="preserve"> </w:t>
      </w:r>
      <w:r>
        <w:rPr>
          <w:sz w:val="24"/>
        </w:rPr>
        <w:t>member</w:t>
      </w:r>
      <w:r>
        <w:rPr>
          <w:spacing w:val="-4"/>
          <w:sz w:val="24"/>
        </w:rPr>
        <w:t xml:space="preserve"> </w:t>
      </w:r>
      <w:r>
        <w:rPr>
          <w:sz w:val="24"/>
        </w:rPr>
        <w:t>months,</w:t>
      </w:r>
      <w:r>
        <w:rPr>
          <w:spacing w:val="-4"/>
          <w:sz w:val="24"/>
        </w:rPr>
        <w:t xml:space="preserve"> </w:t>
      </w:r>
      <w:r>
        <w:rPr>
          <w:sz w:val="24"/>
        </w:rPr>
        <w:t>then</w:t>
      </w:r>
      <w:r>
        <w:rPr>
          <w:spacing w:val="-4"/>
          <w:sz w:val="24"/>
        </w:rPr>
        <w:t xml:space="preserve"> </w:t>
      </w:r>
      <w:r>
        <w:rPr>
          <w:sz w:val="24"/>
        </w:rPr>
        <w:t>enter</w:t>
      </w:r>
      <w:r>
        <w:rPr>
          <w:spacing w:val="-6"/>
          <w:sz w:val="24"/>
        </w:rPr>
        <w:t xml:space="preserve"> </w:t>
      </w:r>
      <w:r>
        <w:rPr>
          <w:sz w:val="24"/>
        </w:rPr>
        <w:t>distinct</w:t>
      </w:r>
      <w:r>
        <w:rPr>
          <w:spacing w:val="-4"/>
          <w:sz w:val="24"/>
        </w:rPr>
        <w:t xml:space="preserve"> </w:t>
      </w:r>
      <w:r>
        <w:rPr>
          <w:sz w:val="24"/>
        </w:rPr>
        <w:t>DE#</w:t>
      </w:r>
      <w:r>
        <w:rPr>
          <w:spacing w:val="-4"/>
          <w:sz w:val="24"/>
        </w:rPr>
        <w:t xml:space="preserve"> </w:t>
      </w:r>
      <w:r>
        <w:rPr>
          <w:sz w:val="24"/>
        </w:rPr>
        <w:t>and</w:t>
      </w:r>
      <w:r>
        <w:rPr>
          <w:spacing w:val="-4"/>
          <w:sz w:val="24"/>
        </w:rPr>
        <w:t xml:space="preserve"> </w:t>
      </w:r>
      <w:r>
        <w:rPr>
          <w:sz w:val="24"/>
        </w:rPr>
        <w:t>non-DE#</w:t>
      </w:r>
      <w:r>
        <w:rPr>
          <w:spacing w:val="-4"/>
          <w:sz w:val="24"/>
        </w:rPr>
        <w:t xml:space="preserve"> </w:t>
      </w:r>
      <w:r>
        <w:rPr>
          <w:sz w:val="24"/>
        </w:rPr>
        <w:t>projected allowed costs (columns p and q).</w:t>
      </w:r>
    </w:p>
    <w:p>
      <w:pPr>
        <w:pStyle w:val="ListParagraph"/>
        <w:numPr>
          <w:ilvl w:val="1"/>
          <w:numId w:val="48"/>
        </w:numPr>
        <w:tabs>
          <w:tab w:val="left" w:pos="1944"/>
        </w:tabs>
        <w:spacing w:before="0" w:after="0" w:line="240" w:lineRule="auto"/>
        <w:ind w:left="1944" w:right="2075" w:hanging="360"/>
        <w:jc w:val="left"/>
        <w:rPr>
          <w:sz w:val="24"/>
        </w:rPr>
      </w:pPr>
      <w:r>
        <w:rPr>
          <w:sz w:val="24"/>
        </w:rPr>
        <w:t>If DE# projected member months are less than 10 percent or greater than 90</w:t>
      </w:r>
      <w:r>
        <w:rPr>
          <w:spacing w:val="-3"/>
          <w:sz w:val="24"/>
        </w:rPr>
        <w:t xml:space="preserve"> </w:t>
      </w:r>
      <w:r>
        <w:rPr>
          <w:sz w:val="24"/>
        </w:rPr>
        <w:t>percent</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total</w:t>
      </w:r>
      <w:r>
        <w:rPr>
          <w:spacing w:val="-3"/>
          <w:sz w:val="24"/>
        </w:rPr>
        <w:t xml:space="preserve"> </w:t>
      </w:r>
      <w:r>
        <w:rPr>
          <w:sz w:val="24"/>
        </w:rPr>
        <w:t>projected</w:t>
      </w:r>
      <w:r>
        <w:rPr>
          <w:spacing w:val="-3"/>
          <w:sz w:val="24"/>
        </w:rPr>
        <w:t xml:space="preserve"> </w:t>
      </w:r>
      <w:r>
        <w:rPr>
          <w:sz w:val="24"/>
        </w:rPr>
        <w:t>member</w:t>
      </w:r>
      <w:r>
        <w:rPr>
          <w:spacing w:val="-5"/>
          <w:sz w:val="24"/>
        </w:rPr>
        <w:t xml:space="preserve"> </w:t>
      </w:r>
      <w:r>
        <w:rPr>
          <w:sz w:val="24"/>
        </w:rPr>
        <w:t>months,</w:t>
      </w:r>
      <w:r>
        <w:rPr>
          <w:spacing w:val="-1"/>
          <w:sz w:val="24"/>
        </w:rPr>
        <w:t xml:space="preserve"> </w:t>
      </w:r>
      <w:r>
        <w:rPr>
          <w:sz w:val="24"/>
        </w:rPr>
        <w:t>then</w:t>
      </w:r>
      <w:r>
        <w:rPr>
          <w:spacing w:val="-3"/>
          <w:sz w:val="24"/>
        </w:rPr>
        <w:t xml:space="preserve"> </w:t>
      </w:r>
      <w:r>
        <w:rPr>
          <w:sz w:val="24"/>
        </w:rPr>
        <w:t>the</w:t>
      </w:r>
      <w:r>
        <w:rPr>
          <w:spacing w:val="-4"/>
          <w:sz w:val="24"/>
        </w:rPr>
        <w:t xml:space="preserve"> </w:t>
      </w:r>
      <w:r>
        <w:rPr>
          <w:sz w:val="24"/>
        </w:rPr>
        <w:t>user</w:t>
      </w:r>
      <w:r>
        <w:rPr>
          <w:spacing w:val="-3"/>
          <w:sz w:val="24"/>
        </w:rPr>
        <w:t xml:space="preserve"> </w:t>
      </w:r>
      <w:r>
        <w:rPr>
          <w:sz w:val="24"/>
        </w:rPr>
        <w:t>may,</w:t>
      </w:r>
      <w:r>
        <w:rPr>
          <w:spacing w:val="-1"/>
          <w:sz w:val="24"/>
        </w:rPr>
        <w:t xml:space="preserve"> </w:t>
      </w:r>
      <w:r>
        <w:rPr>
          <w:sz w:val="24"/>
        </w:rPr>
        <w:t>at</w:t>
      </w:r>
      <w:r>
        <w:rPr>
          <w:spacing w:val="-3"/>
          <w:sz w:val="24"/>
        </w:rPr>
        <w:t xml:space="preserve"> </w:t>
      </w:r>
      <w:r>
        <w:rPr>
          <w:sz w:val="24"/>
        </w:rPr>
        <w:t>the discretion of the certifying actuary, enter—</w:t>
      </w:r>
    </w:p>
    <w:p>
      <w:pPr>
        <w:pStyle w:val="ListParagraph"/>
        <w:numPr>
          <w:ilvl w:val="2"/>
          <w:numId w:val="48"/>
        </w:numPr>
        <w:tabs>
          <w:tab w:val="left" w:pos="2304"/>
        </w:tabs>
        <w:spacing w:before="0" w:after="0" w:line="240" w:lineRule="auto"/>
        <w:ind w:left="2304" w:right="1537" w:hanging="360"/>
        <w:jc w:val="left"/>
        <w:rPr>
          <w:sz w:val="24"/>
        </w:rPr>
      </w:pPr>
      <w:r>
        <w:rPr>
          <w:sz w:val="24"/>
        </w:rPr>
        <w:t>Non-DE#</w:t>
      </w:r>
      <w:r>
        <w:rPr>
          <w:spacing w:val="-5"/>
          <w:sz w:val="24"/>
        </w:rPr>
        <w:t xml:space="preserve"> </w:t>
      </w:r>
      <w:r>
        <w:rPr>
          <w:sz w:val="24"/>
        </w:rPr>
        <w:t>projected</w:t>
      </w:r>
      <w:r>
        <w:rPr>
          <w:spacing w:val="-5"/>
          <w:sz w:val="24"/>
        </w:rPr>
        <w:t xml:space="preserve"> </w:t>
      </w:r>
      <w:r>
        <w:rPr>
          <w:sz w:val="24"/>
        </w:rPr>
        <w:t>allowed</w:t>
      </w:r>
      <w:r>
        <w:rPr>
          <w:spacing w:val="-5"/>
          <w:sz w:val="24"/>
        </w:rPr>
        <w:t xml:space="preserve"> </w:t>
      </w:r>
      <w:r>
        <w:rPr>
          <w:sz w:val="24"/>
        </w:rPr>
        <w:t>costs</w:t>
      </w:r>
      <w:r>
        <w:rPr>
          <w:spacing w:val="-5"/>
          <w:sz w:val="24"/>
        </w:rPr>
        <w:t xml:space="preserve"> </w:t>
      </w:r>
      <w:r>
        <w:rPr>
          <w:sz w:val="24"/>
        </w:rPr>
        <w:t>(column</w:t>
      </w:r>
      <w:r>
        <w:rPr>
          <w:spacing w:val="-5"/>
          <w:sz w:val="24"/>
        </w:rPr>
        <w:t xml:space="preserve"> </w:t>
      </w:r>
      <w:r>
        <w:rPr>
          <w:sz w:val="24"/>
        </w:rPr>
        <w:t>p)</w:t>
      </w:r>
      <w:r>
        <w:rPr>
          <w:spacing w:val="-4"/>
          <w:sz w:val="24"/>
        </w:rPr>
        <w:t xml:space="preserve"> </w:t>
      </w:r>
      <w:r>
        <w:rPr>
          <w:sz w:val="24"/>
        </w:rPr>
        <w:t>equal</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projected</w:t>
      </w:r>
      <w:r>
        <w:rPr>
          <w:spacing w:val="-4"/>
          <w:sz w:val="24"/>
        </w:rPr>
        <w:t xml:space="preserve"> </w:t>
      </w:r>
      <w:r>
        <w:rPr>
          <w:sz w:val="24"/>
        </w:rPr>
        <w:t>allowed costs for the total population (column o); and</w:t>
      </w:r>
    </w:p>
    <w:p>
      <w:pPr>
        <w:pStyle w:val="ListParagraph"/>
        <w:numPr>
          <w:ilvl w:val="2"/>
          <w:numId w:val="48"/>
        </w:numPr>
        <w:tabs>
          <w:tab w:val="left" w:pos="2304"/>
        </w:tabs>
        <w:spacing w:before="0" w:after="0" w:line="240" w:lineRule="auto"/>
        <w:ind w:left="2304" w:right="1490" w:hanging="360"/>
        <w:jc w:val="left"/>
        <w:rPr>
          <w:sz w:val="24"/>
        </w:rPr>
      </w:pPr>
      <w:r>
        <w:rPr>
          <w:sz w:val="24"/>
        </w:rPr>
        <w:t>DE#</w:t>
      </w:r>
      <w:r>
        <w:rPr>
          <w:spacing w:val="-4"/>
          <w:sz w:val="24"/>
        </w:rPr>
        <w:t xml:space="preserve"> </w:t>
      </w:r>
      <w:r>
        <w:rPr>
          <w:sz w:val="24"/>
        </w:rPr>
        <w:t>projected</w:t>
      </w:r>
      <w:r>
        <w:rPr>
          <w:spacing w:val="-3"/>
          <w:sz w:val="24"/>
        </w:rPr>
        <w:t xml:space="preserve"> </w:t>
      </w:r>
      <w:r>
        <w:rPr>
          <w:sz w:val="24"/>
        </w:rPr>
        <w:t>allowed</w:t>
      </w:r>
      <w:r>
        <w:rPr>
          <w:spacing w:val="-4"/>
          <w:sz w:val="24"/>
        </w:rPr>
        <w:t xml:space="preserve"> </w:t>
      </w:r>
      <w:r>
        <w:rPr>
          <w:sz w:val="24"/>
        </w:rPr>
        <w:t>costs</w:t>
      </w:r>
      <w:r>
        <w:rPr>
          <w:spacing w:val="-4"/>
          <w:sz w:val="24"/>
        </w:rPr>
        <w:t xml:space="preserve"> </w:t>
      </w:r>
      <w:r>
        <w:rPr>
          <w:sz w:val="24"/>
        </w:rPr>
        <w:t>(column</w:t>
      </w:r>
      <w:r>
        <w:rPr>
          <w:spacing w:val="-2"/>
          <w:sz w:val="24"/>
        </w:rPr>
        <w:t xml:space="preserve"> </w:t>
      </w:r>
      <w:r>
        <w:rPr>
          <w:sz w:val="24"/>
        </w:rPr>
        <w:t>q)</w:t>
      </w:r>
      <w:r>
        <w:rPr>
          <w:spacing w:val="-4"/>
          <w:sz w:val="24"/>
        </w:rPr>
        <w:t xml:space="preserve"> </w:t>
      </w:r>
      <w:r>
        <w:rPr>
          <w:sz w:val="24"/>
        </w:rPr>
        <w:t>equal</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projected</w:t>
      </w:r>
      <w:r>
        <w:rPr>
          <w:spacing w:val="-3"/>
          <w:sz w:val="24"/>
        </w:rPr>
        <w:t xml:space="preserve"> </w:t>
      </w:r>
      <w:r>
        <w:rPr>
          <w:sz w:val="24"/>
        </w:rPr>
        <w:t>allowed</w:t>
      </w:r>
      <w:r>
        <w:rPr>
          <w:spacing w:val="-4"/>
          <w:sz w:val="24"/>
        </w:rPr>
        <w:t xml:space="preserve"> </w:t>
      </w:r>
      <w:r>
        <w:rPr>
          <w:sz w:val="24"/>
        </w:rPr>
        <w:t>costs for the total population (column o).</w:t>
      </w:r>
    </w:p>
    <w:p>
      <w:pPr>
        <w:pStyle w:val="ListParagraph"/>
        <w:numPr>
          <w:ilvl w:val="1"/>
          <w:numId w:val="48"/>
        </w:numPr>
        <w:tabs>
          <w:tab w:val="left" w:pos="1944"/>
        </w:tabs>
        <w:spacing w:before="0" w:after="0" w:line="240" w:lineRule="auto"/>
        <w:ind w:left="1944" w:right="1443" w:hanging="360"/>
        <w:jc w:val="left"/>
        <w:rPr>
          <w:sz w:val="24"/>
        </w:rPr>
      </w:pPr>
      <w:r>
        <w:rPr>
          <w:sz w:val="24"/>
        </w:rPr>
        <w:t>If the projected member months for the DE# population or for the non-DE# population are equal to zero, then enter projected allowed costs for the non-DE# beneficiaries (column p) and for the DE# beneficiaries (column q) equal to the projected</w:t>
      </w:r>
      <w:r>
        <w:rPr>
          <w:spacing w:val="-3"/>
          <w:sz w:val="24"/>
        </w:rPr>
        <w:t xml:space="preserve"> </w:t>
      </w:r>
      <w:r>
        <w:rPr>
          <w:sz w:val="24"/>
        </w:rPr>
        <w:t>allowed</w:t>
      </w:r>
      <w:r>
        <w:rPr>
          <w:spacing w:val="-3"/>
          <w:sz w:val="24"/>
        </w:rPr>
        <w:t xml:space="preserve"> </w:t>
      </w:r>
      <w:r>
        <w:rPr>
          <w:sz w:val="24"/>
        </w:rPr>
        <w:t>costs</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total</w:t>
      </w:r>
      <w:r>
        <w:rPr>
          <w:spacing w:val="-3"/>
          <w:sz w:val="24"/>
        </w:rPr>
        <w:t xml:space="preserve"> </w:t>
      </w:r>
      <w:r>
        <w:rPr>
          <w:sz w:val="24"/>
        </w:rPr>
        <w:t>population</w:t>
      </w:r>
      <w:r>
        <w:rPr>
          <w:spacing w:val="-3"/>
          <w:sz w:val="24"/>
        </w:rPr>
        <w:t xml:space="preserve"> </w:t>
      </w:r>
      <w:r>
        <w:rPr>
          <w:sz w:val="24"/>
        </w:rPr>
        <w:t>(column</w:t>
      </w:r>
      <w:r>
        <w:rPr>
          <w:spacing w:val="-3"/>
          <w:sz w:val="24"/>
        </w:rPr>
        <w:t xml:space="preserve"> </w:t>
      </w:r>
      <w:r>
        <w:rPr>
          <w:sz w:val="24"/>
        </w:rPr>
        <w:t>o).</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enter</w:t>
      </w:r>
      <w:r>
        <w:rPr>
          <w:spacing w:val="-3"/>
          <w:sz w:val="24"/>
        </w:rPr>
        <w:t xml:space="preserve"> </w:t>
      </w:r>
      <w:r>
        <w:rPr>
          <w:sz w:val="24"/>
        </w:rPr>
        <w:t>zero</w:t>
      </w:r>
      <w:r>
        <w:rPr>
          <w:spacing w:val="-3"/>
          <w:sz w:val="24"/>
        </w:rPr>
        <w:t xml:space="preserve"> </w:t>
      </w:r>
      <w:r>
        <w:rPr>
          <w:sz w:val="24"/>
        </w:rPr>
        <w:t>for these costs.</w:t>
      </w:r>
    </w:p>
    <w:p>
      <w:pPr>
        <w:pStyle w:val="ListParagraph"/>
        <w:numPr>
          <w:ilvl w:val="1"/>
          <w:numId w:val="48"/>
        </w:numPr>
        <w:tabs>
          <w:tab w:val="left" w:pos="1944"/>
        </w:tabs>
        <w:spacing w:before="0" w:after="0" w:line="240" w:lineRule="auto"/>
        <w:ind w:left="1944" w:right="1508" w:hanging="360"/>
        <w:jc w:val="left"/>
        <w:rPr>
          <w:sz w:val="24"/>
        </w:rPr>
      </w:pPr>
      <w:r>
        <w:rPr>
          <w:sz w:val="24"/>
        </w:rPr>
        <w:t>Complete</w:t>
      </w:r>
      <w:r>
        <w:rPr>
          <w:spacing w:val="-3"/>
          <w:sz w:val="24"/>
        </w:rPr>
        <w:t xml:space="preserve"> </w:t>
      </w:r>
      <w:r>
        <w:rPr>
          <w:sz w:val="24"/>
        </w:rPr>
        <w:t>Worksheet</w:t>
      </w:r>
      <w:r>
        <w:rPr>
          <w:spacing w:val="-3"/>
          <w:sz w:val="24"/>
        </w:rPr>
        <w:t xml:space="preserve"> </w:t>
      </w:r>
      <w:r>
        <w:rPr>
          <w:sz w:val="24"/>
        </w:rPr>
        <w:t>2,</w:t>
      </w:r>
      <w:r>
        <w:rPr>
          <w:spacing w:val="-3"/>
          <w:sz w:val="24"/>
        </w:rPr>
        <w:t xml:space="preserve"> </w:t>
      </w:r>
      <w:r>
        <w:rPr>
          <w:sz w:val="24"/>
        </w:rPr>
        <w:t>column</w:t>
      </w:r>
      <w:r>
        <w:rPr>
          <w:spacing w:val="-3"/>
          <w:sz w:val="24"/>
        </w:rPr>
        <w:t xml:space="preserve"> </w:t>
      </w:r>
      <w:r>
        <w:rPr>
          <w:sz w:val="24"/>
        </w:rPr>
        <w:t>p</w:t>
      </w:r>
      <w:r>
        <w:rPr>
          <w:spacing w:val="-3"/>
          <w:sz w:val="24"/>
        </w:rPr>
        <w:t xml:space="preserve"> </w:t>
      </w:r>
      <w:r>
        <w:rPr>
          <w:sz w:val="24"/>
        </w:rPr>
        <w:t>on</w:t>
      </w:r>
      <w:r>
        <w:rPr>
          <w:spacing w:val="-3"/>
          <w:sz w:val="24"/>
        </w:rPr>
        <w:t xml:space="preserve"> </w:t>
      </w:r>
      <w:r>
        <w:rPr>
          <w:sz w:val="24"/>
        </w:rPr>
        <w:t>a</w:t>
      </w:r>
      <w:r>
        <w:rPr>
          <w:spacing w:val="-4"/>
          <w:sz w:val="24"/>
        </w:rPr>
        <w:t xml:space="preserve"> </w:t>
      </w:r>
      <w:r>
        <w:rPr>
          <w:sz w:val="24"/>
        </w:rPr>
        <w:t>“per</w:t>
      </w:r>
      <w:r>
        <w:rPr>
          <w:spacing w:val="-3"/>
          <w:sz w:val="24"/>
        </w:rPr>
        <w:t xml:space="preserve"> </w:t>
      </w:r>
      <w:r>
        <w:rPr>
          <w:sz w:val="24"/>
        </w:rPr>
        <w:t>non-DE#</w:t>
      </w:r>
      <w:r>
        <w:rPr>
          <w:spacing w:val="-3"/>
          <w:sz w:val="24"/>
        </w:rPr>
        <w:t xml:space="preserve"> </w:t>
      </w:r>
      <w:r>
        <w:rPr>
          <w:sz w:val="24"/>
        </w:rPr>
        <w:t>member</w:t>
      </w:r>
      <w:r>
        <w:rPr>
          <w:spacing w:val="-5"/>
          <w:sz w:val="24"/>
        </w:rPr>
        <w:t xml:space="preserve"> </w:t>
      </w:r>
      <w:r>
        <w:rPr>
          <w:sz w:val="24"/>
        </w:rPr>
        <w:t>per</w:t>
      </w:r>
      <w:r>
        <w:rPr>
          <w:spacing w:val="-3"/>
          <w:sz w:val="24"/>
        </w:rPr>
        <w:t xml:space="preserve"> </w:t>
      </w:r>
      <w:r>
        <w:rPr>
          <w:sz w:val="24"/>
        </w:rPr>
        <w:t>month”</w:t>
      </w:r>
      <w:r>
        <w:rPr>
          <w:spacing w:val="-3"/>
          <w:sz w:val="24"/>
        </w:rPr>
        <w:t xml:space="preserve"> </w:t>
      </w:r>
      <w:r>
        <w:rPr>
          <w:sz w:val="24"/>
        </w:rPr>
        <w:t>basis, and complete column q on a “per DE# member per month” basis.</w:t>
      </w:r>
    </w:p>
    <w:p>
      <w:pPr>
        <w:pStyle w:val="ListParagraph"/>
        <w:numPr>
          <w:ilvl w:val="0"/>
          <w:numId w:val="48"/>
        </w:numPr>
        <w:tabs>
          <w:tab w:val="left" w:pos="1583"/>
        </w:tabs>
        <w:spacing w:before="239" w:after="0" w:line="240" w:lineRule="auto"/>
        <w:ind w:left="1583" w:right="0" w:hanging="359"/>
        <w:jc w:val="left"/>
        <w:rPr>
          <w:rFonts w:ascii="Arial" w:hAnsi="Arial"/>
          <w:b/>
          <w:sz w:val="21"/>
        </w:rPr>
      </w:pPr>
      <w:r>
        <w:rPr>
          <w:rFonts w:ascii="Arial" w:hAnsi="Arial"/>
          <w:b/>
          <w:sz w:val="21"/>
        </w:rPr>
        <w:t>Worksheet</w:t>
      </w:r>
      <w:r>
        <w:rPr>
          <w:rFonts w:ascii="Arial" w:hAnsi="Arial"/>
          <w:b/>
          <w:spacing w:val="-4"/>
          <w:sz w:val="21"/>
        </w:rPr>
        <w:t xml:space="preserve"> </w:t>
      </w:r>
      <w:r>
        <w:rPr>
          <w:rFonts w:ascii="Arial" w:hAnsi="Arial"/>
          <w:b/>
          <w:sz w:val="21"/>
        </w:rPr>
        <w:t>3</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Cost</w:t>
      </w:r>
      <w:r>
        <w:rPr>
          <w:rFonts w:ascii="Arial" w:hAnsi="Arial"/>
          <w:b/>
          <w:spacing w:val="-4"/>
          <w:sz w:val="21"/>
        </w:rPr>
        <w:t xml:space="preserve"> </w:t>
      </w:r>
      <w:r>
        <w:rPr>
          <w:rFonts w:ascii="Arial" w:hAnsi="Arial"/>
          <w:b/>
          <w:spacing w:val="-2"/>
          <w:sz w:val="21"/>
        </w:rPr>
        <w:t>Sharing</w:t>
      </w:r>
    </w:p>
    <w:p>
      <w:pPr>
        <w:pStyle w:val="BodyText"/>
        <w:spacing w:before="120"/>
        <w:ind w:left="1584" w:right="1446"/>
      </w:pPr>
      <w:r>
        <w:t>Enter cost-sharing information in Worksheet 3 based on benefits outlined in the PBP, which will be paid by the non-DE# beneficiaries. Worksheet 3 is not meant to reflect the limited cost sharing for the DE# beneficiaries, except in cases in which the</w:t>
      </w:r>
      <w:r>
        <w:rPr>
          <w:spacing w:val="-2"/>
        </w:rPr>
        <w:t xml:space="preserve"> </w:t>
      </w:r>
      <w:r>
        <w:t>DE#</w:t>
      </w:r>
      <w:r>
        <w:rPr>
          <w:spacing w:val="-3"/>
        </w:rPr>
        <w:t xml:space="preserve"> </w:t>
      </w:r>
      <w:r>
        <w:t>enrollees</w:t>
      </w:r>
      <w:r>
        <w:rPr>
          <w:spacing w:val="-2"/>
        </w:rPr>
        <w:t xml:space="preserve"> </w:t>
      </w:r>
      <w:r>
        <w:t>constitute</w:t>
      </w:r>
      <w:r>
        <w:rPr>
          <w:spacing w:val="-3"/>
        </w:rPr>
        <w:t xml:space="preserve"> </w:t>
      </w:r>
      <w:r>
        <w:t>less</w:t>
      </w:r>
      <w:r>
        <w:rPr>
          <w:spacing w:val="-3"/>
        </w:rPr>
        <w:t xml:space="preserve"> </w:t>
      </w:r>
      <w:r>
        <w:t>than</w:t>
      </w:r>
      <w:r>
        <w:rPr>
          <w:spacing w:val="-2"/>
        </w:rPr>
        <w:t xml:space="preserve"> </w:t>
      </w:r>
      <w:r>
        <w:t>10</w:t>
      </w:r>
      <w:r>
        <w:rPr>
          <w:spacing w:val="-2"/>
        </w:rPr>
        <w:t xml:space="preserve"> </w:t>
      </w:r>
      <w:r>
        <w:t>percent</w:t>
      </w:r>
      <w:r>
        <w:rPr>
          <w:spacing w:val="-2"/>
        </w:rPr>
        <w:t xml:space="preserve"> </w:t>
      </w:r>
      <w:r>
        <w:t>or</w:t>
      </w:r>
      <w:r>
        <w:rPr>
          <w:spacing w:val="-3"/>
        </w:rPr>
        <w:t xml:space="preserve"> </w:t>
      </w:r>
      <w:r>
        <w:t>more</w:t>
      </w:r>
      <w:r>
        <w:rPr>
          <w:spacing w:val="-4"/>
        </w:rPr>
        <w:t xml:space="preserve"> </w:t>
      </w:r>
      <w:r>
        <w:t>than</w:t>
      </w:r>
      <w:r>
        <w:rPr>
          <w:spacing w:val="-2"/>
        </w:rPr>
        <w:t xml:space="preserve"> </w:t>
      </w:r>
      <w:r>
        <w:t>90</w:t>
      </w:r>
      <w:r>
        <w:rPr>
          <w:spacing w:val="-3"/>
        </w:rPr>
        <w:t xml:space="preserve"> </w:t>
      </w:r>
      <w:r>
        <w:t>percent</w:t>
      </w:r>
      <w:r>
        <w:rPr>
          <w:spacing w:val="-1"/>
        </w:rPr>
        <w:t xml:space="preserve"> </w:t>
      </w:r>
      <w:r>
        <w:t>of</w:t>
      </w:r>
      <w:r>
        <w:rPr>
          <w:spacing w:val="-1"/>
        </w:rPr>
        <w:t xml:space="preserve"> </w:t>
      </w:r>
      <w:r>
        <w:t>the</w:t>
      </w:r>
      <w:r>
        <w:rPr>
          <w:spacing w:val="-2"/>
        </w:rPr>
        <w:t xml:space="preserve"> </w:t>
      </w:r>
      <w:r>
        <w:t>total bid</w:t>
      </w:r>
      <w:r>
        <w:rPr>
          <w:spacing w:val="-2"/>
        </w:rPr>
        <w:t xml:space="preserve"> </w:t>
      </w:r>
      <w:r>
        <w:t>enrollees.</w:t>
      </w:r>
      <w:r>
        <w:rPr>
          <w:spacing w:val="-2"/>
        </w:rPr>
        <w:t xml:space="preserve"> </w:t>
      </w:r>
      <w:r>
        <w:t>Completion</w:t>
      </w:r>
      <w:r>
        <w:rPr>
          <w:spacing w:val="-2"/>
        </w:rPr>
        <w:t xml:space="preserve"> </w:t>
      </w:r>
      <w:r>
        <w:t>of</w:t>
      </w:r>
      <w:r>
        <w:rPr>
          <w:spacing w:val="-3"/>
        </w:rPr>
        <w:t xml:space="preserve"> </w:t>
      </w:r>
      <w:r>
        <w:t>Worksheet</w:t>
      </w:r>
      <w:r>
        <w:rPr>
          <w:spacing w:val="-2"/>
        </w:rPr>
        <w:t xml:space="preserve"> </w:t>
      </w:r>
      <w:r>
        <w:t>3</w:t>
      </w:r>
      <w:r>
        <w:rPr>
          <w:spacing w:val="-3"/>
        </w:rPr>
        <w:t xml:space="preserve"> </w:t>
      </w:r>
      <w:r>
        <w:t>must</w:t>
      </w:r>
      <w:r>
        <w:rPr>
          <w:spacing w:val="-2"/>
        </w:rPr>
        <w:t xml:space="preserve"> </w:t>
      </w:r>
      <w:r>
        <w:t>be</w:t>
      </w:r>
      <w:r>
        <w:rPr>
          <w:spacing w:val="-3"/>
        </w:rPr>
        <w:t xml:space="preserve"> </w:t>
      </w:r>
      <w:r>
        <w:t>consistent</w:t>
      </w:r>
      <w:r>
        <w:rPr>
          <w:spacing w:val="-2"/>
        </w:rPr>
        <w:t xml:space="preserve"> </w:t>
      </w:r>
      <w:r>
        <w:t>with</w:t>
      </w:r>
      <w:r>
        <w:rPr>
          <w:spacing w:val="-3"/>
        </w:rPr>
        <w:t xml:space="preserve"> </w:t>
      </w:r>
      <w:r>
        <w:t>how</w:t>
      </w:r>
      <w:r>
        <w:rPr>
          <w:spacing w:val="-3"/>
        </w:rPr>
        <w:t xml:space="preserve"> </w:t>
      </w:r>
      <w:r>
        <w:t>the non-DE# and DE# Allowed PMPM columns on Worksheet 2 are completed and follow the guidance specified in Appendix G.</w:t>
      </w:r>
    </w:p>
    <w:p>
      <w:pPr>
        <w:pStyle w:val="ListParagraph"/>
        <w:numPr>
          <w:ilvl w:val="0"/>
          <w:numId w:val="48"/>
        </w:numPr>
        <w:tabs>
          <w:tab w:val="left" w:pos="1583"/>
        </w:tabs>
        <w:spacing w:before="242" w:after="0" w:line="240" w:lineRule="auto"/>
        <w:ind w:left="1583" w:right="0" w:hanging="359"/>
        <w:jc w:val="left"/>
        <w:rPr>
          <w:rFonts w:ascii="Arial" w:hAnsi="Arial"/>
          <w:b/>
          <w:sz w:val="21"/>
        </w:rPr>
      </w:pPr>
      <w:r>
        <w:rPr>
          <w:rFonts w:ascii="Arial" w:hAnsi="Arial"/>
          <w:b/>
          <w:sz w:val="21"/>
        </w:rPr>
        <w:t>Worksheet</w:t>
      </w:r>
      <w:r>
        <w:rPr>
          <w:rFonts w:ascii="Arial" w:hAnsi="Arial"/>
          <w:b/>
          <w:spacing w:val="-7"/>
          <w:sz w:val="21"/>
        </w:rPr>
        <w:t xml:space="preserve"> </w:t>
      </w:r>
      <w:r>
        <w:rPr>
          <w:rFonts w:ascii="Arial" w:hAnsi="Arial"/>
          <w:b/>
          <w:sz w:val="21"/>
        </w:rPr>
        <w:t>4</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Projected</w:t>
      </w:r>
      <w:r>
        <w:rPr>
          <w:rFonts w:ascii="Arial" w:hAnsi="Arial"/>
          <w:b/>
          <w:spacing w:val="-8"/>
          <w:sz w:val="21"/>
        </w:rPr>
        <w:t xml:space="preserve"> </w:t>
      </w:r>
      <w:r>
        <w:rPr>
          <w:rFonts w:ascii="Arial" w:hAnsi="Arial"/>
          <w:b/>
          <w:sz w:val="21"/>
        </w:rPr>
        <w:t>Required</w:t>
      </w:r>
      <w:r>
        <w:rPr>
          <w:rFonts w:ascii="Arial" w:hAnsi="Arial"/>
          <w:b/>
          <w:spacing w:val="-7"/>
          <w:sz w:val="21"/>
        </w:rPr>
        <w:t xml:space="preserve"> </w:t>
      </w:r>
      <w:r>
        <w:rPr>
          <w:rFonts w:ascii="Arial" w:hAnsi="Arial"/>
          <w:b/>
          <w:spacing w:val="-2"/>
          <w:sz w:val="21"/>
        </w:rPr>
        <w:t>Revenue</w:t>
      </w:r>
    </w:p>
    <w:p>
      <w:pPr>
        <w:pStyle w:val="BodyText"/>
        <w:spacing w:before="120"/>
        <w:ind w:left="1584" w:right="1481"/>
      </w:pPr>
      <w:r>
        <w:t>Total</w:t>
      </w:r>
      <w:r>
        <w:rPr>
          <w:spacing w:val="-4"/>
        </w:rPr>
        <w:t xml:space="preserve"> </w:t>
      </w:r>
      <w:r>
        <w:t>medical</w:t>
      </w:r>
      <w:r>
        <w:rPr>
          <w:spacing w:val="-4"/>
        </w:rPr>
        <w:t xml:space="preserve"> </w:t>
      </w:r>
      <w:r>
        <w:t>expenses</w:t>
      </w:r>
      <w:r>
        <w:rPr>
          <w:spacing w:val="-5"/>
        </w:rPr>
        <w:t xml:space="preserve"> </w:t>
      </w:r>
      <w:r>
        <w:t>are</w:t>
      </w:r>
      <w:r>
        <w:rPr>
          <w:spacing w:val="-6"/>
        </w:rPr>
        <w:t xml:space="preserve"> </w:t>
      </w:r>
      <w:r>
        <w:t>calculated</w:t>
      </w:r>
      <w:r>
        <w:rPr>
          <w:spacing w:val="-4"/>
        </w:rPr>
        <w:t xml:space="preserve"> </w:t>
      </w:r>
      <w:r>
        <w:t>separately</w:t>
      </w:r>
      <w:r>
        <w:rPr>
          <w:spacing w:val="-4"/>
        </w:rPr>
        <w:t xml:space="preserve"> </w:t>
      </w:r>
      <w:r>
        <w:t>for</w:t>
      </w:r>
      <w:r>
        <w:rPr>
          <w:spacing w:val="-4"/>
        </w:rPr>
        <w:t xml:space="preserve"> </w:t>
      </w:r>
      <w:r>
        <w:t>non-DE#s,</w:t>
      </w:r>
      <w:r>
        <w:rPr>
          <w:spacing w:val="-4"/>
        </w:rPr>
        <w:t xml:space="preserve"> </w:t>
      </w:r>
      <w:r>
        <w:t>DE#s,</w:t>
      </w:r>
      <w:r>
        <w:rPr>
          <w:spacing w:val="-4"/>
        </w:rPr>
        <w:t xml:space="preserve"> </w:t>
      </w:r>
      <w:r>
        <w:t>and</w:t>
      </w:r>
      <w:r>
        <w:rPr>
          <w:spacing w:val="-2"/>
        </w:rPr>
        <w:t xml:space="preserve"> </w:t>
      </w:r>
      <w:r>
        <w:t>all beneficiaries in subsections A, B, and C, respectively.</w:t>
      </w:r>
    </w:p>
    <w:p>
      <w:pPr>
        <w:pStyle w:val="BodyText"/>
        <w:spacing w:after="0"/>
        <w:sectPr>
          <w:pgSz w:w="12240" w:h="15840"/>
          <w:pgMar w:top="960" w:right="0" w:bottom="940" w:left="1080" w:header="727" w:footer="747"/>
          <w:cols w:space="720"/>
        </w:sectPr>
      </w:pPr>
    </w:p>
    <w:p>
      <w:pPr>
        <w:pStyle w:val="BodyText"/>
        <w:spacing w:before="190"/>
        <w:ind w:left="0"/>
      </w:pPr>
    </w:p>
    <w:p>
      <w:pPr>
        <w:pStyle w:val="ListParagraph"/>
        <w:numPr>
          <w:ilvl w:val="1"/>
          <w:numId w:val="48"/>
        </w:numPr>
        <w:tabs>
          <w:tab w:val="left" w:pos="1944"/>
        </w:tabs>
        <w:spacing w:before="0" w:after="0" w:line="240" w:lineRule="auto"/>
        <w:ind w:left="1944" w:right="2208" w:hanging="360"/>
        <w:jc w:val="left"/>
        <w:rPr>
          <w:sz w:val="24"/>
        </w:rPr>
      </w:pPr>
      <w:r>
        <w:rPr>
          <w:sz w:val="24"/>
        </w:rPr>
        <w:t>In</w:t>
      </w:r>
      <w:r>
        <w:rPr>
          <w:spacing w:val="-5"/>
          <w:sz w:val="24"/>
        </w:rPr>
        <w:t xml:space="preserve"> </w:t>
      </w:r>
      <w:r>
        <w:rPr>
          <w:sz w:val="24"/>
        </w:rPr>
        <w:t>subsection</w:t>
      </w:r>
      <w:r>
        <w:rPr>
          <w:spacing w:val="-4"/>
          <w:sz w:val="24"/>
        </w:rPr>
        <w:t xml:space="preserve"> </w:t>
      </w:r>
      <w:r>
        <w:rPr>
          <w:sz w:val="24"/>
        </w:rPr>
        <w:t>A</w:t>
      </w:r>
      <w:r>
        <w:rPr>
          <w:spacing w:val="-6"/>
          <w:sz w:val="24"/>
        </w:rPr>
        <w:t xml:space="preserve"> </w:t>
      </w:r>
      <w:r>
        <w:rPr>
          <w:sz w:val="24"/>
        </w:rPr>
        <w:t>(non-DE#s),</w:t>
      </w:r>
      <w:r>
        <w:rPr>
          <w:spacing w:val="-5"/>
          <w:sz w:val="24"/>
        </w:rPr>
        <w:t xml:space="preserve"> </w:t>
      </w:r>
      <w:r>
        <w:rPr>
          <w:sz w:val="24"/>
        </w:rPr>
        <w:t>net</w:t>
      </w:r>
      <w:r>
        <w:rPr>
          <w:spacing w:val="-5"/>
          <w:sz w:val="24"/>
        </w:rPr>
        <w:t xml:space="preserve"> </w:t>
      </w:r>
      <w:r>
        <w:rPr>
          <w:sz w:val="24"/>
        </w:rPr>
        <w:t>medical</w:t>
      </w:r>
      <w:r>
        <w:rPr>
          <w:spacing w:val="-5"/>
          <w:sz w:val="24"/>
        </w:rPr>
        <w:t xml:space="preserve"> </w:t>
      </w:r>
      <w:r>
        <w:rPr>
          <w:sz w:val="24"/>
        </w:rPr>
        <w:t>expenses</w:t>
      </w:r>
      <w:r>
        <w:rPr>
          <w:spacing w:val="-3"/>
          <w:sz w:val="24"/>
        </w:rPr>
        <w:t xml:space="preserve"> </w:t>
      </w:r>
      <w:r>
        <w:rPr>
          <w:sz w:val="24"/>
        </w:rPr>
        <w:t>for</w:t>
      </w:r>
      <w:r>
        <w:rPr>
          <w:spacing w:val="-7"/>
          <w:sz w:val="24"/>
        </w:rPr>
        <w:t xml:space="preserve"> </w:t>
      </w:r>
      <w:r>
        <w:rPr>
          <w:sz w:val="24"/>
        </w:rPr>
        <w:t>Medicare-covered benefits (column o) are calculated based on FFS actuarially equivalent cost-sharing proportions (column k).</w:t>
      </w:r>
    </w:p>
    <w:p>
      <w:pPr>
        <w:pStyle w:val="ListParagraph"/>
        <w:numPr>
          <w:ilvl w:val="1"/>
          <w:numId w:val="48"/>
        </w:numPr>
        <w:tabs>
          <w:tab w:val="left" w:pos="1944"/>
        </w:tabs>
        <w:spacing w:before="0" w:after="0" w:line="240" w:lineRule="auto"/>
        <w:ind w:left="1944" w:right="1480" w:hanging="360"/>
        <w:jc w:val="left"/>
        <w:rPr>
          <w:sz w:val="24"/>
        </w:rPr>
      </w:pPr>
      <w:r>
        <w:rPr>
          <w:sz w:val="24"/>
        </w:rPr>
        <w:t>In subsection B (DE#s), comparable medical expenses are calculated for DE# beneficiaries,</w:t>
      </w:r>
      <w:r>
        <w:rPr>
          <w:spacing w:val="-4"/>
          <w:sz w:val="24"/>
        </w:rPr>
        <w:t xml:space="preserve"> </w:t>
      </w:r>
      <w:r>
        <w:rPr>
          <w:sz w:val="24"/>
        </w:rPr>
        <w:t>taking</w:t>
      </w:r>
      <w:r>
        <w:rPr>
          <w:spacing w:val="-4"/>
          <w:sz w:val="24"/>
        </w:rPr>
        <w:t xml:space="preserve"> </w:t>
      </w:r>
      <w:r>
        <w:rPr>
          <w:sz w:val="24"/>
        </w:rPr>
        <w:t>into</w:t>
      </w:r>
      <w:r>
        <w:rPr>
          <w:spacing w:val="-4"/>
          <w:sz w:val="24"/>
        </w:rPr>
        <w:t xml:space="preserve"> </w:t>
      </w:r>
      <w:r>
        <w:rPr>
          <w:sz w:val="24"/>
        </w:rPr>
        <w:t>account</w:t>
      </w:r>
      <w:r>
        <w:rPr>
          <w:spacing w:val="-4"/>
          <w:sz w:val="24"/>
        </w:rPr>
        <w:t xml:space="preserve"> </w:t>
      </w:r>
      <w:r>
        <w:rPr>
          <w:sz w:val="24"/>
        </w:rPr>
        <w:t>the</w:t>
      </w:r>
      <w:r>
        <w:rPr>
          <w:spacing w:val="-5"/>
          <w:sz w:val="24"/>
        </w:rPr>
        <w:t xml:space="preserve"> </w:t>
      </w:r>
      <w:r>
        <w:rPr>
          <w:sz w:val="24"/>
        </w:rPr>
        <w:t>reduced</w:t>
      </w:r>
      <w:r>
        <w:rPr>
          <w:spacing w:val="-4"/>
          <w:sz w:val="24"/>
        </w:rPr>
        <w:t xml:space="preserve"> </w:t>
      </w:r>
      <w:r>
        <w:rPr>
          <w:sz w:val="24"/>
        </w:rPr>
        <w:t>or</w:t>
      </w:r>
      <w:r>
        <w:rPr>
          <w:spacing w:val="-4"/>
          <w:sz w:val="24"/>
        </w:rPr>
        <w:t xml:space="preserve"> </w:t>
      </w:r>
      <w:r>
        <w:rPr>
          <w:sz w:val="24"/>
        </w:rPr>
        <w:t>eliminated</w:t>
      </w:r>
      <w:r>
        <w:rPr>
          <w:spacing w:val="-4"/>
          <w:sz w:val="24"/>
        </w:rPr>
        <w:t xml:space="preserve"> </w:t>
      </w:r>
      <w:r>
        <w:rPr>
          <w:sz w:val="24"/>
        </w:rPr>
        <w:t>cost-sharing</w:t>
      </w:r>
      <w:r>
        <w:rPr>
          <w:spacing w:val="-4"/>
          <w:sz w:val="24"/>
        </w:rPr>
        <w:t xml:space="preserve"> </w:t>
      </w:r>
      <w:r>
        <w:rPr>
          <w:sz w:val="24"/>
        </w:rPr>
        <w:t>liability of dual-eligible beneficiaries, including the state or territory Medicaid cost sharing (column k). Specifically, the Medicare-covered net PMPM reflects—</w:t>
      </w:r>
    </w:p>
    <w:p>
      <w:pPr>
        <w:pStyle w:val="ListParagraph"/>
        <w:numPr>
          <w:ilvl w:val="2"/>
          <w:numId w:val="48"/>
        </w:numPr>
        <w:tabs>
          <w:tab w:val="left" w:pos="2304"/>
        </w:tabs>
        <w:spacing w:before="0" w:after="0" w:line="240" w:lineRule="auto"/>
        <w:ind w:left="2304" w:right="1535" w:hanging="360"/>
        <w:jc w:val="left"/>
        <w:rPr>
          <w:sz w:val="24"/>
        </w:rPr>
      </w:pPr>
      <w:r>
        <w:rPr>
          <w:sz w:val="24"/>
        </w:rPr>
        <w:t>The</w:t>
      </w:r>
      <w:r>
        <w:rPr>
          <w:spacing w:val="-6"/>
          <w:sz w:val="24"/>
        </w:rPr>
        <w:t xml:space="preserve"> </w:t>
      </w:r>
      <w:r>
        <w:rPr>
          <w:sz w:val="24"/>
        </w:rPr>
        <w:t>amount</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MAO</w:t>
      </w:r>
      <w:r>
        <w:rPr>
          <w:spacing w:val="-5"/>
          <w:sz w:val="24"/>
        </w:rPr>
        <w:t xml:space="preserve"> </w:t>
      </w:r>
      <w:r>
        <w:rPr>
          <w:sz w:val="24"/>
        </w:rPr>
        <w:t>pays</w:t>
      </w:r>
      <w:r>
        <w:rPr>
          <w:spacing w:val="-5"/>
          <w:sz w:val="24"/>
        </w:rPr>
        <w:t xml:space="preserve"> </w:t>
      </w:r>
      <w:r>
        <w:rPr>
          <w:sz w:val="24"/>
        </w:rPr>
        <w:t>the</w:t>
      </w:r>
      <w:r>
        <w:rPr>
          <w:spacing w:val="-5"/>
          <w:sz w:val="24"/>
        </w:rPr>
        <w:t xml:space="preserve"> </w:t>
      </w:r>
      <w:r>
        <w:rPr>
          <w:sz w:val="24"/>
        </w:rPr>
        <w:t>provider</w:t>
      </w:r>
      <w:r>
        <w:rPr>
          <w:spacing w:val="-4"/>
          <w:sz w:val="24"/>
        </w:rPr>
        <w:t xml:space="preserve"> </w:t>
      </w:r>
      <w:r>
        <w:rPr>
          <w:sz w:val="24"/>
        </w:rPr>
        <w:t>for</w:t>
      </w:r>
      <w:r>
        <w:rPr>
          <w:spacing w:val="-3"/>
          <w:sz w:val="24"/>
        </w:rPr>
        <w:t xml:space="preserve"> </w:t>
      </w:r>
      <w:r>
        <w:rPr>
          <w:sz w:val="24"/>
        </w:rPr>
        <w:t>Medicare-covered</w:t>
      </w:r>
      <w:r>
        <w:rPr>
          <w:spacing w:val="-4"/>
          <w:sz w:val="24"/>
        </w:rPr>
        <w:t xml:space="preserve"> </w:t>
      </w:r>
      <w:r>
        <w:rPr>
          <w:sz w:val="24"/>
        </w:rPr>
        <w:t xml:space="preserve">services; </w:t>
      </w:r>
      <w:r>
        <w:rPr>
          <w:spacing w:val="-4"/>
          <w:sz w:val="24"/>
        </w:rPr>
        <w:t>plus</w:t>
      </w:r>
    </w:p>
    <w:p>
      <w:pPr>
        <w:pStyle w:val="ListParagraph"/>
        <w:numPr>
          <w:ilvl w:val="2"/>
          <w:numId w:val="48"/>
        </w:numPr>
        <w:tabs>
          <w:tab w:val="left" w:pos="2304"/>
        </w:tabs>
        <w:spacing w:before="0" w:after="0" w:line="240" w:lineRule="auto"/>
        <w:ind w:left="2304" w:right="0" w:hanging="360"/>
        <w:jc w:val="left"/>
        <w:rPr>
          <w:sz w:val="24"/>
        </w:rPr>
      </w:pPr>
      <w:r>
        <w:rPr>
          <w:sz w:val="24"/>
        </w:rPr>
        <w:t>The</w:t>
      </w:r>
      <w:r>
        <w:rPr>
          <w:spacing w:val="-4"/>
          <w:sz w:val="24"/>
        </w:rPr>
        <w:t xml:space="preserve"> </w:t>
      </w:r>
      <w:r>
        <w:rPr>
          <w:sz w:val="24"/>
        </w:rPr>
        <w:t>actual</w:t>
      </w:r>
      <w:r>
        <w:rPr>
          <w:spacing w:val="1"/>
          <w:sz w:val="24"/>
        </w:rPr>
        <w:t xml:space="preserve"> </w:t>
      </w:r>
      <w:r>
        <w:rPr>
          <w:sz w:val="24"/>
        </w:rPr>
        <w:t>cost</w:t>
      </w:r>
      <w:r>
        <w:rPr>
          <w:spacing w:val="-1"/>
          <w:sz w:val="24"/>
        </w:rPr>
        <w:t xml:space="preserve"> </w:t>
      </w:r>
      <w:r>
        <w:rPr>
          <w:sz w:val="24"/>
        </w:rPr>
        <w:t>sharing</w:t>
      </w:r>
      <w:r>
        <w:rPr>
          <w:spacing w:val="-2"/>
          <w:sz w:val="24"/>
        </w:rPr>
        <w:t xml:space="preserve"> </w:t>
      </w:r>
      <w:r>
        <w:rPr>
          <w:sz w:val="24"/>
        </w:rPr>
        <w:t>for</w:t>
      </w:r>
      <w:r>
        <w:rPr>
          <w:spacing w:val="-1"/>
          <w:sz w:val="24"/>
        </w:rPr>
        <w:t xml:space="preserve"> </w:t>
      </w:r>
      <w:r>
        <w:rPr>
          <w:sz w:val="24"/>
        </w:rPr>
        <w:t>Medicare-covered</w:t>
      </w:r>
      <w:r>
        <w:rPr>
          <w:spacing w:val="-1"/>
          <w:sz w:val="24"/>
        </w:rPr>
        <w:t xml:space="preserve"> </w:t>
      </w:r>
      <w:r>
        <w:rPr>
          <w:sz w:val="24"/>
        </w:rPr>
        <w:t>services;</w:t>
      </w:r>
      <w:r>
        <w:rPr>
          <w:spacing w:val="-1"/>
          <w:sz w:val="24"/>
        </w:rPr>
        <w:t xml:space="preserve"> </w:t>
      </w:r>
      <w:r>
        <w:rPr>
          <w:spacing w:val="-4"/>
          <w:sz w:val="24"/>
        </w:rPr>
        <w:t>less</w:t>
      </w:r>
    </w:p>
    <w:p>
      <w:pPr>
        <w:pStyle w:val="ListParagraph"/>
        <w:numPr>
          <w:ilvl w:val="2"/>
          <w:numId w:val="48"/>
        </w:numPr>
        <w:tabs>
          <w:tab w:val="left" w:pos="2304"/>
        </w:tabs>
        <w:spacing w:before="0" w:after="0" w:line="240" w:lineRule="auto"/>
        <w:ind w:left="2304" w:right="0" w:hanging="360"/>
        <w:jc w:val="left"/>
        <w:rPr>
          <w:sz w:val="24"/>
        </w:rPr>
      </w:pPr>
      <w:r>
        <w:rPr>
          <w:sz w:val="24"/>
        </w:rPr>
        <w:t>The</w:t>
      </w:r>
      <w:r>
        <w:rPr>
          <w:spacing w:val="-5"/>
          <w:sz w:val="24"/>
        </w:rPr>
        <w:t xml:space="preserve"> </w:t>
      </w:r>
      <w:r>
        <w:rPr>
          <w:sz w:val="24"/>
        </w:rPr>
        <w:t>state</w:t>
      </w:r>
      <w:r>
        <w:rPr>
          <w:spacing w:val="-2"/>
          <w:sz w:val="24"/>
        </w:rPr>
        <w:t xml:space="preserve"> </w:t>
      </w:r>
      <w:r>
        <w:rPr>
          <w:sz w:val="24"/>
        </w:rPr>
        <w:t>or</w:t>
      </w:r>
      <w:r>
        <w:rPr>
          <w:spacing w:val="-1"/>
          <w:sz w:val="24"/>
        </w:rPr>
        <w:t xml:space="preserve"> </w:t>
      </w:r>
      <w:r>
        <w:rPr>
          <w:sz w:val="24"/>
        </w:rPr>
        <w:t>territory</w:t>
      </w:r>
      <w:r>
        <w:rPr>
          <w:spacing w:val="-1"/>
          <w:sz w:val="24"/>
        </w:rPr>
        <w:t xml:space="preserve"> </w:t>
      </w:r>
      <w:r>
        <w:rPr>
          <w:sz w:val="24"/>
        </w:rPr>
        <w:t>Medicaid cost</w:t>
      </w:r>
      <w:r>
        <w:rPr>
          <w:spacing w:val="-1"/>
          <w:sz w:val="24"/>
        </w:rPr>
        <w:t xml:space="preserve"> </w:t>
      </w:r>
      <w:r>
        <w:rPr>
          <w:sz w:val="24"/>
        </w:rPr>
        <w:t>sharing</w:t>
      </w:r>
      <w:r>
        <w:rPr>
          <w:spacing w:val="-1"/>
          <w:sz w:val="24"/>
        </w:rPr>
        <w:t xml:space="preserve"> </w:t>
      </w:r>
      <w:r>
        <w:rPr>
          <w:sz w:val="24"/>
        </w:rPr>
        <w:t>for</w:t>
      </w:r>
      <w:r>
        <w:rPr>
          <w:spacing w:val="-2"/>
          <w:sz w:val="24"/>
        </w:rPr>
        <w:t xml:space="preserve"> </w:t>
      </w:r>
      <w:r>
        <w:rPr>
          <w:sz w:val="24"/>
        </w:rPr>
        <w:t xml:space="preserve">Medicare-covered </w:t>
      </w:r>
      <w:r>
        <w:rPr>
          <w:spacing w:val="-2"/>
          <w:sz w:val="24"/>
        </w:rPr>
        <w:t>services.</w:t>
      </w:r>
    </w:p>
    <w:p>
      <w:pPr>
        <w:pStyle w:val="ListParagraph"/>
        <w:numPr>
          <w:ilvl w:val="1"/>
          <w:numId w:val="48"/>
        </w:numPr>
        <w:tabs>
          <w:tab w:val="left" w:pos="1944"/>
        </w:tabs>
        <w:spacing w:before="0" w:after="0" w:line="240" w:lineRule="auto"/>
        <w:ind w:left="1944" w:right="1449" w:hanging="360"/>
        <w:jc w:val="left"/>
        <w:rPr>
          <w:sz w:val="24"/>
        </w:rPr>
      </w:pPr>
      <w:r>
        <w:rPr>
          <w:sz w:val="24"/>
        </w:rPr>
        <w:t>In subsection C (all beneficiaries), the BPT weights the non-DE# and DE# costs by their respective projected member months (from Worksheet 5) to calculate costs</w:t>
      </w:r>
      <w:r>
        <w:rPr>
          <w:spacing w:val="-3"/>
          <w:sz w:val="24"/>
        </w:rPr>
        <w:t xml:space="preserve"> </w:t>
      </w:r>
      <w:r>
        <w:rPr>
          <w:sz w:val="24"/>
        </w:rPr>
        <w:t>for</w:t>
      </w:r>
      <w:r>
        <w:rPr>
          <w:spacing w:val="-5"/>
          <w:sz w:val="24"/>
        </w:rPr>
        <w:t xml:space="preserve"> </w:t>
      </w:r>
      <w:r>
        <w:rPr>
          <w:sz w:val="24"/>
        </w:rPr>
        <w:t>all</w:t>
      </w:r>
      <w:r>
        <w:rPr>
          <w:spacing w:val="-3"/>
          <w:sz w:val="24"/>
        </w:rPr>
        <w:t xml:space="preserve"> </w:t>
      </w:r>
      <w:r>
        <w:rPr>
          <w:sz w:val="24"/>
        </w:rPr>
        <w:t>beneficiaries.</w:t>
      </w:r>
      <w:r>
        <w:rPr>
          <w:spacing w:val="-3"/>
          <w:sz w:val="24"/>
        </w:rPr>
        <w:t xml:space="preserve"> </w:t>
      </w:r>
      <w:r>
        <w:rPr>
          <w:sz w:val="24"/>
        </w:rPr>
        <w:t>The</w:t>
      </w:r>
      <w:r>
        <w:rPr>
          <w:spacing w:val="-4"/>
          <w:sz w:val="24"/>
        </w:rPr>
        <w:t xml:space="preserve"> </w:t>
      </w:r>
      <w:r>
        <w:rPr>
          <w:sz w:val="24"/>
        </w:rPr>
        <w:t>user</w:t>
      </w:r>
      <w:r>
        <w:rPr>
          <w:spacing w:val="-4"/>
          <w:sz w:val="24"/>
        </w:rPr>
        <w:t xml:space="preserve"> </w:t>
      </w:r>
      <w:r>
        <w:rPr>
          <w:sz w:val="24"/>
        </w:rPr>
        <w:t>must</w:t>
      </w:r>
      <w:r>
        <w:rPr>
          <w:spacing w:val="-2"/>
          <w:sz w:val="24"/>
        </w:rPr>
        <w:t xml:space="preserve"> </w:t>
      </w:r>
      <w:r>
        <w:rPr>
          <w:sz w:val="24"/>
        </w:rPr>
        <w:t>enter</w:t>
      </w:r>
      <w:r>
        <w:rPr>
          <w:spacing w:val="-5"/>
          <w:sz w:val="24"/>
        </w:rPr>
        <w:t xml:space="preserve"> </w:t>
      </w:r>
      <w:r>
        <w:rPr>
          <w:sz w:val="24"/>
        </w:rPr>
        <w:t>total</w:t>
      </w:r>
      <w:r>
        <w:rPr>
          <w:spacing w:val="-3"/>
          <w:sz w:val="24"/>
        </w:rPr>
        <w:t xml:space="preserve"> </w:t>
      </w:r>
      <w:r>
        <w:rPr>
          <w:sz w:val="24"/>
        </w:rPr>
        <w:t>non-benefit</w:t>
      </w:r>
      <w:r>
        <w:rPr>
          <w:spacing w:val="-3"/>
          <w:sz w:val="24"/>
        </w:rPr>
        <w:t xml:space="preserve"> </w:t>
      </w:r>
      <w:r>
        <w:rPr>
          <w:sz w:val="24"/>
        </w:rPr>
        <w:t>expenses</w:t>
      </w:r>
      <w:r>
        <w:rPr>
          <w:spacing w:val="-4"/>
          <w:sz w:val="24"/>
        </w:rPr>
        <w:t xml:space="preserve"> </w:t>
      </w:r>
      <w:r>
        <w:rPr>
          <w:sz w:val="24"/>
        </w:rPr>
        <w:t>and</w:t>
      </w:r>
      <w:r>
        <w:rPr>
          <w:spacing w:val="-3"/>
          <w:sz w:val="24"/>
        </w:rPr>
        <w:t xml:space="preserve"> </w:t>
      </w:r>
      <w:r>
        <w:rPr>
          <w:sz w:val="24"/>
        </w:rPr>
        <w:t>the gain/loss margin for all beneficiaries.</w:t>
      </w:r>
    </w:p>
    <w:p>
      <w:pPr>
        <w:pStyle w:val="BodyText"/>
        <w:spacing w:before="121"/>
        <w:ind w:left="1584" w:right="1619"/>
      </w:pPr>
      <w:r>
        <w:t>Considerations</w:t>
      </w:r>
      <w:r>
        <w:rPr>
          <w:spacing w:val="-5"/>
        </w:rPr>
        <w:t xml:space="preserve"> </w:t>
      </w:r>
      <w:r>
        <w:t>for</w:t>
      </w:r>
      <w:r>
        <w:rPr>
          <w:spacing w:val="-6"/>
        </w:rPr>
        <w:t xml:space="preserve"> </w:t>
      </w:r>
      <w:r>
        <w:t>developing</w:t>
      </w:r>
      <w:r>
        <w:rPr>
          <w:spacing w:val="-4"/>
        </w:rPr>
        <w:t xml:space="preserve"> </w:t>
      </w:r>
      <w:r>
        <w:t>data</w:t>
      </w:r>
      <w:r>
        <w:rPr>
          <w:spacing w:val="-5"/>
        </w:rPr>
        <w:t xml:space="preserve"> </w:t>
      </w:r>
      <w:r>
        <w:t>for</w:t>
      </w:r>
      <w:r>
        <w:rPr>
          <w:spacing w:val="-6"/>
        </w:rPr>
        <w:t xml:space="preserve"> </w:t>
      </w:r>
      <w:r>
        <w:t>DE#</w:t>
      </w:r>
      <w:r>
        <w:rPr>
          <w:spacing w:val="-4"/>
        </w:rPr>
        <w:t xml:space="preserve"> </w:t>
      </w:r>
      <w:r>
        <w:t>beneficiaries</w:t>
      </w:r>
      <w:r>
        <w:rPr>
          <w:spacing w:val="-2"/>
        </w:rPr>
        <w:t xml:space="preserve"> </w:t>
      </w:r>
      <w:r>
        <w:t>in</w:t>
      </w:r>
      <w:r>
        <w:rPr>
          <w:spacing w:val="-4"/>
        </w:rPr>
        <w:t xml:space="preserve"> </w:t>
      </w:r>
      <w:r>
        <w:t>subsection</w:t>
      </w:r>
      <w:r>
        <w:rPr>
          <w:spacing w:val="-4"/>
        </w:rPr>
        <w:t xml:space="preserve"> </w:t>
      </w:r>
      <w:r>
        <w:t>B</w:t>
      </w:r>
      <w:r>
        <w:rPr>
          <w:spacing w:val="-3"/>
        </w:rPr>
        <w:t xml:space="preserve"> </w:t>
      </w:r>
      <w:r>
        <w:t>include the following:</w:t>
      </w:r>
    </w:p>
    <w:p>
      <w:pPr>
        <w:pStyle w:val="ListParagraph"/>
        <w:numPr>
          <w:ilvl w:val="1"/>
          <w:numId w:val="48"/>
        </w:numPr>
        <w:tabs>
          <w:tab w:val="left" w:pos="1944"/>
        </w:tabs>
        <w:spacing w:before="120" w:after="0" w:line="240" w:lineRule="auto"/>
        <w:ind w:left="1944" w:right="0" w:hanging="360"/>
        <w:jc w:val="left"/>
        <w:rPr>
          <w:sz w:val="24"/>
        </w:rPr>
      </w:pPr>
      <w:r>
        <w:rPr>
          <w:sz w:val="24"/>
        </w:rPr>
        <w:t>All</w:t>
      </w:r>
      <w:r>
        <w:rPr>
          <w:spacing w:val="-1"/>
          <w:sz w:val="24"/>
        </w:rPr>
        <w:t xml:space="preserve"> </w:t>
      </w:r>
      <w:r>
        <w:rPr>
          <w:sz w:val="24"/>
        </w:rPr>
        <w:t>values</w:t>
      </w:r>
      <w:r>
        <w:rPr>
          <w:spacing w:val="-2"/>
          <w:sz w:val="24"/>
        </w:rPr>
        <w:t xml:space="preserve"> </w:t>
      </w:r>
      <w:r>
        <w:rPr>
          <w:sz w:val="24"/>
        </w:rPr>
        <w:t>must be</w:t>
      </w:r>
      <w:r>
        <w:rPr>
          <w:spacing w:val="-1"/>
          <w:sz w:val="24"/>
        </w:rPr>
        <w:t xml:space="preserve"> </w:t>
      </w:r>
      <w:r>
        <w:rPr>
          <w:sz w:val="24"/>
        </w:rPr>
        <w:t>calculated on</w:t>
      </w:r>
      <w:r>
        <w:rPr>
          <w:spacing w:val="-1"/>
          <w:sz w:val="24"/>
        </w:rPr>
        <w:t xml:space="preserve"> </w:t>
      </w:r>
      <w:r>
        <w:rPr>
          <w:sz w:val="24"/>
        </w:rPr>
        <w:t>a</w:t>
      </w:r>
      <w:r>
        <w:rPr>
          <w:spacing w:val="-3"/>
          <w:sz w:val="24"/>
        </w:rPr>
        <w:t xml:space="preserve"> </w:t>
      </w:r>
      <w:r>
        <w:rPr>
          <w:sz w:val="24"/>
        </w:rPr>
        <w:t>“per DE#</w:t>
      </w:r>
      <w:r>
        <w:rPr>
          <w:spacing w:val="-1"/>
          <w:sz w:val="24"/>
        </w:rPr>
        <w:t xml:space="preserve"> </w:t>
      </w:r>
      <w:r>
        <w:rPr>
          <w:sz w:val="24"/>
        </w:rPr>
        <w:t>member</w:t>
      </w:r>
      <w:r>
        <w:rPr>
          <w:spacing w:val="-2"/>
          <w:sz w:val="24"/>
        </w:rPr>
        <w:t xml:space="preserve"> </w:t>
      </w:r>
      <w:r>
        <w:rPr>
          <w:sz w:val="24"/>
        </w:rPr>
        <w:t>per</w:t>
      </w:r>
      <w:r>
        <w:rPr>
          <w:spacing w:val="-1"/>
          <w:sz w:val="24"/>
        </w:rPr>
        <w:t xml:space="preserve"> </w:t>
      </w:r>
      <w:r>
        <w:rPr>
          <w:sz w:val="24"/>
        </w:rPr>
        <w:t xml:space="preserve">month” </w:t>
      </w:r>
      <w:r>
        <w:rPr>
          <w:spacing w:val="-2"/>
          <w:sz w:val="24"/>
        </w:rPr>
        <w:t>basis.</w:t>
      </w:r>
    </w:p>
    <w:p>
      <w:pPr>
        <w:pStyle w:val="ListParagraph"/>
        <w:numPr>
          <w:ilvl w:val="1"/>
          <w:numId w:val="48"/>
        </w:numPr>
        <w:tabs>
          <w:tab w:val="left" w:pos="1944"/>
        </w:tabs>
        <w:spacing w:before="0" w:after="0" w:line="240" w:lineRule="auto"/>
        <w:ind w:left="1944" w:right="1615" w:hanging="360"/>
        <w:jc w:val="left"/>
        <w:rPr>
          <w:sz w:val="24"/>
        </w:rPr>
      </w:pPr>
      <w:r>
        <w:rPr>
          <w:sz w:val="24"/>
        </w:rPr>
        <w:t>In</w:t>
      </w:r>
      <w:r>
        <w:rPr>
          <w:spacing w:val="-1"/>
          <w:sz w:val="24"/>
        </w:rPr>
        <w:t xml:space="preserve"> </w:t>
      </w:r>
      <w:r>
        <w:rPr>
          <w:sz w:val="24"/>
        </w:rPr>
        <w:t>column</w:t>
      </w:r>
      <w:r>
        <w:rPr>
          <w:spacing w:val="-3"/>
          <w:sz w:val="24"/>
        </w:rPr>
        <w:t xml:space="preserve"> </w:t>
      </w:r>
      <w:r>
        <w:rPr>
          <w:sz w:val="24"/>
        </w:rPr>
        <w:t>f,</w:t>
      </w:r>
      <w:r>
        <w:rPr>
          <w:spacing w:val="-3"/>
          <w:sz w:val="24"/>
        </w:rPr>
        <w:t xml:space="preserve"> </w:t>
      </w:r>
      <w:r>
        <w:rPr>
          <w:sz w:val="24"/>
        </w:rPr>
        <w:t>plan</w:t>
      </w:r>
      <w:r>
        <w:rPr>
          <w:spacing w:val="-3"/>
          <w:sz w:val="24"/>
        </w:rPr>
        <w:t xml:space="preserve"> </w:t>
      </w:r>
      <w:r>
        <w:rPr>
          <w:sz w:val="24"/>
        </w:rPr>
        <w:t>cost</w:t>
      </w:r>
      <w:r>
        <w:rPr>
          <w:spacing w:val="-3"/>
          <w:sz w:val="24"/>
        </w:rPr>
        <w:t xml:space="preserve"> </w:t>
      </w:r>
      <w:r>
        <w:rPr>
          <w:sz w:val="24"/>
        </w:rPr>
        <w:t>sharing</w:t>
      </w:r>
      <w:r>
        <w:rPr>
          <w:spacing w:val="-3"/>
          <w:sz w:val="24"/>
        </w:rPr>
        <w:t xml:space="preserve"> </w:t>
      </w:r>
      <w:r>
        <w:rPr>
          <w:sz w:val="24"/>
        </w:rPr>
        <w:t>reflects</w:t>
      </w:r>
      <w:r>
        <w:rPr>
          <w:spacing w:val="-4"/>
          <w:sz w:val="24"/>
        </w:rPr>
        <w:t xml:space="preserve"> </w:t>
      </w:r>
      <w:r>
        <w:rPr>
          <w:sz w:val="24"/>
        </w:rPr>
        <w:t>the</w:t>
      </w:r>
      <w:r>
        <w:rPr>
          <w:spacing w:val="-4"/>
          <w:sz w:val="24"/>
        </w:rPr>
        <w:t xml:space="preserve"> </w:t>
      </w:r>
      <w:r>
        <w:rPr>
          <w:sz w:val="24"/>
        </w:rPr>
        <w:t>cost</w:t>
      </w:r>
      <w:r>
        <w:rPr>
          <w:spacing w:val="-3"/>
          <w:sz w:val="24"/>
        </w:rPr>
        <w:t xml:space="preserve"> </w:t>
      </w:r>
      <w:r>
        <w:rPr>
          <w:sz w:val="24"/>
        </w:rPr>
        <w:t>sharing</w:t>
      </w:r>
      <w:r>
        <w:rPr>
          <w:spacing w:val="-3"/>
          <w:sz w:val="24"/>
        </w:rPr>
        <w:t xml:space="preserve"> </w:t>
      </w:r>
      <w:r>
        <w:rPr>
          <w:sz w:val="24"/>
        </w:rPr>
        <w:t>that</w:t>
      </w:r>
      <w:r>
        <w:rPr>
          <w:spacing w:val="-3"/>
          <w:sz w:val="24"/>
        </w:rPr>
        <w:t xml:space="preserve"> </w:t>
      </w:r>
      <w:r>
        <w:rPr>
          <w:sz w:val="24"/>
        </w:rPr>
        <w:t>would</w:t>
      </w:r>
      <w:r>
        <w:rPr>
          <w:spacing w:val="-3"/>
          <w:sz w:val="24"/>
        </w:rPr>
        <w:t xml:space="preserve"> </w:t>
      </w:r>
      <w:r>
        <w:rPr>
          <w:sz w:val="24"/>
        </w:rPr>
        <w:t>be</w:t>
      </w:r>
      <w:r>
        <w:rPr>
          <w:spacing w:val="-3"/>
          <w:sz w:val="24"/>
        </w:rPr>
        <w:t xml:space="preserve"> </w:t>
      </w:r>
      <w:r>
        <w:rPr>
          <w:sz w:val="24"/>
        </w:rPr>
        <w:t>paid</w:t>
      </w:r>
      <w:r>
        <w:rPr>
          <w:spacing w:val="-3"/>
          <w:sz w:val="24"/>
        </w:rPr>
        <w:t xml:space="preserve"> </w:t>
      </w:r>
      <w:r>
        <w:rPr>
          <w:sz w:val="24"/>
        </w:rPr>
        <w:t>if</w:t>
      </w:r>
      <w:r>
        <w:rPr>
          <w:spacing w:val="-2"/>
          <w:sz w:val="24"/>
        </w:rPr>
        <w:t xml:space="preserve"> </w:t>
      </w:r>
      <w:r>
        <w:rPr>
          <w:sz w:val="24"/>
        </w:rPr>
        <w:t>the beneficiary actually paid the plan cost sharing in the PBP.</w:t>
      </w:r>
    </w:p>
    <w:p>
      <w:pPr>
        <w:pStyle w:val="ListParagraph"/>
        <w:numPr>
          <w:ilvl w:val="2"/>
          <w:numId w:val="48"/>
        </w:numPr>
        <w:tabs>
          <w:tab w:val="left" w:pos="2304"/>
        </w:tabs>
        <w:spacing w:before="0" w:after="0" w:line="240" w:lineRule="auto"/>
        <w:ind w:left="2304" w:right="1633" w:hanging="360"/>
        <w:jc w:val="left"/>
        <w:rPr>
          <w:sz w:val="24"/>
        </w:rPr>
      </w:pPr>
      <w:r>
        <w:rPr>
          <w:sz w:val="24"/>
        </w:rPr>
        <w:t>This amount is calculated automatically based on DE# allowed costs in Worksheet</w:t>
      </w:r>
      <w:r>
        <w:rPr>
          <w:spacing w:val="-3"/>
          <w:sz w:val="24"/>
        </w:rPr>
        <w:t xml:space="preserve"> </w:t>
      </w:r>
      <w:r>
        <w:rPr>
          <w:sz w:val="24"/>
        </w:rPr>
        <w:t>2</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ratio</w:t>
      </w:r>
      <w:r>
        <w:rPr>
          <w:spacing w:val="-3"/>
          <w:sz w:val="24"/>
        </w:rPr>
        <w:t xml:space="preserve"> </w:t>
      </w:r>
      <w:r>
        <w:rPr>
          <w:sz w:val="24"/>
        </w:rPr>
        <w:t>of</w:t>
      </w:r>
      <w:r>
        <w:rPr>
          <w:spacing w:val="-3"/>
          <w:sz w:val="24"/>
        </w:rPr>
        <w:t xml:space="preserve"> </w:t>
      </w:r>
      <w:r>
        <w:rPr>
          <w:sz w:val="24"/>
        </w:rPr>
        <w:t>non-DE#</w:t>
      </w:r>
      <w:r>
        <w:rPr>
          <w:spacing w:val="-3"/>
          <w:sz w:val="24"/>
        </w:rPr>
        <w:t xml:space="preserve"> </w:t>
      </w:r>
      <w:r>
        <w:rPr>
          <w:sz w:val="24"/>
        </w:rPr>
        <w:t>plan</w:t>
      </w:r>
      <w:r>
        <w:rPr>
          <w:spacing w:val="-2"/>
          <w:sz w:val="24"/>
        </w:rPr>
        <w:t xml:space="preserve"> </w:t>
      </w:r>
      <w:r>
        <w:rPr>
          <w:sz w:val="24"/>
        </w:rPr>
        <w:t>cost</w:t>
      </w:r>
      <w:r>
        <w:rPr>
          <w:spacing w:val="-3"/>
          <w:sz w:val="24"/>
        </w:rPr>
        <w:t xml:space="preserve"> </w:t>
      </w:r>
      <w:r>
        <w:rPr>
          <w:sz w:val="24"/>
        </w:rPr>
        <w:t>sharing</w:t>
      </w:r>
      <w:r>
        <w:rPr>
          <w:spacing w:val="-3"/>
          <w:sz w:val="24"/>
        </w:rPr>
        <w:t xml:space="preserve"> </w:t>
      </w:r>
      <w:r>
        <w:rPr>
          <w:sz w:val="24"/>
        </w:rPr>
        <w:t>to</w:t>
      </w:r>
      <w:r>
        <w:rPr>
          <w:spacing w:val="-3"/>
          <w:sz w:val="24"/>
        </w:rPr>
        <w:t xml:space="preserve"> </w:t>
      </w:r>
      <w:r>
        <w:rPr>
          <w:sz w:val="24"/>
        </w:rPr>
        <w:t>allowed</w:t>
      </w:r>
      <w:r>
        <w:rPr>
          <w:spacing w:val="-3"/>
          <w:sz w:val="24"/>
        </w:rPr>
        <w:t xml:space="preserve"> </w:t>
      </w:r>
      <w:r>
        <w:rPr>
          <w:sz w:val="24"/>
        </w:rPr>
        <w:t>costs</w:t>
      </w:r>
      <w:r>
        <w:rPr>
          <w:spacing w:val="-3"/>
          <w:sz w:val="24"/>
        </w:rPr>
        <w:t xml:space="preserve"> </w:t>
      </w:r>
      <w:r>
        <w:rPr>
          <w:sz w:val="24"/>
        </w:rPr>
        <w:t>in subsection A.</w:t>
      </w:r>
    </w:p>
    <w:p>
      <w:pPr>
        <w:pStyle w:val="ListParagraph"/>
        <w:numPr>
          <w:ilvl w:val="2"/>
          <w:numId w:val="48"/>
        </w:numPr>
        <w:tabs>
          <w:tab w:val="left" w:pos="2304"/>
        </w:tabs>
        <w:spacing w:before="0" w:after="0" w:line="240" w:lineRule="auto"/>
        <w:ind w:left="2304" w:right="1794" w:hanging="360"/>
        <w:jc w:val="left"/>
        <w:rPr>
          <w:sz w:val="24"/>
        </w:rPr>
      </w:pPr>
      <w:r>
        <w:rPr>
          <w:sz w:val="24"/>
        </w:rPr>
        <w:t>However,</w:t>
      </w:r>
      <w:r>
        <w:rPr>
          <w:spacing w:val="-4"/>
          <w:sz w:val="24"/>
        </w:rPr>
        <w:t xml:space="preserve"> </w:t>
      </w:r>
      <w:r>
        <w:rPr>
          <w:sz w:val="24"/>
        </w:rPr>
        <w:t>the</w:t>
      </w:r>
      <w:r>
        <w:rPr>
          <w:spacing w:val="-6"/>
          <w:sz w:val="24"/>
        </w:rPr>
        <w:t xml:space="preserve"> </w:t>
      </w:r>
      <w:r>
        <w:rPr>
          <w:sz w:val="24"/>
        </w:rPr>
        <w:t>default</w:t>
      </w:r>
      <w:r>
        <w:rPr>
          <w:spacing w:val="-4"/>
          <w:sz w:val="24"/>
        </w:rPr>
        <w:t xml:space="preserve"> </w:t>
      </w:r>
      <w:r>
        <w:rPr>
          <w:sz w:val="24"/>
        </w:rPr>
        <w:t>formulas</w:t>
      </w:r>
      <w:r>
        <w:rPr>
          <w:spacing w:val="-5"/>
          <w:sz w:val="24"/>
        </w:rPr>
        <w:t xml:space="preserve"> </w:t>
      </w:r>
      <w:r>
        <w:rPr>
          <w:sz w:val="24"/>
        </w:rPr>
        <w:t>may</w:t>
      </w:r>
      <w:r>
        <w:rPr>
          <w:spacing w:val="-4"/>
          <w:sz w:val="24"/>
        </w:rPr>
        <w:t xml:space="preserve"> </w:t>
      </w:r>
      <w:r>
        <w:rPr>
          <w:sz w:val="24"/>
        </w:rPr>
        <w:t>be</w:t>
      </w:r>
      <w:r>
        <w:rPr>
          <w:spacing w:val="-6"/>
          <w:sz w:val="24"/>
        </w:rPr>
        <w:t xml:space="preserve"> </w:t>
      </w:r>
      <w:r>
        <w:rPr>
          <w:sz w:val="24"/>
        </w:rPr>
        <w:t>overwritten</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discretion</w:t>
      </w:r>
      <w:r>
        <w:rPr>
          <w:spacing w:val="-4"/>
          <w:sz w:val="24"/>
        </w:rPr>
        <w:t xml:space="preserve"> </w:t>
      </w:r>
      <w:r>
        <w:rPr>
          <w:sz w:val="24"/>
        </w:rPr>
        <w:t>of</w:t>
      </w:r>
      <w:r>
        <w:rPr>
          <w:spacing w:val="-5"/>
          <w:sz w:val="24"/>
        </w:rPr>
        <w:t xml:space="preserve"> </w:t>
      </w:r>
      <w:r>
        <w:rPr>
          <w:sz w:val="24"/>
        </w:rPr>
        <w:t>the certifying actuary.</w:t>
      </w:r>
    </w:p>
    <w:p>
      <w:pPr>
        <w:pStyle w:val="ListParagraph"/>
        <w:numPr>
          <w:ilvl w:val="1"/>
          <w:numId w:val="48"/>
        </w:numPr>
        <w:tabs>
          <w:tab w:val="left" w:pos="1944"/>
        </w:tabs>
        <w:spacing w:before="1" w:after="0" w:line="240" w:lineRule="auto"/>
        <w:ind w:left="1944" w:right="0" w:hanging="360"/>
        <w:jc w:val="left"/>
        <w:rPr>
          <w:sz w:val="24"/>
        </w:rPr>
      </w:pPr>
      <w:r>
        <w:rPr>
          <w:sz w:val="24"/>
        </w:rPr>
        <w:t>Also,</w:t>
      </w:r>
      <w:r>
        <w:rPr>
          <w:spacing w:val="-1"/>
          <w:sz w:val="24"/>
        </w:rPr>
        <w:t xml:space="preserve"> </w:t>
      </w:r>
      <w:r>
        <w:rPr>
          <w:sz w:val="24"/>
        </w:rPr>
        <w:t>in column f,</w:t>
      </w:r>
      <w:r>
        <w:rPr>
          <w:spacing w:val="-1"/>
          <w:sz w:val="24"/>
        </w:rPr>
        <w:t xml:space="preserve"> </w:t>
      </w:r>
      <w:r>
        <w:rPr>
          <w:sz w:val="24"/>
        </w:rPr>
        <w:t>plan cost sharing</w:t>
      </w:r>
      <w:r>
        <w:rPr>
          <w:spacing w:val="-1"/>
          <w:sz w:val="24"/>
        </w:rPr>
        <w:t xml:space="preserve"> </w:t>
      </w:r>
      <w:r>
        <w:rPr>
          <w:sz w:val="24"/>
        </w:rPr>
        <w:t>must reflect the</w:t>
      </w:r>
      <w:r>
        <w:rPr>
          <w:spacing w:val="-1"/>
          <w:sz w:val="24"/>
        </w:rPr>
        <w:t xml:space="preserve"> </w:t>
      </w:r>
      <w:r>
        <w:rPr>
          <w:spacing w:val="-2"/>
          <w:sz w:val="24"/>
        </w:rPr>
        <w:t>following:</w:t>
      </w:r>
    </w:p>
    <w:p>
      <w:pPr>
        <w:pStyle w:val="ListParagraph"/>
        <w:numPr>
          <w:ilvl w:val="2"/>
          <w:numId w:val="48"/>
        </w:numPr>
        <w:tabs>
          <w:tab w:val="left" w:pos="2304"/>
        </w:tabs>
        <w:spacing w:before="0" w:after="0" w:line="240" w:lineRule="auto"/>
        <w:ind w:left="2304" w:right="1557" w:hanging="360"/>
        <w:jc w:val="left"/>
        <w:rPr>
          <w:sz w:val="24"/>
        </w:rPr>
      </w:pPr>
      <w:r>
        <w:rPr>
          <w:sz w:val="24"/>
        </w:rPr>
        <w:t>If projected DE# member months are greater than zero, and non-DE# cost sharing</w:t>
      </w:r>
      <w:r>
        <w:rPr>
          <w:spacing w:val="-4"/>
          <w:sz w:val="24"/>
        </w:rPr>
        <w:t xml:space="preserve"> </w:t>
      </w:r>
      <w:r>
        <w:rPr>
          <w:sz w:val="24"/>
        </w:rPr>
        <w:t>(Worksheet</w:t>
      </w:r>
      <w:r>
        <w:rPr>
          <w:spacing w:val="-4"/>
          <w:sz w:val="24"/>
        </w:rPr>
        <w:t xml:space="preserve"> </w:t>
      </w:r>
      <w:r>
        <w:rPr>
          <w:sz w:val="24"/>
        </w:rPr>
        <w:t>4</w:t>
      </w:r>
      <w:r>
        <w:rPr>
          <w:spacing w:val="-4"/>
          <w:sz w:val="24"/>
        </w:rPr>
        <w:t xml:space="preserve"> </w:t>
      </w:r>
      <w:r>
        <w:rPr>
          <w:sz w:val="24"/>
        </w:rPr>
        <w:t>Section</w:t>
      </w:r>
      <w:r>
        <w:rPr>
          <w:spacing w:val="-4"/>
          <w:sz w:val="24"/>
        </w:rPr>
        <w:t xml:space="preserve"> </w:t>
      </w:r>
      <w:r>
        <w:rPr>
          <w:sz w:val="24"/>
        </w:rPr>
        <w:t>IIA</w:t>
      </w:r>
      <w:r>
        <w:rPr>
          <w:spacing w:val="-4"/>
          <w:sz w:val="24"/>
        </w:rPr>
        <w:t xml:space="preserve"> </w:t>
      </w:r>
      <w:r>
        <w:rPr>
          <w:sz w:val="24"/>
        </w:rPr>
        <w:t>column</w:t>
      </w:r>
      <w:r>
        <w:rPr>
          <w:spacing w:val="-4"/>
          <w:sz w:val="24"/>
        </w:rPr>
        <w:t xml:space="preserve"> </w:t>
      </w:r>
      <w:r>
        <w:rPr>
          <w:sz w:val="24"/>
        </w:rPr>
        <w:t>f)</w:t>
      </w:r>
      <w:r>
        <w:rPr>
          <w:spacing w:val="-3"/>
          <w:sz w:val="24"/>
        </w:rPr>
        <w:t xml:space="preserve"> </w:t>
      </w:r>
      <w:r>
        <w:rPr>
          <w:sz w:val="24"/>
        </w:rPr>
        <w:t>are</w:t>
      </w:r>
      <w:r>
        <w:rPr>
          <w:spacing w:val="-5"/>
          <w:sz w:val="24"/>
        </w:rPr>
        <w:t xml:space="preserve"> </w:t>
      </w:r>
      <w:r>
        <w:rPr>
          <w:sz w:val="24"/>
        </w:rPr>
        <w:t>greater</w:t>
      </w:r>
      <w:r>
        <w:rPr>
          <w:spacing w:val="-4"/>
          <w:sz w:val="24"/>
        </w:rPr>
        <w:t xml:space="preserve"> </w:t>
      </w:r>
      <w:r>
        <w:rPr>
          <w:sz w:val="24"/>
        </w:rPr>
        <w:t>than</w:t>
      </w:r>
      <w:r>
        <w:rPr>
          <w:spacing w:val="-4"/>
          <w:sz w:val="24"/>
        </w:rPr>
        <w:t xml:space="preserve"> </w:t>
      </w:r>
      <w:r>
        <w:rPr>
          <w:sz w:val="24"/>
        </w:rPr>
        <w:t>zero,</w:t>
      </w:r>
      <w:r>
        <w:rPr>
          <w:spacing w:val="-4"/>
          <w:sz w:val="24"/>
        </w:rPr>
        <w:t xml:space="preserve"> </w:t>
      </w:r>
      <w:r>
        <w:rPr>
          <w:sz w:val="24"/>
        </w:rPr>
        <w:t>then</w:t>
      </w:r>
      <w:r>
        <w:rPr>
          <w:spacing w:val="-4"/>
          <w:sz w:val="24"/>
        </w:rPr>
        <w:t xml:space="preserve"> </w:t>
      </w:r>
      <w:r>
        <w:rPr>
          <w:sz w:val="24"/>
        </w:rPr>
        <w:t>DE# cost sharing (Worksheet 4 Section IIB column f) must be greater than zero.</w:t>
      </w:r>
    </w:p>
    <w:p>
      <w:pPr>
        <w:pStyle w:val="ListParagraph"/>
        <w:numPr>
          <w:ilvl w:val="2"/>
          <w:numId w:val="48"/>
        </w:numPr>
        <w:tabs>
          <w:tab w:val="left" w:pos="2304"/>
        </w:tabs>
        <w:spacing w:before="0" w:after="0" w:line="240" w:lineRule="auto"/>
        <w:ind w:left="2304" w:right="1909" w:hanging="360"/>
        <w:jc w:val="left"/>
        <w:rPr>
          <w:sz w:val="24"/>
        </w:rPr>
      </w:pPr>
      <w:r>
        <w:rPr>
          <w:sz w:val="24"/>
        </w:rPr>
        <w:t>If projected DE# member months equal total member months (that is, 100</w:t>
      </w:r>
      <w:r>
        <w:rPr>
          <w:spacing w:val="-4"/>
          <w:sz w:val="24"/>
        </w:rPr>
        <w:t xml:space="preserve"> </w:t>
      </w:r>
      <w:r>
        <w:rPr>
          <w:sz w:val="24"/>
        </w:rPr>
        <w:t>percent</w:t>
      </w:r>
      <w:r>
        <w:rPr>
          <w:spacing w:val="-3"/>
          <w:sz w:val="24"/>
        </w:rPr>
        <w:t xml:space="preserve"> </w:t>
      </w:r>
      <w:r>
        <w:rPr>
          <w:sz w:val="24"/>
        </w:rPr>
        <w:t>DE#</w:t>
      </w:r>
      <w:r>
        <w:rPr>
          <w:spacing w:val="-4"/>
          <w:sz w:val="24"/>
        </w:rPr>
        <w:t xml:space="preserve"> </w:t>
      </w:r>
      <w:r>
        <w:rPr>
          <w:sz w:val="24"/>
        </w:rPr>
        <w:t>plan),</w:t>
      </w:r>
      <w:r>
        <w:rPr>
          <w:spacing w:val="-4"/>
          <w:sz w:val="24"/>
        </w:rPr>
        <w:t xml:space="preserve"> </w:t>
      </w:r>
      <w:r>
        <w:rPr>
          <w:sz w:val="24"/>
        </w:rPr>
        <w:t>then</w:t>
      </w:r>
      <w:r>
        <w:rPr>
          <w:spacing w:val="-4"/>
          <w:sz w:val="24"/>
        </w:rPr>
        <w:t xml:space="preserve"> </w:t>
      </w:r>
      <w:r>
        <w:rPr>
          <w:sz w:val="24"/>
        </w:rPr>
        <w:t>DE#</w:t>
      </w:r>
      <w:r>
        <w:rPr>
          <w:spacing w:val="-4"/>
          <w:sz w:val="24"/>
        </w:rPr>
        <w:t xml:space="preserve"> </w:t>
      </w:r>
      <w:r>
        <w:rPr>
          <w:sz w:val="24"/>
        </w:rPr>
        <w:t>cost</w:t>
      </w:r>
      <w:r>
        <w:rPr>
          <w:spacing w:val="-4"/>
          <w:sz w:val="24"/>
        </w:rPr>
        <w:t xml:space="preserve"> </w:t>
      </w:r>
      <w:r>
        <w:rPr>
          <w:sz w:val="24"/>
        </w:rPr>
        <w:t>sharing</w:t>
      </w:r>
      <w:r>
        <w:rPr>
          <w:spacing w:val="-3"/>
          <w:sz w:val="24"/>
        </w:rPr>
        <w:t xml:space="preserve"> </w:t>
      </w:r>
      <w:r>
        <w:rPr>
          <w:sz w:val="24"/>
        </w:rPr>
        <w:t>(Worksheet</w:t>
      </w:r>
      <w:r>
        <w:rPr>
          <w:spacing w:val="-3"/>
          <w:sz w:val="24"/>
        </w:rPr>
        <w:t xml:space="preserve"> </w:t>
      </w:r>
      <w:r>
        <w:rPr>
          <w:sz w:val="24"/>
        </w:rPr>
        <w:t>4</w:t>
      </w:r>
      <w:r>
        <w:rPr>
          <w:spacing w:val="-4"/>
          <w:sz w:val="24"/>
        </w:rPr>
        <w:t xml:space="preserve"> </w:t>
      </w:r>
      <w:r>
        <w:rPr>
          <w:sz w:val="24"/>
        </w:rPr>
        <w:t>Section</w:t>
      </w:r>
      <w:r>
        <w:rPr>
          <w:spacing w:val="-2"/>
          <w:sz w:val="24"/>
        </w:rPr>
        <w:t xml:space="preserve"> </w:t>
      </w:r>
      <w:r>
        <w:rPr>
          <w:sz w:val="24"/>
        </w:rPr>
        <w:t>IIB column f) must equal the cost sharing entered on Worksheet 3.</w:t>
      </w:r>
    </w:p>
    <w:p>
      <w:pPr>
        <w:pStyle w:val="ListParagraph"/>
        <w:numPr>
          <w:ilvl w:val="1"/>
          <w:numId w:val="48"/>
        </w:numPr>
        <w:tabs>
          <w:tab w:val="left" w:pos="1944"/>
        </w:tabs>
        <w:spacing w:before="0" w:after="0" w:line="240" w:lineRule="auto"/>
        <w:ind w:left="1944" w:right="2366" w:hanging="360"/>
        <w:jc w:val="left"/>
        <w:rPr>
          <w:sz w:val="24"/>
        </w:rPr>
      </w:pPr>
      <w:r>
        <w:rPr>
          <w:sz w:val="24"/>
        </w:rPr>
        <w:t>In</w:t>
      </w:r>
      <w:r>
        <w:rPr>
          <w:spacing w:val="-2"/>
          <w:sz w:val="24"/>
        </w:rPr>
        <w:t xml:space="preserve"> </w:t>
      </w:r>
      <w:r>
        <w:rPr>
          <w:sz w:val="24"/>
        </w:rPr>
        <w:t>column</w:t>
      </w:r>
      <w:r>
        <w:rPr>
          <w:spacing w:val="-3"/>
          <w:sz w:val="24"/>
        </w:rPr>
        <w:t xml:space="preserve"> </w:t>
      </w:r>
      <w:r>
        <w:rPr>
          <w:sz w:val="24"/>
        </w:rPr>
        <w:t>h,</w:t>
      </w:r>
      <w:r>
        <w:rPr>
          <w:spacing w:val="-3"/>
          <w:sz w:val="24"/>
        </w:rPr>
        <w:t xml:space="preserve"> </w:t>
      </w:r>
      <w:r>
        <w:rPr>
          <w:sz w:val="24"/>
        </w:rPr>
        <w:t>Plan</w:t>
      </w:r>
      <w:r>
        <w:rPr>
          <w:spacing w:val="-4"/>
          <w:sz w:val="24"/>
        </w:rPr>
        <w:t xml:space="preserve"> </w:t>
      </w:r>
      <w:r>
        <w:rPr>
          <w:sz w:val="24"/>
        </w:rPr>
        <w:t>Reimbursement,</w:t>
      </w:r>
      <w:r>
        <w:rPr>
          <w:spacing w:val="-3"/>
          <w:sz w:val="24"/>
        </w:rPr>
        <w:t xml:space="preserve"> </w:t>
      </w:r>
      <w:r>
        <w:rPr>
          <w:sz w:val="24"/>
        </w:rPr>
        <w:t>enter</w:t>
      </w:r>
      <w:r>
        <w:rPr>
          <w:spacing w:val="-5"/>
          <w:sz w:val="24"/>
        </w:rPr>
        <w:t xml:space="preserve"> </w:t>
      </w:r>
      <w:r>
        <w:rPr>
          <w:sz w:val="24"/>
        </w:rPr>
        <w:t>the</w:t>
      </w:r>
      <w:r>
        <w:rPr>
          <w:spacing w:val="-4"/>
          <w:sz w:val="24"/>
        </w:rPr>
        <w:t xml:space="preserve"> </w:t>
      </w:r>
      <w:r>
        <w:rPr>
          <w:sz w:val="24"/>
        </w:rPr>
        <w:t>amount</w:t>
      </w:r>
      <w:r>
        <w:rPr>
          <w:spacing w:val="-3"/>
          <w:sz w:val="24"/>
        </w:rPr>
        <w:t xml:space="preserve"> </w:t>
      </w:r>
      <w:r>
        <w:rPr>
          <w:sz w:val="24"/>
        </w:rPr>
        <w:t>the</w:t>
      </w:r>
      <w:r>
        <w:rPr>
          <w:spacing w:val="-3"/>
          <w:sz w:val="24"/>
        </w:rPr>
        <w:t xml:space="preserve"> </w:t>
      </w:r>
      <w:r>
        <w:rPr>
          <w:sz w:val="24"/>
        </w:rPr>
        <w:t>MAO</w:t>
      </w:r>
      <w:r>
        <w:rPr>
          <w:spacing w:val="-4"/>
          <w:sz w:val="24"/>
        </w:rPr>
        <w:t xml:space="preserve"> </w:t>
      </w:r>
      <w:r>
        <w:rPr>
          <w:sz w:val="24"/>
        </w:rPr>
        <w:t>pays</w:t>
      </w:r>
      <w:r>
        <w:rPr>
          <w:spacing w:val="-4"/>
          <w:sz w:val="24"/>
        </w:rPr>
        <w:t xml:space="preserve"> </w:t>
      </w:r>
      <w:r>
        <w:rPr>
          <w:sz w:val="24"/>
        </w:rPr>
        <w:t xml:space="preserve">the </w:t>
      </w:r>
      <w:r>
        <w:rPr>
          <w:spacing w:val="-2"/>
          <w:sz w:val="24"/>
        </w:rPr>
        <w:t>providers.</w:t>
      </w:r>
    </w:p>
    <w:p>
      <w:pPr>
        <w:pStyle w:val="ListParagraph"/>
        <w:numPr>
          <w:ilvl w:val="1"/>
          <w:numId w:val="48"/>
        </w:numPr>
        <w:tabs>
          <w:tab w:val="left" w:pos="1944"/>
        </w:tabs>
        <w:spacing w:before="0" w:after="0" w:line="240" w:lineRule="auto"/>
        <w:ind w:left="1944" w:right="2050" w:hanging="360"/>
        <w:jc w:val="left"/>
        <w:rPr>
          <w:sz w:val="24"/>
        </w:rPr>
      </w:pPr>
      <w:r>
        <w:rPr>
          <w:sz w:val="24"/>
        </w:rPr>
        <w:t>In</w:t>
      </w:r>
      <w:r>
        <w:rPr>
          <w:spacing w:val="-2"/>
          <w:sz w:val="24"/>
        </w:rPr>
        <w:t xml:space="preserve"> </w:t>
      </w:r>
      <w:r>
        <w:rPr>
          <w:sz w:val="24"/>
        </w:rPr>
        <w:t>column</w:t>
      </w:r>
      <w:r>
        <w:rPr>
          <w:spacing w:val="-3"/>
          <w:sz w:val="24"/>
        </w:rPr>
        <w:t xml:space="preserve"> </w:t>
      </w:r>
      <w:r>
        <w:rPr>
          <w:sz w:val="24"/>
        </w:rPr>
        <w:t>k,</w:t>
      </w:r>
      <w:r>
        <w:rPr>
          <w:spacing w:val="-4"/>
          <w:sz w:val="24"/>
        </w:rPr>
        <w:t xml:space="preserve"> </w:t>
      </w:r>
      <w:r>
        <w:rPr>
          <w:sz w:val="24"/>
        </w:rPr>
        <w:t>the</w:t>
      </w:r>
      <w:r>
        <w:rPr>
          <w:spacing w:val="-5"/>
          <w:sz w:val="24"/>
        </w:rPr>
        <w:t xml:space="preserve"> </w:t>
      </w:r>
      <w:r>
        <w:rPr>
          <w:sz w:val="24"/>
        </w:rPr>
        <w:t>“Medicaid</w:t>
      </w:r>
      <w:r>
        <w:rPr>
          <w:spacing w:val="-4"/>
          <w:sz w:val="24"/>
        </w:rPr>
        <w:t xml:space="preserve"> </w:t>
      </w:r>
      <w:r>
        <w:rPr>
          <w:sz w:val="24"/>
        </w:rPr>
        <w:t>Cost</w:t>
      </w:r>
      <w:r>
        <w:rPr>
          <w:spacing w:val="-4"/>
          <w:sz w:val="24"/>
        </w:rPr>
        <w:t xml:space="preserve"> </w:t>
      </w:r>
      <w:r>
        <w:rPr>
          <w:sz w:val="24"/>
        </w:rPr>
        <w:t>Sharing”</w:t>
      </w:r>
      <w:r>
        <w:rPr>
          <w:spacing w:val="-5"/>
          <w:sz w:val="24"/>
        </w:rPr>
        <w:t xml:space="preserve"> </w:t>
      </w:r>
      <w:r>
        <w:rPr>
          <w:sz w:val="24"/>
        </w:rPr>
        <w:t>reflects</w:t>
      </w:r>
      <w:r>
        <w:rPr>
          <w:spacing w:val="-5"/>
          <w:sz w:val="24"/>
        </w:rPr>
        <w:t xml:space="preserve"> </w:t>
      </w:r>
      <w:r>
        <w:rPr>
          <w:sz w:val="24"/>
        </w:rPr>
        <w:t>the</w:t>
      </w:r>
      <w:r>
        <w:rPr>
          <w:spacing w:val="-5"/>
          <w:sz w:val="24"/>
        </w:rPr>
        <w:t xml:space="preserve"> </w:t>
      </w:r>
      <w:r>
        <w:rPr>
          <w:sz w:val="24"/>
        </w:rPr>
        <w:t>cost</w:t>
      </w:r>
      <w:r>
        <w:rPr>
          <w:spacing w:val="-4"/>
          <w:sz w:val="24"/>
        </w:rPr>
        <w:t xml:space="preserve"> </w:t>
      </w:r>
      <w:r>
        <w:rPr>
          <w:sz w:val="24"/>
        </w:rPr>
        <w:t>sharing</w:t>
      </w:r>
      <w:r>
        <w:rPr>
          <w:spacing w:val="-4"/>
          <w:sz w:val="24"/>
        </w:rPr>
        <w:t xml:space="preserve"> </w:t>
      </w:r>
      <w:r>
        <w:rPr>
          <w:sz w:val="24"/>
        </w:rPr>
        <w:t>that</w:t>
      </w:r>
      <w:r>
        <w:rPr>
          <w:spacing w:val="-4"/>
          <w:sz w:val="24"/>
        </w:rPr>
        <w:t xml:space="preserve"> </w:t>
      </w:r>
      <w:r>
        <w:rPr>
          <w:sz w:val="24"/>
        </w:rPr>
        <w:t>the beneficiary is liable to pay.</w:t>
      </w:r>
    </w:p>
    <w:p>
      <w:pPr>
        <w:pStyle w:val="ListParagraph"/>
        <w:numPr>
          <w:ilvl w:val="2"/>
          <w:numId w:val="48"/>
        </w:numPr>
        <w:tabs>
          <w:tab w:val="left" w:pos="2304"/>
        </w:tabs>
        <w:spacing w:before="1" w:after="0" w:line="240" w:lineRule="auto"/>
        <w:ind w:left="2304" w:right="0" w:hanging="360"/>
        <w:jc w:val="left"/>
        <w:rPr>
          <w:sz w:val="24"/>
        </w:rPr>
      </w:pPr>
      <w:r>
        <w:rPr>
          <w:sz w:val="24"/>
        </w:rPr>
        <w:t>The</w:t>
      </w:r>
      <w:r>
        <w:rPr>
          <w:spacing w:val="-4"/>
          <w:sz w:val="24"/>
        </w:rPr>
        <w:t xml:space="preserve"> </w:t>
      </w:r>
      <w:r>
        <w:rPr>
          <w:sz w:val="24"/>
        </w:rPr>
        <w:t>“Medicaid</w:t>
      </w:r>
      <w:r>
        <w:rPr>
          <w:spacing w:val="-1"/>
          <w:sz w:val="24"/>
        </w:rPr>
        <w:t xml:space="preserve"> </w:t>
      </w:r>
      <w:r>
        <w:rPr>
          <w:sz w:val="24"/>
        </w:rPr>
        <w:t>Cost Sharing”</w:t>
      </w:r>
      <w:r>
        <w:rPr>
          <w:spacing w:val="-2"/>
          <w:sz w:val="24"/>
        </w:rPr>
        <w:t xml:space="preserve"> </w:t>
      </w:r>
      <w:r>
        <w:rPr>
          <w:sz w:val="24"/>
        </w:rPr>
        <w:t>includes</w:t>
      </w:r>
      <w:r>
        <w:rPr>
          <w:spacing w:val="-2"/>
          <w:sz w:val="24"/>
        </w:rPr>
        <w:t xml:space="preserve"> </w:t>
      </w:r>
      <w:r>
        <w:rPr>
          <w:sz w:val="24"/>
        </w:rPr>
        <w:t xml:space="preserve">the </w:t>
      </w:r>
      <w:r>
        <w:rPr>
          <w:spacing w:val="-2"/>
          <w:sz w:val="24"/>
        </w:rPr>
        <w:t>following:</w:t>
      </w:r>
    </w:p>
    <w:p>
      <w:pPr>
        <w:pStyle w:val="ListParagraph"/>
        <w:numPr>
          <w:ilvl w:val="3"/>
          <w:numId w:val="48"/>
        </w:numPr>
        <w:tabs>
          <w:tab w:val="left" w:pos="2664"/>
        </w:tabs>
        <w:spacing w:before="0" w:after="0" w:line="240" w:lineRule="auto"/>
        <w:ind w:left="2664" w:right="1695" w:hanging="360"/>
        <w:jc w:val="left"/>
        <w:rPr>
          <w:sz w:val="24"/>
        </w:rPr>
      </w:pPr>
      <w:r>
        <w:rPr>
          <w:sz w:val="24"/>
        </w:rPr>
        <w:t>Cost-sharing</w:t>
      </w:r>
      <w:r>
        <w:rPr>
          <w:spacing w:val="-5"/>
          <w:sz w:val="24"/>
        </w:rPr>
        <w:t xml:space="preserve"> </w:t>
      </w:r>
      <w:r>
        <w:rPr>
          <w:sz w:val="24"/>
        </w:rPr>
        <w:t>amounts</w:t>
      </w:r>
      <w:r>
        <w:rPr>
          <w:spacing w:val="-6"/>
          <w:sz w:val="24"/>
        </w:rPr>
        <w:t xml:space="preserve"> </w:t>
      </w:r>
      <w:r>
        <w:rPr>
          <w:sz w:val="24"/>
        </w:rPr>
        <w:t>required</w:t>
      </w:r>
      <w:r>
        <w:rPr>
          <w:spacing w:val="-5"/>
          <w:sz w:val="24"/>
        </w:rPr>
        <w:t xml:space="preserve"> </w:t>
      </w:r>
      <w:r>
        <w:rPr>
          <w:sz w:val="24"/>
        </w:rPr>
        <w:t>by</w:t>
      </w:r>
      <w:r>
        <w:rPr>
          <w:spacing w:val="-5"/>
          <w:sz w:val="24"/>
        </w:rPr>
        <w:t xml:space="preserve"> </w:t>
      </w:r>
      <w:r>
        <w:rPr>
          <w:sz w:val="24"/>
        </w:rPr>
        <w:t>state</w:t>
      </w:r>
      <w:r>
        <w:rPr>
          <w:spacing w:val="-5"/>
          <w:sz w:val="24"/>
        </w:rPr>
        <w:t xml:space="preserve"> </w:t>
      </w:r>
      <w:r>
        <w:rPr>
          <w:sz w:val="24"/>
        </w:rPr>
        <w:t>or</w:t>
      </w:r>
      <w:r>
        <w:rPr>
          <w:spacing w:val="-7"/>
          <w:sz w:val="24"/>
        </w:rPr>
        <w:t xml:space="preserve"> </w:t>
      </w:r>
      <w:r>
        <w:rPr>
          <w:sz w:val="24"/>
        </w:rPr>
        <w:t>territory</w:t>
      </w:r>
      <w:r>
        <w:rPr>
          <w:spacing w:val="-5"/>
          <w:sz w:val="24"/>
        </w:rPr>
        <w:t xml:space="preserve"> </w:t>
      </w:r>
      <w:r>
        <w:rPr>
          <w:sz w:val="24"/>
        </w:rPr>
        <w:t>Medicaid</w:t>
      </w:r>
      <w:r>
        <w:rPr>
          <w:spacing w:val="-5"/>
          <w:sz w:val="24"/>
        </w:rPr>
        <w:t xml:space="preserve"> </w:t>
      </w:r>
      <w:r>
        <w:rPr>
          <w:sz w:val="24"/>
        </w:rPr>
        <w:t>programs based on the eligibility rules for subsidized cost sharing for DE# beneficiaries in the bid’s service area.</w:t>
      </w:r>
    </w:p>
    <w:p>
      <w:pPr>
        <w:pStyle w:val="ListParagraph"/>
        <w:numPr>
          <w:ilvl w:val="3"/>
          <w:numId w:val="48"/>
        </w:numPr>
        <w:tabs>
          <w:tab w:val="left" w:pos="2664"/>
        </w:tabs>
        <w:spacing w:before="0" w:after="0" w:line="240" w:lineRule="auto"/>
        <w:ind w:left="2664" w:right="0" w:hanging="360"/>
        <w:jc w:val="left"/>
        <w:rPr>
          <w:sz w:val="24"/>
        </w:rPr>
      </w:pPr>
      <w:r>
        <w:rPr>
          <w:sz w:val="24"/>
        </w:rPr>
        <w:t>Plan</w:t>
      </w:r>
      <w:r>
        <w:rPr>
          <w:spacing w:val="-3"/>
          <w:sz w:val="24"/>
        </w:rPr>
        <w:t xml:space="preserve"> </w:t>
      </w:r>
      <w:r>
        <w:rPr>
          <w:sz w:val="24"/>
        </w:rPr>
        <w:t>cost</w:t>
      </w:r>
      <w:r>
        <w:rPr>
          <w:spacing w:val="-1"/>
          <w:sz w:val="24"/>
        </w:rPr>
        <w:t xml:space="preserve"> </w:t>
      </w:r>
      <w:r>
        <w:rPr>
          <w:sz w:val="24"/>
        </w:rPr>
        <w:t>sharing</w:t>
      </w:r>
      <w:r>
        <w:rPr>
          <w:spacing w:val="-1"/>
          <w:sz w:val="24"/>
        </w:rPr>
        <w:t xml:space="preserve"> </w:t>
      </w:r>
      <w:r>
        <w:rPr>
          <w:sz w:val="24"/>
        </w:rPr>
        <w:t>for</w:t>
      </w:r>
      <w:r>
        <w:rPr>
          <w:spacing w:val="-1"/>
          <w:sz w:val="24"/>
        </w:rPr>
        <w:t xml:space="preserve"> </w:t>
      </w:r>
      <w:r>
        <w:rPr>
          <w:sz w:val="24"/>
        </w:rPr>
        <w:t>non-Medicare</w:t>
      </w:r>
      <w:r>
        <w:rPr>
          <w:spacing w:val="-2"/>
          <w:sz w:val="24"/>
        </w:rPr>
        <w:t xml:space="preserve"> </w:t>
      </w:r>
      <w:r>
        <w:rPr>
          <w:sz w:val="24"/>
        </w:rPr>
        <w:t>and</w:t>
      </w:r>
      <w:r>
        <w:rPr>
          <w:spacing w:val="-1"/>
          <w:sz w:val="24"/>
        </w:rPr>
        <w:t xml:space="preserve"> </w:t>
      </w:r>
      <w:r>
        <w:rPr>
          <w:sz w:val="24"/>
        </w:rPr>
        <w:t>non-Medicaid covered</w:t>
      </w:r>
      <w:r>
        <w:rPr>
          <w:spacing w:val="-1"/>
          <w:sz w:val="24"/>
        </w:rPr>
        <w:t xml:space="preserve"> </w:t>
      </w:r>
      <w:r>
        <w:rPr>
          <w:spacing w:val="-2"/>
          <w:sz w:val="24"/>
        </w:rPr>
        <w:t>benefits.</w:t>
      </w:r>
    </w:p>
    <w:p>
      <w:pPr>
        <w:pStyle w:val="ListParagraph"/>
        <w:numPr>
          <w:ilvl w:val="2"/>
          <w:numId w:val="48"/>
        </w:numPr>
        <w:tabs>
          <w:tab w:val="left" w:pos="2304"/>
        </w:tabs>
        <w:spacing w:before="0" w:after="0" w:line="240" w:lineRule="auto"/>
        <w:ind w:left="2304" w:right="0" w:hanging="360"/>
        <w:jc w:val="left"/>
        <w:rPr>
          <w:sz w:val="24"/>
        </w:rPr>
      </w:pPr>
      <w:r>
        <w:rPr>
          <w:sz w:val="24"/>
        </w:rPr>
        <w:t>The</w:t>
      </w:r>
      <w:r>
        <w:rPr>
          <w:spacing w:val="-3"/>
          <w:sz w:val="24"/>
        </w:rPr>
        <w:t xml:space="preserve"> </w:t>
      </w:r>
      <w:r>
        <w:rPr>
          <w:sz w:val="24"/>
        </w:rPr>
        <w:t xml:space="preserve">user </w:t>
      </w:r>
      <w:r>
        <w:rPr>
          <w:spacing w:val="-2"/>
          <w:sz w:val="24"/>
        </w:rPr>
        <w:t>must—</w:t>
      </w:r>
    </w:p>
    <w:p>
      <w:pPr>
        <w:pStyle w:val="ListParagraph"/>
        <w:numPr>
          <w:ilvl w:val="3"/>
          <w:numId w:val="48"/>
        </w:numPr>
        <w:tabs>
          <w:tab w:val="left" w:pos="2664"/>
        </w:tabs>
        <w:spacing w:before="0" w:after="0" w:line="240" w:lineRule="auto"/>
        <w:ind w:left="2664" w:right="1962" w:hanging="360"/>
        <w:jc w:val="left"/>
        <w:rPr>
          <w:sz w:val="24"/>
        </w:rPr>
      </w:pPr>
      <w:r>
        <w:rPr>
          <w:sz w:val="24"/>
        </w:rPr>
        <w:t>Calculate</w:t>
      </w:r>
      <w:r>
        <w:rPr>
          <w:spacing w:val="-4"/>
          <w:sz w:val="24"/>
        </w:rPr>
        <w:t xml:space="preserve"> </w:t>
      </w:r>
      <w:r>
        <w:rPr>
          <w:sz w:val="24"/>
        </w:rPr>
        <w:t>the</w:t>
      </w:r>
      <w:r>
        <w:rPr>
          <w:spacing w:val="-4"/>
          <w:sz w:val="24"/>
        </w:rPr>
        <w:t xml:space="preserve"> </w:t>
      </w:r>
      <w:r>
        <w:rPr>
          <w:sz w:val="24"/>
        </w:rPr>
        <w:t>“Medicaid</w:t>
      </w:r>
      <w:r>
        <w:rPr>
          <w:spacing w:val="-2"/>
          <w:sz w:val="24"/>
        </w:rPr>
        <w:t xml:space="preserve"> </w:t>
      </w:r>
      <w:r>
        <w:rPr>
          <w:sz w:val="24"/>
        </w:rPr>
        <w:t>Cost</w:t>
      </w:r>
      <w:r>
        <w:rPr>
          <w:spacing w:val="-4"/>
          <w:sz w:val="24"/>
        </w:rPr>
        <w:t xml:space="preserve"> </w:t>
      </w:r>
      <w:r>
        <w:rPr>
          <w:sz w:val="24"/>
        </w:rPr>
        <w:t>Sharing”</w:t>
      </w:r>
      <w:r>
        <w:rPr>
          <w:spacing w:val="-5"/>
          <w:sz w:val="24"/>
        </w:rPr>
        <w:t xml:space="preserve"> </w:t>
      </w:r>
      <w:r>
        <w:rPr>
          <w:sz w:val="24"/>
        </w:rPr>
        <w:t>as</w:t>
      </w:r>
      <w:r>
        <w:rPr>
          <w:spacing w:val="-5"/>
          <w:sz w:val="24"/>
        </w:rPr>
        <w:t xml:space="preserve"> </w:t>
      </w:r>
      <w:r>
        <w:rPr>
          <w:sz w:val="24"/>
        </w:rPr>
        <w:t>a</w:t>
      </w:r>
      <w:r>
        <w:rPr>
          <w:spacing w:val="-5"/>
          <w:sz w:val="24"/>
        </w:rPr>
        <w:t xml:space="preserve"> </w:t>
      </w:r>
      <w:r>
        <w:rPr>
          <w:sz w:val="24"/>
        </w:rPr>
        <w:t>weighted</w:t>
      </w:r>
      <w:r>
        <w:rPr>
          <w:spacing w:val="-4"/>
          <w:sz w:val="24"/>
        </w:rPr>
        <w:t xml:space="preserve"> </w:t>
      </w:r>
      <w:r>
        <w:rPr>
          <w:sz w:val="24"/>
        </w:rPr>
        <w:t>average</w:t>
      </w:r>
      <w:r>
        <w:rPr>
          <w:spacing w:val="-5"/>
          <w:sz w:val="24"/>
        </w:rPr>
        <w:t xml:space="preserve"> </w:t>
      </w:r>
      <w:r>
        <w:rPr>
          <w:sz w:val="24"/>
        </w:rPr>
        <w:t>of</w:t>
      </w:r>
      <w:r>
        <w:rPr>
          <w:spacing w:val="-4"/>
          <w:sz w:val="24"/>
        </w:rPr>
        <w:t xml:space="preserve"> </w:t>
      </w:r>
      <w:r>
        <w:rPr>
          <w:sz w:val="24"/>
        </w:rPr>
        <w:t>the PMPM cost sharing for all DE# members.</w:t>
      </w:r>
    </w:p>
    <w:p>
      <w:pPr>
        <w:pStyle w:val="ListParagraph"/>
        <w:numPr>
          <w:ilvl w:val="3"/>
          <w:numId w:val="48"/>
        </w:numPr>
        <w:tabs>
          <w:tab w:val="left" w:pos="2664"/>
        </w:tabs>
        <w:spacing w:before="0" w:after="0" w:line="240" w:lineRule="auto"/>
        <w:ind w:left="2664" w:right="0" w:hanging="360"/>
        <w:jc w:val="left"/>
        <w:rPr>
          <w:sz w:val="24"/>
        </w:rPr>
      </w:pPr>
      <w:r>
        <w:rPr>
          <w:sz w:val="24"/>
        </w:rPr>
        <w:t>Enter</w:t>
      </w:r>
      <w:r>
        <w:rPr>
          <w:spacing w:val="-3"/>
          <w:sz w:val="24"/>
        </w:rPr>
        <w:t xml:space="preserve"> </w:t>
      </w:r>
      <w:r>
        <w:rPr>
          <w:sz w:val="24"/>
        </w:rPr>
        <w:t>data in</w:t>
      </w:r>
      <w:r>
        <w:rPr>
          <w:spacing w:val="-1"/>
          <w:sz w:val="24"/>
        </w:rPr>
        <w:t xml:space="preserve"> </w:t>
      </w:r>
      <w:r>
        <w:rPr>
          <w:sz w:val="24"/>
        </w:rPr>
        <w:t>all cases.</w:t>
      </w:r>
      <w:r>
        <w:rPr>
          <w:spacing w:val="-1"/>
          <w:sz w:val="24"/>
        </w:rPr>
        <w:t xml:space="preserve"> </w:t>
      </w:r>
      <w:r>
        <w:rPr>
          <w:sz w:val="24"/>
        </w:rPr>
        <w:t>The</w:t>
      </w:r>
      <w:r>
        <w:rPr>
          <w:spacing w:val="-1"/>
          <w:sz w:val="24"/>
        </w:rPr>
        <w:t xml:space="preserve"> </w:t>
      </w:r>
      <w:r>
        <w:rPr>
          <w:sz w:val="24"/>
        </w:rPr>
        <w:t>cells</w:t>
      </w:r>
      <w:r>
        <w:rPr>
          <w:spacing w:val="-1"/>
          <w:sz w:val="24"/>
        </w:rPr>
        <w:t xml:space="preserve"> </w:t>
      </w:r>
      <w:r>
        <w:rPr>
          <w:sz w:val="24"/>
        </w:rPr>
        <w:t>must</w:t>
      </w:r>
      <w:r>
        <w:rPr>
          <w:spacing w:val="1"/>
          <w:sz w:val="24"/>
        </w:rPr>
        <w:t xml:space="preserve"> </w:t>
      </w:r>
      <w:r>
        <w:rPr>
          <w:sz w:val="24"/>
        </w:rPr>
        <w:t>not</w:t>
      </w:r>
      <w:r>
        <w:rPr>
          <w:spacing w:val="-1"/>
          <w:sz w:val="24"/>
        </w:rPr>
        <w:t xml:space="preserve"> </w:t>
      </w:r>
      <w:r>
        <w:rPr>
          <w:sz w:val="24"/>
        </w:rPr>
        <w:t>be left</w:t>
      </w:r>
      <w:r>
        <w:rPr>
          <w:spacing w:val="1"/>
          <w:sz w:val="24"/>
        </w:rPr>
        <w:t xml:space="preserve"> </w:t>
      </w:r>
      <w:r>
        <w:rPr>
          <w:spacing w:val="-2"/>
          <w:sz w:val="24"/>
        </w:rPr>
        <w:t>blank.</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ListParagraph"/>
        <w:numPr>
          <w:ilvl w:val="2"/>
          <w:numId w:val="48"/>
        </w:numPr>
        <w:tabs>
          <w:tab w:val="left" w:pos="2304"/>
        </w:tabs>
        <w:spacing w:before="0" w:after="0" w:line="240" w:lineRule="auto"/>
        <w:ind w:left="2304" w:right="1543" w:hanging="360"/>
        <w:jc w:val="left"/>
        <w:rPr>
          <w:sz w:val="24"/>
        </w:rPr>
      </w:pPr>
      <w:r>
        <w:rPr>
          <w:sz w:val="24"/>
        </w:rPr>
        <w:t>If (i) DE# projected member months are less than 10 percent of total projected member months, and (ii) the projected allowed costs in</w:t>
      </w:r>
      <w:r>
        <w:rPr>
          <w:spacing w:val="40"/>
          <w:sz w:val="24"/>
        </w:rPr>
        <w:t xml:space="preserve"> </w:t>
      </w:r>
      <w:r>
        <w:rPr>
          <w:sz w:val="24"/>
        </w:rPr>
        <w:t>Worksheet</w:t>
      </w:r>
      <w:r>
        <w:rPr>
          <w:spacing w:val="-3"/>
          <w:sz w:val="24"/>
        </w:rPr>
        <w:t xml:space="preserve"> </w:t>
      </w:r>
      <w:r>
        <w:rPr>
          <w:sz w:val="24"/>
        </w:rPr>
        <w:t>2</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total,</w:t>
      </w:r>
      <w:r>
        <w:rPr>
          <w:spacing w:val="-3"/>
          <w:sz w:val="24"/>
        </w:rPr>
        <w:t xml:space="preserve"> </w:t>
      </w:r>
      <w:r>
        <w:rPr>
          <w:sz w:val="24"/>
        </w:rPr>
        <w:t>DE#,</w:t>
      </w:r>
      <w:r>
        <w:rPr>
          <w:spacing w:val="-3"/>
          <w:sz w:val="24"/>
        </w:rPr>
        <w:t xml:space="preserve"> </w:t>
      </w:r>
      <w:r>
        <w:rPr>
          <w:sz w:val="24"/>
        </w:rPr>
        <w:t>and</w:t>
      </w:r>
      <w:r>
        <w:rPr>
          <w:spacing w:val="-3"/>
          <w:sz w:val="24"/>
        </w:rPr>
        <w:t xml:space="preserve"> </w:t>
      </w:r>
      <w:r>
        <w:rPr>
          <w:sz w:val="24"/>
        </w:rPr>
        <w:t>non-DE#</w:t>
      </w:r>
      <w:r>
        <w:rPr>
          <w:spacing w:val="-3"/>
          <w:sz w:val="24"/>
        </w:rPr>
        <w:t xml:space="preserve"> </w:t>
      </w:r>
      <w:r>
        <w:rPr>
          <w:sz w:val="24"/>
        </w:rPr>
        <w:t>populations</w:t>
      </w:r>
      <w:r>
        <w:rPr>
          <w:spacing w:val="-4"/>
          <w:sz w:val="24"/>
        </w:rPr>
        <w:t xml:space="preserve"> </w:t>
      </w:r>
      <w:r>
        <w:rPr>
          <w:sz w:val="24"/>
        </w:rPr>
        <w:t>are</w:t>
      </w:r>
      <w:r>
        <w:rPr>
          <w:spacing w:val="-4"/>
          <w:sz w:val="24"/>
        </w:rPr>
        <w:t xml:space="preserve"> </w:t>
      </w:r>
      <w:r>
        <w:rPr>
          <w:sz w:val="24"/>
        </w:rPr>
        <w:t>all</w:t>
      </w:r>
      <w:r>
        <w:rPr>
          <w:spacing w:val="-3"/>
          <w:sz w:val="24"/>
        </w:rPr>
        <w:t xml:space="preserve"> </w:t>
      </w:r>
      <w:r>
        <w:rPr>
          <w:sz w:val="24"/>
        </w:rPr>
        <w:t>equal,</w:t>
      </w:r>
      <w:r>
        <w:rPr>
          <w:spacing w:val="-3"/>
          <w:sz w:val="24"/>
        </w:rPr>
        <w:t xml:space="preserve"> </w:t>
      </w:r>
      <w:r>
        <w:rPr>
          <w:sz w:val="24"/>
        </w:rPr>
        <w:t>then the user may, at the discretion of the certifying actuary, enter—</w:t>
      </w:r>
    </w:p>
    <w:p>
      <w:pPr>
        <w:pStyle w:val="ListParagraph"/>
        <w:numPr>
          <w:ilvl w:val="3"/>
          <w:numId w:val="48"/>
        </w:numPr>
        <w:tabs>
          <w:tab w:val="left" w:pos="2664"/>
        </w:tabs>
        <w:spacing w:before="0" w:after="0" w:line="240" w:lineRule="auto"/>
        <w:ind w:left="2664" w:right="0" w:hanging="360"/>
        <w:jc w:val="left"/>
        <w:rPr>
          <w:sz w:val="24"/>
        </w:rPr>
      </w:pPr>
      <w:r>
        <w:rPr>
          <w:sz w:val="24"/>
        </w:rPr>
        <w:t>A</w:t>
      </w:r>
      <w:r>
        <w:rPr>
          <w:spacing w:val="-3"/>
          <w:sz w:val="24"/>
        </w:rPr>
        <w:t xml:space="preserve"> </w:t>
      </w:r>
      <w:r>
        <w:rPr>
          <w:sz w:val="24"/>
        </w:rPr>
        <w:t>zero amount;</w:t>
      </w:r>
      <w:r>
        <w:rPr>
          <w:spacing w:val="-1"/>
          <w:sz w:val="24"/>
        </w:rPr>
        <w:t xml:space="preserve"> </w:t>
      </w:r>
      <w:r>
        <w:rPr>
          <w:spacing w:val="-5"/>
          <w:sz w:val="24"/>
        </w:rPr>
        <w:t>or</w:t>
      </w:r>
    </w:p>
    <w:p>
      <w:pPr>
        <w:pStyle w:val="ListParagraph"/>
        <w:numPr>
          <w:ilvl w:val="3"/>
          <w:numId w:val="48"/>
        </w:numPr>
        <w:tabs>
          <w:tab w:val="left" w:pos="2664"/>
        </w:tabs>
        <w:spacing w:before="0" w:after="0" w:line="240" w:lineRule="auto"/>
        <w:ind w:left="2664" w:right="1493" w:hanging="360"/>
        <w:jc w:val="left"/>
        <w:rPr>
          <w:sz w:val="24"/>
        </w:rPr>
      </w:pPr>
      <w:r>
        <w:rPr>
          <w:sz w:val="24"/>
        </w:rPr>
        <w:t>The</w:t>
      </w:r>
      <w:r>
        <w:rPr>
          <w:spacing w:val="-6"/>
          <w:sz w:val="24"/>
        </w:rPr>
        <w:t xml:space="preserve"> </w:t>
      </w:r>
      <w:r>
        <w:rPr>
          <w:sz w:val="24"/>
        </w:rPr>
        <w:t>state</w:t>
      </w:r>
      <w:r>
        <w:rPr>
          <w:spacing w:val="-5"/>
          <w:sz w:val="24"/>
        </w:rPr>
        <w:t xml:space="preserve"> </w:t>
      </w:r>
      <w:r>
        <w:rPr>
          <w:sz w:val="24"/>
        </w:rPr>
        <w:t>or</w:t>
      </w:r>
      <w:r>
        <w:rPr>
          <w:spacing w:val="-4"/>
          <w:sz w:val="24"/>
        </w:rPr>
        <w:t xml:space="preserve"> </w:t>
      </w:r>
      <w:r>
        <w:rPr>
          <w:sz w:val="24"/>
        </w:rPr>
        <w:t>territory</w:t>
      </w:r>
      <w:r>
        <w:rPr>
          <w:spacing w:val="-4"/>
          <w:sz w:val="24"/>
        </w:rPr>
        <w:t xml:space="preserve"> </w:t>
      </w:r>
      <w:r>
        <w:rPr>
          <w:sz w:val="24"/>
        </w:rPr>
        <w:t>Medicaid</w:t>
      </w:r>
      <w:r>
        <w:rPr>
          <w:spacing w:val="-4"/>
          <w:sz w:val="24"/>
        </w:rPr>
        <w:t xml:space="preserve"> </w:t>
      </w:r>
      <w:r>
        <w:rPr>
          <w:sz w:val="24"/>
        </w:rPr>
        <w:t>required</w:t>
      </w:r>
      <w:r>
        <w:rPr>
          <w:spacing w:val="-4"/>
          <w:sz w:val="24"/>
        </w:rPr>
        <w:t xml:space="preserve"> </w:t>
      </w:r>
      <w:r>
        <w:rPr>
          <w:sz w:val="24"/>
        </w:rPr>
        <w:t>level</w:t>
      </w:r>
      <w:r>
        <w:rPr>
          <w:spacing w:val="-4"/>
          <w:sz w:val="24"/>
        </w:rPr>
        <w:t xml:space="preserve"> </w:t>
      </w:r>
      <w:r>
        <w:rPr>
          <w:sz w:val="24"/>
        </w:rPr>
        <w:t>of</w:t>
      </w:r>
      <w:r>
        <w:rPr>
          <w:spacing w:val="-4"/>
          <w:sz w:val="24"/>
        </w:rPr>
        <w:t xml:space="preserve"> </w:t>
      </w:r>
      <w:r>
        <w:rPr>
          <w:sz w:val="24"/>
        </w:rPr>
        <w:t>beneficiary</w:t>
      </w:r>
      <w:r>
        <w:rPr>
          <w:spacing w:val="-4"/>
          <w:sz w:val="24"/>
        </w:rPr>
        <w:t xml:space="preserve"> </w:t>
      </w:r>
      <w:r>
        <w:rPr>
          <w:sz w:val="24"/>
        </w:rPr>
        <w:t>cost</w:t>
      </w:r>
      <w:r>
        <w:rPr>
          <w:spacing w:val="-4"/>
          <w:sz w:val="24"/>
        </w:rPr>
        <w:t xml:space="preserve"> </w:t>
      </w:r>
      <w:r>
        <w:rPr>
          <w:sz w:val="24"/>
        </w:rPr>
        <w:t>sharing, if any.</w:t>
      </w:r>
    </w:p>
    <w:p>
      <w:pPr>
        <w:pStyle w:val="BodyText"/>
        <w:spacing w:before="120"/>
        <w:ind w:left="1584" w:right="1481"/>
      </w:pPr>
      <w:r>
        <w:t>See</w:t>
      </w:r>
      <w:r>
        <w:rPr>
          <w:spacing w:val="-4"/>
        </w:rPr>
        <w:t xml:space="preserve"> </w:t>
      </w:r>
      <w:r>
        <w:t>the</w:t>
      </w:r>
      <w:r>
        <w:rPr>
          <w:spacing w:val="-5"/>
        </w:rPr>
        <w:t xml:space="preserve"> </w:t>
      </w:r>
      <w:r>
        <w:t>“Medicaid</w:t>
      </w:r>
      <w:r>
        <w:rPr>
          <w:spacing w:val="-4"/>
        </w:rPr>
        <w:t xml:space="preserve"> </w:t>
      </w:r>
      <w:r>
        <w:t>Revenue</w:t>
      </w:r>
      <w:r>
        <w:rPr>
          <w:spacing w:val="-4"/>
        </w:rPr>
        <w:t xml:space="preserve"> </w:t>
      </w:r>
      <w:r>
        <w:t>and</w:t>
      </w:r>
      <w:r>
        <w:rPr>
          <w:spacing w:val="-4"/>
        </w:rPr>
        <w:t xml:space="preserve"> </w:t>
      </w:r>
      <w:r>
        <w:t>Costs”</w:t>
      </w:r>
      <w:r>
        <w:rPr>
          <w:spacing w:val="-4"/>
        </w:rPr>
        <w:t xml:space="preserve"> </w:t>
      </w:r>
      <w:r>
        <w:t>subsection</w:t>
      </w:r>
      <w:r>
        <w:rPr>
          <w:spacing w:val="-2"/>
        </w:rPr>
        <w:t xml:space="preserve"> </w:t>
      </w:r>
      <w:r>
        <w:t>of</w:t>
      </w:r>
      <w:r>
        <w:rPr>
          <w:spacing w:val="-4"/>
        </w:rPr>
        <w:t xml:space="preserve"> </w:t>
      </w:r>
      <w:r>
        <w:t>this</w:t>
      </w:r>
      <w:r>
        <w:rPr>
          <w:spacing w:val="-4"/>
        </w:rPr>
        <w:t xml:space="preserve"> </w:t>
      </w:r>
      <w:r>
        <w:t>pricing</w:t>
      </w:r>
      <w:r>
        <w:rPr>
          <w:spacing w:val="-4"/>
        </w:rPr>
        <w:t xml:space="preserve"> </w:t>
      </w:r>
      <w:r>
        <w:t>consideration</w:t>
      </w:r>
      <w:r>
        <w:rPr>
          <w:spacing w:val="-4"/>
        </w:rPr>
        <w:t xml:space="preserve"> </w:t>
      </w:r>
      <w:r>
        <w:t>for information about entering Medicaid data on Worksheet 4.</w:t>
      </w:r>
    </w:p>
    <w:p>
      <w:pPr>
        <w:pStyle w:val="ListParagraph"/>
        <w:numPr>
          <w:ilvl w:val="0"/>
          <w:numId w:val="48"/>
        </w:numPr>
        <w:tabs>
          <w:tab w:val="left" w:pos="1583"/>
        </w:tabs>
        <w:spacing w:before="241" w:after="0" w:line="240" w:lineRule="auto"/>
        <w:ind w:left="1583" w:right="0" w:hanging="359"/>
        <w:jc w:val="left"/>
        <w:rPr>
          <w:rFonts w:ascii="Arial" w:hAnsi="Arial"/>
          <w:b/>
          <w:sz w:val="21"/>
        </w:rPr>
      </w:pPr>
      <w:r>
        <w:rPr>
          <w:rFonts w:ascii="Arial" w:hAnsi="Arial"/>
          <w:b/>
          <w:sz w:val="21"/>
        </w:rPr>
        <w:t>Worksheet</w:t>
      </w:r>
      <w:r>
        <w:rPr>
          <w:rFonts w:ascii="Arial" w:hAnsi="Arial"/>
          <w:b/>
          <w:spacing w:val="-4"/>
          <w:sz w:val="21"/>
        </w:rPr>
        <w:t xml:space="preserve"> </w:t>
      </w:r>
      <w:r>
        <w:rPr>
          <w:rFonts w:ascii="Arial" w:hAnsi="Arial"/>
          <w:b/>
          <w:sz w:val="21"/>
        </w:rPr>
        <w:t>5</w:t>
      </w:r>
      <w:r>
        <w:rPr>
          <w:rFonts w:ascii="Arial" w:hAnsi="Arial"/>
          <w:b/>
          <w:spacing w:val="-4"/>
          <w:sz w:val="21"/>
        </w:rPr>
        <w:t xml:space="preserve"> </w:t>
      </w:r>
      <w:r>
        <w:rPr>
          <w:rFonts w:ascii="Arial" w:hAnsi="Arial"/>
          <w:b/>
          <w:sz w:val="21"/>
        </w:rPr>
        <w:t>–</w:t>
      </w:r>
      <w:r>
        <w:rPr>
          <w:rFonts w:ascii="Arial" w:hAnsi="Arial"/>
          <w:b/>
          <w:spacing w:val="-3"/>
          <w:sz w:val="21"/>
        </w:rPr>
        <w:t xml:space="preserve"> </w:t>
      </w:r>
      <w:r>
        <w:rPr>
          <w:rFonts w:ascii="Arial" w:hAnsi="Arial"/>
          <w:b/>
          <w:spacing w:val="-2"/>
          <w:sz w:val="21"/>
        </w:rPr>
        <w:t>Benchmark</w:t>
      </w:r>
    </w:p>
    <w:p>
      <w:pPr>
        <w:pStyle w:val="BodyText"/>
        <w:spacing w:before="120"/>
        <w:ind w:left="1584"/>
      </w:pPr>
      <w:r>
        <w:t>The</w:t>
      </w:r>
      <w:r>
        <w:rPr>
          <w:spacing w:val="-3"/>
        </w:rPr>
        <w:t xml:space="preserve"> </w:t>
      </w:r>
      <w:r>
        <w:t xml:space="preserve">user must </w:t>
      </w:r>
      <w:r>
        <w:rPr>
          <w:spacing w:val="-2"/>
        </w:rPr>
        <w:t>enter—</w:t>
      </w:r>
    </w:p>
    <w:p>
      <w:pPr>
        <w:pStyle w:val="ListParagraph"/>
        <w:numPr>
          <w:ilvl w:val="1"/>
          <w:numId w:val="48"/>
        </w:numPr>
        <w:tabs>
          <w:tab w:val="left" w:pos="1944"/>
        </w:tabs>
        <w:spacing w:before="123" w:after="0" w:line="237" w:lineRule="auto"/>
        <w:ind w:left="1944" w:right="1853" w:hanging="360"/>
        <w:jc w:val="left"/>
        <w:rPr>
          <w:sz w:val="24"/>
        </w:rPr>
      </w:pPr>
      <w:r>
        <w:rPr>
          <w:sz w:val="24"/>
        </w:rPr>
        <w:t>Distinct</w:t>
      </w:r>
      <w:r>
        <w:rPr>
          <w:spacing w:val="-4"/>
          <w:sz w:val="24"/>
        </w:rPr>
        <w:t xml:space="preserve"> </w:t>
      </w:r>
      <w:r>
        <w:rPr>
          <w:sz w:val="24"/>
        </w:rPr>
        <w:t>projected</w:t>
      </w:r>
      <w:r>
        <w:rPr>
          <w:spacing w:val="-4"/>
          <w:sz w:val="24"/>
        </w:rPr>
        <w:t xml:space="preserve"> </w:t>
      </w:r>
      <w:r>
        <w:rPr>
          <w:sz w:val="24"/>
        </w:rPr>
        <w:t>member</w:t>
      </w:r>
      <w:r>
        <w:rPr>
          <w:spacing w:val="-4"/>
          <w:sz w:val="24"/>
        </w:rPr>
        <w:t xml:space="preserve"> </w:t>
      </w:r>
      <w:r>
        <w:rPr>
          <w:sz w:val="24"/>
        </w:rPr>
        <w:t>months</w:t>
      </w:r>
      <w:r>
        <w:rPr>
          <w:spacing w:val="-5"/>
          <w:sz w:val="24"/>
        </w:rPr>
        <w:t xml:space="preserve"> </w:t>
      </w:r>
      <w:r>
        <w:rPr>
          <w:sz w:val="24"/>
        </w:rPr>
        <w:t>and</w:t>
      </w:r>
      <w:r>
        <w:rPr>
          <w:spacing w:val="-4"/>
          <w:sz w:val="24"/>
        </w:rPr>
        <w:t xml:space="preserve"> </w:t>
      </w:r>
      <w:r>
        <w:rPr>
          <w:sz w:val="24"/>
        </w:rPr>
        <w:t>projected</w:t>
      </w:r>
      <w:r>
        <w:rPr>
          <w:spacing w:val="-4"/>
          <w:sz w:val="24"/>
        </w:rPr>
        <w:t xml:space="preserve"> </w:t>
      </w:r>
      <w:r>
        <w:rPr>
          <w:sz w:val="24"/>
        </w:rPr>
        <w:t>risk</w:t>
      </w:r>
      <w:r>
        <w:rPr>
          <w:spacing w:val="-4"/>
          <w:sz w:val="24"/>
        </w:rPr>
        <w:t xml:space="preserve"> </w:t>
      </w:r>
      <w:r>
        <w:rPr>
          <w:sz w:val="24"/>
        </w:rPr>
        <w:t>factor</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non-DE# population, (including out-of-area members) in Section II (lines 1 and 4).</w:t>
      </w:r>
    </w:p>
    <w:p>
      <w:pPr>
        <w:pStyle w:val="ListParagraph"/>
        <w:numPr>
          <w:ilvl w:val="1"/>
          <w:numId w:val="48"/>
        </w:numPr>
        <w:tabs>
          <w:tab w:val="left" w:pos="1944"/>
        </w:tabs>
        <w:spacing w:before="1" w:after="0" w:line="240" w:lineRule="auto"/>
        <w:ind w:left="1944" w:right="1796" w:hanging="360"/>
        <w:jc w:val="left"/>
        <w:rPr>
          <w:sz w:val="24"/>
        </w:rPr>
      </w:pPr>
      <w:r>
        <w:rPr>
          <w:sz w:val="24"/>
        </w:rPr>
        <w:t>Projected</w:t>
      </w:r>
      <w:r>
        <w:rPr>
          <w:spacing w:val="-4"/>
          <w:sz w:val="24"/>
        </w:rPr>
        <w:t xml:space="preserve"> </w:t>
      </w:r>
      <w:r>
        <w:rPr>
          <w:sz w:val="24"/>
        </w:rPr>
        <w:t>member</w:t>
      </w:r>
      <w:r>
        <w:rPr>
          <w:spacing w:val="-6"/>
          <w:sz w:val="24"/>
        </w:rPr>
        <w:t xml:space="preserve"> </w:t>
      </w:r>
      <w:r>
        <w:rPr>
          <w:sz w:val="24"/>
        </w:rPr>
        <w:t>months</w:t>
      </w:r>
      <w:r>
        <w:rPr>
          <w:spacing w:val="-5"/>
          <w:sz w:val="24"/>
        </w:rPr>
        <w:t xml:space="preserve"> </w:t>
      </w:r>
      <w:r>
        <w:rPr>
          <w:sz w:val="24"/>
        </w:rPr>
        <w:t>and</w:t>
      </w:r>
      <w:r>
        <w:rPr>
          <w:spacing w:val="-4"/>
          <w:sz w:val="24"/>
        </w:rPr>
        <w:t xml:space="preserve"> </w:t>
      </w:r>
      <w:r>
        <w:rPr>
          <w:sz w:val="24"/>
        </w:rPr>
        <w:t>projected</w:t>
      </w:r>
      <w:r>
        <w:rPr>
          <w:spacing w:val="-3"/>
          <w:sz w:val="24"/>
        </w:rPr>
        <w:t xml:space="preserve"> </w:t>
      </w:r>
      <w:r>
        <w:rPr>
          <w:sz w:val="24"/>
        </w:rPr>
        <w:t>risk</w:t>
      </w:r>
      <w:r>
        <w:rPr>
          <w:spacing w:val="-4"/>
          <w:sz w:val="24"/>
        </w:rPr>
        <w:t xml:space="preserve"> </w:t>
      </w:r>
      <w:r>
        <w:rPr>
          <w:sz w:val="24"/>
        </w:rPr>
        <w:t>factors</w:t>
      </w:r>
      <w:r>
        <w:rPr>
          <w:spacing w:val="-5"/>
          <w:sz w:val="24"/>
        </w:rPr>
        <w:t xml:space="preserve"> </w:t>
      </w:r>
      <w:r>
        <w:rPr>
          <w:sz w:val="24"/>
        </w:rPr>
        <w:t>for</w:t>
      </w:r>
      <w:r>
        <w:rPr>
          <w:spacing w:val="-4"/>
          <w:sz w:val="24"/>
        </w:rPr>
        <w:t xml:space="preserve"> </w:t>
      </w:r>
      <w:r>
        <w:rPr>
          <w:sz w:val="24"/>
        </w:rPr>
        <w:t>out-of-area</w:t>
      </w:r>
      <w:r>
        <w:rPr>
          <w:spacing w:val="-5"/>
          <w:sz w:val="24"/>
        </w:rPr>
        <w:t xml:space="preserve"> </w:t>
      </w:r>
      <w:r>
        <w:rPr>
          <w:sz w:val="24"/>
        </w:rPr>
        <w:t>members (DE# plus non-DE#) in Section VI (line 38, columns e and f).</w:t>
      </w:r>
    </w:p>
    <w:p>
      <w:pPr>
        <w:pStyle w:val="ListParagraph"/>
        <w:numPr>
          <w:ilvl w:val="1"/>
          <w:numId w:val="48"/>
        </w:numPr>
        <w:tabs>
          <w:tab w:val="left" w:pos="1944"/>
        </w:tabs>
        <w:spacing w:before="0" w:after="0" w:line="240" w:lineRule="auto"/>
        <w:ind w:left="1944" w:right="1443" w:hanging="360"/>
        <w:jc w:val="left"/>
        <w:rPr>
          <w:sz w:val="24"/>
        </w:rPr>
      </w:pPr>
      <w:r>
        <w:rPr>
          <w:sz w:val="24"/>
        </w:rPr>
        <w:t>County-specific</w:t>
      </w:r>
      <w:r>
        <w:rPr>
          <w:spacing w:val="-5"/>
          <w:sz w:val="24"/>
        </w:rPr>
        <w:t xml:space="preserve"> </w:t>
      </w:r>
      <w:r>
        <w:rPr>
          <w:sz w:val="24"/>
        </w:rPr>
        <w:t>projected</w:t>
      </w:r>
      <w:r>
        <w:rPr>
          <w:spacing w:val="-4"/>
          <w:sz w:val="24"/>
        </w:rPr>
        <w:t xml:space="preserve"> </w:t>
      </w:r>
      <w:r>
        <w:rPr>
          <w:sz w:val="24"/>
        </w:rPr>
        <w:t>member</w:t>
      </w:r>
      <w:r>
        <w:rPr>
          <w:spacing w:val="-4"/>
          <w:sz w:val="24"/>
        </w:rPr>
        <w:t xml:space="preserve"> </w:t>
      </w:r>
      <w:r>
        <w:rPr>
          <w:sz w:val="24"/>
        </w:rPr>
        <w:t>months</w:t>
      </w:r>
      <w:r>
        <w:rPr>
          <w:spacing w:val="-5"/>
          <w:sz w:val="24"/>
        </w:rPr>
        <w:t xml:space="preserve"> </w:t>
      </w:r>
      <w:r>
        <w:rPr>
          <w:sz w:val="24"/>
        </w:rPr>
        <w:t>and</w:t>
      </w:r>
      <w:r>
        <w:rPr>
          <w:spacing w:val="-4"/>
          <w:sz w:val="24"/>
        </w:rPr>
        <w:t xml:space="preserve"> </w:t>
      </w:r>
      <w:r>
        <w:rPr>
          <w:sz w:val="24"/>
        </w:rPr>
        <w:t>projected</w:t>
      </w:r>
      <w:r>
        <w:rPr>
          <w:spacing w:val="-4"/>
          <w:sz w:val="24"/>
        </w:rPr>
        <w:t xml:space="preserve"> </w:t>
      </w:r>
      <w:r>
        <w:rPr>
          <w:sz w:val="24"/>
        </w:rPr>
        <w:t>risk</w:t>
      </w:r>
      <w:r>
        <w:rPr>
          <w:spacing w:val="-4"/>
          <w:sz w:val="24"/>
        </w:rPr>
        <w:t xml:space="preserve"> </w:t>
      </w:r>
      <w:r>
        <w:rPr>
          <w:sz w:val="24"/>
        </w:rPr>
        <w:t>factors</w:t>
      </w:r>
      <w:r>
        <w:rPr>
          <w:spacing w:val="-5"/>
          <w:sz w:val="24"/>
        </w:rPr>
        <w:t xml:space="preserve"> </w:t>
      </w:r>
      <w:r>
        <w:rPr>
          <w:sz w:val="24"/>
        </w:rPr>
        <w:t>for</w:t>
      </w:r>
      <w:r>
        <w:rPr>
          <w:spacing w:val="-4"/>
          <w:sz w:val="24"/>
        </w:rPr>
        <w:t xml:space="preserve"> </w:t>
      </w:r>
      <w:r>
        <w:rPr>
          <w:sz w:val="24"/>
        </w:rPr>
        <w:t>the</w:t>
      </w:r>
      <w:r>
        <w:rPr>
          <w:spacing w:val="-5"/>
          <w:sz w:val="24"/>
        </w:rPr>
        <w:t xml:space="preserve"> </w:t>
      </w:r>
      <w:r>
        <w:rPr>
          <w:sz w:val="24"/>
        </w:rPr>
        <w:t>total (DE# plus non-DE#) population, excluding out-of-area members, in Section VI (columns e and f) beginning in line 39.</w:t>
      </w:r>
    </w:p>
    <w:p>
      <w:pPr>
        <w:pStyle w:val="BodyText"/>
        <w:spacing w:before="120"/>
        <w:ind w:left="1584" w:right="1481"/>
      </w:pPr>
      <w:r>
        <w:t>In</w:t>
      </w:r>
      <w:r>
        <w:rPr>
          <w:spacing w:val="-4"/>
        </w:rPr>
        <w:t xml:space="preserve"> </w:t>
      </w:r>
      <w:r>
        <w:t>Section</w:t>
      </w:r>
      <w:r>
        <w:rPr>
          <w:spacing w:val="-2"/>
        </w:rPr>
        <w:t xml:space="preserve"> </w:t>
      </w:r>
      <w:r>
        <w:t>II,</w:t>
      </w:r>
      <w:r>
        <w:rPr>
          <w:spacing w:val="-4"/>
        </w:rPr>
        <w:t xml:space="preserve"> </w:t>
      </w:r>
      <w:r>
        <w:t>the</w:t>
      </w:r>
      <w:r>
        <w:rPr>
          <w:spacing w:val="-4"/>
        </w:rPr>
        <w:t xml:space="preserve"> </w:t>
      </w:r>
      <w:r>
        <w:t>BPT</w:t>
      </w:r>
      <w:r>
        <w:rPr>
          <w:spacing w:val="-3"/>
        </w:rPr>
        <w:t xml:space="preserve"> </w:t>
      </w:r>
      <w:r>
        <w:t>displays</w:t>
      </w:r>
      <w:r>
        <w:rPr>
          <w:spacing w:val="-5"/>
        </w:rPr>
        <w:t xml:space="preserve"> </w:t>
      </w:r>
      <w:r>
        <w:t>the</w:t>
      </w:r>
      <w:r>
        <w:rPr>
          <w:spacing w:val="-5"/>
        </w:rPr>
        <w:t xml:space="preserve"> </w:t>
      </w:r>
      <w:r>
        <w:t>total</w:t>
      </w:r>
      <w:r>
        <w:rPr>
          <w:spacing w:val="-4"/>
        </w:rPr>
        <w:t xml:space="preserve"> </w:t>
      </w:r>
      <w:r>
        <w:t>member</w:t>
      </w:r>
      <w:r>
        <w:rPr>
          <w:spacing w:val="-6"/>
        </w:rPr>
        <w:t xml:space="preserve"> </w:t>
      </w:r>
      <w:r>
        <w:t>months</w:t>
      </w:r>
      <w:r>
        <w:rPr>
          <w:spacing w:val="-5"/>
        </w:rPr>
        <w:t xml:space="preserve"> </w:t>
      </w:r>
      <w:r>
        <w:t>and</w:t>
      </w:r>
      <w:r>
        <w:rPr>
          <w:spacing w:val="-3"/>
        </w:rPr>
        <w:t xml:space="preserve"> </w:t>
      </w:r>
      <w:r>
        <w:t>membership/payment-weighted average risk factor for the total population based on the county-level information (including out-of-area). Values for the DE# population are calculated automatically from the values for the total and the non-DE# populations. The DE# risk factor default calculation may be overwritten by the user, for example, to take into account payments as well as member months.</w:t>
      </w:r>
    </w:p>
    <w:p>
      <w:pPr>
        <w:pStyle w:val="BodyText"/>
        <w:spacing w:before="121"/>
        <w:ind w:left="1584"/>
      </w:pPr>
      <w:r>
        <w:t>Considerations</w:t>
      </w:r>
      <w:r>
        <w:rPr>
          <w:spacing w:val="-3"/>
        </w:rPr>
        <w:t xml:space="preserve"> </w:t>
      </w:r>
      <w:r>
        <w:t>for</w:t>
      </w:r>
      <w:r>
        <w:rPr>
          <w:spacing w:val="-3"/>
        </w:rPr>
        <w:t xml:space="preserve"> </w:t>
      </w:r>
      <w:r>
        <w:t>developing</w:t>
      </w:r>
      <w:r>
        <w:rPr>
          <w:spacing w:val="-1"/>
        </w:rPr>
        <w:t xml:space="preserve"> </w:t>
      </w:r>
      <w:r>
        <w:t>projected</w:t>
      </w:r>
      <w:r>
        <w:rPr>
          <w:spacing w:val="-1"/>
        </w:rPr>
        <w:t xml:space="preserve"> </w:t>
      </w:r>
      <w:r>
        <w:t>member months</w:t>
      </w:r>
      <w:r>
        <w:rPr>
          <w:spacing w:val="-2"/>
        </w:rPr>
        <w:t xml:space="preserve"> </w:t>
      </w:r>
      <w:r>
        <w:t>include</w:t>
      </w:r>
      <w:r>
        <w:rPr>
          <w:spacing w:val="-1"/>
        </w:rPr>
        <w:t xml:space="preserve"> </w:t>
      </w:r>
      <w:r>
        <w:t>the</w:t>
      </w:r>
      <w:r>
        <w:rPr>
          <w:spacing w:val="-2"/>
        </w:rPr>
        <w:t xml:space="preserve"> following:</w:t>
      </w:r>
    </w:p>
    <w:p>
      <w:pPr>
        <w:pStyle w:val="ListParagraph"/>
        <w:numPr>
          <w:ilvl w:val="1"/>
          <w:numId w:val="48"/>
        </w:numPr>
        <w:tabs>
          <w:tab w:val="left" w:pos="1944"/>
        </w:tabs>
        <w:spacing w:before="120" w:after="0" w:line="240" w:lineRule="auto"/>
        <w:ind w:left="1944" w:right="1905" w:hanging="360"/>
        <w:jc w:val="left"/>
        <w:rPr>
          <w:sz w:val="24"/>
        </w:rPr>
      </w:pPr>
      <w:r>
        <w:rPr>
          <w:sz w:val="24"/>
        </w:rPr>
        <w:t>The</w:t>
      </w:r>
      <w:r>
        <w:rPr>
          <w:spacing w:val="-5"/>
          <w:sz w:val="24"/>
        </w:rPr>
        <w:t xml:space="preserve"> </w:t>
      </w:r>
      <w:r>
        <w:rPr>
          <w:sz w:val="24"/>
        </w:rPr>
        <w:t>user</w:t>
      </w:r>
      <w:r>
        <w:rPr>
          <w:spacing w:val="-3"/>
          <w:sz w:val="24"/>
        </w:rPr>
        <w:t xml:space="preserve"> </w:t>
      </w:r>
      <w:r>
        <w:rPr>
          <w:sz w:val="24"/>
        </w:rPr>
        <w:t>must</w:t>
      </w:r>
      <w:r>
        <w:rPr>
          <w:spacing w:val="-3"/>
          <w:sz w:val="24"/>
        </w:rPr>
        <w:t xml:space="preserve"> </w:t>
      </w:r>
      <w:r>
        <w:rPr>
          <w:sz w:val="24"/>
        </w:rPr>
        <w:t>not</w:t>
      </w:r>
      <w:r>
        <w:rPr>
          <w:spacing w:val="-3"/>
          <w:sz w:val="24"/>
        </w:rPr>
        <w:t xml:space="preserve"> </w:t>
      </w:r>
      <w:r>
        <w:rPr>
          <w:sz w:val="24"/>
        </w:rPr>
        <w:t>round</w:t>
      </w:r>
      <w:r>
        <w:rPr>
          <w:spacing w:val="-1"/>
          <w:sz w:val="24"/>
        </w:rPr>
        <w:t xml:space="preserve"> </w:t>
      </w:r>
      <w:r>
        <w:rPr>
          <w:sz w:val="24"/>
        </w:rPr>
        <w:t>projected</w:t>
      </w:r>
      <w:r>
        <w:rPr>
          <w:spacing w:val="-3"/>
          <w:sz w:val="24"/>
        </w:rPr>
        <w:t xml:space="preserve"> </w:t>
      </w:r>
      <w:r>
        <w:rPr>
          <w:sz w:val="24"/>
        </w:rPr>
        <w:t>non-DE#</w:t>
      </w:r>
      <w:r>
        <w:rPr>
          <w:spacing w:val="-4"/>
          <w:sz w:val="24"/>
        </w:rPr>
        <w:t xml:space="preserve"> </w:t>
      </w:r>
      <w:r>
        <w:rPr>
          <w:sz w:val="24"/>
        </w:rPr>
        <w:t>member</w:t>
      </w:r>
      <w:r>
        <w:rPr>
          <w:spacing w:val="-3"/>
          <w:sz w:val="24"/>
        </w:rPr>
        <w:t xml:space="preserve"> </w:t>
      </w:r>
      <w:r>
        <w:rPr>
          <w:sz w:val="24"/>
        </w:rPr>
        <w:t>months</w:t>
      </w:r>
      <w:r>
        <w:rPr>
          <w:spacing w:val="-4"/>
          <w:sz w:val="24"/>
        </w:rPr>
        <w:t xml:space="preserve"> </w:t>
      </w:r>
      <w:r>
        <w:rPr>
          <w:sz w:val="24"/>
        </w:rPr>
        <w:t>to</w:t>
      </w:r>
      <w:r>
        <w:rPr>
          <w:spacing w:val="-3"/>
          <w:sz w:val="24"/>
        </w:rPr>
        <w:t xml:space="preserve"> </w:t>
      </w:r>
      <w:r>
        <w:rPr>
          <w:sz w:val="24"/>
        </w:rPr>
        <w:t>0</w:t>
      </w:r>
      <w:r>
        <w:rPr>
          <w:spacing w:val="-2"/>
          <w:sz w:val="24"/>
        </w:rPr>
        <w:t xml:space="preserve"> </w:t>
      </w:r>
      <w:r>
        <w:rPr>
          <w:sz w:val="24"/>
        </w:rPr>
        <w:t>percent</w:t>
      </w:r>
      <w:r>
        <w:rPr>
          <w:spacing w:val="-3"/>
          <w:sz w:val="24"/>
        </w:rPr>
        <w:t xml:space="preserve"> </w:t>
      </w:r>
      <w:r>
        <w:rPr>
          <w:sz w:val="24"/>
        </w:rPr>
        <w:t>or 100 percent, even if non-DE# projected member months are less than</w:t>
      </w:r>
    </w:p>
    <w:p>
      <w:pPr>
        <w:pStyle w:val="BodyText"/>
        <w:ind w:left="1944"/>
      </w:pPr>
      <w:r>
        <w:t>10</w:t>
      </w:r>
      <w:r>
        <w:rPr>
          <w:spacing w:val="-1"/>
        </w:rPr>
        <w:t xml:space="preserve"> </w:t>
      </w:r>
      <w:r>
        <w:t>percent,</w:t>
      </w:r>
      <w:r>
        <w:rPr>
          <w:spacing w:val="-1"/>
        </w:rPr>
        <w:t xml:space="preserve"> </w:t>
      </w:r>
      <w:r>
        <w:t>or greater</w:t>
      </w:r>
      <w:r>
        <w:rPr>
          <w:spacing w:val="-3"/>
        </w:rPr>
        <w:t xml:space="preserve"> </w:t>
      </w:r>
      <w:r>
        <w:t>than</w:t>
      </w:r>
      <w:r>
        <w:rPr>
          <w:spacing w:val="-1"/>
        </w:rPr>
        <w:t xml:space="preserve"> </w:t>
      </w:r>
      <w:r>
        <w:t>90 percent,</w:t>
      </w:r>
      <w:r>
        <w:rPr>
          <w:spacing w:val="-1"/>
        </w:rPr>
        <w:t xml:space="preserve"> </w:t>
      </w:r>
      <w:r>
        <w:t>of</w:t>
      </w:r>
      <w:r>
        <w:rPr>
          <w:spacing w:val="-2"/>
        </w:rPr>
        <w:t xml:space="preserve"> </w:t>
      </w:r>
      <w:r>
        <w:t>total projected</w:t>
      </w:r>
      <w:r>
        <w:rPr>
          <w:spacing w:val="-1"/>
        </w:rPr>
        <w:t xml:space="preserve"> </w:t>
      </w:r>
      <w:r>
        <w:t xml:space="preserve">member </w:t>
      </w:r>
      <w:r>
        <w:rPr>
          <w:spacing w:val="-2"/>
        </w:rPr>
        <w:t>months.</w:t>
      </w:r>
    </w:p>
    <w:p>
      <w:pPr>
        <w:pStyle w:val="ListParagraph"/>
        <w:numPr>
          <w:ilvl w:val="1"/>
          <w:numId w:val="48"/>
        </w:numPr>
        <w:tabs>
          <w:tab w:val="left" w:pos="1944"/>
        </w:tabs>
        <w:spacing w:before="0" w:after="0" w:line="240" w:lineRule="auto"/>
        <w:ind w:left="1944" w:right="1488" w:hanging="360"/>
        <w:jc w:val="left"/>
        <w:rPr>
          <w:sz w:val="24"/>
        </w:rPr>
      </w:pPr>
      <w:r>
        <w:rPr>
          <w:sz w:val="24"/>
        </w:rPr>
        <w:t>CMS expects non-zero DE# projected member months when there are DE# members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base</w:t>
      </w:r>
      <w:r>
        <w:rPr>
          <w:spacing w:val="-4"/>
          <w:sz w:val="24"/>
        </w:rPr>
        <w:t xml:space="preserve"> </w:t>
      </w:r>
      <w:r>
        <w:rPr>
          <w:sz w:val="24"/>
        </w:rPr>
        <w:t>period.</w:t>
      </w:r>
      <w:r>
        <w:rPr>
          <w:spacing w:val="-3"/>
          <w:sz w:val="24"/>
        </w:rPr>
        <w:t xml:space="preserve"> </w:t>
      </w:r>
      <w:r>
        <w:rPr>
          <w:sz w:val="24"/>
        </w:rPr>
        <w:t>The</w:t>
      </w:r>
      <w:r>
        <w:rPr>
          <w:spacing w:val="-4"/>
          <w:sz w:val="24"/>
        </w:rPr>
        <w:t xml:space="preserve"> </w:t>
      </w:r>
      <w:r>
        <w:rPr>
          <w:sz w:val="24"/>
        </w:rPr>
        <w:t>DE#</w:t>
      </w:r>
      <w:r>
        <w:rPr>
          <w:spacing w:val="-3"/>
          <w:sz w:val="24"/>
        </w:rPr>
        <w:t xml:space="preserve"> </w:t>
      </w:r>
      <w:r>
        <w:rPr>
          <w:sz w:val="24"/>
        </w:rPr>
        <w:t>projected</w:t>
      </w:r>
      <w:r>
        <w:rPr>
          <w:spacing w:val="-3"/>
          <w:sz w:val="24"/>
        </w:rPr>
        <w:t xml:space="preserve"> </w:t>
      </w:r>
      <w:r>
        <w:rPr>
          <w:sz w:val="24"/>
        </w:rPr>
        <w:t>member</w:t>
      </w:r>
      <w:r>
        <w:rPr>
          <w:spacing w:val="-5"/>
          <w:sz w:val="24"/>
        </w:rPr>
        <w:t xml:space="preserve"> </w:t>
      </w:r>
      <w:r>
        <w:rPr>
          <w:sz w:val="24"/>
        </w:rPr>
        <w:t>months</w:t>
      </w:r>
      <w:r>
        <w:rPr>
          <w:spacing w:val="-4"/>
          <w:sz w:val="24"/>
        </w:rPr>
        <w:t xml:space="preserve"> </w:t>
      </w:r>
      <w:r>
        <w:rPr>
          <w:sz w:val="24"/>
        </w:rPr>
        <w:t>may</w:t>
      </w:r>
      <w:r>
        <w:rPr>
          <w:spacing w:val="-2"/>
          <w:sz w:val="24"/>
        </w:rPr>
        <w:t xml:space="preserve"> </w:t>
      </w:r>
      <w:r>
        <w:rPr>
          <w:sz w:val="24"/>
        </w:rPr>
        <w:t>equal</w:t>
      </w:r>
      <w:r>
        <w:rPr>
          <w:spacing w:val="-1"/>
          <w:sz w:val="24"/>
        </w:rPr>
        <w:t xml:space="preserve"> </w:t>
      </w:r>
      <w:r>
        <w:rPr>
          <w:sz w:val="24"/>
        </w:rPr>
        <w:t>zero (that is, the user may enter non-DE# projected member months equal to the member months for the total population) only if—</w:t>
      </w:r>
    </w:p>
    <w:p>
      <w:pPr>
        <w:pStyle w:val="ListParagraph"/>
        <w:numPr>
          <w:ilvl w:val="2"/>
          <w:numId w:val="48"/>
        </w:numPr>
        <w:tabs>
          <w:tab w:val="left" w:pos="2304"/>
        </w:tabs>
        <w:spacing w:before="0" w:after="0" w:line="240" w:lineRule="auto"/>
        <w:ind w:left="2304" w:right="1529" w:hanging="360"/>
        <w:jc w:val="left"/>
        <w:rPr>
          <w:sz w:val="24"/>
        </w:rPr>
      </w:pPr>
      <w:r>
        <w:rPr>
          <w:sz w:val="24"/>
        </w:rPr>
        <w:t>All</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existing</w:t>
      </w:r>
      <w:r>
        <w:rPr>
          <w:spacing w:val="-4"/>
          <w:sz w:val="24"/>
        </w:rPr>
        <w:t xml:space="preserve"> </w:t>
      </w:r>
      <w:r>
        <w:rPr>
          <w:sz w:val="24"/>
        </w:rPr>
        <w:t>DE#</w:t>
      </w:r>
      <w:r>
        <w:rPr>
          <w:spacing w:val="-4"/>
          <w:sz w:val="24"/>
        </w:rPr>
        <w:t xml:space="preserve"> </w:t>
      </w:r>
      <w:r>
        <w:rPr>
          <w:sz w:val="24"/>
        </w:rPr>
        <w:t>members</w:t>
      </w:r>
      <w:r>
        <w:rPr>
          <w:spacing w:val="-5"/>
          <w:sz w:val="24"/>
        </w:rPr>
        <w:t xml:space="preserve"> </w:t>
      </w:r>
      <w:r>
        <w:rPr>
          <w:sz w:val="24"/>
        </w:rPr>
        <w:t>terminated</w:t>
      </w:r>
      <w:r>
        <w:rPr>
          <w:spacing w:val="-3"/>
          <w:sz w:val="24"/>
        </w:rPr>
        <w:t xml:space="preserve"> </w:t>
      </w:r>
      <w:r>
        <w:rPr>
          <w:sz w:val="24"/>
        </w:rPr>
        <w:t>and</w:t>
      </w:r>
      <w:r>
        <w:rPr>
          <w:spacing w:val="-2"/>
          <w:sz w:val="24"/>
        </w:rPr>
        <w:t xml:space="preserve"> </w:t>
      </w:r>
      <w:r>
        <w:rPr>
          <w:sz w:val="24"/>
        </w:rPr>
        <w:t>the</w:t>
      </w:r>
      <w:r>
        <w:rPr>
          <w:spacing w:val="-4"/>
          <w:sz w:val="24"/>
        </w:rPr>
        <w:t xml:space="preserve"> </w:t>
      </w:r>
      <w:r>
        <w:rPr>
          <w:sz w:val="24"/>
        </w:rPr>
        <w:t>probability</w:t>
      </w:r>
      <w:r>
        <w:rPr>
          <w:spacing w:val="-4"/>
          <w:sz w:val="24"/>
        </w:rPr>
        <w:t xml:space="preserve"> </w:t>
      </w:r>
      <w:r>
        <w:rPr>
          <w:sz w:val="24"/>
        </w:rPr>
        <w:t>of</w:t>
      </w:r>
      <w:r>
        <w:rPr>
          <w:spacing w:val="-4"/>
          <w:sz w:val="24"/>
        </w:rPr>
        <w:t xml:space="preserve"> </w:t>
      </w:r>
      <w:r>
        <w:rPr>
          <w:sz w:val="24"/>
        </w:rPr>
        <w:t>enrolling DE# members equals zero; and</w:t>
      </w:r>
    </w:p>
    <w:p>
      <w:pPr>
        <w:pStyle w:val="ListParagraph"/>
        <w:numPr>
          <w:ilvl w:val="2"/>
          <w:numId w:val="48"/>
        </w:numPr>
        <w:tabs>
          <w:tab w:val="left" w:pos="2304"/>
        </w:tabs>
        <w:spacing w:before="0" w:after="0" w:line="240" w:lineRule="auto"/>
        <w:ind w:left="2304" w:right="2485" w:hanging="360"/>
        <w:jc w:val="left"/>
        <w:rPr>
          <w:sz w:val="24"/>
        </w:rPr>
      </w:pPr>
      <w:r>
        <w:rPr>
          <w:sz w:val="24"/>
        </w:rPr>
        <w:t>The</w:t>
      </w:r>
      <w:r>
        <w:rPr>
          <w:spacing w:val="-7"/>
          <w:sz w:val="24"/>
        </w:rPr>
        <w:t xml:space="preserve"> </w:t>
      </w:r>
      <w:r>
        <w:rPr>
          <w:sz w:val="24"/>
        </w:rPr>
        <w:t>certifying</w:t>
      </w:r>
      <w:r>
        <w:rPr>
          <w:spacing w:val="-5"/>
          <w:sz w:val="24"/>
        </w:rPr>
        <w:t xml:space="preserve"> </w:t>
      </w:r>
      <w:r>
        <w:rPr>
          <w:sz w:val="24"/>
        </w:rPr>
        <w:t>actuary</w:t>
      </w:r>
      <w:r>
        <w:rPr>
          <w:spacing w:val="-3"/>
          <w:sz w:val="24"/>
        </w:rPr>
        <w:t xml:space="preserve"> </w:t>
      </w:r>
      <w:r>
        <w:rPr>
          <w:sz w:val="24"/>
        </w:rPr>
        <w:t>adequately</w:t>
      </w:r>
      <w:r>
        <w:rPr>
          <w:spacing w:val="-5"/>
          <w:sz w:val="24"/>
        </w:rPr>
        <w:t xml:space="preserve"> </w:t>
      </w:r>
      <w:r>
        <w:rPr>
          <w:sz w:val="24"/>
        </w:rPr>
        <w:t>explains</w:t>
      </w:r>
      <w:r>
        <w:rPr>
          <w:spacing w:val="-6"/>
          <w:sz w:val="24"/>
        </w:rPr>
        <w:t xml:space="preserve"> </w:t>
      </w:r>
      <w:r>
        <w:rPr>
          <w:sz w:val="24"/>
        </w:rPr>
        <w:t>why</w:t>
      </w:r>
      <w:r>
        <w:rPr>
          <w:spacing w:val="-5"/>
          <w:sz w:val="24"/>
        </w:rPr>
        <w:t xml:space="preserve"> </w:t>
      </w:r>
      <w:r>
        <w:rPr>
          <w:sz w:val="24"/>
        </w:rPr>
        <w:t>the</w:t>
      </w:r>
      <w:r>
        <w:rPr>
          <w:spacing w:val="-6"/>
          <w:sz w:val="24"/>
        </w:rPr>
        <w:t xml:space="preserve"> </w:t>
      </w:r>
      <w:r>
        <w:rPr>
          <w:sz w:val="24"/>
        </w:rPr>
        <w:t>DE#</w:t>
      </w:r>
      <w:r>
        <w:rPr>
          <w:spacing w:val="-5"/>
          <w:sz w:val="24"/>
        </w:rPr>
        <w:t xml:space="preserve"> </w:t>
      </w:r>
      <w:r>
        <w:rPr>
          <w:sz w:val="24"/>
        </w:rPr>
        <w:t>projected membership equals zero; and</w:t>
      </w:r>
    </w:p>
    <w:p>
      <w:pPr>
        <w:pStyle w:val="ListParagraph"/>
        <w:numPr>
          <w:ilvl w:val="2"/>
          <w:numId w:val="48"/>
        </w:numPr>
        <w:tabs>
          <w:tab w:val="left" w:pos="2304"/>
        </w:tabs>
        <w:spacing w:before="1" w:after="0" w:line="240" w:lineRule="auto"/>
        <w:ind w:left="2304" w:right="1606" w:hanging="360"/>
        <w:jc w:val="left"/>
        <w:rPr>
          <w:sz w:val="24"/>
        </w:rPr>
      </w:pPr>
      <w:r>
        <w:rPr>
          <w:sz w:val="24"/>
        </w:rPr>
        <w:t>The</w:t>
      </w:r>
      <w:r>
        <w:rPr>
          <w:spacing w:val="-5"/>
          <w:sz w:val="24"/>
        </w:rPr>
        <w:t xml:space="preserve"> </w:t>
      </w:r>
      <w:r>
        <w:rPr>
          <w:sz w:val="24"/>
        </w:rPr>
        <w:t>user</w:t>
      </w:r>
      <w:r>
        <w:rPr>
          <w:spacing w:val="-3"/>
          <w:sz w:val="24"/>
        </w:rPr>
        <w:t xml:space="preserve"> </w:t>
      </w:r>
      <w:r>
        <w:rPr>
          <w:sz w:val="24"/>
        </w:rPr>
        <w:t>enters</w:t>
      </w:r>
      <w:r>
        <w:rPr>
          <w:spacing w:val="-4"/>
          <w:sz w:val="24"/>
        </w:rPr>
        <w:t xml:space="preserve"> </w:t>
      </w:r>
      <w:r>
        <w:rPr>
          <w:sz w:val="24"/>
        </w:rPr>
        <w:t>non-DE#</w:t>
      </w:r>
      <w:r>
        <w:rPr>
          <w:spacing w:val="-3"/>
          <w:sz w:val="24"/>
        </w:rPr>
        <w:t xml:space="preserve"> </w:t>
      </w:r>
      <w:r>
        <w:rPr>
          <w:sz w:val="24"/>
        </w:rPr>
        <w:t>projected</w:t>
      </w:r>
      <w:r>
        <w:rPr>
          <w:spacing w:val="-3"/>
          <w:sz w:val="24"/>
        </w:rPr>
        <w:t xml:space="preserve"> </w:t>
      </w:r>
      <w:r>
        <w:rPr>
          <w:sz w:val="24"/>
        </w:rPr>
        <w:t>member</w:t>
      </w:r>
      <w:r>
        <w:rPr>
          <w:spacing w:val="-3"/>
          <w:sz w:val="24"/>
        </w:rPr>
        <w:t xml:space="preserve"> </w:t>
      </w:r>
      <w:r>
        <w:rPr>
          <w:sz w:val="24"/>
        </w:rPr>
        <w:t>months</w:t>
      </w:r>
      <w:r>
        <w:rPr>
          <w:spacing w:val="-4"/>
          <w:sz w:val="24"/>
        </w:rPr>
        <w:t xml:space="preserve"> </w:t>
      </w:r>
      <w:r>
        <w:rPr>
          <w:sz w:val="24"/>
        </w:rPr>
        <w:t>and</w:t>
      </w:r>
      <w:r>
        <w:rPr>
          <w:spacing w:val="-3"/>
          <w:sz w:val="24"/>
        </w:rPr>
        <w:t xml:space="preserve"> </w:t>
      </w:r>
      <w:r>
        <w:rPr>
          <w:sz w:val="24"/>
        </w:rPr>
        <w:t>risk</w:t>
      </w:r>
      <w:r>
        <w:rPr>
          <w:spacing w:val="-2"/>
          <w:sz w:val="24"/>
        </w:rPr>
        <w:t xml:space="preserve"> </w:t>
      </w:r>
      <w:r>
        <w:rPr>
          <w:sz w:val="24"/>
        </w:rPr>
        <w:t>factor</w:t>
      </w:r>
      <w:r>
        <w:rPr>
          <w:spacing w:val="-4"/>
          <w:sz w:val="24"/>
        </w:rPr>
        <w:t xml:space="preserve"> </w:t>
      </w:r>
      <w:r>
        <w:rPr>
          <w:sz w:val="24"/>
        </w:rPr>
        <w:t>equal</w:t>
      </w:r>
      <w:r>
        <w:rPr>
          <w:spacing w:val="-3"/>
          <w:sz w:val="24"/>
        </w:rPr>
        <w:t xml:space="preserve"> </w:t>
      </w:r>
      <w:r>
        <w:rPr>
          <w:sz w:val="24"/>
        </w:rPr>
        <w:t>to the corresponding values for the total population.</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BodyText"/>
        <w:ind w:left="1584"/>
        <w:jc w:val="both"/>
      </w:pPr>
      <w:r>
        <w:t>Non-DE#</w:t>
      </w:r>
      <w:r>
        <w:rPr>
          <w:spacing w:val="-2"/>
        </w:rPr>
        <w:t xml:space="preserve"> </w:t>
      </w:r>
      <w:r>
        <w:t>and</w:t>
      </w:r>
      <w:r>
        <w:rPr>
          <w:spacing w:val="-1"/>
        </w:rPr>
        <w:t xml:space="preserve"> </w:t>
      </w:r>
      <w:r>
        <w:t>DE#</w:t>
      </w:r>
      <w:r>
        <w:rPr>
          <w:spacing w:val="-1"/>
        </w:rPr>
        <w:t xml:space="preserve"> </w:t>
      </w:r>
      <w:r>
        <w:t>projected</w:t>
      </w:r>
      <w:r>
        <w:rPr>
          <w:spacing w:val="-1"/>
        </w:rPr>
        <w:t xml:space="preserve"> </w:t>
      </w:r>
      <w:r>
        <w:t>risk</w:t>
      </w:r>
      <w:r>
        <w:rPr>
          <w:spacing w:val="-1"/>
        </w:rPr>
        <w:t xml:space="preserve"> </w:t>
      </w:r>
      <w:r>
        <w:t>factors</w:t>
      </w:r>
      <w:r>
        <w:rPr>
          <w:spacing w:val="-1"/>
        </w:rPr>
        <w:t xml:space="preserve"> </w:t>
      </w:r>
      <w:r>
        <w:t>are</w:t>
      </w:r>
      <w:r>
        <w:rPr>
          <w:spacing w:val="-2"/>
        </w:rPr>
        <w:t xml:space="preserve"> </w:t>
      </w:r>
      <w:r>
        <w:t>determined</w:t>
      </w:r>
      <w:r>
        <w:rPr>
          <w:spacing w:val="-1"/>
        </w:rPr>
        <w:t xml:space="preserve"> </w:t>
      </w:r>
      <w:r>
        <w:t>as</w:t>
      </w:r>
      <w:r>
        <w:rPr>
          <w:spacing w:val="-2"/>
        </w:rPr>
        <w:t xml:space="preserve"> follows:</w:t>
      </w:r>
    </w:p>
    <w:p>
      <w:pPr>
        <w:pStyle w:val="ListParagraph"/>
        <w:numPr>
          <w:ilvl w:val="1"/>
          <w:numId w:val="48"/>
        </w:numPr>
        <w:tabs>
          <w:tab w:val="left" w:pos="1944"/>
        </w:tabs>
        <w:spacing w:before="120" w:after="0" w:line="240" w:lineRule="auto"/>
        <w:ind w:left="1944" w:right="1714" w:hanging="360"/>
        <w:jc w:val="both"/>
        <w:rPr>
          <w:sz w:val="24"/>
        </w:rPr>
      </w:pPr>
      <w:r>
        <w:rPr>
          <w:sz w:val="24"/>
        </w:rPr>
        <w:t>If</w:t>
      </w:r>
      <w:r>
        <w:rPr>
          <w:spacing w:val="-5"/>
          <w:sz w:val="24"/>
        </w:rPr>
        <w:t xml:space="preserve"> </w:t>
      </w:r>
      <w:r>
        <w:rPr>
          <w:sz w:val="24"/>
        </w:rPr>
        <w:t>the</w:t>
      </w:r>
      <w:r>
        <w:rPr>
          <w:spacing w:val="-3"/>
          <w:sz w:val="24"/>
        </w:rPr>
        <w:t xml:space="preserve"> </w:t>
      </w:r>
      <w:r>
        <w:rPr>
          <w:sz w:val="24"/>
        </w:rPr>
        <w:t>projected</w:t>
      </w:r>
      <w:r>
        <w:rPr>
          <w:spacing w:val="-3"/>
          <w:sz w:val="24"/>
        </w:rPr>
        <w:t xml:space="preserve"> </w:t>
      </w:r>
      <w:r>
        <w:rPr>
          <w:sz w:val="24"/>
        </w:rPr>
        <w:t>allowed</w:t>
      </w:r>
      <w:r>
        <w:rPr>
          <w:spacing w:val="-1"/>
          <w:sz w:val="24"/>
        </w:rPr>
        <w:t xml:space="preserve"> </w:t>
      </w:r>
      <w:r>
        <w:rPr>
          <w:sz w:val="24"/>
        </w:rPr>
        <w:t>costs</w:t>
      </w:r>
      <w:r>
        <w:rPr>
          <w:spacing w:val="-3"/>
          <w:sz w:val="24"/>
        </w:rPr>
        <w:t xml:space="preserve"> </w:t>
      </w:r>
      <w:r>
        <w:rPr>
          <w:sz w:val="24"/>
        </w:rPr>
        <w:t>in</w:t>
      </w:r>
      <w:r>
        <w:rPr>
          <w:spacing w:val="-1"/>
          <w:sz w:val="24"/>
        </w:rPr>
        <w:t xml:space="preserve"> </w:t>
      </w:r>
      <w:r>
        <w:rPr>
          <w:sz w:val="24"/>
        </w:rPr>
        <w:t>Worksheet</w:t>
      </w:r>
      <w:r>
        <w:rPr>
          <w:spacing w:val="-3"/>
          <w:sz w:val="24"/>
        </w:rPr>
        <w:t xml:space="preserve"> </w:t>
      </w:r>
      <w:r>
        <w:rPr>
          <w:sz w:val="24"/>
        </w:rPr>
        <w:t>2</w:t>
      </w:r>
      <w:r>
        <w:rPr>
          <w:spacing w:val="-3"/>
          <w:sz w:val="24"/>
        </w:rPr>
        <w:t xml:space="preserve"> </w:t>
      </w:r>
      <w:r>
        <w:rPr>
          <w:sz w:val="24"/>
        </w:rPr>
        <w:t>for</w:t>
      </w:r>
      <w:r>
        <w:rPr>
          <w:spacing w:val="-5"/>
          <w:sz w:val="24"/>
        </w:rPr>
        <w:t xml:space="preserve"> </w:t>
      </w:r>
      <w:r>
        <w:rPr>
          <w:sz w:val="24"/>
        </w:rPr>
        <w:t>the</w:t>
      </w:r>
      <w:r>
        <w:rPr>
          <w:spacing w:val="-4"/>
          <w:sz w:val="24"/>
        </w:rPr>
        <w:t xml:space="preserve"> </w:t>
      </w:r>
      <w:r>
        <w:rPr>
          <w:sz w:val="24"/>
        </w:rPr>
        <w:t>total,</w:t>
      </w:r>
      <w:r>
        <w:rPr>
          <w:spacing w:val="-3"/>
          <w:sz w:val="24"/>
        </w:rPr>
        <w:t xml:space="preserve"> </w:t>
      </w:r>
      <w:r>
        <w:rPr>
          <w:sz w:val="24"/>
        </w:rPr>
        <w:t>DE#,</w:t>
      </w:r>
      <w:r>
        <w:rPr>
          <w:spacing w:val="-3"/>
          <w:sz w:val="24"/>
        </w:rPr>
        <w:t xml:space="preserve"> </w:t>
      </w:r>
      <w:r>
        <w:rPr>
          <w:sz w:val="24"/>
        </w:rPr>
        <w:t>and</w:t>
      </w:r>
      <w:r>
        <w:rPr>
          <w:spacing w:val="-3"/>
          <w:sz w:val="24"/>
        </w:rPr>
        <w:t xml:space="preserve"> </w:t>
      </w:r>
      <w:r>
        <w:rPr>
          <w:sz w:val="24"/>
        </w:rPr>
        <w:t>non-DE# populations</w:t>
      </w:r>
      <w:r>
        <w:rPr>
          <w:spacing w:val="-3"/>
          <w:sz w:val="24"/>
        </w:rPr>
        <w:t xml:space="preserve"> </w:t>
      </w:r>
      <w:r>
        <w:rPr>
          <w:sz w:val="24"/>
        </w:rPr>
        <w:t>are</w:t>
      </w:r>
      <w:r>
        <w:rPr>
          <w:spacing w:val="-3"/>
          <w:sz w:val="24"/>
        </w:rPr>
        <w:t xml:space="preserve"> </w:t>
      </w:r>
      <w:r>
        <w:rPr>
          <w:sz w:val="24"/>
        </w:rPr>
        <w:t>not</w:t>
      </w:r>
      <w:r>
        <w:rPr>
          <w:spacing w:val="-2"/>
          <w:sz w:val="24"/>
        </w:rPr>
        <w:t xml:space="preserve"> </w:t>
      </w:r>
      <w:r>
        <w:rPr>
          <w:sz w:val="24"/>
        </w:rPr>
        <w:t>all</w:t>
      </w:r>
      <w:r>
        <w:rPr>
          <w:spacing w:val="-2"/>
          <w:sz w:val="24"/>
        </w:rPr>
        <w:t xml:space="preserve"> </w:t>
      </w:r>
      <w:r>
        <w:rPr>
          <w:sz w:val="24"/>
        </w:rPr>
        <w:t>equal,</w:t>
      </w:r>
      <w:r>
        <w:rPr>
          <w:spacing w:val="-2"/>
          <w:sz w:val="24"/>
        </w:rPr>
        <w:t xml:space="preserve"> </w:t>
      </w:r>
      <w:r>
        <w:rPr>
          <w:sz w:val="24"/>
        </w:rPr>
        <w:t>the</w:t>
      </w:r>
      <w:r>
        <w:rPr>
          <w:spacing w:val="-3"/>
          <w:sz w:val="24"/>
        </w:rPr>
        <w:t xml:space="preserve"> </w:t>
      </w:r>
      <w:r>
        <w:rPr>
          <w:sz w:val="24"/>
        </w:rPr>
        <w:t>user</w:t>
      </w:r>
      <w:r>
        <w:rPr>
          <w:spacing w:val="-2"/>
          <w:sz w:val="24"/>
        </w:rPr>
        <w:t xml:space="preserve"> </w:t>
      </w:r>
      <w:r>
        <w:rPr>
          <w:sz w:val="24"/>
        </w:rPr>
        <w:t>must</w:t>
      </w:r>
      <w:r>
        <w:rPr>
          <w:spacing w:val="-2"/>
          <w:sz w:val="24"/>
        </w:rPr>
        <w:t xml:space="preserve"> </w:t>
      </w:r>
      <w:r>
        <w:rPr>
          <w:sz w:val="24"/>
        </w:rPr>
        <w:t>enter</w:t>
      </w:r>
      <w:r>
        <w:rPr>
          <w:spacing w:val="-1"/>
          <w:sz w:val="24"/>
        </w:rPr>
        <w:t xml:space="preserve"> </w:t>
      </w:r>
      <w:r>
        <w:rPr>
          <w:sz w:val="24"/>
        </w:rPr>
        <w:t>a</w:t>
      </w:r>
      <w:r>
        <w:rPr>
          <w:spacing w:val="-1"/>
          <w:sz w:val="24"/>
        </w:rPr>
        <w:t xml:space="preserve"> </w:t>
      </w:r>
      <w:r>
        <w:rPr>
          <w:sz w:val="24"/>
        </w:rPr>
        <w:t>distinct</w:t>
      </w:r>
      <w:r>
        <w:rPr>
          <w:spacing w:val="-2"/>
          <w:sz w:val="24"/>
        </w:rPr>
        <w:t xml:space="preserve"> </w:t>
      </w:r>
      <w:r>
        <w:rPr>
          <w:sz w:val="24"/>
        </w:rPr>
        <w:t>non-DE#</w:t>
      </w:r>
      <w:r>
        <w:rPr>
          <w:spacing w:val="-2"/>
          <w:sz w:val="24"/>
        </w:rPr>
        <w:t xml:space="preserve"> </w:t>
      </w:r>
      <w:r>
        <w:rPr>
          <w:sz w:val="24"/>
        </w:rPr>
        <w:t>projected risk factor.</w:t>
      </w:r>
    </w:p>
    <w:p>
      <w:pPr>
        <w:pStyle w:val="ListParagraph"/>
        <w:numPr>
          <w:ilvl w:val="1"/>
          <w:numId w:val="48"/>
        </w:numPr>
        <w:tabs>
          <w:tab w:val="left" w:pos="1944"/>
        </w:tabs>
        <w:spacing w:before="0" w:after="0" w:line="240" w:lineRule="auto"/>
        <w:ind w:left="1944" w:right="1714" w:hanging="360"/>
        <w:jc w:val="left"/>
        <w:rPr>
          <w:sz w:val="24"/>
        </w:rPr>
      </w:pPr>
      <w:r>
        <w:rPr>
          <w:sz w:val="24"/>
        </w:rPr>
        <w:t>If</w:t>
      </w:r>
      <w:r>
        <w:rPr>
          <w:spacing w:val="-5"/>
          <w:sz w:val="24"/>
        </w:rPr>
        <w:t xml:space="preserve"> </w:t>
      </w:r>
      <w:r>
        <w:rPr>
          <w:sz w:val="24"/>
        </w:rPr>
        <w:t>the</w:t>
      </w:r>
      <w:r>
        <w:rPr>
          <w:spacing w:val="-3"/>
          <w:sz w:val="24"/>
        </w:rPr>
        <w:t xml:space="preserve"> </w:t>
      </w:r>
      <w:r>
        <w:rPr>
          <w:sz w:val="24"/>
        </w:rPr>
        <w:t>projected</w:t>
      </w:r>
      <w:r>
        <w:rPr>
          <w:spacing w:val="-3"/>
          <w:sz w:val="24"/>
        </w:rPr>
        <w:t xml:space="preserve"> </w:t>
      </w:r>
      <w:r>
        <w:rPr>
          <w:sz w:val="24"/>
        </w:rPr>
        <w:t>allowed</w:t>
      </w:r>
      <w:r>
        <w:rPr>
          <w:spacing w:val="-1"/>
          <w:sz w:val="24"/>
        </w:rPr>
        <w:t xml:space="preserve"> </w:t>
      </w:r>
      <w:r>
        <w:rPr>
          <w:sz w:val="24"/>
        </w:rPr>
        <w:t>costs</w:t>
      </w:r>
      <w:r>
        <w:rPr>
          <w:spacing w:val="-3"/>
          <w:sz w:val="24"/>
        </w:rPr>
        <w:t xml:space="preserve"> </w:t>
      </w:r>
      <w:r>
        <w:rPr>
          <w:sz w:val="24"/>
        </w:rPr>
        <w:t>in</w:t>
      </w:r>
      <w:r>
        <w:rPr>
          <w:spacing w:val="-1"/>
          <w:sz w:val="24"/>
        </w:rPr>
        <w:t xml:space="preserve"> </w:t>
      </w:r>
      <w:r>
        <w:rPr>
          <w:sz w:val="24"/>
        </w:rPr>
        <w:t>Worksheet</w:t>
      </w:r>
      <w:r>
        <w:rPr>
          <w:spacing w:val="-3"/>
          <w:sz w:val="24"/>
        </w:rPr>
        <w:t xml:space="preserve"> </w:t>
      </w:r>
      <w:r>
        <w:rPr>
          <w:sz w:val="24"/>
        </w:rPr>
        <w:t>2</w:t>
      </w:r>
      <w:r>
        <w:rPr>
          <w:spacing w:val="-3"/>
          <w:sz w:val="24"/>
        </w:rPr>
        <w:t xml:space="preserve"> </w:t>
      </w:r>
      <w:r>
        <w:rPr>
          <w:sz w:val="24"/>
        </w:rPr>
        <w:t>for</w:t>
      </w:r>
      <w:r>
        <w:rPr>
          <w:spacing w:val="-5"/>
          <w:sz w:val="24"/>
        </w:rPr>
        <w:t xml:space="preserve"> </w:t>
      </w:r>
      <w:r>
        <w:rPr>
          <w:sz w:val="24"/>
        </w:rPr>
        <w:t>the</w:t>
      </w:r>
      <w:r>
        <w:rPr>
          <w:spacing w:val="-4"/>
          <w:sz w:val="24"/>
        </w:rPr>
        <w:t xml:space="preserve"> </w:t>
      </w:r>
      <w:r>
        <w:rPr>
          <w:sz w:val="24"/>
        </w:rPr>
        <w:t>total,</w:t>
      </w:r>
      <w:r>
        <w:rPr>
          <w:spacing w:val="-3"/>
          <w:sz w:val="24"/>
        </w:rPr>
        <w:t xml:space="preserve"> </w:t>
      </w:r>
      <w:r>
        <w:rPr>
          <w:sz w:val="24"/>
        </w:rPr>
        <w:t>DE#,</w:t>
      </w:r>
      <w:r>
        <w:rPr>
          <w:spacing w:val="-3"/>
          <w:sz w:val="24"/>
        </w:rPr>
        <w:t xml:space="preserve"> </w:t>
      </w:r>
      <w:r>
        <w:rPr>
          <w:sz w:val="24"/>
        </w:rPr>
        <w:t>and</w:t>
      </w:r>
      <w:r>
        <w:rPr>
          <w:spacing w:val="-3"/>
          <w:sz w:val="24"/>
        </w:rPr>
        <w:t xml:space="preserve"> </w:t>
      </w:r>
      <w:r>
        <w:rPr>
          <w:sz w:val="24"/>
        </w:rPr>
        <w:t>non-DE# populations are all equal, the user must enter a projected risk factor for the non-DE#</w:t>
      </w:r>
      <w:r>
        <w:rPr>
          <w:spacing w:val="-1"/>
          <w:sz w:val="24"/>
        </w:rPr>
        <w:t xml:space="preserve"> </w:t>
      </w:r>
      <w:r>
        <w:rPr>
          <w:sz w:val="24"/>
        </w:rPr>
        <w:t>population</w:t>
      </w:r>
      <w:r>
        <w:rPr>
          <w:spacing w:val="-1"/>
          <w:sz w:val="24"/>
        </w:rPr>
        <w:t xml:space="preserve"> </w:t>
      </w:r>
      <w:r>
        <w:rPr>
          <w:sz w:val="24"/>
        </w:rPr>
        <w:t>equal</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projected risk</w:t>
      </w:r>
      <w:r>
        <w:rPr>
          <w:spacing w:val="-1"/>
          <w:sz w:val="24"/>
        </w:rPr>
        <w:t xml:space="preserve"> </w:t>
      </w:r>
      <w:r>
        <w:rPr>
          <w:sz w:val="24"/>
        </w:rPr>
        <w:t>factor for</w:t>
      </w:r>
      <w:r>
        <w:rPr>
          <w:spacing w:val="-3"/>
          <w:sz w:val="24"/>
        </w:rPr>
        <w:t xml:space="preserve"> </w:t>
      </w:r>
      <w:r>
        <w:rPr>
          <w:sz w:val="24"/>
        </w:rPr>
        <w:t>the</w:t>
      </w:r>
      <w:r>
        <w:rPr>
          <w:spacing w:val="-1"/>
          <w:sz w:val="24"/>
        </w:rPr>
        <w:t xml:space="preserve"> </w:t>
      </w:r>
      <w:r>
        <w:rPr>
          <w:sz w:val="24"/>
        </w:rPr>
        <w:t>total</w:t>
      </w:r>
      <w:r>
        <w:rPr>
          <w:spacing w:val="-1"/>
          <w:sz w:val="24"/>
        </w:rPr>
        <w:t xml:space="preserve"> </w:t>
      </w:r>
      <w:r>
        <w:rPr>
          <w:sz w:val="24"/>
        </w:rPr>
        <w:t>population.</w:t>
      </w:r>
    </w:p>
    <w:p>
      <w:pPr>
        <w:spacing w:before="241"/>
        <w:ind w:left="504" w:right="0" w:firstLine="0"/>
        <w:jc w:val="left"/>
        <w:rPr>
          <w:rFonts w:ascii="Arial"/>
          <w:b/>
          <w:sz w:val="21"/>
        </w:rPr>
      </w:pPr>
      <w:bookmarkStart w:id="56" w:name="Employer/Union Groups"/>
      <w:bookmarkEnd w:id="56"/>
      <w:bookmarkStart w:id="57" w:name="_bookmark18"/>
      <w:bookmarkEnd w:id="57"/>
      <w:r>
        <w:rPr>
          <w:rFonts w:ascii="Arial"/>
          <w:b/>
          <w:sz w:val="21"/>
        </w:rPr>
        <w:t>Employer/Union</w:t>
      </w:r>
      <w:r>
        <w:rPr>
          <w:rFonts w:ascii="Arial"/>
          <w:b/>
          <w:spacing w:val="-13"/>
          <w:sz w:val="21"/>
        </w:rPr>
        <w:t xml:space="preserve"> </w:t>
      </w:r>
      <w:r>
        <w:rPr>
          <w:rFonts w:ascii="Arial"/>
          <w:b/>
          <w:spacing w:val="-2"/>
          <w:sz w:val="21"/>
        </w:rPr>
        <w:t>Groups</w:t>
      </w:r>
    </w:p>
    <w:p>
      <w:pPr>
        <w:pStyle w:val="BodyText"/>
        <w:spacing w:before="120"/>
        <w:ind w:right="1481"/>
      </w:pPr>
      <w:r>
        <w:t>An</w:t>
      </w:r>
      <w:r>
        <w:rPr>
          <w:spacing w:val="-4"/>
        </w:rPr>
        <w:t xml:space="preserve"> </w:t>
      </w:r>
      <w:r>
        <w:t>MAO</w:t>
      </w:r>
      <w:r>
        <w:rPr>
          <w:spacing w:val="-4"/>
        </w:rPr>
        <w:t xml:space="preserve"> </w:t>
      </w:r>
      <w:r>
        <w:t>may</w:t>
      </w:r>
      <w:r>
        <w:rPr>
          <w:spacing w:val="-3"/>
        </w:rPr>
        <w:t xml:space="preserve"> </w:t>
      </w:r>
      <w:r>
        <w:t>offer</w:t>
      </w:r>
      <w:r>
        <w:rPr>
          <w:spacing w:val="-4"/>
        </w:rPr>
        <w:t xml:space="preserve"> </w:t>
      </w:r>
      <w:r>
        <w:t>its</w:t>
      </w:r>
      <w:r>
        <w:rPr>
          <w:spacing w:val="-2"/>
        </w:rPr>
        <w:t xml:space="preserve"> </w:t>
      </w:r>
      <w:r>
        <w:t>individual-market</w:t>
      </w:r>
      <w:r>
        <w:rPr>
          <w:spacing w:val="-3"/>
        </w:rPr>
        <w:t xml:space="preserve"> </w:t>
      </w:r>
      <w:r>
        <w:t>MA</w:t>
      </w:r>
      <w:r>
        <w:rPr>
          <w:spacing w:val="-4"/>
        </w:rPr>
        <w:t xml:space="preserve"> </w:t>
      </w:r>
      <w:r>
        <w:t>plans</w:t>
      </w:r>
      <w:r>
        <w:rPr>
          <w:spacing w:val="-4"/>
        </w:rPr>
        <w:t xml:space="preserve"> </w:t>
      </w:r>
      <w:r>
        <w:t>to</w:t>
      </w:r>
      <w:r>
        <w:rPr>
          <w:spacing w:val="-2"/>
        </w:rPr>
        <w:t xml:space="preserve"> </w:t>
      </w:r>
      <w:r>
        <w:t>employer/union</w:t>
      </w:r>
      <w:r>
        <w:rPr>
          <w:spacing w:val="-3"/>
        </w:rPr>
        <w:t xml:space="preserve"> </w:t>
      </w:r>
      <w:r>
        <w:t>group</w:t>
      </w:r>
      <w:r>
        <w:rPr>
          <w:spacing w:val="-3"/>
        </w:rPr>
        <w:t xml:space="preserve"> </w:t>
      </w:r>
      <w:r>
        <w:t>health</w:t>
      </w:r>
      <w:r>
        <w:rPr>
          <w:spacing w:val="-3"/>
        </w:rPr>
        <w:t xml:space="preserve"> </w:t>
      </w:r>
      <w:r>
        <w:t>plan sponsors and modify benefits for each group, as outlined in Appendix D.</w:t>
      </w:r>
    </w:p>
    <w:p>
      <w:pPr>
        <w:pStyle w:val="BodyText"/>
        <w:spacing w:before="121"/>
        <w:ind w:right="1443"/>
      </w:pPr>
      <w:r>
        <w:t>For</w:t>
      </w:r>
      <w:r>
        <w:rPr>
          <w:spacing w:val="-3"/>
        </w:rPr>
        <w:t xml:space="preserve"> </w:t>
      </w:r>
      <w:r>
        <w:t>CY2027,</w:t>
      </w:r>
      <w:r>
        <w:rPr>
          <w:spacing w:val="-3"/>
        </w:rPr>
        <w:t xml:space="preserve"> </w:t>
      </w:r>
      <w:r>
        <w:t>CMS</w:t>
      </w:r>
      <w:r>
        <w:rPr>
          <w:spacing w:val="-3"/>
        </w:rPr>
        <w:t xml:space="preserve"> </w:t>
      </w:r>
      <w:r>
        <w:t>does</w:t>
      </w:r>
      <w:r>
        <w:rPr>
          <w:spacing w:val="-4"/>
        </w:rPr>
        <w:t xml:space="preserve"> </w:t>
      </w:r>
      <w:r>
        <w:t>not</w:t>
      </w:r>
      <w:r>
        <w:rPr>
          <w:spacing w:val="-3"/>
        </w:rPr>
        <w:t xml:space="preserve"> </w:t>
      </w:r>
      <w:r>
        <w:t>require</w:t>
      </w:r>
      <w:r>
        <w:rPr>
          <w:spacing w:val="-5"/>
        </w:rPr>
        <w:t xml:space="preserve"> </w:t>
      </w:r>
      <w:r>
        <w:t>an</w:t>
      </w:r>
      <w:r>
        <w:rPr>
          <w:spacing w:val="-3"/>
        </w:rPr>
        <w:t xml:space="preserve"> </w:t>
      </w:r>
      <w:r>
        <w:t>MA</w:t>
      </w:r>
      <w:r>
        <w:rPr>
          <w:spacing w:val="-4"/>
        </w:rPr>
        <w:t xml:space="preserve"> </w:t>
      </w:r>
      <w:r>
        <w:t>BPT</w:t>
      </w:r>
      <w:r>
        <w:rPr>
          <w:spacing w:val="-3"/>
        </w:rPr>
        <w:t xml:space="preserve"> </w:t>
      </w:r>
      <w:r>
        <w:t>for</w:t>
      </w:r>
      <w:r>
        <w:rPr>
          <w:spacing w:val="-3"/>
        </w:rPr>
        <w:t xml:space="preserve"> </w:t>
      </w:r>
      <w:r>
        <w:t>employer-only</w:t>
      </w:r>
      <w:r>
        <w:rPr>
          <w:spacing w:val="-3"/>
        </w:rPr>
        <w:t xml:space="preserve"> </w:t>
      </w:r>
      <w:r>
        <w:t>or</w:t>
      </w:r>
      <w:r>
        <w:rPr>
          <w:spacing w:val="-3"/>
        </w:rPr>
        <w:t xml:space="preserve"> </w:t>
      </w:r>
      <w:r>
        <w:t>union-only</w:t>
      </w:r>
      <w:r>
        <w:rPr>
          <w:spacing w:val="-3"/>
        </w:rPr>
        <w:t xml:space="preserve"> </w:t>
      </w:r>
      <w:r>
        <w:t>group</w:t>
      </w:r>
      <w:r>
        <w:rPr>
          <w:spacing w:val="-4"/>
        </w:rPr>
        <w:t xml:space="preserve"> </w:t>
      </w:r>
      <w:r>
        <w:t>waiver plans (EGWPs).</w:t>
      </w:r>
    </w:p>
    <w:p>
      <w:pPr>
        <w:spacing w:before="241"/>
        <w:ind w:left="504" w:right="0" w:firstLine="0"/>
        <w:jc w:val="left"/>
        <w:rPr>
          <w:rFonts w:ascii="Arial"/>
          <w:b/>
          <w:sz w:val="21"/>
        </w:rPr>
      </w:pPr>
      <w:bookmarkStart w:id="58" w:name="End-Stage Renal Disease (ESRD)"/>
      <w:bookmarkEnd w:id="58"/>
      <w:bookmarkStart w:id="59" w:name="_bookmark19"/>
      <w:bookmarkEnd w:id="59"/>
      <w:r>
        <w:rPr>
          <w:rFonts w:ascii="Arial"/>
          <w:b/>
          <w:sz w:val="21"/>
        </w:rPr>
        <w:t>End-Stage</w:t>
      </w:r>
      <w:r>
        <w:rPr>
          <w:rFonts w:ascii="Arial"/>
          <w:b/>
          <w:spacing w:val="-10"/>
          <w:sz w:val="21"/>
        </w:rPr>
        <w:t xml:space="preserve"> </w:t>
      </w:r>
      <w:r>
        <w:rPr>
          <w:rFonts w:ascii="Arial"/>
          <w:b/>
          <w:sz w:val="21"/>
        </w:rPr>
        <w:t>Renal</w:t>
      </w:r>
      <w:r>
        <w:rPr>
          <w:rFonts w:ascii="Arial"/>
          <w:b/>
          <w:spacing w:val="-9"/>
          <w:sz w:val="21"/>
        </w:rPr>
        <w:t xml:space="preserve"> </w:t>
      </w:r>
      <w:r>
        <w:rPr>
          <w:rFonts w:ascii="Arial"/>
          <w:b/>
          <w:sz w:val="21"/>
        </w:rPr>
        <w:t>Disease</w:t>
      </w:r>
      <w:r>
        <w:rPr>
          <w:rFonts w:ascii="Arial"/>
          <w:b/>
          <w:spacing w:val="-8"/>
          <w:sz w:val="21"/>
        </w:rPr>
        <w:t xml:space="preserve"> </w:t>
      </w:r>
      <w:r>
        <w:rPr>
          <w:rFonts w:ascii="Arial"/>
          <w:b/>
          <w:spacing w:val="-2"/>
          <w:sz w:val="21"/>
        </w:rPr>
        <w:t>(ESRD)</w:t>
      </w:r>
    </w:p>
    <w:p>
      <w:pPr>
        <w:pStyle w:val="BodyText"/>
        <w:spacing w:before="117"/>
        <w:ind w:right="1481"/>
      </w:pPr>
      <w:r>
        <w:t>All</w:t>
      </w:r>
      <w:r>
        <w:rPr>
          <w:spacing w:val="-4"/>
        </w:rPr>
        <w:t xml:space="preserve"> </w:t>
      </w:r>
      <w:r>
        <w:t>information</w:t>
      </w:r>
      <w:r>
        <w:rPr>
          <w:spacing w:val="-4"/>
        </w:rPr>
        <w:t xml:space="preserve"> </w:t>
      </w:r>
      <w:r>
        <w:t>provided</w:t>
      </w:r>
      <w:r>
        <w:rPr>
          <w:spacing w:val="-4"/>
        </w:rPr>
        <w:t xml:space="preserve"> </w:t>
      </w:r>
      <w:r>
        <w:t>on</w:t>
      </w:r>
      <w:r>
        <w:rPr>
          <w:spacing w:val="-4"/>
        </w:rPr>
        <w:t xml:space="preserve"> </w:t>
      </w:r>
      <w:r>
        <w:t>Worksheets</w:t>
      </w:r>
      <w:r>
        <w:rPr>
          <w:spacing w:val="-4"/>
        </w:rPr>
        <w:t xml:space="preserve"> </w:t>
      </w:r>
      <w:r>
        <w:t>1</w:t>
      </w:r>
      <w:r>
        <w:rPr>
          <w:spacing w:val="-4"/>
        </w:rPr>
        <w:t xml:space="preserve"> </w:t>
      </w:r>
      <w:r>
        <w:t>through</w:t>
      </w:r>
      <w:r>
        <w:rPr>
          <w:spacing w:val="-4"/>
        </w:rPr>
        <w:t xml:space="preserve"> </w:t>
      </w:r>
      <w:r>
        <w:t>7</w:t>
      </w:r>
      <w:r>
        <w:rPr>
          <w:spacing w:val="-4"/>
        </w:rPr>
        <w:t xml:space="preserve"> </w:t>
      </w:r>
      <w:r>
        <w:t>must</w:t>
      </w:r>
      <w:r>
        <w:rPr>
          <w:spacing w:val="-4"/>
        </w:rPr>
        <w:t xml:space="preserve"> </w:t>
      </w:r>
      <w:r>
        <w:t>exclude</w:t>
      </w:r>
      <w:r>
        <w:rPr>
          <w:spacing w:val="-4"/>
        </w:rPr>
        <w:t xml:space="preserve"> </w:t>
      </w:r>
      <w:r>
        <w:t>the</w:t>
      </w:r>
      <w:r>
        <w:rPr>
          <w:spacing w:val="-4"/>
        </w:rPr>
        <w:t xml:space="preserve"> </w:t>
      </w:r>
      <w:r>
        <w:t>experience</w:t>
      </w:r>
      <w:r>
        <w:rPr>
          <w:spacing w:val="-4"/>
        </w:rPr>
        <w:t xml:space="preserve"> </w:t>
      </w:r>
      <w:r>
        <w:t>for</w:t>
      </w:r>
      <w:r>
        <w:rPr>
          <w:spacing w:val="-4"/>
        </w:rPr>
        <w:t xml:space="preserve"> </w:t>
      </w:r>
      <w:r>
        <w:t>enrollees in ESRD status, for the time period that enrollees are in that status, with the exception of Worksheet 1, Section V; Worksheet 4, Section III; and Worksheet 5, Section VIII.</w:t>
      </w:r>
    </w:p>
    <w:p>
      <w:pPr>
        <w:pStyle w:val="BodyText"/>
        <w:spacing w:before="120"/>
        <w:ind w:right="1481"/>
      </w:pPr>
      <w:r>
        <w:t>An enrollee is considered to be in ESRD status for a specified time period if the “Monthly Membership</w:t>
      </w:r>
      <w:r>
        <w:rPr>
          <w:spacing w:val="-3"/>
        </w:rPr>
        <w:t xml:space="preserve"> </w:t>
      </w:r>
      <w:r>
        <w:t>Report”</w:t>
      </w:r>
      <w:r>
        <w:rPr>
          <w:spacing w:val="-5"/>
        </w:rPr>
        <w:t xml:space="preserve"> </w:t>
      </w:r>
      <w:r>
        <w:t>(MMR)</w:t>
      </w:r>
      <w:r>
        <w:rPr>
          <w:spacing w:val="-3"/>
        </w:rPr>
        <w:t xml:space="preserve"> </w:t>
      </w:r>
      <w:r>
        <w:t>indicates</w:t>
      </w:r>
      <w:r>
        <w:rPr>
          <w:spacing w:val="-4"/>
        </w:rPr>
        <w:t xml:space="preserve"> </w:t>
      </w:r>
      <w:r>
        <w:t>that</w:t>
      </w:r>
      <w:r>
        <w:rPr>
          <w:spacing w:val="-3"/>
        </w:rPr>
        <w:t xml:space="preserve"> </w:t>
      </w:r>
      <w:r>
        <w:t>the</w:t>
      </w:r>
      <w:r>
        <w:rPr>
          <w:spacing w:val="-4"/>
        </w:rPr>
        <w:t xml:space="preserve"> </w:t>
      </w:r>
      <w:r>
        <w:t>CMS-HCC</w:t>
      </w:r>
      <w:r>
        <w:rPr>
          <w:spacing w:val="-3"/>
        </w:rPr>
        <w:t xml:space="preserve"> </w:t>
      </w:r>
      <w:r>
        <w:t>ESRD</w:t>
      </w:r>
      <w:r>
        <w:rPr>
          <w:spacing w:val="-4"/>
        </w:rPr>
        <w:t xml:space="preserve"> </w:t>
      </w:r>
      <w:r>
        <w:t>Risk</w:t>
      </w:r>
      <w:r>
        <w:rPr>
          <w:spacing w:val="-3"/>
        </w:rPr>
        <w:t xml:space="preserve"> </w:t>
      </w:r>
      <w:r>
        <w:t>Adjustment</w:t>
      </w:r>
      <w:r>
        <w:rPr>
          <w:spacing w:val="-3"/>
        </w:rPr>
        <w:t xml:space="preserve"> </w:t>
      </w:r>
      <w:r>
        <w:t>model</w:t>
      </w:r>
      <w:r>
        <w:rPr>
          <w:spacing w:val="-3"/>
        </w:rPr>
        <w:t xml:space="preserve"> </w:t>
      </w:r>
      <w:r>
        <w:t>is being used for payment, or the Beneficiary File indicates ESRD.</w:t>
      </w:r>
    </w:p>
    <w:p>
      <w:pPr>
        <w:pStyle w:val="BodyText"/>
        <w:spacing w:before="121"/>
        <w:ind w:right="1465"/>
      </w:pPr>
      <w:r>
        <w:t>Worksheet 4, Section III must be completed for all C-SNPs that target Chronic</w:t>
      </w:r>
      <w:r>
        <w:rPr>
          <w:spacing w:val="-1"/>
        </w:rPr>
        <w:t xml:space="preserve"> </w:t>
      </w:r>
      <w:r>
        <w:t>Kidney Disease (CKD). MAOs may choose whether to complete Worksheet 4, Section III for other plan types. If Worksheet 4, Section III is completed, MAOs must choose whether to reflect the Total CY ESRD</w:t>
      </w:r>
      <w:r>
        <w:rPr>
          <w:spacing w:val="-4"/>
        </w:rPr>
        <w:t xml:space="preserve"> </w:t>
      </w:r>
      <w:r>
        <w:t>“subsidy”</w:t>
      </w:r>
      <w:r>
        <w:rPr>
          <w:spacing w:val="-4"/>
        </w:rPr>
        <w:t xml:space="preserve"> </w:t>
      </w:r>
      <w:r>
        <w:t>in</w:t>
      </w:r>
      <w:r>
        <w:rPr>
          <w:spacing w:val="-3"/>
        </w:rPr>
        <w:t xml:space="preserve"> </w:t>
      </w:r>
      <w:r>
        <w:t>Worksheet</w:t>
      </w:r>
      <w:r>
        <w:rPr>
          <w:spacing w:val="-3"/>
        </w:rPr>
        <w:t xml:space="preserve"> </w:t>
      </w:r>
      <w:r>
        <w:t>4,</w:t>
      </w:r>
      <w:r>
        <w:rPr>
          <w:spacing w:val="-3"/>
        </w:rPr>
        <w:t xml:space="preserve"> </w:t>
      </w:r>
      <w:r>
        <w:t>Section</w:t>
      </w:r>
      <w:r>
        <w:rPr>
          <w:spacing w:val="-1"/>
        </w:rPr>
        <w:t xml:space="preserve"> </w:t>
      </w:r>
      <w:r>
        <w:t>II</w:t>
      </w:r>
      <w:r>
        <w:rPr>
          <w:spacing w:val="-5"/>
        </w:rPr>
        <w:t xml:space="preserve"> </w:t>
      </w:r>
      <w:r>
        <w:t>by</w:t>
      </w:r>
      <w:r>
        <w:rPr>
          <w:spacing w:val="-3"/>
        </w:rPr>
        <w:t xml:space="preserve"> </w:t>
      </w:r>
      <w:r>
        <w:t>making</w:t>
      </w:r>
      <w:r>
        <w:rPr>
          <w:spacing w:val="-3"/>
        </w:rPr>
        <w:t xml:space="preserve"> </w:t>
      </w:r>
      <w:r>
        <w:t>the</w:t>
      </w:r>
      <w:r>
        <w:rPr>
          <w:spacing w:val="-4"/>
        </w:rPr>
        <w:t xml:space="preserve"> </w:t>
      </w:r>
      <w:r>
        <w:t>appropriate</w:t>
      </w:r>
      <w:r>
        <w:rPr>
          <w:spacing w:val="-3"/>
        </w:rPr>
        <w:t xml:space="preserve"> </w:t>
      </w:r>
      <w:r>
        <w:t>selection</w:t>
      </w:r>
      <w:r>
        <w:rPr>
          <w:spacing w:val="-3"/>
        </w:rPr>
        <w:t xml:space="preserve"> </w:t>
      </w:r>
      <w:r>
        <w:t>in</w:t>
      </w:r>
      <w:r>
        <w:rPr>
          <w:spacing w:val="-1"/>
        </w:rPr>
        <w:t xml:space="preserve"> </w:t>
      </w:r>
      <w:r>
        <w:t>the</w:t>
      </w:r>
      <w:r>
        <w:rPr>
          <w:spacing w:val="-4"/>
        </w:rPr>
        <w:t xml:space="preserve"> </w:t>
      </w:r>
      <w:r>
        <w:t>“Include ESRD ‘subsidy’ in Total Revenue Requirement” cell on Worksheet 4, Section III.</w:t>
      </w:r>
    </w:p>
    <w:p>
      <w:pPr>
        <w:spacing w:before="241"/>
        <w:ind w:left="1224" w:right="0" w:firstLine="0"/>
        <w:jc w:val="left"/>
        <w:rPr>
          <w:rFonts w:ascii="Arial"/>
          <w:b/>
          <w:i/>
          <w:sz w:val="21"/>
        </w:rPr>
      </w:pPr>
      <w:bookmarkStart w:id="60" w:name="ESRD Subsidy"/>
      <w:bookmarkEnd w:id="60"/>
      <w:r>
        <w:rPr>
          <w:rFonts w:ascii="Arial"/>
          <w:b/>
          <w:i/>
          <w:sz w:val="21"/>
        </w:rPr>
        <w:t>ESRD</w:t>
      </w:r>
      <w:r>
        <w:rPr>
          <w:rFonts w:ascii="Arial"/>
          <w:b/>
          <w:i/>
          <w:spacing w:val="-6"/>
          <w:sz w:val="21"/>
        </w:rPr>
        <w:t xml:space="preserve"> </w:t>
      </w:r>
      <w:r>
        <w:rPr>
          <w:rFonts w:ascii="Arial"/>
          <w:b/>
          <w:i/>
          <w:spacing w:val="-2"/>
          <w:sz w:val="21"/>
        </w:rPr>
        <w:t>Subsidy</w:t>
      </w:r>
    </w:p>
    <w:p>
      <w:pPr>
        <w:pStyle w:val="BodyText"/>
        <w:spacing w:before="120"/>
        <w:ind w:left="1224" w:right="1481"/>
      </w:pPr>
      <w:r>
        <w:t>The</w:t>
      </w:r>
      <w:r>
        <w:rPr>
          <w:spacing w:val="-3"/>
        </w:rPr>
        <w:t xml:space="preserve"> </w:t>
      </w:r>
      <w:r>
        <w:t>benchmarks</w:t>
      </w:r>
      <w:r>
        <w:rPr>
          <w:spacing w:val="-2"/>
        </w:rPr>
        <w:t xml:space="preserve"> </w:t>
      </w:r>
      <w:r>
        <w:t>calculated</w:t>
      </w:r>
      <w:r>
        <w:rPr>
          <w:spacing w:val="-1"/>
        </w:rPr>
        <w:t xml:space="preserve"> </w:t>
      </w:r>
      <w:r>
        <w:t>in</w:t>
      </w:r>
      <w:r>
        <w:rPr>
          <w:spacing w:val="-1"/>
        </w:rPr>
        <w:t xml:space="preserve"> </w:t>
      </w:r>
      <w:r>
        <w:t>the</w:t>
      </w:r>
      <w:r>
        <w:rPr>
          <w:spacing w:val="-2"/>
        </w:rPr>
        <w:t xml:space="preserve"> </w:t>
      </w:r>
      <w:r>
        <w:t>MA BPT</w:t>
      </w:r>
      <w:r>
        <w:rPr>
          <w:spacing w:val="-1"/>
        </w:rPr>
        <w:t xml:space="preserve"> </w:t>
      </w:r>
      <w:r>
        <w:t>exclude</w:t>
      </w:r>
      <w:r>
        <w:rPr>
          <w:spacing w:val="-1"/>
        </w:rPr>
        <w:t xml:space="preserve"> </w:t>
      </w:r>
      <w:r>
        <w:t>enrollees</w:t>
      </w:r>
      <w:r>
        <w:rPr>
          <w:spacing w:val="-2"/>
        </w:rPr>
        <w:t xml:space="preserve"> </w:t>
      </w:r>
      <w:r>
        <w:t>in</w:t>
      </w:r>
      <w:r>
        <w:rPr>
          <w:spacing w:val="-1"/>
        </w:rPr>
        <w:t xml:space="preserve"> </w:t>
      </w:r>
      <w:r>
        <w:t>ESRD</w:t>
      </w:r>
      <w:r>
        <w:rPr>
          <w:spacing w:val="-2"/>
        </w:rPr>
        <w:t xml:space="preserve"> </w:t>
      </w:r>
      <w:r>
        <w:t>status,</w:t>
      </w:r>
      <w:r>
        <w:rPr>
          <w:spacing w:val="-1"/>
        </w:rPr>
        <w:t xml:space="preserve"> </w:t>
      </w:r>
      <w:r>
        <w:t>as</w:t>
      </w:r>
      <w:r>
        <w:rPr>
          <w:spacing w:val="-2"/>
        </w:rPr>
        <w:t xml:space="preserve"> </w:t>
      </w:r>
      <w:r>
        <w:t>does the projection of bid expenditures. However, all individuals enrolled in the bid, including those in ESRD status, are required to pay the same MA premium and are offered the same benefit package. In order to account for the projected marginal costs (or savings) of bid enrollees in ESRD status, the BPT allows for an adjustment that is allocated</w:t>
      </w:r>
      <w:r>
        <w:rPr>
          <w:spacing w:val="-5"/>
        </w:rPr>
        <w:t xml:space="preserve"> </w:t>
      </w:r>
      <w:r>
        <w:t>across</w:t>
      </w:r>
      <w:r>
        <w:rPr>
          <w:spacing w:val="-4"/>
        </w:rPr>
        <w:t xml:space="preserve"> </w:t>
      </w:r>
      <w:r>
        <w:t>ESRD</w:t>
      </w:r>
      <w:r>
        <w:rPr>
          <w:spacing w:val="-5"/>
        </w:rPr>
        <w:t xml:space="preserve"> </w:t>
      </w:r>
      <w:r>
        <w:t>and</w:t>
      </w:r>
      <w:r>
        <w:rPr>
          <w:spacing w:val="-4"/>
        </w:rPr>
        <w:t xml:space="preserve"> </w:t>
      </w:r>
      <w:r>
        <w:t>non-ESRD</w:t>
      </w:r>
      <w:r>
        <w:rPr>
          <w:spacing w:val="-4"/>
        </w:rPr>
        <w:t xml:space="preserve"> </w:t>
      </w:r>
      <w:r>
        <w:t>bid</w:t>
      </w:r>
      <w:r>
        <w:rPr>
          <w:spacing w:val="-4"/>
        </w:rPr>
        <w:t xml:space="preserve"> </w:t>
      </w:r>
      <w:r>
        <w:t>members</w:t>
      </w:r>
      <w:r>
        <w:rPr>
          <w:spacing w:val="-5"/>
        </w:rPr>
        <w:t xml:space="preserve"> </w:t>
      </w:r>
      <w:r>
        <w:t>(including</w:t>
      </w:r>
      <w:r>
        <w:rPr>
          <w:spacing w:val="-4"/>
        </w:rPr>
        <w:t xml:space="preserve"> </w:t>
      </w:r>
      <w:r>
        <w:t>out-of-area</w:t>
      </w:r>
      <w:r>
        <w:rPr>
          <w:spacing w:val="-3"/>
        </w:rPr>
        <w:t xml:space="preserve"> </w:t>
      </w:r>
      <w:r>
        <w:t>members). The adjustment is split into two sections, basic benefits and supplemental benefits, although the entire subsidy is added to A/B mandatory supplemental benefits.</w:t>
      </w:r>
    </w:p>
    <w:p>
      <w:pPr>
        <w:pStyle w:val="ListParagraph"/>
        <w:numPr>
          <w:ilvl w:val="0"/>
          <w:numId w:val="48"/>
        </w:numPr>
        <w:tabs>
          <w:tab w:val="left" w:pos="1583"/>
        </w:tabs>
        <w:spacing w:before="241" w:after="0" w:line="240" w:lineRule="auto"/>
        <w:ind w:left="1583" w:right="0" w:hanging="359"/>
        <w:jc w:val="left"/>
        <w:rPr>
          <w:rFonts w:ascii="Arial" w:hAnsi="Arial"/>
          <w:b/>
          <w:sz w:val="21"/>
        </w:rPr>
      </w:pPr>
      <w:r>
        <w:rPr>
          <w:rFonts w:ascii="Arial" w:hAnsi="Arial"/>
          <w:b/>
          <w:sz w:val="21"/>
        </w:rPr>
        <w:t>Basic</w:t>
      </w:r>
      <w:r>
        <w:rPr>
          <w:rFonts w:ascii="Arial" w:hAnsi="Arial"/>
          <w:b/>
          <w:spacing w:val="-5"/>
          <w:sz w:val="21"/>
        </w:rPr>
        <w:t xml:space="preserve"> </w:t>
      </w:r>
      <w:r>
        <w:rPr>
          <w:rFonts w:ascii="Arial" w:hAnsi="Arial"/>
          <w:b/>
          <w:spacing w:val="-2"/>
          <w:sz w:val="21"/>
        </w:rPr>
        <w:t>Benefits</w:t>
      </w:r>
    </w:p>
    <w:p>
      <w:pPr>
        <w:pStyle w:val="BodyText"/>
        <w:spacing w:before="118"/>
        <w:ind w:left="1584" w:right="1481"/>
      </w:pPr>
      <w:r>
        <w:t>The inputs in the Medicare-covered section are (i) projected CMS capitation revenue, (ii) projected net medical expenses, and (iii) projected non-benefit expenses. The projected gain/loss margin requirement is calculated based on the values</w:t>
      </w:r>
      <w:r>
        <w:rPr>
          <w:spacing w:val="-4"/>
        </w:rPr>
        <w:t xml:space="preserve"> </w:t>
      </w:r>
      <w:r>
        <w:t>for</w:t>
      </w:r>
      <w:r>
        <w:rPr>
          <w:spacing w:val="-3"/>
        </w:rPr>
        <w:t xml:space="preserve"> </w:t>
      </w:r>
      <w:r>
        <w:t>the</w:t>
      </w:r>
      <w:r>
        <w:rPr>
          <w:spacing w:val="-5"/>
        </w:rPr>
        <w:t xml:space="preserve"> </w:t>
      </w:r>
      <w:r>
        <w:t>non-ESRD</w:t>
      </w:r>
      <w:r>
        <w:rPr>
          <w:spacing w:val="-4"/>
        </w:rPr>
        <w:t xml:space="preserve"> </w:t>
      </w:r>
      <w:r>
        <w:t>bid.</w:t>
      </w:r>
      <w:r>
        <w:rPr>
          <w:spacing w:val="-3"/>
        </w:rPr>
        <w:t xml:space="preserve"> </w:t>
      </w:r>
      <w:r>
        <w:t>All</w:t>
      </w:r>
      <w:r>
        <w:rPr>
          <w:spacing w:val="-3"/>
        </w:rPr>
        <w:t xml:space="preserve"> </w:t>
      </w:r>
      <w:r>
        <w:t>fields</w:t>
      </w:r>
      <w:r>
        <w:rPr>
          <w:spacing w:val="-4"/>
        </w:rPr>
        <w:t xml:space="preserve"> </w:t>
      </w:r>
      <w:r>
        <w:t>in</w:t>
      </w:r>
      <w:r>
        <w:rPr>
          <w:spacing w:val="-3"/>
        </w:rPr>
        <w:t xml:space="preserve"> </w:t>
      </w:r>
      <w:r>
        <w:t>this</w:t>
      </w:r>
      <w:r>
        <w:rPr>
          <w:spacing w:val="-4"/>
        </w:rPr>
        <w:t xml:space="preserve"> </w:t>
      </w:r>
      <w:r>
        <w:t>section</w:t>
      </w:r>
      <w:r>
        <w:rPr>
          <w:spacing w:val="-3"/>
        </w:rPr>
        <w:t xml:space="preserve"> </w:t>
      </w:r>
      <w:r>
        <w:t>are</w:t>
      </w:r>
      <w:r>
        <w:rPr>
          <w:spacing w:val="-5"/>
        </w:rPr>
        <w:t xml:space="preserve"> </w:t>
      </w:r>
      <w:r>
        <w:t>to</w:t>
      </w:r>
      <w:r>
        <w:rPr>
          <w:spacing w:val="-3"/>
        </w:rPr>
        <w:t xml:space="preserve"> </w:t>
      </w:r>
      <w:r>
        <w:t>reflect</w:t>
      </w:r>
      <w:r>
        <w:rPr>
          <w:spacing w:val="-3"/>
        </w:rPr>
        <w:t xml:space="preserve"> </w:t>
      </w:r>
      <w:r>
        <w:t>Medicare</w:t>
      </w:r>
      <w:r>
        <w:rPr>
          <w:spacing w:val="-5"/>
        </w:rPr>
        <w:t xml:space="preserve"> </w:t>
      </w:r>
      <w:r>
        <w:t>levels of cost sharing (for example, 20 percent cost sharing for Part B services once the</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left="1584"/>
      </w:pPr>
      <w:r>
        <w:t>deductible</w:t>
      </w:r>
      <w:r>
        <w:rPr>
          <w:spacing w:val="-4"/>
        </w:rPr>
        <w:t xml:space="preserve"> </w:t>
      </w:r>
      <w:r>
        <w:t>has</w:t>
      </w:r>
      <w:r>
        <w:rPr>
          <w:spacing w:val="-2"/>
        </w:rPr>
        <w:t xml:space="preserve"> </w:t>
      </w:r>
      <w:r>
        <w:t>been</w:t>
      </w:r>
      <w:r>
        <w:rPr>
          <w:spacing w:val="-1"/>
        </w:rPr>
        <w:t xml:space="preserve"> </w:t>
      </w:r>
      <w:r>
        <w:t>met) and</w:t>
      </w:r>
      <w:r>
        <w:rPr>
          <w:spacing w:val="-1"/>
        </w:rPr>
        <w:t xml:space="preserve"> </w:t>
      </w:r>
      <w:r>
        <w:t>must</w:t>
      </w:r>
      <w:r>
        <w:rPr>
          <w:spacing w:val="-1"/>
        </w:rPr>
        <w:t xml:space="preserve"> </w:t>
      </w:r>
      <w:r>
        <w:t>be</w:t>
      </w:r>
      <w:r>
        <w:rPr>
          <w:spacing w:val="-1"/>
        </w:rPr>
        <w:t xml:space="preserve"> </w:t>
      </w:r>
      <w:r>
        <w:t>reported</w:t>
      </w:r>
      <w:r>
        <w:rPr>
          <w:spacing w:val="-1"/>
        </w:rPr>
        <w:t xml:space="preserve"> </w:t>
      </w:r>
      <w:r>
        <w:t>on</w:t>
      </w:r>
      <w:r>
        <w:rPr>
          <w:spacing w:val="1"/>
        </w:rPr>
        <w:t xml:space="preserve"> </w:t>
      </w:r>
      <w:r>
        <w:t>a</w:t>
      </w:r>
      <w:r>
        <w:rPr>
          <w:spacing w:val="-2"/>
        </w:rPr>
        <w:t xml:space="preserve"> </w:t>
      </w:r>
      <w:r>
        <w:t>“per ESRD</w:t>
      </w:r>
      <w:r>
        <w:rPr>
          <w:spacing w:val="-2"/>
        </w:rPr>
        <w:t xml:space="preserve"> </w:t>
      </w:r>
      <w:r>
        <w:t>member</w:t>
      </w:r>
      <w:r>
        <w:rPr>
          <w:spacing w:val="-3"/>
        </w:rPr>
        <w:t xml:space="preserve"> </w:t>
      </w:r>
      <w:r>
        <w:t>per</w:t>
      </w:r>
      <w:r>
        <w:rPr>
          <w:spacing w:val="-1"/>
        </w:rPr>
        <w:t xml:space="preserve"> </w:t>
      </w:r>
      <w:r>
        <w:rPr>
          <w:spacing w:val="-2"/>
        </w:rPr>
        <w:t>month”</w:t>
      </w:r>
    </w:p>
    <w:p>
      <w:pPr>
        <w:pStyle w:val="BodyText"/>
        <w:ind w:left="1584"/>
      </w:pPr>
      <w:r>
        <w:rPr>
          <w:spacing w:val="-2"/>
        </w:rPr>
        <w:t>basis.</w:t>
      </w:r>
    </w:p>
    <w:p>
      <w:pPr>
        <w:pStyle w:val="BodyText"/>
        <w:spacing w:before="120"/>
        <w:ind w:left="1584" w:right="1481"/>
      </w:pPr>
      <w:r>
        <w:t>If</w:t>
      </w:r>
      <w:r>
        <w:rPr>
          <w:spacing w:val="-1"/>
        </w:rPr>
        <w:t xml:space="preserve"> </w:t>
      </w:r>
      <w:r>
        <w:t>the organization does not have</w:t>
      </w:r>
      <w:r>
        <w:rPr>
          <w:spacing w:val="-1"/>
        </w:rPr>
        <w:t xml:space="preserve"> </w:t>
      </w:r>
      <w:r>
        <w:t>fully credible ESRD experience, it may blend the experience</w:t>
      </w:r>
      <w:r>
        <w:rPr>
          <w:spacing w:val="-5"/>
        </w:rPr>
        <w:t xml:space="preserve"> </w:t>
      </w:r>
      <w:r>
        <w:t>with</w:t>
      </w:r>
      <w:r>
        <w:rPr>
          <w:spacing w:val="-4"/>
        </w:rPr>
        <w:t xml:space="preserve"> </w:t>
      </w:r>
      <w:r>
        <w:t>manual</w:t>
      </w:r>
      <w:r>
        <w:rPr>
          <w:spacing w:val="-2"/>
        </w:rPr>
        <w:t xml:space="preserve"> </w:t>
      </w:r>
      <w:r>
        <w:t>rates</w:t>
      </w:r>
      <w:r>
        <w:rPr>
          <w:spacing w:val="-3"/>
        </w:rPr>
        <w:t xml:space="preserve"> </w:t>
      </w:r>
      <w:r>
        <w:t>(as</w:t>
      </w:r>
      <w:r>
        <w:rPr>
          <w:spacing w:val="-4"/>
        </w:rPr>
        <w:t xml:space="preserve"> </w:t>
      </w:r>
      <w:r>
        <w:t>is</w:t>
      </w:r>
      <w:r>
        <w:rPr>
          <w:spacing w:val="-5"/>
        </w:rPr>
        <w:t xml:space="preserve"> </w:t>
      </w:r>
      <w:r>
        <w:t>done</w:t>
      </w:r>
      <w:r>
        <w:rPr>
          <w:spacing w:val="-5"/>
        </w:rPr>
        <w:t xml:space="preserve"> </w:t>
      </w:r>
      <w:r>
        <w:t>on</w:t>
      </w:r>
      <w:r>
        <w:rPr>
          <w:spacing w:val="-1"/>
        </w:rPr>
        <w:t xml:space="preserve"> </w:t>
      </w:r>
      <w:r>
        <w:t>Worksheet</w:t>
      </w:r>
      <w:r>
        <w:rPr>
          <w:spacing w:val="-4"/>
        </w:rPr>
        <w:t xml:space="preserve"> </w:t>
      </w:r>
      <w:r>
        <w:t>2</w:t>
      </w:r>
      <w:r>
        <w:rPr>
          <w:spacing w:val="-4"/>
        </w:rPr>
        <w:t xml:space="preserve"> </w:t>
      </w:r>
      <w:r>
        <w:t>for</w:t>
      </w:r>
      <w:r>
        <w:rPr>
          <w:spacing w:val="-5"/>
        </w:rPr>
        <w:t xml:space="preserve"> </w:t>
      </w:r>
      <w:r>
        <w:t>non-ESRD</w:t>
      </w:r>
      <w:r>
        <w:rPr>
          <w:spacing w:val="-5"/>
        </w:rPr>
        <w:t xml:space="preserve"> </w:t>
      </w:r>
      <w:r>
        <w:t>enrollees).</w:t>
      </w:r>
    </w:p>
    <w:p>
      <w:pPr>
        <w:pStyle w:val="BodyText"/>
        <w:spacing w:before="120"/>
        <w:ind w:left="1584"/>
      </w:pPr>
      <w:r>
        <w:t>The</w:t>
      </w:r>
      <w:r>
        <w:rPr>
          <w:spacing w:val="-6"/>
        </w:rPr>
        <w:t xml:space="preserve"> </w:t>
      </w:r>
      <w:r>
        <w:t>BPT</w:t>
      </w:r>
      <w:r>
        <w:rPr>
          <w:spacing w:val="-1"/>
        </w:rPr>
        <w:t xml:space="preserve"> </w:t>
      </w:r>
      <w:r>
        <w:t>will automatically</w:t>
      </w:r>
      <w:r>
        <w:rPr>
          <w:spacing w:val="-2"/>
        </w:rPr>
        <w:t xml:space="preserve"> </w:t>
      </w:r>
      <w:r>
        <w:t>calculate</w:t>
      </w:r>
      <w:r>
        <w:rPr>
          <w:spacing w:val="-1"/>
        </w:rPr>
        <w:t xml:space="preserve"> </w:t>
      </w:r>
      <w:r>
        <w:t>the</w:t>
      </w:r>
      <w:r>
        <w:rPr>
          <w:spacing w:val="-2"/>
        </w:rPr>
        <w:t xml:space="preserve"> </w:t>
      </w:r>
      <w:r>
        <w:t>bid’s</w:t>
      </w:r>
      <w:r>
        <w:rPr>
          <w:spacing w:val="-2"/>
        </w:rPr>
        <w:t xml:space="preserve"> </w:t>
      </w:r>
      <w:r>
        <w:t>costs</w:t>
      </w:r>
      <w:r>
        <w:rPr>
          <w:spacing w:val="-2"/>
        </w:rPr>
        <w:t xml:space="preserve"> </w:t>
      </w:r>
      <w:r>
        <w:t>for</w:t>
      </w:r>
      <w:r>
        <w:rPr>
          <w:spacing w:val="-3"/>
        </w:rPr>
        <w:t xml:space="preserve"> </w:t>
      </w:r>
      <w:r>
        <w:t>basic</w:t>
      </w:r>
      <w:r>
        <w:rPr>
          <w:spacing w:val="-1"/>
        </w:rPr>
        <w:t xml:space="preserve"> </w:t>
      </w:r>
      <w:r>
        <w:t>benefits</w:t>
      </w:r>
      <w:r>
        <w:rPr>
          <w:spacing w:val="-2"/>
        </w:rPr>
        <w:t xml:space="preserve"> </w:t>
      </w:r>
      <w:r>
        <w:t>of</w:t>
      </w:r>
      <w:r>
        <w:rPr>
          <w:spacing w:val="-1"/>
        </w:rPr>
        <w:t xml:space="preserve"> </w:t>
      </w:r>
      <w:r>
        <w:rPr>
          <w:spacing w:val="-4"/>
        </w:rPr>
        <w:t>ESRD</w:t>
      </w:r>
    </w:p>
    <w:p>
      <w:pPr>
        <w:pStyle w:val="BodyText"/>
        <w:ind w:left="1584"/>
      </w:pPr>
      <w:r>
        <w:t>enrollees</w:t>
      </w:r>
      <w:r>
        <w:rPr>
          <w:spacing w:val="-3"/>
        </w:rPr>
        <w:t xml:space="preserve"> </w:t>
      </w:r>
      <w:r>
        <w:t>and</w:t>
      </w:r>
      <w:r>
        <w:rPr>
          <w:spacing w:val="-1"/>
        </w:rPr>
        <w:t xml:space="preserve"> </w:t>
      </w:r>
      <w:r>
        <w:t>will</w:t>
      </w:r>
      <w:r>
        <w:rPr>
          <w:spacing w:val="-2"/>
        </w:rPr>
        <w:t xml:space="preserve"> </w:t>
      </w:r>
      <w:r>
        <w:t>allocate</w:t>
      </w:r>
      <w:r>
        <w:rPr>
          <w:spacing w:val="-2"/>
        </w:rPr>
        <w:t xml:space="preserve"> </w:t>
      </w:r>
      <w:r>
        <w:t>these</w:t>
      </w:r>
      <w:r>
        <w:rPr>
          <w:spacing w:val="-3"/>
        </w:rPr>
        <w:t xml:space="preserve"> </w:t>
      </w:r>
      <w:r>
        <w:t>costs</w:t>
      </w:r>
      <w:r>
        <w:rPr>
          <w:spacing w:val="-2"/>
        </w:rPr>
        <w:t xml:space="preserve"> </w:t>
      </w:r>
      <w:r>
        <w:t>across</w:t>
      </w:r>
      <w:r>
        <w:rPr>
          <w:spacing w:val="-1"/>
        </w:rPr>
        <w:t xml:space="preserve"> </w:t>
      </w:r>
      <w:r>
        <w:t>ESRD</w:t>
      </w:r>
      <w:r>
        <w:rPr>
          <w:spacing w:val="-3"/>
        </w:rPr>
        <w:t xml:space="preserve"> </w:t>
      </w:r>
      <w:r>
        <w:t>and</w:t>
      </w:r>
      <w:r>
        <w:rPr>
          <w:spacing w:val="-2"/>
        </w:rPr>
        <w:t xml:space="preserve"> </w:t>
      </w:r>
      <w:r>
        <w:t>non-ESRD</w:t>
      </w:r>
      <w:r>
        <w:rPr>
          <w:spacing w:val="-2"/>
        </w:rPr>
        <w:t xml:space="preserve"> members.</w:t>
      </w:r>
    </w:p>
    <w:p>
      <w:pPr>
        <w:pStyle w:val="ListParagraph"/>
        <w:numPr>
          <w:ilvl w:val="0"/>
          <w:numId w:val="48"/>
        </w:numPr>
        <w:tabs>
          <w:tab w:val="left" w:pos="1583"/>
        </w:tabs>
        <w:spacing w:before="241" w:after="0" w:line="240" w:lineRule="auto"/>
        <w:ind w:left="1583" w:right="0" w:hanging="359"/>
        <w:jc w:val="left"/>
        <w:rPr>
          <w:rFonts w:ascii="Arial" w:hAnsi="Arial"/>
          <w:b/>
          <w:sz w:val="21"/>
        </w:rPr>
      </w:pPr>
      <w:r>
        <w:rPr>
          <w:rFonts w:ascii="Arial" w:hAnsi="Arial"/>
          <w:b/>
          <w:sz w:val="21"/>
        </w:rPr>
        <w:t>Supplemental</w:t>
      </w:r>
      <w:r>
        <w:rPr>
          <w:rFonts w:ascii="Arial" w:hAnsi="Arial"/>
          <w:b/>
          <w:spacing w:val="-14"/>
          <w:sz w:val="21"/>
        </w:rPr>
        <w:t xml:space="preserve"> </w:t>
      </w:r>
      <w:r>
        <w:rPr>
          <w:rFonts w:ascii="Arial" w:hAnsi="Arial"/>
          <w:b/>
          <w:spacing w:val="-2"/>
          <w:sz w:val="21"/>
        </w:rPr>
        <w:t>Benefits</w:t>
      </w:r>
    </w:p>
    <w:p>
      <w:pPr>
        <w:pStyle w:val="BodyText"/>
        <w:spacing w:before="120"/>
        <w:ind w:left="1584" w:right="1481"/>
      </w:pPr>
      <w:r>
        <w:t>The inputs in this section are (i) the projected cost-sharing reduction PMPM for ESRD</w:t>
      </w:r>
      <w:r>
        <w:rPr>
          <w:spacing w:val="-5"/>
        </w:rPr>
        <w:t xml:space="preserve"> </w:t>
      </w:r>
      <w:r>
        <w:t>enrollees,</w:t>
      </w:r>
      <w:r>
        <w:rPr>
          <w:spacing w:val="-4"/>
        </w:rPr>
        <w:t xml:space="preserve"> </w:t>
      </w:r>
      <w:r>
        <w:t>and</w:t>
      </w:r>
      <w:r>
        <w:rPr>
          <w:spacing w:val="-4"/>
        </w:rPr>
        <w:t xml:space="preserve"> </w:t>
      </w:r>
      <w:r>
        <w:t>(ii)</w:t>
      </w:r>
      <w:r>
        <w:rPr>
          <w:spacing w:val="-3"/>
        </w:rPr>
        <w:t xml:space="preserve"> </w:t>
      </w:r>
      <w:r>
        <w:t>the</w:t>
      </w:r>
      <w:r>
        <w:rPr>
          <w:spacing w:val="-4"/>
        </w:rPr>
        <w:t xml:space="preserve"> </w:t>
      </w:r>
      <w:r>
        <w:t>projected</w:t>
      </w:r>
      <w:r>
        <w:rPr>
          <w:spacing w:val="-4"/>
        </w:rPr>
        <w:t xml:space="preserve"> </w:t>
      </w:r>
      <w:r>
        <w:t>PMPM</w:t>
      </w:r>
      <w:r>
        <w:rPr>
          <w:spacing w:val="-5"/>
        </w:rPr>
        <w:t xml:space="preserve"> </w:t>
      </w:r>
      <w:r>
        <w:t>cost</w:t>
      </w:r>
      <w:r>
        <w:rPr>
          <w:spacing w:val="-4"/>
        </w:rPr>
        <w:t xml:space="preserve"> </w:t>
      </w:r>
      <w:r>
        <w:t>of</w:t>
      </w:r>
      <w:r>
        <w:rPr>
          <w:spacing w:val="-4"/>
        </w:rPr>
        <w:t xml:space="preserve"> </w:t>
      </w:r>
      <w:r>
        <w:t>additional</w:t>
      </w:r>
      <w:r>
        <w:rPr>
          <w:spacing w:val="-4"/>
        </w:rPr>
        <w:t xml:space="preserve"> </w:t>
      </w:r>
      <w:r>
        <w:t>benefits</w:t>
      </w:r>
      <w:r>
        <w:rPr>
          <w:spacing w:val="-5"/>
        </w:rPr>
        <w:t xml:space="preserve"> </w:t>
      </w:r>
      <w:r>
        <w:t>for</w:t>
      </w:r>
      <w:r>
        <w:rPr>
          <w:spacing w:val="-3"/>
        </w:rPr>
        <w:t xml:space="preserve"> </w:t>
      </w:r>
      <w:r>
        <w:t>ESRD enrollees. Entries must be reported on a “per ESRD member per month” basis.</w:t>
      </w:r>
    </w:p>
    <w:p>
      <w:pPr>
        <w:pStyle w:val="BodyText"/>
        <w:spacing w:before="121"/>
        <w:ind w:left="1584" w:right="1923"/>
        <w:jc w:val="both"/>
      </w:pPr>
      <w:r>
        <w:t>The</w:t>
      </w:r>
      <w:r>
        <w:rPr>
          <w:spacing w:val="-5"/>
        </w:rPr>
        <w:t xml:space="preserve"> </w:t>
      </w:r>
      <w:r>
        <w:t>BPT</w:t>
      </w:r>
      <w:r>
        <w:rPr>
          <w:spacing w:val="-3"/>
        </w:rPr>
        <w:t xml:space="preserve"> </w:t>
      </w:r>
      <w:r>
        <w:t>will</w:t>
      </w:r>
      <w:r>
        <w:rPr>
          <w:spacing w:val="-3"/>
        </w:rPr>
        <w:t xml:space="preserve"> </w:t>
      </w:r>
      <w:r>
        <w:t>calculate</w:t>
      </w:r>
      <w:r>
        <w:rPr>
          <w:spacing w:val="-3"/>
        </w:rPr>
        <w:t xml:space="preserve"> </w:t>
      </w:r>
      <w:r>
        <w:t>the</w:t>
      </w:r>
      <w:r>
        <w:rPr>
          <w:spacing w:val="-4"/>
        </w:rPr>
        <w:t xml:space="preserve"> </w:t>
      </w:r>
      <w:r>
        <w:t>incremental</w:t>
      </w:r>
      <w:r>
        <w:rPr>
          <w:spacing w:val="-3"/>
        </w:rPr>
        <w:t xml:space="preserve"> </w:t>
      </w:r>
      <w:r>
        <w:t>cost</w:t>
      </w:r>
      <w:r>
        <w:rPr>
          <w:spacing w:val="-3"/>
        </w:rPr>
        <w:t xml:space="preserve"> </w:t>
      </w:r>
      <w:r>
        <w:t>of</w:t>
      </w:r>
      <w:r>
        <w:rPr>
          <w:spacing w:val="-3"/>
        </w:rPr>
        <w:t xml:space="preserve"> </w:t>
      </w:r>
      <w:r>
        <w:t>supplemental</w:t>
      </w:r>
      <w:r>
        <w:rPr>
          <w:spacing w:val="-3"/>
        </w:rPr>
        <w:t xml:space="preserve"> </w:t>
      </w:r>
      <w:r>
        <w:t>benefits</w:t>
      </w:r>
      <w:r>
        <w:rPr>
          <w:spacing w:val="-4"/>
        </w:rPr>
        <w:t xml:space="preserve"> </w:t>
      </w:r>
      <w:r>
        <w:t>for</w:t>
      </w:r>
      <w:r>
        <w:rPr>
          <w:spacing w:val="-3"/>
        </w:rPr>
        <w:t xml:space="preserve"> </w:t>
      </w:r>
      <w:r>
        <w:t>ESRD enrollees,</w:t>
      </w:r>
      <w:r>
        <w:rPr>
          <w:spacing w:val="-4"/>
        </w:rPr>
        <w:t xml:space="preserve"> </w:t>
      </w:r>
      <w:r>
        <w:t>including</w:t>
      </w:r>
      <w:r>
        <w:rPr>
          <w:spacing w:val="-4"/>
        </w:rPr>
        <w:t xml:space="preserve"> </w:t>
      </w:r>
      <w:r>
        <w:t>a</w:t>
      </w:r>
      <w:r>
        <w:rPr>
          <w:spacing w:val="-4"/>
        </w:rPr>
        <w:t xml:space="preserve"> </w:t>
      </w:r>
      <w:r>
        <w:t>proportionate</w:t>
      </w:r>
      <w:r>
        <w:rPr>
          <w:spacing w:val="-4"/>
        </w:rPr>
        <w:t xml:space="preserve"> </w:t>
      </w:r>
      <w:r>
        <w:t>share</w:t>
      </w:r>
      <w:r>
        <w:rPr>
          <w:spacing w:val="-6"/>
        </w:rPr>
        <w:t xml:space="preserve"> </w:t>
      </w:r>
      <w:r>
        <w:t>of</w:t>
      </w:r>
      <w:r>
        <w:rPr>
          <w:spacing w:val="-4"/>
        </w:rPr>
        <w:t xml:space="preserve"> </w:t>
      </w:r>
      <w:r>
        <w:t>non-benefit</w:t>
      </w:r>
      <w:r>
        <w:rPr>
          <w:spacing w:val="-4"/>
        </w:rPr>
        <w:t xml:space="preserve"> </w:t>
      </w:r>
      <w:r>
        <w:t>expenses</w:t>
      </w:r>
      <w:r>
        <w:rPr>
          <w:spacing w:val="-5"/>
        </w:rPr>
        <w:t xml:space="preserve"> </w:t>
      </w:r>
      <w:r>
        <w:t>and</w:t>
      </w:r>
      <w:r>
        <w:rPr>
          <w:spacing w:val="-4"/>
        </w:rPr>
        <w:t xml:space="preserve"> </w:t>
      </w:r>
      <w:r>
        <w:t>gain/loss margin, and allocate such costs across ESRD and non-ESRD bid members.</w:t>
      </w:r>
    </w:p>
    <w:p>
      <w:pPr>
        <w:pStyle w:val="BodyText"/>
        <w:spacing w:before="117"/>
        <w:ind w:left="1584" w:right="1821"/>
        <w:jc w:val="both"/>
      </w:pPr>
      <w:r>
        <w:t>If</w:t>
      </w:r>
      <w:r>
        <w:rPr>
          <w:spacing w:val="-5"/>
        </w:rPr>
        <w:t xml:space="preserve"> </w:t>
      </w:r>
      <w:r>
        <w:t>a</w:t>
      </w:r>
      <w:r>
        <w:rPr>
          <w:spacing w:val="-4"/>
        </w:rPr>
        <w:t xml:space="preserve"> </w:t>
      </w:r>
      <w:r>
        <w:t>zero</w:t>
      </w:r>
      <w:r>
        <w:rPr>
          <w:spacing w:val="-3"/>
        </w:rPr>
        <w:t xml:space="preserve"> </w:t>
      </w:r>
      <w:r>
        <w:t>incremental</w:t>
      </w:r>
      <w:r>
        <w:rPr>
          <w:spacing w:val="-3"/>
        </w:rPr>
        <w:t xml:space="preserve"> </w:t>
      </w:r>
      <w:r>
        <w:t>cost</w:t>
      </w:r>
      <w:r>
        <w:rPr>
          <w:spacing w:val="-1"/>
        </w:rPr>
        <w:t xml:space="preserve"> </w:t>
      </w:r>
      <w:r>
        <w:t>of</w:t>
      </w:r>
      <w:r>
        <w:rPr>
          <w:spacing w:val="-3"/>
        </w:rPr>
        <w:t xml:space="preserve"> </w:t>
      </w:r>
      <w:r>
        <w:t>Mandatory</w:t>
      </w:r>
      <w:r>
        <w:rPr>
          <w:spacing w:val="-3"/>
        </w:rPr>
        <w:t xml:space="preserve"> </w:t>
      </w:r>
      <w:r>
        <w:t>Supplemental</w:t>
      </w:r>
      <w:r>
        <w:rPr>
          <w:spacing w:val="-2"/>
        </w:rPr>
        <w:t xml:space="preserve"> </w:t>
      </w:r>
      <w:r>
        <w:t>(MS)</w:t>
      </w:r>
      <w:r>
        <w:rPr>
          <w:spacing w:val="-4"/>
        </w:rPr>
        <w:t xml:space="preserve"> </w:t>
      </w:r>
      <w:r>
        <w:t>is</w:t>
      </w:r>
      <w:r>
        <w:rPr>
          <w:spacing w:val="-4"/>
        </w:rPr>
        <w:t xml:space="preserve"> </w:t>
      </w:r>
      <w:r>
        <w:t>intended,</w:t>
      </w:r>
      <w:r>
        <w:rPr>
          <w:spacing w:val="-3"/>
        </w:rPr>
        <w:t xml:space="preserve"> </w:t>
      </w:r>
      <w:r>
        <w:t>then</w:t>
      </w:r>
      <w:r>
        <w:rPr>
          <w:spacing w:val="-3"/>
        </w:rPr>
        <w:t xml:space="preserve"> </w:t>
      </w:r>
      <w:r>
        <w:t>the user may either—</w:t>
      </w:r>
    </w:p>
    <w:p>
      <w:pPr>
        <w:pStyle w:val="ListParagraph"/>
        <w:numPr>
          <w:ilvl w:val="1"/>
          <w:numId w:val="48"/>
        </w:numPr>
        <w:tabs>
          <w:tab w:val="left" w:pos="1943"/>
        </w:tabs>
        <w:spacing w:before="121" w:after="0" w:line="240" w:lineRule="auto"/>
        <w:ind w:left="1943" w:right="0" w:hanging="359"/>
        <w:jc w:val="both"/>
        <w:rPr>
          <w:sz w:val="24"/>
        </w:rPr>
      </w:pPr>
      <w:r>
        <w:rPr>
          <w:sz w:val="24"/>
        </w:rPr>
        <w:t>Leave</w:t>
      </w:r>
      <w:r>
        <w:rPr>
          <w:spacing w:val="-2"/>
          <w:sz w:val="24"/>
        </w:rPr>
        <w:t xml:space="preserve"> </w:t>
      </w:r>
      <w:r>
        <w:rPr>
          <w:sz w:val="24"/>
        </w:rPr>
        <w:t>the</w:t>
      </w:r>
      <w:r>
        <w:rPr>
          <w:spacing w:val="-1"/>
          <w:sz w:val="24"/>
        </w:rPr>
        <w:t xml:space="preserve"> </w:t>
      </w:r>
      <w:r>
        <w:rPr>
          <w:sz w:val="24"/>
        </w:rPr>
        <w:t>MS</w:t>
      </w:r>
      <w:r>
        <w:rPr>
          <w:spacing w:val="-1"/>
          <w:sz w:val="24"/>
        </w:rPr>
        <w:t xml:space="preserve"> </w:t>
      </w:r>
      <w:r>
        <w:rPr>
          <w:sz w:val="24"/>
        </w:rPr>
        <w:t>input fields</w:t>
      </w:r>
      <w:r>
        <w:rPr>
          <w:spacing w:val="-2"/>
          <w:sz w:val="24"/>
        </w:rPr>
        <w:t xml:space="preserve"> </w:t>
      </w:r>
      <w:r>
        <w:rPr>
          <w:sz w:val="24"/>
        </w:rPr>
        <w:t xml:space="preserve">blank; </w:t>
      </w:r>
      <w:r>
        <w:rPr>
          <w:spacing w:val="-5"/>
          <w:sz w:val="24"/>
        </w:rPr>
        <w:t>or</w:t>
      </w:r>
    </w:p>
    <w:p>
      <w:pPr>
        <w:pStyle w:val="ListParagraph"/>
        <w:numPr>
          <w:ilvl w:val="1"/>
          <w:numId w:val="48"/>
        </w:numPr>
        <w:tabs>
          <w:tab w:val="left" w:pos="1944"/>
        </w:tabs>
        <w:spacing w:before="0" w:after="0" w:line="240" w:lineRule="auto"/>
        <w:ind w:left="1944" w:right="1615" w:hanging="360"/>
        <w:jc w:val="both"/>
        <w:rPr>
          <w:sz w:val="24"/>
        </w:rPr>
      </w:pPr>
      <w:r>
        <w:rPr>
          <w:sz w:val="24"/>
        </w:rPr>
        <w:t>Set</w:t>
      </w:r>
      <w:r>
        <w:rPr>
          <w:spacing w:val="-4"/>
          <w:sz w:val="24"/>
        </w:rPr>
        <w:t xml:space="preserve"> </w:t>
      </w:r>
      <w:r>
        <w:rPr>
          <w:sz w:val="24"/>
        </w:rPr>
        <w:t>these</w:t>
      </w:r>
      <w:r>
        <w:rPr>
          <w:spacing w:val="-5"/>
          <w:sz w:val="24"/>
        </w:rPr>
        <w:t xml:space="preserve"> </w:t>
      </w:r>
      <w:r>
        <w:rPr>
          <w:sz w:val="24"/>
        </w:rPr>
        <w:t>costs</w:t>
      </w:r>
      <w:r>
        <w:rPr>
          <w:spacing w:val="-4"/>
          <w:sz w:val="24"/>
        </w:rPr>
        <w:t xml:space="preserve"> </w:t>
      </w:r>
      <w:r>
        <w:rPr>
          <w:sz w:val="24"/>
        </w:rPr>
        <w:t>equal</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projected</w:t>
      </w:r>
      <w:r>
        <w:rPr>
          <w:spacing w:val="-3"/>
          <w:sz w:val="24"/>
        </w:rPr>
        <w:t xml:space="preserve"> </w:t>
      </w:r>
      <w:r>
        <w:rPr>
          <w:sz w:val="24"/>
        </w:rPr>
        <w:t>cost-sharing</w:t>
      </w:r>
      <w:r>
        <w:rPr>
          <w:spacing w:val="-3"/>
          <w:sz w:val="24"/>
        </w:rPr>
        <w:t xml:space="preserve"> </w:t>
      </w:r>
      <w:r>
        <w:rPr>
          <w:sz w:val="24"/>
        </w:rPr>
        <w:t>reduction</w:t>
      </w:r>
      <w:r>
        <w:rPr>
          <w:spacing w:val="-4"/>
          <w:sz w:val="24"/>
        </w:rPr>
        <w:t xml:space="preserve"> </w:t>
      </w:r>
      <w:r>
        <w:rPr>
          <w:sz w:val="24"/>
        </w:rPr>
        <w:t>PMPM</w:t>
      </w:r>
      <w:r>
        <w:rPr>
          <w:spacing w:val="-5"/>
          <w:sz w:val="24"/>
        </w:rPr>
        <w:t xml:space="preserve"> </w:t>
      </w:r>
      <w:r>
        <w:rPr>
          <w:sz w:val="24"/>
        </w:rPr>
        <w:t>and</w:t>
      </w:r>
      <w:r>
        <w:rPr>
          <w:spacing w:val="-4"/>
          <w:sz w:val="24"/>
        </w:rPr>
        <w:t xml:space="preserve"> </w:t>
      </w:r>
      <w:r>
        <w:rPr>
          <w:sz w:val="24"/>
        </w:rPr>
        <w:t>cost</w:t>
      </w:r>
      <w:r>
        <w:rPr>
          <w:spacing w:val="-4"/>
          <w:sz w:val="24"/>
        </w:rPr>
        <w:t xml:space="preserve"> </w:t>
      </w:r>
      <w:r>
        <w:rPr>
          <w:sz w:val="24"/>
        </w:rPr>
        <w:t>of additional benefits PMPM for non-ESRD enrollees.</w:t>
      </w:r>
    </w:p>
    <w:p>
      <w:pPr>
        <w:spacing w:before="240"/>
        <w:ind w:left="504" w:right="0" w:firstLine="0"/>
        <w:jc w:val="left"/>
        <w:rPr>
          <w:rFonts w:ascii="Arial"/>
          <w:b/>
          <w:sz w:val="21"/>
        </w:rPr>
      </w:pPr>
      <w:bookmarkStart w:id="61" w:name="Enrollment"/>
      <w:bookmarkEnd w:id="61"/>
      <w:bookmarkStart w:id="62" w:name="_bookmark20"/>
      <w:bookmarkEnd w:id="62"/>
      <w:r>
        <w:rPr>
          <w:rFonts w:ascii="Arial"/>
          <w:b/>
          <w:spacing w:val="-2"/>
          <w:sz w:val="21"/>
        </w:rPr>
        <w:t>Enrollment</w:t>
      </w:r>
    </w:p>
    <w:p>
      <w:pPr>
        <w:pStyle w:val="BodyText"/>
        <w:spacing w:before="121"/>
        <w:ind w:right="1450"/>
      </w:pPr>
      <w:r>
        <w:t>The</w:t>
      </w:r>
      <w:r>
        <w:rPr>
          <w:spacing w:val="-4"/>
        </w:rPr>
        <w:t xml:space="preserve"> </w:t>
      </w:r>
      <w:r>
        <w:t>projected</w:t>
      </w:r>
      <w:r>
        <w:rPr>
          <w:spacing w:val="-2"/>
        </w:rPr>
        <w:t xml:space="preserve"> </w:t>
      </w:r>
      <w:r>
        <w:t>enrollment for</w:t>
      </w:r>
      <w:r>
        <w:rPr>
          <w:spacing w:val="-4"/>
        </w:rPr>
        <w:t xml:space="preserve"> </w:t>
      </w:r>
      <w:r>
        <w:t>the</w:t>
      </w:r>
      <w:r>
        <w:rPr>
          <w:spacing w:val="-2"/>
        </w:rPr>
        <w:t xml:space="preserve"> </w:t>
      </w:r>
      <w:r>
        <w:t>MA</w:t>
      </w:r>
      <w:r>
        <w:rPr>
          <w:spacing w:val="-2"/>
        </w:rPr>
        <w:t xml:space="preserve"> </w:t>
      </w:r>
      <w:r>
        <w:t>bid</w:t>
      </w:r>
      <w:r>
        <w:rPr>
          <w:spacing w:val="-2"/>
        </w:rPr>
        <w:t xml:space="preserve"> </w:t>
      </w:r>
      <w:r>
        <w:t>in</w:t>
      </w:r>
      <w:r>
        <w:rPr>
          <w:spacing w:val="-2"/>
        </w:rPr>
        <w:t xml:space="preserve"> </w:t>
      </w:r>
      <w:r>
        <w:t>an</w:t>
      </w:r>
      <w:r>
        <w:rPr>
          <w:spacing w:val="-2"/>
        </w:rPr>
        <w:t xml:space="preserve"> </w:t>
      </w:r>
      <w:r>
        <w:t>MA-PD</w:t>
      </w:r>
      <w:r>
        <w:rPr>
          <w:spacing w:val="-3"/>
        </w:rPr>
        <w:t xml:space="preserve"> </w:t>
      </w:r>
      <w:r>
        <w:t>plan</w:t>
      </w:r>
      <w:r>
        <w:rPr>
          <w:spacing w:val="-2"/>
        </w:rPr>
        <w:t xml:space="preserve"> </w:t>
      </w:r>
      <w:r>
        <w:t>must</w:t>
      </w:r>
      <w:r>
        <w:rPr>
          <w:spacing w:val="-1"/>
        </w:rPr>
        <w:t xml:space="preserve"> </w:t>
      </w:r>
      <w:r>
        <w:t>be</w:t>
      </w:r>
      <w:r>
        <w:rPr>
          <w:spacing w:val="-3"/>
        </w:rPr>
        <w:t xml:space="preserve"> </w:t>
      </w:r>
      <w:r>
        <w:t>consistent</w:t>
      </w:r>
      <w:r>
        <w:rPr>
          <w:spacing w:val="-2"/>
        </w:rPr>
        <w:t xml:space="preserve"> </w:t>
      </w:r>
      <w:r>
        <w:t>with</w:t>
      </w:r>
      <w:r>
        <w:rPr>
          <w:spacing w:val="-2"/>
        </w:rPr>
        <w:t xml:space="preserve"> </w:t>
      </w:r>
      <w:r>
        <w:t>that</w:t>
      </w:r>
      <w:r>
        <w:rPr>
          <w:spacing w:val="-2"/>
        </w:rPr>
        <w:t xml:space="preserve"> </w:t>
      </w:r>
      <w:r>
        <w:t>for</w:t>
      </w:r>
      <w:r>
        <w:rPr>
          <w:spacing w:val="-4"/>
        </w:rPr>
        <w:t xml:space="preserve"> </w:t>
      </w:r>
      <w:r>
        <w:t>the corresponding Part D bid and must reflect the same underlying population. Therefore, if the projected enrollment in a particular county equals zero, the user is to enter for the county code zero (0) projected member months and not another number such as one (1) or a fraction between zero and one. There is no requirement to enter member months greater than zero in order to generate a county-level payment rate.</w:t>
      </w:r>
    </w:p>
    <w:p>
      <w:pPr>
        <w:pStyle w:val="BodyText"/>
        <w:spacing w:before="120"/>
        <w:ind w:right="1481"/>
      </w:pPr>
      <w:r>
        <w:t>If a member is assigned to more than one status at the same time, the priority for assigning status</w:t>
      </w:r>
      <w:r>
        <w:rPr>
          <w:spacing w:val="-3"/>
        </w:rPr>
        <w:t xml:space="preserve"> </w:t>
      </w:r>
      <w:r>
        <w:t>for</w:t>
      </w:r>
      <w:r>
        <w:rPr>
          <w:spacing w:val="-5"/>
        </w:rPr>
        <w:t xml:space="preserve"> </w:t>
      </w:r>
      <w:r>
        <w:t>bid</w:t>
      </w:r>
      <w:r>
        <w:rPr>
          <w:spacing w:val="-3"/>
        </w:rPr>
        <w:t xml:space="preserve"> </w:t>
      </w:r>
      <w:r>
        <w:t>development</w:t>
      </w:r>
      <w:r>
        <w:rPr>
          <w:spacing w:val="-2"/>
        </w:rPr>
        <w:t xml:space="preserve"> </w:t>
      </w:r>
      <w:r>
        <w:t>is</w:t>
      </w:r>
      <w:r>
        <w:rPr>
          <w:spacing w:val="-4"/>
        </w:rPr>
        <w:t xml:space="preserve"> </w:t>
      </w:r>
      <w:r>
        <w:t>(1)</w:t>
      </w:r>
      <w:r>
        <w:rPr>
          <w:spacing w:val="-4"/>
        </w:rPr>
        <w:t xml:space="preserve"> </w:t>
      </w:r>
      <w:r>
        <w:t>hospice,</w:t>
      </w:r>
      <w:r>
        <w:rPr>
          <w:spacing w:val="-3"/>
        </w:rPr>
        <w:t xml:space="preserve"> </w:t>
      </w:r>
      <w:r>
        <w:t>(2)</w:t>
      </w:r>
      <w:r>
        <w:rPr>
          <w:spacing w:val="-4"/>
        </w:rPr>
        <w:t xml:space="preserve"> </w:t>
      </w:r>
      <w:r>
        <w:t>ESRD,</w:t>
      </w:r>
      <w:r>
        <w:rPr>
          <w:spacing w:val="-3"/>
        </w:rPr>
        <w:t xml:space="preserve"> </w:t>
      </w:r>
      <w:r>
        <w:t>(3)</w:t>
      </w:r>
      <w:r>
        <w:rPr>
          <w:spacing w:val="-4"/>
        </w:rPr>
        <w:t xml:space="preserve"> </w:t>
      </w:r>
      <w:r>
        <w:t>out-of-area,</w:t>
      </w:r>
      <w:r>
        <w:rPr>
          <w:spacing w:val="-3"/>
        </w:rPr>
        <w:t xml:space="preserve"> </w:t>
      </w:r>
      <w:r>
        <w:t>and</w:t>
      </w:r>
      <w:r>
        <w:rPr>
          <w:spacing w:val="-1"/>
        </w:rPr>
        <w:t xml:space="preserve"> </w:t>
      </w:r>
      <w:r>
        <w:t>(4)</w:t>
      </w:r>
      <w:r>
        <w:rPr>
          <w:spacing w:val="-3"/>
        </w:rPr>
        <w:t xml:space="preserve"> </w:t>
      </w:r>
      <w:r>
        <w:t>all</w:t>
      </w:r>
      <w:r>
        <w:rPr>
          <w:spacing w:val="-3"/>
        </w:rPr>
        <w:t xml:space="preserve"> </w:t>
      </w:r>
      <w:r>
        <w:t>other</w:t>
      </w:r>
      <w:r>
        <w:rPr>
          <w:spacing w:val="-5"/>
        </w:rPr>
        <w:t xml:space="preserve"> </w:t>
      </w:r>
      <w:r>
        <w:t>statuses.</w:t>
      </w:r>
    </w:p>
    <w:p>
      <w:pPr>
        <w:pStyle w:val="BodyText"/>
        <w:spacing w:before="120"/>
        <w:ind w:right="1481"/>
      </w:pPr>
      <w:r>
        <w:t>The</w:t>
      </w:r>
      <w:r>
        <w:rPr>
          <w:spacing w:val="-6"/>
        </w:rPr>
        <w:t xml:space="preserve"> </w:t>
      </w:r>
      <w:r>
        <w:t>“Hospice</w:t>
      </w:r>
      <w:r>
        <w:rPr>
          <w:spacing w:val="-5"/>
        </w:rPr>
        <w:t xml:space="preserve"> </w:t>
      </w:r>
      <w:r>
        <w:t>Enrollees”</w:t>
      </w:r>
      <w:r>
        <w:rPr>
          <w:spacing w:val="-2"/>
        </w:rPr>
        <w:t xml:space="preserve"> </w:t>
      </w:r>
      <w:r>
        <w:t>and</w:t>
      </w:r>
      <w:r>
        <w:rPr>
          <w:spacing w:val="-4"/>
        </w:rPr>
        <w:t xml:space="preserve"> </w:t>
      </w:r>
      <w:r>
        <w:t>“Out-of-Area</w:t>
      </w:r>
      <w:r>
        <w:rPr>
          <w:spacing w:val="-5"/>
        </w:rPr>
        <w:t xml:space="preserve"> </w:t>
      </w:r>
      <w:r>
        <w:t>Enrollees”</w:t>
      </w:r>
      <w:r>
        <w:rPr>
          <w:spacing w:val="-5"/>
        </w:rPr>
        <w:t xml:space="preserve"> </w:t>
      </w:r>
      <w:r>
        <w:t>pricing</w:t>
      </w:r>
      <w:r>
        <w:rPr>
          <w:spacing w:val="-4"/>
        </w:rPr>
        <w:t xml:space="preserve"> </w:t>
      </w:r>
      <w:r>
        <w:t>considerations</w:t>
      </w:r>
      <w:r>
        <w:rPr>
          <w:spacing w:val="-5"/>
        </w:rPr>
        <w:t xml:space="preserve"> </w:t>
      </w:r>
      <w:r>
        <w:t>explain</w:t>
      </w:r>
      <w:r>
        <w:rPr>
          <w:spacing w:val="-4"/>
        </w:rPr>
        <w:t xml:space="preserve"> </w:t>
      </w:r>
      <w:r>
        <w:t>which BPT entries must include the impact of out-of-area and hospice members.</w:t>
      </w:r>
    </w:p>
    <w:p>
      <w:pPr>
        <w:spacing w:before="241"/>
        <w:ind w:left="504" w:right="0" w:firstLine="0"/>
        <w:jc w:val="left"/>
        <w:rPr>
          <w:rFonts w:ascii="Arial"/>
          <w:b/>
          <w:sz w:val="21"/>
        </w:rPr>
      </w:pPr>
      <w:bookmarkStart w:id="63" w:name="Gain/Loss Margin"/>
      <w:bookmarkEnd w:id="63"/>
      <w:bookmarkStart w:id="64" w:name="_bookmark21"/>
      <w:bookmarkEnd w:id="64"/>
      <w:r>
        <w:rPr>
          <w:rFonts w:ascii="Arial"/>
          <w:b/>
          <w:sz w:val="21"/>
        </w:rPr>
        <w:t>Gain/Loss</w:t>
      </w:r>
      <w:r>
        <w:rPr>
          <w:rFonts w:ascii="Arial"/>
          <w:b/>
          <w:spacing w:val="-7"/>
          <w:sz w:val="21"/>
        </w:rPr>
        <w:t xml:space="preserve"> </w:t>
      </w:r>
      <w:r>
        <w:rPr>
          <w:rFonts w:ascii="Arial"/>
          <w:b/>
          <w:spacing w:val="-2"/>
          <w:sz w:val="21"/>
        </w:rPr>
        <w:t>Margin</w:t>
      </w:r>
    </w:p>
    <w:p>
      <w:pPr>
        <w:pStyle w:val="BodyText"/>
        <w:spacing w:before="121"/>
        <w:ind w:right="1918"/>
      </w:pPr>
      <w:r>
        <w:t>Gain/loss</w:t>
      </w:r>
      <w:r>
        <w:rPr>
          <w:spacing w:val="-4"/>
        </w:rPr>
        <w:t xml:space="preserve"> </w:t>
      </w:r>
      <w:r>
        <w:t>margin</w:t>
      </w:r>
      <w:r>
        <w:rPr>
          <w:spacing w:val="-4"/>
        </w:rPr>
        <w:t xml:space="preserve"> </w:t>
      </w:r>
      <w:r>
        <w:t>refers</w:t>
      </w:r>
      <w:r>
        <w:rPr>
          <w:spacing w:val="-5"/>
        </w:rPr>
        <w:t xml:space="preserve"> </w:t>
      </w:r>
      <w:r>
        <w:t>to</w:t>
      </w:r>
      <w:r>
        <w:rPr>
          <w:spacing w:val="-4"/>
        </w:rPr>
        <w:t xml:space="preserve"> </w:t>
      </w:r>
      <w:r>
        <w:t>the</w:t>
      </w:r>
      <w:r>
        <w:rPr>
          <w:spacing w:val="-4"/>
        </w:rPr>
        <w:t xml:space="preserve"> </w:t>
      </w:r>
      <w:r>
        <w:t>additional</w:t>
      </w:r>
      <w:r>
        <w:rPr>
          <w:spacing w:val="-4"/>
        </w:rPr>
        <w:t xml:space="preserve"> </w:t>
      </w:r>
      <w:r>
        <w:t>revenue</w:t>
      </w:r>
      <w:r>
        <w:rPr>
          <w:spacing w:val="-5"/>
        </w:rPr>
        <w:t xml:space="preserve"> </w:t>
      </w:r>
      <w:r>
        <w:t>requirement</w:t>
      </w:r>
      <w:r>
        <w:rPr>
          <w:spacing w:val="-4"/>
        </w:rPr>
        <w:t xml:space="preserve"> </w:t>
      </w:r>
      <w:r>
        <w:t>beyond</w:t>
      </w:r>
      <w:r>
        <w:rPr>
          <w:spacing w:val="-5"/>
        </w:rPr>
        <w:t xml:space="preserve"> </w:t>
      </w:r>
      <w:r>
        <w:t>benefit</w:t>
      </w:r>
      <w:r>
        <w:rPr>
          <w:spacing w:val="-2"/>
        </w:rPr>
        <w:t xml:space="preserve"> </w:t>
      </w:r>
      <w:r>
        <w:t>expenses</w:t>
      </w:r>
      <w:r>
        <w:rPr>
          <w:spacing w:val="-5"/>
        </w:rPr>
        <w:t xml:space="preserve"> </w:t>
      </w:r>
      <w:r>
        <w:t>and non-benefit expenses.</w:t>
      </w:r>
    </w:p>
    <w:p>
      <w:pPr>
        <w:pStyle w:val="BodyText"/>
        <w:spacing w:before="120"/>
        <w:ind w:right="1481"/>
      </w:pPr>
      <w:r>
        <w:t>By statute, the bid must represent the revenue requirement of the expected population; therefore,</w:t>
      </w:r>
      <w:r>
        <w:rPr>
          <w:spacing w:val="-4"/>
        </w:rPr>
        <w:t xml:space="preserve"> </w:t>
      </w:r>
      <w:r>
        <w:t>the</w:t>
      </w:r>
      <w:r>
        <w:rPr>
          <w:spacing w:val="-4"/>
        </w:rPr>
        <w:t xml:space="preserve"> </w:t>
      </w:r>
      <w:r>
        <w:t>gain/loss</w:t>
      </w:r>
      <w:r>
        <w:rPr>
          <w:spacing w:val="-3"/>
        </w:rPr>
        <w:t xml:space="preserve"> </w:t>
      </w:r>
      <w:r>
        <w:t>margin</w:t>
      </w:r>
      <w:r>
        <w:rPr>
          <w:spacing w:val="-4"/>
        </w:rPr>
        <w:t xml:space="preserve"> </w:t>
      </w:r>
      <w:r>
        <w:t>requirements</w:t>
      </w:r>
      <w:r>
        <w:rPr>
          <w:spacing w:val="-4"/>
        </w:rPr>
        <w:t xml:space="preserve"> </w:t>
      </w:r>
      <w:r>
        <w:t>must</w:t>
      </w:r>
      <w:r>
        <w:rPr>
          <w:spacing w:val="-4"/>
        </w:rPr>
        <w:t xml:space="preserve"> </w:t>
      </w:r>
      <w:r>
        <w:t>be</w:t>
      </w:r>
      <w:r>
        <w:rPr>
          <w:spacing w:val="-4"/>
        </w:rPr>
        <w:t xml:space="preserve"> </w:t>
      </w:r>
      <w:r>
        <w:t>met</w:t>
      </w:r>
      <w:r>
        <w:rPr>
          <w:spacing w:val="-4"/>
        </w:rPr>
        <w:t xml:space="preserve"> </w:t>
      </w:r>
      <w:r>
        <w:t>with</w:t>
      </w:r>
      <w:r>
        <w:rPr>
          <w:spacing w:val="-4"/>
        </w:rPr>
        <w:t xml:space="preserve"> </w:t>
      </w:r>
      <w:r>
        <w:t>the</w:t>
      </w:r>
      <w:r>
        <w:rPr>
          <w:spacing w:val="-4"/>
        </w:rPr>
        <w:t xml:space="preserve"> </w:t>
      </w:r>
      <w:r>
        <w:t>gain/loss</w:t>
      </w:r>
      <w:r>
        <w:rPr>
          <w:spacing w:val="-4"/>
        </w:rPr>
        <w:t xml:space="preserve"> </w:t>
      </w:r>
      <w:r>
        <w:t>margin</w:t>
      </w:r>
      <w:r>
        <w:rPr>
          <w:spacing w:val="-4"/>
        </w:rPr>
        <w:t xml:space="preserve"> </w:t>
      </w:r>
      <w:r>
        <w:t>entered</w:t>
      </w:r>
      <w:r>
        <w:rPr>
          <w:spacing w:val="-4"/>
        </w:rPr>
        <w:t xml:space="preserve"> </w:t>
      </w:r>
      <w:r>
        <w:t>in the BPT.</w:t>
      </w:r>
    </w:p>
    <w:p>
      <w:pPr>
        <w:pStyle w:val="BodyText"/>
        <w:spacing w:before="120"/>
        <w:ind w:right="1481"/>
      </w:pPr>
      <w:r>
        <w:t>Do</w:t>
      </w:r>
      <w:r>
        <w:rPr>
          <w:spacing w:val="-2"/>
        </w:rPr>
        <w:t xml:space="preserve"> </w:t>
      </w:r>
      <w:r>
        <w:t>not</w:t>
      </w:r>
      <w:r>
        <w:rPr>
          <w:spacing w:val="-3"/>
        </w:rPr>
        <w:t xml:space="preserve"> </w:t>
      </w:r>
      <w:r>
        <w:t>combine</w:t>
      </w:r>
      <w:r>
        <w:rPr>
          <w:spacing w:val="-3"/>
        </w:rPr>
        <w:t xml:space="preserve"> </w:t>
      </w:r>
      <w:r>
        <w:t>gain/loss</w:t>
      </w:r>
      <w:r>
        <w:rPr>
          <w:spacing w:val="-1"/>
        </w:rPr>
        <w:t xml:space="preserve"> </w:t>
      </w:r>
      <w:r>
        <w:t>margin</w:t>
      </w:r>
      <w:r>
        <w:rPr>
          <w:spacing w:val="-2"/>
        </w:rPr>
        <w:t xml:space="preserve"> </w:t>
      </w:r>
      <w:r>
        <w:t>for</w:t>
      </w:r>
      <w:r>
        <w:rPr>
          <w:spacing w:val="-3"/>
        </w:rPr>
        <w:t xml:space="preserve"> </w:t>
      </w:r>
      <w:r>
        <w:t>the</w:t>
      </w:r>
      <w:r>
        <w:rPr>
          <w:spacing w:val="-2"/>
        </w:rPr>
        <w:t xml:space="preserve"> </w:t>
      </w:r>
      <w:r>
        <w:t>MA</w:t>
      </w:r>
      <w:r>
        <w:rPr>
          <w:spacing w:val="-1"/>
        </w:rPr>
        <w:t xml:space="preserve"> </w:t>
      </w:r>
      <w:r>
        <w:t>and Part</w:t>
      </w:r>
      <w:r>
        <w:rPr>
          <w:spacing w:val="-2"/>
        </w:rPr>
        <w:t xml:space="preserve"> </w:t>
      </w:r>
      <w:r>
        <w:t>D</w:t>
      </w:r>
      <w:r>
        <w:rPr>
          <w:spacing w:val="-3"/>
        </w:rPr>
        <w:t xml:space="preserve"> </w:t>
      </w:r>
      <w:r>
        <w:t>components</w:t>
      </w:r>
      <w:r>
        <w:rPr>
          <w:spacing w:val="-3"/>
        </w:rPr>
        <w:t xml:space="preserve"> </w:t>
      </w:r>
      <w:r>
        <w:t>of</w:t>
      </w:r>
      <w:r>
        <w:rPr>
          <w:spacing w:val="-2"/>
        </w:rPr>
        <w:t xml:space="preserve"> </w:t>
      </w:r>
      <w:r>
        <w:t>MA-PD</w:t>
      </w:r>
      <w:r>
        <w:rPr>
          <w:spacing w:val="-3"/>
        </w:rPr>
        <w:t xml:space="preserve"> </w:t>
      </w:r>
      <w:r>
        <w:t>bids</w:t>
      </w:r>
      <w:r>
        <w:rPr>
          <w:spacing w:val="-3"/>
        </w:rPr>
        <w:t xml:space="preserve"> </w:t>
      </w:r>
      <w:r>
        <w:t>to</w:t>
      </w:r>
      <w:r>
        <w:rPr>
          <w:spacing w:val="-2"/>
        </w:rPr>
        <w:t xml:space="preserve"> </w:t>
      </w:r>
      <w:r>
        <w:t>satisfy these Instructions.</w:t>
      </w:r>
    </w:p>
    <w:p>
      <w:pPr>
        <w:pStyle w:val="BodyText"/>
        <w:spacing w:before="120"/>
      </w:pPr>
      <w:r>
        <w:t>Do</w:t>
      </w:r>
      <w:r>
        <w:rPr>
          <w:spacing w:val="-2"/>
        </w:rPr>
        <w:t xml:space="preserve"> </w:t>
      </w:r>
      <w:r>
        <w:t>not</w:t>
      </w:r>
      <w:r>
        <w:rPr>
          <w:spacing w:val="-1"/>
        </w:rPr>
        <w:t xml:space="preserve"> </w:t>
      </w:r>
      <w:r>
        <w:t>combine</w:t>
      </w:r>
      <w:r>
        <w:rPr>
          <w:spacing w:val="-2"/>
        </w:rPr>
        <w:t xml:space="preserve"> </w:t>
      </w:r>
      <w:r>
        <w:t>gain/loss margins</w:t>
      </w:r>
      <w:r>
        <w:rPr>
          <w:spacing w:val="-1"/>
        </w:rPr>
        <w:t xml:space="preserve"> </w:t>
      </w:r>
      <w:r>
        <w:t>for</w:t>
      </w:r>
      <w:r>
        <w:rPr>
          <w:spacing w:val="-3"/>
        </w:rPr>
        <w:t xml:space="preserve"> </w:t>
      </w:r>
      <w:r>
        <w:t>bids</w:t>
      </w:r>
      <w:r>
        <w:rPr>
          <w:spacing w:val="-1"/>
        </w:rPr>
        <w:t xml:space="preserve"> </w:t>
      </w:r>
      <w:r>
        <w:t>in</w:t>
      </w:r>
      <w:r>
        <w:rPr>
          <w:spacing w:val="-1"/>
        </w:rPr>
        <w:t xml:space="preserve"> </w:t>
      </w:r>
      <w:r>
        <w:t>segmented</w:t>
      </w:r>
      <w:r>
        <w:rPr>
          <w:spacing w:val="-1"/>
        </w:rPr>
        <w:t xml:space="preserve"> </w:t>
      </w:r>
      <w:r>
        <w:t>plans</w:t>
      </w:r>
      <w:r>
        <w:rPr>
          <w:spacing w:val="-2"/>
        </w:rPr>
        <w:t xml:space="preserve"> </w:t>
      </w:r>
      <w:r>
        <w:t>to</w:t>
      </w:r>
      <w:r>
        <w:rPr>
          <w:spacing w:val="-1"/>
        </w:rPr>
        <w:t xml:space="preserve"> </w:t>
      </w:r>
      <w:r>
        <w:t>satisfy</w:t>
      </w:r>
      <w:r>
        <w:rPr>
          <w:spacing w:val="-1"/>
        </w:rPr>
        <w:t xml:space="preserve"> </w:t>
      </w:r>
      <w:r>
        <w:t xml:space="preserve">these </w:t>
      </w:r>
      <w:r>
        <w:rPr>
          <w:spacing w:val="-2"/>
        </w:rPr>
        <w:t>Instructions.</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right="1481"/>
      </w:pPr>
      <w:r>
        <w:t>The gain/loss margin entered in the BPT must be determined in connection with other CMS instructions such as Total Beneficiary Cost (TBC). If there is a conflict between satisfying gain/loss margin requirements and other CMS instructions, flexibility will be given to the gain/loss</w:t>
      </w:r>
      <w:r>
        <w:rPr>
          <w:spacing w:val="-3"/>
        </w:rPr>
        <w:t xml:space="preserve"> </w:t>
      </w:r>
      <w:r>
        <w:t>margin</w:t>
      </w:r>
      <w:r>
        <w:rPr>
          <w:spacing w:val="-3"/>
        </w:rPr>
        <w:t xml:space="preserve"> </w:t>
      </w:r>
      <w:r>
        <w:t>requirements</w:t>
      </w:r>
      <w:r>
        <w:rPr>
          <w:spacing w:val="-4"/>
        </w:rPr>
        <w:t xml:space="preserve"> </w:t>
      </w:r>
      <w:r>
        <w:t>only</w:t>
      </w:r>
      <w:r>
        <w:rPr>
          <w:spacing w:val="-3"/>
        </w:rPr>
        <w:t xml:space="preserve"> </w:t>
      </w:r>
      <w:r>
        <w:t>to</w:t>
      </w:r>
      <w:r>
        <w:rPr>
          <w:spacing w:val="-3"/>
        </w:rPr>
        <w:t xml:space="preserve"> </w:t>
      </w:r>
      <w:r>
        <w:t>the</w:t>
      </w:r>
      <w:r>
        <w:rPr>
          <w:spacing w:val="-4"/>
        </w:rPr>
        <w:t xml:space="preserve"> </w:t>
      </w:r>
      <w:r>
        <w:t>extent</w:t>
      </w:r>
      <w:r>
        <w:rPr>
          <w:spacing w:val="-3"/>
        </w:rPr>
        <w:t xml:space="preserve"> </w:t>
      </w:r>
      <w:r>
        <w:t>necessary</w:t>
      </w:r>
      <w:r>
        <w:rPr>
          <w:spacing w:val="-3"/>
        </w:rPr>
        <w:t xml:space="preserve"> </w:t>
      </w:r>
      <w:r>
        <w:t>to</w:t>
      </w:r>
      <w:r>
        <w:rPr>
          <w:spacing w:val="-3"/>
        </w:rPr>
        <w:t xml:space="preserve"> </w:t>
      </w:r>
      <w:r>
        <w:t>meet</w:t>
      </w:r>
      <w:r>
        <w:rPr>
          <w:spacing w:val="-3"/>
        </w:rPr>
        <w:t xml:space="preserve"> </w:t>
      </w:r>
      <w:r>
        <w:t>the</w:t>
      </w:r>
      <w:r>
        <w:rPr>
          <w:spacing w:val="-4"/>
        </w:rPr>
        <w:t xml:space="preserve"> </w:t>
      </w:r>
      <w:r>
        <w:t>other</w:t>
      </w:r>
      <w:r>
        <w:rPr>
          <w:spacing w:val="-3"/>
        </w:rPr>
        <w:t xml:space="preserve"> </w:t>
      </w:r>
      <w:r>
        <w:t>CMS instructions. Such conflicts with the gain/loss margin requirements must be disclosed, fully explained, and supported. An exception must be approved by CMS.</w:t>
      </w:r>
    </w:p>
    <w:p>
      <w:pPr>
        <w:pStyle w:val="BodyText"/>
        <w:spacing w:before="120"/>
        <w:ind w:right="1481"/>
      </w:pPr>
      <w:r>
        <w:t>Gain/loss</w:t>
      </w:r>
      <w:r>
        <w:rPr>
          <w:spacing w:val="-3"/>
        </w:rPr>
        <w:t xml:space="preserve"> </w:t>
      </w:r>
      <w:r>
        <w:t>margin</w:t>
      </w:r>
      <w:r>
        <w:rPr>
          <w:spacing w:val="-3"/>
        </w:rPr>
        <w:t xml:space="preserve"> </w:t>
      </w:r>
      <w:r>
        <w:t>requirements</w:t>
      </w:r>
      <w:r>
        <w:rPr>
          <w:spacing w:val="-4"/>
        </w:rPr>
        <w:t xml:space="preserve"> </w:t>
      </w:r>
      <w:r>
        <w:t>apply</w:t>
      </w:r>
      <w:r>
        <w:rPr>
          <w:spacing w:val="-3"/>
        </w:rPr>
        <w:t xml:space="preserve"> </w:t>
      </w:r>
      <w:r>
        <w:t>at</w:t>
      </w:r>
      <w:r>
        <w:rPr>
          <w:spacing w:val="-3"/>
        </w:rPr>
        <w:t xml:space="preserve"> </w:t>
      </w:r>
      <w:r>
        <w:t>two</w:t>
      </w:r>
      <w:r>
        <w:rPr>
          <w:spacing w:val="-3"/>
        </w:rPr>
        <w:t xml:space="preserve"> </w:t>
      </w:r>
      <w:r>
        <w:t>levels—the</w:t>
      </w:r>
      <w:r>
        <w:rPr>
          <w:spacing w:val="-3"/>
        </w:rPr>
        <w:t xml:space="preserve"> </w:t>
      </w:r>
      <w:r>
        <w:t>bid</w:t>
      </w:r>
      <w:r>
        <w:rPr>
          <w:spacing w:val="-3"/>
        </w:rPr>
        <w:t xml:space="preserve"> </w:t>
      </w:r>
      <w:r>
        <w:t>level</w:t>
      </w:r>
      <w:r>
        <w:rPr>
          <w:spacing w:val="-3"/>
        </w:rPr>
        <w:t xml:space="preserve"> </w:t>
      </w:r>
      <w:r>
        <w:t>and</w:t>
      </w:r>
      <w:r>
        <w:rPr>
          <w:spacing w:val="-4"/>
        </w:rPr>
        <w:t xml:space="preserve"> </w:t>
      </w:r>
      <w:r>
        <w:t>the</w:t>
      </w:r>
      <w:r>
        <w:rPr>
          <w:spacing w:val="-4"/>
        </w:rPr>
        <w:t xml:space="preserve"> </w:t>
      </w:r>
      <w:r>
        <w:t>aggregate</w:t>
      </w:r>
      <w:r>
        <w:rPr>
          <w:spacing w:val="-3"/>
        </w:rPr>
        <w:t xml:space="preserve"> </w:t>
      </w:r>
      <w:r>
        <w:t>level—and both sets of requirements must be met in the initial bid submission and upon bid resubmission or withdrawal.</w:t>
      </w:r>
    </w:p>
    <w:p>
      <w:pPr>
        <w:spacing w:before="241"/>
        <w:ind w:left="1224" w:right="0" w:firstLine="0"/>
        <w:jc w:val="left"/>
        <w:rPr>
          <w:rFonts w:ascii="Arial"/>
          <w:b/>
          <w:i/>
          <w:sz w:val="21"/>
        </w:rPr>
      </w:pPr>
      <w:r>
        <w:rPr>
          <w:rFonts w:ascii="Arial"/>
          <w:b/>
          <w:i/>
          <w:spacing w:val="-2"/>
          <w:sz w:val="21"/>
        </w:rPr>
        <w:t>Definitions</w:t>
      </w:r>
    </w:p>
    <w:p>
      <w:pPr>
        <w:pStyle w:val="BodyText"/>
        <w:spacing w:before="120"/>
        <w:ind w:left="1224"/>
      </w:pPr>
      <w:r>
        <w:t>In</w:t>
      </w:r>
      <w:r>
        <w:rPr>
          <w:spacing w:val="-2"/>
        </w:rPr>
        <w:t xml:space="preserve"> </w:t>
      </w:r>
      <w:r>
        <w:t>the</w:t>
      </w:r>
      <w:r>
        <w:rPr>
          <w:spacing w:val="-2"/>
        </w:rPr>
        <w:t xml:space="preserve"> </w:t>
      </w:r>
      <w:r>
        <w:t>BPT</w:t>
      </w:r>
      <w:r>
        <w:rPr>
          <w:spacing w:val="-1"/>
        </w:rPr>
        <w:t xml:space="preserve"> </w:t>
      </w:r>
      <w:r>
        <w:t>and in</w:t>
      </w:r>
      <w:r>
        <w:rPr>
          <w:spacing w:val="-2"/>
        </w:rPr>
        <w:t xml:space="preserve"> </w:t>
      </w:r>
      <w:r>
        <w:t>these Instructions,</w:t>
      </w:r>
      <w:r>
        <w:rPr>
          <w:spacing w:val="-1"/>
        </w:rPr>
        <w:t xml:space="preserve"> </w:t>
      </w:r>
      <w:r>
        <w:t>the</w:t>
      </w:r>
      <w:r>
        <w:rPr>
          <w:spacing w:val="-2"/>
        </w:rPr>
        <w:t xml:space="preserve"> </w:t>
      </w:r>
      <w:r>
        <w:rPr>
          <w:spacing w:val="-4"/>
        </w:rPr>
        <w:t>term—</w:t>
      </w:r>
    </w:p>
    <w:p>
      <w:pPr>
        <w:pStyle w:val="ListParagraph"/>
        <w:numPr>
          <w:ilvl w:val="1"/>
          <w:numId w:val="48"/>
        </w:numPr>
        <w:tabs>
          <w:tab w:val="left" w:pos="1944"/>
        </w:tabs>
        <w:spacing w:before="121" w:after="0" w:line="240" w:lineRule="auto"/>
        <w:ind w:left="1944" w:right="1680" w:hanging="360"/>
        <w:jc w:val="left"/>
        <w:rPr>
          <w:sz w:val="24"/>
        </w:rPr>
      </w:pPr>
      <w:r>
        <w:rPr>
          <w:sz w:val="24"/>
        </w:rPr>
        <w:t>“Aggregate</w:t>
      </w:r>
      <w:r>
        <w:rPr>
          <w:spacing w:val="-5"/>
          <w:sz w:val="24"/>
        </w:rPr>
        <w:t xml:space="preserve"> </w:t>
      </w:r>
      <w:r>
        <w:rPr>
          <w:sz w:val="24"/>
        </w:rPr>
        <w:t>MA</w:t>
      </w:r>
      <w:r>
        <w:rPr>
          <w:spacing w:val="-5"/>
          <w:sz w:val="24"/>
        </w:rPr>
        <w:t xml:space="preserve"> </w:t>
      </w:r>
      <w:r>
        <w:rPr>
          <w:sz w:val="24"/>
        </w:rPr>
        <w:t>gain/loss</w:t>
      </w:r>
      <w:r>
        <w:rPr>
          <w:spacing w:val="-5"/>
          <w:sz w:val="24"/>
        </w:rPr>
        <w:t xml:space="preserve"> </w:t>
      </w:r>
      <w:r>
        <w:rPr>
          <w:sz w:val="24"/>
        </w:rPr>
        <w:t>margin”</w:t>
      </w:r>
      <w:r>
        <w:rPr>
          <w:spacing w:val="-5"/>
          <w:sz w:val="24"/>
        </w:rPr>
        <w:t xml:space="preserve"> </w:t>
      </w:r>
      <w:r>
        <w:rPr>
          <w:sz w:val="24"/>
        </w:rPr>
        <w:t>refers</w:t>
      </w:r>
      <w:r>
        <w:rPr>
          <w:spacing w:val="-6"/>
          <w:sz w:val="24"/>
        </w:rPr>
        <w:t xml:space="preserve"> </w:t>
      </w:r>
      <w:r>
        <w:rPr>
          <w:sz w:val="24"/>
        </w:rPr>
        <w:t>to</w:t>
      </w:r>
      <w:r>
        <w:rPr>
          <w:spacing w:val="-5"/>
          <w:sz w:val="24"/>
        </w:rPr>
        <w:t xml:space="preserve"> </w:t>
      </w:r>
      <w:r>
        <w:rPr>
          <w:sz w:val="24"/>
        </w:rPr>
        <w:t>the</w:t>
      </w:r>
      <w:r>
        <w:rPr>
          <w:spacing w:val="-5"/>
          <w:sz w:val="24"/>
        </w:rPr>
        <w:t xml:space="preserve"> </w:t>
      </w:r>
      <w:r>
        <w:rPr>
          <w:sz w:val="24"/>
        </w:rPr>
        <w:t>projected</w:t>
      </w:r>
      <w:r>
        <w:rPr>
          <w:spacing w:val="-5"/>
          <w:sz w:val="24"/>
        </w:rPr>
        <w:t xml:space="preserve"> </w:t>
      </w:r>
      <w:r>
        <w:rPr>
          <w:sz w:val="24"/>
        </w:rPr>
        <w:t>enrollment-weighted average BPT PMPM gain/loss margin for all MA BPTs, including general enrollment plans, SNPs, and MSA plans.</w:t>
      </w:r>
    </w:p>
    <w:p>
      <w:pPr>
        <w:spacing w:before="238"/>
        <w:ind w:left="1224" w:right="0" w:firstLine="0"/>
        <w:jc w:val="left"/>
        <w:rPr>
          <w:rFonts w:ascii="Arial"/>
          <w:b/>
          <w:i/>
          <w:sz w:val="21"/>
        </w:rPr>
      </w:pPr>
      <w:bookmarkStart w:id="65" w:name="Bid-Level Requirements"/>
      <w:bookmarkEnd w:id="65"/>
      <w:r>
        <w:rPr>
          <w:rFonts w:ascii="Arial"/>
          <w:b/>
          <w:i/>
          <w:sz w:val="21"/>
        </w:rPr>
        <w:t>Bid-Level</w:t>
      </w:r>
      <w:r>
        <w:rPr>
          <w:rFonts w:ascii="Arial"/>
          <w:b/>
          <w:i/>
          <w:spacing w:val="-9"/>
          <w:sz w:val="21"/>
        </w:rPr>
        <w:t xml:space="preserve"> </w:t>
      </w:r>
      <w:r>
        <w:rPr>
          <w:rFonts w:ascii="Arial"/>
          <w:b/>
          <w:i/>
          <w:spacing w:val="-2"/>
          <w:sz w:val="21"/>
        </w:rPr>
        <w:t>Requirements</w:t>
      </w:r>
    </w:p>
    <w:p>
      <w:pPr>
        <w:pStyle w:val="BodyText"/>
        <w:spacing w:before="120"/>
        <w:ind w:left="1224" w:right="1481"/>
      </w:pPr>
      <w:r>
        <w:t>The</w:t>
      </w:r>
      <w:r>
        <w:rPr>
          <w:spacing w:val="-6"/>
        </w:rPr>
        <w:t xml:space="preserve"> </w:t>
      </w:r>
      <w:r>
        <w:t>gain/loss</w:t>
      </w:r>
      <w:r>
        <w:rPr>
          <w:spacing w:val="-4"/>
        </w:rPr>
        <w:t xml:space="preserve"> </w:t>
      </w:r>
      <w:r>
        <w:t>margin</w:t>
      </w:r>
      <w:r>
        <w:rPr>
          <w:spacing w:val="-4"/>
        </w:rPr>
        <w:t xml:space="preserve"> </w:t>
      </w:r>
      <w:r>
        <w:t>entered</w:t>
      </w:r>
      <w:r>
        <w:rPr>
          <w:spacing w:val="-4"/>
        </w:rPr>
        <w:t xml:space="preserve"> </w:t>
      </w:r>
      <w:r>
        <w:t>in</w:t>
      </w:r>
      <w:r>
        <w:rPr>
          <w:spacing w:val="-4"/>
        </w:rPr>
        <w:t xml:space="preserve"> </w:t>
      </w:r>
      <w:r>
        <w:t>the</w:t>
      </w:r>
      <w:r>
        <w:rPr>
          <w:spacing w:val="-5"/>
        </w:rPr>
        <w:t xml:space="preserve"> </w:t>
      </w:r>
      <w:r>
        <w:t>BPT</w:t>
      </w:r>
      <w:r>
        <w:rPr>
          <w:spacing w:val="-3"/>
        </w:rPr>
        <w:t xml:space="preserve"> </w:t>
      </w:r>
      <w:r>
        <w:t>is</w:t>
      </w:r>
      <w:r>
        <w:rPr>
          <w:spacing w:val="-3"/>
        </w:rPr>
        <w:t xml:space="preserve"> </w:t>
      </w:r>
      <w:r>
        <w:t>allocated</w:t>
      </w:r>
      <w:r>
        <w:rPr>
          <w:spacing w:val="-4"/>
        </w:rPr>
        <w:t xml:space="preserve"> </w:t>
      </w:r>
      <w:r>
        <w:t>to</w:t>
      </w:r>
      <w:r>
        <w:rPr>
          <w:spacing w:val="-4"/>
        </w:rPr>
        <w:t xml:space="preserve"> </w:t>
      </w:r>
      <w:r>
        <w:t>Medicare-covered</w:t>
      </w:r>
      <w:r>
        <w:rPr>
          <w:spacing w:val="-3"/>
        </w:rPr>
        <w:t xml:space="preserve"> </w:t>
      </w:r>
      <w:r>
        <w:t>services</w:t>
      </w:r>
      <w:r>
        <w:rPr>
          <w:spacing w:val="-2"/>
        </w:rPr>
        <w:t xml:space="preserve"> </w:t>
      </w:r>
      <w:r>
        <w:t>and A/B mandatory supplemental benefits based on the distribution of total medical expenses between these benefits (excluding the impact of the ESRD subsidy).</w:t>
      </w:r>
    </w:p>
    <w:p>
      <w:pPr>
        <w:pStyle w:val="BodyText"/>
        <w:spacing w:before="120"/>
        <w:ind w:left="1224"/>
      </w:pPr>
      <w:r>
        <w:t>There</w:t>
      </w:r>
      <w:r>
        <w:rPr>
          <w:spacing w:val="-3"/>
        </w:rPr>
        <w:t xml:space="preserve"> </w:t>
      </w:r>
      <w:r>
        <w:t>is</w:t>
      </w:r>
      <w:r>
        <w:rPr>
          <w:spacing w:val="-2"/>
        </w:rPr>
        <w:t xml:space="preserve"> </w:t>
      </w:r>
      <w:r>
        <w:t>flexibility</w:t>
      </w:r>
      <w:r>
        <w:rPr>
          <w:spacing w:val="-1"/>
        </w:rPr>
        <w:t xml:space="preserve"> </w:t>
      </w:r>
      <w:r>
        <w:t>in</w:t>
      </w:r>
      <w:r>
        <w:rPr>
          <w:spacing w:val="-1"/>
        </w:rPr>
        <w:t xml:space="preserve"> </w:t>
      </w:r>
      <w:r>
        <w:t>setting</w:t>
      </w:r>
      <w:r>
        <w:rPr>
          <w:spacing w:val="1"/>
        </w:rPr>
        <w:t xml:space="preserve"> </w:t>
      </w:r>
      <w:r>
        <w:t>the</w:t>
      </w:r>
      <w:r>
        <w:rPr>
          <w:spacing w:val="-2"/>
        </w:rPr>
        <w:t xml:space="preserve"> </w:t>
      </w:r>
      <w:r>
        <w:t>gain/loss</w:t>
      </w:r>
      <w:r>
        <w:rPr>
          <w:spacing w:val="-1"/>
        </w:rPr>
        <w:t xml:space="preserve"> </w:t>
      </w:r>
      <w:r>
        <w:t>margin</w:t>
      </w:r>
      <w:r>
        <w:rPr>
          <w:spacing w:val="-1"/>
        </w:rPr>
        <w:t xml:space="preserve"> </w:t>
      </w:r>
      <w:r>
        <w:t>at</w:t>
      </w:r>
      <w:r>
        <w:rPr>
          <w:spacing w:val="-1"/>
        </w:rPr>
        <w:t xml:space="preserve"> </w:t>
      </w:r>
      <w:r>
        <w:t>the</w:t>
      </w:r>
      <w:r>
        <w:rPr>
          <w:spacing w:val="-1"/>
        </w:rPr>
        <w:t xml:space="preserve"> </w:t>
      </w:r>
      <w:r>
        <w:t>bid</w:t>
      </w:r>
      <w:r>
        <w:rPr>
          <w:spacing w:val="-1"/>
        </w:rPr>
        <w:t xml:space="preserve"> </w:t>
      </w:r>
      <w:r>
        <w:t>level</w:t>
      </w:r>
      <w:r>
        <w:rPr>
          <w:spacing w:val="-1"/>
        </w:rPr>
        <w:t xml:space="preserve"> </w:t>
      </w:r>
      <w:r>
        <w:t>provided</w:t>
      </w:r>
      <w:r>
        <w:rPr>
          <w:spacing w:val="1"/>
        </w:rPr>
        <w:t xml:space="preserve"> </w:t>
      </w:r>
      <w:r>
        <w:rPr>
          <w:spacing w:val="-2"/>
        </w:rPr>
        <w:t>that—</w:t>
      </w:r>
    </w:p>
    <w:p>
      <w:pPr>
        <w:pStyle w:val="ListParagraph"/>
        <w:numPr>
          <w:ilvl w:val="1"/>
          <w:numId w:val="48"/>
        </w:numPr>
        <w:tabs>
          <w:tab w:val="left" w:pos="1944"/>
        </w:tabs>
        <w:spacing w:before="121" w:after="0" w:line="240" w:lineRule="auto"/>
        <w:ind w:left="1944" w:right="0" w:hanging="360"/>
        <w:jc w:val="left"/>
        <w:rPr>
          <w:sz w:val="24"/>
        </w:rPr>
      </w:pPr>
      <w:r>
        <w:rPr>
          <w:sz w:val="24"/>
        </w:rPr>
        <w:t>The</w:t>
      </w:r>
      <w:r>
        <w:rPr>
          <w:spacing w:val="-3"/>
          <w:sz w:val="24"/>
        </w:rPr>
        <w:t xml:space="preserve"> </w:t>
      </w:r>
      <w:r>
        <w:rPr>
          <w:sz w:val="24"/>
        </w:rPr>
        <w:t>bid</w:t>
      </w:r>
      <w:r>
        <w:rPr>
          <w:spacing w:val="-1"/>
          <w:sz w:val="24"/>
        </w:rPr>
        <w:t xml:space="preserve"> </w:t>
      </w:r>
      <w:r>
        <w:rPr>
          <w:sz w:val="24"/>
        </w:rPr>
        <w:t>offers</w:t>
      </w:r>
      <w:r>
        <w:rPr>
          <w:spacing w:val="-2"/>
          <w:sz w:val="24"/>
        </w:rPr>
        <w:t xml:space="preserve"> </w:t>
      </w:r>
      <w:r>
        <w:rPr>
          <w:sz w:val="24"/>
        </w:rPr>
        <w:t>benefit value</w:t>
      </w:r>
      <w:r>
        <w:rPr>
          <w:spacing w:val="-1"/>
          <w:sz w:val="24"/>
        </w:rPr>
        <w:t xml:space="preserve"> </w:t>
      </w:r>
      <w:r>
        <w:rPr>
          <w:sz w:val="24"/>
        </w:rPr>
        <w:t>in</w:t>
      </w:r>
      <w:r>
        <w:rPr>
          <w:spacing w:val="-1"/>
          <w:sz w:val="24"/>
        </w:rPr>
        <w:t xml:space="preserve"> </w:t>
      </w:r>
      <w:r>
        <w:rPr>
          <w:sz w:val="24"/>
        </w:rPr>
        <w:t>relation</w:t>
      </w:r>
      <w:r>
        <w:rPr>
          <w:spacing w:val="-1"/>
          <w:sz w:val="24"/>
        </w:rPr>
        <w:t xml:space="preserve"> </w:t>
      </w:r>
      <w:r>
        <w:rPr>
          <w:sz w:val="24"/>
        </w:rPr>
        <w:t xml:space="preserve">to the gain/loss margin </w:t>
      </w:r>
      <w:r>
        <w:rPr>
          <w:spacing w:val="-2"/>
          <w:sz w:val="24"/>
        </w:rPr>
        <w:t>level;</w:t>
      </w:r>
    </w:p>
    <w:p>
      <w:pPr>
        <w:pStyle w:val="ListParagraph"/>
        <w:numPr>
          <w:ilvl w:val="1"/>
          <w:numId w:val="48"/>
        </w:numPr>
        <w:tabs>
          <w:tab w:val="left" w:pos="1944"/>
        </w:tabs>
        <w:spacing w:before="0" w:after="0" w:line="240" w:lineRule="auto"/>
        <w:ind w:left="1944" w:right="0" w:hanging="360"/>
        <w:jc w:val="left"/>
        <w:rPr>
          <w:sz w:val="24"/>
        </w:rPr>
      </w:pPr>
      <w:r>
        <w:rPr>
          <w:sz w:val="24"/>
        </w:rPr>
        <w:t>Anti-competitive</w:t>
      </w:r>
      <w:r>
        <w:rPr>
          <w:spacing w:val="-4"/>
          <w:sz w:val="24"/>
        </w:rPr>
        <w:t xml:space="preserve"> </w:t>
      </w:r>
      <w:r>
        <w:rPr>
          <w:sz w:val="24"/>
        </w:rPr>
        <w:t>practices</w:t>
      </w:r>
      <w:r>
        <w:rPr>
          <w:spacing w:val="-2"/>
          <w:sz w:val="24"/>
        </w:rPr>
        <w:t xml:space="preserve"> </w:t>
      </w:r>
      <w:r>
        <w:rPr>
          <w:sz w:val="24"/>
        </w:rPr>
        <w:t>are</w:t>
      </w:r>
      <w:r>
        <w:rPr>
          <w:spacing w:val="-4"/>
          <w:sz w:val="24"/>
        </w:rPr>
        <w:t xml:space="preserve"> </w:t>
      </w:r>
      <w:r>
        <w:rPr>
          <w:sz w:val="24"/>
        </w:rPr>
        <w:t>not</w:t>
      </w:r>
      <w:r>
        <w:rPr>
          <w:spacing w:val="-1"/>
          <w:sz w:val="24"/>
        </w:rPr>
        <w:t xml:space="preserve"> </w:t>
      </w:r>
      <w:r>
        <w:rPr>
          <w:sz w:val="24"/>
        </w:rPr>
        <w:t>used;</w:t>
      </w:r>
      <w:r>
        <w:rPr>
          <w:spacing w:val="1"/>
          <w:sz w:val="24"/>
        </w:rPr>
        <w:t xml:space="preserve"> </w:t>
      </w:r>
      <w:r>
        <w:rPr>
          <w:spacing w:val="-5"/>
          <w:sz w:val="24"/>
        </w:rPr>
        <w:t>and</w:t>
      </w:r>
    </w:p>
    <w:p>
      <w:pPr>
        <w:pStyle w:val="ListParagraph"/>
        <w:numPr>
          <w:ilvl w:val="1"/>
          <w:numId w:val="48"/>
        </w:numPr>
        <w:tabs>
          <w:tab w:val="left" w:pos="1944"/>
        </w:tabs>
        <w:spacing w:before="0" w:after="0" w:line="240" w:lineRule="auto"/>
        <w:ind w:left="1944" w:right="0" w:hanging="360"/>
        <w:jc w:val="left"/>
        <w:rPr>
          <w:sz w:val="24"/>
        </w:rPr>
      </w:pPr>
      <w:r>
        <w:rPr>
          <w:sz w:val="24"/>
        </w:rPr>
        <w:t>All</w:t>
      </w:r>
      <w:r>
        <w:rPr>
          <w:spacing w:val="-3"/>
          <w:sz w:val="24"/>
        </w:rPr>
        <w:t xml:space="preserve"> </w:t>
      </w:r>
      <w:r>
        <w:rPr>
          <w:sz w:val="24"/>
        </w:rPr>
        <w:t>aggregate-level</w:t>
      </w:r>
      <w:r>
        <w:rPr>
          <w:spacing w:val="-3"/>
          <w:sz w:val="24"/>
        </w:rPr>
        <w:t xml:space="preserve"> </w:t>
      </w:r>
      <w:r>
        <w:rPr>
          <w:sz w:val="24"/>
        </w:rPr>
        <w:t>gain/loss</w:t>
      </w:r>
      <w:r>
        <w:rPr>
          <w:spacing w:val="-2"/>
          <w:sz w:val="24"/>
        </w:rPr>
        <w:t xml:space="preserve"> </w:t>
      </w:r>
      <w:r>
        <w:rPr>
          <w:sz w:val="24"/>
        </w:rPr>
        <w:t>margin</w:t>
      </w:r>
      <w:r>
        <w:rPr>
          <w:spacing w:val="-3"/>
          <w:sz w:val="24"/>
        </w:rPr>
        <w:t xml:space="preserve"> </w:t>
      </w:r>
      <w:r>
        <w:rPr>
          <w:sz w:val="24"/>
        </w:rPr>
        <w:t>requirements</w:t>
      </w:r>
      <w:r>
        <w:rPr>
          <w:spacing w:val="-1"/>
          <w:sz w:val="24"/>
        </w:rPr>
        <w:t xml:space="preserve"> </w:t>
      </w:r>
      <w:r>
        <w:rPr>
          <w:sz w:val="24"/>
        </w:rPr>
        <w:t>described</w:t>
      </w:r>
      <w:r>
        <w:rPr>
          <w:spacing w:val="-2"/>
          <w:sz w:val="24"/>
        </w:rPr>
        <w:t xml:space="preserve"> </w:t>
      </w:r>
      <w:r>
        <w:rPr>
          <w:sz w:val="24"/>
        </w:rPr>
        <w:t>below</w:t>
      </w:r>
      <w:r>
        <w:rPr>
          <w:spacing w:val="-4"/>
          <w:sz w:val="24"/>
        </w:rPr>
        <w:t xml:space="preserve"> </w:t>
      </w:r>
      <w:r>
        <w:rPr>
          <w:sz w:val="24"/>
        </w:rPr>
        <w:t>are</w:t>
      </w:r>
      <w:r>
        <w:rPr>
          <w:spacing w:val="-3"/>
          <w:sz w:val="24"/>
        </w:rPr>
        <w:t xml:space="preserve"> </w:t>
      </w:r>
      <w:r>
        <w:rPr>
          <w:spacing w:val="-4"/>
          <w:sz w:val="24"/>
        </w:rPr>
        <w:t>met.</w:t>
      </w:r>
    </w:p>
    <w:p>
      <w:pPr>
        <w:pStyle w:val="ListParagraph"/>
        <w:numPr>
          <w:ilvl w:val="0"/>
          <w:numId w:val="48"/>
        </w:numPr>
        <w:tabs>
          <w:tab w:val="left" w:pos="1583"/>
        </w:tabs>
        <w:spacing w:before="241" w:after="0" w:line="240" w:lineRule="auto"/>
        <w:ind w:left="1583" w:right="0" w:hanging="359"/>
        <w:jc w:val="left"/>
        <w:rPr>
          <w:rFonts w:ascii="Arial" w:hAnsi="Arial"/>
          <w:b/>
          <w:sz w:val="21"/>
        </w:rPr>
      </w:pPr>
      <w:r>
        <w:rPr>
          <w:rFonts w:ascii="Arial" w:hAnsi="Arial"/>
          <w:b/>
          <w:sz w:val="21"/>
        </w:rPr>
        <w:t>Benefit</w:t>
      </w:r>
      <w:r>
        <w:rPr>
          <w:rFonts w:ascii="Arial" w:hAnsi="Arial"/>
          <w:b/>
          <w:spacing w:val="-9"/>
          <w:sz w:val="21"/>
        </w:rPr>
        <w:t xml:space="preserve"> </w:t>
      </w:r>
      <w:r>
        <w:rPr>
          <w:rFonts w:ascii="Arial" w:hAnsi="Arial"/>
          <w:b/>
          <w:spacing w:val="-2"/>
          <w:sz w:val="21"/>
        </w:rPr>
        <w:t>Value</w:t>
      </w:r>
    </w:p>
    <w:p>
      <w:pPr>
        <w:pStyle w:val="BodyText"/>
        <w:spacing w:before="120" w:line="343" w:lineRule="auto"/>
        <w:ind w:left="1584" w:right="2194"/>
      </w:pPr>
      <w:r>
        <w:t>The</w:t>
      </w:r>
      <w:r>
        <w:rPr>
          <w:spacing w:val="-5"/>
        </w:rPr>
        <w:t xml:space="preserve"> </w:t>
      </w:r>
      <w:r>
        <w:t>bid</w:t>
      </w:r>
      <w:r>
        <w:rPr>
          <w:spacing w:val="-3"/>
        </w:rPr>
        <w:t xml:space="preserve"> </w:t>
      </w:r>
      <w:r>
        <w:t>must</w:t>
      </w:r>
      <w:r>
        <w:rPr>
          <w:spacing w:val="-3"/>
        </w:rPr>
        <w:t xml:space="preserve"> </w:t>
      </w:r>
      <w:r>
        <w:t>provide</w:t>
      </w:r>
      <w:r>
        <w:rPr>
          <w:spacing w:val="-3"/>
        </w:rPr>
        <w:t xml:space="preserve"> </w:t>
      </w:r>
      <w:r>
        <w:t>benefit</w:t>
      </w:r>
      <w:r>
        <w:rPr>
          <w:spacing w:val="-3"/>
        </w:rPr>
        <w:t xml:space="preserve"> </w:t>
      </w:r>
      <w:r>
        <w:t>value</w:t>
      </w:r>
      <w:r>
        <w:rPr>
          <w:spacing w:val="-3"/>
        </w:rPr>
        <w:t xml:space="preserve"> </w:t>
      </w:r>
      <w:r>
        <w:t>in</w:t>
      </w:r>
      <w:r>
        <w:rPr>
          <w:spacing w:val="-3"/>
        </w:rPr>
        <w:t xml:space="preserve"> </w:t>
      </w:r>
      <w:r>
        <w:t>relation</w:t>
      </w:r>
      <w:r>
        <w:rPr>
          <w:spacing w:val="-3"/>
        </w:rPr>
        <w:t xml:space="preserve"> </w:t>
      </w:r>
      <w:r>
        <w:t>to</w:t>
      </w:r>
      <w:r>
        <w:rPr>
          <w:spacing w:val="-3"/>
        </w:rPr>
        <w:t xml:space="preserve"> </w:t>
      </w:r>
      <w:r>
        <w:t>the</w:t>
      </w:r>
      <w:r>
        <w:rPr>
          <w:spacing w:val="-3"/>
        </w:rPr>
        <w:t xml:space="preserve"> </w:t>
      </w:r>
      <w:r>
        <w:t>gain/loss</w:t>
      </w:r>
      <w:r>
        <w:rPr>
          <w:spacing w:val="-2"/>
        </w:rPr>
        <w:t xml:space="preserve"> </w:t>
      </w:r>
      <w:r>
        <w:t>margin</w:t>
      </w:r>
      <w:r>
        <w:rPr>
          <w:spacing w:val="-3"/>
        </w:rPr>
        <w:t xml:space="preserve"> </w:t>
      </w:r>
      <w:r>
        <w:t>level. For a bid with a high gain/loss margin, consideration must be given to—</w:t>
      </w:r>
    </w:p>
    <w:p>
      <w:pPr>
        <w:pStyle w:val="ListParagraph"/>
        <w:numPr>
          <w:ilvl w:val="1"/>
          <w:numId w:val="48"/>
        </w:numPr>
        <w:tabs>
          <w:tab w:val="left" w:pos="1944"/>
        </w:tabs>
        <w:spacing w:before="3" w:after="0" w:line="240" w:lineRule="auto"/>
        <w:ind w:left="1944" w:right="1650" w:hanging="360"/>
        <w:jc w:val="left"/>
        <w:rPr>
          <w:sz w:val="24"/>
        </w:rPr>
      </w:pPr>
      <w:r>
        <w:rPr>
          <w:sz w:val="24"/>
        </w:rPr>
        <w:t>All</w:t>
      </w:r>
      <w:r>
        <w:rPr>
          <w:spacing w:val="-4"/>
          <w:sz w:val="24"/>
        </w:rPr>
        <w:t xml:space="preserve"> </w:t>
      </w:r>
      <w:r>
        <w:rPr>
          <w:sz w:val="24"/>
        </w:rPr>
        <w:t>possible</w:t>
      </w:r>
      <w:r>
        <w:rPr>
          <w:spacing w:val="-5"/>
          <w:sz w:val="24"/>
        </w:rPr>
        <w:t xml:space="preserve"> </w:t>
      </w:r>
      <w:r>
        <w:rPr>
          <w:sz w:val="24"/>
        </w:rPr>
        <w:t>benefits</w:t>
      </w:r>
      <w:r>
        <w:rPr>
          <w:spacing w:val="-3"/>
          <w:sz w:val="24"/>
        </w:rPr>
        <w:t xml:space="preserve"> </w:t>
      </w:r>
      <w:r>
        <w:rPr>
          <w:sz w:val="24"/>
        </w:rPr>
        <w:t>that</w:t>
      </w:r>
      <w:r>
        <w:rPr>
          <w:spacing w:val="-4"/>
          <w:sz w:val="24"/>
        </w:rPr>
        <w:t xml:space="preserve"> </w:t>
      </w:r>
      <w:r>
        <w:rPr>
          <w:sz w:val="24"/>
        </w:rPr>
        <w:t>the</w:t>
      </w:r>
      <w:r>
        <w:rPr>
          <w:spacing w:val="-4"/>
          <w:sz w:val="24"/>
        </w:rPr>
        <w:t xml:space="preserve"> </w:t>
      </w:r>
      <w:r>
        <w:rPr>
          <w:sz w:val="24"/>
        </w:rPr>
        <w:t>expected</w:t>
      </w:r>
      <w:r>
        <w:rPr>
          <w:spacing w:val="-4"/>
          <w:sz w:val="24"/>
        </w:rPr>
        <w:t xml:space="preserve"> </w:t>
      </w:r>
      <w:r>
        <w:rPr>
          <w:sz w:val="24"/>
        </w:rPr>
        <w:t>population</w:t>
      </w:r>
      <w:r>
        <w:rPr>
          <w:spacing w:val="-4"/>
          <w:sz w:val="24"/>
        </w:rPr>
        <w:t xml:space="preserve"> </w:t>
      </w:r>
      <w:r>
        <w:rPr>
          <w:sz w:val="24"/>
        </w:rPr>
        <w:t>can</w:t>
      </w:r>
      <w:r>
        <w:rPr>
          <w:spacing w:val="-4"/>
          <w:sz w:val="24"/>
        </w:rPr>
        <w:t xml:space="preserve"> </w:t>
      </w:r>
      <w:r>
        <w:rPr>
          <w:sz w:val="24"/>
        </w:rPr>
        <w:t>utilize,</w:t>
      </w:r>
      <w:r>
        <w:rPr>
          <w:spacing w:val="-4"/>
          <w:sz w:val="24"/>
        </w:rPr>
        <w:t xml:space="preserve"> </w:t>
      </w:r>
      <w:r>
        <w:rPr>
          <w:sz w:val="24"/>
        </w:rPr>
        <w:t>including</w:t>
      </w:r>
      <w:r>
        <w:rPr>
          <w:spacing w:val="-4"/>
          <w:sz w:val="24"/>
        </w:rPr>
        <w:t xml:space="preserve"> </w:t>
      </w:r>
      <w:r>
        <w:rPr>
          <w:sz w:val="24"/>
        </w:rPr>
        <w:t>rebates applied to the Part B premium buydown; and</w:t>
      </w:r>
    </w:p>
    <w:p>
      <w:pPr>
        <w:pStyle w:val="ListParagraph"/>
        <w:numPr>
          <w:ilvl w:val="1"/>
          <w:numId w:val="48"/>
        </w:numPr>
        <w:tabs>
          <w:tab w:val="left" w:pos="1944"/>
        </w:tabs>
        <w:spacing w:before="0" w:after="0" w:line="240" w:lineRule="auto"/>
        <w:ind w:left="1944" w:right="1680" w:hanging="360"/>
        <w:jc w:val="left"/>
        <w:rPr>
          <w:sz w:val="24"/>
        </w:rPr>
      </w:pPr>
      <w:r>
        <w:rPr>
          <w:sz w:val="24"/>
        </w:rPr>
        <w:t>Benefit</w:t>
      </w:r>
      <w:r>
        <w:rPr>
          <w:spacing w:val="-3"/>
          <w:sz w:val="24"/>
        </w:rPr>
        <w:t xml:space="preserve"> </w:t>
      </w:r>
      <w:r>
        <w:rPr>
          <w:sz w:val="24"/>
        </w:rPr>
        <w:t>and</w:t>
      </w:r>
      <w:r>
        <w:rPr>
          <w:spacing w:val="-3"/>
          <w:sz w:val="24"/>
        </w:rPr>
        <w:t xml:space="preserve"> </w:t>
      </w:r>
      <w:r>
        <w:rPr>
          <w:sz w:val="24"/>
        </w:rPr>
        <w:t>premium</w:t>
      </w:r>
      <w:r>
        <w:rPr>
          <w:spacing w:val="-3"/>
          <w:sz w:val="24"/>
        </w:rPr>
        <w:t xml:space="preserve"> </w:t>
      </w:r>
      <w:r>
        <w:rPr>
          <w:sz w:val="24"/>
        </w:rPr>
        <w:t>changes</w:t>
      </w:r>
      <w:r>
        <w:rPr>
          <w:spacing w:val="-2"/>
          <w:sz w:val="24"/>
        </w:rPr>
        <w:t xml:space="preserve"> </w:t>
      </w:r>
      <w:r>
        <w:rPr>
          <w:sz w:val="24"/>
        </w:rPr>
        <w:t>that</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made</w:t>
      </w:r>
      <w:r>
        <w:rPr>
          <w:spacing w:val="-4"/>
          <w:sz w:val="24"/>
        </w:rPr>
        <w:t xml:space="preserve"> </w:t>
      </w:r>
      <w:r>
        <w:rPr>
          <w:sz w:val="24"/>
        </w:rPr>
        <w:t>in</w:t>
      </w:r>
      <w:r>
        <w:rPr>
          <w:spacing w:val="-2"/>
          <w:sz w:val="24"/>
        </w:rPr>
        <w:t xml:space="preserve"> </w:t>
      </w:r>
      <w:r>
        <w:rPr>
          <w:sz w:val="24"/>
        </w:rPr>
        <w:t>CY2027</w:t>
      </w:r>
      <w:r>
        <w:rPr>
          <w:spacing w:val="-3"/>
          <w:sz w:val="24"/>
        </w:rPr>
        <w:t xml:space="preserve"> </w:t>
      </w:r>
      <w:r>
        <w:rPr>
          <w:sz w:val="24"/>
        </w:rPr>
        <w:t>to</w:t>
      </w:r>
      <w:r>
        <w:rPr>
          <w:spacing w:val="-3"/>
          <w:sz w:val="24"/>
        </w:rPr>
        <w:t xml:space="preserve"> </w:t>
      </w:r>
      <w:r>
        <w:rPr>
          <w:sz w:val="24"/>
        </w:rPr>
        <w:t>reduce</w:t>
      </w:r>
      <w:r>
        <w:rPr>
          <w:spacing w:val="-4"/>
          <w:sz w:val="24"/>
        </w:rPr>
        <w:t xml:space="preserve"> </w:t>
      </w:r>
      <w:r>
        <w:rPr>
          <w:sz w:val="24"/>
        </w:rPr>
        <w:t xml:space="preserve">gain/loss </w:t>
      </w:r>
      <w:r>
        <w:rPr>
          <w:spacing w:val="-2"/>
          <w:sz w:val="24"/>
        </w:rPr>
        <w:t>margin.</w:t>
      </w:r>
    </w:p>
    <w:p>
      <w:pPr>
        <w:pStyle w:val="ListParagraph"/>
        <w:numPr>
          <w:ilvl w:val="0"/>
          <w:numId w:val="48"/>
        </w:numPr>
        <w:tabs>
          <w:tab w:val="left" w:pos="1583"/>
        </w:tabs>
        <w:spacing w:before="240" w:after="0" w:line="240" w:lineRule="auto"/>
        <w:ind w:left="1583" w:right="0" w:hanging="359"/>
        <w:jc w:val="left"/>
        <w:rPr>
          <w:rFonts w:ascii="Arial" w:hAnsi="Arial"/>
          <w:b/>
          <w:sz w:val="21"/>
        </w:rPr>
      </w:pPr>
      <w:r>
        <w:rPr>
          <w:rFonts w:ascii="Arial" w:hAnsi="Arial"/>
          <w:b/>
          <w:spacing w:val="-2"/>
          <w:sz w:val="21"/>
        </w:rPr>
        <w:t>Anti-Competitive</w:t>
      </w:r>
      <w:r>
        <w:rPr>
          <w:rFonts w:ascii="Arial" w:hAnsi="Arial"/>
          <w:b/>
          <w:spacing w:val="14"/>
          <w:sz w:val="21"/>
        </w:rPr>
        <w:t xml:space="preserve"> </w:t>
      </w:r>
      <w:r>
        <w:rPr>
          <w:rFonts w:ascii="Arial" w:hAnsi="Arial"/>
          <w:b/>
          <w:spacing w:val="-2"/>
          <w:sz w:val="21"/>
        </w:rPr>
        <w:t>Practices</w:t>
      </w:r>
    </w:p>
    <w:p>
      <w:pPr>
        <w:pStyle w:val="BodyText"/>
        <w:spacing w:before="119"/>
        <w:ind w:left="1584" w:right="1481"/>
      </w:pPr>
      <w:r>
        <w:t>Anti-competitive practices will not be accepted. For example, significantly low or negative gain/loss margins for bids that have substantial enrollment and stable experience,</w:t>
      </w:r>
      <w:r>
        <w:rPr>
          <w:spacing w:val="-4"/>
        </w:rPr>
        <w:t xml:space="preserve"> </w:t>
      </w:r>
      <w:r>
        <w:t>or</w:t>
      </w:r>
      <w:r>
        <w:rPr>
          <w:spacing w:val="-3"/>
        </w:rPr>
        <w:t xml:space="preserve"> </w:t>
      </w:r>
      <w:r>
        <w:t>“bait</w:t>
      </w:r>
      <w:r>
        <w:rPr>
          <w:spacing w:val="-4"/>
        </w:rPr>
        <w:t xml:space="preserve"> </w:t>
      </w:r>
      <w:r>
        <w:t>and</w:t>
      </w:r>
      <w:r>
        <w:rPr>
          <w:spacing w:val="-4"/>
        </w:rPr>
        <w:t xml:space="preserve"> </w:t>
      </w:r>
      <w:r>
        <w:t>switch”</w:t>
      </w:r>
      <w:r>
        <w:rPr>
          <w:spacing w:val="-5"/>
        </w:rPr>
        <w:t xml:space="preserve"> </w:t>
      </w:r>
      <w:r>
        <w:t>approaches</w:t>
      </w:r>
      <w:r>
        <w:rPr>
          <w:spacing w:val="-4"/>
        </w:rPr>
        <w:t xml:space="preserve"> </w:t>
      </w:r>
      <w:r>
        <w:t>to</w:t>
      </w:r>
      <w:r>
        <w:rPr>
          <w:spacing w:val="-4"/>
        </w:rPr>
        <w:t xml:space="preserve"> </w:t>
      </w:r>
      <w:r>
        <w:t>specific</w:t>
      </w:r>
      <w:r>
        <w:rPr>
          <w:spacing w:val="-3"/>
        </w:rPr>
        <w:t xml:space="preserve"> </w:t>
      </w:r>
      <w:r>
        <w:t>bid</w:t>
      </w:r>
      <w:r>
        <w:rPr>
          <w:spacing w:val="-4"/>
        </w:rPr>
        <w:t xml:space="preserve"> </w:t>
      </w:r>
      <w:r>
        <w:t>margin</w:t>
      </w:r>
      <w:r>
        <w:rPr>
          <w:spacing w:val="-4"/>
        </w:rPr>
        <w:t xml:space="preserve"> </w:t>
      </w:r>
      <w:r>
        <w:t>buildup,</w:t>
      </w:r>
      <w:r>
        <w:rPr>
          <w:spacing w:val="-4"/>
        </w:rPr>
        <w:t xml:space="preserve"> </w:t>
      </w:r>
      <w:r>
        <w:t>will</w:t>
      </w:r>
      <w:r>
        <w:rPr>
          <w:spacing w:val="-4"/>
        </w:rPr>
        <w:t xml:space="preserve"> </w:t>
      </w:r>
      <w:r>
        <w:t xml:space="preserve">be rejected, absent sufficient support that such pricing is consistent with these </w:t>
      </w:r>
      <w:r>
        <w:rPr>
          <w:spacing w:val="-2"/>
        </w:rPr>
        <w:t>Instructions.</w:t>
      </w:r>
    </w:p>
    <w:p>
      <w:pPr>
        <w:pStyle w:val="BodyText"/>
        <w:spacing w:after="0"/>
        <w:sectPr>
          <w:pgSz w:w="12240" w:h="15840"/>
          <w:pgMar w:top="960" w:right="0" w:bottom="940" w:left="1080" w:header="727" w:footer="747"/>
          <w:cols w:space="720"/>
        </w:sectPr>
      </w:pPr>
    </w:p>
    <w:p>
      <w:pPr>
        <w:pStyle w:val="BodyText"/>
        <w:spacing w:before="225"/>
        <w:ind w:left="0"/>
        <w:rPr>
          <w:sz w:val="21"/>
        </w:rPr>
      </w:pPr>
    </w:p>
    <w:p>
      <w:pPr>
        <w:spacing w:before="0"/>
        <w:ind w:left="1224" w:right="0" w:firstLine="0"/>
        <w:jc w:val="left"/>
        <w:rPr>
          <w:rFonts w:ascii="Arial"/>
          <w:b/>
          <w:i/>
          <w:sz w:val="21"/>
        </w:rPr>
      </w:pPr>
      <w:bookmarkStart w:id="66" w:name="Aggregate-Level Requirements"/>
      <w:bookmarkEnd w:id="66"/>
      <w:r>
        <w:rPr>
          <w:rFonts w:ascii="Arial"/>
          <w:b/>
          <w:i/>
          <w:spacing w:val="-2"/>
          <w:sz w:val="21"/>
        </w:rPr>
        <w:t>Aggregate-Level</w:t>
      </w:r>
      <w:r>
        <w:rPr>
          <w:rFonts w:ascii="Arial"/>
          <w:b/>
          <w:i/>
          <w:spacing w:val="11"/>
          <w:sz w:val="21"/>
        </w:rPr>
        <w:t xml:space="preserve"> </w:t>
      </w:r>
      <w:r>
        <w:rPr>
          <w:rFonts w:ascii="Arial"/>
          <w:b/>
          <w:i/>
          <w:spacing w:val="-2"/>
          <w:sz w:val="21"/>
        </w:rPr>
        <w:t>Requirements</w:t>
      </w:r>
    </w:p>
    <w:p>
      <w:pPr>
        <w:pStyle w:val="ListParagraph"/>
        <w:numPr>
          <w:ilvl w:val="0"/>
          <w:numId w:val="48"/>
        </w:numPr>
        <w:tabs>
          <w:tab w:val="left" w:pos="1583"/>
        </w:tabs>
        <w:spacing w:before="241" w:after="0" w:line="240" w:lineRule="auto"/>
        <w:ind w:left="1583" w:right="0" w:hanging="359"/>
        <w:jc w:val="left"/>
        <w:rPr>
          <w:rFonts w:ascii="Arial" w:hAnsi="Arial"/>
          <w:b/>
          <w:sz w:val="21"/>
        </w:rPr>
      </w:pPr>
      <w:r>
        <w:rPr>
          <w:rFonts w:ascii="Arial" w:hAnsi="Arial"/>
          <w:b/>
          <w:sz w:val="21"/>
        </w:rPr>
        <w:t>Year-to-Year</w:t>
      </w:r>
      <w:r>
        <w:rPr>
          <w:rFonts w:ascii="Arial" w:hAnsi="Arial"/>
          <w:b/>
          <w:spacing w:val="-14"/>
          <w:sz w:val="21"/>
        </w:rPr>
        <w:t xml:space="preserve"> </w:t>
      </w:r>
      <w:r>
        <w:rPr>
          <w:rFonts w:ascii="Arial" w:hAnsi="Arial"/>
          <w:b/>
          <w:spacing w:val="-2"/>
          <w:sz w:val="21"/>
        </w:rPr>
        <w:t>Consistency</w:t>
      </w:r>
    </w:p>
    <w:p>
      <w:pPr>
        <w:pStyle w:val="BodyText"/>
        <w:spacing w:before="118"/>
        <w:ind w:left="1584" w:right="1541"/>
      </w:pPr>
      <w:r>
        <w:t>Although actual gain/loss margin may vary from year to year, CMS expects certifying</w:t>
      </w:r>
      <w:r>
        <w:rPr>
          <w:spacing w:val="-4"/>
        </w:rPr>
        <w:t xml:space="preserve"> </w:t>
      </w:r>
      <w:r>
        <w:t>actuaries</w:t>
      </w:r>
      <w:r>
        <w:rPr>
          <w:spacing w:val="-4"/>
        </w:rPr>
        <w:t xml:space="preserve"> </w:t>
      </w:r>
      <w:r>
        <w:t>to</w:t>
      </w:r>
      <w:r>
        <w:rPr>
          <w:spacing w:val="-4"/>
        </w:rPr>
        <w:t xml:space="preserve"> </w:t>
      </w:r>
      <w:r>
        <w:t>price</w:t>
      </w:r>
      <w:r>
        <w:rPr>
          <w:spacing w:val="-4"/>
        </w:rPr>
        <w:t xml:space="preserve"> </w:t>
      </w:r>
      <w:r>
        <w:t>bids</w:t>
      </w:r>
      <w:r>
        <w:rPr>
          <w:spacing w:val="-4"/>
        </w:rPr>
        <w:t xml:space="preserve"> </w:t>
      </w:r>
      <w:r>
        <w:t>such</w:t>
      </w:r>
      <w:r>
        <w:rPr>
          <w:spacing w:val="-4"/>
        </w:rPr>
        <w:t xml:space="preserve"> </w:t>
      </w:r>
      <w:r>
        <w:t>that</w:t>
      </w:r>
      <w:r>
        <w:rPr>
          <w:spacing w:val="-4"/>
        </w:rPr>
        <w:t xml:space="preserve"> </w:t>
      </w:r>
      <w:r>
        <w:t>actual</w:t>
      </w:r>
      <w:r>
        <w:rPr>
          <w:spacing w:val="-4"/>
        </w:rPr>
        <w:t xml:space="preserve"> </w:t>
      </w:r>
      <w:r>
        <w:t>aggregate</w:t>
      </w:r>
      <w:r>
        <w:rPr>
          <w:spacing w:val="-3"/>
        </w:rPr>
        <w:t xml:space="preserve"> </w:t>
      </w:r>
      <w:r>
        <w:t>MA</w:t>
      </w:r>
      <w:r>
        <w:rPr>
          <w:spacing w:val="-4"/>
        </w:rPr>
        <w:t xml:space="preserve"> </w:t>
      </w:r>
      <w:r>
        <w:t>gain/loss</w:t>
      </w:r>
      <w:r>
        <w:rPr>
          <w:spacing w:val="-4"/>
        </w:rPr>
        <w:t xml:space="preserve"> </w:t>
      </w:r>
      <w:r>
        <w:t>margin</w:t>
      </w:r>
      <w:r>
        <w:rPr>
          <w:spacing w:val="-2"/>
        </w:rPr>
        <w:t xml:space="preserve"> </w:t>
      </w:r>
      <w:r>
        <w:t>as a percentage of revenue over the long term is consistent with the gain/loss margin assumptions used for pricing.</w:t>
      </w:r>
    </w:p>
    <w:p>
      <w:pPr>
        <w:pStyle w:val="ListParagraph"/>
        <w:numPr>
          <w:ilvl w:val="0"/>
          <w:numId w:val="48"/>
        </w:numPr>
        <w:tabs>
          <w:tab w:val="left" w:pos="1583"/>
        </w:tabs>
        <w:spacing w:before="241" w:after="0" w:line="240" w:lineRule="auto"/>
        <w:ind w:left="1583" w:right="0" w:hanging="359"/>
        <w:jc w:val="left"/>
        <w:rPr>
          <w:rFonts w:ascii="Arial" w:hAnsi="Arial"/>
          <w:b/>
          <w:sz w:val="21"/>
        </w:rPr>
      </w:pPr>
      <w:r>
        <w:rPr>
          <w:rFonts w:ascii="Arial" w:hAnsi="Arial"/>
          <w:b/>
          <w:sz w:val="21"/>
        </w:rPr>
        <w:t>Requirements</w:t>
      </w:r>
      <w:r>
        <w:rPr>
          <w:rFonts w:ascii="Arial" w:hAnsi="Arial"/>
          <w:b/>
          <w:spacing w:val="-7"/>
          <w:sz w:val="21"/>
        </w:rPr>
        <w:t xml:space="preserve"> </w:t>
      </w:r>
      <w:r>
        <w:rPr>
          <w:rFonts w:ascii="Arial" w:hAnsi="Arial"/>
          <w:b/>
          <w:sz w:val="21"/>
        </w:rPr>
        <w:t>for</w:t>
      </w:r>
      <w:r>
        <w:rPr>
          <w:rFonts w:ascii="Arial" w:hAnsi="Arial"/>
          <w:b/>
          <w:spacing w:val="-6"/>
          <w:sz w:val="21"/>
        </w:rPr>
        <w:t xml:space="preserve"> </w:t>
      </w:r>
      <w:r>
        <w:rPr>
          <w:rFonts w:ascii="Arial" w:hAnsi="Arial"/>
          <w:b/>
          <w:sz w:val="21"/>
        </w:rPr>
        <w:t>MA</w:t>
      </w:r>
      <w:r>
        <w:rPr>
          <w:rFonts w:ascii="Arial" w:hAnsi="Arial"/>
          <w:b/>
          <w:spacing w:val="-6"/>
          <w:sz w:val="21"/>
        </w:rPr>
        <w:t xml:space="preserve"> </w:t>
      </w:r>
      <w:r>
        <w:rPr>
          <w:rFonts w:ascii="Arial" w:hAnsi="Arial"/>
          <w:b/>
          <w:spacing w:val="-2"/>
          <w:sz w:val="21"/>
        </w:rPr>
        <w:t>Plans</w:t>
      </w:r>
    </w:p>
    <w:p>
      <w:pPr>
        <w:pStyle w:val="BodyText"/>
        <w:spacing w:before="120"/>
        <w:ind w:left="1584" w:right="1481"/>
      </w:pPr>
      <w:r>
        <w:t>For MA plans, the aggregate MA gain/loss margin must be calculated at the parent organization</w:t>
      </w:r>
      <w:r>
        <w:rPr>
          <w:spacing w:val="-4"/>
        </w:rPr>
        <w:t xml:space="preserve"> </w:t>
      </w:r>
      <w:r>
        <w:t>level</w:t>
      </w:r>
      <w:r>
        <w:rPr>
          <w:spacing w:val="-2"/>
        </w:rPr>
        <w:t xml:space="preserve"> </w:t>
      </w:r>
      <w:r>
        <w:t>as</w:t>
      </w:r>
      <w:r>
        <w:rPr>
          <w:spacing w:val="-5"/>
        </w:rPr>
        <w:t xml:space="preserve"> </w:t>
      </w:r>
      <w:r>
        <w:t>a</w:t>
      </w:r>
      <w:r>
        <w:rPr>
          <w:spacing w:val="-5"/>
        </w:rPr>
        <w:t xml:space="preserve"> </w:t>
      </w:r>
      <w:r>
        <w:t>percentage</w:t>
      </w:r>
      <w:r>
        <w:rPr>
          <w:spacing w:val="-5"/>
        </w:rPr>
        <w:t xml:space="preserve"> </w:t>
      </w:r>
      <w:r>
        <w:t>of</w:t>
      </w:r>
      <w:r>
        <w:rPr>
          <w:spacing w:val="-4"/>
        </w:rPr>
        <w:t xml:space="preserve"> </w:t>
      </w:r>
      <w:r>
        <w:t>revenue</w:t>
      </w:r>
      <w:r>
        <w:rPr>
          <w:spacing w:val="-3"/>
        </w:rPr>
        <w:t xml:space="preserve"> </w:t>
      </w:r>
      <w:r>
        <w:t>and</w:t>
      </w:r>
      <w:r>
        <w:rPr>
          <w:spacing w:val="-2"/>
        </w:rPr>
        <w:t xml:space="preserve"> </w:t>
      </w:r>
      <w:r>
        <w:t>must</w:t>
      </w:r>
      <w:r>
        <w:rPr>
          <w:spacing w:val="-3"/>
        </w:rPr>
        <w:t xml:space="preserve"> </w:t>
      </w:r>
      <w:r>
        <w:t>be</w:t>
      </w:r>
      <w:r>
        <w:rPr>
          <w:spacing w:val="-5"/>
        </w:rPr>
        <w:t xml:space="preserve"> </w:t>
      </w:r>
      <w:r>
        <w:t>disclosed.</w:t>
      </w:r>
      <w:r>
        <w:rPr>
          <w:spacing w:val="-4"/>
        </w:rPr>
        <w:t xml:space="preserve"> </w:t>
      </w:r>
      <w:r>
        <w:t>If</w:t>
      </w:r>
      <w:r>
        <w:rPr>
          <w:spacing w:val="-2"/>
        </w:rPr>
        <w:t xml:space="preserve"> </w:t>
      </w:r>
      <w:r>
        <w:t>such</w:t>
      </w:r>
      <w:r>
        <w:rPr>
          <w:spacing w:val="-4"/>
        </w:rPr>
        <w:t xml:space="preserve"> </w:t>
      </w:r>
      <w:r>
        <w:t>margin is less than 0 percent or greater than 5.5 percent, then this condition must be fully explained and supported and must be approved by CMS for CY2027.</w:t>
      </w:r>
    </w:p>
    <w:p>
      <w:pPr>
        <w:spacing w:before="241"/>
        <w:ind w:left="1224" w:right="0" w:firstLine="0"/>
        <w:jc w:val="left"/>
        <w:rPr>
          <w:rFonts w:ascii="Arial"/>
          <w:b/>
          <w:i/>
          <w:sz w:val="21"/>
        </w:rPr>
      </w:pPr>
      <w:bookmarkStart w:id="67" w:name="MA-PD Gain/Loss Margin Requirements"/>
      <w:bookmarkEnd w:id="67"/>
      <w:r>
        <w:rPr>
          <w:rFonts w:ascii="Arial"/>
          <w:b/>
          <w:i/>
          <w:sz w:val="21"/>
        </w:rPr>
        <w:t>MA-PD</w:t>
      </w:r>
      <w:r>
        <w:rPr>
          <w:rFonts w:ascii="Arial"/>
          <w:b/>
          <w:i/>
          <w:spacing w:val="-6"/>
          <w:sz w:val="21"/>
        </w:rPr>
        <w:t xml:space="preserve"> </w:t>
      </w:r>
      <w:r>
        <w:rPr>
          <w:rFonts w:ascii="Arial"/>
          <w:b/>
          <w:i/>
          <w:sz w:val="21"/>
        </w:rPr>
        <w:t>Gain/Loss</w:t>
      </w:r>
      <w:r>
        <w:rPr>
          <w:rFonts w:ascii="Arial"/>
          <w:b/>
          <w:i/>
          <w:spacing w:val="-7"/>
          <w:sz w:val="21"/>
        </w:rPr>
        <w:t xml:space="preserve"> </w:t>
      </w:r>
      <w:r>
        <w:rPr>
          <w:rFonts w:ascii="Arial"/>
          <w:b/>
          <w:i/>
          <w:sz w:val="21"/>
        </w:rPr>
        <w:t>Margin</w:t>
      </w:r>
      <w:r>
        <w:rPr>
          <w:rFonts w:ascii="Arial"/>
          <w:b/>
          <w:i/>
          <w:spacing w:val="-5"/>
          <w:sz w:val="21"/>
        </w:rPr>
        <w:t xml:space="preserve"> </w:t>
      </w:r>
      <w:r>
        <w:rPr>
          <w:rFonts w:ascii="Arial"/>
          <w:b/>
          <w:i/>
          <w:spacing w:val="-2"/>
          <w:sz w:val="21"/>
        </w:rPr>
        <w:t>Requirements</w:t>
      </w:r>
    </w:p>
    <w:p>
      <w:pPr>
        <w:pStyle w:val="BodyText"/>
        <w:spacing w:before="118"/>
        <w:ind w:left="1224" w:right="1481"/>
      </w:pPr>
      <w:r>
        <w:t>See</w:t>
      </w:r>
      <w:r>
        <w:rPr>
          <w:spacing w:val="-4"/>
        </w:rPr>
        <w:t xml:space="preserve"> </w:t>
      </w:r>
      <w:r>
        <w:t>the</w:t>
      </w:r>
      <w:r>
        <w:rPr>
          <w:spacing w:val="-4"/>
        </w:rPr>
        <w:t xml:space="preserve"> </w:t>
      </w:r>
      <w:r>
        <w:t>“Instructions</w:t>
      </w:r>
      <w:r>
        <w:rPr>
          <w:spacing w:val="-4"/>
        </w:rPr>
        <w:t xml:space="preserve"> </w:t>
      </w:r>
      <w:r>
        <w:t>for</w:t>
      </w:r>
      <w:r>
        <w:rPr>
          <w:spacing w:val="-3"/>
        </w:rPr>
        <w:t xml:space="preserve"> </w:t>
      </w:r>
      <w:r>
        <w:t>Completing</w:t>
      </w:r>
      <w:r>
        <w:rPr>
          <w:spacing w:val="-3"/>
        </w:rPr>
        <w:t xml:space="preserve"> </w:t>
      </w:r>
      <w:r>
        <w:t>the</w:t>
      </w:r>
      <w:r>
        <w:rPr>
          <w:spacing w:val="-3"/>
        </w:rPr>
        <w:t xml:space="preserve"> </w:t>
      </w:r>
      <w:r>
        <w:t>Prescription</w:t>
      </w:r>
      <w:r>
        <w:rPr>
          <w:spacing w:val="-3"/>
        </w:rPr>
        <w:t xml:space="preserve"> </w:t>
      </w:r>
      <w:r>
        <w:t>Drug</w:t>
      </w:r>
      <w:r>
        <w:rPr>
          <w:spacing w:val="-3"/>
        </w:rPr>
        <w:t xml:space="preserve"> </w:t>
      </w:r>
      <w:r>
        <w:t>Plan</w:t>
      </w:r>
      <w:r>
        <w:rPr>
          <w:spacing w:val="-3"/>
        </w:rPr>
        <w:t xml:space="preserve"> </w:t>
      </w:r>
      <w:r>
        <w:t>Bid</w:t>
      </w:r>
      <w:r>
        <w:rPr>
          <w:spacing w:val="-3"/>
        </w:rPr>
        <w:t xml:space="preserve"> </w:t>
      </w:r>
      <w:r>
        <w:t>Pricing</w:t>
      </w:r>
      <w:r>
        <w:rPr>
          <w:spacing w:val="-3"/>
        </w:rPr>
        <w:t xml:space="preserve"> </w:t>
      </w:r>
      <w:r>
        <w:t>Tool</w:t>
      </w:r>
      <w:r>
        <w:rPr>
          <w:spacing w:val="-3"/>
        </w:rPr>
        <w:t xml:space="preserve"> </w:t>
      </w:r>
      <w:r>
        <w:t>for Contract Year 2027” for gain/loss margin requirements that affect MA-PD bids.</w:t>
      </w:r>
    </w:p>
    <w:p>
      <w:pPr>
        <w:spacing w:before="241"/>
        <w:ind w:left="1224" w:right="0" w:firstLine="0"/>
        <w:jc w:val="left"/>
        <w:rPr>
          <w:rFonts w:ascii="Arial"/>
          <w:b/>
          <w:i/>
          <w:sz w:val="21"/>
        </w:rPr>
      </w:pPr>
      <w:bookmarkStart w:id="68" w:name="Exclusions"/>
      <w:bookmarkEnd w:id="68"/>
      <w:r>
        <w:rPr>
          <w:rFonts w:ascii="Arial"/>
          <w:b/>
          <w:i/>
          <w:spacing w:val="-2"/>
          <w:sz w:val="21"/>
        </w:rPr>
        <w:t>Exclusions</w:t>
      </w:r>
    </w:p>
    <w:p>
      <w:pPr>
        <w:pStyle w:val="BodyText"/>
        <w:spacing w:before="120"/>
        <w:ind w:left="1224" w:right="1481"/>
      </w:pPr>
      <w:r>
        <w:t>The BPT must exclude non-insurance revenues pertaining to investments; fee-based activities designed to influence state or federal legislation, such as the cost of lobbying activities; the costs of value-added items and services (VAIS); and capital and infrastructure</w:t>
      </w:r>
      <w:r>
        <w:rPr>
          <w:spacing w:val="-4"/>
        </w:rPr>
        <w:t xml:space="preserve"> </w:t>
      </w:r>
      <w:r>
        <w:t>costs</w:t>
      </w:r>
      <w:r>
        <w:rPr>
          <w:spacing w:val="-3"/>
        </w:rPr>
        <w:t xml:space="preserve"> </w:t>
      </w:r>
      <w:r>
        <w:t>and</w:t>
      </w:r>
      <w:r>
        <w:rPr>
          <w:spacing w:val="-3"/>
        </w:rPr>
        <w:t xml:space="preserve"> </w:t>
      </w:r>
      <w:r>
        <w:t>investments</w:t>
      </w:r>
      <w:r>
        <w:rPr>
          <w:spacing w:val="-4"/>
        </w:rPr>
        <w:t xml:space="preserve"> </w:t>
      </w:r>
      <w:r>
        <w:t>directly</w:t>
      </w:r>
      <w:r>
        <w:rPr>
          <w:spacing w:val="-3"/>
        </w:rPr>
        <w:t xml:space="preserve"> </w:t>
      </w:r>
      <w:r>
        <w:t>incurred</w:t>
      </w:r>
      <w:r>
        <w:rPr>
          <w:spacing w:val="-3"/>
        </w:rPr>
        <w:t xml:space="preserve"> </w:t>
      </w:r>
      <w:r>
        <w:t>or</w:t>
      </w:r>
      <w:r>
        <w:rPr>
          <w:spacing w:val="-3"/>
        </w:rPr>
        <w:t xml:space="preserve"> </w:t>
      </w:r>
      <w:r>
        <w:t>paid</w:t>
      </w:r>
      <w:r>
        <w:rPr>
          <w:spacing w:val="-3"/>
        </w:rPr>
        <w:t xml:space="preserve"> </w:t>
      </w:r>
      <w:r>
        <w:t>by</w:t>
      </w:r>
      <w:r>
        <w:rPr>
          <w:spacing w:val="-3"/>
        </w:rPr>
        <w:t xml:space="preserve"> </w:t>
      </w:r>
      <w:r>
        <w:t>the</w:t>
      </w:r>
      <w:r>
        <w:rPr>
          <w:spacing w:val="-4"/>
        </w:rPr>
        <w:t xml:space="preserve"> </w:t>
      </w:r>
      <w:r>
        <w:t>MA</w:t>
      </w:r>
      <w:r>
        <w:rPr>
          <w:spacing w:val="-4"/>
        </w:rPr>
        <w:t xml:space="preserve"> </w:t>
      </w:r>
      <w:r>
        <w:t>plan</w:t>
      </w:r>
      <w:r>
        <w:rPr>
          <w:spacing w:val="-3"/>
        </w:rPr>
        <w:t xml:space="preserve"> </w:t>
      </w:r>
      <w:r>
        <w:t>relating</w:t>
      </w:r>
      <w:r>
        <w:rPr>
          <w:spacing w:val="-3"/>
        </w:rPr>
        <w:t xml:space="preserve"> </w:t>
      </w:r>
      <w:r>
        <w:t>to additional telehealth benefits.</w:t>
      </w:r>
    </w:p>
    <w:p>
      <w:pPr>
        <w:pStyle w:val="BodyText"/>
        <w:spacing w:before="121"/>
        <w:ind w:left="1224" w:right="1481"/>
      </w:pPr>
      <w:r>
        <w:t>See the announcement about lobbying activities released via an HPMS memorandum dated</w:t>
      </w:r>
      <w:r>
        <w:rPr>
          <w:spacing w:val="-4"/>
        </w:rPr>
        <w:t xml:space="preserve"> </w:t>
      </w:r>
      <w:r>
        <w:t>October</w:t>
      </w:r>
      <w:r>
        <w:rPr>
          <w:spacing w:val="-4"/>
        </w:rPr>
        <w:t xml:space="preserve"> </w:t>
      </w:r>
      <w:r>
        <w:t>16,</w:t>
      </w:r>
      <w:r>
        <w:rPr>
          <w:spacing w:val="-3"/>
        </w:rPr>
        <w:t xml:space="preserve"> </w:t>
      </w:r>
      <w:r>
        <w:t>2009,</w:t>
      </w:r>
      <w:r>
        <w:rPr>
          <w:spacing w:val="-1"/>
        </w:rPr>
        <w:t xml:space="preserve"> </w:t>
      </w:r>
      <w:r>
        <w:t>and</w:t>
      </w:r>
      <w:r>
        <w:rPr>
          <w:spacing w:val="-3"/>
        </w:rPr>
        <w:t xml:space="preserve"> </w:t>
      </w:r>
      <w:r>
        <w:t>see</w:t>
      </w:r>
      <w:r>
        <w:rPr>
          <w:spacing w:val="-4"/>
        </w:rPr>
        <w:t xml:space="preserve"> </w:t>
      </w:r>
      <w:r>
        <w:t>Chapter</w:t>
      </w:r>
      <w:r>
        <w:rPr>
          <w:spacing w:val="-3"/>
        </w:rPr>
        <w:t xml:space="preserve"> </w:t>
      </w:r>
      <w:r>
        <w:t>4</w:t>
      </w:r>
      <w:r>
        <w:rPr>
          <w:spacing w:val="-3"/>
        </w:rPr>
        <w:t xml:space="preserve"> </w:t>
      </w:r>
      <w:r>
        <w:t>of</w:t>
      </w:r>
      <w:r>
        <w:rPr>
          <w:spacing w:val="-3"/>
        </w:rPr>
        <w:t xml:space="preserve"> </w:t>
      </w:r>
      <w:r>
        <w:t>the</w:t>
      </w:r>
      <w:r>
        <w:rPr>
          <w:spacing w:val="-2"/>
        </w:rPr>
        <w:t xml:space="preserve"> </w:t>
      </w:r>
      <w:r>
        <w:rPr>
          <w:i/>
        </w:rPr>
        <w:t>Medicare</w:t>
      </w:r>
      <w:r>
        <w:rPr>
          <w:i/>
          <w:spacing w:val="-5"/>
        </w:rPr>
        <w:t xml:space="preserve"> </w:t>
      </w:r>
      <w:r>
        <w:rPr>
          <w:i/>
        </w:rPr>
        <w:t>Managed</w:t>
      </w:r>
      <w:r>
        <w:rPr>
          <w:i/>
          <w:spacing w:val="-3"/>
        </w:rPr>
        <w:t xml:space="preserve"> </w:t>
      </w:r>
      <w:r>
        <w:rPr>
          <w:i/>
        </w:rPr>
        <w:t>Care</w:t>
      </w:r>
      <w:r>
        <w:rPr>
          <w:i/>
          <w:spacing w:val="-2"/>
        </w:rPr>
        <w:t xml:space="preserve"> </w:t>
      </w:r>
      <w:r>
        <w:rPr>
          <w:i/>
        </w:rPr>
        <w:t>Manual</w:t>
      </w:r>
      <w:r>
        <w:rPr>
          <w:i/>
          <w:spacing w:val="-2"/>
        </w:rPr>
        <w:t xml:space="preserve"> </w:t>
      </w:r>
      <w:r>
        <w:t>for more information about VAIS.</w:t>
      </w:r>
    </w:p>
    <w:p>
      <w:pPr>
        <w:spacing w:before="240"/>
        <w:ind w:left="504" w:right="0" w:firstLine="0"/>
        <w:jc w:val="both"/>
        <w:rPr>
          <w:rFonts w:ascii="Arial"/>
          <w:b/>
          <w:sz w:val="21"/>
        </w:rPr>
      </w:pPr>
      <w:bookmarkStart w:id="69" w:name="Hospice Enrollees"/>
      <w:bookmarkEnd w:id="69"/>
      <w:bookmarkStart w:id="70" w:name="_bookmark22"/>
      <w:bookmarkEnd w:id="70"/>
      <w:r>
        <w:rPr>
          <w:rFonts w:ascii="Arial"/>
          <w:b/>
          <w:sz w:val="21"/>
        </w:rPr>
        <w:t>Hospice</w:t>
      </w:r>
      <w:r>
        <w:rPr>
          <w:rFonts w:ascii="Arial"/>
          <w:b/>
          <w:spacing w:val="-8"/>
          <w:sz w:val="21"/>
        </w:rPr>
        <w:t xml:space="preserve"> </w:t>
      </w:r>
      <w:r>
        <w:rPr>
          <w:rFonts w:ascii="Arial"/>
          <w:b/>
          <w:spacing w:val="-2"/>
          <w:sz w:val="21"/>
        </w:rPr>
        <w:t>Enrollees</w:t>
      </w:r>
    </w:p>
    <w:p>
      <w:pPr>
        <w:pStyle w:val="BodyText"/>
        <w:spacing w:before="121"/>
        <w:ind w:right="1536"/>
        <w:jc w:val="both"/>
      </w:pPr>
      <w:r>
        <w:t>The</w:t>
      </w:r>
      <w:r>
        <w:rPr>
          <w:spacing w:val="-1"/>
        </w:rPr>
        <w:t xml:space="preserve"> </w:t>
      </w:r>
      <w:r>
        <w:t>supporting experience and projection of MA Medicare-covered bid excludes beneficiaries in</w:t>
      </w:r>
      <w:r>
        <w:rPr>
          <w:spacing w:val="-3"/>
        </w:rPr>
        <w:t xml:space="preserve"> </w:t>
      </w:r>
      <w:r>
        <w:t>hospice</w:t>
      </w:r>
      <w:r>
        <w:rPr>
          <w:spacing w:val="-5"/>
        </w:rPr>
        <w:t xml:space="preserve"> </w:t>
      </w:r>
      <w:r>
        <w:t>status</w:t>
      </w:r>
      <w:r>
        <w:rPr>
          <w:spacing w:val="-4"/>
        </w:rPr>
        <w:t xml:space="preserve"> </w:t>
      </w:r>
      <w:r>
        <w:t>as</w:t>
      </w:r>
      <w:r>
        <w:rPr>
          <w:spacing w:val="-4"/>
        </w:rPr>
        <w:t xml:space="preserve"> </w:t>
      </w:r>
      <w:r>
        <w:t>of</w:t>
      </w:r>
      <w:r>
        <w:rPr>
          <w:spacing w:val="-4"/>
        </w:rPr>
        <w:t xml:space="preserve"> </w:t>
      </w:r>
      <w:r>
        <w:t>the</w:t>
      </w:r>
      <w:r>
        <w:rPr>
          <w:spacing w:val="-3"/>
        </w:rPr>
        <w:t xml:space="preserve"> </w:t>
      </w:r>
      <w:r>
        <w:t>first</w:t>
      </w:r>
      <w:r>
        <w:rPr>
          <w:spacing w:val="-3"/>
        </w:rPr>
        <w:t xml:space="preserve"> </w:t>
      </w:r>
      <w:r>
        <w:t>day</w:t>
      </w:r>
      <w:r>
        <w:rPr>
          <w:spacing w:val="-3"/>
        </w:rPr>
        <w:t xml:space="preserve"> </w:t>
      </w:r>
      <w:r>
        <w:t>of</w:t>
      </w:r>
      <w:r>
        <w:rPr>
          <w:spacing w:val="-5"/>
        </w:rPr>
        <w:t xml:space="preserve"> </w:t>
      </w:r>
      <w:r>
        <w:t>the</w:t>
      </w:r>
      <w:r>
        <w:rPr>
          <w:spacing w:val="-3"/>
        </w:rPr>
        <w:t xml:space="preserve"> </w:t>
      </w:r>
      <w:r>
        <w:t>month.</w:t>
      </w:r>
      <w:r>
        <w:rPr>
          <w:spacing w:val="-1"/>
        </w:rPr>
        <w:t xml:space="preserve"> </w:t>
      </w:r>
      <w:r>
        <w:t>Accordingly,</w:t>
      </w:r>
      <w:r>
        <w:rPr>
          <w:spacing w:val="-1"/>
        </w:rPr>
        <w:t xml:space="preserve"> </w:t>
      </w:r>
      <w:r>
        <w:t>the</w:t>
      </w:r>
      <w:r>
        <w:rPr>
          <w:spacing w:val="-3"/>
        </w:rPr>
        <w:t xml:space="preserve"> </w:t>
      </w:r>
      <w:r>
        <w:t>following</w:t>
      </w:r>
      <w:r>
        <w:rPr>
          <w:spacing w:val="-3"/>
        </w:rPr>
        <w:t xml:space="preserve"> </w:t>
      </w:r>
      <w:r>
        <w:t>data</w:t>
      </w:r>
      <w:r>
        <w:rPr>
          <w:spacing w:val="-3"/>
        </w:rPr>
        <w:t xml:space="preserve"> </w:t>
      </w:r>
      <w:r>
        <w:t>must</w:t>
      </w:r>
      <w:r>
        <w:rPr>
          <w:spacing w:val="-2"/>
        </w:rPr>
        <w:t xml:space="preserve"> </w:t>
      </w:r>
      <w:r>
        <w:t>exclude enrollees for the time period that they are in hospice status:</w:t>
      </w:r>
    </w:p>
    <w:p>
      <w:pPr>
        <w:pStyle w:val="ListParagraph"/>
        <w:numPr>
          <w:ilvl w:val="0"/>
          <w:numId w:val="47"/>
        </w:numPr>
        <w:tabs>
          <w:tab w:val="left" w:pos="1584"/>
        </w:tabs>
        <w:spacing w:before="117" w:after="0" w:line="240" w:lineRule="auto"/>
        <w:ind w:left="1584" w:right="1529" w:hanging="360"/>
        <w:jc w:val="left"/>
        <w:rPr>
          <w:sz w:val="24"/>
        </w:rPr>
      </w:pPr>
      <w:r>
        <w:rPr>
          <w:sz w:val="24"/>
        </w:rPr>
        <w:t>Base</w:t>
      </w:r>
      <w:r>
        <w:rPr>
          <w:spacing w:val="-4"/>
          <w:sz w:val="24"/>
        </w:rPr>
        <w:t xml:space="preserve"> </w:t>
      </w:r>
      <w:r>
        <w:rPr>
          <w:sz w:val="24"/>
        </w:rPr>
        <w:t>period</w:t>
      </w:r>
      <w:r>
        <w:rPr>
          <w:spacing w:val="-3"/>
          <w:sz w:val="24"/>
        </w:rPr>
        <w:t xml:space="preserve"> </w:t>
      </w:r>
      <w:r>
        <w:rPr>
          <w:sz w:val="24"/>
        </w:rPr>
        <w:t>member</w:t>
      </w:r>
      <w:r>
        <w:rPr>
          <w:spacing w:val="-3"/>
          <w:sz w:val="24"/>
        </w:rPr>
        <w:t xml:space="preserve"> </w:t>
      </w:r>
      <w:r>
        <w:rPr>
          <w:sz w:val="24"/>
        </w:rPr>
        <w:t>months</w:t>
      </w:r>
      <w:r>
        <w:rPr>
          <w:spacing w:val="-4"/>
          <w:sz w:val="24"/>
        </w:rPr>
        <w:t xml:space="preserve"> </w:t>
      </w:r>
      <w:r>
        <w:rPr>
          <w:sz w:val="24"/>
        </w:rPr>
        <w:t>and</w:t>
      </w:r>
      <w:r>
        <w:rPr>
          <w:spacing w:val="-3"/>
          <w:sz w:val="24"/>
        </w:rPr>
        <w:t xml:space="preserve"> </w:t>
      </w:r>
      <w:r>
        <w:rPr>
          <w:sz w:val="24"/>
        </w:rPr>
        <w:t>base</w:t>
      </w:r>
      <w:r>
        <w:rPr>
          <w:spacing w:val="-4"/>
          <w:sz w:val="24"/>
        </w:rPr>
        <w:t xml:space="preserve"> </w:t>
      </w:r>
      <w:r>
        <w:rPr>
          <w:sz w:val="24"/>
        </w:rPr>
        <w:t>period</w:t>
      </w:r>
      <w:r>
        <w:rPr>
          <w:spacing w:val="-3"/>
          <w:sz w:val="24"/>
        </w:rPr>
        <w:t xml:space="preserve"> </w:t>
      </w:r>
      <w:r>
        <w:rPr>
          <w:sz w:val="24"/>
        </w:rPr>
        <w:t>risk</w:t>
      </w:r>
      <w:r>
        <w:rPr>
          <w:spacing w:val="-3"/>
          <w:sz w:val="24"/>
        </w:rPr>
        <w:t xml:space="preserve"> </w:t>
      </w:r>
      <w:r>
        <w:rPr>
          <w:sz w:val="24"/>
        </w:rPr>
        <w:t>scores</w:t>
      </w:r>
      <w:r>
        <w:rPr>
          <w:spacing w:val="-4"/>
          <w:sz w:val="24"/>
        </w:rPr>
        <w:t xml:space="preserve"> </w:t>
      </w:r>
      <w:r>
        <w:rPr>
          <w:sz w:val="24"/>
        </w:rPr>
        <w:t>in</w:t>
      </w:r>
      <w:r>
        <w:rPr>
          <w:spacing w:val="-3"/>
          <w:sz w:val="24"/>
        </w:rPr>
        <w:t xml:space="preserve"> </w:t>
      </w:r>
      <w:r>
        <w:rPr>
          <w:sz w:val="24"/>
        </w:rPr>
        <w:t>Worksheet</w:t>
      </w:r>
      <w:r>
        <w:rPr>
          <w:spacing w:val="-3"/>
          <w:sz w:val="24"/>
        </w:rPr>
        <w:t xml:space="preserve"> </w:t>
      </w:r>
      <w:r>
        <w:rPr>
          <w:sz w:val="24"/>
        </w:rPr>
        <w:t>1,</w:t>
      </w:r>
      <w:r>
        <w:rPr>
          <w:spacing w:val="-3"/>
          <w:sz w:val="24"/>
        </w:rPr>
        <w:t xml:space="preserve"> </w:t>
      </w:r>
      <w:r>
        <w:rPr>
          <w:sz w:val="24"/>
        </w:rPr>
        <w:t xml:space="preserve">Section II, </w:t>
      </w:r>
      <w:r>
        <w:rPr>
          <w:spacing w:val="-4"/>
          <w:sz w:val="24"/>
        </w:rPr>
        <w:t>and</w:t>
      </w:r>
    </w:p>
    <w:p>
      <w:pPr>
        <w:pStyle w:val="ListParagraph"/>
        <w:numPr>
          <w:ilvl w:val="0"/>
          <w:numId w:val="47"/>
        </w:numPr>
        <w:tabs>
          <w:tab w:val="left" w:pos="1584"/>
        </w:tabs>
        <w:spacing w:before="0" w:after="0" w:line="240" w:lineRule="auto"/>
        <w:ind w:left="1584" w:right="0" w:hanging="360"/>
        <w:jc w:val="left"/>
        <w:rPr>
          <w:sz w:val="24"/>
        </w:rPr>
      </w:pPr>
      <w:r>
        <w:rPr>
          <w:sz w:val="24"/>
        </w:rPr>
        <w:t>Projected</w:t>
      </w:r>
      <w:r>
        <w:rPr>
          <w:spacing w:val="-1"/>
          <w:sz w:val="24"/>
        </w:rPr>
        <w:t xml:space="preserve"> </w:t>
      </w:r>
      <w:r>
        <w:rPr>
          <w:sz w:val="24"/>
        </w:rPr>
        <w:t>member</w:t>
      </w:r>
      <w:r>
        <w:rPr>
          <w:spacing w:val="-3"/>
          <w:sz w:val="24"/>
        </w:rPr>
        <w:t xml:space="preserve"> </w:t>
      </w:r>
      <w:r>
        <w:rPr>
          <w:sz w:val="24"/>
        </w:rPr>
        <w:t>months in</w:t>
      </w:r>
      <w:r>
        <w:rPr>
          <w:spacing w:val="-1"/>
          <w:sz w:val="24"/>
        </w:rPr>
        <w:t xml:space="preserve"> </w:t>
      </w:r>
      <w:r>
        <w:rPr>
          <w:sz w:val="24"/>
        </w:rPr>
        <w:t>Worksheet</w:t>
      </w:r>
      <w:r>
        <w:rPr>
          <w:spacing w:val="-1"/>
          <w:sz w:val="24"/>
        </w:rPr>
        <w:t xml:space="preserve"> </w:t>
      </w:r>
      <w:r>
        <w:rPr>
          <w:sz w:val="24"/>
        </w:rPr>
        <w:t>5,</w:t>
      </w:r>
      <w:r>
        <w:rPr>
          <w:spacing w:val="-1"/>
          <w:sz w:val="24"/>
        </w:rPr>
        <w:t xml:space="preserve"> </w:t>
      </w:r>
      <w:r>
        <w:rPr>
          <w:sz w:val="24"/>
        </w:rPr>
        <w:t>Sections</w:t>
      </w:r>
      <w:r>
        <w:rPr>
          <w:spacing w:val="-2"/>
          <w:sz w:val="24"/>
        </w:rPr>
        <w:t xml:space="preserve"> </w:t>
      </w:r>
      <w:r>
        <w:rPr>
          <w:sz w:val="24"/>
        </w:rPr>
        <w:t>II</w:t>
      </w:r>
      <w:r>
        <w:rPr>
          <w:spacing w:val="-3"/>
          <w:sz w:val="24"/>
        </w:rPr>
        <w:t xml:space="preserve"> </w:t>
      </w:r>
      <w:r>
        <w:rPr>
          <w:sz w:val="24"/>
        </w:rPr>
        <w:t>and</w:t>
      </w:r>
      <w:r>
        <w:rPr>
          <w:spacing w:val="-1"/>
          <w:sz w:val="24"/>
        </w:rPr>
        <w:t xml:space="preserve"> </w:t>
      </w:r>
      <w:r>
        <w:rPr>
          <w:sz w:val="24"/>
        </w:rPr>
        <w:t>VI,</w:t>
      </w:r>
      <w:r>
        <w:rPr>
          <w:spacing w:val="1"/>
          <w:sz w:val="24"/>
        </w:rPr>
        <w:t xml:space="preserve"> </w:t>
      </w:r>
      <w:r>
        <w:rPr>
          <w:spacing w:val="-5"/>
          <w:sz w:val="24"/>
        </w:rPr>
        <w:t>and</w:t>
      </w:r>
    </w:p>
    <w:p>
      <w:pPr>
        <w:pStyle w:val="ListParagraph"/>
        <w:numPr>
          <w:ilvl w:val="0"/>
          <w:numId w:val="47"/>
        </w:numPr>
        <w:tabs>
          <w:tab w:val="left" w:pos="1584"/>
        </w:tabs>
        <w:spacing w:before="1" w:after="0" w:line="240" w:lineRule="auto"/>
        <w:ind w:left="1584" w:right="0" w:hanging="360"/>
        <w:jc w:val="left"/>
        <w:rPr>
          <w:sz w:val="24"/>
        </w:rPr>
      </w:pPr>
      <w:r>
        <w:rPr>
          <w:sz w:val="24"/>
        </w:rPr>
        <w:t>Projected</w:t>
      </w:r>
      <w:r>
        <w:rPr>
          <w:spacing w:val="-5"/>
          <w:sz w:val="24"/>
        </w:rPr>
        <w:t xml:space="preserve"> </w:t>
      </w:r>
      <w:r>
        <w:rPr>
          <w:sz w:val="24"/>
        </w:rPr>
        <w:t>risk</w:t>
      </w:r>
      <w:r>
        <w:rPr>
          <w:spacing w:val="-2"/>
          <w:sz w:val="24"/>
        </w:rPr>
        <w:t xml:space="preserve"> </w:t>
      </w:r>
      <w:r>
        <w:rPr>
          <w:sz w:val="24"/>
        </w:rPr>
        <w:t>factors</w:t>
      </w:r>
      <w:r>
        <w:rPr>
          <w:spacing w:val="-2"/>
          <w:sz w:val="24"/>
        </w:rPr>
        <w:t xml:space="preserve"> </w:t>
      </w:r>
      <w:r>
        <w:rPr>
          <w:sz w:val="24"/>
        </w:rPr>
        <w:t>in</w:t>
      </w:r>
      <w:r>
        <w:rPr>
          <w:spacing w:val="-1"/>
          <w:sz w:val="24"/>
        </w:rPr>
        <w:t xml:space="preserve"> </w:t>
      </w:r>
      <w:r>
        <w:rPr>
          <w:sz w:val="24"/>
        </w:rPr>
        <w:t>Worksheet</w:t>
      </w:r>
      <w:r>
        <w:rPr>
          <w:spacing w:val="-2"/>
          <w:sz w:val="24"/>
        </w:rPr>
        <w:t xml:space="preserve"> </w:t>
      </w:r>
      <w:r>
        <w:rPr>
          <w:spacing w:val="-5"/>
          <w:sz w:val="24"/>
        </w:rPr>
        <w:t>5.</w:t>
      </w:r>
    </w:p>
    <w:p>
      <w:pPr>
        <w:pStyle w:val="BodyText"/>
        <w:spacing w:before="120"/>
      </w:pPr>
      <w:r>
        <w:t>However,</w:t>
      </w:r>
      <w:r>
        <w:rPr>
          <w:spacing w:val="-1"/>
        </w:rPr>
        <w:t xml:space="preserve"> </w:t>
      </w:r>
      <w:r>
        <w:t>base</w:t>
      </w:r>
      <w:r>
        <w:rPr>
          <w:spacing w:val="-2"/>
        </w:rPr>
        <w:t xml:space="preserve"> </w:t>
      </w:r>
      <w:r>
        <w:t>period data</w:t>
      </w:r>
      <w:r>
        <w:rPr>
          <w:spacing w:val="-2"/>
        </w:rPr>
        <w:t xml:space="preserve"> </w:t>
      </w:r>
      <w:r>
        <w:t>in</w:t>
      </w:r>
      <w:r>
        <w:rPr>
          <w:spacing w:val="-1"/>
        </w:rPr>
        <w:t xml:space="preserve"> </w:t>
      </w:r>
      <w:r>
        <w:t>Worksheet 1,</w:t>
      </w:r>
      <w:r>
        <w:rPr>
          <w:spacing w:val="-1"/>
        </w:rPr>
        <w:t xml:space="preserve"> </w:t>
      </w:r>
      <w:r>
        <w:t>Section</w:t>
      </w:r>
      <w:r>
        <w:rPr>
          <w:spacing w:val="-1"/>
        </w:rPr>
        <w:t xml:space="preserve"> </w:t>
      </w:r>
      <w:r>
        <w:t>V</w:t>
      </w:r>
      <w:r>
        <w:rPr>
          <w:spacing w:val="-1"/>
        </w:rPr>
        <w:t xml:space="preserve"> </w:t>
      </w:r>
      <w:r>
        <w:t>must</w:t>
      </w:r>
      <w:r>
        <w:rPr>
          <w:spacing w:val="-1"/>
        </w:rPr>
        <w:t xml:space="preserve"> </w:t>
      </w:r>
      <w:r>
        <w:t>include</w:t>
      </w:r>
      <w:r>
        <w:rPr>
          <w:spacing w:val="-2"/>
        </w:rPr>
        <w:t xml:space="preserve"> </w:t>
      </w:r>
      <w:r>
        <w:t>hospice</w:t>
      </w:r>
      <w:r>
        <w:rPr>
          <w:spacing w:val="1"/>
        </w:rPr>
        <w:t xml:space="preserve"> </w:t>
      </w:r>
      <w:r>
        <w:rPr>
          <w:spacing w:val="-2"/>
        </w:rPr>
        <w:t>data.</w:t>
      </w:r>
    </w:p>
    <w:p>
      <w:pPr>
        <w:pStyle w:val="BodyText"/>
        <w:spacing w:before="120"/>
        <w:ind w:right="1481"/>
      </w:pPr>
      <w:r>
        <w:t>Since hospice enrollees continue to receive supplemental benefits from the MA plan, the projected allowed cost PMPM may reflect claim costs for these enrollees for supplemental benefits, at the discretion of the certifying actuary—for example, for a dental or another additional benefit. If the projected allowed costs for mandatory supplemental benefits include claims costs for hospice enrollees, then the mandatory supplemental medical expenses in Worksheet</w:t>
      </w:r>
      <w:r>
        <w:rPr>
          <w:spacing w:val="-3"/>
        </w:rPr>
        <w:t xml:space="preserve"> </w:t>
      </w:r>
      <w:r>
        <w:t>1,</w:t>
      </w:r>
      <w:r>
        <w:rPr>
          <w:spacing w:val="-3"/>
        </w:rPr>
        <w:t xml:space="preserve"> </w:t>
      </w:r>
      <w:r>
        <w:t>Section</w:t>
      </w:r>
      <w:r>
        <w:rPr>
          <w:spacing w:val="-3"/>
        </w:rPr>
        <w:t xml:space="preserve"> </w:t>
      </w:r>
      <w:r>
        <w:t>III</w:t>
      </w:r>
      <w:r>
        <w:rPr>
          <w:spacing w:val="-2"/>
        </w:rPr>
        <w:t xml:space="preserve"> </w:t>
      </w:r>
      <w:r>
        <w:t>must</w:t>
      </w:r>
      <w:r>
        <w:rPr>
          <w:spacing w:val="-2"/>
        </w:rPr>
        <w:t xml:space="preserve"> </w:t>
      </w:r>
      <w:r>
        <w:t>include</w:t>
      </w:r>
      <w:r>
        <w:rPr>
          <w:spacing w:val="-4"/>
        </w:rPr>
        <w:t xml:space="preserve"> </w:t>
      </w:r>
      <w:r>
        <w:t>claims</w:t>
      </w:r>
      <w:r>
        <w:rPr>
          <w:spacing w:val="-3"/>
        </w:rPr>
        <w:t xml:space="preserve"> </w:t>
      </w:r>
      <w:r>
        <w:t>for</w:t>
      </w:r>
      <w:r>
        <w:rPr>
          <w:spacing w:val="-5"/>
        </w:rPr>
        <w:t xml:space="preserve"> </w:t>
      </w:r>
      <w:r>
        <w:t>hospice</w:t>
      </w:r>
      <w:r>
        <w:rPr>
          <w:spacing w:val="-4"/>
        </w:rPr>
        <w:t xml:space="preserve"> </w:t>
      </w:r>
      <w:r>
        <w:t>enrollees</w:t>
      </w:r>
      <w:r>
        <w:rPr>
          <w:spacing w:val="-4"/>
        </w:rPr>
        <w:t xml:space="preserve"> </w:t>
      </w:r>
      <w:r>
        <w:t>for</w:t>
      </w:r>
      <w:r>
        <w:rPr>
          <w:spacing w:val="-5"/>
        </w:rPr>
        <w:t xml:space="preserve"> </w:t>
      </w:r>
      <w:r>
        <w:t>the</w:t>
      </w:r>
      <w:r>
        <w:rPr>
          <w:spacing w:val="-3"/>
        </w:rPr>
        <w:t xml:space="preserve"> </w:t>
      </w:r>
      <w:r>
        <w:t>time</w:t>
      </w:r>
      <w:r>
        <w:rPr>
          <w:spacing w:val="-3"/>
        </w:rPr>
        <w:t xml:space="preserve"> </w:t>
      </w:r>
      <w:r>
        <w:t>period</w:t>
      </w:r>
      <w:r>
        <w:rPr>
          <w:spacing w:val="-3"/>
        </w:rPr>
        <w:t xml:space="preserve"> </w:t>
      </w:r>
      <w:r>
        <w:t>that</w:t>
      </w:r>
      <w:r>
        <w:rPr>
          <w:spacing w:val="-3"/>
        </w:rPr>
        <w:t xml:space="preserve"> </w:t>
      </w:r>
      <w:r>
        <w:t>they are in that status.</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pPr>
      <w:r>
        <w:t>The</w:t>
      </w:r>
      <w:r>
        <w:rPr>
          <w:spacing w:val="-3"/>
        </w:rPr>
        <w:t xml:space="preserve"> </w:t>
      </w:r>
      <w:r>
        <w:t>“Monthly</w:t>
      </w:r>
      <w:r>
        <w:rPr>
          <w:spacing w:val="-1"/>
        </w:rPr>
        <w:t xml:space="preserve"> </w:t>
      </w:r>
      <w:r>
        <w:t>Membership Report”</w:t>
      </w:r>
      <w:r>
        <w:rPr>
          <w:spacing w:val="-3"/>
        </w:rPr>
        <w:t xml:space="preserve"> </w:t>
      </w:r>
      <w:r>
        <w:t>(MMR)</w:t>
      </w:r>
      <w:r>
        <w:rPr>
          <w:spacing w:val="-1"/>
        </w:rPr>
        <w:t xml:space="preserve"> </w:t>
      </w:r>
      <w:r>
        <w:t>data include</w:t>
      </w:r>
      <w:r>
        <w:rPr>
          <w:spacing w:val="-1"/>
        </w:rPr>
        <w:t xml:space="preserve"> </w:t>
      </w:r>
      <w:r>
        <w:t>hospice</w:t>
      </w:r>
      <w:r>
        <w:rPr>
          <w:spacing w:val="-1"/>
        </w:rPr>
        <w:t xml:space="preserve"> </w:t>
      </w:r>
      <w:r>
        <w:rPr>
          <w:spacing w:val="-2"/>
        </w:rPr>
        <w:t>status.</w:t>
      </w:r>
    </w:p>
    <w:p>
      <w:pPr>
        <w:spacing w:before="241"/>
        <w:ind w:left="504" w:right="0" w:firstLine="0"/>
        <w:jc w:val="left"/>
        <w:rPr>
          <w:rFonts w:ascii="Arial"/>
          <w:b/>
          <w:sz w:val="21"/>
        </w:rPr>
      </w:pPr>
      <w:bookmarkStart w:id="71" w:name="Manual Rating"/>
      <w:bookmarkEnd w:id="71"/>
      <w:bookmarkStart w:id="72" w:name="_bookmark23"/>
      <w:bookmarkEnd w:id="72"/>
      <w:r>
        <w:rPr>
          <w:rFonts w:ascii="Arial"/>
          <w:b/>
          <w:sz w:val="21"/>
        </w:rPr>
        <w:t>Manual</w:t>
      </w:r>
      <w:r>
        <w:rPr>
          <w:rFonts w:ascii="Arial"/>
          <w:b/>
          <w:spacing w:val="-6"/>
          <w:sz w:val="21"/>
        </w:rPr>
        <w:t xml:space="preserve"> </w:t>
      </w:r>
      <w:r>
        <w:rPr>
          <w:rFonts w:ascii="Arial"/>
          <w:b/>
          <w:spacing w:val="-2"/>
          <w:sz w:val="21"/>
        </w:rPr>
        <w:t>Rating</w:t>
      </w:r>
    </w:p>
    <w:p>
      <w:pPr>
        <w:spacing w:before="241"/>
        <w:ind w:left="1224" w:right="0" w:firstLine="0"/>
        <w:jc w:val="left"/>
        <w:rPr>
          <w:rFonts w:ascii="Arial"/>
          <w:b/>
          <w:i/>
          <w:sz w:val="21"/>
        </w:rPr>
      </w:pPr>
      <w:bookmarkStart w:id="73" w:name="Manual Rating with FFS Data"/>
      <w:bookmarkEnd w:id="73"/>
      <w:r>
        <w:rPr>
          <w:rFonts w:ascii="Arial"/>
          <w:b/>
          <w:i/>
          <w:sz w:val="21"/>
        </w:rPr>
        <w:t>Manual</w:t>
      </w:r>
      <w:r>
        <w:rPr>
          <w:rFonts w:ascii="Arial"/>
          <w:b/>
          <w:i/>
          <w:spacing w:val="-8"/>
          <w:sz w:val="21"/>
        </w:rPr>
        <w:t xml:space="preserve"> </w:t>
      </w:r>
      <w:r>
        <w:rPr>
          <w:rFonts w:ascii="Arial"/>
          <w:b/>
          <w:i/>
          <w:sz w:val="21"/>
        </w:rPr>
        <w:t>Rating</w:t>
      </w:r>
      <w:r>
        <w:rPr>
          <w:rFonts w:ascii="Arial"/>
          <w:b/>
          <w:i/>
          <w:spacing w:val="-5"/>
          <w:sz w:val="21"/>
        </w:rPr>
        <w:t xml:space="preserve"> </w:t>
      </w:r>
      <w:r>
        <w:rPr>
          <w:rFonts w:ascii="Arial"/>
          <w:b/>
          <w:i/>
          <w:sz w:val="21"/>
        </w:rPr>
        <w:t>with</w:t>
      </w:r>
      <w:r>
        <w:rPr>
          <w:rFonts w:ascii="Arial"/>
          <w:b/>
          <w:i/>
          <w:spacing w:val="-4"/>
          <w:sz w:val="21"/>
        </w:rPr>
        <w:t xml:space="preserve"> </w:t>
      </w:r>
      <w:r>
        <w:rPr>
          <w:rFonts w:ascii="Arial"/>
          <w:b/>
          <w:i/>
          <w:sz w:val="21"/>
        </w:rPr>
        <w:t>FFS</w:t>
      </w:r>
      <w:r>
        <w:rPr>
          <w:rFonts w:ascii="Arial"/>
          <w:b/>
          <w:i/>
          <w:spacing w:val="-6"/>
          <w:sz w:val="21"/>
        </w:rPr>
        <w:t xml:space="preserve"> </w:t>
      </w:r>
      <w:r>
        <w:rPr>
          <w:rFonts w:ascii="Arial"/>
          <w:b/>
          <w:i/>
          <w:spacing w:val="-4"/>
          <w:sz w:val="21"/>
        </w:rPr>
        <w:t>Data</w:t>
      </w:r>
    </w:p>
    <w:p>
      <w:pPr>
        <w:pStyle w:val="BodyText"/>
        <w:spacing w:before="118"/>
        <w:ind w:left="1224" w:right="1485"/>
      </w:pPr>
      <w:r>
        <w:t>Special considerations, and corresponding documentation, are required when using Medicare FFS data as a manual rating source. Many of the available FFS data are not directly</w:t>
      </w:r>
      <w:r>
        <w:rPr>
          <w:spacing w:val="-3"/>
        </w:rPr>
        <w:t xml:space="preserve"> </w:t>
      </w:r>
      <w:r>
        <w:t>applicable</w:t>
      </w:r>
      <w:r>
        <w:rPr>
          <w:spacing w:val="-2"/>
        </w:rPr>
        <w:t xml:space="preserve"> </w:t>
      </w:r>
      <w:r>
        <w:t>and/or</w:t>
      </w:r>
      <w:r>
        <w:rPr>
          <w:spacing w:val="-2"/>
        </w:rPr>
        <w:t xml:space="preserve"> </w:t>
      </w:r>
      <w:r>
        <w:t>detailed</w:t>
      </w:r>
      <w:r>
        <w:rPr>
          <w:spacing w:val="-3"/>
        </w:rPr>
        <w:t xml:space="preserve"> </w:t>
      </w:r>
      <w:r>
        <w:t>enough</w:t>
      </w:r>
      <w:r>
        <w:rPr>
          <w:spacing w:val="-3"/>
        </w:rPr>
        <w:t xml:space="preserve"> </w:t>
      </w:r>
      <w:r>
        <w:t>to</w:t>
      </w:r>
      <w:r>
        <w:rPr>
          <w:spacing w:val="-3"/>
        </w:rPr>
        <w:t xml:space="preserve"> </w:t>
      </w:r>
      <w:r>
        <w:t>be</w:t>
      </w:r>
      <w:r>
        <w:rPr>
          <w:spacing w:val="-3"/>
        </w:rPr>
        <w:t xml:space="preserve"> </w:t>
      </w:r>
      <w:r>
        <w:t>used</w:t>
      </w:r>
      <w:r>
        <w:rPr>
          <w:spacing w:val="-3"/>
        </w:rPr>
        <w:t xml:space="preserve"> </w:t>
      </w:r>
      <w:r>
        <w:t>as</w:t>
      </w:r>
      <w:r>
        <w:rPr>
          <w:spacing w:val="-4"/>
        </w:rPr>
        <w:t xml:space="preserve"> </w:t>
      </w:r>
      <w:r>
        <w:t>the</w:t>
      </w:r>
      <w:r>
        <w:rPr>
          <w:spacing w:val="-3"/>
        </w:rPr>
        <w:t xml:space="preserve"> </w:t>
      </w:r>
      <w:r>
        <w:t>sole</w:t>
      </w:r>
      <w:r>
        <w:rPr>
          <w:spacing w:val="-3"/>
        </w:rPr>
        <w:t xml:space="preserve"> </w:t>
      </w:r>
      <w:r>
        <w:t>source</w:t>
      </w:r>
      <w:r>
        <w:rPr>
          <w:spacing w:val="-4"/>
        </w:rPr>
        <w:t xml:space="preserve"> </w:t>
      </w:r>
      <w:r>
        <w:t>for</w:t>
      </w:r>
      <w:r>
        <w:rPr>
          <w:spacing w:val="-2"/>
        </w:rPr>
        <w:t xml:space="preserve"> </w:t>
      </w:r>
      <w:r>
        <w:t>projection</w:t>
      </w:r>
      <w:r>
        <w:rPr>
          <w:spacing w:val="-3"/>
        </w:rPr>
        <w:t xml:space="preserve"> </w:t>
      </w:r>
      <w:r>
        <w:t>of medical expenses. For example, it is inappropriate to tabulate claims data using Medicare Public Use Files (PUFs) without making adjustments to account for the corresponding demographic, health, and geographic profiles of the claimants and to account for the non-claimants. Similarly, since the FFS data published in the BPT and/or the MA rate book development files are not split by benefit type, another appropriate</w:t>
      </w:r>
      <w:r>
        <w:rPr>
          <w:spacing w:val="-3"/>
        </w:rPr>
        <w:t xml:space="preserve"> </w:t>
      </w:r>
      <w:r>
        <w:t>source</w:t>
      </w:r>
      <w:r>
        <w:rPr>
          <w:spacing w:val="-4"/>
        </w:rPr>
        <w:t xml:space="preserve"> </w:t>
      </w:r>
      <w:r>
        <w:t>must be</w:t>
      </w:r>
      <w:r>
        <w:rPr>
          <w:spacing w:val="-4"/>
        </w:rPr>
        <w:t xml:space="preserve"> </w:t>
      </w:r>
      <w:r>
        <w:t>used</w:t>
      </w:r>
      <w:r>
        <w:rPr>
          <w:spacing w:val="-3"/>
        </w:rPr>
        <w:t xml:space="preserve"> </w:t>
      </w:r>
      <w:r>
        <w:t>to</w:t>
      </w:r>
      <w:r>
        <w:rPr>
          <w:spacing w:val="-3"/>
        </w:rPr>
        <w:t xml:space="preserve"> </w:t>
      </w:r>
      <w:r>
        <w:t>allocate</w:t>
      </w:r>
      <w:r>
        <w:rPr>
          <w:spacing w:val="-3"/>
        </w:rPr>
        <w:t xml:space="preserve"> </w:t>
      </w:r>
      <w:r>
        <w:t>the</w:t>
      </w:r>
      <w:r>
        <w:rPr>
          <w:spacing w:val="-4"/>
        </w:rPr>
        <w:t xml:space="preserve"> </w:t>
      </w:r>
      <w:r>
        <w:t>data</w:t>
      </w:r>
      <w:r>
        <w:rPr>
          <w:spacing w:val="-3"/>
        </w:rPr>
        <w:t xml:space="preserve"> </w:t>
      </w:r>
      <w:r>
        <w:t>to</w:t>
      </w:r>
      <w:r>
        <w:rPr>
          <w:spacing w:val="-2"/>
        </w:rPr>
        <w:t xml:space="preserve"> </w:t>
      </w:r>
      <w:r>
        <w:t>all</w:t>
      </w:r>
      <w:r>
        <w:rPr>
          <w:spacing w:val="-3"/>
        </w:rPr>
        <w:t xml:space="preserve"> </w:t>
      </w:r>
      <w:r>
        <w:t>of</w:t>
      </w:r>
      <w:r>
        <w:rPr>
          <w:spacing w:val="-3"/>
        </w:rPr>
        <w:t xml:space="preserve"> </w:t>
      </w:r>
      <w:r>
        <w:t>the</w:t>
      </w:r>
      <w:r>
        <w:rPr>
          <w:spacing w:val="-4"/>
        </w:rPr>
        <w:t xml:space="preserve"> </w:t>
      </w:r>
      <w:r>
        <w:t>BPT</w:t>
      </w:r>
      <w:r>
        <w:rPr>
          <w:spacing w:val="-3"/>
        </w:rPr>
        <w:t xml:space="preserve"> </w:t>
      </w:r>
      <w:r>
        <w:t>service</w:t>
      </w:r>
      <w:r>
        <w:rPr>
          <w:spacing w:val="-4"/>
        </w:rPr>
        <w:t xml:space="preserve"> </w:t>
      </w:r>
      <w:r>
        <w:t>categories. Further, as is the case with all manual rating sources, adjustments must be made to account for claim expenses</w:t>
      </w:r>
      <w:r>
        <w:rPr>
          <w:spacing w:val="-1"/>
        </w:rPr>
        <w:t xml:space="preserve"> </w:t>
      </w:r>
      <w:r>
        <w:t>that are</w:t>
      </w:r>
      <w:r>
        <w:rPr>
          <w:spacing w:val="-2"/>
        </w:rPr>
        <w:t xml:space="preserve"> </w:t>
      </w:r>
      <w:r>
        <w:t xml:space="preserve">not reflected in the FFS data, such as claim run-out, inclusion of expenses excluded from the data, and adjustments for medical education </w:t>
      </w:r>
      <w:r>
        <w:rPr>
          <w:spacing w:val="-2"/>
        </w:rPr>
        <w:t>expenses.</w:t>
      </w:r>
    </w:p>
    <w:p>
      <w:pPr>
        <w:spacing w:before="241"/>
        <w:ind w:left="1224" w:right="0" w:firstLine="0"/>
        <w:jc w:val="left"/>
        <w:rPr>
          <w:rFonts w:ascii="Arial"/>
          <w:b/>
          <w:i/>
          <w:sz w:val="21"/>
        </w:rPr>
      </w:pPr>
      <w:bookmarkStart w:id="74" w:name="FFS Costs Used for the Actuarial Equival"/>
      <w:bookmarkEnd w:id="74"/>
      <w:r>
        <w:rPr>
          <w:rFonts w:ascii="Arial"/>
          <w:b/>
          <w:i/>
          <w:sz w:val="21"/>
        </w:rPr>
        <w:t>FFS</w:t>
      </w:r>
      <w:r>
        <w:rPr>
          <w:rFonts w:ascii="Arial"/>
          <w:b/>
          <w:i/>
          <w:spacing w:val="-8"/>
          <w:sz w:val="21"/>
        </w:rPr>
        <w:t xml:space="preserve"> </w:t>
      </w:r>
      <w:r>
        <w:rPr>
          <w:rFonts w:ascii="Arial"/>
          <w:b/>
          <w:i/>
          <w:sz w:val="21"/>
        </w:rPr>
        <w:t>Costs</w:t>
      </w:r>
      <w:r>
        <w:rPr>
          <w:rFonts w:ascii="Arial"/>
          <w:b/>
          <w:i/>
          <w:spacing w:val="-8"/>
          <w:sz w:val="21"/>
        </w:rPr>
        <w:t xml:space="preserve"> </w:t>
      </w:r>
      <w:r>
        <w:rPr>
          <w:rFonts w:ascii="Arial"/>
          <w:b/>
          <w:i/>
          <w:sz w:val="21"/>
        </w:rPr>
        <w:t>Used</w:t>
      </w:r>
      <w:r>
        <w:rPr>
          <w:rFonts w:ascii="Arial"/>
          <w:b/>
          <w:i/>
          <w:spacing w:val="-5"/>
          <w:sz w:val="21"/>
        </w:rPr>
        <w:t xml:space="preserve"> </w:t>
      </w:r>
      <w:r>
        <w:rPr>
          <w:rFonts w:ascii="Arial"/>
          <w:b/>
          <w:i/>
          <w:sz w:val="21"/>
        </w:rPr>
        <w:t>for</w:t>
      </w:r>
      <w:r>
        <w:rPr>
          <w:rFonts w:ascii="Arial"/>
          <w:b/>
          <w:i/>
          <w:spacing w:val="-5"/>
          <w:sz w:val="21"/>
        </w:rPr>
        <w:t xml:space="preserve"> </w:t>
      </w:r>
      <w:r>
        <w:rPr>
          <w:rFonts w:ascii="Arial"/>
          <w:b/>
          <w:i/>
          <w:sz w:val="21"/>
        </w:rPr>
        <w:t>the</w:t>
      </w:r>
      <w:r>
        <w:rPr>
          <w:rFonts w:ascii="Arial"/>
          <w:b/>
          <w:i/>
          <w:spacing w:val="-7"/>
          <w:sz w:val="21"/>
        </w:rPr>
        <w:t xml:space="preserve"> </w:t>
      </w:r>
      <w:r>
        <w:rPr>
          <w:rFonts w:ascii="Arial"/>
          <w:b/>
          <w:i/>
          <w:sz w:val="21"/>
        </w:rPr>
        <w:t>Actuarial</w:t>
      </w:r>
      <w:r>
        <w:rPr>
          <w:rFonts w:ascii="Arial"/>
          <w:b/>
          <w:i/>
          <w:spacing w:val="-7"/>
          <w:sz w:val="21"/>
        </w:rPr>
        <w:t xml:space="preserve"> </w:t>
      </w:r>
      <w:r>
        <w:rPr>
          <w:rFonts w:ascii="Arial"/>
          <w:b/>
          <w:i/>
          <w:sz w:val="21"/>
        </w:rPr>
        <w:t>Equivalent</w:t>
      </w:r>
      <w:r>
        <w:rPr>
          <w:rFonts w:ascii="Arial"/>
          <w:b/>
          <w:i/>
          <w:spacing w:val="-5"/>
          <w:sz w:val="21"/>
        </w:rPr>
        <w:t xml:space="preserve"> </w:t>
      </w:r>
      <w:r>
        <w:rPr>
          <w:rFonts w:ascii="Arial"/>
          <w:b/>
          <w:i/>
          <w:sz w:val="21"/>
        </w:rPr>
        <w:t>Cost-Sharing</w:t>
      </w:r>
      <w:r>
        <w:rPr>
          <w:rFonts w:ascii="Arial"/>
          <w:b/>
          <w:i/>
          <w:spacing w:val="-7"/>
          <w:sz w:val="21"/>
        </w:rPr>
        <w:t xml:space="preserve"> </w:t>
      </w:r>
      <w:r>
        <w:rPr>
          <w:rFonts w:ascii="Arial"/>
          <w:b/>
          <w:i/>
          <w:spacing w:val="-2"/>
          <w:sz w:val="21"/>
        </w:rPr>
        <w:t>Factors</w:t>
      </w:r>
    </w:p>
    <w:p>
      <w:pPr>
        <w:pStyle w:val="BodyText"/>
        <w:spacing w:before="120"/>
        <w:ind w:left="1224" w:right="1509"/>
      </w:pPr>
      <w:r>
        <w:t>Please note that the FFS costs used for the actuarial equivalent cost sharing do not include</w:t>
      </w:r>
      <w:r>
        <w:rPr>
          <w:spacing w:val="-4"/>
        </w:rPr>
        <w:t xml:space="preserve"> </w:t>
      </w:r>
      <w:r>
        <w:t>home</w:t>
      </w:r>
      <w:r>
        <w:rPr>
          <w:spacing w:val="-3"/>
        </w:rPr>
        <w:t xml:space="preserve"> </w:t>
      </w:r>
      <w:r>
        <w:t>health</w:t>
      </w:r>
      <w:r>
        <w:rPr>
          <w:spacing w:val="-3"/>
        </w:rPr>
        <w:t xml:space="preserve"> </w:t>
      </w:r>
      <w:r>
        <w:t>care</w:t>
      </w:r>
      <w:r>
        <w:rPr>
          <w:spacing w:val="-3"/>
        </w:rPr>
        <w:t xml:space="preserve"> </w:t>
      </w:r>
      <w:r>
        <w:t>costs</w:t>
      </w:r>
      <w:r>
        <w:rPr>
          <w:spacing w:val="-3"/>
        </w:rPr>
        <w:t xml:space="preserve"> </w:t>
      </w:r>
      <w:r>
        <w:t>since</w:t>
      </w:r>
      <w:r>
        <w:rPr>
          <w:spacing w:val="-5"/>
        </w:rPr>
        <w:t xml:space="preserve"> </w:t>
      </w:r>
      <w:r>
        <w:t>there</w:t>
      </w:r>
      <w:r>
        <w:rPr>
          <w:spacing w:val="-4"/>
        </w:rPr>
        <w:t xml:space="preserve"> </w:t>
      </w:r>
      <w:r>
        <w:t>is</w:t>
      </w:r>
      <w:r>
        <w:rPr>
          <w:spacing w:val="-4"/>
        </w:rPr>
        <w:t xml:space="preserve"> </w:t>
      </w:r>
      <w:r>
        <w:t>no</w:t>
      </w:r>
      <w:r>
        <w:rPr>
          <w:spacing w:val="-3"/>
        </w:rPr>
        <w:t xml:space="preserve"> </w:t>
      </w:r>
      <w:r>
        <w:t>cost</w:t>
      </w:r>
      <w:r>
        <w:rPr>
          <w:spacing w:val="-3"/>
        </w:rPr>
        <w:t xml:space="preserve"> </w:t>
      </w:r>
      <w:r>
        <w:t>sharing</w:t>
      </w:r>
      <w:r>
        <w:rPr>
          <w:spacing w:val="-3"/>
        </w:rPr>
        <w:t xml:space="preserve"> </w:t>
      </w:r>
      <w:r>
        <w:t>for</w:t>
      </w:r>
      <w:r>
        <w:rPr>
          <w:spacing w:val="-3"/>
        </w:rPr>
        <w:t xml:space="preserve"> </w:t>
      </w:r>
      <w:r>
        <w:t>home</w:t>
      </w:r>
      <w:r>
        <w:rPr>
          <w:spacing w:val="-3"/>
        </w:rPr>
        <w:t xml:space="preserve"> </w:t>
      </w:r>
      <w:r>
        <w:t>health</w:t>
      </w:r>
      <w:r>
        <w:rPr>
          <w:spacing w:val="-3"/>
        </w:rPr>
        <w:t xml:space="preserve"> </w:t>
      </w:r>
      <w:r>
        <w:t>services</w:t>
      </w:r>
      <w:r>
        <w:rPr>
          <w:spacing w:val="-4"/>
        </w:rPr>
        <w:t xml:space="preserve"> </w:t>
      </w:r>
      <w:r>
        <w:t>in Medicare FFS. Experience for ESRD enrollees is excluded, as are the costs for hospice services,</w:t>
      </w:r>
      <w:r>
        <w:rPr>
          <w:spacing w:val="-3"/>
        </w:rPr>
        <w:t xml:space="preserve"> </w:t>
      </w:r>
      <w:r>
        <w:t>since</w:t>
      </w:r>
      <w:r>
        <w:rPr>
          <w:spacing w:val="-4"/>
        </w:rPr>
        <w:t xml:space="preserve"> </w:t>
      </w:r>
      <w:r>
        <w:t>MA</w:t>
      </w:r>
      <w:r>
        <w:rPr>
          <w:spacing w:val="-4"/>
        </w:rPr>
        <w:t xml:space="preserve"> </w:t>
      </w:r>
      <w:r>
        <w:t>enrollees</w:t>
      </w:r>
      <w:r>
        <w:rPr>
          <w:spacing w:val="-4"/>
        </w:rPr>
        <w:t xml:space="preserve"> </w:t>
      </w:r>
      <w:r>
        <w:t>do</w:t>
      </w:r>
      <w:r>
        <w:rPr>
          <w:spacing w:val="-3"/>
        </w:rPr>
        <w:t xml:space="preserve"> </w:t>
      </w:r>
      <w:r>
        <w:t>not</w:t>
      </w:r>
      <w:r>
        <w:rPr>
          <w:spacing w:val="-3"/>
        </w:rPr>
        <w:t xml:space="preserve"> </w:t>
      </w:r>
      <w:r>
        <w:t>receive</w:t>
      </w:r>
      <w:r>
        <w:rPr>
          <w:spacing w:val="-3"/>
        </w:rPr>
        <w:t xml:space="preserve"> </w:t>
      </w:r>
      <w:r>
        <w:t>Medicare-covered</w:t>
      </w:r>
      <w:r>
        <w:rPr>
          <w:spacing w:val="-3"/>
        </w:rPr>
        <w:t xml:space="preserve"> </w:t>
      </w:r>
      <w:r>
        <w:t>hospice</w:t>
      </w:r>
      <w:r>
        <w:rPr>
          <w:spacing w:val="-4"/>
        </w:rPr>
        <w:t xml:space="preserve"> </w:t>
      </w:r>
      <w:r>
        <w:t>services</w:t>
      </w:r>
      <w:r>
        <w:rPr>
          <w:spacing w:val="-4"/>
        </w:rPr>
        <w:t xml:space="preserve"> </w:t>
      </w:r>
      <w:r>
        <w:t xml:space="preserve">through the MA bid. However, hospice enrollees have not been excluded in calculating the PMPM FFS costs used to weight original Medicare FFS cost sharing on Worksheet 5. Further details on the development of the cost-sharing factors, such as the handling of Indirect Medical Education (IME), Graduate Medical Education (GME), and other costs, can be found under Medicare &gt; Payment &gt; Medicare Advantage Rates &amp; Statistics &gt; Ratebooks &amp; Supporting Data at </w:t>
      </w:r>
      <w:hyperlink r:id="rId19">
        <w:r>
          <w:rPr>
            <w:color w:val="0000FF"/>
            <w:u w:val="single" w:color="0000FF"/>
          </w:rPr>
          <w:t>https://www.cms.gov/medicare/payment/</w:t>
        </w:r>
      </w:hyperlink>
      <w:r>
        <w:rPr>
          <w:color w:val="0000FF"/>
          <w:u w:val="none"/>
        </w:rPr>
        <w:t xml:space="preserve"> </w:t>
      </w:r>
      <w:hyperlink r:id="rId19">
        <w:r>
          <w:rPr>
            <w:color w:val="0000FF"/>
            <w:spacing w:val="-2"/>
            <w:u w:val="single" w:color="0000FF"/>
          </w:rPr>
          <w:t>medicare-advantage-rates-statistics/ratebooks-supporting-data</w:t>
        </w:r>
        <w:r>
          <w:rPr>
            <w:spacing w:val="-2"/>
            <w:u w:val="none"/>
          </w:rPr>
          <w:t>.</w:t>
        </w:r>
      </w:hyperlink>
    </w:p>
    <w:p>
      <w:pPr>
        <w:pStyle w:val="BodyText"/>
        <w:ind w:left="0"/>
        <w:rPr>
          <w:sz w:val="21"/>
        </w:rPr>
      </w:pPr>
    </w:p>
    <w:p>
      <w:pPr>
        <w:spacing w:before="0"/>
        <w:ind w:left="504" w:right="0" w:firstLine="0"/>
        <w:jc w:val="left"/>
        <w:rPr>
          <w:rFonts w:ascii="Arial"/>
          <w:b/>
          <w:sz w:val="21"/>
        </w:rPr>
      </w:pPr>
      <w:bookmarkStart w:id="75" w:name="Medicare Secondary Payer (MSP) Adjustmen"/>
      <w:bookmarkEnd w:id="75"/>
      <w:bookmarkStart w:id="76" w:name="_bookmark24"/>
      <w:bookmarkEnd w:id="76"/>
      <w:r>
        <w:rPr>
          <w:rFonts w:ascii="Arial"/>
          <w:b/>
          <w:sz w:val="21"/>
        </w:rPr>
        <w:t>Medicare</w:t>
      </w:r>
      <w:r>
        <w:rPr>
          <w:rFonts w:ascii="Arial"/>
          <w:b/>
          <w:spacing w:val="-9"/>
          <w:sz w:val="21"/>
        </w:rPr>
        <w:t xml:space="preserve"> </w:t>
      </w:r>
      <w:r>
        <w:rPr>
          <w:rFonts w:ascii="Arial"/>
          <w:b/>
          <w:sz w:val="21"/>
        </w:rPr>
        <w:t>Secondary</w:t>
      </w:r>
      <w:r>
        <w:rPr>
          <w:rFonts w:ascii="Arial"/>
          <w:b/>
          <w:spacing w:val="-8"/>
          <w:sz w:val="21"/>
        </w:rPr>
        <w:t xml:space="preserve"> </w:t>
      </w:r>
      <w:r>
        <w:rPr>
          <w:rFonts w:ascii="Arial"/>
          <w:b/>
          <w:sz w:val="21"/>
        </w:rPr>
        <w:t>Payer</w:t>
      </w:r>
      <w:r>
        <w:rPr>
          <w:rFonts w:ascii="Arial"/>
          <w:b/>
          <w:spacing w:val="-8"/>
          <w:sz w:val="21"/>
        </w:rPr>
        <w:t xml:space="preserve"> </w:t>
      </w:r>
      <w:r>
        <w:rPr>
          <w:rFonts w:ascii="Arial"/>
          <w:b/>
          <w:sz w:val="21"/>
        </w:rPr>
        <w:t>(MSP)</w:t>
      </w:r>
      <w:r>
        <w:rPr>
          <w:rFonts w:ascii="Arial"/>
          <w:b/>
          <w:spacing w:val="-8"/>
          <w:sz w:val="21"/>
        </w:rPr>
        <w:t xml:space="preserve"> </w:t>
      </w:r>
      <w:r>
        <w:rPr>
          <w:rFonts w:ascii="Arial"/>
          <w:b/>
          <w:spacing w:val="-2"/>
          <w:sz w:val="21"/>
        </w:rPr>
        <w:t>Adjustment</w:t>
      </w:r>
    </w:p>
    <w:p>
      <w:pPr>
        <w:pStyle w:val="BodyText"/>
        <w:spacing w:before="118"/>
        <w:ind w:right="1541"/>
      </w:pPr>
      <w:r>
        <w:t>The</w:t>
      </w:r>
      <w:r>
        <w:rPr>
          <w:spacing w:val="-1"/>
        </w:rPr>
        <w:t xml:space="preserve"> </w:t>
      </w:r>
      <w:r>
        <w:t>bid reflects lower claim amounts for</w:t>
      </w:r>
      <w:r>
        <w:rPr>
          <w:spacing w:val="-1"/>
        </w:rPr>
        <w:t xml:space="preserve"> </w:t>
      </w:r>
      <w:r>
        <w:t>enrollees whose</w:t>
      </w:r>
      <w:r>
        <w:rPr>
          <w:spacing w:val="-1"/>
        </w:rPr>
        <w:t xml:space="preserve"> </w:t>
      </w:r>
      <w:r>
        <w:t>primary coverage is not Medicare—that is, enrollees with Medicare Secondary Payer (MSP) status of aged/disabled MSP or</w:t>
      </w:r>
      <w:r>
        <w:rPr>
          <w:spacing w:val="40"/>
        </w:rPr>
        <w:t xml:space="preserve"> </w:t>
      </w:r>
      <w:r>
        <w:t>ESRD MSP—and MAOs receive reduced payments for such enrollees. Accordingly, the BPT uses the MSP adjustment, in conjunction with the projected risk score and the standardized A/B</w:t>
      </w:r>
      <w:r>
        <w:rPr>
          <w:spacing w:val="-3"/>
        </w:rPr>
        <w:t xml:space="preserve"> </w:t>
      </w:r>
      <w:r>
        <w:t>benchmark,</w:t>
      </w:r>
      <w:r>
        <w:rPr>
          <w:spacing w:val="-3"/>
        </w:rPr>
        <w:t xml:space="preserve"> </w:t>
      </w:r>
      <w:r>
        <w:t>to</w:t>
      </w:r>
      <w:r>
        <w:rPr>
          <w:spacing w:val="-3"/>
        </w:rPr>
        <w:t xml:space="preserve"> </w:t>
      </w:r>
      <w:r>
        <w:t>produce</w:t>
      </w:r>
      <w:r>
        <w:rPr>
          <w:spacing w:val="-4"/>
        </w:rPr>
        <w:t xml:space="preserve"> </w:t>
      </w:r>
      <w:r>
        <w:t>a</w:t>
      </w:r>
      <w:r>
        <w:rPr>
          <w:spacing w:val="-4"/>
        </w:rPr>
        <w:t xml:space="preserve"> </w:t>
      </w:r>
      <w:r>
        <w:t>plan</w:t>
      </w:r>
      <w:r>
        <w:rPr>
          <w:spacing w:val="-2"/>
        </w:rPr>
        <w:t xml:space="preserve"> </w:t>
      </w:r>
      <w:r>
        <w:t>A/B</w:t>
      </w:r>
      <w:r>
        <w:rPr>
          <w:spacing w:val="-3"/>
        </w:rPr>
        <w:t xml:space="preserve"> </w:t>
      </w:r>
      <w:r>
        <w:t>benchmark</w:t>
      </w:r>
      <w:r>
        <w:rPr>
          <w:spacing w:val="-1"/>
        </w:rPr>
        <w:t xml:space="preserve"> </w:t>
      </w:r>
      <w:r>
        <w:t>consistent</w:t>
      </w:r>
      <w:r>
        <w:rPr>
          <w:spacing w:val="-3"/>
        </w:rPr>
        <w:t xml:space="preserve"> </w:t>
      </w:r>
      <w:r>
        <w:t>with</w:t>
      </w:r>
      <w:r>
        <w:rPr>
          <w:spacing w:val="-3"/>
        </w:rPr>
        <w:t xml:space="preserve"> </w:t>
      </w:r>
      <w:r>
        <w:t>the</w:t>
      </w:r>
      <w:r>
        <w:rPr>
          <w:spacing w:val="-3"/>
        </w:rPr>
        <w:t xml:space="preserve"> </w:t>
      </w:r>
      <w:r>
        <w:t>plan</w:t>
      </w:r>
      <w:r>
        <w:rPr>
          <w:spacing w:val="-4"/>
        </w:rPr>
        <w:t xml:space="preserve"> </w:t>
      </w:r>
      <w:r>
        <w:t>A/B</w:t>
      </w:r>
      <w:r>
        <w:rPr>
          <w:spacing w:val="-3"/>
        </w:rPr>
        <w:t xml:space="preserve"> </w:t>
      </w:r>
      <w:r>
        <w:t>bid;</w:t>
      </w:r>
      <w:r>
        <w:rPr>
          <w:spacing w:val="-3"/>
        </w:rPr>
        <w:t xml:space="preserve"> </w:t>
      </w:r>
      <w:r>
        <w:t>therefore, the projected MSP adjustment represents the average payment reduction for the expected bid population</w:t>
      </w:r>
      <w:r>
        <w:rPr>
          <w:spacing w:val="-3"/>
        </w:rPr>
        <w:t xml:space="preserve"> </w:t>
      </w:r>
      <w:r>
        <w:t>due</w:t>
      </w:r>
      <w:r>
        <w:rPr>
          <w:spacing w:val="-3"/>
        </w:rPr>
        <w:t xml:space="preserve"> </w:t>
      </w:r>
      <w:r>
        <w:t>to</w:t>
      </w:r>
      <w:r>
        <w:rPr>
          <w:spacing w:val="-3"/>
        </w:rPr>
        <w:t xml:space="preserve"> </w:t>
      </w:r>
      <w:r>
        <w:t>MSP</w:t>
      </w:r>
      <w:r>
        <w:rPr>
          <w:spacing w:val="-3"/>
        </w:rPr>
        <w:t xml:space="preserve"> </w:t>
      </w:r>
      <w:r>
        <w:t>enrollees</w:t>
      </w:r>
      <w:r>
        <w:rPr>
          <w:spacing w:val="-3"/>
        </w:rPr>
        <w:t xml:space="preserve"> </w:t>
      </w:r>
      <w:r>
        <w:t>(with</w:t>
      </w:r>
      <w:r>
        <w:rPr>
          <w:spacing w:val="-3"/>
        </w:rPr>
        <w:t xml:space="preserve"> </w:t>
      </w:r>
      <w:r>
        <w:t>the</w:t>
      </w:r>
      <w:r>
        <w:rPr>
          <w:spacing w:val="-4"/>
        </w:rPr>
        <w:t xml:space="preserve"> </w:t>
      </w:r>
      <w:r>
        <w:t>limited</w:t>
      </w:r>
      <w:r>
        <w:rPr>
          <w:spacing w:val="-3"/>
        </w:rPr>
        <w:t xml:space="preserve"> </w:t>
      </w:r>
      <w:r>
        <w:t>exception</w:t>
      </w:r>
      <w:r>
        <w:rPr>
          <w:spacing w:val="-3"/>
        </w:rPr>
        <w:t xml:space="preserve"> </w:t>
      </w:r>
      <w:r>
        <w:t>described</w:t>
      </w:r>
      <w:r>
        <w:rPr>
          <w:spacing w:val="-2"/>
        </w:rPr>
        <w:t xml:space="preserve"> </w:t>
      </w:r>
      <w:r>
        <w:t>below</w:t>
      </w:r>
      <w:r>
        <w:rPr>
          <w:spacing w:val="-3"/>
        </w:rPr>
        <w:t xml:space="preserve"> </w:t>
      </w:r>
      <w:r>
        <w:t>in</w:t>
      </w:r>
      <w:r>
        <w:rPr>
          <w:spacing w:val="-3"/>
        </w:rPr>
        <w:t xml:space="preserve"> </w:t>
      </w:r>
      <w:r>
        <w:t>the</w:t>
      </w:r>
      <w:r>
        <w:rPr>
          <w:spacing w:val="-4"/>
        </w:rPr>
        <w:t xml:space="preserve"> </w:t>
      </w:r>
      <w:r>
        <w:t>“Manually Rated Bids” subsection of this pricing consideration). Although CMS reduces payments for MSP status at the beneficiary level, the BPT applies the MSP adjustment at the bid level. The projected MSP adjustment must be bid specific.</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right="1481"/>
      </w:pPr>
      <w:r>
        <w:t>The</w:t>
      </w:r>
      <w:r>
        <w:rPr>
          <w:spacing w:val="-5"/>
        </w:rPr>
        <w:t xml:space="preserve"> </w:t>
      </w:r>
      <w:r>
        <w:t>user</w:t>
      </w:r>
      <w:r>
        <w:rPr>
          <w:spacing w:val="-3"/>
        </w:rPr>
        <w:t xml:space="preserve"> </w:t>
      </w:r>
      <w:r>
        <w:t>may</w:t>
      </w:r>
      <w:r>
        <w:rPr>
          <w:spacing w:val="-1"/>
        </w:rPr>
        <w:t xml:space="preserve"> </w:t>
      </w:r>
      <w:r>
        <w:t>enter</w:t>
      </w:r>
      <w:r>
        <w:rPr>
          <w:spacing w:val="-3"/>
        </w:rPr>
        <w:t xml:space="preserve"> </w:t>
      </w:r>
      <w:r>
        <w:t>a</w:t>
      </w:r>
      <w:r>
        <w:rPr>
          <w:spacing w:val="-4"/>
        </w:rPr>
        <w:t xml:space="preserve"> </w:t>
      </w:r>
      <w:r>
        <w:t>0-percent</w:t>
      </w:r>
      <w:r>
        <w:rPr>
          <w:spacing w:val="-3"/>
        </w:rPr>
        <w:t xml:space="preserve"> </w:t>
      </w:r>
      <w:r>
        <w:t>Medicare</w:t>
      </w:r>
      <w:r>
        <w:rPr>
          <w:spacing w:val="-4"/>
        </w:rPr>
        <w:t xml:space="preserve"> </w:t>
      </w:r>
      <w:r>
        <w:t>Secondary</w:t>
      </w:r>
      <w:r>
        <w:rPr>
          <w:spacing w:val="-3"/>
        </w:rPr>
        <w:t xml:space="preserve"> </w:t>
      </w:r>
      <w:r>
        <w:t>Payer</w:t>
      </w:r>
      <w:r>
        <w:rPr>
          <w:spacing w:val="-3"/>
        </w:rPr>
        <w:t xml:space="preserve"> </w:t>
      </w:r>
      <w:r>
        <w:t>(MSP)</w:t>
      </w:r>
      <w:r>
        <w:rPr>
          <w:spacing w:val="-3"/>
        </w:rPr>
        <w:t xml:space="preserve"> </w:t>
      </w:r>
      <w:r>
        <w:t>adjustment</w:t>
      </w:r>
      <w:r>
        <w:rPr>
          <w:spacing w:val="-3"/>
        </w:rPr>
        <w:t xml:space="preserve"> </w:t>
      </w:r>
      <w:r>
        <w:t>in</w:t>
      </w:r>
      <w:r>
        <w:rPr>
          <w:spacing w:val="-3"/>
        </w:rPr>
        <w:t xml:space="preserve"> </w:t>
      </w:r>
      <w:r>
        <w:t>the</w:t>
      </w:r>
      <w:r>
        <w:rPr>
          <w:spacing w:val="-3"/>
        </w:rPr>
        <w:t xml:space="preserve"> </w:t>
      </w:r>
      <w:r>
        <w:t>BPT</w:t>
      </w:r>
      <w:r>
        <w:rPr>
          <w:spacing w:val="-3"/>
        </w:rPr>
        <w:t xml:space="preserve"> </w:t>
      </w:r>
      <w:r>
        <w:t xml:space="preserve">only </w:t>
      </w:r>
      <w:r>
        <w:rPr>
          <w:spacing w:val="-4"/>
        </w:rPr>
        <w:t>if—</w:t>
      </w:r>
    </w:p>
    <w:p>
      <w:pPr>
        <w:pStyle w:val="ListParagraph"/>
        <w:numPr>
          <w:ilvl w:val="0"/>
          <w:numId w:val="47"/>
        </w:numPr>
        <w:tabs>
          <w:tab w:val="left" w:pos="1584"/>
        </w:tabs>
        <w:spacing w:before="120" w:after="0" w:line="240" w:lineRule="auto"/>
        <w:ind w:left="1584" w:right="0" w:hanging="360"/>
        <w:jc w:val="left"/>
        <w:rPr>
          <w:sz w:val="24"/>
        </w:rPr>
      </w:pPr>
      <w:r>
        <w:rPr>
          <w:sz w:val="24"/>
        </w:rPr>
        <w:t>The</w:t>
      </w:r>
      <w:r>
        <w:rPr>
          <w:spacing w:val="-4"/>
          <w:sz w:val="24"/>
        </w:rPr>
        <w:t xml:space="preserve"> </w:t>
      </w:r>
      <w:r>
        <w:rPr>
          <w:sz w:val="24"/>
        </w:rPr>
        <w:t>certifying</w:t>
      </w:r>
      <w:r>
        <w:rPr>
          <w:spacing w:val="-1"/>
          <w:sz w:val="24"/>
        </w:rPr>
        <w:t xml:space="preserve"> </w:t>
      </w:r>
      <w:r>
        <w:rPr>
          <w:sz w:val="24"/>
        </w:rPr>
        <w:t>actuary</w:t>
      </w:r>
      <w:r>
        <w:rPr>
          <w:spacing w:val="1"/>
          <w:sz w:val="24"/>
        </w:rPr>
        <w:t xml:space="preserve"> </w:t>
      </w:r>
      <w:r>
        <w:rPr>
          <w:sz w:val="24"/>
        </w:rPr>
        <w:t>expects</w:t>
      </w:r>
      <w:r>
        <w:rPr>
          <w:spacing w:val="-2"/>
          <w:sz w:val="24"/>
        </w:rPr>
        <w:t xml:space="preserve"> </w:t>
      </w:r>
      <w:r>
        <w:rPr>
          <w:sz w:val="24"/>
        </w:rPr>
        <w:t>no</w:t>
      </w:r>
      <w:r>
        <w:rPr>
          <w:spacing w:val="-1"/>
          <w:sz w:val="24"/>
        </w:rPr>
        <w:t xml:space="preserve"> </w:t>
      </w:r>
      <w:r>
        <w:rPr>
          <w:sz w:val="24"/>
        </w:rPr>
        <w:t>MSP</w:t>
      </w:r>
      <w:r>
        <w:rPr>
          <w:spacing w:val="-2"/>
          <w:sz w:val="24"/>
        </w:rPr>
        <w:t xml:space="preserve"> </w:t>
      </w:r>
      <w:r>
        <w:rPr>
          <w:sz w:val="24"/>
        </w:rPr>
        <w:t>enrollees</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contract</w:t>
      </w:r>
      <w:r>
        <w:rPr>
          <w:spacing w:val="-1"/>
          <w:sz w:val="24"/>
        </w:rPr>
        <w:t xml:space="preserve"> </w:t>
      </w:r>
      <w:r>
        <w:rPr>
          <w:sz w:val="24"/>
        </w:rPr>
        <w:t>year,</w:t>
      </w:r>
      <w:r>
        <w:rPr>
          <w:spacing w:val="-1"/>
          <w:sz w:val="24"/>
        </w:rPr>
        <w:t xml:space="preserve"> </w:t>
      </w:r>
      <w:r>
        <w:rPr>
          <w:spacing w:val="-5"/>
          <w:sz w:val="24"/>
        </w:rPr>
        <w:t>or</w:t>
      </w:r>
    </w:p>
    <w:p>
      <w:pPr>
        <w:pStyle w:val="ListParagraph"/>
        <w:numPr>
          <w:ilvl w:val="0"/>
          <w:numId w:val="47"/>
        </w:numPr>
        <w:tabs>
          <w:tab w:val="left" w:pos="1584"/>
        </w:tabs>
        <w:spacing w:before="0" w:after="0" w:line="240" w:lineRule="auto"/>
        <w:ind w:left="1584" w:right="1609" w:hanging="360"/>
        <w:jc w:val="left"/>
        <w:rPr>
          <w:sz w:val="24"/>
        </w:rPr>
      </w:pPr>
      <w:r>
        <w:rPr>
          <w:sz w:val="24"/>
        </w:rPr>
        <w:t>The</w:t>
      </w:r>
      <w:r>
        <w:rPr>
          <w:spacing w:val="-6"/>
          <w:sz w:val="24"/>
        </w:rPr>
        <w:t xml:space="preserve"> </w:t>
      </w:r>
      <w:r>
        <w:rPr>
          <w:sz w:val="24"/>
        </w:rPr>
        <w:t>requirements</w:t>
      </w:r>
      <w:r>
        <w:rPr>
          <w:spacing w:val="-3"/>
          <w:sz w:val="24"/>
        </w:rPr>
        <w:t xml:space="preserve"> </w:t>
      </w:r>
      <w:r>
        <w:rPr>
          <w:sz w:val="24"/>
        </w:rPr>
        <w:t>described</w:t>
      </w:r>
      <w:r>
        <w:rPr>
          <w:spacing w:val="-4"/>
          <w:sz w:val="24"/>
        </w:rPr>
        <w:t xml:space="preserve"> </w:t>
      </w:r>
      <w:r>
        <w:rPr>
          <w:sz w:val="24"/>
        </w:rPr>
        <w:t>below</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“Manually</w:t>
      </w:r>
      <w:r>
        <w:rPr>
          <w:spacing w:val="-4"/>
          <w:sz w:val="24"/>
        </w:rPr>
        <w:t xml:space="preserve"> </w:t>
      </w:r>
      <w:r>
        <w:rPr>
          <w:sz w:val="24"/>
        </w:rPr>
        <w:t>Rated</w:t>
      </w:r>
      <w:r>
        <w:rPr>
          <w:spacing w:val="-4"/>
          <w:sz w:val="24"/>
        </w:rPr>
        <w:t xml:space="preserve"> </w:t>
      </w:r>
      <w:r>
        <w:rPr>
          <w:sz w:val="24"/>
        </w:rPr>
        <w:t>Bids”</w:t>
      </w:r>
      <w:r>
        <w:rPr>
          <w:spacing w:val="-5"/>
          <w:sz w:val="24"/>
        </w:rPr>
        <w:t xml:space="preserve"> </w:t>
      </w:r>
      <w:r>
        <w:rPr>
          <w:sz w:val="24"/>
        </w:rPr>
        <w:t>subsection</w:t>
      </w:r>
      <w:r>
        <w:rPr>
          <w:spacing w:val="-4"/>
          <w:sz w:val="24"/>
        </w:rPr>
        <w:t xml:space="preserve"> </w:t>
      </w:r>
      <w:r>
        <w:rPr>
          <w:sz w:val="24"/>
        </w:rPr>
        <w:t>of</w:t>
      </w:r>
      <w:r>
        <w:rPr>
          <w:spacing w:val="-4"/>
          <w:sz w:val="24"/>
        </w:rPr>
        <w:t xml:space="preserve"> </w:t>
      </w:r>
      <w:r>
        <w:rPr>
          <w:sz w:val="24"/>
        </w:rPr>
        <w:t>this pricing consideration are met.</w:t>
      </w:r>
    </w:p>
    <w:p>
      <w:pPr>
        <w:pStyle w:val="BodyText"/>
        <w:spacing w:before="120"/>
        <w:ind w:right="1462"/>
      </w:pPr>
      <w:r>
        <w:t>MSP data provided by CMS serve</w:t>
      </w:r>
      <w:r>
        <w:rPr>
          <w:spacing w:val="-1"/>
        </w:rPr>
        <w:t xml:space="preserve"> </w:t>
      </w:r>
      <w:r>
        <w:t>as the basis for projecting the MSP adjustment. Included are data</w:t>
      </w:r>
      <w:r>
        <w:rPr>
          <w:spacing w:val="-3"/>
        </w:rPr>
        <w:t xml:space="preserve"> </w:t>
      </w:r>
      <w:r>
        <w:t>described</w:t>
      </w:r>
      <w:r>
        <w:rPr>
          <w:spacing w:val="-3"/>
        </w:rPr>
        <w:t xml:space="preserve"> </w:t>
      </w:r>
      <w:r>
        <w:t>in</w:t>
      </w:r>
      <w:r>
        <w:rPr>
          <w:spacing w:val="-3"/>
        </w:rPr>
        <w:t xml:space="preserve"> </w:t>
      </w:r>
      <w:r>
        <w:t>the</w:t>
      </w:r>
      <w:r>
        <w:rPr>
          <w:spacing w:val="-4"/>
        </w:rPr>
        <w:t xml:space="preserve"> </w:t>
      </w:r>
      <w:r>
        <w:rPr>
          <w:i/>
        </w:rPr>
        <w:t>MAPD</w:t>
      </w:r>
      <w:r>
        <w:rPr>
          <w:i/>
          <w:spacing w:val="-3"/>
        </w:rPr>
        <w:t xml:space="preserve"> </w:t>
      </w:r>
      <w:r>
        <w:rPr>
          <w:i/>
        </w:rPr>
        <w:t>Plan</w:t>
      </w:r>
      <w:r>
        <w:rPr>
          <w:i/>
          <w:spacing w:val="-3"/>
        </w:rPr>
        <w:t xml:space="preserve"> </w:t>
      </w:r>
      <w:r>
        <w:rPr>
          <w:i/>
        </w:rPr>
        <w:t>Communications</w:t>
      </w:r>
      <w:r>
        <w:rPr>
          <w:i/>
          <w:spacing w:val="-4"/>
        </w:rPr>
        <w:t xml:space="preserve"> </w:t>
      </w:r>
      <w:r>
        <w:rPr>
          <w:i/>
        </w:rPr>
        <w:t>User</w:t>
      </w:r>
      <w:r>
        <w:rPr>
          <w:i/>
          <w:spacing w:val="-4"/>
        </w:rPr>
        <w:t xml:space="preserve"> </w:t>
      </w:r>
      <w:r>
        <w:rPr>
          <w:i/>
        </w:rPr>
        <w:t>Guide</w:t>
      </w:r>
      <w:r>
        <w:rPr>
          <w:i/>
          <w:spacing w:val="-3"/>
        </w:rPr>
        <w:t xml:space="preserve"> </w:t>
      </w:r>
      <w:r>
        <w:rPr>
          <w:i/>
        </w:rPr>
        <w:t>(PCUG)</w:t>
      </w:r>
      <w:r>
        <w:t>,</w:t>
      </w:r>
      <w:r>
        <w:rPr>
          <w:spacing w:val="-3"/>
        </w:rPr>
        <w:t xml:space="preserve"> </w:t>
      </w:r>
      <w:r>
        <w:t>which</w:t>
      </w:r>
      <w:r>
        <w:rPr>
          <w:spacing w:val="-3"/>
        </w:rPr>
        <w:t xml:space="preserve"> </w:t>
      </w:r>
      <w:r>
        <w:t>can</w:t>
      </w:r>
      <w:r>
        <w:rPr>
          <w:spacing w:val="-3"/>
        </w:rPr>
        <w:t xml:space="preserve"> </w:t>
      </w:r>
      <w:r>
        <w:t>be</w:t>
      </w:r>
      <w:r>
        <w:rPr>
          <w:spacing w:val="-2"/>
        </w:rPr>
        <w:t xml:space="preserve"> </w:t>
      </w:r>
      <w:r>
        <w:t>found</w:t>
      </w:r>
      <w:r>
        <w:rPr>
          <w:spacing w:val="-4"/>
        </w:rPr>
        <w:t xml:space="preserve"> </w:t>
      </w:r>
      <w:r>
        <w:t xml:space="preserve">at </w:t>
      </w:r>
      <w:hyperlink r:id="rId20">
        <w:r>
          <w:rPr>
            <w:color w:val="0000FF"/>
            <w:spacing w:val="-2"/>
            <w:u w:val="single" w:color="0000FF"/>
          </w:rPr>
          <w:t>https://www.cms.gov/data-research/cms-information-technology/access-cms-data-application/</w:t>
        </w:r>
      </w:hyperlink>
      <w:r>
        <w:rPr>
          <w:color w:val="0000FF"/>
          <w:spacing w:val="-2"/>
          <w:u w:val="none"/>
        </w:rPr>
        <w:t xml:space="preserve"> </w:t>
      </w:r>
      <w:hyperlink r:id="rId20">
        <w:r>
          <w:rPr>
            <w:color w:val="0000FF"/>
            <w:spacing w:val="-2"/>
            <w:u w:val="single" w:color="0000FF"/>
          </w:rPr>
          <w:t>mapd-plan-communication-user-guide</w:t>
        </w:r>
        <w:r>
          <w:rPr>
            <w:spacing w:val="-2"/>
            <w:u w:val="none"/>
          </w:rPr>
          <w:t>.</w:t>
        </w:r>
      </w:hyperlink>
    </w:p>
    <w:p>
      <w:pPr>
        <w:pStyle w:val="BodyText"/>
        <w:spacing w:before="120"/>
      </w:pPr>
      <w:r>
        <w:t>The</w:t>
      </w:r>
      <w:r>
        <w:rPr>
          <w:spacing w:val="-4"/>
        </w:rPr>
        <w:t xml:space="preserve"> </w:t>
      </w:r>
      <w:r>
        <w:t>method</w:t>
      </w:r>
      <w:r>
        <w:rPr>
          <w:spacing w:val="-1"/>
        </w:rPr>
        <w:t xml:space="preserve"> </w:t>
      </w:r>
      <w:r>
        <w:t>to</w:t>
      </w:r>
      <w:r>
        <w:rPr>
          <w:spacing w:val="-1"/>
        </w:rPr>
        <w:t xml:space="preserve"> </w:t>
      </w:r>
      <w:r>
        <w:t>calculate</w:t>
      </w:r>
      <w:r>
        <w:rPr>
          <w:spacing w:val="-2"/>
        </w:rPr>
        <w:t xml:space="preserve"> </w:t>
      </w:r>
      <w:r>
        <w:t>the</w:t>
      </w:r>
      <w:r>
        <w:rPr>
          <w:spacing w:val="-1"/>
        </w:rPr>
        <w:t xml:space="preserve"> </w:t>
      </w:r>
      <w:r>
        <w:t>MSP adjustment</w:t>
      </w:r>
      <w:r>
        <w:rPr>
          <w:spacing w:val="-1"/>
        </w:rPr>
        <w:t xml:space="preserve"> </w:t>
      </w:r>
      <w:r>
        <w:t>is based</w:t>
      </w:r>
      <w:r>
        <w:rPr>
          <w:spacing w:val="-2"/>
        </w:rPr>
        <w:t xml:space="preserve"> </w:t>
      </w:r>
      <w:r>
        <w:t>on</w:t>
      </w:r>
      <w:r>
        <w:rPr>
          <w:spacing w:val="-1"/>
        </w:rPr>
        <w:t xml:space="preserve"> </w:t>
      </w:r>
      <w:r>
        <w:t>payment</w:t>
      </w:r>
      <w:r>
        <w:rPr>
          <w:spacing w:val="-1"/>
        </w:rPr>
        <w:t xml:space="preserve"> </w:t>
      </w:r>
      <w:r>
        <w:t>dollars</w:t>
      </w:r>
      <w:r>
        <w:rPr>
          <w:spacing w:val="-1"/>
        </w:rPr>
        <w:t xml:space="preserve"> </w:t>
      </w:r>
      <w:r>
        <w:t>as</w:t>
      </w:r>
      <w:r>
        <w:rPr>
          <w:spacing w:val="-1"/>
        </w:rPr>
        <w:t xml:space="preserve"> </w:t>
      </w:r>
      <w:r>
        <w:t>described</w:t>
      </w:r>
      <w:r>
        <w:rPr>
          <w:spacing w:val="-1"/>
        </w:rPr>
        <w:t xml:space="preserve"> </w:t>
      </w:r>
      <w:r>
        <w:rPr>
          <w:spacing w:val="-2"/>
        </w:rPr>
        <w:t>below.</w:t>
      </w:r>
    </w:p>
    <w:p>
      <w:pPr>
        <w:pStyle w:val="ListParagraph"/>
        <w:numPr>
          <w:ilvl w:val="0"/>
          <w:numId w:val="47"/>
        </w:numPr>
        <w:tabs>
          <w:tab w:val="left" w:pos="1584"/>
        </w:tabs>
        <w:spacing w:before="120" w:after="0" w:line="240" w:lineRule="auto"/>
        <w:ind w:left="1584" w:right="0" w:hanging="360"/>
        <w:jc w:val="left"/>
        <w:rPr>
          <w:sz w:val="24"/>
        </w:rPr>
      </w:pPr>
      <w:r>
        <w:rPr>
          <w:sz w:val="24"/>
        </w:rPr>
        <w:t>MSP</w:t>
      </w:r>
      <w:r>
        <w:rPr>
          <w:spacing w:val="-1"/>
          <w:sz w:val="24"/>
        </w:rPr>
        <w:t xml:space="preserve"> </w:t>
      </w:r>
      <w:r>
        <w:rPr>
          <w:sz w:val="24"/>
        </w:rPr>
        <w:t>adjustment</w:t>
      </w:r>
      <w:r>
        <w:rPr>
          <w:spacing w:val="-1"/>
          <w:sz w:val="24"/>
        </w:rPr>
        <w:t xml:space="preserve"> </w:t>
      </w:r>
      <w:r>
        <w:rPr>
          <w:sz w:val="24"/>
        </w:rPr>
        <w:t>=</w:t>
      </w:r>
      <w:r>
        <w:rPr>
          <w:spacing w:val="-1"/>
          <w:sz w:val="24"/>
        </w:rPr>
        <w:t xml:space="preserve"> </w:t>
      </w:r>
      <w:r>
        <w:rPr>
          <w:sz w:val="24"/>
        </w:rPr>
        <w:t>1 –</w:t>
      </w:r>
      <w:r>
        <w:rPr>
          <w:spacing w:val="-1"/>
          <w:sz w:val="24"/>
        </w:rPr>
        <w:t xml:space="preserve"> </w:t>
      </w:r>
      <w:r>
        <w:rPr>
          <w:sz w:val="24"/>
        </w:rPr>
        <w:t xml:space="preserve">X/Y, </w:t>
      </w:r>
      <w:r>
        <w:rPr>
          <w:spacing w:val="-4"/>
          <w:sz w:val="24"/>
        </w:rPr>
        <w:t>where</w:t>
      </w:r>
    </w:p>
    <w:p>
      <w:pPr>
        <w:pStyle w:val="BodyText"/>
        <w:spacing w:before="121"/>
        <w:ind w:left="1584" w:right="1893"/>
        <w:jc w:val="both"/>
      </w:pPr>
      <w:r>
        <w:t>X</w:t>
      </w:r>
      <w:r>
        <w:rPr>
          <w:spacing w:val="-5"/>
        </w:rPr>
        <w:t xml:space="preserve"> </w:t>
      </w:r>
      <w:r>
        <w:t>=</w:t>
      </w:r>
      <w:r>
        <w:rPr>
          <w:spacing w:val="-5"/>
        </w:rPr>
        <w:t xml:space="preserve"> </w:t>
      </w:r>
      <w:r>
        <w:t>Bid</w:t>
      </w:r>
      <w:r>
        <w:rPr>
          <w:spacing w:val="-4"/>
        </w:rPr>
        <w:t xml:space="preserve"> </w:t>
      </w:r>
      <w:r>
        <w:t>portion</w:t>
      </w:r>
      <w:r>
        <w:rPr>
          <w:spacing w:val="-4"/>
        </w:rPr>
        <w:t xml:space="preserve"> </w:t>
      </w:r>
      <w:r>
        <w:t>of</w:t>
      </w:r>
      <w:r>
        <w:rPr>
          <w:spacing w:val="-5"/>
        </w:rPr>
        <w:t xml:space="preserve"> </w:t>
      </w:r>
      <w:r>
        <w:t>payment</w:t>
      </w:r>
      <w:r>
        <w:rPr>
          <w:spacing w:val="-3"/>
        </w:rPr>
        <w:t xml:space="preserve"> </w:t>
      </w:r>
      <w:r>
        <w:t>reflecting</w:t>
      </w:r>
      <w:r>
        <w:rPr>
          <w:spacing w:val="-4"/>
        </w:rPr>
        <w:t xml:space="preserve"> </w:t>
      </w:r>
      <w:r>
        <w:t>reduced</w:t>
      </w:r>
      <w:r>
        <w:rPr>
          <w:spacing w:val="-4"/>
        </w:rPr>
        <w:t xml:space="preserve"> </w:t>
      </w:r>
      <w:r>
        <w:t>payments</w:t>
      </w:r>
      <w:r>
        <w:rPr>
          <w:spacing w:val="-5"/>
        </w:rPr>
        <w:t xml:space="preserve"> </w:t>
      </w:r>
      <w:r>
        <w:t>for</w:t>
      </w:r>
      <w:r>
        <w:rPr>
          <w:spacing w:val="-6"/>
        </w:rPr>
        <w:t xml:space="preserve"> </w:t>
      </w:r>
      <w:r>
        <w:t>MSP</w:t>
      </w:r>
      <w:r>
        <w:rPr>
          <w:spacing w:val="-1"/>
        </w:rPr>
        <w:t xml:space="preserve"> </w:t>
      </w:r>
      <w:r>
        <w:t>beneficiaries, excluding MA rebates and basic MA premium, if any, as shown in the example below; and</w:t>
      </w:r>
    </w:p>
    <w:p>
      <w:pPr>
        <w:pStyle w:val="BodyText"/>
        <w:spacing w:before="120"/>
        <w:ind w:left="1584" w:right="1565"/>
      </w:pPr>
      <w:r>
        <w:t>Y = Bid portion of payment that would be paid if no beneficiaries had a payer that was</w:t>
      </w:r>
      <w:r>
        <w:rPr>
          <w:spacing w:val="-2"/>
        </w:rPr>
        <w:t xml:space="preserve"> </w:t>
      </w:r>
      <w:r>
        <w:t>primary</w:t>
      </w:r>
      <w:r>
        <w:rPr>
          <w:spacing w:val="-1"/>
        </w:rPr>
        <w:t xml:space="preserve"> </w:t>
      </w:r>
      <w:r>
        <w:t>to</w:t>
      </w:r>
      <w:r>
        <w:rPr>
          <w:spacing w:val="-1"/>
        </w:rPr>
        <w:t xml:space="preserve"> </w:t>
      </w:r>
      <w:r>
        <w:t>Medicare.</w:t>
      </w:r>
      <w:r>
        <w:rPr>
          <w:spacing w:val="-1"/>
        </w:rPr>
        <w:t xml:space="preserve"> </w:t>
      </w:r>
      <w:r>
        <w:t>This</w:t>
      </w:r>
      <w:r>
        <w:rPr>
          <w:spacing w:val="-1"/>
        </w:rPr>
        <w:t xml:space="preserve"> </w:t>
      </w:r>
      <w:r>
        <w:t>value</w:t>
      </w:r>
      <w:r>
        <w:rPr>
          <w:spacing w:val="-2"/>
        </w:rPr>
        <w:t xml:space="preserve"> </w:t>
      </w:r>
      <w:r>
        <w:t>is</w:t>
      </w:r>
      <w:r>
        <w:rPr>
          <w:spacing w:val="-2"/>
        </w:rPr>
        <w:t xml:space="preserve"> </w:t>
      </w:r>
      <w:r>
        <w:t>determined</w:t>
      </w:r>
      <w:r>
        <w:rPr>
          <w:spacing w:val="-1"/>
        </w:rPr>
        <w:t xml:space="preserve"> </w:t>
      </w:r>
      <w:r>
        <w:t>by</w:t>
      </w:r>
      <w:r>
        <w:rPr>
          <w:spacing w:val="-1"/>
        </w:rPr>
        <w:t xml:space="preserve"> </w:t>
      </w:r>
      <w:r>
        <w:t>(i)</w:t>
      </w:r>
      <w:r>
        <w:rPr>
          <w:spacing w:val="-1"/>
        </w:rPr>
        <w:t xml:space="preserve"> </w:t>
      </w:r>
      <w:r>
        <w:t>grossing</w:t>
      </w:r>
      <w:r>
        <w:rPr>
          <w:spacing w:val="-1"/>
        </w:rPr>
        <w:t xml:space="preserve"> </w:t>
      </w:r>
      <w:r>
        <w:t>up</w:t>
      </w:r>
      <w:r>
        <w:rPr>
          <w:spacing w:val="-1"/>
        </w:rPr>
        <w:t xml:space="preserve"> </w:t>
      </w:r>
      <w:r>
        <w:t>the</w:t>
      </w:r>
      <w:r>
        <w:rPr>
          <w:spacing w:val="-1"/>
        </w:rPr>
        <w:t xml:space="preserve"> </w:t>
      </w:r>
      <w:r>
        <w:t>payments for</w:t>
      </w:r>
      <w:r>
        <w:rPr>
          <w:spacing w:val="-5"/>
        </w:rPr>
        <w:t xml:space="preserve"> </w:t>
      </w:r>
      <w:r>
        <w:t>MSP</w:t>
      </w:r>
      <w:r>
        <w:rPr>
          <w:spacing w:val="-2"/>
        </w:rPr>
        <w:t xml:space="preserve"> </w:t>
      </w:r>
      <w:r>
        <w:t>beneficiaries</w:t>
      </w:r>
      <w:r>
        <w:rPr>
          <w:spacing w:val="-4"/>
        </w:rPr>
        <w:t xml:space="preserve"> </w:t>
      </w:r>
      <w:r>
        <w:t>to</w:t>
      </w:r>
      <w:r>
        <w:rPr>
          <w:spacing w:val="-3"/>
        </w:rPr>
        <w:t xml:space="preserve"> </w:t>
      </w:r>
      <w:r>
        <w:t>the</w:t>
      </w:r>
      <w:r>
        <w:rPr>
          <w:spacing w:val="-4"/>
        </w:rPr>
        <w:t xml:space="preserve"> </w:t>
      </w:r>
      <w:r>
        <w:t>amount</w:t>
      </w:r>
      <w:r>
        <w:rPr>
          <w:spacing w:val="-3"/>
        </w:rPr>
        <w:t xml:space="preserve"> </w:t>
      </w:r>
      <w:r>
        <w:t>that</w:t>
      </w:r>
      <w:r>
        <w:rPr>
          <w:spacing w:val="-3"/>
        </w:rPr>
        <w:t xml:space="preserve"> </w:t>
      </w:r>
      <w:r>
        <w:t>would</w:t>
      </w:r>
      <w:r>
        <w:rPr>
          <w:spacing w:val="-3"/>
        </w:rPr>
        <w:t xml:space="preserve"> </w:t>
      </w:r>
      <w:r>
        <w:t>be</w:t>
      </w:r>
      <w:r>
        <w:rPr>
          <w:spacing w:val="-2"/>
        </w:rPr>
        <w:t xml:space="preserve"> </w:t>
      </w:r>
      <w:r>
        <w:t>paid</w:t>
      </w:r>
      <w:r>
        <w:rPr>
          <w:spacing w:val="-3"/>
        </w:rPr>
        <w:t xml:space="preserve"> </w:t>
      </w:r>
      <w:r>
        <w:t>if</w:t>
      </w:r>
      <w:r>
        <w:rPr>
          <w:spacing w:val="-3"/>
        </w:rPr>
        <w:t xml:space="preserve"> </w:t>
      </w:r>
      <w:r>
        <w:t>they</w:t>
      </w:r>
      <w:r>
        <w:rPr>
          <w:spacing w:val="-3"/>
        </w:rPr>
        <w:t xml:space="preserve"> </w:t>
      </w:r>
      <w:r>
        <w:t>did</w:t>
      </w:r>
      <w:r>
        <w:rPr>
          <w:spacing w:val="-3"/>
        </w:rPr>
        <w:t xml:space="preserve"> </w:t>
      </w:r>
      <w:r>
        <w:t>not</w:t>
      </w:r>
      <w:r>
        <w:rPr>
          <w:spacing w:val="-3"/>
        </w:rPr>
        <w:t xml:space="preserve"> </w:t>
      </w:r>
      <w:r>
        <w:t>have</w:t>
      </w:r>
      <w:r>
        <w:rPr>
          <w:spacing w:val="-2"/>
        </w:rPr>
        <w:t xml:space="preserve"> </w:t>
      </w:r>
      <w:r>
        <w:t>a</w:t>
      </w:r>
      <w:r>
        <w:rPr>
          <w:spacing w:val="-4"/>
        </w:rPr>
        <w:t xml:space="preserve"> </w:t>
      </w:r>
      <w:r>
        <w:t xml:space="preserve">payer that was primary to Medicare and (ii) adding these payments to the payments for non-MSP beneficiaries. The resulting value of Y explicitly takes into account the distinct risk characteristics of MSP beneficiaries as compared to non-MSP </w:t>
      </w:r>
      <w:r>
        <w:rPr>
          <w:spacing w:val="-2"/>
        </w:rPr>
        <w:t>beneficiaries.</w:t>
      </w:r>
    </w:p>
    <w:p>
      <w:pPr>
        <w:pStyle w:val="BodyText"/>
        <w:spacing w:before="121"/>
        <w:ind w:right="1481"/>
      </w:pPr>
      <w:r>
        <w:t>Note</w:t>
      </w:r>
      <w:r>
        <w:rPr>
          <w:spacing w:val="-4"/>
        </w:rPr>
        <w:t xml:space="preserve"> </w:t>
      </w:r>
      <w:r>
        <w:t>that</w:t>
      </w:r>
      <w:r>
        <w:rPr>
          <w:spacing w:val="-4"/>
        </w:rPr>
        <w:t xml:space="preserve"> </w:t>
      </w:r>
      <w:r>
        <w:t>the</w:t>
      </w:r>
      <w:r>
        <w:rPr>
          <w:spacing w:val="-4"/>
        </w:rPr>
        <w:t xml:space="preserve"> </w:t>
      </w:r>
      <w:r>
        <w:t>MSP</w:t>
      </w:r>
      <w:r>
        <w:rPr>
          <w:spacing w:val="-3"/>
        </w:rPr>
        <w:t xml:space="preserve"> </w:t>
      </w:r>
      <w:r>
        <w:t>adjustment</w:t>
      </w:r>
      <w:r>
        <w:rPr>
          <w:spacing w:val="-3"/>
        </w:rPr>
        <w:t xml:space="preserve"> </w:t>
      </w:r>
      <w:r>
        <w:t>must</w:t>
      </w:r>
      <w:r>
        <w:rPr>
          <w:spacing w:val="-3"/>
        </w:rPr>
        <w:t xml:space="preserve"> </w:t>
      </w:r>
      <w:r>
        <w:t>reflect</w:t>
      </w:r>
      <w:r>
        <w:rPr>
          <w:spacing w:val="-3"/>
        </w:rPr>
        <w:t xml:space="preserve"> </w:t>
      </w:r>
      <w:r>
        <w:t>changes</w:t>
      </w:r>
      <w:r>
        <w:rPr>
          <w:spacing w:val="-1"/>
        </w:rPr>
        <w:t xml:space="preserve"> </w:t>
      </w:r>
      <w:r>
        <w:t>from</w:t>
      </w:r>
      <w:r>
        <w:rPr>
          <w:spacing w:val="-3"/>
        </w:rPr>
        <w:t xml:space="preserve"> </w:t>
      </w:r>
      <w:r>
        <w:t>the</w:t>
      </w:r>
      <w:r>
        <w:rPr>
          <w:spacing w:val="-4"/>
        </w:rPr>
        <w:t xml:space="preserve"> </w:t>
      </w:r>
      <w:r>
        <w:t>source</w:t>
      </w:r>
      <w:r>
        <w:rPr>
          <w:spacing w:val="-4"/>
        </w:rPr>
        <w:t xml:space="preserve"> </w:t>
      </w:r>
      <w:r>
        <w:t>data</w:t>
      </w:r>
      <w:r>
        <w:rPr>
          <w:spacing w:val="-3"/>
        </w:rPr>
        <w:t xml:space="preserve"> </w:t>
      </w:r>
      <w:r>
        <w:t>payment</w:t>
      </w:r>
      <w:r>
        <w:rPr>
          <w:spacing w:val="-3"/>
        </w:rPr>
        <w:t xml:space="preserve"> </w:t>
      </w:r>
      <w:r>
        <w:t>year</w:t>
      </w:r>
      <w:r>
        <w:rPr>
          <w:spacing w:val="-3"/>
        </w:rPr>
        <w:t xml:space="preserve"> </w:t>
      </w:r>
      <w:r>
        <w:t>to</w:t>
      </w:r>
      <w:r>
        <w:rPr>
          <w:spacing w:val="-3"/>
        </w:rPr>
        <w:t xml:space="preserve"> </w:t>
      </w:r>
      <w:r>
        <w:t>the contract year that affect the relative payment dollars for MSP and non-MSP beneficiaries.</w:t>
      </w:r>
    </w:p>
    <w:p>
      <w:pPr>
        <w:pStyle w:val="BodyText"/>
        <w:ind w:right="1481"/>
      </w:pPr>
      <w:r>
        <w:t>Examples</w:t>
      </w:r>
      <w:r>
        <w:rPr>
          <w:spacing w:val="-3"/>
        </w:rPr>
        <w:t xml:space="preserve"> </w:t>
      </w:r>
      <w:r>
        <w:t>include,</w:t>
      </w:r>
      <w:r>
        <w:rPr>
          <w:spacing w:val="-2"/>
        </w:rPr>
        <w:t xml:space="preserve"> </w:t>
      </w:r>
      <w:r>
        <w:t>but</w:t>
      </w:r>
      <w:r>
        <w:rPr>
          <w:spacing w:val="-2"/>
        </w:rPr>
        <w:t xml:space="preserve"> </w:t>
      </w:r>
      <w:r>
        <w:t>are</w:t>
      </w:r>
      <w:r>
        <w:rPr>
          <w:spacing w:val="-3"/>
        </w:rPr>
        <w:t xml:space="preserve"> </w:t>
      </w:r>
      <w:r>
        <w:t>not</w:t>
      </w:r>
      <w:r>
        <w:rPr>
          <w:spacing w:val="-2"/>
        </w:rPr>
        <w:t xml:space="preserve"> </w:t>
      </w:r>
      <w:r>
        <w:t>limited</w:t>
      </w:r>
      <w:r>
        <w:rPr>
          <w:spacing w:val="-2"/>
        </w:rPr>
        <w:t xml:space="preserve"> </w:t>
      </w:r>
      <w:r>
        <w:t>to,</w:t>
      </w:r>
      <w:r>
        <w:rPr>
          <w:spacing w:val="-2"/>
        </w:rPr>
        <w:t xml:space="preserve"> </w:t>
      </w:r>
      <w:r>
        <w:t>a</w:t>
      </w:r>
      <w:r>
        <w:rPr>
          <w:spacing w:val="-2"/>
        </w:rPr>
        <w:t xml:space="preserve"> </w:t>
      </w:r>
      <w:r>
        <w:t>change</w:t>
      </w:r>
      <w:r>
        <w:rPr>
          <w:spacing w:val="-1"/>
        </w:rPr>
        <w:t xml:space="preserve"> </w:t>
      </w:r>
      <w:r>
        <w:t>in</w:t>
      </w:r>
      <w:r>
        <w:rPr>
          <w:spacing w:val="-2"/>
        </w:rPr>
        <w:t xml:space="preserve"> </w:t>
      </w:r>
      <w:r>
        <w:t>the</w:t>
      </w:r>
      <w:r>
        <w:rPr>
          <w:spacing w:val="-3"/>
        </w:rPr>
        <w:t xml:space="preserve"> </w:t>
      </w:r>
      <w:r>
        <w:t>MSP</w:t>
      </w:r>
      <w:r>
        <w:rPr>
          <w:spacing w:val="-2"/>
        </w:rPr>
        <w:t xml:space="preserve"> </w:t>
      </w:r>
      <w:r>
        <w:t>factor</w:t>
      </w:r>
      <w:r>
        <w:rPr>
          <w:spacing w:val="-2"/>
        </w:rPr>
        <w:t xml:space="preserve"> </w:t>
      </w:r>
      <w:r>
        <w:t>or</w:t>
      </w:r>
      <w:r>
        <w:rPr>
          <w:spacing w:val="-3"/>
        </w:rPr>
        <w:t xml:space="preserve"> </w:t>
      </w:r>
      <w:r>
        <w:t>a</w:t>
      </w:r>
      <w:r>
        <w:rPr>
          <w:spacing w:val="-3"/>
        </w:rPr>
        <w:t xml:space="preserve"> </w:t>
      </w:r>
      <w:r>
        <w:t>change</w:t>
      </w:r>
      <w:r>
        <w:rPr>
          <w:spacing w:val="-3"/>
        </w:rPr>
        <w:t xml:space="preserve"> </w:t>
      </w:r>
      <w:r>
        <w:t>in</w:t>
      </w:r>
      <w:r>
        <w:rPr>
          <w:spacing w:val="-2"/>
        </w:rPr>
        <w:t xml:space="preserve"> </w:t>
      </w:r>
      <w:r>
        <w:t>the</w:t>
      </w:r>
      <w:r>
        <w:rPr>
          <w:spacing w:val="-3"/>
        </w:rPr>
        <w:t xml:space="preserve"> </w:t>
      </w:r>
      <w:r>
        <w:t>distinct risk characteristics of MSP beneficiaries as compared to non-MSP beneficiaries.</w:t>
      </w:r>
    </w:p>
    <w:p>
      <w:pPr>
        <w:spacing w:before="240"/>
        <w:ind w:left="1224" w:right="0" w:firstLine="0"/>
        <w:jc w:val="left"/>
        <w:rPr>
          <w:rFonts w:ascii="Arial"/>
          <w:b/>
          <w:sz w:val="21"/>
        </w:rPr>
      </w:pPr>
      <w:r>
        <w:rPr>
          <w:rFonts w:ascii="Arial"/>
          <w:b/>
          <w:spacing w:val="-2"/>
          <w:sz w:val="21"/>
        </w:rPr>
        <w:t>Example:</w:t>
      </w:r>
    </w:p>
    <w:p>
      <w:pPr>
        <w:pStyle w:val="BodyText"/>
        <w:spacing w:before="118"/>
        <w:ind w:left="1224" w:right="1841"/>
      </w:pPr>
      <w:r>
        <w:t>The source data to project the CY2027 MSP adjustment for Hxxxx-001-000 is March</w:t>
      </w:r>
      <w:r>
        <w:rPr>
          <w:spacing w:val="-4"/>
        </w:rPr>
        <w:t xml:space="preserve"> </w:t>
      </w:r>
      <w:r>
        <w:t>2026</w:t>
      </w:r>
      <w:r>
        <w:rPr>
          <w:spacing w:val="-3"/>
        </w:rPr>
        <w:t xml:space="preserve"> </w:t>
      </w:r>
      <w:r>
        <w:t>MMR</w:t>
      </w:r>
      <w:r>
        <w:rPr>
          <w:spacing w:val="-3"/>
        </w:rPr>
        <w:t xml:space="preserve"> </w:t>
      </w:r>
      <w:r>
        <w:t>data</w:t>
      </w:r>
      <w:r>
        <w:rPr>
          <w:spacing w:val="-3"/>
        </w:rPr>
        <w:t xml:space="preserve"> </w:t>
      </w:r>
      <w:r>
        <w:t>for</w:t>
      </w:r>
      <w:r>
        <w:rPr>
          <w:spacing w:val="-3"/>
        </w:rPr>
        <w:t xml:space="preserve"> </w:t>
      </w:r>
      <w:r>
        <w:t>Hxxxx-001-000.</w:t>
      </w:r>
      <w:r>
        <w:rPr>
          <w:spacing w:val="-3"/>
        </w:rPr>
        <w:t xml:space="preserve"> </w:t>
      </w:r>
      <w:r>
        <w:t>There</w:t>
      </w:r>
      <w:r>
        <w:rPr>
          <w:spacing w:val="-4"/>
        </w:rPr>
        <w:t xml:space="preserve"> </w:t>
      </w:r>
      <w:r>
        <w:t>is</w:t>
      </w:r>
      <w:r>
        <w:rPr>
          <w:spacing w:val="-4"/>
        </w:rPr>
        <w:t xml:space="preserve"> </w:t>
      </w:r>
      <w:r>
        <w:t>no</w:t>
      </w:r>
      <w:r>
        <w:rPr>
          <w:spacing w:val="-2"/>
        </w:rPr>
        <w:t xml:space="preserve"> </w:t>
      </w:r>
      <w:r>
        <w:t>change</w:t>
      </w:r>
      <w:r>
        <w:rPr>
          <w:spacing w:val="-4"/>
        </w:rPr>
        <w:t xml:space="preserve"> </w:t>
      </w:r>
      <w:r>
        <w:t>in</w:t>
      </w:r>
      <w:r>
        <w:rPr>
          <w:spacing w:val="-3"/>
        </w:rPr>
        <w:t xml:space="preserve"> </w:t>
      </w:r>
      <w:r>
        <w:t>the</w:t>
      </w:r>
      <w:r>
        <w:rPr>
          <w:spacing w:val="-4"/>
        </w:rPr>
        <w:t xml:space="preserve"> </w:t>
      </w:r>
      <w:r>
        <w:t>distinct</w:t>
      </w:r>
      <w:r>
        <w:rPr>
          <w:spacing w:val="-3"/>
        </w:rPr>
        <w:t xml:space="preserve"> </w:t>
      </w:r>
      <w:r>
        <w:t>risk characteristics of MSP beneficiaries as compared to non-MSP beneficiaries from CY2026 to CY2027. There is no Part C basic premium.</w:t>
      </w:r>
    </w:p>
    <w:p>
      <w:pPr>
        <w:pStyle w:val="BodyText"/>
        <w:spacing w:before="120"/>
        <w:ind w:left="1224" w:right="1481"/>
        <w:rPr>
          <w:position w:val="2"/>
        </w:rPr>
      </w:pPr>
      <w:r>
        <w:t>Step</w:t>
      </w:r>
      <w:r>
        <w:rPr>
          <w:spacing w:val="-4"/>
        </w:rPr>
        <w:t xml:space="preserve"> </w:t>
      </w:r>
      <w:r>
        <w:t>1:</w:t>
      </w:r>
      <w:r>
        <w:rPr>
          <w:spacing w:val="-4"/>
        </w:rPr>
        <w:t xml:space="preserve"> </w:t>
      </w:r>
      <w:r>
        <w:t>Calculate</w:t>
      </w:r>
      <w:r>
        <w:rPr>
          <w:spacing w:val="-4"/>
        </w:rPr>
        <w:t xml:space="preserve"> </w:t>
      </w:r>
      <w:r>
        <w:t>the</w:t>
      </w:r>
      <w:r>
        <w:rPr>
          <w:spacing w:val="-4"/>
        </w:rPr>
        <w:t xml:space="preserve"> </w:t>
      </w:r>
      <w:r>
        <w:t>CY2026</w:t>
      </w:r>
      <w:r>
        <w:rPr>
          <w:spacing w:val="-4"/>
        </w:rPr>
        <w:t xml:space="preserve"> </w:t>
      </w:r>
      <w:r>
        <w:t>bid</w:t>
      </w:r>
      <w:r>
        <w:rPr>
          <w:spacing w:val="-4"/>
        </w:rPr>
        <w:t xml:space="preserve"> </w:t>
      </w:r>
      <w:r>
        <w:t>portion</w:t>
      </w:r>
      <w:r>
        <w:rPr>
          <w:spacing w:val="-4"/>
        </w:rPr>
        <w:t xml:space="preserve"> </w:t>
      </w:r>
      <w:r>
        <w:t>of</w:t>
      </w:r>
      <w:r>
        <w:rPr>
          <w:spacing w:val="-4"/>
        </w:rPr>
        <w:t xml:space="preserve"> </w:t>
      </w:r>
      <w:r>
        <w:t>payment</w:t>
      </w:r>
      <w:r>
        <w:rPr>
          <w:spacing w:val="-4"/>
        </w:rPr>
        <w:t xml:space="preserve"> </w:t>
      </w:r>
      <w:r>
        <w:t>reflecting</w:t>
      </w:r>
      <w:r>
        <w:rPr>
          <w:spacing w:val="-4"/>
        </w:rPr>
        <w:t xml:space="preserve"> </w:t>
      </w:r>
      <w:r>
        <w:t>reduced</w:t>
      </w:r>
      <w:r>
        <w:rPr>
          <w:spacing w:val="-4"/>
        </w:rPr>
        <w:t xml:space="preserve"> </w:t>
      </w:r>
      <w:r>
        <w:t>payments</w:t>
      </w:r>
      <w:r>
        <w:rPr>
          <w:spacing w:val="-4"/>
        </w:rPr>
        <w:t xml:space="preserve"> </w:t>
      </w:r>
      <w:r>
        <w:t xml:space="preserve">for </w:t>
      </w:r>
      <w:r>
        <w:rPr>
          <w:position w:val="2"/>
        </w:rPr>
        <w:t>MSP beneficiaries (X</w:t>
      </w:r>
      <w:r>
        <w:rPr>
          <w:sz w:val="16"/>
        </w:rPr>
        <w:t>2026</w:t>
      </w:r>
      <w:r>
        <w:rPr>
          <w:position w:val="2"/>
        </w:rPr>
        <w:t>).</w:t>
      </w:r>
    </w:p>
    <w:p>
      <w:pPr>
        <w:pStyle w:val="BodyText"/>
        <w:spacing w:before="118"/>
        <w:ind w:left="1584" w:right="1690"/>
      </w:pPr>
      <w:r>
        <w:t>$12,000,000</w:t>
      </w:r>
      <w:r>
        <w:rPr>
          <w:spacing w:val="-3"/>
        </w:rPr>
        <w:t xml:space="preserve"> </w:t>
      </w:r>
      <w:r>
        <w:t>=</w:t>
      </w:r>
      <w:r>
        <w:rPr>
          <w:spacing w:val="-4"/>
        </w:rPr>
        <w:t xml:space="preserve"> </w:t>
      </w:r>
      <w:r>
        <w:t>“Total</w:t>
      </w:r>
      <w:r>
        <w:rPr>
          <w:spacing w:val="-3"/>
        </w:rPr>
        <w:t xml:space="preserve"> </w:t>
      </w:r>
      <w:r>
        <w:t>MA</w:t>
      </w:r>
      <w:r>
        <w:rPr>
          <w:spacing w:val="-4"/>
        </w:rPr>
        <w:t xml:space="preserve"> </w:t>
      </w:r>
      <w:r>
        <w:t>Payment”</w:t>
      </w:r>
      <w:r>
        <w:rPr>
          <w:spacing w:val="-3"/>
        </w:rPr>
        <w:t xml:space="preserve"> </w:t>
      </w:r>
      <w:r>
        <w:t>for</w:t>
      </w:r>
      <w:r>
        <w:rPr>
          <w:spacing w:val="-3"/>
        </w:rPr>
        <w:t xml:space="preserve"> </w:t>
      </w:r>
      <w:r>
        <w:t>the</w:t>
      </w:r>
      <w:r>
        <w:rPr>
          <w:spacing w:val="-4"/>
        </w:rPr>
        <w:t xml:space="preserve"> </w:t>
      </w:r>
      <w:r>
        <w:t>bid</w:t>
      </w:r>
      <w:r>
        <w:rPr>
          <w:spacing w:val="-3"/>
        </w:rPr>
        <w:t xml:space="preserve"> </w:t>
      </w:r>
      <w:r>
        <w:t>from</w:t>
      </w:r>
      <w:r>
        <w:rPr>
          <w:spacing w:val="-3"/>
        </w:rPr>
        <w:t xml:space="preserve"> </w:t>
      </w:r>
      <w:r>
        <w:t>a</w:t>
      </w:r>
      <w:r>
        <w:rPr>
          <w:spacing w:val="-4"/>
        </w:rPr>
        <w:t xml:space="preserve"> </w:t>
      </w:r>
      <w:r>
        <w:t>2026</w:t>
      </w:r>
      <w:r>
        <w:rPr>
          <w:spacing w:val="-3"/>
        </w:rPr>
        <w:t xml:space="preserve"> </w:t>
      </w:r>
      <w:r>
        <w:t>MMR</w:t>
      </w:r>
      <w:r>
        <w:rPr>
          <w:spacing w:val="-3"/>
        </w:rPr>
        <w:t xml:space="preserve"> </w:t>
      </w:r>
      <w:r>
        <w:t>file.</w:t>
      </w:r>
      <w:r>
        <w:rPr>
          <w:spacing w:val="-3"/>
        </w:rPr>
        <w:t xml:space="preserve"> </w:t>
      </w:r>
      <w:r>
        <w:t>This</w:t>
      </w:r>
      <w:r>
        <w:rPr>
          <w:spacing w:val="-4"/>
        </w:rPr>
        <w:t xml:space="preserve"> </w:t>
      </w:r>
      <w:r>
        <w:t>field includes all rebates except rebates for reduction of the Part B premium and the Part D basic premium and excludes the Part C basic premium, if any.</w:t>
      </w:r>
    </w:p>
    <w:p>
      <w:pPr>
        <w:pStyle w:val="BodyText"/>
        <w:spacing w:before="120"/>
        <w:ind w:left="1584" w:right="1481"/>
      </w:pPr>
      <w:r>
        <w:t>$2,337,525 = Sum of rebates for cost-sharing reduction, other mandatory supplemental</w:t>
      </w:r>
      <w:r>
        <w:rPr>
          <w:spacing w:val="-3"/>
        </w:rPr>
        <w:t xml:space="preserve"> </w:t>
      </w:r>
      <w:r>
        <w:t>benefits,</w:t>
      </w:r>
      <w:r>
        <w:rPr>
          <w:spacing w:val="-3"/>
        </w:rPr>
        <w:t xml:space="preserve"> </w:t>
      </w:r>
      <w:r>
        <w:t>and</w:t>
      </w:r>
      <w:r>
        <w:rPr>
          <w:spacing w:val="-3"/>
        </w:rPr>
        <w:t xml:space="preserve"> </w:t>
      </w:r>
      <w:r>
        <w:t>Part</w:t>
      </w:r>
      <w:r>
        <w:rPr>
          <w:spacing w:val="-3"/>
        </w:rPr>
        <w:t xml:space="preserve"> </w:t>
      </w:r>
      <w:r>
        <w:t>D</w:t>
      </w:r>
      <w:r>
        <w:rPr>
          <w:spacing w:val="-4"/>
        </w:rPr>
        <w:t xml:space="preserve"> </w:t>
      </w:r>
      <w:r>
        <w:t>supplemental</w:t>
      </w:r>
      <w:r>
        <w:rPr>
          <w:spacing w:val="-3"/>
        </w:rPr>
        <w:t xml:space="preserve"> </w:t>
      </w:r>
      <w:r>
        <w:t>benefits</w:t>
      </w:r>
      <w:r>
        <w:rPr>
          <w:spacing w:val="-4"/>
        </w:rPr>
        <w:t xml:space="preserve"> </w:t>
      </w:r>
      <w:r>
        <w:t>for</w:t>
      </w:r>
      <w:r>
        <w:rPr>
          <w:spacing w:val="-4"/>
        </w:rPr>
        <w:t xml:space="preserve"> </w:t>
      </w:r>
      <w:r>
        <w:t>the</w:t>
      </w:r>
      <w:r>
        <w:rPr>
          <w:spacing w:val="-3"/>
        </w:rPr>
        <w:t xml:space="preserve"> </w:t>
      </w:r>
      <w:r>
        <w:t>bid.</w:t>
      </w:r>
      <w:r>
        <w:rPr>
          <w:spacing w:val="-3"/>
        </w:rPr>
        <w:t xml:space="preserve"> </w:t>
      </w:r>
      <w:r>
        <w:t>See</w:t>
      </w:r>
      <w:r>
        <w:rPr>
          <w:spacing w:val="-4"/>
        </w:rPr>
        <w:t xml:space="preserve"> </w:t>
      </w:r>
      <w:r>
        <w:t>the</w:t>
      </w:r>
      <w:r>
        <w:rPr>
          <w:spacing w:val="-2"/>
        </w:rPr>
        <w:t xml:space="preserve"> </w:t>
      </w:r>
      <w:r>
        <w:t>PCUG for the applicable field names.</w:t>
      </w:r>
    </w:p>
    <w:p>
      <w:pPr>
        <w:pStyle w:val="BodyText"/>
        <w:spacing w:before="120"/>
        <w:ind w:left="1584"/>
        <w:rPr>
          <w:position w:val="2"/>
        </w:rPr>
      </w:pPr>
      <w:r>
        <w:rPr>
          <w:position w:val="2"/>
        </w:rPr>
        <w:t>X</w:t>
      </w:r>
      <w:r>
        <w:rPr>
          <w:sz w:val="16"/>
        </w:rPr>
        <w:t>2026</w:t>
      </w:r>
      <w:r>
        <w:rPr>
          <w:spacing w:val="19"/>
          <w:sz w:val="16"/>
        </w:rPr>
        <w:t xml:space="preserve"> </w:t>
      </w:r>
      <w:r>
        <w:rPr>
          <w:position w:val="2"/>
        </w:rPr>
        <w:t>=</w:t>
      </w:r>
      <w:r>
        <w:rPr>
          <w:spacing w:val="-1"/>
          <w:position w:val="2"/>
        </w:rPr>
        <w:t xml:space="preserve"> </w:t>
      </w:r>
      <w:r>
        <w:rPr>
          <w:position w:val="2"/>
        </w:rPr>
        <w:t>$12,000,000</w:t>
      </w:r>
      <w:r>
        <w:rPr>
          <w:spacing w:val="-1"/>
          <w:position w:val="2"/>
        </w:rPr>
        <w:t xml:space="preserve"> </w:t>
      </w:r>
      <w:r>
        <w:rPr>
          <w:position w:val="2"/>
        </w:rPr>
        <w:t>–</w:t>
      </w:r>
      <w:r>
        <w:rPr>
          <w:spacing w:val="-2"/>
          <w:position w:val="2"/>
        </w:rPr>
        <w:t xml:space="preserve"> </w:t>
      </w:r>
      <w:r>
        <w:rPr>
          <w:position w:val="2"/>
        </w:rPr>
        <w:t>$2,337,525</w:t>
      </w:r>
      <w:r>
        <w:rPr>
          <w:spacing w:val="-1"/>
          <w:position w:val="2"/>
        </w:rPr>
        <w:t xml:space="preserve"> </w:t>
      </w:r>
      <w:r>
        <w:rPr>
          <w:position w:val="2"/>
        </w:rPr>
        <w:t>=</w:t>
      </w:r>
      <w:r>
        <w:rPr>
          <w:spacing w:val="-1"/>
          <w:position w:val="2"/>
        </w:rPr>
        <w:t xml:space="preserve"> </w:t>
      </w:r>
      <w:r>
        <w:rPr>
          <w:spacing w:val="-2"/>
          <w:position w:val="2"/>
        </w:rPr>
        <w:t>$9,662,475.</w:t>
      </w:r>
    </w:p>
    <w:p>
      <w:pPr>
        <w:pStyle w:val="BodyText"/>
        <w:spacing w:after="0"/>
        <w:rPr>
          <w:position w:val="2"/>
        </w:rPr>
        <w:sectPr>
          <w:pgSz w:w="12240" w:h="15840"/>
          <w:pgMar w:top="960" w:right="0" w:bottom="940" w:left="1080" w:header="727" w:footer="747"/>
          <w:cols w:space="720"/>
        </w:sectPr>
      </w:pPr>
    </w:p>
    <w:p>
      <w:pPr>
        <w:pStyle w:val="BodyText"/>
        <w:spacing w:before="190"/>
        <w:ind w:left="0"/>
      </w:pPr>
    </w:p>
    <w:p>
      <w:pPr>
        <w:pStyle w:val="BodyText"/>
        <w:ind w:left="1224" w:right="1481"/>
      </w:pPr>
      <w:r>
        <w:t>Step</w:t>
      </w:r>
      <w:r>
        <w:rPr>
          <w:spacing w:val="-3"/>
        </w:rPr>
        <w:t xml:space="preserve"> </w:t>
      </w:r>
      <w:r>
        <w:t>2:</w:t>
      </w:r>
      <w:r>
        <w:rPr>
          <w:spacing w:val="-3"/>
        </w:rPr>
        <w:t xml:space="preserve"> </w:t>
      </w:r>
      <w:r>
        <w:t>Separate</w:t>
      </w:r>
      <w:r>
        <w:rPr>
          <w:spacing w:val="-3"/>
        </w:rPr>
        <w:t xml:space="preserve"> </w:t>
      </w:r>
      <w:r>
        <w:t>the</w:t>
      </w:r>
      <w:r>
        <w:rPr>
          <w:spacing w:val="-3"/>
        </w:rPr>
        <w:t xml:space="preserve"> </w:t>
      </w:r>
      <w:r>
        <w:t>CY2026</w:t>
      </w:r>
      <w:r>
        <w:rPr>
          <w:spacing w:val="-3"/>
        </w:rPr>
        <w:t xml:space="preserve"> </w:t>
      </w:r>
      <w:r>
        <w:t>bid</w:t>
      </w:r>
      <w:r>
        <w:rPr>
          <w:spacing w:val="-3"/>
        </w:rPr>
        <w:t xml:space="preserve"> </w:t>
      </w:r>
      <w:r>
        <w:t>portion</w:t>
      </w:r>
      <w:r>
        <w:rPr>
          <w:spacing w:val="-3"/>
        </w:rPr>
        <w:t xml:space="preserve"> </w:t>
      </w:r>
      <w:r>
        <w:t>of</w:t>
      </w:r>
      <w:r>
        <w:rPr>
          <w:spacing w:val="-4"/>
        </w:rPr>
        <w:t xml:space="preserve"> </w:t>
      </w:r>
      <w:r>
        <w:t>payment</w:t>
      </w:r>
      <w:r>
        <w:rPr>
          <w:spacing w:val="-3"/>
        </w:rPr>
        <w:t xml:space="preserve"> </w:t>
      </w:r>
      <w:r>
        <w:t>reflecting</w:t>
      </w:r>
      <w:r>
        <w:rPr>
          <w:spacing w:val="-3"/>
        </w:rPr>
        <w:t xml:space="preserve"> </w:t>
      </w:r>
      <w:r>
        <w:t>reduced</w:t>
      </w:r>
      <w:r>
        <w:rPr>
          <w:spacing w:val="-3"/>
        </w:rPr>
        <w:t xml:space="preserve"> </w:t>
      </w:r>
      <w:r>
        <w:t>payments</w:t>
      </w:r>
      <w:r>
        <w:rPr>
          <w:spacing w:val="-4"/>
        </w:rPr>
        <w:t xml:space="preserve"> </w:t>
      </w:r>
      <w:r>
        <w:t xml:space="preserve">for </w:t>
      </w:r>
      <w:r>
        <w:rPr>
          <w:position w:val="2"/>
        </w:rPr>
        <w:t>MSP beneficiaries (X</w:t>
      </w:r>
      <w:r>
        <w:rPr>
          <w:sz w:val="16"/>
        </w:rPr>
        <w:t>2026</w:t>
      </w:r>
      <w:r>
        <w:rPr>
          <w:position w:val="2"/>
        </w:rPr>
        <w:t xml:space="preserve">) into payments for non-MSP enrollees and MSP enrollees </w:t>
      </w:r>
      <w:r>
        <w:t>based on MSP status.</w:t>
      </w:r>
    </w:p>
    <w:p>
      <w:pPr>
        <w:pStyle w:val="BodyText"/>
        <w:spacing w:before="117"/>
        <w:ind w:left="1584"/>
      </w:pPr>
      <w:r>
        <w:t>$9,609,346</w:t>
      </w:r>
      <w:r>
        <w:rPr>
          <w:spacing w:val="-3"/>
        </w:rPr>
        <w:t xml:space="preserve"> </w:t>
      </w:r>
      <w:r>
        <w:t>=</w:t>
      </w:r>
      <w:r>
        <w:rPr>
          <w:spacing w:val="-2"/>
        </w:rPr>
        <w:t xml:space="preserve"> </w:t>
      </w:r>
      <w:r>
        <w:t>CY2026 bid</w:t>
      </w:r>
      <w:r>
        <w:rPr>
          <w:spacing w:val="-1"/>
        </w:rPr>
        <w:t xml:space="preserve"> </w:t>
      </w:r>
      <w:r>
        <w:t>portion of</w:t>
      </w:r>
      <w:r>
        <w:rPr>
          <w:spacing w:val="-2"/>
        </w:rPr>
        <w:t xml:space="preserve"> </w:t>
      </w:r>
      <w:r>
        <w:t xml:space="preserve">payment for non-MSP </w:t>
      </w:r>
      <w:r>
        <w:rPr>
          <w:spacing w:val="-2"/>
        </w:rPr>
        <w:t>enrollees.</w:t>
      </w:r>
    </w:p>
    <w:p>
      <w:pPr>
        <w:pStyle w:val="BodyText"/>
        <w:spacing w:before="120" w:line="343" w:lineRule="auto"/>
        <w:ind w:left="1584" w:right="3159"/>
        <w:rPr>
          <w:position w:val="2"/>
        </w:rPr>
      </w:pPr>
      <w:r>
        <w:t>$53,129</w:t>
      </w:r>
      <w:r>
        <w:rPr>
          <w:spacing w:val="-4"/>
        </w:rPr>
        <w:t xml:space="preserve"> </w:t>
      </w:r>
      <w:r>
        <w:t>=</w:t>
      </w:r>
      <w:r>
        <w:rPr>
          <w:spacing w:val="-5"/>
        </w:rPr>
        <w:t xml:space="preserve"> </w:t>
      </w:r>
      <w:r>
        <w:t>CY2026</w:t>
      </w:r>
      <w:r>
        <w:rPr>
          <w:spacing w:val="-4"/>
        </w:rPr>
        <w:t xml:space="preserve"> </w:t>
      </w:r>
      <w:r>
        <w:t>bid</w:t>
      </w:r>
      <w:r>
        <w:rPr>
          <w:spacing w:val="-4"/>
        </w:rPr>
        <w:t xml:space="preserve"> </w:t>
      </w:r>
      <w:r>
        <w:t>portion</w:t>
      </w:r>
      <w:r>
        <w:rPr>
          <w:spacing w:val="-4"/>
        </w:rPr>
        <w:t xml:space="preserve"> </w:t>
      </w:r>
      <w:r>
        <w:t>of</w:t>
      </w:r>
      <w:r>
        <w:rPr>
          <w:spacing w:val="-5"/>
        </w:rPr>
        <w:t xml:space="preserve"> </w:t>
      </w:r>
      <w:r>
        <w:t>payment</w:t>
      </w:r>
      <w:r>
        <w:rPr>
          <w:spacing w:val="-4"/>
        </w:rPr>
        <w:t xml:space="preserve"> </w:t>
      </w:r>
      <w:r>
        <w:t>for</w:t>
      </w:r>
      <w:r>
        <w:rPr>
          <w:spacing w:val="-4"/>
        </w:rPr>
        <w:t xml:space="preserve"> </w:t>
      </w:r>
      <w:r>
        <w:t>MSP</w:t>
      </w:r>
      <w:r>
        <w:rPr>
          <w:spacing w:val="-4"/>
        </w:rPr>
        <w:t xml:space="preserve"> </w:t>
      </w:r>
      <w:r>
        <w:t xml:space="preserve">enrollees. </w:t>
      </w:r>
      <w:r>
        <w:rPr>
          <w:position w:val="2"/>
        </w:rPr>
        <w:t>X</w:t>
      </w:r>
      <w:r>
        <w:rPr>
          <w:sz w:val="16"/>
        </w:rPr>
        <w:t>2026</w:t>
      </w:r>
      <w:r>
        <w:rPr>
          <w:spacing w:val="40"/>
          <w:sz w:val="16"/>
        </w:rPr>
        <w:t xml:space="preserve"> </w:t>
      </w:r>
      <w:r>
        <w:rPr>
          <w:position w:val="2"/>
        </w:rPr>
        <w:t>= $9,662,475 = $9,609,346 + $53,129.</w:t>
      </w:r>
    </w:p>
    <w:p>
      <w:pPr>
        <w:pStyle w:val="BodyText"/>
        <w:ind w:left="1224" w:right="1481"/>
      </w:pPr>
      <w:r>
        <w:t>Step</w:t>
      </w:r>
      <w:r>
        <w:rPr>
          <w:spacing w:val="-3"/>
        </w:rPr>
        <w:t xml:space="preserve"> </w:t>
      </w:r>
      <w:r>
        <w:t>3:</w:t>
      </w:r>
      <w:r>
        <w:rPr>
          <w:spacing w:val="-3"/>
        </w:rPr>
        <w:t xml:space="preserve"> </w:t>
      </w:r>
      <w:r>
        <w:t>Calculate</w:t>
      </w:r>
      <w:r>
        <w:rPr>
          <w:spacing w:val="-3"/>
        </w:rPr>
        <w:t xml:space="preserve"> </w:t>
      </w:r>
      <w:r>
        <w:t>the</w:t>
      </w:r>
      <w:r>
        <w:rPr>
          <w:spacing w:val="-4"/>
        </w:rPr>
        <w:t xml:space="preserve"> </w:t>
      </w:r>
      <w:r>
        <w:t>CY2027</w:t>
      </w:r>
      <w:r>
        <w:rPr>
          <w:spacing w:val="-3"/>
        </w:rPr>
        <w:t xml:space="preserve"> </w:t>
      </w:r>
      <w:r>
        <w:t>bid</w:t>
      </w:r>
      <w:r>
        <w:rPr>
          <w:spacing w:val="-3"/>
        </w:rPr>
        <w:t xml:space="preserve"> </w:t>
      </w:r>
      <w:r>
        <w:t>portion</w:t>
      </w:r>
      <w:r>
        <w:rPr>
          <w:spacing w:val="-3"/>
        </w:rPr>
        <w:t xml:space="preserve"> </w:t>
      </w:r>
      <w:r>
        <w:t>of</w:t>
      </w:r>
      <w:r>
        <w:rPr>
          <w:spacing w:val="-4"/>
        </w:rPr>
        <w:t xml:space="preserve"> </w:t>
      </w:r>
      <w:r>
        <w:t>payment</w:t>
      </w:r>
      <w:r>
        <w:rPr>
          <w:spacing w:val="-3"/>
        </w:rPr>
        <w:t xml:space="preserve"> </w:t>
      </w:r>
      <w:r>
        <w:t>reflecting</w:t>
      </w:r>
      <w:r>
        <w:rPr>
          <w:spacing w:val="-3"/>
        </w:rPr>
        <w:t xml:space="preserve"> </w:t>
      </w:r>
      <w:r>
        <w:t>reduced</w:t>
      </w:r>
      <w:r>
        <w:rPr>
          <w:spacing w:val="-3"/>
        </w:rPr>
        <w:t xml:space="preserve"> </w:t>
      </w:r>
      <w:r>
        <w:t>payments</w:t>
      </w:r>
      <w:r>
        <w:rPr>
          <w:spacing w:val="-4"/>
        </w:rPr>
        <w:t xml:space="preserve"> </w:t>
      </w:r>
      <w:r>
        <w:t>for MSP beneficiaries (X).</w:t>
      </w:r>
    </w:p>
    <w:p>
      <w:pPr>
        <w:pStyle w:val="BodyText"/>
        <w:spacing w:before="121"/>
        <w:ind w:left="1584"/>
      </w:pPr>
      <w:r>
        <w:t>$9,609,346</w:t>
      </w:r>
      <w:r>
        <w:rPr>
          <w:spacing w:val="-3"/>
        </w:rPr>
        <w:t xml:space="preserve"> </w:t>
      </w:r>
      <w:r>
        <w:t>=</w:t>
      </w:r>
      <w:r>
        <w:rPr>
          <w:spacing w:val="-1"/>
        </w:rPr>
        <w:t xml:space="preserve"> </w:t>
      </w:r>
      <w:r>
        <w:t>CY2026</w:t>
      </w:r>
      <w:r>
        <w:rPr>
          <w:spacing w:val="-1"/>
        </w:rPr>
        <w:t xml:space="preserve"> </w:t>
      </w:r>
      <w:r>
        <w:t>bid portion</w:t>
      </w:r>
      <w:r>
        <w:rPr>
          <w:spacing w:val="-1"/>
        </w:rPr>
        <w:t xml:space="preserve"> </w:t>
      </w:r>
      <w:r>
        <w:t>of</w:t>
      </w:r>
      <w:r>
        <w:rPr>
          <w:spacing w:val="-1"/>
        </w:rPr>
        <w:t xml:space="preserve"> </w:t>
      </w:r>
      <w:r>
        <w:t>payment</w:t>
      </w:r>
      <w:r>
        <w:rPr>
          <w:spacing w:val="-1"/>
        </w:rPr>
        <w:t xml:space="preserve"> </w:t>
      </w:r>
      <w:r>
        <w:t>for</w:t>
      </w:r>
      <w:r>
        <w:rPr>
          <w:spacing w:val="1"/>
        </w:rPr>
        <w:t xml:space="preserve"> </w:t>
      </w:r>
      <w:r>
        <w:t>non-MSP</w:t>
      </w:r>
      <w:r>
        <w:rPr>
          <w:spacing w:val="1"/>
        </w:rPr>
        <w:t xml:space="preserve"> </w:t>
      </w:r>
      <w:r>
        <w:rPr>
          <w:spacing w:val="-2"/>
        </w:rPr>
        <w:t>enrollees.</w:t>
      </w:r>
    </w:p>
    <w:p>
      <w:pPr>
        <w:pStyle w:val="BodyText"/>
        <w:spacing w:before="120"/>
        <w:ind w:left="1584"/>
      </w:pPr>
      <w:r>
        <w:t>0.136</w:t>
      </w:r>
      <w:r>
        <w:rPr>
          <w:spacing w:val="-4"/>
        </w:rPr>
        <w:t xml:space="preserve"> </w:t>
      </w:r>
      <w:r>
        <w:t>=</w:t>
      </w:r>
      <w:r>
        <w:rPr>
          <w:spacing w:val="-2"/>
        </w:rPr>
        <w:t xml:space="preserve"> </w:t>
      </w:r>
      <w:r>
        <w:t>CY2026</w:t>
      </w:r>
      <w:r>
        <w:rPr>
          <w:spacing w:val="-1"/>
        </w:rPr>
        <w:t xml:space="preserve"> </w:t>
      </w:r>
      <w:r>
        <w:t>“MSP</w:t>
      </w:r>
      <w:r>
        <w:rPr>
          <w:spacing w:val="-2"/>
        </w:rPr>
        <w:t xml:space="preserve"> </w:t>
      </w:r>
      <w:r>
        <w:t>factor” for</w:t>
      </w:r>
      <w:r>
        <w:rPr>
          <w:spacing w:val="-3"/>
        </w:rPr>
        <w:t xml:space="preserve"> </w:t>
      </w:r>
      <w:r>
        <w:t>working aged</w:t>
      </w:r>
      <w:r>
        <w:rPr>
          <w:spacing w:val="1"/>
        </w:rPr>
        <w:t xml:space="preserve"> </w:t>
      </w:r>
      <w:r>
        <w:t>and</w:t>
      </w:r>
      <w:r>
        <w:rPr>
          <w:spacing w:val="-1"/>
        </w:rPr>
        <w:t xml:space="preserve"> </w:t>
      </w:r>
      <w:r>
        <w:t>working</w:t>
      </w:r>
      <w:r>
        <w:rPr>
          <w:spacing w:val="-1"/>
        </w:rPr>
        <w:t xml:space="preserve"> </w:t>
      </w:r>
      <w:r>
        <w:rPr>
          <w:spacing w:val="-2"/>
        </w:rPr>
        <w:t>disabled</w:t>
      </w:r>
    </w:p>
    <w:p>
      <w:pPr>
        <w:pStyle w:val="BodyText"/>
        <w:ind w:left="1584"/>
      </w:pPr>
      <w:r>
        <w:rPr>
          <w:spacing w:val="-2"/>
        </w:rPr>
        <w:t>(non-ESRD).</w:t>
      </w:r>
    </w:p>
    <w:p>
      <w:pPr>
        <w:pStyle w:val="BodyText"/>
        <w:spacing w:before="120"/>
        <w:ind w:left="1584"/>
      </w:pPr>
      <w:r>
        <w:t>0.136</w:t>
      </w:r>
      <w:r>
        <w:rPr>
          <w:spacing w:val="-4"/>
        </w:rPr>
        <w:t xml:space="preserve"> </w:t>
      </w:r>
      <w:r>
        <w:t>=</w:t>
      </w:r>
      <w:r>
        <w:rPr>
          <w:spacing w:val="-2"/>
        </w:rPr>
        <w:t xml:space="preserve"> </w:t>
      </w:r>
      <w:r>
        <w:t>CY2027</w:t>
      </w:r>
      <w:r>
        <w:rPr>
          <w:spacing w:val="-1"/>
        </w:rPr>
        <w:t xml:space="preserve"> </w:t>
      </w:r>
      <w:r>
        <w:t>“MSP</w:t>
      </w:r>
      <w:r>
        <w:rPr>
          <w:spacing w:val="-2"/>
        </w:rPr>
        <w:t xml:space="preserve"> </w:t>
      </w:r>
      <w:r>
        <w:t>factor” for</w:t>
      </w:r>
      <w:r>
        <w:rPr>
          <w:spacing w:val="-3"/>
        </w:rPr>
        <w:t xml:space="preserve"> </w:t>
      </w:r>
      <w:r>
        <w:t>working aged</w:t>
      </w:r>
      <w:r>
        <w:rPr>
          <w:spacing w:val="1"/>
        </w:rPr>
        <w:t xml:space="preserve"> </w:t>
      </w:r>
      <w:r>
        <w:t>and</w:t>
      </w:r>
      <w:r>
        <w:rPr>
          <w:spacing w:val="-1"/>
        </w:rPr>
        <w:t xml:space="preserve"> </w:t>
      </w:r>
      <w:r>
        <w:t>working</w:t>
      </w:r>
      <w:r>
        <w:rPr>
          <w:spacing w:val="-1"/>
        </w:rPr>
        <w:t xml:space="preserve"> </w:t>
      </w:r>
      <w:r>
        <w:rPr>
          <w:spacing w:val="-2"/>
        </w:rPr>
        <w:t>disabled</w:t>
      </w:r>
    </w:p>
    <w:p>
      <w:pPr>
        <w:pStyle w:val="BodyText"/>
        <w:ind w:left="1584"/>
      </w:pPr>
      <w:r>
        <w:rPr>
          <w:spacing w:val="-2"/>
        </w:rPr>
        <w:t>(non-ESRD).</w:t>
      </w:r>
    </w:p>
    <w:p>
      <w:pPr>
        <w:pStyle w:val="BodyText"/>
        <w:spacing w:before="120"/>
        <w:ind w:left="1584" w:right="1481"/>
      </w:pPr>
      <w:r>
        <w:t>$53,129</w:t>
      </w:r>
      <w:r>
        <w:rPr>
          <w:spacing w:val="-3"/>
        </w:rPr>
        <w:t xml:space="preserve"> </w:t>
      </w:r>
      <w:r>
        <w:t>=</w:t>
      </w:r>
      <w:r>
        <w:rPr>
          <w:spacing w:val="-4"/>
        </w:rPr>
        <w:t xml:space="preserve"> </w:t>
      </w:r>
      <w:r>
        <w:t>(0.136</w:t>
      </w:r>
      <w:r>
        <w:rPr>
          <w:spacing w:val="-3"/>
        </w:rPr>
        <w:t xml:space="preserve"> </w:t>
      </w:r>
      <w:r>
        <w:t>÷</w:t>
      </w:r>
      <w:r>
        <w:rPr>
          <w:spacing w:val="-3"/>
        </w:rPr>
        <w:t xml:space="preserve"> </w:t>
      </w:r>
      <w:r>
        <w:t>0.136)</w:t>
      </w:r>
      <w:r>
        <w:rPr>
          <w:spacing w:val="-4"/>
        </w:rPr>
        <w:t xml:space="preserve"> </w:t>
      </w:r>
      <w:r>
        <w:t>×</w:t>
      </w:r>
      <w:r>
        <w:rPr>
          <w:spacing w:val="-4"/>
        </w:rPr>
        <w:t xml:space="preserve"> </w:t>
      </w:r>
      <w:r>
        <w:t>$53,129</w:t>
      </w:r>
      <w:r>
        <w:rPr>
          <w:spacing w:val="-3"/>
        </w:rPr>
        <w:t xml:space="preserve"> </w:t>
      </w:r>
      <w:r>
        <w:t>=</w:t>
      </w:r>
      <w:r>
        <w:rPr>
          <w:spacing w:val="-4"/>
        </w:rPr>
        <w:t xml:space="preserve"> </w:t>
      </w:r>
      <w:r>
        <w:t>CY2027</w:t>
      </w:r>
      <w:r>
        <w:rPr>
          <w:spacing w:val="-3"/>
        </w:rPr>
        <w:t xml:space="preserve"> </w:t>
      </w:r>
      <w:r>
        <w:t>bid</w:t>
      </w:r>
      <w:r>
        <w:rPr>
          <w:spacing w:val="-3"/>
        </w:rPr>
        <w:t xml:space="preserve"> </w:t>
      </w:r>
      <w:r>
        <w:t>portion</w:t>
      </w:r>
      <w:r>
        <w:rPr>
          <w:spacing w:val="-3"/>
        </w:rPr>
        <w:t xml:space="preserve"> </w:t>
      </w:r>
      <w:r>
        <w:t>of</w:t>
      </w:r>
      <w:r>
        <w:rPr>
          <w:spacing w:val="-4"/>
        </w:rPr>
        <w:t xml:space="preserve"> </w:t>
      </w:r>
      <w:r>
        <w:t>payment</w:t>
      </w:r>
      <w:r>
        <w:rPr>
          <w:spacing w:val="-3"/>
        </w:rPr>
        <w:t xml:space="preserve"> </w:t>
      </w:r>
      <w:r>
        <w:t>for</w:t>
      </w:r>
      <w:r>
        <w:rPr>
          <w:spacing w:val="-2"/>
        </w:rPr>
        <w:t xml:space="preserve"> </w:t>
      </w:r>
      <w:r>
        <w:t xml:space="preserve">MSP </w:t>
      </w:r>
      <w:r>
        <w:rPr>
          <w:spacing w:val="-2"/>
        </w:rPr>
        <w:t>enrollees.</w:t>
      </w:r>
    </w:p>
    <w:p>
      <w:pPr>
        <w:pStyle w:val="BodyText"/>
        <w:spacing w:before="120"/>
        <w:ind w:left="1584"/>
      </w:pPr>
      <w:r>
        <w:t>X</w:t>
      </w:r>
      <w:r>
        <w:rPr>
          <w:spacing w:val="-3"/>
        </w:rPr>
        <w:t xml:space="preserve"> </w:t>
      </w:r>
      <w:r>
        <w:t>=</w:t>
      </w:r>
      <w:r>
        <w:rPr>
          <w:spacing w:val="-2"/>
        </w:rPr>
        <w:t xml:space="preserve"> </w:t>
      </w:r>
      <w:r>
        <w:t>$9,662,475</w:t>
      </w:r>
      <w:r>
        <w:rPr>
          <w:spacing w:val="1"/>
        </w:rPr>
        <w:t xml:space="preserve"> </w:t>
      </w:r>
      <w:r>
        <w:t>=</w:t>
      </w:r>
      <w:r>
        <w:rPr>
          <w:spacing w:val="-1"/>
        </w:rPr>
        <w:t xml:space="preserve"> </w:t>
      </w:r>
      <w:r>
        <w:t xml:space="preserve">$9,609,346 + </w:t>
      </w:r>
      <w:r>
        <w:rPr>
          <w:spacing w:val="-2"/>
        </w:rPr>
        <w:t>$53,129.</w:t>
      </w:r>
    </w:p>
    <w:p>
      <w:pPr>
        <w:pStyle w:val="BodyText"/>
        <w:spacing w:before="120"/>
        <w:ind w:left="1224" w:right="1481"/>
      </w:pPr>
      <w:r>
        <w:t>Step</w:t>
      </w:r>
      <w:r>
        <w:rPr>
          <w:spacing w:val="-4"/>
        </w:rPr>
        <w:t xml:space="preserve"> </w:t>
      </w:r>
      <w:r>
        <w:t>4:</w:t>
      </w:r>
      <w:r>
        <w:rPr>
          <w:spacing w:val="-3"/>
        </w:rPr>
        <w:t xml:space="preserve"> </w:t>
      </w:r>
      <w:r>
        <w:t>Calculate</w:t>
      </w:r>
      <w:r>
        <w:rPr>
          <w:spacing w:val="-3"/>
        </w:rPr>
        <w:t xml:space="preserve"> </w:t>
      </w:r>
      <w:r>
        <w:t>the</w:t>
      </w:r>
      <w:r>
        <w:rPr>
          <w:spacing w:val="-4"/>
        </w:rPr>
        <w:t xml:space="preserve"> </w:t>
      </w:r>
      <w:r>
        <w:t>projected</w:t>
      </w:r>
      <w:r>
        <w:rPr>
          <w:spacing w:val="-4"/>
        </w:rPr>
        <w:t xml:space="preserve"> </w:t>
      </w:r>
      <w:r>
        <w:t>CY2027</w:t>
      </w:r>
      <w:r>
        <w:rPr>
          <w:spacing w:val="-3"/>
        </w:rPr>
        <w:t xml:space="preserve"> </w:t>
      </w:r>
      <w:r>
        <w:t>bid</w:t>
      </w:r>
      <w:r>
        <w:rPr>
          <w:spacing w:val="-3"/>
        </w:rPr>
        <w:t xml:space="preserve"> </w:t>
      </w:r>
      <w:r>
        <w:t>portion</w:t>
      </w:r>
      <w:r>
        <w:rPr>
          <w:spacing w:val="-3"/>
        </w:rPr>
        <w:t xml:space="preserve"> </w:t>
      </w:r>
      <w:r>
        <w:t>of</w:t>
      </w:r>
      <w:r>
        <w:rPr>
          <w:spacing w:val="-3"/>
        </w:rPr>
        <w:t xml:space="preserve"> </w:t>
      </w:r>
      <w:r>
        <w:t>payment</w:t>
      </w:r>
      <w:r>
        <w:rPr>
          <w:spacing w:val="-3"/>
        </w:rPr>
        <w:t xml:space="preserve"> </w:t>
      </w:r>
      <w:r>
        <w:t>that</w:t>
      </w:r>
      <w:r>
        <w:rPr>
          <w:spacing w:val="-3"/>
        </w:rPr>
        <w:t xml:space="preserve"> </w:t>
      </w:r>
      <w:r>
        <w:t>would</w:t>
      </w:r>
      <w:r>
        <w:rPr>
          <w:spacing w:val="-1"/>
        </w:rPr>
        <w:t xml:space="preserve"> </w:t>
      </w:r>
      <w:r>
        <w:t>be</w:t>
      </w:r>
      <w:r>
        <w:rPr>
          <w:spacing w:val="-4"/>
        </w:rPr>
        <w:t xml:space="preserve"> </w:t>
      </w:r>
      <w:r>
        <w:t>paid</w:t>
      </w:r>
      <w:r>
        <w:rPr>
          <w:spacing w:val="-3"/>
        </w:rPr>
        <w:t xml:space="preserve"> </w:t>
      </w:r>
      <w:r>
        <w:t>if</w:t>
      </w:r>
      <w:r>
        <w:rPr>
          <w:spacing w:val="-3"/>
        </w:rPr>
        <w:t xml:space="preserve"> </w:t>
      </w:r>
      <w:r>
        <w:t>no beneficiaries had a payer that was primary to Medicare (Y).</w:t>
      </w:r>
    </w:p>
    <w:p>
      <w:pPr>
        <w:pStyle w:val="BodyText"/>
        <w:spacing w:before="120"/>
        <w:ind w:left="1584"/>
      </w:pPr>
      <w:r>
        <w:t>Y</w:t>
      </w:r>
      <w:r>
        <w:rPr>
          <w:spacing w:val="-3"/>
        </w:rPr>
        <w:t xml:space="preserve"> </w:t>
      </w:r>
      <w:r>
        <w:t>=</w:t>
      </w:r>
      <w:r>
        <w:rPr>
          <w:spacing w:val="-1"/>
        </w:rPr>
        <w:t xml:space="preserve"> </w:t>
      </w:r>
      <w:r>
        <w:t>$9,609,346+</w:t>
      </w:r>
      <w:r>
        <w:rPr>
          <w:spacing w:val="-1"/>
        </w:rPr>
        <w:t xml:space="preserve"> </w:t>
      </w:r>
      <w:r>
        <w:t>($53,129 ÷ .136) =</w:t>
      </w:r>
      <w:r>
        <w:rPr>
          <w:spacing w:val="-2"/>
        </w:rPr>
        <w:t xml:space="preserve"> </w:t>
      </w:r>
      <w:r>
        <w:t>$9,609,346 +</w:t>
      </w:r>
      <w:r>
        <w:rPr>
          <w:spacing w:val="1"/>
        </w:rPr>
        <w:t xml:space="preserve"> </w:t>
      </w:r>
      <w:r>
        <w:t xml:space="preserve">$390,654 = </w:t>
      </w:r>
      <w:r>
        <w:rPr>
          <w:spacing w:val="-2"/>
        </w:rPr>
        <w:t>$10,000,000.</w:t>
      </w:r>
    </w:p>
    <w:p>
      <w:pPr>
        <w:pStyle w:val="BodyText"/>
        <w:spacing w:before="121" w:line="343" w:lineRule="auto"/>
        <w:ind w:left="1584" w:right="2194" w:hanging="360"/>
      </w:pPr>
      <w:r>
        <w:t>Step</w:t>
      </w:r>
      <w:r>
        <w:rPr>
          <w:spacing w:val="-3"/>
        </w:rPr>
        <w:t xml:space="preserve"> </w:t>
      </w:r>
      <w:r>
        <w:t>5:</w:t>
      </w:r>
      <w:r>
        <w:rPr>
          <w:spacing w:val="-3"/>
        </w:rPr>
        <w:t xml:space="preserve"> </w:t>
      </w:r>
      <w:r>
        <w:t>Calculate</w:t>
      </w:r>
      <w:r>
        <w:rPr>
          <w:spacing w:val="-3"/>
        </w:rPr>
        <w:t xml:space="preserve"> </w:t>
      </w:r>
      <w:r>
        <w:t>the</w:t>
      </w:r>
      <w:r>
        <w:rPr>
          <w:spacing w:val="-4"/>
        </w:rPr>
        <w:t xml:space="preserve"> </w:t>
      </w:r>
      <w:r>
        <w:t>projected</w:t>
      </w:r>
      <w:r>
        <w:rPr>
          <w:spacing w:val="-3"/>
        </w:rPr>
        <w:t xml:space="preserve"> </w:t>
      </w:r>
      <w:r>
        <w:t>CY2027</w:t>
      </w:r>
      <w:r>
        <w:rPr>
          <w:spacing w:val="-3"/>
        </w:rPr>
        <w:t xml:space="preserve"> </w:t>
      </w:r>
      <w:r>
        <w:t>MSP</w:t>
      </w:r>
      <w:r>
        <w:rPr>
          <w:spacing w:val="-3"/>
        </w:rPr>
        <w:t xml:space="preserve"> </w:t>
      </w:r>
      <w:r>
        <w:t>adjustment</w:t>
      </w:r>
      <w:r>
        <w:rPr>
          <w:spacing w:val="-3"/>
        </w:rPr>
        <w:t xml:space="preserve"> </w:t>
      </w:r>
      <w:r>
        <w:t>to</w:t>
      </w:r>
      <w:r>
        <w:rPr>
          <w:spacing w:val="-3"/>
        </w:rPr>
        <w:t xml:space="preserve"> </w:t>
      </w:r>
      <w:r>
        <w:t>enter</w:t>
      </w:r>
      <w:r>
        <w:rPr>
          <w:spacing w:val="-5"/>
        </w:rPr>
        <w:t xml:space="preserve"> </w:t>
      </w:r>
      <w:r>
        <w:t>into</w:t>
      </w:r>
      <w:r>
        <w:rPr>
          <w:spacing w:val="-3"/>
        </w:rPr>
        <w:t xml:space="preserve"> </w:t>
      </w:r>
      <w:r>
        <w:t>the</w:t>
      </w:r>
      <w:r>
        <w:rPr>
          <w:spacing w:val="-3"/>
        </w:rPr>
        <w:t xml:space="preserve"> </w:t>
      </w:r>
      <w:r>
        <w:t>BPT. MSP adjustment = 1 – $9,662,475 ÷ $10,000,000 = 0.0338 = 3.38%.</w:t>
      </w:r>
    </w:p>
    <w:p>
      <w:pPr>
        <w:spacing w:before="123"/>
        <w:ind w:left="1224" w:right="0" w:firstLine="0"/>
        <w:jc w:val="left"/>
        <w:rPr>
          <w:rFonts w:ascii="Arial"/>
          <w:b/>
          <w:i/>
          <w:sz w:val="21"/>
        </w:rPr>
      </w:pPr>
      <w:bookmarkStart w:id="77" w:name="Manually Rated Bids"/>
      <w:bookmarkEnd w:id="77"/>
      <w:r>
        <w:rPr>
          <w:rFonts w:ascii="Arial"/>
          <w:b/>
          <w:i/>
          <w:sz w:val="21"/>
        </w:rPr>
        <w:t>Manually</w:t>
      </w:r>
      <w:r>
        <w:rPr>
          <w:rFonts w:ascii="Arial"/>
          <w:b/>
          <w:i/>
          <w:spacing w:val="-9"/>
          <w:sz w:val="21"/>
        </w:rPr>
        <w:t xml:space="preserve"> </w:t>
      </w:r>
      <w:r>
        <w:rPr>
          <w:rFonts w:ascii="Arial"/>
          <w:b/>
          <w:i/>
          <w:sz w:val="21"/>
        </w:rPr>
        <w:t>Rated</w:t>
      </w:r>
      <w:r>
        <w:rPr>
          <w:rFonts w:ascii="Arial"/>
          <w:b/>
          <w:i/>
          <w:spacing w:val="-8"/>
          <w:sz w:val="21"/>
        </w:rPr>
        <w:t xml:space="preserve"> </w:t>
      </w:r>
      <w:r>
        <w:rPr>
          <w:rFonts w:ascii="Arial"/>
          <w:b/>
          <w:i/>
          <w:spacing w:val="-4"/>
          <w:sz w:val="21"/>
        </w:rPr>
        <w:t>Bids</w:t>
      </w:r>
    </w:p>
    <w:p>
      <w:pPr>
        <w:pStyle w:val="BodyText"/>
        <w:spacing w:before="118"/>
        <w:ind w:left="1224" w:right="1841"/>
      </w:pPr>
      <w:r>
        <w:t>If</w:t>
      </w:r>
      <w:r>
        <w:rPr>
          <w:spacing w:val="-5"/>
        </w:rPr>
        <w:t xml:space="preserve"> </w:t>
      </w:r>
      <w:r>
        <w:t>the</w:t>
      </w:r>
      <w:r>
        <w:rPr>
          <w:spacing w:val="-3"/>
        </w:rPr>
        <w:t xml:space="preserve"> </w:t>
      </w:r>
      <w:r>
        <w:t>following</w:t>
      </w:r>
      <w:r>
        <w:rPr>
          <w:spacing w:val="-3"/>
        </w:rPr>
        <w:t xml:space="preserve"> </w:t>
      </w:r>
      <w:r>
        <w:t>conditions</w:t>
      </w:r>
      <w:r>
        <w:rPr>
          <w:spacing w:val="-4"/>
        </w:rPr>
        <w:t xml:space="preserve"> </w:t>
      </w:r>
      <w:r>
        <w:t>are</w:t>
      </w:r>
      <w:r>
        <w:rPr>
          <w:spacing w:val="-4"/>
        </w:rPr>
        <w:t xml:space="preserve"> </w:t>
      </w:r>
      <w:r>
        <w:t>met,</w:t>
      </w:r>
      <w:r>
        <w:rPr>
          <w:spacing w:val="-3"/>
        </w:rPr>
        <w:t xml:space="preserve"> </w:t>
      </w:r>
      <w:r>
        <w:t>the actuary</w:t>
      </w:r>
      <w:r>
        <w:rPr>
          <w:spacing w:val="-3"/>
        </w:rPr>
        <w:t xml:space="preserve"> </w:t>
      </w:r>
      <w:r>
        <w:t>does</w:t>
      </w:r>
      <w:r>
        <w:rPr>
          <w:spacing w:val="-4"/>
        </w:rPr>
        <w:t xml:space="preserve"> </w:t>
      </w:r>
      <w:r>
        <w:t>not</w:t>
      </w:r>
      <w:r>
        <w:rPr>
          <w:spacing w:val="-3"/>
        </w:rPr>
        <w:t xml:space="preserve"> </w:t>
      </w:r>
      <w:r>
        <w:t>need</w:t>
      </w:r>
      <w:r>
        <w:rPr>
          <w:spacing w:val="-3"/>
        </w:rPr>
        <w:t xml:space="preserve"> </w:t>
      </w:r>
      <w:r>
        <w:t>to</w:t>
      </w:r>
      <w:r>
        <w:rPr>
          <w:spacing w:val="-3"/>
        </w:rPr>
        <w:t xml:space="preserve"> </w:t>
      </w:r>
      <w:r>
        <w:t>estimate</w:t>
      </w:r>
      <w:r>
        <w:rPr>
          <w:spacing w:val="-2"/>
        </w:rPr>
        <w:t xml:space="preserve"> </w:t>
      </w:r>
      <w:r>
        <w:t>an</w:t>
      </w:r>
      <w:r>
        <w:rPr>
          <w:spacing w:val="-3"/>
        </w:rPr>
        <w:t xml:space="preserve"> </w:t>
      </w:r>
      <w:r>
        <w:t>explicit MSP adjustment for 100 percent manually rated bids and must enter zero (0) in the MSP adjustment field in Worksheet 5:</w:t>
      </w:r>
    </w:p>
    <w:p>
      <w:pPr>
        <w:pStyle w:val="ListParagraph"/>
        <w:numPr>
          <w:ilvl w:val="0"/>
          <w:numId w:val="46"/>
        </w:numPr>
        <w:tabs>
          <w:tab w:val="left" w:pos="1944"/>
        </w:tabs>
        <w:spacing w:before="120" w:after="0" w:line="240" w:lineRule="auto"/>
        <w:ind w:left="1944" w:right="1585" w:hanging="360"/>
        <w:jc w:val="left"/>
        <w:rPr>
          <w:sz w:val="24"/>
        </w:rPr>
      </w:pPr>
      <w:r>
        <w:rPr>
          <w:sz w:val="24"/>
        </w:rPr>
        <w:t>The</w:t>
      </w:r>
      <w:r>
        <w:rPr>
          <w:spacing w:val="-5"/>
          <w:sz w:val="24"/>
        </w:rPr>
        <w:t xml:space="preserve"> </w:t>
      </w:r>
      <w:r>
        <w:rPr>
          <w:sz w:val="24"/>
        </w:rPr>
        <w:t>basis</w:t>
      </w:r>
      <w:r>
        <w:rPr>
          <w:spacing w:val="-3"/>
          <w:sz w:val="24"/>
        </w:rPr>
        <w:t xml:space="preserve"> </w:t>
      </w:r>
      <w:r>
        <w:rPr>
          <w:sz w:val="24"/>
        </w:rPr>
        <w:t>for</w:t>
      </w:r>
      <w:r>
        <w:rPr>
          <w:spacing w:val="-4"/>
          <w:sz w:val="24"/>
        </w:rPr>
        <w:t xml:space="preserve"> </w:t>
      </w:r>
      <w:r>
        <w:rPr>
          <w:sz w:val="24"/>
        </w:rPr>
        <w:t>both</w:t>
      </w:r>
      <w:r>
        <w:rPr>
          <w:spacing w:val="-3"/>
          <w:sz w:val="24"/>
        </w:rPr>
        <w:t xml:space="preserve"> </w:t>
      </w:r>
      <w:r>
        <w:rPr>
          <w:sz w:val="24"/>
        </w:rPr>
        <w:t>projected</w:t>
      </w:r>
      <w:r>
        <w:rPr>
          <w:spacing w:val="-3"/>
          <w:sz w:val="24"/>
        </w:rPr>
        <w:t xml:space="preserve"> </w:t>
      </w:r>
      <w:r>
        <w:rPr>
          <w:sz w:val="24"/>
        </w:rPr>
        <w:t>allowed</w:t>
      </w:r>
      <w:r>
        <w:rPr>
          <w:spacing w:val="-3"/>
          <w:sz w:val="24"/>
        </w:rPr>
        <w:t xml:space="preserve"> </w:t>
      </w:r>
      <w:r>
        <w:rPr>
          <w:sz w:val="24"/>
        </w:rPr>
        <w:t>costs</w:t>
      </w:r>
      <w:r>
        <w:rPr>
          <w:spacing w:val="-3"/>
          <w:sz w:val="24"/>
        </w:rPr>
        <w:t xml:space="preserve"> </w:t>
      </w:r>
      <w:r>
        <w:rPr>
          <w:sz w:val="24"/>
        </w:rPr>
        <w:t>and</w:t>
      </w:r>
      <w:r>
        <w:rPr>
          <w:spacing w:val="-3"/>
          <w:sz w:val="24"/>
        </w:rPr>
        <w:t xml:space="preserve"> </w:t>
      </w:r>
      <w:r>
        <w:rPr>
          <w:sz w:val="24"/>
        </w:rPr>
        <w:t>projected</w:t>
      </w:r>
      <w:r>
        <w:rPr>
          <w:spacing w:val="-3"/>
          <w:sz w:val="24"/>
        </w:rPr>
        <w:t xml:space="preserve"> </w:t>
      </w:r>
      <w:r>
        <w:rPr>
          <w:sz w:val="24"/>
        </w:rPr>
        <w:t>risk</w:t>
      </w:r>
      <w:r>
        <w:rPr>
          <w:spacing w:val="-3"/>
          <w:sz w:val="24"/>
        </w:rPr>
        <w:t xml:space="preserve"> </w:t>
      </w:r>
      <w:r>
        <w:rPr>
          <w:sz w:val="24"/>
        </w:rPr>
        <w:t>scores</w:t>
      </w:r>
      <w:r>
        <w:rPr>
          <w:spacing w:val="-4"/>
          <w:sz w:val="24"/>
        </w:rPr>
        <w:t xml:space="preserve"> </w:t>
      </w:r>
      <w:r>
        <w:rPr>
          <w:sz w:val="24"/>
        </w:rPr>
        <w:t>is</w:t>
      </w:r>
      <w:r>
        <w:rPr>
          <w:spacing w:val="-3"/>
          <w:sz w:val="24"/>
        </w:rPr>
        <w:t xml:space="preserve"> </w:t>
      </w:r>
      <w:r>
        <w:rPr>
          <w:sz w:val="24"/>
        </w:rPr>
        <w:t>FFS</w:t>
      </w:r>
      <w:r>
        <w:rPr>
          <w:spacing w:val="-3"/>
          <w:sz w:val="24"/>
        </w:rPr>
        <w:t xml:space="preserve"> </w:t>
      </w:r>
      <w:r>
        <w:rPr>
          <w:sz w:val="24"/>
        </w:rPr>
        <w:t>data that are reduced for MSP.</w:t>
      </w:r>
    </w:p>
    <w:p>
      <w:pPr>
        <w:pStyle w:val="ListParagraph"/>
        <w:numPr>
          <w:ilvl w:val="0"/>
          <w:numId w:val="46"/>
        </w:numPr>
        <w:tabs>
          <w:tab w:val="left" w:pos="1944"/>
        </w:tabs>
        <w:spacing w:before="0" w:after="0" w:line="240" w:lineRule="auto"/>
        <w:ind w:left="1944" w:right="1462" w:hanging="360"/>
        <w:jc w:val="left"/>
        <w:rPr>
          <w:sz w:val="24"/>
        </w:rPr>
      </w:pPr>
      <w:r>
        <w:rPr>
          <w:sz w:val="24"/>
        </w:rPr>
        <w:t>The</w:t>
      </w:r>
      <w:r>
        <w:rPr>
          <w:spacing w:val="-5"/>
          <w:sz w:val="24"/>
        </w:rPr>
        <w:t xml:space="preserve"> </w:t>
      </w:r>
      <w:r>
        <w:rPr>
          <w:sz w:val="24"/>
        </w:rPr>
        <w:t>projected</w:t>
      </w:r>
      <w:r>
        <w:rPr>
          <w:spacing w:val="-3"/>
          <w:sz w:val="24"/>
        </w:rPr>
        <w:t xml:space="preserve"> </w:t>
      </w:r>
      <w:r>
        <w:rPr>
          <w:sz w:val="24"/>
        </w:rPr>
        <w:t>proportion</w:t>
      </w:r>
      <w:r>
        <w:rPr>
          <w:spacing w:val="-1"/>
          <w:sz w:val="24"/>
        </w:rPr>
        <w:t xml:space="preserve"> </w:t>
      </w:r>
      <w:r>
        <w:rPr>
          <w:sz w:val="24"/>
        </w:rPr>
        <w:t>of</w:t>
      </w:r>
      <w:r>
        <w:rPr>
          <w:spacing w:val="-3"/>
          <w:sz w:val="24"/>
        </w:rPr>
        <w:t xml:space="preserve"> </w:t>
      </w:r>
      <w:r>
        <w:rPr>
          <w:sz w:val="24"/>
        </w:rPr>
        <w:t>MSP</w:t>
      </w:r>
      <w:r>
        <w:rPr>
          <w:spacing w:val="-2"/>
          <w:sz w:val="24"/>
        </w:rPr>
        <w:t xml:space="preserve"> </w:t>
      </w:r>
      <w:r>
        <w:rPr>
          <w:sz w:val="24"/>
        </w:rPr>
        <w:t>members</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same</w:t>
      </w:r>
      <w:r>
        <w:rPr>
          <w:spacing w:val="-3"/>
          <w:sz w:val="24"/>
        </w:rPr>
        <w:t xml:space="preserve"> </w:t>
      </w:r>
      <w:r>
        <w:rPr>
          <w:sz w:val="24"/>
        </w:rPr>
        <w:t>as</w:t>
      </w:r>
      <w:r>
        <w:rPr>
          <w:spacing w:val="-4"/>
          <w:sz w:val="24"/>
        </w:rPr>
        <w:t xml:space="preserve"> </w:t>
      </w:r>
      <w:r>
        <w:rPr>
          <w:sz w:val="24"/>
        </w:rPr>
        <w:t>the</w:t>
      </w:r>
      <w:r>
        <w:rPr>
          <w:spacing w:val="-3"/>
          <w:sz w:val="24"/>
        </w:rPr>
        <w:t xml:space="preserve"> </w:t>
      </w:r>
      <w:r>
        <w:rPr>
          <w:sz w:val="24"/>
        </w:rPr>
        <w:t>proportion</w:t>
      </w:r>
      <w:r>
        <w:rPr>
          <w:spacing w:val="-3"/>
          <w:sz w:val="24"/>
        </w:rPr>
        <w:t xml:space="preserve"> </w:t>
      </w:r>
      <w:r>
        <w:rPr>
          <w:sz w:val="24"/>
        </w:rPr>
        <w:t>of</w:t>
      </w:r>
      <w:r>
        <w:rPr>
          <w:spacing w:val="-3"/>
          <w:sz w:val="24"/>
        </w:rPr>
        <w:t xml:space="preserve"> </w:t>
      </w:r>
      <w:r>
        <w:rPr>
          <w:sz w:val="24"/>
        </w:rPr>
        <w:t>MSP enrollees in the FFS data.</w:t>
      </w:r>
    </w:p>
    <w:p>
      <w:pPr>
        <w:pStyle w:val="BodyText"/>
        <w:spacing w:before="121"/>
        <w:ind w:left="1224"/>
      </w:pPr>
      <w:r>
        <w:t>Examples</w:t>
      </w:r>
      <w:r>
        <w:rPr>
          <w:spacing w:val="-2"/>
        </w:rPr>
        <w:t xml:space="preserve"> </w:t>
      </w:r>
      <w:r>
        <w:t>of</w:t>
      </w:r>
      <w:r>
        <w:rPr>
          <w:spacing w:val="-1"/>
        </w:rPr>
        <w:t xml:space="preserve"> </w:t>
      </w:r>
      <w:r>
        <w:t>FFS</w:t>
      </w:r>
      <w:r>
        <w:rPr>
          <w:spacing w:val="-1"/>
        </w:rPr>
        <w:t xml:space="preserve"> </w:t>
      </w:r>
      <w:r>
        <w:t>data</w:t>
      </w:r>
      <w:r>
        <w:rPr>
          <w:spacing w:val="-1"/>
        </w:rPr>
        <w:t xml:space="preserve"> </w:t>
      </w:r>
      <w:r>
        <w:t>located</w:t>
      </w:r>
      <w:r>
        <w:rPr>
          <w:spacing w:val="-1"/>
        </w:rPr>
        <w:t xml:space="preserve"> </w:t>
      </w:r>
      <w:r>
        <w:t>on</w:t>
      </w:r>
      <w:r>
        <w:rPr>
          <w:spacing w:val="-1"/>
        </w:rPr>
        <w:t xml:space="preserve"> </w:t>
      </w:r>
      <w:r>
        <w:t>the</w:t>
      </w:r>
      <w:r>
        <w:rPr>
          <w:spacing w:val="-1"/>
        </w:rPr>
        <w:t xml:space="preserve"> </w:t>
      </w:r>
      <w:r>
        <w:t>CMS</w:t>
      </w:r>
      <w:r>
        <w:rPr>
          <w:spacing w:val="-1"/>
        </w:rPr>
        <w:t xml:space="preserve"> </w:t>
      </w:r>
      <w:r>
        <w:t>website</w:t>
      </w:r>
      <w:r>
        <w:rPr>
          <w:spacing w:val="-2"/>
        </w:rPr>
        <w:t xml:space="preserve"> </w:t>
      </w:r>
      <w:r>
        <w:t>that</w:t>
      </w:r>
      <w:r>
        <w:rPr>
          <w:spacing w:val="1"/>
        </w:rPr>
        <w:t xml:space="preserve"> </w:t>
      </w:r>
      <w:r>
        <w:t>are</w:t>
      </w:r>
      <w:r>
        <w:rPr>
          <w:spacing w:val="-1"/>
        </w:rPr>
        <w:t xml:space="preserve"> </w:t>
      </w:r>
      <w:r>
        <w:t>reduced</w:t>
      </w:r>
      <w:r>
        <w:rPr>
          <w:spacing w:val="-1"/>
        </w:rPr>
        <w:t xml:space="preserve"> </w:t>
      </w:r>
      <w:r>
        <w:t>for</w:t>
      </w:r>
      <w:r>
        <w:rPr>
          <w:spacing w:val="-1"/>
        </w:rPr>
        <w:t xml:space="preserve"> </w:t>
      </w:r>
      <w:r>
        <w:t>MSP</w:t>
      </w:r>
      <w:r>
        <w:rPr>
          <w:spacing w:val="2"/>
        </w:rPr>
        <w:t xml:space="preserve"> </w:t>
      </w:r>
      <w:r>
        <w:rPr>
          <w:spacing w:val="-2"/>
        </w:rPr>
        <w:t>include—</w:t>
      </w:r>
    </w:p>
    <w:p>
      <w:pPr>
        <w:pStyle w:val="ListParagraph"/>
        <w:numPr>
          <w:ilvl w:val="0"/>
          <w:numId w:val="46"/>
        </w:numPr>
        <w:tabs>
          <w:tab w:val="left" w:pos="1944"/>
        </w:tabs>
        <w:spacing w:before="120" w:after="0" w:line="240" w:lineRule="auto"/>
        <w:ind w:left="1944" w:right="2234" w:hanging="360"/>
        <w:jc w:val="left"/>
        <w:rPr>
          <w:sz w:val="24"/>
        </w:rPr>
      </w:pPr>
      <w:r>
        <w:rPr>
          <w:sz w:val="24"/>
        </w:rPr>
        <w:t>Rate</w:t>
      </w:r>
      <w:r>
        <w:rPr>
          <w:spacing w:val="-6"/>
          <w:sz w:val="24"/>
        </w:rPr>
        <w:t xml:space="preserve"> </w:t>
      </w:r>
      <w:r>
        <w:rPr>
          <w:sz w:val="24"/>
        </w:rPr>
        <w:t>Calculation</w:t>
      </w:r>
      <w:r>
        <w:rPr>
          <w:spacing w:val="-5"/>
          <w:sz w:val="24"/>
        </w:rPr>
        <w:t xml:space="preserve"> </w:t>
      </w:r>
      <w:r>
        <w:rPr>
          <w:sz w:val="24"/>
        </w:rPr>
        <w:t>Data</w:t>
      </w:r>
      <w:r>
        <w:rPr>
          <w:spacing w:val="-5"/>
          <w:sz w:val="24"/>
        </w:rPr>
        <w:t xml:space="preserve"> </w:t>
      </w:r>
      <w:r>
        <w:rPr>
          <w:sz w:val="24"/>
        </w:rPr>
        <w:t>zip</w:t>
      </w:r>
      <w:r>
        <w:rPr>
          <w:spacing w:val="-5"/>
          <w:sz w:val="24"/>
        </w:rPr>
        <w:t xml:space="preserve"> </w:t>
      </w:r>
      <w:r>
        <w:rPr>
          <w:sz w:val="24"/>
        </w:rPr>
        <w:t>files</w:t>
      </w:r>
      <w:r>
        <w:rPr>
          <w:spacing w:val="-6"/>
          <w:sz w:val="24"/>
        </w:rPr>
        <w:t xml:space="preserve"> </w:t>
      </w:r>
      <w:r>
        <w:rPr>
          <w:sz w:val="24"/>
        </w:rPr>
        <w:t>(for</w:t>
      </w:r>
      <w:r>
        <w:rPr>
          <w:spacing w:val="-5"/>
          <w:sz w:val="24"/>
        </w:rPr>
        <w:t xml:space="preserve"> </w:t>
      </w:r>
      <w:r>
        <w:rPr>
          <w:sz w:val="24"/>
        </w:rPr>
        <w:t>example,</w:t>
      </w:r>
      <w:r>
        <w:rPr>
          <w:spacing w:val="-5"/>
          <w:sz w:val="24"/>
        </w:rPr>
        <w:t xml:space="preserve"> </w:t>
      </w:r>
      <w:r>
        <w:rPr>
          <w:sz w:val="24"/>
        </w:rPr>
        <w:t>“Risk_Scores</w:t>
      </w:r>
      <w:r>
        <w:rPr>
          <w:spacing w:val="-5"/>
          <w:sz w:val="24"/>
        </w:rPr>
        <w:t xml:space="preserve"> </w:t>
      </w:r>
      <w:r>
        <w:rPr>
          <w:sz w:val="24"/>
        </w:rPr>
        <w:t xml:space="preserve">20XX-20YY </w:t>
      </w:r>
      <w:r>
        <w:rPr>
          <w:spacing w:val="-2"/>
          <w:sz w:val="24"/>
        </w:rPr>
        <w:t>Non-PACE.csv”).</w:t>
      </w:r>
    </w:p>
    <w:p>
      <w:pPr>
        <w:pStyle w:val="ListParagraph"/>
        <w:numPr>
          <w:ilvl w:val="0"/>
          <w:numId w:val="46"/>
        </w:numPr>
        <w:tabs>
          <w:tab w:val="left" w:pos="1944"/>
        </w:tabs>
        <w:spacing w:before="0" w:after="0" w:line="240" w:lineRule="auto"/>
        <w:ind w:left="1944" w:right="0" w:hanging="360"/>
        <w:jc w:val="left"/>
        <w:rPr>
          <w:sz w:val="24"/>
        </w:rPr>
      </w:pPr>
      <w:r>
        <w:rPr>
          <w:sz w:val="24"/>
        </w:rPr>
        <w:t>Limited</w:t>
      </w:r>
      <w:r>
        <w:rPr>
          <w:spacing w:val="-1"/>
          <w:sz w:val="24"/>
        </w:rPr>
        <w:t xml:space="preserve"> </w:t>
      </w:r>
      <w:r>
        <w:rPr>
          <w:sz w:val="24"/>
        </w:rPr>
        <w:t>Data</w:t>
      </w:r>
      <w:r>
        <w:rPr>
          <w:spacing w:val="-1"/>
          <w:sz w:val="24"/>
        </w:rPr>
        <w:t xml:space="preserve"> </w:t>
      </w:r>
      <w:r>
        <w:rPr>
          <w:sz w:val="24"/>
        </w:rPr>
        <w:t>Sets</w:t>
      </w:r>
      <w:r>
        <w:rPr>
          <w:spacing w:val="-2"/>
          <w:sz w:val="24"/>
        </w:rPr>
        <w:t xml:space="preserve"> </w:t>
      </w:r>
      <w:r>
        <w:rPr>
          <w:sz w:val="24"/>
        </w:rPr>
        <w:t>(or</w:t>
      </w:r>
      <w:r>
        <w:rPr>
          <w:spacing w:val="-2"/>
          <w:sz w:val="24"/>
        </w:rPr>
        <w:t xml:space="preserve"> </w:t>
      </w:r>
      <w:r>
        <w:rPr>
          <w:sz w:val="24"/>
        </w:rPr>
        <w:t>“CMS</w:t>
      </w:r>
      <w:r>
        <w:rPr>
          <w:spacing w:val="-1"/>
          <w:sz w:val="24"/>
        </w:rPr>
        <w:t xml:space="preserve"> </w:t>
      </w:r>
      <w:r>
        <w:rPr>
          <w:sz w:val="24"/>
        </w:rPr>
        <w:t>5%</w:t>
      </w:r>
      <w:r>
        <w:rPr>
          <w:spacing w:val="-1"/>
          <w:sz w:val="24"/>
        </w:rPr>
        <w:t xml:space="preserve"> </w:t>
      </w:r>
      <w:r>
        <w:rPr>
          <w:spacing w:val="-2"/>
          <w:sz w:val="24"/>
        </w:rPr>
        <w:t>sample”).</w:t>
      </w:r>
    </w:p>
    <w:p>
      <w:pPr>
        <w:pStyle w:val="ListParagraph"/>
        <w:numPr>
          <w:ilvl w:val="0"/>
          <w:numId w:val="46"/>
        </w:numPr>
        <w:tabs>
          <w:tab w:val="left" w:pos="1944"/>
        </w:tabs>
        <w:spacing w:before="0" w:after="0" w:line="240" w:lineRule="auto"/>
        <w:ind w:left="1944" w:right="0" w:hanging="360"/>
        <w:jc w:val="left"/>
        <w:rPr>
          <w:sz w:val="24"/>
        </w:rPr>
      </w:pPr>
      <w:r>
        <w:rPr>
          <w:sz w:val="24"/>
        </w:rPr>
        <w:t>FFS</w:t>
      </w:r>
      <w:r>
        <w:rPr>
          <w:spacing w:val="-2"/>
          <w:sz w:val="24"/>
        </w:rPr>
        <w:t xml:space="preserve"> </w:t>
      </w:r>
      <w:r>
        <w:rPr>
          <w:sz w:val="24"/>
        </w:rPr>
        <w:t>Data</w:t>
      </w:r>
      <w:r>
        <w:rPr>
          <w:spacing w:val="-2"/>
          <w:sz w:val="24"/>
        </w:rPr>
        <w:t xml:space="preserve"> </w:t>
      </w:r>
      <w:r>
        <w:rPr>
          <w:sz w:val="24"/>
        </w:rPr>
        <w:t>zip</w:t>
      </w:r>
      <w:r>
        <w:rPr>
          <w:spacing w:val="-2"/>
          <w:sz w:val="24"/>
        </w:rPr>
        <w:t xml:space="preserve"> </w:t>
      </w:r>
      <w:r>
        <w:rPr>
          <w:sz w:val="24"/>
        </w:rPr>
        <w:t>files</w:t>
      </w:r>
      <w:r>
        <w:rPr>
          <w:spacing w:val="-2"/>
          <w:sz w:val="24"/>
        </w:rPr>
        <w:t xml:space="preserve"> </w:t>
      </w:r>
      <w:r>
        <w:rPr>
          <w:sz w:val="24"/>
        </w:rPr>
        <w:t>(for</w:t>
      </w:r>
      <w:r>
        <w:rPr>
          <w:spacing w:val="-3"/>
          <w:sz w:val="24"/>
        </w:rPr>
        <w:t xml:space="preserve"> </w:t>
      </w:r>
      <w:r>
        <w:rPr>
          <w:sz w:val="24"/>
        </w:rPr>
        <w:t>example,</w:t>
      </w:r>
      <w:r>
        <w:rPr>
          <w:spacing w:val="-2"/>
          <w:sz w:val="24"/>
        </w:rPr>
        <w:t xml:space="preserve"> </w:t>
      </w:r>
      <w:r>
        <w:rPr>
          <w:sz w:val="24"/>
        </w:rPr>
        <w:t>“FFS</w:t>
      </w:r>
      <w:r>
        <w:rPr>
          <w:spacing w:val="-1"/>
          <w:sz w:val="24"/>
        </w:rPr>
        <w:t xml:space="preserve"> </w:t>
      </w:r>
      <w:r>
        <w:rPr>
          <w:sz w:val="24"/>
        </w:rPr>
        <w:t>data</w:t>
      </w:r>
      <w:r>
        <w:rPr>
          <w:spacing w:val="-1"/>
          <w:sz w:val="24"/>
        </w:rPr>
        <w:t xml:space="preserve"> </w:t>
      </w:r>
      <w:r>
        <w:rPr>
          <w:spacing w:val="-2"/>
          <w:sz w:val="24"/>
        </w:rPr>
        <w:t>20XX”).</w:t>
      </w:r>
    </w:p>
    <w:p>
      <w:pPr>
        <w:spacing w:before="241"/>
        <w:ind w:left="504" w:right="0" w:firstLine="0"/>
        <w:jc w:val="left"/>
        <w:rPr>
          <w:rFonts w:ascii="Arial"/>
          <w:b/>
          <w:sz w:val="21"/>
        </w:rPr>
      </w:pPr>
      <w:bookmarkStart w:id="78" w:name="Non-Benefit Expenses"/>
      <w:bookmarkEnd w:id="78"/>
      <w:bookmarkStart w:id="79" w:name="_bookmark25"/>
      <w:bookmarkEnd w:id="79"/>
      <w:r>
        <w:rPr>
          <w:rFonts w:ascii="Arial"/>
          <w:b/>
          <w:sz w:val="21"/>
        </w:rPr>
        <w:t>Non-Benefit</w:t>
      </w:r>
      <w:r>
        <w:rPr>
          <w:rFonts w:ascii="Arial"/>
          <w:b/>
          <w:spacing w:val="-11"/>
          <w:sz w:val="21"/>
        </w:rPr>
        <w:t xml:space="preserve"> </w:t>
      </w:r>
      <w:r>
        <w:rPr>
          <w:rFonts w:ascii="Arial"/>
          <w:b/>
          <w:spacing w:val="-2"/>
          <w:sz w:val="21"/>
        </w:rPr>
        <w:t>Expenses</w:t>
      </w:r>
    </w:p>
    <w:p>
      <w:pPr>
        <w:pStyle w:val="BodyText"/>
        <w:spacing w:before="120"/>
        <w:ind w:right="1481"/>
      </w:pPr>
      <w:r>
        <w:t>Non-benefit</w:t>
      </w:r>
      <w:r>
        <w:rPr>
          <w:spacing w:val="-4"/>
        </w:rPr>
        <w:t xml:space="preserve"> </w:t>
      </w:r>
      <w:r>
        <w:t>expenses</w:t>
      </w:r>
      <w:r>
        <w:rPr>
          <w:spacing w:val="-2"/>
        </w:rPr>
        <w:t xml:space="preserve"> </w:t>
      </w:r>
      <w:r>
        <w:t>consist</w:t>
      </w:r>
      <w:r>
        <w:rPr>
          <w:spacing w:val="-4"/>
        </w:rPr>
        <w:t xml:space="preserve"> </w:t>
      </w:r>
      <w:r>
        <w:t>of</w:t>
      </w:r>
      <w:r>
        <w:rPr>
          <w:spacing w:val="-4"/>
        </w:rPr>
        <w:t xml:space="preserve"> </w:t>
      </w:r>
      <w:r>
        <w:t>all</w:t>
      </w:r>
      <w:r>
        <w:rPr>
          <w:spacing w:val="-3"/>
        </w:rPr>
        <w:t xml:space="preserve"> </w:t>
      </w:r>
      <w:r>
        <w:t>the</w:t>
      </w:r>
      <w:r>
        <w:rPr>
          <w:spacing w:val="-5"/>
        </w:rPr>
        <w:t xml:space="preserve"> </w:t>
      </w:r>
      <w:r>
        <w:t>bid-specific</w:t>
      </w:r>
      <w:r>
        <w:rPr>
          <w:spacing w:val="-5"/>
        </w:rPr>
        <w:t xml:space="preserve"> </w:t>
      </w:r>
      <w:r>
        <w:t>administrative</w:t>
      </w:r>
      <w:r>
        <w:rPr>
          <w:spacing w:val="-5"/>
        </w:rPr>
        <w:t xml:space="preserve"> </w:t>
      </w:r>
      <w:r>
        <w:t>and</w:t>
      </w:r>
      <w:r>
        <w:rPr>
          <w:spacing w:val="-4"/>
        </w:rPr>
        <w:t xml:space="preserve"> </w:t>
      </w:r>
      <w:r>
        <w:t>other</w:t>
      </w:r>
      <w:r>
        <w:rPr>
          <w:spacing w:val="-4"/>
        </w:rPr>
        <w:t xml:space="preserve"> </w:t>
      </w:r>
      <w:r>
        <w:t>non-benefit</w:t>
      </w:r>
      <w:r>
        <w:rPr>
          <w:spacing w:val="-4"/>
        </w:rPr>
        <w:t xml:space="preserve"> </w:t>
      </w:r>
      <w:r>
        <w:t>costs incurred in the operation of the MA bid. Therefore, any allocation of non-benefit expenses to</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right="2017"/>
      </w:pPr>
      <w:r>
        <w:t>the MA bid (whether performed at the bid level or at a broader level) must take into consideration</w:t>
      </w:r>
      <w:r>
        <w:rPr>
          <w:spacing w:val="-3"/>
        </w:rPr>
        <w:t xml:space="preserve"> </w:t>
      </w:r>
      <w:r>
        <w:t>the</w:t>
      </w:r>
      <w:r>
        <w:rPr>
          <w:spacing w:val="-4"/>
        </w:rPr>
        <w:t xml:space="preserve"> </w:t>
      </w:r>
      <w:r>
        <w:t>differences</w:t>
      </w:r>
      <w:r>
        <w:rPr>
          <w:spacing w:val="-2"/>
        </w:rPr>
        <w:t xml:space="preserve"> </w:t>
      </w:r>
      <w:r>
        <w:t>between</w:t>
      </w:r>
      <w:r>
        <w:rPr>
          <w:spacing w:val="-3"/>
        </w:rPr>
        <w:t xml:space="preserve"> </w:t>
      </w:r>
      <w:r>
        <w:t>the</w:t>
      </w:r>
      <w:r>
        <w:rPr>
          <w:spacing w:val="-3"/>
        </w:rPr>
        <w:t xml:space="preserve"> </w:t>
      </w:r>
      <w:r>
        <w:t>MA</w:t>
      </w:r>
      <w:r>
        <w:rPr>
          <w:spacing w:val="-4"/>
        </w:rPr>
        <w:t xml:space="preserve"> </w:t>
      </w:r>
      <w:r>
        <w:t>bid</w:t>
      </w:r>
      <w:r>
        <w:rPr>
          <w:spacing w:val="-1"/>
        </w:rPr>
        <w:t xml:space="preserve"> </w:t>
      </w:r>
      <w:r>
        <w:t>and</w:t>
      </w:r>
      <w:r>
        <w:rPr>
          <w:spacing w:val="-3"/>
        </w:rPr>
        <w:t xml:space="preserve"> </w:t>
      </w:r>
      <w:r>
        <w:t>other</w:t>
      </w:r>
      <w:r>
        <w:rPr>
          <w:spacing w:val="-5"/>
        </w:rPr>
        <w:t xml:space="preserve"> </w:t>
      </w:r>
      <w:r>
        <w:t>bids,</w:t>
      </w:r>
      <w:r>
        <w:rPr>
          <w:spacing w:val="-3"/>
        </w:rPr>
        <w:t xml:space="preserve"> </w:t>
      </w:r>
      <w:r>
        <w:t>as</w:t>
      </w:r>
      <w:r>
        <w:rPr>
          <w:spacing w:val="-4"/>
        </w:rPr>
        <w:t xml:space="preserve"> </w:t>
      </w:r>
      <w:r>
        <w:t>well</w:t>
      </w:r>
      <w:r>
        <w:rPr>
          <w:spacing w:val="-3"/>
        </w:rPr>
        <w:t xml:space="preserve"> </w:t>
      </w:r>
      <w:r>
        <w:t>as</w:t>
      </w:r>
      <w:r>
        <w:rPr>
          <w:spacing w:val="-3"/>
        </w:rPr>
        <w:t xml:space="preserve"> </w:t>
      </w:r>
      <w:r>
        <w:t>the</w:t>
      </w:r>
      <w:r>
        <w:rPr>
          <w:spacing w:val="-3"/>
        </w:rPr>
        <w:t xml:space="preserve"> </w:t>
      </w:r>
      <w:r>
        <w:t>impact</w:t>
      </w:r>
      <w:r>
        <w:rPr>
          <w:spacing w:val="-3"/>
        </w:rPr>
        <w:t xml:space="preserve"> </w:t>
      </w:r>
      <w:r>
        <w:t>on non-benefit costs of the MA bid.</w:t>
      </w:r>
    </w:p>
    <w:p>
      <w:pPr>
        <w:pStyle w:val="BodyText"/>
        <w:spacing w:before="120"/>
        <w:ind w:right="1524"/>
      </w:pPr>
      <w:r>
        <w:t>Non-benefit expenses also include the costs of programs that CMS requires to be included in the</w:t>
      </w:r>
      <w:r>
        <w:rPr>
          <w:spacing w:val="-3"/>
        </w:rPr>
        <w:t xml:space="preserve"> </w:t>
      </w:r>
      <w:r>
        <w:t>bid</w:t>
      </w:r>
      <w:r>
        <w:rPr>
          <w:spacing w:val="-3"/>
        </w:rPr>
        <w:t xml:space="preserve"> </w:t>
      </w:r>
      <w:r>
        <w:t>as</w:t>
      </w:r>
      <w:r>
        <w:rPr>
          <w:spacing w:val="-4"/>
        </w:rPr>
        <w:t xml:space="preserve"> </w:t>
      </w:r>
      <w:r>
        <w:t>non-benefit</w:t>
      </w:r>
      <w:r>
        <w:rPr>
          <w:spacing w:val="-3"/>
        </w:rPr>
        <w:t xml:space="preserve"> </w:t>
      </w:r>
      <w:r>
        <w:t>expenses</w:t>
      </w:r>
      <w:r>
        <w:rPr>
          <w:spacing w:val="-4"/>
        </w:rPr>
        <w:t xml:space="preserve"> </w:t>
      </w:r>
      <w:r>
        <w:t>such</w:t>
      </w:r>
      <w:r>
        <w:rPr>
          <w:spacing w:val="-3"/>
        </w:rPr>
        <w:t xml:space="preserve"> </w:t>
      </w:r>
      <w:r>
        <w:t>as</w:t>
      </w:r>
      <w:r>
        <w:rPr>
          <w:spacing w:val="-2"/>
        </w:rPr>
        <w:t xml:space="preserve"> </w:t>
      </w:r>
      <w:r>
        <w:t>Rewards</w:t>
      </w:r>
      <w:r>
        <w:rPr>
          <w:spacing w:val="-2"/>
        </w:rPr>
        <w:t xml:space="preserve"> </w:t>
      </w:r>
      <w:r>
        <w:t>and</w:t>
      </w:r>
      <w:r>
        <w:rPr>
          <w:spacing w:val="-1"/>
        </w:rPr>
        <w:t xml:space="preserve"> </w:t>
      </w:r>
      <w:r>
        <w:t>Incentives</w:t>
      </w:r>
      <w:r>
        <w:rPr>
          <w:spacing w:val="-1"/>
        </w:rPr>
        <w:t xml:space="preserve"> </w:t>
      </w:r>
      <w:r>
        <w:t>(RI)</w:t>
      </w:r>
      <w:r>
        <w:rPr>
          <w:spacing w:val="-2"/>
        </w:rPr>
        <w:t xml:space="preserve"> </w:t>
      </w:r>
      <w:r>
        <w:t>programs.</w:t>
      </w:r>
      <w:r>
        <w:rPr>
          <w:spacing w:val="-3"/>
        </w:rPr>
        <w:t xml:space="preserve"> </w:t>
      </w:r>
      <w:r>
        <w:t>See</w:t>
      </w:r>
      <w:r>
        <w:rPr>
          <w:spacing w:val="-4"/>
        </w:rPr>
        <w:t xml:space="preserve"> </w:t>
      </w:r>
      <w:r>
        <w:t>Chapter</w:t>
      </w:r>
      <w:r>
        <w:rPr>
          <w:spacing w:val="-4"/>
        </w:rPr>
        <w:t xml:space="preserve"> </w:t>
      </w:r>
      <w:r>
        <w:t xml:space="preserve">4 of the </w:t>
      </w:r>
      <w:r>
        <w:rPr>
          <w:i/>
        </w:rPr>
        <w:t xml:space="preserve">Medicare Managed Care Manual </w:t>
      </w:r>
      <w:r>
        <w:t>for more information about non-benefits expenses.</w:t>
      </w:r>
    </w:p>
    <w:p>
      <w:pPr>
        <w:pStyle w:val="BodyText"/>
        <w:spacing w:before="120"/>
        <w:ind w:right="1481"/>
      </w:pPr>
      <w:r>
        <w:t>Worksheet 4 distributes the non-benefit expenses proportionately between Medicare-covered services</w:t>
      </w:r>
      <w:r>
        <w:rPr>
          <w:spacing w:val="-5"/>
        </w:rPr>
        <w:t xml:space="preserve"> </w:t>
      </w:r>
      <w:r>
        <w:t>and</w:t>
      </w:r>
      <w:r>
        <w:rPr>
          <w:spacing w:val="-2"/>
        </w:rPr>
        <w:t xml:space="preserve"> </w:t>
      </w:r>
      <w:r>
        <w:t>A/B</w:t>
      </w:r>
      <w:r>
        <w:rPr>
          <w:spacing w:val="-4"/>
        </w:rPr>
        <w:t xml:space="preserve"> </w:t>
      </w:r>
      <w:r>
        <w:t>mandatory</w:t>
      </w:r>
      <w:r>
        <w:rPr>
          <w:spacing w:val="-4"/>
        </w:rPr>
        <w:t xml:space="preserve"> </w:t>
      </w:r>
      <w:r>
        <w:t>supplemental</w:t>
      </w:r>
      <w:r>
        <w:rPr>
          <w:spacing w:val="-3"/>
        </w:rPr>
        <w:t xml:space="preserve"> </w:t>
      </w:r>
      <w:r>
        <w:t>benefits</w:t>
      </w:r>
      <w:r>
        <w:rPr>
          <w:spacing w:val="-3"/>
        </w:rPr>
        <w:t xml:space="preserve"> </w:t>
      </w:r>
      <w:r>
        <w:t>(excluding</w:t>
      </w:r>
      <w:r>
        <w:rPr>
          <w:spacing w:val="-4"/>
        </w:rPr>
        <w:t xml:space="preserve"> </w:t>
      </w:r>
      <w:r>
        <w:t>the</w:t>
      </w:r>
      <w:r>
        <w:rPr>
          <w:spacing w:val="-4"/>
        </w:rPr>
        <w:t xml:space="preserve"> </w:t>
      </w:r>
      <w:r>
        <w:t>PMPM</w:t>
      </w:r>
      <w:r>
        <w:rPr>
          <w:spacing w:val="-5"/>
        </w:rPr>
        <w:t xml:space="preserve"> </w:t>
      </w:r>
      <w:r>
        <w:t>impact</w:t>
      </w:r>
      <w:r>
        <w:rPr>
          <w:spacing w:val="-4"/>
        </w:rPr>
        <w:t xml:space="preserve"> </w:t>
      </w:r>
      <w:r>
        <w:t>of</w:t>
      </w:r>
      <w:r>
        <w:rPr>
          <w:spacing w:val="-4"/>
        </w:rPr>
        <w:t xml:space="preserve"> </w:t>
      </w:r>
      <w:r>
        <w:t>the</w:t>
      </w:r>
      <w:r>
        <w:rPr>
          <w:spacing w:val="-5"/>
        </w:rPr>
        <w:t xml:space="preserve"> </w:t>
      </w:r>
      <w:r>
        <w:t>ESRD subsidy). Within A/B mandatory supplemental benefits, non-benefit expenses are further distributed between “Additional Services” and “Reduction of A/B Cost Sharing.”</w:t>
      </w:r>
    </w:p>
    <w:p>
      <w:pPr>
        <w:pStyle w:val="BodyText"/>
        <w:spacing w:before="120"/>
      </w:pPr>
      <w:r>
        <w:t>The</w:t>
      </w:r>
      <w:r>
        <w:rPr>
          <w:spacing w:val="-3"/>
        </w:rPr>
        <w:t xml:space="preserve"> </w:t>
      </w:r>
      <w:r>
        <w:t>non-benefit</w:t>
      </w:r>
      <w:r>
        <w:rPr>
          <w:spacing w:val="-1"/>
        </w:rPr>
        <w:t xml:space="preserve"> </w:t>
      </w:r>
      <w:r>
        <w:t>expenses</w:t>
      </w:r>
      <w:r>
        <w:rPr>
          <w:spacing w:val="-2"/>
        </w:rPr>
        <w:t xml:space="preserve"> </w:t>
      </w:r>
      <w:r>
        <w:t>must</w:t>
      </w:r>
      <w:r>
        <w:rPr>
          <w:spacing w:val="-1"/>
        </w:rPr>
        <w:t xml:space="preserve"> </w:t>
      </w:r>
      <w:r>
        <w:t>be entered</w:t>
      </w:r>
      <w:r>
        <w:rPr>
          <w:spacing w:val="-1"/>
        </w:rPr>
        <w:t xml:space="preserve"> </w:t>
      </w:r>
      <w:r>
        <w:t>separately</w:t>
      </w:r>
      <w:r>
        <w:rPr>
          <w:spacing w:val="-1"/>
        </w:rPr>
        <w:t xml:space="preserve"> </w:t>
      </w:r>
      <w:r>
        <w:t>on</w:t>
      </w:r>
      <w:r>
        <w:rPr>
          <w:spacing w:val="-1"/>
        </w:rPr>
        <w:t xml:space="preserve"> </w:t>
      </w:r>
      <w:r>
        <w:t>the</w:t>
      </w:r>
      <w:r>
        <w:rPr>
          <w:spacing w:val="1"/>
        </w:rPr>
        <w:t xml:space="preserve"> </w:t>
      </w:r>
      <w:r>
        <w:t>BPT</w:t>
      </w:r>
      <w:r>
        <w:rPr>
          <w:spacing w:val="-1"/>
        </w:rPr>
        <w:t xml:space="preserve"> </w:t>
      </w:r>
      <w:r>
        <w:t>for</w:t>
      </w:r>
      <w:r>
        <w:rPr>
          <w:spacing w:val="-3"/>
        </w:rPr>
        <w:t xml:space="preserve"> </w:t>
      </w:r>
      <w:r>
        <w:t>the</w:t>
      </w:r>
      <w:r>
        <w:rPr>
          <w:spacing w:val="-1"/>
        </w:rPr>
        <w:t xml:space="preserve"> </w:t>
      </w:r>
      <w:r>
        <w:t>following</w:t>
      </w:r>
      <w:r>
        <w:rPr>
          <w:spacing w:val="1"/>
        </w:rPr>
        <w:t xml:space="preserve"> </w:t>
      </w:r>
      <w:r>
        <w:rPr>
          <w:spacing w:val="-2"/>
        </w:rPr>
        <w:t>categories:</w:t>
      </w:r>
    </w:p>
    <w:p>
      <w:pPr>
        <w:pStyle w:val="ListParagraph"/>
        <w:numPr>
          <w:ilvl w:val="0"/>
          <w:numId w:val="45"/>
        </w:numPr>
        <w:tabs>
          <w:tab w:val="left" w:pos="1584"/>
        </w:tabs>
        <w:spacing w:before="121" w:after="0" w:line="240" w:lineRule="auto"/>
        <w:ind w:left="1584" w:right="0" w:hanging="360"/>
        <w:jc w:val="left"/>
        <w:rPr>
          <w:sz w:val="24"/>
        </w:rPr>
      </w:pPr>
      <w:r>
        <w:rPr>
          <w:sz w:val="24"/>
        </w:rPr>
        <w:t>Sales</w:t>
      </w:r>
      <w:r>
        <w:rPr>
          <w:spacing w:val="-2"/>
          <w:sz w:val="24"/>
        </w:rPr>
        <w:t xml:space="preserve"> </w:t>
      </w:r>
      <w:r>
        <w:rPr>
          <w:sz w:val="24"/>
        </w:rPr>
        <w:t>&amp;</w:t>
      </w:r>
      <w:r>
        <w:rPr>
          <w:spacing w:val="-1"/>
          <w:sz w:val="24"/>
        </w:rPr>
        <w:t xml:space="preserve"> </w:t>
      </w:r>
      <w:r>
        <w:rPr>
          <w:sz w:val="24"/>
        </w:rPr>
        <w:t>Marketing.</w:t>
      </w:r>
      <w:r>
        <w:rPr>
          <w:spacing w:val="-1"/>
          <w:sz w:val="24"/>
        </w:rPr>
        <w:t xml:space="preserve"> </w:t>
      </w:r>
      <w:r>
        <w:rPr>
          <w:sz w:val="24"/>
        </w:rPr>
        <w:t>Examples</w:t>
      </w:r>
      <w:r>
        <w:rPr>
          <w:spacing w:val="-1"/>
          <w:sz w:val="24"/>
        </w:rPr>
        <w:t xml:space="preserve"> </w:t>
      </w:r>
      <w:r>
        <w:rPr>
          <w:sz w:val="24"/>
        </w:rPr>
        <w:t>include,</w:t>
      </w:r>
      <w:r>
        <w:rPr>
          <w:spacing w:val="-1"/>
          <w:sz w:val="24"/>
        </w:rPr>
        <w:t xml:space="preserve"> </w:t>
      </w:r>
      <w:r>
        <w:rPr>
          <w:sz w:val="24"/>
        </w:rPr>
        <w:t>but</w:t>
      </w:r>
      <w:r>
        <w:rPr>
          <w:spacing w:val="-1"/>
          <w:sz w:val="24"/>
        </w:rPr>
        <w:t xml:space="preserve"> </w:t>
      </w:r>
      <w:r>
        <w:rPr>
          <w:sz w:val="24"/>
        </w:rPr>
        <w:t>are</w:t>
      </w:r>
      <w:r>
        <w:rPr>
          <w:spacing w:val="-2"/>
          <w:sz w:val="24"/>
        </w:rPr>
        <w:t xml:space="preserve"> </w:t>
      </w:r>
      <w:r>
        <w:rPr>
          <w:sz w:val="24"/>
        </w:rPr>
        <w:t>not limited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 xml:space="preserve">cost </w:t>
      </w:r>
      <w:r>
        <w:rPr>
          <w:spacing w:val="-5"/>
          <w:sz w:val="24"/>
        </w:rPr>
        <w:t>of—</w:t>
      </w:r>
    </w:p>
    <w:p>
      <w:pPr>
        <w:pStyle w:val="ListParagraph"/>
        <w:numPr>
          <w:ilvl w:val="0"/>
          <w:numId w:val="44"/>
        </w:numPr>
        <w:tabs>
          <w:tab w:val="left" w:pos="1584"/>
        </w:tabs>
        <w:spacing w:before="0" w:after="0" w:line="240" w:lineRule="auto"/>
        <w:ind w:left="1584" w:right="0" w:hanging="360"/>
        <w:jc w:val="left"/>
        <w:rPr>
          <w:sz w:val="24"/>
        </w:rPr>
      </w:pPr>
      <w:r>
        <w:rPr>
          <w:sz w:val="24"/>
        </w:rPr>
        <w:t>Marketing</w:t>
      </w:r>
      <w:r>
        <w:rPr>
          <w:spacing w:val="-3"/>
          <w:sz w:val="24"/>
        </w:rPr>
        <w:t xml:space="preserve"> </w:t>
      </w:r>
      <w:r>
        <w:rPr>
          <w:spacing w:val="-2"/>
          <w:sz w:val="24"/>
        </w:rPr>
        <w:t>materials.</w:t>
      </w:r>
    </w:p>
    <w:p>
      <w:pPr>
        <w:pStyle w:val="ListParagraph"/>
        <w:numPr>
          <w:ilvl w:val="0"/>
          <w:numId w:val="44"/>
        </w:numPr>
        <w:tabs>
          <w:tab w:val="left" w:pos="1584"/>
        </w:tabs>
        <w:spacing w:before="0" w:after="0" w:line="240" w:lineRule="auto"/>
        <w:ind w:left="1584" w:right="0" w:hanging="360"/>
        <w:jc w:val="left"/>
        <w:rPr>
          <w:sz w:val="24"/>
        </w:rPr>
      </w:pPr>
      <w:r>
        <w:rPr>
          <w:sz w:val="24"/>
        </w:rPr>
        <w:t>Rewards</w:t>
      </w:r>
      <w:r>
        <w:rPr>
          <w:spacing w:val="-5"/>
          <w:sz w:val="24"/>
        </w:rPr>
        <w:t xml:space="preserve"> </w:t>
      </w:r>
      <w:r>
        <w:rPr>
          <w:sz w:val="24"/>
        </w:rPr>
        <w:t>and</w:t>
      </w:r>
      <w:r>
        <w:rPr>
          <w:spacing w:val="-2"/>
          <w:sz w:val="24"/>
        </w:rPr>
        <w:t xml:space="preserve"> </w:t>
      </w:r>
      <w:r>
        <w:rPr>
          <w:sz w:val="24"/>
        </w:rPr>
        <w:t>incentives</w:t>
      </w:r>
      <w:r>
        <w:rPr>
          <w:spacing w:val="-2"/>
          <w:sz w:val="24"/>
        </w:rPr>
        <w:t xml:space="preserve"> </w:t>
      </w:r>
      <w:r>
        <w:rPr>
          <w:sz w:val="24"/>
        </w:rPr>
        <w:t>allowed</w:t>
      </w:r>
      <w:r>
        <w:rPr>
          <w:spacing w:val="-2"/>
          <w:sz w:val="24"/>
        </w:rPr>
        <w:t xml:space="preserve"> </w:t>
      </w:r>
      <w:r>
        <w:rPr>
          <w:sz w:val="24"/>
        </w:rPr>
        <w:t>under</w:t>
      </w:r>
      <w:r>
        <w:rPr>
          <w:spacing w:val="-2"/>
          <w:sz w:val="24"/>
        </w:rPr>
        <w:t xml:space="preserve"> </w:t>
      </w:r>
      <w:r>
        <w:rPr>
          <w:sz w:val="24"/>
        </w:rPr>
        <w:t>42</w:t>
      </w:r>
      <w:r>
        <w:rPr>
          <w:spacing w:val="-1"/>
          <w:sz w:val="24"/>
        </w:rPr>
        <w:t xml:space="preserve"> </w:t>
      </w:r>
      <w:r>
        <w:rPr>
          <w:sz w:val="24"/>
        </w:rPr>
        <w:t>CFR</w:t>
      </w:r>
      <w:r>
        <w:rPr>
          <w:spacing w:val="-2"/>
          <w:sz w:val="24"/>
        </w:rPr>
        <w:t xml:space="preserve"> </w:t>
      </w:r>
      <w:r>
        <w:rPr>
          <w:sz w:val="24"/>
        </w:rPr>
        <w:t>§</w:t>
      </w:r>
      <w:r>
        <w:rPr>
          <w:spacing w:val="-1"/>
          <w:sz w:val="24"/>
        </w:rPr>
        <w:t xml:space="preserve"> </w:t>
      </w:r>
      <w:r>
        <w:rPr>
          <w:spacing w:val="-2"/>
          <w:sz w:val="24"/>
        </w:rPr>
        <w:t>422.134.</w:t>
      </w:r>
    </w:p>
    <w:p>
      <w:pPr>
        <w:pStyle w:val="ListParagraph"/>
        <w:numPr>
          <w:ilvl w:val="0"/>
          <w:numId w:val="44"/>
        </w:numPr>
        <w:tabs>
          <w:tab w:val="left" w:pos="1584"/>
        </w:tabs>
        <w:spacing w:before="0" w:after="0" w:line="240" w:lineRule="auto"/>
        <w:ind w:left="1584" w:right="0" w:hanging="360"/>
        <w:jc w:val="left"/>
        <w:rPr>
          <w:sz w:val="24"/>
        </w:rPr>
      </w:pPr>
      <w:r>
        <w:rPr>
          <w:spacing w:val="-2"/>
          <w:sz w:val="24"/>
        </w:rPr>
        <w:t>Commissions.</w:t>
      </w:r>
    </w:p>
    <w:p>
      <w:pPr>
        <w:pStyle w:val="ListParagraph"/>
        <w:numPr>
          <w:ilvl w:val="0"/>
          <w:numId w:val="44"/>
        </w:numPr>
        <w:tabs>
          <w:tab w:val="left" w:pos="1584"/>
        </w:tabs>
        <w:spacing w:before="0" w:after="0" w:line="240" w:lineRule="auto"/>
        <w:ind w:left="1584" w:right="0" w:hanging="360"/>
        <w:jc w:val="left"/>
        <w:rPr>
          <w:sz w:val="24"/>
        </w:rPr>
      </w:pPr>
      <w:r>
        <w:rPr>
          <w:sz w:val="24"/>
        </w:rPr>
        <w:t>Enrollment</w:t>
      </w:r>
      <w:r>
        <w:rPr>
          <w:spacing w:val="-1"/>
          <w:sz w:val="24"/>
        </w:rPr>
        <w:t xml:space="preserve"> </w:t>
      </w:r>
      <w:r>
        <w:rPr>
          <w:spacing w:val="-2"/>
          <w:sz w:val="24"/>
        </w:rPr>
        <w:t>packages.</w:t>
      </w:r>
    </w:p>
    <w:p>
      <w:pPr>
        <w:pStyle w:val="ListParagraph"/>
        <w:numPr>
          <w:ilvl w:val="0"/>
          <w:numId w:val="44"/>
        </w:numPr>
        <w:tabs>
          <w:tab w:val="left" w:pos="1584"/>
        </w:tabs>
        <w:spacing w:before="0" w:after="0" w:line="240" w:lineRule="auto"/>
        <w:ind w:left="1584" w:right="0" w:hanging="360"/>
        <w:jc w:val="left"/>
        <w:rPr>
          <w:sz w:val="24"/>
        </w:rPr>
      </w:pPr>
      <w:r>
        <w:rPr>
          <w:sz w:val="24"/>
        </w:rPr>
        <w:t>Identification</w:t>
      </w:r>
      <w:r>
        <w:rPr>
          <w:spacing w:val="-6"/>
          <w:sz w:val="24"/>
        </w:rPr>
        <w:t xml:space="preserve"> </w:t>
      </w:r>
      <w:r>
        <w:rPr>
          <w:spacing w:val="-2"/>
          <w:sz w:val="24"/>
        </w:rPr>
        <w:t>cards.</w:t>
      </w:r>
    </w:p>
    <w:p>
      <w:pPr>
        <w:pStyle w:val="ListParagraph"/>
        <w:numPr>
          <w:ilvl w:val="0"/>
          <w:numId w:val="44"/>
        </w:numPr>
        <w:tabs>
          <w:tab w:val="left" w:pos="1584"/>
        </w:tabs>
        <w:spacing w:before="0" w:after="0" w:line="240" w:lineRule="auto"/>
        <w:ind w:left="1584" w:right="0" w:hanging="360"/>
        <w:jc w:val="left"/>
        <w:rPr>
          <w:sz w:val="24"/>
        </w:rPr>
      </w:pPr>
      <w:r>
        <w:rPr>
          <w:sz w:val="24"/>
        </w:rPr>
        <w:t>Salaries</w:t>
      </w:r>
      <w:r>
        <w:rPr>
          <w:spacing w:val="-3"/>
          <w:sz w:val="24"/>
        </w:rPr>
        <w:t xml:space="preserve"> </w:t>
      </w:r>
      <w:r>
        <w:rPr>
          <w:sz w:val="24"/>
        </w:rPr>
        <w:t>of</w:t>
      </w:r>
      <w:r>
        <w:rPr>
          <w:spacing w:val="-3"/>
          <w:sz w:val="24"/>
        </w:rPr>
        <w:t xml:space="preserve"> </w:t>
      </w:r>
      <w:r>
        <w:rPr>
          <w:sz w:val="24"/>
        </w:rPr>
        <w:t>sales</w:t>
      </w:r>
      <w:r>
        <w:rPr>
          <w:spacing w:val="-1"/>
          <w:sz w:val="24"/>
        </w:rPr>
        <w:t xml:space="preserve"> </w:t>
      </w:r>
      <w:r>
        <w:rPr>
          <w:sz w:val="24"/>
        </w:rPr>
        <w:t>and</w:t>
      </w:r>
      <w:r>
        <w:rPr>
          <w:spacing w:val="-2"/>
          <w:sz w:val="24"/>
        </w:rPr>
        <w:t xml:space="preserve"> </w:t>
      </w:r>
      <w:r>
        <w:rPr>
          <w:sz w:val="24"/>
        </w:rPr>
        <w:t>marketing</w:t>
      </w:r>
      <w:r>
        <w:rPr>
          <w:spacing w:val="-2"/>
          <w:sz w:val="24"/>
        </w:rPr>
        <w:t xml:space="preserve"> staff.</w:t>
      </w:r>
    </w:p>
    <w:p>
      <w:pPr>
        <w:pStyle w:val="ListParagraph"/>
        <w:numPr>
          <w:ilvl w:val="0"/>
          <w:numId w:val="45"/>
        </w:numPr>
        <w:tabs>
          <w:tab w:val="left" w:pos="1584"/>
        </w:tabs>
        <w:spacing w:before="0" w:after="0" w:line="240" w:lineRule="auto"/>
        <w:ind w:left="1584" w:right="0" w:hanging="360"/>
        <w:jc w:val="left"/>
        <w:rPr>
          <w:sz w:val="24"/>
        </w:rPr>
      </w:pPr>
      <w:r>
        <w:rPr>
          <w:sz w:val="24"/>
        </w:rPr>
        <w:t>Direct</w:t>
      </w:r>
      <w:r>
        <w:rPr>
          <w:spacing w:val="-1"/>
          <w:sz w:val="24"/>
        </w:rPr>
        <w:t xml:space="preserve"> </w:t>
      </w:r>
      <w:r>
        <w:rPr>
          <w:sz w:val="24"/>
        </w:rPr>
        <w:t>Administration.</w:t>
      </w:r>
      <w:r>
        <w:rPr>
          <w:spacing w:val="-1"/>
          <w:sz w:val="24"/>
        </w:rPr>
        <w:t xml:space="preserve"> </w:t>
      </w:r>
      <w:r>
        <w:rPr>
          <w:sz w:val="24"/>
        </w:rPr>
        <w:t>Examples</w:t>
      </w:r>
      <w:r>
        <w:rPr>
          <w:spacing w:val="-1"/>
          <w:sz w:val="24"/>
        </w:rPr>
        <w:t xml:space="preserve"> </w:t>
      </w:r>
      <w:r>
        <w:rPr>
          <w:sz w:val="24"/>
        </w:rPr>
        <w:t>include,</w:t>
      </w:r>
      <w:r>
        <w:rPr>
          <w:spacing w:val="-1"/>
          <w:sz w:val="24"/>
        </w:rPr>
        <w:t xml:space="preserve"> </w:t>
      </w:r>
      <w:r>
        <w:rPr>
          <w:sz w:val="24"/>
        </w:rPr>
        <w:t>but</w:t>
      </w:r>
      <w:r>
        <w:rPr>
          <w:spacing w:val="-1"/>
          <w:sz w:val="24"/>
        </w:rPr>
        <w:t xml:space="preserve"> </w:t>
      </w:r>
      <w:r>
        <w:rPr>
          <w:sz w:val="24"/>
        </w:rPr>
        <w:t>are not</w:t>
      </w:r>
      <w:r>
        <w:rPr>
          <w:spacing w:val="-1"/>
          <w:sz w:val="24"/>
        </w:rPr>
        <w:t xml:space="preserve"> </w:t>
      </w:r>
      <w:r>
        <w:rPr>
          <w:sz w:val="24"/>
        </w:rPr>
        <w:t xml:space="preserve">limited </w:t>
      </w:r>
      <w:r>
        <w:rPr>
          <w:spacing w:val="-5"/>
          <w:sz w:val="24"/>
        </w:rPr>
        <w:t>to—</w:t>
      </w:r>
    </w:p>
    <w:p>
      <w:pPr>
        <w:pStyle w:val="ListParagraph"/>
        <w:numPr>
          <w:ilvl w:val="0"/>
          <w:numId w:val="44"/>
        </w:numPr>
        <w:tabs>
          <w:tab w:val="left" w:pos="1584"/>
        </w:tabs>
        <w:spacing w:before="0" w:after="0" w:line="240" w:lineRule="auto"/>
        <w:ind w:left="1584" w:right="0" w:hanging="360"/>
        <w:jc w:val="left"/>
        <w:rPr>
          <w:sz w:val="24"/>
        </w:rPr>
      </w:pPr>
      <w:r>
        <w:rPr>
          <w:sz w:val="24"/>
        </w:rPr>
        <w:t xml:space="preserve">Customer </w:t>
      </w:r>
      <w:r>
        <w:rPr>
          <w:spacing w:val="-2"/>
          <w:sz w:val="24"/>
        </w:rPr>
        <w:t>service.</w:t>
      </w:r>
    </w:p>
    <w:p>
      <w:pPr>
        <w:pStyle w:val="ListParagraph"/>
        <w:numPr>
          <w:ilvl w:val="0"/>
          <w:numId w:val="44"/>
        </w:numPr>
        <w:tabs>
          <w:tab w:val="left" w:pos="1584"/>
        </w:tabs>
        <w:spacing w:before="0" w:after="0" w:line="240" w:lineRule="auto"/>
        <w:ind w:left="1584" w:right="0" w:hanging="360"/>
        <w:jc w:val="left"/>
        <w:rPr>
          <w:sz w:val="24"/>
        </w:rPr>
      </w:pPr>
      <w:r>
        <w:rPr>
          <w:sz w:val="24"/>
        </w:rPr>
        <w:t>Billing</w:t>
      </w:r>
      <w:r>
        <w:rPr>
          <w:spacing w:val="-1"/>
          <w:sz w:val="24"/>
        </w:rPr>
        <w:t xml:space="preserve"> </w:t>
      </w:r>
      <w:r>
        <w:rPr>
          <w:sz w:val="24"/>
        </w:rPr>
        <w:t xml:space="preserve">and </w:t>
      </w:r>
      <w:r>
        <w:rPr>
          <w:spacing w:val="-2"/>
          <w:sz w:val="24"/>
        </w:rPr>
        <w:t>enrollment.</w:t>
      </w:r>
    </w:p>
    <w:p>
      <w:pPr>
        <w:pStyle w:val="ListParagraph"/>
        <w:numPr>
          <w:ilvl w:val="0"/>
          <w:numId w:val="44"/>
        </w:numPr>
        <w:tabs>
          <w:tab w:val="left" w:pos="1584"/>
        </w:tabs>
        <w:spacing w:before="0" w:after="0" w:line="240" w:lineRule="auto"/>
        <w:ind w:left="1584" w:right="0" w:hanging="360"/>
        <w:jc w:val="left"/>
        <w:rPr>
          <w:sz w:val="24"/>
        </w:rPr>
      </w:pPr>
      <w:r>
        <w:rPr>
          <w:sz w:val="24"/>
        </w:rPr>
        <w:t>Medical</w:t>
      </w:r>
      <w:r>
        <w:rPr>
          <w:spacing w:val="-3"/>
          <w:sz w:val="24"/>
        </w:rPr>
        <w:t xml:space="preserve"> </w:t>
      </w:r>
      <w:r>
        <w:rPr>
          <w:spacing w:val="-2"/>
          <w:sz w:val="24"/>
        </w:rPr>
        <w:t>management.</w:t>
      </w:r>
    </w:p>
    <w:p>
      <w:pPr>
        <w:pStyle w:val="ListParagraph"/>
        <w:numPr>
          <w:ilvl w:val="0"/>
          <w:numId w:val="44"/>
        </w:numPr>
        <w:tabs>
          <w:tab w:val="left" w:pos="1584"/>
        </w:tabs>
        <w:spacing w:before="0" w:after="0" w:line="240" w:lineRule="auto"/>
        <w:ind w:left="1584" w:right="0" w:hanging="360"/>
        <w:jc w:val="left"/>
        <w:rPr>
          <w:sz w:val="24"/>
        </w:rPr>
      </w:pPr>
      <w:r>
        <w:rPr>
          <w:sz w:val="24"/>
        </w:rPr>
        <w:t>Claims</w:t>
      </w:r>
      <w:r>
        <w:rPr>
          <w:spacing w:val="-4"/>
          <w:sz w:val="24"/>
        </w:rPr>
        <w:t xml:space="preserve"> </w:t>
      </w:r>
      <w:r>
        <w:rPr>
          <w:spacing w:val="-2"/>
          <w:sz w:val="24"/>
        </w:rPr>
        <w:t>administration.</w:t>
      </w:r>
    </w:p>
    <w:p>
      <w:pPr>
        <w:pStyle w:val="ListParagraph"/>
        <w:numPr>
          <w:ilvl w:val="0"/>
          <w:numId w:val="44"/>
        </w:numPr>
        <w:tabs>
          <w:tab w:val="left" w:pos="1584"/>
        </w:tabs>
        <w:spacing w:before="1" w:after="0" w:line="240" w:lineRule="auto"/>
        <w:ind w:left="1584" w:right="1505" w:hanging="360"/>
        <w:jc w:val="left"/>
        <w:rPr>
          <w:sz w:val="24"/>
        </w:rPr>
      </w:pPr>
      <w:r>
        <w:rPr>
          <w:sz w:val="24"/>
        </w:rPr>
        <w:t>Part C National Medicare Education Campaign (NMEC) user fees. CMS collects NMEC user fees based on a percentage of revenue; however, the BPT entry is a PMPM</w:t>
      </w:r>
      <w:r>
        <w:rPr>
          <w:spacing w:val="-4"/>
          <w:sz w:val="24"/>
        </w:rPr>
        <w:t xml:space="preserve"> </w:t>
      </w:r>
      <w:r>
        <w:rPr>
          <w:sz w:val="24"/>
        </w:rPr>
        <w:t>equivalent</w:t>
      </w:r>
      <w:r>
        <w:rPr>
          <w:spacing w:val="-3"/>
          <w:sz w:val="24"/>
        </w:rPr>
        <w:t xml:space="preserve"> </w:t>
      </w:r>
      <w:r>
        <w:rPr>
          <w:sz w:val="24"/>
        </w:rPr>
        <w:t>value</w:t>
      </w:r>
      <w:r>
        <w:rPr>
          <w:spacing w:val="-4"/>
          <w:sz w:val="24"/>
        </w:rPr>
        <w:t xml:space="preserve"> </w:t>
      </w:r>
      <w:r>
        <w:rPr>
          <w:sz w:val="24"/>
        </w:rPr>
        <w:t>consistent</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calculation</w:t>
      </w:r>
      <w:r>
        <w:rPr>
          <w:spacing w:val="-3"/>
          <w:sz w:val="24"/>
        </w:rPr>
        <w:t xml:space="preserve"> </w:t>
      </w:r>
      <w:r>
        <w:rPr>
          <w:sz w:val="24"/>
        </w:rPr>
        <w:t>of</w:t>
      </w:r>
      <w:r>
        <w:rPr>
          <w:spacing w:val="-4"/>
          <w:sz w:val="24"/>
        </w:rPr>
        <w:t xml:space="preserve"> </w:t>
      </w:r>
      <w:r>
        <w:rPr>
          <w:sz w:val="24"/>
        </w:rPr>
        <w:t>other</w:t>
      </w:r>
      <w:r>
        <w:rPr>
          <w:spacing w:val="-5"/>
          <w:sz w:val="24"/>
        </w:rPr>
        <w:t xml:space="preserve"> </w:t>
      </w:r>
      <w:r>
        <w:rPr>
          <w:sz w:val="24"/>
        </w:rPr>
        <w:t>BPT</w:t>
      </w:r>
      <w:r>
        <w:rPr>
          <w:spacing w:val="-3"/>
          <w:sz w:val="24"/>
        </w:rPr>
        <w:t xml:space="preserve"> </w:t>
      </w:r>
      <w:r>
        <w:rPr>
          <w:sz w:val="24"/>
        </w:rPr>
        <w:t>values.</w:t>
      </w:r>
      <w:r>
        <w:rPr>
          <w:spacing w:val="-3"/>
          <w:sz w:val="24"/>
        </w:rPr>
        <w:t xml:space="preserve"> </w:t>
      </w:r>
      <w:r>
        <w:rPr>
          <w:sz w:val="24"/>
        </w:rPr>
        <w:t>MAOs may use the CMS estimate, which is TBD PMPM on a national basis for CY2027, or develop an alternative estimate that is consistently applied to all bids in the contract—for example, the MAO’s historical amount relative to the CMS annual national estimate.</w:t>
      </w:r>
    </w:p>
    <w:p>
      <w:pPr>
        <w:pStyle w:val="ListParagraph"/>
        <w:numPr>
          <w:ilvl w:val="0"/>
          <w:numId w:val="44"/>
        </w:numPr>
        <w:tabs>
          <w:tab w:val="left" w:pos="1584"/>
        </w:tabs>
        <w:spacing w:before="0" w:after="0" w:line="240" w:lineRule="auto"/>
        <w:ind w:left="1584" w:right="0" w:hanging="360"/>
        <w:jc w:val="left"/>
        <w:rPr>
          <w:sz w:val="24"/>
        </w:rPr>
      </w:pPr>
      <w:r>
        <w:rPr>
          <w:sz w:val="24"/>
        </w:rPr>
        <w:t>Uncollected</w:t>
      </w:r>
      <w:r>
        <w:rPr>
          <w:spacing w:val="-3"/>
          <w:sz w:val="24"/>
        </w:rPr>
        <w:t xml:space="preserve"> </w:t>
      </w:r>
      <w:r>
        <w:rPr>
          <w:sz w:val="24"/>
        </w:rPr>
        <w:t>enrollee</w:t>
      </w:r>
      <w:r>
        <w:rPr>
          <w:spacing w:val="-3"/>
          <w:sz w:val="24"/>
        </w:rPr>
        <w:t xml:space="preserve"> </w:t>
      </w:r>
      <w:r>
        <w:rPr>
          <w:spacing w:val="-2"/>
          <w:sz w:val="24"/>
        </w:rPr>
        <w:t>premium.</w:t>
      </w:r>
    </w:p>
    <w:p>
      <w:pPr>
        <w:pStyle w:val="ListParagraph"/>
        <w:numPr>
          <w:ilvl w:val="0"/>
          <w:numId w:val="44"/>
        </w:numPr>
        <w:tabs>
          <w:tab w:val="left" w:pos="1584"/>
        </w:tabs>
        <w:spacing w:before="0" w:after="0" w:line="240" w:lineRule="auto"/>
        <w:ind w:left="1584" w:right="1710" w:hanging="360"/>
        <w:jc w:val="left"/>
        <w:rPr>
          <w:sz w:val="24"/>
        </w:rPr>
      </w:pPr>
      <w:r>
        <w:rPr>
          <w:sz w:val="24"/>
        </w:rPr>
        <w:t>Certain</w:t>
      </w:r>
      <w:r>
        <w:rPr>
          <w:spacing w:val="-4"/>
          <w:sz w:val="24"/>
        </w:rPr>
        <w:t xml:space="preserve"> </w:t>
      </w:r>
      <w:r>
        <w:rPr>
          <w:sz w:val="24"/>
        </w:rPr>
        <w:t>disease</w:t>
      </w:r>
      <w:r>
        <w:rPr>
          <w:spacing w:val="-5"/>
          <w:sz w:val="24"/>
        </w:rPr>
        <w:t xml:space="preserve"> </w:t>
      </w:r>
      <w:r>
        <w:rPr>
          <w:sz w:val="24"/>
        </w:rPr>
        <w:t>management</w:t>
      </w:r>
      <w:r>
        <w:rPr>
          <w:spacing w:val="-4"/>
          <w:sz w:val="24"/>
        </w:rPr>
        <w:t xml:space="preserve"> </w:t>
      </w:r>
      <w:r>
        <w:rPr>
          <w:sz w:val="24"/>
        </w:rPr>
        <w:t>functions.</w:t>
      </w:r>
      <w:r>
        <w:rPr>
          <w:spacing w:val="-4"/>
          <w:sz w:val="24"/>
        </w:rPr>
        <w:t xml:space="preserve"> </w:t>
      </w:r>
      <w:r>
        <w:rPr>
          <w:sz w:val="24"/>
        </w:rPr>
        <w:t>See</w:t>
      </w:r>
      <w:r>
        <w:rPr>
          <w:spacing w:val="-5"/>
          <w:sz w:val="24"/>
        </w:rPr>
        <w:t xml:space="preserve"> </w:t>
      </w:r>
      <w:r>
        <w:rPr>
          <w:sz w:val="24"/>
        </w:rPr>
        <w:t>the</w:t>
      </w:r>
      <w:r>
        <w:rPr>
          <w:spacing w:val="-4"/>
          <w:sz w:val="24"/>
        </w:rPr>
        <w:t xml:space="preserve"> </w:t>
      </w:r>
      <w:r>
        <w:rPr>
          <w:sz w:val="24"/>
        </w:rPr>
        <w:t>“Benefits</w:t>
      </w:r>
      <w:r>
        <w:rPr>
          <w:spacing w:val="-5"/>
          <w:sz w:val="24"/>
        </w:rPr>
        <w:t xml:space="preserve"> </w:t>
      </w:r>
      <w:r>
        <w:rPr>
          <w:sz w:val="24"/>
        </w:rPr>
        <w:t>and</w:t>
      </w:r>
      <w:r>
        <w:rPr>
          <w:spacing w:val="-4"/>
          <w:sz w:val="24"/>
        </w:rPr>
        <w:t xml:space="preserve"> </w:t>
      </w:r>
      <w:r>
        <w:rPr>
          <w:sz w:val="24"/>
        </w:rPr>
        <w:t>Service</w:t>
      </w:r>
      <w:r>
        <w:rPr>
          <w:spacing w:val="-5"/>
          <w:sz w:val="24"/>
        </w:rPr>
        <w:t xml:space="preserve"> </w:t>
      </w:r>
      <w:r>
        <w:rPr>
          <w:sz w:val="24"/>
        </w:rPr>
        <w:t>Categories” pricing consideration for more information about the classification of disease management expenses.</w:t>
      </w:r>
    </w:p>
    <w:p>
      <w:pPr>
        <w:pStyle w:val="ListParagraph"/>
        <w:numPr>
          <w:ilvl w:val="0"/>
          <w:numId w:val="44"/>
        </w:numPr>
        <w:tabs>
          <w:tab w:val="left" w:pos="1584"/>
        </w:tabs>
        <w:spacing w:before="0" w:after="0" w:line="240" w:lineRule="auto"/>
        <w:ind w:left="1584" w:right="1500" w:hanging="360"/>
        <w:jc w:val="left"/>
        <w:rPr>
          <w:sz w:val="24"/>
        </w:rPr>
      </w:pPr>
      <w:r>
        <w:rPr>
          <w:sz w:val="24"/>
        </w:rPr>
        <w:t>For</w:t>
      </w:r>
      <w:r>
        <w:rPr>
          <w:spacing w:val="-4"/>
          <w:sz w:val="24"/>
        </w:rPr>
        <w:t xml:space="preserve"> </w:t>
      </w:r>
      <w:r>
        <w:rPr>
          <w:sz w:val="24"/>
        </w:rPr>
        <w:t>Part</w:t>
      </w:r>
      <w:r>
        <w:rPr>
          <w:spacing w:val="-3"/>
          <w:sz w:val="24"/>
        </w:rPr>
        <w:t xml:space="preserve"> </w:t>
      </w:r>
      <w:r>
        <w:rPr>
          <w:sz w:val="24"/>
        </w:rPr>
        <w:t>B</w:t>
      </w:r>
      <w:r>
        <w:rPr>
          <w:spacing w:val="-3"/>
          <w:sz w:val="24"/>
        </w:rPr>
        <w:t xml:space="preserve"> </w:t>
      </w:r>
      <w:r>
        <w:rPr>
          <w:sz w:val="24"/>
        </w:rPr>
        <w:t>Rx:</w:t>
      </w:r>
      <w:r>
        <w:rPr>
          <w:spacing w:val="-2"/>
          <w:sz w:val="24"/>
        </w:rPr>
        <w:t xml:space="preserve"> </w:t>
      </w:r>
      <w:r>
        <w:rPr>
          <w:sz w:val="24"/>
        </w:rPr>
        <w:t>amounts</w:t>
      </w:r>
      <w:r>
        <w:rPr>
          <w:spacing w:val="-4"/>
          <w:sz w:val="24"/>
        </w:rPr>
        <w:t xml:space="preserve"> </w:t>
      </w:r>
      <w:r>
        <w:rPr>
          <w:sz w:val="24"/>
        </w:rPr>
        <w:t>retained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PBM</w:t>
      </w:r>
      <w:r>
        <w:rPr>
          <w:spacing w:val="-4"/>
          <w:sz w:val="24"/>
        </w:rPr>
        <w:t xml:space="preserve"> </w:t>
      </w:r>
      <w:r>
        <w:rPr>
          <w:sz w:val="24"/>
        </w:rPr>
        <w:t>from</w:t>
      </w:r>
      <w:r>
        <w:rPr>
          <w:spacing w:val="-1"/>
          <w:sz w:val="24"/>
        </w:rPr>
        <w:t xml:space="preserve"> </w:t>
      </w:r>
      <w:r>
        <w:rPr>
          <w:sz w:val="24"/>
        </w:rPr>
        <w:t>rebates,</w:t>
      </w:r>
      <w:r>
        <w:rPr>
          <w:spacing w:val="-3"/>
          <w:sz w:val="24"/>
        </w:rPr>
        <w:t xml:space="preserve"> </w:t>
      </w:r>
      <w:r>
        <w:rPr>
          <w:sz w:val="24"/>
        </w:rPr>
        <w:t>network</w:t>
      </w:r>
      <w:r>
        <w:rPr>
          <w:spacing w:val="-4"/>
          <w:sz w:val="24"/>
        </w:rPr>
        <w:t xml:space="preserve"> </w:t>
      </w:r>
      <w:r>
        <w:rPr>
          <w:sz w:val="24"/>
        </w:rPr>
        <w:t>transition</w:t>
      </w:r>
      <w:r>
        <w:rPr>
          <w:spacing w:val="-3"/>
          <w:sz w:val="24"/>
        </w:rPr>
        <w:t xml:space="preserve"> </w:t>
      </w:r>
      <w:r>
        <w:rPr>
          <w:sz w:val="24"/>
        </w:rPr>
        <w:t>costs, or other items defined as DIR had such items been attributable to a Part D prescription drug.</w:t>
      </w:r>
    </w:p>
    <w:p>
      <w:pPr>
        <w:pStyle w:val="ListParagraph"/>
        <w:numPr>
          <w:ilvl w:val="0"/>
          <w:numId w:val="45"/>
        </w:numPr>
        <w:tabs>
          <w:tab w:val="left" w:pos="1584"/>
        </w:tabs>
        <w:spacing w:before="1" w:after="0" w:line="240" w:lineRule="auto"/>
        <w:ind w:left="1584" w:right="0" w:hanging="360"/>
        <w:jc w:val="left"/>
        <w:rPr>
          <w:sz w:val="24"/>
        </w:rPr>
      </w:pPr>
      <w:r>
        <w:rPr>
          <w:sz w:val="24"/>
        </w:rPr>
        <w:t>Indirect</w:t>
      </w:r>
      <w:r>
        <w:rPr>
          <w:spacing w:val="-2"/>
          <w:sz w:val="24"/>
        </w:rPr>
        <w:t xml:space="preserve"> </w:t>
      </w:r>
      <w:r>
        <w:rPr>
          <w:sz w:val="24"/>
        </w:rPr>
        <w:t>Administration.</w:t>
      </w:r>
      <w:r>
        <w:rPr>
          <w:spacing w:val="1"/>
          <w:sz w:val="24"/>
        </w:rPr>
        <w:t xml:space="preserve"> </w:t>
      </w:r>
      <w:r>
        <w:rPr>
          <w:sz w:val="24"/>
        </w:rPr>
        <w:t>Examples</w:t>
      </w:r>
      <w:r>
        <w:rPr>
          <w:spacing w:val="-3"/>
          <w:sz w:val="24"/>
        </w:rPr>
        <w:t xml:space="preserve"> </w:t>
      </w:r>
      <w:r>
        <w:rPr>
          <w:sz w:val="24"/>
        </w:rPr>
        <w:t>include,</w:t>
      </w:r>
      <w:r>
        <w:rPr>
          <w:spacing w:val="-1"/>
          <w:sz w:val="24"/>
        </w:rPr>
        <w:t xml:space="preserve"> </w:t>
      </w:r>
      <w:r>
        <w:rPr>
          <w:sz w:val="24"/>
        </w:rPr>
        <w:t>but</w:t>
      </w:r>
      <w:r>
        <w:rPr>
          <w:spacing w:val="-1"/>
          <w:sz w:val="24"/>
        </w:rPr>
        <w:t xml:space="preserve"> </w:t>
      </w:r>
      <w:r>
        <w:rPr>
          <w:sz w:val="24"/>
        </w:rPr>
        <w:t>are</w:t>
      </w:r>
      <w:r>
        <w:rPr>
          <w:spacing w:val="-3"/>
          <w:sz w:val="24"/>
        </w:rPr>
        <w:t xml:space="preserve"> </w:t>
      </w:r>
      <w:r>
        <w:rPr>
          <w:sz w:val="24"/>
        </w:rPr>
        <w:t>not</w:t>
      </w:r>
      <w:r>
        <w:rPr>
          <w:spacing w:val="-1"/>
          <w:sz w:val="24"/>
        </w:rPr>
        <w:t xml:space="preserve"> </w:t>
      </w:r>
      <w:r>
        <w:rPr>
          <w:sz w:val="24"/>
        </w:rPr>
        <w:t>limited</w:t>
      </w:r>
      <w:r>
        <w:rPr>
          <w:spacing w:val="-1"/>
          <w:sz w:val="24"/>
        </w:rPr>
        <w:t xml:space="preserve"> </w:t>
      </w:r>
      <w:r>
        <w:rPr>
          <w:sz w:val="24"/>
        </w:rPr>
        <w:t>to,</w:t>
      </w:r>
      <w:r>
        <w:rPr>
          <w:spacing w:val="-2"/>
          <w:sz w:val="24"/>
        </w:rPr>
        <w:t xml:space="preserve"> </w:t>
      </w:r>
      <w:r>
        <w:rPr>
          <w:sz w:val="24"/>
        </w:rPr>
        <w:t>functions</w:t>
      </w:r>
      <w:r>
        <w:rPr>
          <w:spacing w:val="-2"/>
          <w:sz w:val="24"/>
        </w:rPr>
        <w:t xml:space="preserve"> </w:t>
      </w:r>
      <w:r>
        <w:rPr>
          <w:sz w:val="24"/>
        </w:rPr>
        <w:t>that</w:t>
      </w:r>
      <w:r>
        <w:rPr>
          <w:spacing w:val="-1"/>
          <w:sz w:val="24"/>
        </w:rPr>
        <w:t xml:space="preserve"> </w:t>
      </w:r>
      <w:r>
        <w:rPr>
          <w:spacing w:val="-5"/>
          <w:sz w:val="24"/>
        </w:rPr>
        <w:t>may</w:t>
      </w:r>
    </w:p>
    <w:p>
      <w:pPr>
        <w:pStyle w:val="BodyText"/>
        <w:ind w:left="1584"/>
      </w:pPr>
      <w:r>
        <w:t>be</w:t>
      </w:r>
      <w:r>
        <w:rPr>
          <w:spacing w:val="-5"/>
        </w:rPr>
        <w:t xml:space="preserve"> </w:t>
      </w:r>
      <w:r>
        <w:t>considered</w:t>
      </w:r>
      <w:r>
        <w:rPr>
          <w:spacing w:val="-1"/>
        </w:rPr>
        <w:t xml:space="preserve"> </w:t>
      </w:r>
      <w:r>
        <w:t>“corporate services,”</w:t>
      </w:r>
      <w:r>
        <w:rPr>
          <w:spacing w:val="-2"/>
        </w:rPr>
        <w:t xml:space="preserve"> </w:t>
      </w:r>
      <w:r>
        <w:t>such</w:t>
      </w:r>
      <w:r>
        <w:rPr>
          <w:spacing w:val="-1"/>
        </w:rPr>
        <w:t xml:space="preserve"> </w:t>
      </w:r>
      <w:r>
        <w:rPr>
          <w:spacing w:val="-5"/>
        </w:rPr>
        <w:t>as—</w:t>
      </w:r>
    </w:p>
    <w:p>
      <w:pPr>
        <w:pStyle w:val="ListParagraph"/>
        <w:numPr>
          <w:ilvl w:val="0"/>
          <w:numId w:val="44"/>
        </w:numPr>
        <w:tabs>
          <w:tab w:val="left" w:pos="1584"/>
        </w:tabs>
        <w:spacing w:before="0" w:after="0" w:line="240" w:lineRule="auto"/>
        <w:ind w:left="1584" w:right="0" w:hanging="360"/>
        <w:jc w:val="left"/>
        <w:rPr>
          <w:sz w:val="24"/>
        </w:rPr>
      </w:pPr>
      <w:r>
        <w:rPr>
          <w:sz w:val="24"/>
        </w:rPr>
        <w:t>The</w:t>
      </w:r>
      <w:r>
        <w:rPr>
          <w:spacing w:val="-2"/>
          <w:sz w:val="24"/>
        </w:rPr>
        <w:t xml:space="preserve"> </w:t>
      </w:r>
      <w:r>
        <w:rPr>
          <w:sz w:val="24"/>
        </w:rPr>
        <w:t xml:space="preserve">position of </w:t>
      </w:r>
      <w:r>
        <w:rPr>
          <w:spacing w:val="-4"/>
          <w:sz w:val="24"/>
        </w:rPr>
        <w:t>CEO.</w:t>
      </w:r>
    </w:p>
    <w:p>
      <w:pPr>
        <w:pStyle w:val="ListParagraph"/>
        <w:numPr>
          <w:ilvl w:val="0"/>
          <w:numId w:val="44"/>
        </w:numPr>
        <w:tabs>
          <w:tab w:val="left" w:pos="1584"/>
        </w:tabs>
        <w:spacing w:before="0" w:after="0" w:line="240" w:lineRule="auto"/>
        <w:ind w:left="1584" w:right="0" w:hanging="360"/>
        <w:jc w:val="left"/>
        <w:rPr>
          <w:sz w:val="24"/>
        </w:rPr>
      </w:pPr>
      <w:r>
        <w:rPr>
          <w:sz w:val="24"/>
        </w:rPr>
        <w:t>Accounting</w:t>
      </w:r>
      <w:r>
        <w:rPr>
          <w:spacing w:val="-3"/>
          <w:sz w:val="24"/>
        </w:rPr>
        <w:t xml:space="preserve"> </w:t>
      </w:r>
      <w:r>
        <w:rPr>
          <w:spacing w:val="-2"/>
          <w:sz w:val="24"/>
        </w:rPr>
        <w:t>operations.</w:t>
      </w:r>
    </w:p>
    <w:p>
      <w:pPr>
        <w:pStyle w:val="ListParagraph"/>
        <w:numPr>
          <w:ilvl w:val="0"/>
          <w:numId w:val="44"/>
        </w:numPr>
        <w:tabs>
          <w:tab w:val="left" w:pos="1584"/>
        </w:tabs>
        <w:spacing w:before="0" w:after="0" w:line="240" w:lineRule="auto"/>
        <w:ind w:left="1584" w:right="0" w:hanging="360"/>
        <w:jc w:val="left"/>
        <w:rPr>
          <w:sz w:val="24"/>
        </w:rPr>
      </w:pPr>
      <w:r>
        <w:rPr>
          <w:sz w:val="24"/>
        </w:rPr>
        <w:t>Actuarial</w:t>
      </w:r>
      <w:r>
        <w:rPr>
          <w:spacing w:val="-4"/>
          <w:sz w:val="24"/>
        </w:rPr>
        <w:t xml:space="preserve"> </w:t>
      </w:r>
      <w:r>
        <w:rPr>
          <w:spacing w:val="-2"/>
          <w:sz w:val="24"/>
        </w:rPr>
        <w:t>services.</w:t>
      </w:r>
    </w:p>
    <w:p>
      <w:pPr>
        <w:pStyle w:val="ListParagraph"/>
        <w:numPr>
          <w:ilvl w:val="0"/>
          <w:numId w:val="44"/>
        </w:numPr>
        <w:tabs>
          <w:tab w:val="left" w:pos="1584"/>
        </w:tabs>
        <w:spacing w:before="0" w:after="0" w:line="240" w:lineRule="auto"/>
        <w:ind w:left="1584" w:right="0" w:hanging="360"/>
        <w:jc w:val="left"/>
        <w:rPr>
          <w:sz w:val="24"/>
        </w:rPr>
      </w:pPr>
      <w:r>
        <w:rPr>
          <w:sz w:val="24"/>
        </w:rPr>
        <w:t>Legal</w:t>
      </w:r>
      <w:r>
        <w:rPr>
          <w:spacing w:val="-3"/>
          <w:sz w:val="24"/>
        </w:rPr>
        <w:t xml:space="preserve"> </w:t>
      </w:r>
      <w:r>
        <w:rPr>
          <w:spacing w:val="-2"/>
          <w:sz w:val="24"/>
        </w:rPr>
        <w:t>services.</w:t>
      </w:r>
    </w:p>
    <w:p>
      <w:pPr>
        <w:pStyle w:val="ListParagraph"/>
        <w:numPr>
          <w:ilvl w:val="0"/>
          <w:numId w:val="44"/>
        </w:numPr>
        <w:tabs>
          <w:tab w:val="left" w:pos="1584"/>
        </w:tabs>
        <w:spacing w:before="0" w:after="0" w:line="240" w:lineRule="auto"/>
        <w:ind w:left="1584" w:right="0" w:hanging="360"/>
        <w:jc w:val="left"/>
        <w:rPr>
          <w:sz w:val="24"/>
        </w:rPr>
      </w:pPr>
      <w:r>
        <w:rPr>
          <w:sz w:val="24"/>
        </w:rPr>
        <w:t>Human</w:t>
      </w:r>
      <w:r>
        <w:rPr>
          <w:spacing w:val="-1"/>
          <w:sz w:val="24"/>
        </w:rPr>
        <w:t xml:space="preserve"> </w:t>
      </w:r>
      <w:r>
        <w:rPr>
          <w:spacing w:val="-2"/>
          <w:sz w:val="24"/>
        </w:rPr>
        <w:t>resources.</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ListParagraph"/>
        <w:numPr>
          <w:ilvl w:val="0"/>
          <w:numId w:val="45"/>
        </w:numPr>
        <w:tabs>
          <w:tab w:val="left" w:pos="1584"/>
        </w:tabs>
        <w:spacing w:before="0" w:after="0" w:line="240" w:lineRule="auto"/>
        <w:ind w:left="1584" w:right="1545" w:hanging="360"/>
        <w:jc w:val="left"/>
        <w:rPr>
          <w:sz w:val="24"/>
        </w:rPr>
      </w:pPr>
      <w:r>
        <w:rPr>
          <w:sz w:val="24"/>
        </w:rPr>
        <w:t>Net Cost of Private Reinsurance (that is, reinsurance premium less projected recoveries;</w:t>
      </w:r>
      <w:r>
        <w:rPr>
          <w:spacing w:val="-4"/>
          <w:sz w:val="24"/>
        </w:rPr>
        <w:t xml:space="preserve"> </w:t>
      </w:r>
      <w:r>
        <w:rPr>
          <w:sz w:val="24"/>
        </w:rPr>
        <w:t>however,</w:t>
      </w:r>
      <w:r>
        <w:rPr>
          <w:spacing w:val="-4"/>
          <w:sz w:val="24"/>
        </w:rPr>
        <w:t xml:space="preserve"> </w:t>
      </w:r>
      <w:r>
        <w:rPr>
          <w:sz w:val="24"/>
        </w:rPr>
        <w:t>for</w:t>
      </w:r>
      <w:r>
        <w:rPr>
          <w:spacing w:val="-3"/>
          <w:sz w:val="24"/>
        </w:rPr>
        <w:t xml:space="preserve"> </w:t>
      </w:r>
      <w:r>
        <w:rPr>
          <w:sz w:val="24"/>
        </w:rPr>
        <w:t>quota</w:t>
      </w:r>
      <w:r>
        <w:rPr>
          <w:spacing w:val="-4"/>
          <w:sz w:val="24"/>
        </w:rPr>
        <w:t xml:space="preserve"> </w:t>
      </w:r>
      <w:r>
        <w:rPr>
          <w:sz w:val="24"/>
        </w:rPr>
        <w:t>share</w:t>
      </w:r>
      <w:r>
        <w:rPr>
          <w:spacing w:val="-6"/>
          <w:sz w:val="24"/>
        </w:rPr>
        <w:t xml:space="preserve"> </w:t>
      </w:r>
      <w:r>
        <w:rPr>
          <w:sz w:val="24"/>
        </w:rPr>
        <w:t>reinsurance,</w:t>
      </w:r>
      <w:r>
        <w:rPr>
          <w:spacing w:val="-4"/>
          <w:sz w:val="24"/>
        </w:rPr>
        <w:t xml:space="preserve"> </w:t>
      </w:r>
      <w:r>
        <w:rPr>
          <w:sz w:val="24"/>
        </w:rPr>
        <w:t>the</w:t>
      </w:r>
      <w:r>
        <w:rPr>
          <w:spacing w:val="-5"/>
          <w:sz w:val="24"/>
        </w:rPr>
        <w:t xml:space="preserve"> </w:t>
      </w:r>
      <w:r>
        <w:rPr>
          <w:sz w:val="24"/>
        </w:rPr>
        <w:t>net</w:t>
      </w:r>
      <w:r>
        <w:rPr>
          <w:spacing w:val="-4"/>
          <w:sz w:val="24"/>
        </w:rPr>
        <w:t xml:space="preserve"> </w:t>
      </w:r>
      <w:r>
        <w:rPr>
          <w:sz w:val="24"/>
        </w:rPr>
        <w:t>cost</w:t>
      </w:r>
      <w:r>
        <w:rPr>
          <w:spacing w:val="-4"/>
          <w:sz w:val="24"/>
        </w:rPr>
        <w:t xml:space="preserve"> </w:t>
      </w:r>
      <w:r>
        <w:rPr>
          <w:sz w:val="24"/>
        </w:rPr>
        <w:t>of</w:t>
      </w:r>
      <w:r>
        <w:rPr>
          <w:spacing w:val="-4"/>
          <w:sz w:val="24"/>
        </w:rPr>
        <w:t xml:space="preserve"> </w:t>
      </w:r>
      <w:r>
        <w:rPr>
          <w:sz w:val="24"/>
        </w:rPr>
        <w:t>private</w:t>
      </w:r>
      <w:r>
        <w:rPr>
          <w:spacing w:val="-5"/>
          <w:sz w:val="24"/>
        </w:rPr>
        <w:t xml:space="preserve"> </w:t>
      </w:r>
      <w:r>
        <w:rPr>
          <w:sz w:val="24"/>
        </w:rPr>
        <w:t>reinsurance must be entered as $0).</w:t>
      </w:r>
    </w:p>
    <w:p>
      <w:pPr>
        <w:pStyle w:val="BodyText"/>
        <w:spacing w:before="120"/>
        <w:ind w:right="1481"/>
      </w:pPr>
      <w:r>
        <w:t>All non-benefit expenses must be reported using appropriate, generally accepted accounting principles (GAAP). For example, acquisition expenses and capital expenditures must be deferred and amortized according to the relevant GAAP standards (to the extent that is consistent</w:t>
      </w:r>
      <w:r>
        <w:rPr>
          <w:spacing w:val="-4"/>
        </w:rPr>
        <w:t xml:space="preserve"> </w:t>
      </w:r>
      <w:r>
        <w:t>with</w:t>
      </w:r>
      <w:r>
        <w:rPr>
          <w:spacing w:val="-4"/>
        </w:rPr>
        <w:t xml:space="preserve"> </w:t>
      </w:r>
      <w:r>
        <w:t>the</w:t>
      </w:r>
      <w:r>
        <w:rPr>
          <w:spacing w:val="-4"/>
        </w:rPr>
        <w:t xml:space="preserve"> </w:t>
      </w:r>
      <w:r>
        <w:t>organization’s</w:t>
      </w:r>
      <w:r>
        <w:rPr>
          <w:spacing w:val="-5"/>
        </w:rPr>
        <w:t xml:space="preserve"> </w:t>
      </w:r>
      <w:r>
        <w:t>standard</w:t>
      </w:r>
      <w:r>
        <w:rPr>
          <w:spacing w:val="-3"/>
        </w:rPr>
        <w:t xml:space="preserve"> </w:t>
      </w:r>
      <w:r>
        <w:t>accounting</w:t>
      </w:r>
      <w:r>
        <w:rPr>
          <w:spacing w:val="-4"/>
        </w:rPr>
        <w:t xml:space="preserve"> </w:t>
      </w:r>
      <w:r>
        <w:t>practices,</w:t>
      </w:r>
      <w:r>
        <w:rPr>
          <w:spacing w:val="-4"/>
        </w:rPr>
        <w:t xml:space="preserve"> </w:t>
      </w:r>
      <w:r>
        <w:t>if</w:t>
      </w:r>
      <w:r>
        <w:rPr>
          <w:spacing w:val="-4"/>
        </w:rPr>
        <w:t xml:space="preserve"> </w:t>
      </w:r>
      <w:r>
        <w:t>not</w:t>
      </w:r>
      <w:r>
        <w:rPr>
          <w:spacing w:val="-4"/>
        </w:rPr>
        <w:t xml:space="preserve"> </w:t>
      </w:r>
      <w:r>
        <w:t>subject</w:t>
      </w:r>
      <w:r>
        <w:rPr>
          <w:spacing w:val="-4"/>
        </w:rPr>
        <w:t xml:space="preserve"> </w:t>
      </w:r>
      <w:r>
        <w:t>to</w:t>
      </w:r>
      <w:r>
        <w:rPr>
          <w:spacing w:val="-4"/>
        </w:rPr>
        <w:t xml:space="preserve"> </w:t>
      </w:r>
      <w:r>
        <w:t>GAAP).</w:t>
      </w:r>
      <w:r>
        <w:rPr>
          <w:spacing w:val="-4"/>
        </w:rPr>
        <w:t xml:space="preserve"> </w:t>
      </w:r>
      <w:r>
        <w:t>Also, acquisition expenses (sales and marketing) must be deferred and amortized in a manner consistent with the revenue stream anticipated on behalf of the newly enrolled members.</w:t>
      </w:r>
    </w:p>
    <w:p>
      <w:pPr>
        <w:spacing w:before="0"/>
        <w:ind w:left="504" w:right="1481" w:firstLine="0"/>
        <w:jc w:val="left"/>
        <w:rPr>
          <w:sz w:val="24"/>
        </w:rPr>
      </w:pPr>
      <w:r>
        <w:rPr>
          <w:sz w:val="24"/>
        </w:rPr>
        <w:t>Guidance</w:t>
      </w:r>
      <w:r>
        <w:rPr>
          <w:spacing w:val="-5"/>
          <w:sz w:val="24"/>
        </w:rPr>
        <w:t xml:space="preserve"> </w:t>
      </w:r>
      <w:r>
        <w:rPr>
          <w:sz w:val="24"/>
        </w:rPr>
        <w:t>on</w:t>
      </w:r>
      <w:r>
        <w:rPr>
          <w:spacing w:val="-4"/>
          <w:sz w:val="24"/>
        </w:rPr>
        <w:t xml:space="preserve"> </w:t>
      </w:r>
      <w:r>
        <w:rPr>
          <w:sz w:val="24"/>
        </w:rPr>
        <w:t>GAAP</w:t>
      </w:r>
      <w:r>
        <w:rPr>
          <w:spacing w:val="-4"/>
          <w:sz w:val="24"/>
        </w:rPr>
        <w:t xml:space="preserve"> </w:t>
      </w:r>
      <w:r>
        <w:rPr>
          <w:sz w:val="24"/>
        </w:rPr>
        <w:t>standards</w:t>
      </w:r>
      <w:r>
        <w:rPr>
          <w:spacing w:val="-4"/>
          <w:sz w:val="24"/>
        </w:rPr>
        <w:t xml:space="preserve"> </w:t>
      </w:r>
      <w:r>
        <w:rPr>
          <w:sz w:val="24"/>
        </w:rPr>
        <w:t>is</w:t>
      </w:r>
      <w:r>
        <w:rPr>
          <w:spacing w:val="-4"/>
          <w:sz w:val="24"/>
        </w:rPr>
        <w:t xml:space="preserve"> </w:t>
      </w:r>
      <w:r>
        <w:rPr>
          <w:sz w:val="24"/>
        </w:rPr>
        <w:t>promulgated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Financial</w:t>
      </w:r>
      <w:r>
        <w:rPr>
          <w:spacing w:val="-4"/>
          <w:sz w:val="24"/>
        </w:rPr>
        <w:t xml:space="preserve"> </w:t>
      </w:r>
      <w:r>
        <w:rPr>
          <w:sz w:val="24"/>
        </w:rPr>
        <w:t>Accounting</w:t>
      </w:r>
      <w:r>
        <w:rPr>
          <w:spacing w:val="-4"/>
          <w:sz w:val="24"/>
        </w:rPr>
        <w:t xml:space="preserve"> </w:t>
      </w:r>
      <w:r>
        <w:rPr>
          <w:sz w:val="24"/>
        </w:rPr>
        <w:t>Standards</w:t>
      </w:r>
      <w:r>
        <w:rPr>
          <w:spacing w:val="-5"/>
          <w:sz w:val="24"/>
        </w:rPr>
        <w:t xml:space="preserve"> </w:t>
      </w:r>
      <w:r>
        <w:rPr>
          <w:sz w:val="24"/>
        </w:rPr>
        <w:t xml:space="preserve">Board (FASB). Of particular applicability is FASB’s Statement of Financial Accounting No. 60, </w:t>
      </w:r>
      <w:r>
        <w:rPr>
          <w:i/>
          <w:sz w:val="24"/>
        </w:rPr>
        <w:t>Accounting and Reporting by Insurance Enterprises</w:t>
      </w:r>
      <w:r>
        <w:rPr>
          <w:sz w:val="24"/>
        </w:rPr>
        <w:t>.</w:t>
      </w:r>
    </w:p>
    <w:p>
      <w:pPr>
        <w:pStyle w:val="BodyText"/>
        <w:spacing w:before="121"/>
        <w:ind w:right="1465"/>
      </w:pPr>
      <w:r>
        <w:t>Costs</w:t>
      </w:r>
      <w:r>
        <w:rPr>
          <w:spacing w:val="-4"/>
        </w:rPr>
        <w:t xml:space="preserve"> </w:t>
      </w:r>
      <w:r>
        <w:t>not</w:t>
      </w:r>
      <w:r>
        <w:rPr>
          <w:spacing w:val="-4"/>
        </w:rPr>
        <w:t xml:space="preserve"> </w:t>
      </w:r>
      <w:r>
        <w:t>pertaining</w:t>
      </w:r>
      <w:r>
        <w:rPr>
          <w:spacing w:val="-4"/>
        </w:rPr>
        <w:t xml:space="preserve"> </w:t>
      </w:r>
      <w:r>
        <w:t>to</w:t>
      </w:r>
      <w:r>
        <w:rPr>
          <w:spacing w:val="-3"/>
        </w:rPr>
        <w:t xml:space="preserve"> </w:t>
      </w:r>
      <w:r>
        <w:t>administrative</w:t>
      </w:r>
      <w:r>
        <w:rPr>
          <w:spacing w:val="-5"/>
        </w:rPr>
        <w:t xml:space="preserve"> </w:t>
      </w:r>
      <w:r>
        <w:t>activities</w:t>
      </w:r>
      <w:r>
        <w:rPr>
          <w:spacing w:val="-5"/>
        </w:rPr>
        <w:t xml:space="preserve"> </w:t>
      </w:r>
      <w:r>
        <w:t>and</w:t>
      </w:r>
      <w:r>
        <w:rPr>
          <w:spacing w:val="-4"/>
        </w:rPr>
        <w:t xml:space="preserve"> </w:t>
      </w:r>
      <w:r>
        <w:t>other</w:t>
      </w:r>
      <w:r>
        <w:rPr>
          <w:spacing w:val="-6"/>
        </w:rPr>
        <w:t xml:space="preserve"> </w:t>
      </w:r>
      <w:r>
        <w:t>activities</w:t>
      </w:r>
      <w:r>
        <w:rPr>
          <w:spacing w:val="-5"/>
        </w:rPr>
        <w:t xml:space="preserve"> </w:t>
      </w:r>
      <w:r>
        <w:t>related</w:t>
      </w:r>
      <w:r>
        <w:rPr>
          <w:spacing w:val="-2"/>
        </w:rPr>
        <w:t xml:space="preserve"> </w:t>
      </w:r>
      <w:r>
        <w:t>to</w:t>
      </w:r>
      <w:r>
        <w:rPr>
          <w:spacing w:val="-1"/>
        </w:rPr>
        <w:t xml:space="preserve"> </w:t>
      </w:r>
      <w:r>
        <w:t>non-medical</w:t>
      </w:r>
      <w:r>
        <w:rPr>
          <w:spacing w:val="-4"/>
        </w:rPr>
        <w:t xml:space="preserve"> </w:t>
      </w:r>
      <w:r>
        <w:t>costs incurred in the operation of the MA bid must be excluded from non-benefit expenses. Such costs include income taxes; changes in statutory surplus and investment expenses; the cost of lobbying activities; and value-added items and services.</w:t>
      </w:r>
    </w:p>
    <w:p>
      <w:pPr>
        <w:pStyle w:val="BodyText"/>
        <w:spacing w:before="120"/>
        <w:ind w:right="1481"/>
      </w:pPr>
      <w:r>
        <w:t>See</w:t>
      </w:r>
      <w:r>
        <w:rPr>
          <w:spacing w:val="-4"/>
        </w:rPr>
        <w:t xml:space="preserve"> </w:t>
      </w:r>
      <w:r>
        <w:t>the</w:t>
      </w:r>
      <w:r>
        <w:rPr>
          <w:spacing w:val="-4"/>
        </w:rPr>
        <w:t xml:space="preserve"> </w:t>
      </w:r>
      <w:r>
        <w:t>“Gain/Loss</w:t>
      </w:r>
      <w:r>
        <w:rPr>
          <w:spacing w:val="-3"/>
        </w:rPr>
        <w:t xml:space="preserve"> </w:t>
      </w:r>
      <w:r>
        <w:t>Margin”</w:t>
      </w:r>
      <w:r>
        <w:rPr>
          <w:spacing w:val="-3"/>
        </w:rPr>
        <w:t xml:space="preserve"> </w:t>
      </w:r>
      <w:r>
        <w:t>pricing</w:t>
      </w:r>
      <w:r>
        <w:rPr>
          <w:spacing w:val="-3"/>
        </w:rPr>
        <w:t xml:space="preserve"> </w:t>
      </w:r>
      <w:r>
        <w:t>consideration</w:t>
      </w:r>
      <w:r>
        <w:rPr>
          <w:spacing w:val="-3"/>
        </w:rPr>
        <w:t xml:space="preserve"> </w:t>
      </w:r>
      <w:r>
        <w:t>for</w:t>
      </w:r>
      <w:r>
        <w:rPr>
          <w:spacing w:val="-4"/>
        </w:rPr>
        <w:t xml:space="preserve"> </w:t>
      </w:r>
      <w:r>
        <w:t>more</w:t>
      </w:r>
      <w:r>
        <w:rPr>
          <w:spacing w:val="-5"/>
        </w:rPr>
        <w:t xml:space="preserve"> </w:t>
      </w:r>
      <w:r>
        <w:t>information</w:t>
      </w:r>
      <w:r>
        <w:rPr>
          <w:spacing w:val="-3"/>
        </w:rPr>
        <w:t xml:space="preserve"> </w:t>
      </w:r>
      <w:r>
        <w:t>about</w:t>
      </w:r>
      <w:r>
        <w:rPr>
          <w:spacing w:val="-3"/>
        </w:rPr>
        <w:t xml:space="preserve"> </w:t>
      </w:r>
      <w:r>
        <w:t>exclusions</w:t>
      </w:r>
      <w:r>
        <w:rPr>
          <w:spacing w:val="-3"/>
        </w:rPr>
        <w:t xml:space="preserve"> </w:t>
      </w:r>
      <w:r>
        <w:t>from the BPT.</w:t>
      </w:r>
    </w:p>
    <w:p>
      <w:pPr>
        <w:pStyle w:val="BodyText"/>
        <w:spacing w:before="120"/>
      </w:pPr>
      <w:r>
        <w:t>Start-up</w:t>
      </w:r>
      <w:r>
        <w:rPr>
          <w:spacing w:val="-4"/>
        </w:rPr>
        <w:t xml:space="preserve"> </w:t>
      </w:r>
      <w:r>
        <w:t>costs</w:t>
      </w:r>
      <w:r>
        <w:rPr>
          <w:spacing w:val="-2"/>
        </w:rPr>
        <w:t xml:space="preserve"> </w:t>
      </w:r>
      <w:r>
        <w:t>that</w:t>
      </w:r>
      <w:r>
        <w:rPr>
          <w:spacing w:val="-2"/>
        </w:rPr>
        <w:t xml:space="preserve"> </w:t>
      </w:r>
      <w:r>
        <w:t>are</w:t>
      </w:r>
      <w:r>
        <w:rPr>
          <w:spacing w:val="-4"/>
        </w:rPr>
        <w:t xml:space="preserve"> </w:t>
      </w:r>
      <w:r>
        <w:t>not considered capital</w:t>
      </w:r>
      <w:r>
        <w:rPr>
          <w:spacing w:val="-2"/>
        </w:rPr>
        <w:t xml:space="preserve"> </w:t>
      </w:r>
      <w:r>
        <w:t>expenditures</w:t>
      </w:r>
      <w:r>
        <w:rPr>
          <w:spacing w:val="-3"/>
        </w:rPr>
        <w:t xml:space="preserve"> </w:t>
      </w:r>
      <w:r>
        <w:t>under</w:t>
      </w:r>
      <w:r>
        <w:rPr>
          <w:spacing w:val="-2"/>
        </w:rPr>
        <w:t xml:space="preserve"> </w:t>
      </w:r>
      <w:r>
        <w:t>GAAP</w:t>
      </w:r>
      <w:r>
        <w:rPr>
          <w:spacing w:val="-3"/>
        </w:rPr>
        <w:t xml:space="preserve"> </w:t>
      </w:r>
      <w:r>
        <w:t>are</w:t>
      </w:r>
      <w:r>
        <w:rPr>
          <w:spacing w:val="-1"/>
        </w:rPr>
        <w:t xml:space="preserve"> </w:t>
      </w:r>
      <w:r>
        <w:t>reported as</w:t>
      </w:r>
      <w:r>
        <w:rPr>
          <w:spacing w:val="-2"/>
        </w:rPr>
        <w:t xml:space="preserve"> follows:</w:t>
      </w:r>
    </w:p>
    <w:p>
      <w:pPr>
        <w:pStyle w:val="ListParagraph"/>
        <w:numPr>
          <w:ilvl w:val="0"/>
          <w:numId w:val="45"/>
        </w:numPr>
        <w:tabs>
          <w:tab w:val="left" w:pos="1584"/>
        </w:tabs>
        <w:spacing w:before="120" w:after="0" w:line="240" w:lineRule="auto"/>
        <w:ind w:left="1584" w:right="1947" w:hanging="360"/>
        <w:jc w:val="left"/>
        <w:rPr>
          <w:sz w:val="24"/>
        </w:rPr>
      </w:pPr>
      <w:r>
        <w:rPr>
          <w:sz w:val="24"/>
        </w:rPr>
        <w:t>Expenditures</w:t>
      </w:r>
      <w:r>
        <w:rPr>
          <w:spacing w:val="-4"/>
          <w:sz w:val="24"/>
        </w:rPr>
        <w:t xml:space="preserve"> </w:t>
      </w:r>
      <w:r>
        <w:rPr>
          <w:sz w:val="24"/>
        </w:rPr>
        <w:t>for</w:t>
      </w:r>
      <w:r>
        <w:rPr>
          <w:spacing w:val="-5"/>
          <w:sz w:val="24"/>
        </w:rPr>
        <w:t xml:space="preserve"> </w:t>
      </w:r>
      <w:r>
        <w:rPr>
          <w:sz w:val="24"/>
        </w:rPr>
        <w:t>tangible</w:t>
      </w:r>
      <w:r>
        <w:rPr>
          <w:spacing w:val="-2"/>
          <w:sz w:val="24"/>
        </w:rPr>
        <w:t xml:space="preserve"> </w:t>
      </w:r>
      <w:r>
        <w:rPr>
          <w:sz w:val="24"/>
        </w:rPr>
        <w:t>assets</w:t>
      </w:r>
      <w:r>
        <w:rPr>
          <w:spacing w:val="-2"/>
          <w:sz w:val="24"/>
        </w:rPr>
        <w:t xml:space="preserve"> </w:t>
      </w:r>
      <w:r>
        <w:rPr>
          <w:sz w:val="24"/>
        </w:rPr>
        <w:t>(for</w:t>
      </w:r>
      <w:r>
        <w:rPr>
          <w:spacing w:val="-3"/>
          <w:sz w:val="24"/>
        </w:rPr>
        <w:t xml:space="preserve"> </w:t>
      </w:r>
      <w:r>
        <w:rPr>
          <w:sz w:val="24"/>
        </w:rPr>
        <w:t>example,</w:t>
      </w:r>
      <w:r>
        <w:rPr>
          <w:spacing w:val="-3"/>
          <w:sz w:val="24"/>
        </w:rPr>
        <w:t xml:space="preserve"> </w:t>
      </w:r>
      <w:r>
        <w:rPr>
          <w:sz w:val="24"/>
        </w:rPr>
        <w:t>a</w:t>
      </w:r>
      <w:r>
        <w:rPr>
          <w:spacing w:val="-4"/>
          <w:sz w:val="24"/>
        </w:rPr>
        <w:t xml:space="preserve"> </w:t>
      </w:r>
      <w:r>
        <w:rPr>
          <w:sz w:val="24"/>
        </w:rPr>
        <w:t>new</w:t>
      </w:r>
      <w:r>
        <w:rPr>
          <w:spacing w:val="-4"/>
          <w:sz w:val="24"/>
        </w:rPr>
        <w:t xml:space="preserve"> </w:t>
      </w:r>
      <w:r>
        <w:rPr>
          <w:sz w:val="24"/>
        </w:rPr>
        <w:t>computer</w:t>
      </w:r>
      <w:r>
        <w:rPr>
          <w:spacing w:val="-3"/>
          <w:sz w:val="24"/>
        </w:rPr>
        <w:t xml:space="preserve"> </w:t>
      </w:r>
      <w:r>
        <w:rPr>
          <w:sz w:val="24"/>
        </w:rPr>
        <w:t>system)</w:t>
      </w:r>
      <w:r>
        <w:rPr>
          <w:spacing w:val="-4"/>
          <w:sz w:val="24"/>
        </w:rPr>
        <w:t xml:space="preserve"> </w:t>
      </w:r>
      <w:r>
        <w:rPr>
          <w:sz w:val="24"/>
        </w:rPr>
        <w:t>must</w:t>
      </w:r>
      <w:r>
        <w:rPr>
          <w:spacing w:val="-3"/>
          <w:sz w:val="24"/>
        </w:rPr>
        <w:t xml:space="preserve"> </w:t>
      </w:r>
      <w:r>
        <w:rPr>
          <w:sz w:val="24"/>
        </w:rPr>
        <w:t>be capitalized and amortized according to relevant GAAP principles.</w:t>
      </w:r>
    </w:p>
    <w:p>
      <w:pPr>
        <w:pStyle w:val="ListParagraph"/>
        <w:numPr>
          <w:ilvl w:val="0"/>
          <w:numId w:val="45"/>
        </w:numPr>
        <w:tabs>
          <w:tab w:val="left" w:pos="1584"/>
        </w:tabs>
        <w:spacing w:before="0" w:after="0" w:line="240" w:lineRule="auto"/>
        <w:ind w:left="1584" w:right="1473" w:hanging="360"/>
        <w:jc w:val="left"/>
        <w:rPr>
          <w:sz w:val="24"/>
        </w:rPr>
      </w:pPr>
      <w:r>
        <w:rPr>
          <w:sz w:val="24"/>
        </w:rPr>
        <w:t>Expenditures for non-tangible assets (for example, salaries and benefits) must be reported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manner</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organization’s</w:t>
      </w:r>
      <w:r>
        <w:rPr>
          <w:spacing w:val="-5"/>
          <w:sz w:val="24"/>
        </w:rPr>
        <w:t xml:space="preserve"> </w:t>
      </w:r>
      <w:r>
        <w:rPr>
          <w:sz w:val="24"/>
        </w:rPr>
        <w:t>internal</w:t>
      </w:r>
      <w:r>
        <w:rPr>
          <w:spacing w:val="-4"/>
          <w:sz w:val="24"/>
        </w:rPr>
        <w:t xml:space="preserve"> </w:t>
      </w:r>
      <w:r>
        <w:rPr>
          <w:sz w:val="24"/>
        </w:rPr>
        <w:t>accounting</w:t>
      </w:r>
      <w:r>
        <w:rPr>
          <w:spacing w:val="-4"/>
          <w:sz w:val="24"/>
        </w:rPr>
        <w:t xml:space="preserve"> </w:t>
      </w:r>
      <w:r>
        <w:rPr>
          <w:sz w:val="24"/>
        </w:rPr>
        <w:t>practices and the reporting of similar expenditures in other lines of business.</w:t>
      </w:r>
    </w:p>
    <w:p>
      <w:pPr>
        <w:pStyle w:val="BodyText"/>
        <w:spacing w:before="121"/>
        <w:ind w:right="1481"/>
      </w:pPr>
      <w:r>
        <w:t>Non-benefit</w:t>
      </w:r>
      <w:r>
        <w:rPr>
          <w:spacing w:val="-3"/>
        </w:rPr>
        <w:t xml:space="preserve"> </w:t>
      </w:r>
      <w:r>
        <w:t>expenses</w:t>
      </w:r>
      <w:r>
        <w:rPr>
          <w:spacing w:val="-3"/>
        </w:rPr>
        <w:t xml:space="preserve"> </w:t>
      </w:r>
      <w:r>
        <w:t>that</w:t>
      </w:r>
      <w:r>
        <w:rPr>
          <w:spacing w:val="-3"/>
        </w:rPr>
        <w:t xml:space="preserve"> </w:t>
      </w:r>
      <w:r>
        <w:t>are</w:t>
      </w:r>
      <w:r>
        <w:rPr>
          <w:spacing w:val="-4"/>
        </w:rPr>
        <w:t xml:space="preserve"> </w:t>
      </w:r>
      <w:r>
        <w:t>solely</w:t>
      </w:r>
      <w:r>
        <w:rPr>
          <w:spacing w:val="-3"/>
        </w:rPr>
        <w:t xml:space="preserve"> </w:t>
      </w:r>
      <w:r>
        <w:t>attributable</w:t>
      </w:r>
      <w:r>
        <w:rPr>
          <w:spacing w:val="-3"/>
        </w:rPr>
        <w:t xml:space="preserve"> </w:t>
      </w:r>
      <w:r>
        <w:t>to</w:t>
      </w:r>
      <w:r>
        <w:rPr>
          <w:spacing w:val="-1"/>
        </w:rPr>
        <w:t xml:space="preserve"> </w:t>
      </w:r>
      <w:r>
        <w:t>MA</w:t>
      </w:r>
      <w:r>
        <w:rPr>
          <w:spacing w:val="-4"/>
        </w:rPr>
        <w:t xml:space="preserve"> </w:t>
      </w:r>
      <w:r>
        <w:t>or</w:t>
      </w:r>
      <w:r>
        <w:rPr>
          <w:spacing w:val="-4"/>
        </w:rPr>
        <w:t xml:space="preserve"> </w:t>
      </w:r>
      <w:r>
        <w:t>Part</w:t>
      </w:r>
      <w:r>
        <w:rPr>
          <w:spacing w:val="-3"/>
        </w:rPr>
        <w:t xml:space="preserve"> </w:t>
      </w:r>
      <w:r>
        <w:t>D</w:t>
      </w:r>
      <w:r>
        <w:rPr>
          <w:spacing w:val="-4"/>
        </w:rPr>
        <w:t xml:space="preserve"> </w:t>
      </w:r>
      <w:r>
        <w:t>must</w:t>
      </w:r>
      <w:r>
        <w:rPr>
          <w:spacing w:val="-2"/>
        </w:rPr>
        <w:t xml:space="preserve"> </w:t>
      </w:r>
      <w:r>
        <w:t>be</w:t>
      </w:r>
      <w:r>
        <w:rPr>
          <w:spacing w:val="-4"/>
        </w:rPr>
        <w:t xml:space="preserve"> </w:t>
      </w:r>
      <w:r>
        <w:t>reported</w:t>
      </w:r>
      <w:r>
        <w:rPr>
          <w:spacing w:val="-3"/>
        </w:rPr>
        <w:t xml:space="preserve"> </w:t>
      </w:r>
      <w:r>
        <w:t>only</w:t>
      </w:r>
      <w:r>
        <w:rPr>
          <w:spacing w:val="-3"/>
        </w:rPr>
        <w:t xml:space="preserve"> </w:t>
      </w:r>
      <w:r>
        <w:t>on</w:t>
      </w:r>
      <w:r>
        <w:rPr>
          <w:spacing w:val="-3"/>
        </w:rPr>
        <w:t xml:space="preserve"> </w:t>
      </w:r>
      <w:r>
        <w:t>the corresponding MA or Part D BPT.</w:t>
      </w:r>
    </w:p>
    <w:p>
      <w:pPr>
        <w:pStyle w:val="BodyText"/>
        <w:spacing w:before="120"/>
        <w:ind w:right="1443"/>
      </w:pPr>
      <w:r>
        <w:t>Non-benefit</w:t>
      </w:r>
      <w:r>
        <w:rPr>
          <w:spacing w:val="-3"/>
        </w:rPr>
        <w:t xml:space="preserve"> </w:t>
      </w:r>
      <w:r>
        <w:t>expenses</w:t>
      </w:r>
      <w:r>
        <w:rPr>
          <w:spacing w:val="-3"/>
        </w:rPr>
        <w:t xml:space="preserve"> </w:t>
      </w:r>
      <w:r>
        <w:t>that</w:t>
      </w:r>
      <w:r>
        <w:rPr>
          <w:spacing w:val="-3"/>
        </w:rPr>
        <w:t xml:space="preserve"> </w:t>
      </w:r>
      <w:r>
        <w:t>are</w:t>
      </w:r>
      <w:r>
        <w:rPr>
          <w:spacing w:val="-4"/>
        </w:rPr>
        <w:t xml:space="preserve"> </w:t>
      </w:r>
      <w:r>
        <w:t>common</w:t>
      </w:r>
      <w:r>
        <w:rPr>
          <w:spacing w:val="-3"/>
        </w:rPr>
        <w:t xml:space="preserve"> </w:t>
      </w:r>
      <w:r>
        <w:t>to</w:t>
      </w:r>
      <w:r>
        <w:rPr>
          <w:spacing w:val="-2"/>
        </w:rPr>
        <w:t xml:space="preserve"> </w:t>
      </w:r>
      <w:r>
        <w:t>the</w:t>
      </w:r>
      <w:r>
        <w:rPr>
          <w:spacing w:val="-3"/>
        </w:rPr>
        <w:t xml:space="preserve"> </w:t>
      </w:r>
      <w:r>
        <w:t>MA</w:t>
      </w:r>
      <w:r>
        <w:rPr>
          <w:spacing w:val="-2"/>
        </w:rPr>
        <w:t xml:space="preserve"> </w:t>
      </w:r>
      <w:r>
        <w:t>and</w:t>
      </w:r>
      <w:r>
        <w:rPr>
          <w:spacing w:val="-3"/>
        </w:rPr>
        <w:t xml:space="preserve"> </w:t>
      </w:r>
      <w:r>
        <w:t>Part</w:t>
      </w:r>
      <w:r>
        <w:rPr>
          <w:spacing w:val="-3"/>
        </w:rPr>
        <w:t xml:space="preserve"> </w:t>
      </w:r>
      <w:r>
        <w:t>D</w:t>
      </w:r>
      <w:r>
        <w:rPr>
          <w:spacing w:val="-4"/>
        </w:rPr>
        <w:t xml:space="preserve"> </w:t>
      </w:r>
      <w:r>
        <w:t>components</w:t>
      </w:r>
      <w:r>
        <w:rPr>
          <w:spacing w:val="-4"/>
        </w:rPr>
        <w:t xml:space="preserve"> </w:t>
      </w:r>
      <w:r>
        <w:t>of</w:t>
      </w:r>
      <w:r>
        <w:rPr>
          <w:spacing w:val="-3"/>
        </w:rPr>
        <w:t xml:space="preserve"> </w:t>
      </w:r>
      <w:r>
        <w:t>MA-PD</w:t>
      </w:r>
      <w:r>
        <w:rPr>
          <w:spacing w:val="-4"/>
        </w:rPr>
        <w:t xml:space="preserve"> </w:t>
      </w:r>
      <w:r>
        <w:t>bids</w:t>
      </w:r>
      <w:r>
        <w:rPr>
          <w:spacing w:val="-3"/>
        </w:rPr>
        <w:t xml:space="preserve"> </w:t>
      </w:r>
      <w:r>
        <w:t>must be allocated proportionately between the MA and Part D BPTs.</w:t>
      </w:r>
    </w:p>
    <w:p>
      <w:pPr>
        <w:pStyle w:val="BodyText"/>
        <w:spacing w:before="120"/>
        <w:ind w:right="1513"/>
      </w:pPr>
      <w:r>
        <w:t>When</w:t>
      </w:r>
      <w:r>
        <w:rPr>
          <w:spacing w:val="-3"/>
        </w:rPr>
        <w:t xml:space="preserve"> </w:t>
      </w:r>
      <w:r>
        <w:t>Medicare</w:t>
      </w:r>
      <w:r>
        <w:rPr>
          <w:spacing w:val="-5"/>
        </w:rPr>
        <w:t xml:space="preserve"> </w:t>
      </w:r>
      <w:r>
        <w:t>benefits</w:t>
      </w:r>
      <w:r>
        <w:rPr>
          <w:spacing w:val="-1"/>
        </w:rPr>
        <w:t xml:space="preserve"> </w:t>
      </w:r>
      <w:r>
        <w:t>are</w:t>
      </w:r>
      <w:r>
        <w:rPr>
          <w:spacing w:val="-5"/>
        </w:rPr>
        <w:t xml:space="preserve"> </w:t>
      </w:r>
      <w:r>
        <w:t>funded</w:t>
      </w:r>
      <w:r>
        <w:rPr>
          <w:spacing w:val="-3"/>
        </w:rPr>
        <w:t xml:space="preserve"> </w:t>
      </w:r>
      <w:r>
        <w:t>by</w:t>
      </w:r>
      <w:r>
        <w:rPr>
          <w:spacing w:val="-3"/>
        </w:rPr>
        <w:t xml:space="preserve"> </w:t>
      </w:r>
      <w:r>
        <w:t>an</w:t>
      </w:r>
      <w:r>
        <w:rPr>
          <w:spacing w:val="-3"/>
        </w:rPr>
        <w:t xml:space="preserve"> </w:t>
      </w:r>
      <w:r>
        <w:t>outside</w:t>
      </w:r>
      <w:r>
        <w:rPr>
          <w:spacing w:val="-2"/>
        </w:rPr>
        <w:t xml:space="preserve"> </w:t>
      </w:r>
      <w:r>
        <w:t>source</w:t>
      </w:r>
      <w:r>
        <w:rPr>
          <w:spacing w:val="-4"/>
        </w:rPr>
        <w:t xml:space="preserve"> </w:t>
      </w:r>
      <w:r>
        <w:t>such</w:t>
      </w:r>
      <w:r>
        <w:rPr>
          <w:spacing w:val="-1"/>
        </w:rPr>
        <w:t xml:space="preserve"> </w:t>
      </w:r>
      <w:r>
        <w:t>as</w:t>
      </w:r>
      <w:r>
        <w:rPr>
          <w:spacing w:val="-4"/>
        </w:rPr>
        <w:t xml:space="preserve"> </w:t>
      </w:r>
      <w:r>
        <w:t>a</w:t>
      </w:r>
      <w:r>
        <w:rPr>
          <w:spacing w:val="-4"/>
        </w:rPr>
        <w:t xml:space="preserve"> </w:t>
      </w:r>
      <w:r>
        <w:t>state</w:t>
      </w:r>
      <w:r>
        <w:rPr>
          <w:spacing w:val="-4"/>
        </w:rPr>
        <w:t xml:space="preserve"> </w:t>
      </w:r>
      <w:r>
        <w:t>Medicaid</w:t>
      </w:r>
      <w:r>
        <w:rPr>
          <w:spacing w:val="-3"/>
        </w:rPr>
        <w:t xml:space="preserve"> </w:t>
      </w:r>
      <w:r>
        <w:t>program,</w:t>
      </w:r>
      <w:r>
        <w:rPr>
          <w:spacing w:val="-3"/>
        </w:rPr>
        <w:t xml:space="preserve"> </w:t>
      </w:r>
      <w:r>
        <w:t>the non-benefit expenses must be allocated proportionately between Medicare and the other revenue source.</w:t>
      </w:r>
    </w:p>
    <w:p>
      <w:pPr>
        <w:spacing w:before="240"/>
        <w:ind w:left="504" w:right="0" w:firstLine="0"/>
        <w:jc w:val="left"/>
        <w:rPr>
          <w:rFonts w:ascii="Arial"/>
          <w:b/>
          <w:sz w:val="21"/>
        </w:rPr>
      </w:pPr>
      <w:bookmarkStart w:id="80" w:name="Optional Supplemental Benefits"/>
      <w:bookmarkEnd w:id="80"/>
      <w:bookmarkStart w:id="81" w:name="_bookmark26"/>
      <w:bookmarkEnd w:id="81"/>
      <w:r>
        <w:rPr>
          <w:rFonts w:ascii="Arial"/>
          <w:b/>
          <w:sz w:val="21"/>
        </w:rPr>
        <w:t>Optional</w:t>
      </w:r>
      <w:r>
        <w:rPr>
          <w:rFonts w:ascii="Arial"/>
          <w:b/>
          <w:spacing w:val="-10"/>
          <w:sz w:val="21"/>
        </w:rPr>
        <w:t xml:space="preserve"> </w:t>
      </w:r>
      <w:r>
        <w:rPr>
          <w:rFonts w:ascii="Arial"/>
          <w:b/>
          <w:sz w:val="21"/>
        </w:rPr>
        <w:t>Supplemental</w:t>
      </w:r>
      <w:r>
        <w:rPr>
          <w:rFonts w:ascii="Arial"/>
          <w:b/>
          <w:spacing w:val="-12"/>
          <w:sz w:val="21"/>
        </w:rPr>
        <w:t xml:space="preserve"> </w:t>
      </w:r>
      <w:r>
        <w:rPr>
          <w:rFonts w:ascii="Arial"/>
          <w:b/>
          <w:spacing w:val="-2"/>
          <w:sz w:val="21"/>
        </w:rPr>
        <w:t>Benefits</w:t>
      </w:r>
    </w:p>
    <w:p>
      <w:pPr>
        <w:pStyle w:val="BodyText"/>
        <w:spacing w:before="119"/>
        <w:ind w:right="1743"/>
      </w:pPr>
      <w:r>
        <w:t xml:space="preserve">See the Announcement at </w:t>
      </w:r>
      <w:hyperlink r:id="rId21">
        <w:r>
          <w:rPr>
            <w:color w:val="0000FF"/>
            <w:u w:val="single" w:color="0000FF"/>
          </w:rPr>
          <w:t>https://www.cms.gov/medicare/health-</w:t>
        </w:r>
      </w:hyperlink>
      <w:hyperlink r:id="rId21">
        <w:r>
          <w:rPr>
            <w:color w:val="0000FF"/>
            <w:spacing w:val="-2"/>
            <w:u w:val="single" w:color="0000FF"/>
          </w:rPr>
          <w:t>plans/medicareadvtgspecratestats/announcements-and-documents-items/2020announcement</w:t>
        </w:r>
      </w:hyperlink>
      <w:r>
        <w:rPr>
          <w:spacing w:val="-2"/>
          <w:u w:val="none"/>
        </w:rPr>
        <w:t xml:space="preserve">. </w:t>
      </w:r>
      <w:r>
        <w:rPr>
          <w:u w:val="none"/>
        </w:rPr>
        <w:t>CMS</w:t>
      </w:r>
      <w:r>
        <w:rPr>
          <w:spacing w:val="-3"/>
          <w:u w:val="none"/>
        </w:rPr>
        <w:t xml:space="preserve"> </w:t>
      </w:r>
      <w:r>
        <w:rPr>
          <w:u w:val="none"/>
        </w:rPr>
        <w:t>considers</w:t>
      </w:r>
      <w:r>
        <w:rPr>
          <w:spacing w:val="-5"/>
          <w:u w:val="none"/>
        </w:rPr>
        <w:t xml:space="preserve"> </w:t>
      </w:r>
      <w:r>
        <w:rPr>
          <w:u w:val="none"/>
        </w:rPr>
        <w:t>plan</w:t>
      </w:r>
      <w:r>
        <w:rPr>
          <w:spacing w:val="-4"/>
          <w:u w:val="none"/>
        </w:rPr>
        <w:t xml:space="preserve"> </w:t>
      </w:r>
      <w:r>
        <w:rPr>
          <w:u w:val="none"/>
        </w:rPr>
        <w:t>designs</w:t>
      </w:r>
      <w:r>
        <w:rPr>
          <w:spacing w:val="-4"/>
          <w:u w:val="none"/>
        </w:rPr>
        <w:t xml:space="preserve"> </w:t>
      </w:r>
      <w:r>
        <w:rPr>
          <w:u w:val="none"/>
        </w:rPr>
        <w:t>for</w:t>
      </w:r>
      <w:r>
        <w:rPr>
          <w:spacing w:val="-6"/>
          <w:u w:val="none"/>
        </w:rPr>
        <w:t xml:space="preserve"> </w:t>
      </w:r>
      <w:r>
        <w:rPr>
          <w:u w:val="none"/>
        </w:rPr>
        <w:t>optional</w:t>
      </w:r>
      <w:r>
        <w:rPr>
          <w:spacing w:val="-4"/>
          <w:u w:val="none"/>
        </w:rPr>
        <w:t xml:space="preserve"> </w:t>
      </w:r>
      <w:r>
        <w:rPr>
          <w:u w:val="none"/>
        </w:rPr>
        <w:t>supplemental</w:t>
      </w:r>
      <w:r>
        <w:rPr>
          <w:spacing w:val="-4"/>
          <w:u w:val="none"/>
        </w:rPr>
        <w:t xml:space="preserve"> </w:t>
      </w:r>
      <w:r>
        <w:rPr>
          <w:u w:val="none"/>
        </w:rPr>
        <w:t>benefits</w:t>
      </w:r>
      <w:r>
        <w:rPr>
          <w:spacing w:val="-5"/>
          <w:u w:val="none"/>
        </w:rPr>
        <w:t xml:space="preserve"> </w:t>
      </w:r>
      <w:r>
        <w:rPr>
          <w:u w:val="none"/>
        </w:rPr>
        <w:t>to</w:t>
      </w:r>
      <w:r>
        <w:rPr>
          <w:spacing w:val="-4"/>
          <w:u w:val="none"/>
        </w:rPr>
        <w:t xml:space="preserve"> </w:t>
      </w:r>
      <w:r>
        <w:rPr>
          <w:u w:val="none"/>
        </w:rPr>
        <w:t>be</w:t>
      </w:r>
      <w:r>
        <w:rPr>
          <w:spacing w:val="-5"/>
          <w:u w:val="none"/>
        </w:rPr>
        <w:t xml:space="preserve"> </w:t>
      </w:r>
      <w:r>
        <w:rPr>
          <w:u w:val="none"/>
        </w:rPr>
        <w:t>non-discriminatory</w:t>
      </w:r>
      <w:r>
        <w:rPr>
          <w:spacing w:val="-3"/>
          <w:u w:val="none"/>
        </w:rPr>
        <w:t xml:space="preserve"> </w:t>
      </w:r>
      <w:r>
        <w:rPr>
          <w:u w:val="none"/>
        </w:rPr>
        <w:t>and provides reasonable value to enrollees when the total value of the optional supplemental benefits offered by all plans under the contract meet the following thresholds:</w:t>
      </w:r>
    </w:p>
    <w:p>
      <w:pPr>
        <w:pStyle w:val="ListParagraph"/>
        <w:numPr>
          <w:ilvl w:val="0"/>
          <w:numId w:val="45"/>
        </w:numPr>
        <w:tabs>
          <w:tab w:val="left" w:pos="1584"/>
        </w:tabs>
        <w:spacing w:before="120" w:after="0" w:line="240" w:lineRule="auto"/>
        <w:ind w:left="1584" w:right="1553" w:hanging="360"/>
        <w:jc w:val="left"/>
        <w:rPr>
          <w:sz w:val="24"/>
        </w:rPr>
      </w:pPr>
      <w:r>
        <w:rPr>
          <w:sz w:val="24"/>
        </w:rPr>
        <w:t>The</w:t>
      </w:r>
      <w:r>
        <w:rPr>
          <w:spacing w:val="-7"/>
          <w:sz w:val="24"/>
        </w:rPr>
        <w:t xml:space="preserve"> </w:t>
      </w:r>
      <w:r>
        <w:rPr>
          <w:sz w:val="24"/>
        </w:rPr>
        <w:t>enrollment-weighted</w:t>
      </w:r>
      <w:r>
        <w:rPr>
          <w:spacing w:val="-3"/>
          <w:sz w:val="24"/>
        </w:rPr>
        <w:t xml:space="preserve"> </w:t>
      </w:r>
      <w:r>
        <w:rPr>
          <w:sz w:val="24"/>
        </w:rPr>
        <w:t>contract-level</w:t>
      </w:r>
      <w:r>
        <w:rPr>
          <w:spacing w:val="-5"/>
          <w:sz w:val="24"/>
        </w:rPr>
        <w:t xml:space="preserve"> </w:t>
      </w:r>
      <w:r>
        <w:rPr>
          <w:sz w:val="24"/>
        </w:rPr>
        <w:t>projected</w:t>
      </w:r>
      <w:r>
        <w:rPr>
          <w:spacing w:val="-3"/>
          <w:sz w:val="24"/>
        </w:rPr>
        <w:t xml:space="preserve"> </w:t>
      </w:r>
      <w:r>
        <w:rPr>
          <w:sz w:val="24"/>
        </w:rPr>
        <w:t>gain/loss</w:t>
      </w:r>
      <w:r>
        <w:rPr>
          <w:spacing w:val="-5"/>
          <w:sz w:val="24"/>
        </w:rPr>
        <w:t xml:space="preserve"> </w:t>
      </w:r>
      <w:r>
        <w:rPr>
          <w:sz w:val="24"/>
        </w:rPr>
        <w:t>margin,</w:t>
      </w:r>
      <w:r>
        <w:rPr>
          <w:spacing w:val="-5"/>
          <w:sz w:val="24"/>
        </w:rPr>
        <w:t xml:space="preserve"> </w:t>
      </w:r>
      <w:r>
        <w:rPr>
          <w:sz w:val="24"/>
        </w:rPr>
        <w:t>as</w:t>
      </w:r>
      <w:r>
        <w:rPr>
          <w:spacing w:val="-6"/>
          <w:sz w:val="24"/>
        </w:rPr>
        <w:t xml:space="preserve"> </w:t>
      </w:r>
      <w:r>
        <w:rPr>
          <w:sz w:val="24"/>
        </w:rPr>
        <w:t>measured</w:t>
      </w:r>
      <w:r>
        <w:rPr>
          <w:spacing w:val="-5"/>
          <w:sz w:val="24"/>
        </w:rPr>
        <w:t xml:space="preserve"> </w:t>
      </w:r>
      <w:r>
        <w:rPr>
          <w:sz w:val="24"/>
        </w:rPr>
        <w:t>by a percent of premium, cannot exceed 15 percent.</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ListParagraph"/>
        <w:numPr>
          <w:ilvl w:val="0"/>
          <w:numId w:val="45"/>
        </w:numPr>
        <w:tabs>
          <w:tab w:val="left" w:pos="1584"/>
        </w:tabs>
        <w:spacing w:before="0" w:after="0" w:line="240" w:lineRule="auto"/>
        <w:ind w:left="1584" w:right="1677" w:hanging="360"/>
        <w:jc w:val="left"/>
        <w:rPr>
          <w:sz w:val="24"/>
        </w:rPr>
      </w:pPr>
      <w:r>
        <w:rPr>
          <w:sz w:val="24"/>
        </w:rPr>
        <w:t>The</w:t>
      </w:r>
      <w:r>
        <w:rPr>
          <w:spacing w:val="-6"/>
          <w:sz w:val="24"/>
        </w:rPr>
        <w:t xml:space="preserve"> </w:t>
      </w:r>
      <w:r>
        <w:rPr>
          <w:sz w:val="24"/>
        </w:rPr>
        <w:t>sum</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enrollment-weighted</w:t>
      </w:r>
      <w:r>
        <w:rPr>
          <w:spacing w:val="-4"/>
          <w:sz w:val="24"/>
        </w:rPr>
        <w:t xml:space="preserve"> </w:t>
      </w:r>
      <w:r>
        <w:rPr>
          <w:sz w:val="24"/>
        </w:rPr>
        <w:t>contract-level</w:t>
      </w:r>
      <w:r>
        <w:rPr>
          <w:spacing w:val="-4"/>
          <w:sz w:val="24"/>
        </w:rPr>
        <w:t xml:space="preserve"> </w:t>
      </w:r>
      <w:r>
        <w:rPr>
          <w:sz w:val="24"/>
        </w:rPr>
        <w:t>projected</w:t>
      </w:r>
      <w:r>
        <w:rPr>
          <w:spacing w:val="-5"/>
          <w:sz w:val="24"/>
        </w:rPr>
        <w:t xml:space="preserve"> </w:t>
      </w:r>
      <w:r>
        <w:rPr>
          <w:sz w:val="24"/>
        </w:rPr>
        <w:t>gain/loss</w:t>
      </w:r>
      <w:r>
        <w:rPr>
          <w:spacing w:val="-4"/>
          <w:sz w:val="24"/>
        </w:rPr>
        <w:t xml:space="preserve"> </w:t>
      </w:r>
      <w:r>
        <w:rPr>
          <w:sz w:val="24"/>
        </w:rPr>
        <w:t>margin</w:t>
      </w:r>
      <w:r>
        <w:rPr>
          <w:spacing w:val="-4"/>
          <w:sz w:val="24"/>
        </w:rPr>
        <w:t xml:space="preserve"> </w:t>
      </w:r>
      <w:r>
        <w:rPr>
          <w:sz w:val="24"/>
        </w:rPr>
        <w:t>and non-benefit expenses, as measured by a percent of premium, cannot exceed</w:t>
      </w:r>
    </w:p>
    <w:p>
      <w:pPr>
        <w:pStyle w:val="BodyText"/>
        <w:ind w:left="1584"/>
      </w:pPr>
      <w:r>
        <w:t>30</w:t>
      </w:r>
      <w:r>
        <w:rPr>
          <w:spacing w:val="-1"/>
        </w:rPr>
        <w:t xml:space="preserve"> </w:t>
      </w:r>
      <w:r>
        <w:t>percent</w:t>
      </w:r>
      <w:r>
        <w:rPr>
          <w:spacing w:val="-1"/>
        </w:rPr>
        <w:t xml:space="preserve"> </w:t>
      </w:r>
      <w:r>
        <w:t xml:space="preserve">of </w:t>
      </w:r>
      <w:r>
        <w:rPr>
          <w:spacing w:val="-2"/>
        </w:rPr>
        <w:t>revenue.</w:t>
      </w:r>
    </w:p>
    <w:p>
      <w:pPr>
        <w:spacing w:before="241"/>
        <w:ind w:left="504" w:right="0" w:firstLine="0"/>
        <w:jc w:val="left"/>
        <w:rPr>
          <w:rFonts w:ascii="Arial"/>
          <w:b/>
          <w:sz w:val="21"/>
        </w:rPr>
      </w:pPr>
      <w:bookmarkStart w:id="82" w:name="Out-of-Area Enrollees"/>
      <w:bookmarkEnd w:id="82"/>
      <w:bookmarkStart w:id="83" w:name="_bookmark27"/>
      <w:bookmarkEnd w:id="83"/>
      <w:r>
        <w:rPr>
          <w:rFonts w:ascii="Arial"/>
          <w:b/>
          <w:sz w:val="21"/>
        </w:rPr>
        <w:t>Out-of-Area</w:t>
      </w:r>
      <w:r>
        <w:rPr>
          <w:rFonts w:ascii="Arial"/>
          <w:b/>
          <w:spacing w:val="-11"/>
          <w:sz w:val="21"/>
        </w:rPr>
        <w:t xml:space="preserve"> </w:t>
      </w:r>
      <w:r>
        <w:rPr>
          <w:rFonts w:ascii="Arial"/>
          <w:b/>
          <w:spacing w:val="-2"/>
          <w:sz w:val="21"/>
        </w:rPr>
        <w:t>Enrollees</w:t>
      </w:r>
    </w:p>
    <w:p>
      <w:pPr>
        <w:pStyle w:val="BodyText"/>
        <w:spacing w:before="120"/>
        <w:ind w:right="1481"/>
      </w:pPr>
      <w:r>
        <w:t>The</w:t>
      </w:r>
      <w:r>
        <w:rPr>
          <w:spacing w:val="-5"/>
        </w:rPr>
        <w:t xml:space="preserve"> </w:t>
      </w:r>
      <w:r>
        <w:t>BPT</w:t>
      </w:r>
      <w:r>
        <w:rPr>
          <w:spacing w:val="-3"/>
        </w:rPr>
        <w:t xml:space="preserve"> </w:t>
      </w:r>
      <w:r>
        <w:t>must</w:t>
      </w:r>
      <w:r>
        <w:rPr>
          <w:spacing w:val="-3"/>
        </w:rPr>
        <w:t xml:space="preserve"> </w:t>
      </w:r>
      <w:r>
        <w:t>reflect</w:t>
      </w:r>
      <w:r>
        <w:rPr>
          <w:spacing w:val="-3"/>
        </w:rPr>
        <w:t xml:space="preserve"> </w:t>
      </w:r>
      <w:r>
        <w:t>the</w:t>
      </w:r>
      <w:r>
        <w:rPr>
          <w:spacing w:val="-2"/>
        </w:rPr>
        <w:t xml:space="preserve"> </w:t>
      </w:r>
      <w:r>
        <w:t>impact</w:t>
      </w:r>
      <w:r>
        <w:rPr>
          <w:spacing w:val="-3"/>
        </w:rPr>
        <w:t xml:space="preserve"> </w:t>
      </w:r>
      <w:r>
        <w:t>of</w:t>
      </w:r>
      <w:r>
        <w:rPr>
          <w:spacing w:val="-3"/>
        </w:rPr>
        <w:t xml:space="preserve"> </w:t>
      </w:r>
      <w:r>
        <w:t>out-of-areas</w:t>
      </w:r>
      <w:r>
        <w:rPr>
          <w:spacing w:val="-4"/>
        </w:rPr>
        <w:t xml:space="preserve"> </w:t>
      </w:r>
      <w:r>
        <w:t>members</w:t>
      </w:r>
      <w:r>
        <w:rPr>
          <w:spacing w:val="-4"/>
        </w:rPr>
        <w:t xml:space="preserve"> </w:t>
      </w:r>
      <w:r>
        <w:t>in</w:t>
      </w:r>
      <w:r>
        <w:rPr>
          <w:spacing w:val="-3"/>
        </w:rPr>
        <w:t xml:space="preserve"> </w:t>
      </w:r>
      <w:r>
        <w:t>the</w:t>
      </w:r>
      <w:r>
        <w:rPr>
          <w:spacing w:val="-4"/>
        </w:rPr>
        <w:t xml:space="preserve"> </w:t>
      </w:r>
      <w:r>
        <w:t>base</w:t>
      </w:r>
      <w:r>
        <w:rPr>
          <w:spacing w:val="-4"/>
        </w:rPr>
        <w:t xml:space="preserve"> </w:t>
      </w:r>
      <w:r>
        <w:t>period</w:t>
      </w:r>
      <w:r>
        <w:rPr>
          <w:spacing w:val="-2"/>
        </w:rPr>
        <w:t xml:space="preserve"> </w:t>
      </w:r>
      <w:r>
        <w:t>experience</w:t>
      </w:r>
      <w:r>
        <w:rPr>
          <w:spacing w:val="-4"/>
        </w:rPr>
        <w:t xml:space="preserve"> </w:t>
      </w:r>
      <w:r>
        <w:t>and</w:t>
      </w:r>
      <w:r>
        <w:rPr>
          <w:spacing w:val="-3"/>
        </w:rPr>
        <w:t xml:space="preserve"> </w:t>
      </w:r>
      <w:r>
        <w:t>in the projected values for the contract year, including the calculation of the ESRD subsidy.</w:t>
      </w:r>
    </w:p>
    <w:p>
      <w:pPr>
        <w:pStyle w:val="BodyText"/>
        <w:spacing w:before="120"/>
      </w:pPr>
      <w:r>
        <w:t>Enrollees</w:t>
      </w:r>
      <w:r>
        <w:rPr>
          <w:spacing w:val="-4"/>
        </w:rPr>
        <w:t xml:space="preserve"> </w:t>
      </w:r>
      <w:r>
        <w:t>are</w:t>
      </w:r>
      <w:r>
        <w:rPr>
          <w:spacing w:val="-2"/>
        </w:rPr>
        <w:t xml:space="preserve"> </w:t>
      </w:r>
      <w:r>
        <w:t>classified</w:t>
      </w:r>
      <w:r>
        <w:rPr>
          <w:spacing w:val="1"/>
        </w:rPr>
        <w:t xml:space="preserve"> </w:t>
      </w:r>
      <w:r>
        <w:t>as</w:t>
      </w:r>
      <w:r>
        <w:rPr>
          <w:spacing w:val="-2"/>
        </w:rPr>
        <w:t xml:space="preserve"> </w:t>
      </w:r>
      <w:r>
        <w:t>out-of-area</w:t>
      </w:r>
      <w:r>
        <w:rPr>
          <w:spacing w:val="-2"/>
        </w:rPr>
        <w:t xml:space="preserve"> </w:t>
      </w:r>
      <w:r>
        <w:t>based on</w:t>
      </w:r>
      <w:r>
        <w:rPr>
          <w:spacing w:val="-1"/>
        </w:rPr>
        <w:t xml:space="preserve"> </w:t>
      </w:r>
      <w:r>
        <w:t>the</w:t>
      </w:r>
      <w:r>
        <w:rPr>
          <w:spacing w:val="-2"/>
        </w:rPr>
        <w:t xml:space="preserve"> </w:t>
      </w:r>
      <w:r>
        <w:t>classification</w:t>
      </w:r>
      <w:r>
        <w:rPr>
          <w:spacing w:val="-1"/>
        </w:rPr>
        <w:t xml:space="preserve"> </w:t>
      </w:r>
      <w:r>
        <w:t>used</w:t>
      </w:r>
      <w:r>
        <w:rPr>
          <w:spacing w:val="1"/>
        </w:rPr>
        <w:t xml:space="preserve"> </w:t>
      </w:r>
      <w:r>
        <w:t>for</w:t>
      </w:r>
      <w:r>
        <w:rPr>
          <w:spacing w:val="-1"/>
        </w:rPr>
        <w:t xml:space="preserve"> </w:t>
      </w:r>
      <w:r>
        <w:t>MA</w:t>
      </w:r>
      <w:r>
        <w:rPr>
          <w:spacing w:val="-1"/>
        </w:rPr>
        <w:t xml:space="preserve"> </w:t>
      </w:r>
      <w:r>
        <w:rPr>
          <w:spacing w:val="-2"/>
        </w:rPr>
        <w:t>payment.</w:t>
      </w:r>
    </w:p>
    <w:p>
      <w:pPr>
        <w:pStyle w:val="BodyText"/>
        <w:spacing w:before="120"/>
        <w:ind w:right="1443"/>
      </w:pPr>
      <w:r>
        <w:t>The</w:t>
      </w:r>
      <w:r>
        <w:rPr>
          <w:spacing w:val="-5"/>
        </w:rPr>
        <w:t xml:space="preserve"> </w:t>
      </w:r>
      <w:r>
        <w:t>user</w:t>
      </w:r>
      <w:r>
        <w:rPr>
          <w:spacing w:val="-3"/>
        </w:rPr>
        <w:t xml:space="preserve"> </w:t>
      </w:r>
      <w:r>
        <w:t>must</w:t>
      </w:r>
      <w:r>
        <w:rPr>
          <w:spacing w:val="-3"/>
        </w:rPr>
        <w:t xml:space="preserve"> </w:t>
      </w:r>
      <w:r>
        <w:t>enter</w:t>
      </w:r>
      <w:r>
        <w:rPr>
          <w:spacing w:val="-3"/>
        </w:rPr>
        <w:t xml:space="preserve"> </w:t>
      </w:r>
      <w:r>
        <w:t>distinct</w:t>
      </w:r>
      <w:r>
        <w:rPr>
          <w:spacing w:val="-3"/>
        </w:rPr>
        <w:t xml:space="preserve"> </w:t>
      </w:r>
      <w:r>
        <w:t>projected</w:t>
      </w:r>
      <w:r>
        <w:rPr>
          <w:spacing w:val="-3"/>
        </w:rPr>
        <w:t xml:space="preserve"> </w:t>
      </w:r>
      <w:r>
        <w:t>member</w:t>
      </w:r>
      <w:r>
        <w:rPr>
          <w:spacing w:val="-3"/>
        </w:rPr>
        <w:t xml:space="preserve"> </w:t>
      </w:r>
      <w:r>
        <w:t>months</w:t>
      </w:r>
      <w:r>
        <w:rPr>
          <w:spacing w:val="-3"/>
        </w:rPr>
        <w:t xml:space="preserve"> </w:t>
      </w:r>
      <w:r>
        <w:t>and</w:t>
      </w:r>
      <w:r>
        <w:rPr>
          <w:spacing w:val="-3"/>
        </w:rPr>
        <w:t xml:space="preserve"> </w:t>
      </w:r>
      <w:r>
        <w:t>projected</w:t>
      </w:r>
      <w:r>
        <w:rPr>
          <w:spacing w:val="-3"/>
        </w:rPr>
        <w:t xml:space="preserve"> </w:t>
      </w:r>
      <w:r>
        <w:t>risk</w:t>
      </w:r>
      <w:r>
        <w:rPr>
          <w:spacing w:val="-1"/>
        </w:rPr>
        <w:t xml:space="preserve"> </w:t>
      </w:r>
      <w:r>
        <w:t>factors</w:t>
      </w:r>
      <w:r>
        <w:rPr>
          <w:spacing w:val="-3"/>
        </w:rPr>
        <w:t xml:space="preserve"> </w:t>
      </w:r>
      <w:r>
        <w:t>for</w:t>
      </w:r>
      <w:r>
        <w:rPr>
          <w:spacing w:val="-5"/>
        </w:rPr>
        <w:t xml:space="preserve"> </w:t>
      </w:r>
      <w:r>
        <w:t>out-of-area members in Worksheet 5, Section VI, row 38.</w:t>
      </w:r>
    </w:p>
    <w:p>
      <w:pPr>
        <w:pStyle w:val="BodyText"/>
        <w:spacing w:before="120"/>
        <w:ind w:right="1481"/>
      </w:pPr>
      <w:r>
        <w:t>The</w:t>
      </w:r>
      <w:r>
        <w:rPr>
          <w:spacing w:val="-6"/>
        </w:rPr>
        <w:t xml:space="preserve"> </w:t>
      </w:r>
      <w:r>
        <w:t>“Dual-Eligible</w:t>
      </w:r>
      <w:r>
        <w:rPr>
          <w:spacing w:val="-5"/>
        </w:rPr>
        <w:t xml:space="preserve"> </w:t>
      </w:r>
      <w:r>
        <w:t>Beneficiaries”</w:t>
      </w:r>
      <w:r>
        <w:rPr>
          <w:spacing w:val="-5"/>
        </w:rPr>
        <w:t xml:space="preserve"> </w:t>
      </w:r>
      <w:r>
        <w:t>pricing</w:t>
      </w:r>
      <w:r>
        <w:rPr>
          <w:spacing w:val="-4"/>
        </w:rPr>
        <w:t xml:space="preserve"> </w:t>
      </w:r>
      <w:r>
        <w:t>consideration</w:t>
      </w:r>
      <w:r>
        <w:rPr>
          <w:spacing w:val="-4"/>
        </w:rPr>
        <w:t xml:space="preserve"> </w:t>
      </w:r>
      <w:r>
        <w:t>explains</w:t>
      </w:r>
      <w:r>
        <w:rPr>
          <w:spacing w:val="-5"/>
        </w:rPr>
        <w:t xml:space="preserve"> </w:t>
      </w:r>
      <w:r>
        <w:t>that</w:t>
      </w:r>
      <w:r>
        <w:rPr>
          <w:spacing w:val="-4"/>
        </w:rPr>
        <w:t xml:space="preserve"> </w:t>
      </w:r>
      <w:r>
        <w:t>out-of-area</w:t>
      </w:r>
      <w:r>
        <w:rPr>
          <w:spacing w:val="-5"/>
        </w:rPr>
        <w:t xml:space="preserve"> </w:t>
      </w:r>
      <w:r>
        <w:t>members</w:t>
      </w:r>
      <w:r>
        <w:rPr>
          <w:spacing w:val="-5"/>
        </w:rPr>
        <w:t xml:space="preserve"> </w:t>
      </w:r>
      <w:r>
        <w:t>are attributable to the DE# and non-DE# populations in Worksheet 5, Section II.</w:t>
      </w:r>
    </w:p>
    <w:p>
      <w:pPr>
        <w:spacing w:before="242"/>
        <w:ind w:left="504" w:right="0" w:firstLine="0"/>
        <w:jc w:val="left"/>
        <w:rPr>
          <w:rFonts w:ascii="Arial"/>
          <w:b/>
          <w:sz w:val="21"/>
        </w:rPr>
      </w:pPr>
      <w:bookmarkStart w:id="84" w:name="Part B Premium and Buydown"/>
      <w:bookmarkEnd w:id="84"/>
      <w:bookmarkStart w:id="85" w:name="_bookmark28"/>
      <w:bookmarkEnd w:id="85"/>
      <w:r>
        <w:rPr>
          <w:rFonts w:ascii="Arial"/>
          <w:b/>
          <w:sz w:val="21"/>
        </w:rPr>
        <w:t>Part</w:t>
      </w:r>
      <w:r>
        <w:rPr>
          <w:rFonts w:ascii="Arial"/>
          <w:b/>
          <w:spacing w:val="-4"/>
          <w:sz w:val="21"/>
        </w:rPr>
        <w:t xml:space="preserve"> </w:t>
      </w:r>
      <w:r>
        <w:rPr>
          <w:rFonts w:ascii="Arial"/>
          <w:b/>
          <w:sz w:val="21"/>
        </w:rPr>
        <w:t>B</w:t>
      </w:r>
      <w:r>
        <w:rPr>
          <w:rFonts w:ascii="Arial"/>
          <w:b/>
          <w:spacing w:val="-5"/>
          <w:sz w:val="21"/>
        </w:rPr>
        <w:t xml:space="preserve"> </w:t>
      </w:r>
      <w:r>
        <w:rPr>
          <w:rFonts w:ascii="Arial"/>
          <w:b/>
          <w:sz w:val="21"/>
        </w:rPr>
        <w:t>Premium</w:t>
      </w:r>
      <w:r>
        <w:rPr>
          <w:rFonts w:ascii="Arial"/>
          <w:b/>
          <w:spacing w:val="-5"/>
          <w:sz w:val="21"/>
        </w:rPr>
        <w:t xml:space="preserve"> </w:t>
      </w:r>
      <w:r>
        <w:rPr>
          <w:rFonts w:ascii="Arial"/>
          <w:b/>
          <w:sz w:val="21"/>
        </w:rPr>
        <w:t>and</w:t>
      </w:r>
      <w:r>
        <w:rPr>
          <w:rFonts w:ascii="Arial"/>
          <w:b/>
          <w:spacing w:val="-3"/>
          <w:sz w:val="21"/>
        </w:rPr>
        <w:t xml:space="preserve"> </w:t>
      </w:r>
      <w:r>
        <w:rPr>
          <w:rFonts w:ascii="Arial"/>
          <w:b/>
          <w:spacing w:val="-2"/>
          <w:sz w:val="21"/>
        </w:rPr>
        <w:t>Buydown</w:t>
      </w:r>
    </w:p>
    <w:p>
      <w:pPr>
        <w:pStyle w:val="BodyText"/>
        <w:spacing w:before="117"/>
        <w:ind w:right="1481"/>
      </w:pPr>
      <w:r>
        <w:t>MA</w:t>
      </w:r>
      <w:r>
        <w:rPr>
          <w:spacing w:val="-4"/>
        </w:rPr>
        <w:t xml:space="preserve"> </w:t>
      </w:r>
      <w:r>
        <w:t>enrollees</w:t>
      </w:r>
      <w:r>
        <w:rPr>
          <w:spacing w:val="-1"/>
        </w:rPr>
        <w:t xml:space="preserve"> </w:t>
      </w:r>
      <w:r>
        <w:t>are</w:t>
      </w:r>
      <w:r>
        <w:rPr>
          <w:spacing w:val="-3"/>
        </w:rPr>
        <w:t xml:space="preserve"> </w:t>
      </w:r>
      <w:r>
        <w:t>required</w:t>
      </w:r>
      <w:r>
        <w:rPr>
          <w:spacing w:val="-3"/>
        </w:rPr>
        <w:t xml:space="preserve"> </w:t>
      </w:r>
      <w:r>
        <w:t>to</w:t>
      </w:r>
      <w:r>
        <w:rPr>
          <w:spacing w:val="-3"/>
        </w:rPr>
        <w:t xml:space="preserve"> </w:t>
      </w:r>
      <w:r>
        <w:t>pay</w:t>
      </w:r>
      <w:r>
        <w:rPr>
          <w:spacing w:val="-3"/>
        </w:rPr>
        <w:t xml:space="preserve"> </w:t>
      </w:r>
      <w:r>
        <w:t>the</w:t>
      </w:r>
      <w:r>
        <w:rPr>
          <w:spacing w:val="-3"/>
        </w:rPr>
        <w:t xml:space="preserve"> </w:t>
      </w:r>
      <w:r>
        <w:t>Part</w:t>
      </w:r>
      <w:r>
        <w:rPr>
          <w:spacing w:val="-3"/>
        </w:rPr>
        <w:t xml:space="preserve"> </w:t>
      </w:r>
      <w:r>
        <w:t>B</w:t>
      </w:r>
      <w:r>
        <w:rPr>
          <w:spacing w:val="-3"/>
        </w:rPr>
        <w:t xml:space="preserve"> </w:t>
      </w:r>
      <w:r>
        <w:t>premium,</w:t>
      </w:r>
      <w:r>
        <w:rPr>
          <w:spacing w:val="-3"/>
        </w:rPr>
        <w:t xml:space="preserve"> </w:t>
      </w:r>
      <w:r>
        <w:t>but</w:t>
      </w:r>
      <w:r>
        <w:rPr>
          <w:spacing w:val="-3"/>
        </w:rPr>
        <w:t xml:space="preserve"> </w:t>
      </w:r>
      <w:r>
        <w:t>it</w:t>
      </w:r>
      <w:r>
        <w:rPr>
          <w:spacing w:val="-3"/>
        </w:rPr>
        <w:t xml:space="preserve"> </w:t>
      </w:r>
      <w:r>
        <w:t>may</w:t>
      </w:r>
      <w:r>
        <w:rPr>
          <w:spacing w:val="-3"/>
        </w:rPr>
        <w:t xml:space="preserve"> </w:t>
      </w:r>
      <w:r>
        <w:t>be</w:t>
      </w:r>
      <w:r>
        <w:rPr>
          <w:spacing w:val="-5"/>
        </w:rPr>
        <w:t xml:space="preserve"> </w:t>
      </w:r>
      <w:r>
        <w:t>reduced</w:t>
      </w:r>
      <w:r>
        <w:rPr>
          <w:spacing w:val="-3"/>
        </w:rPr>
        <w:t xml:space="preserve"> </w:t>
      </w:r>
      <w:r>
        <w:t>by</w:t>
      </w:r>
      <w:r>
        <w:rPr>
          <w:spacing w:val="-3"/>
        </w:rPr>
        <w:t xml:space="preserve"> </w:t>
      </w:r>
      <w:r>
        <w:t>the</w:t>
      </w:r>
      <w:r>
        <w:rPr>
          <w:spacing w:val="-2"/>
        </w:rPr>
        <w:t xml:space="preserve"> </w:t>
      </w:r>
      <w:r>
        <w:t>MAO through the use of MA rebates.</w:t>
      </w:r>
    </w:p>
    <w:p>
      <w:pPr>
        <w:pStyle w:val="BodyText"/>
        <w:spacing w:before="120"/>
        <w:ind w:right="1481"/>
      </w:pPr>
      <w:r>
        <w:t>Note</w:t>
      </w:r>
      <w:r>
        <w:rPr>
          <w:spacing w:val="-4"/>
        </w:rPr>
        <w:t xml:space="preserve"> </w:t>
      </w:r>
      <w:r>
        <w:t>that</w:t>
      </w:r>
      <w:r>
        <w:rPr>
          <w:spacing w:val="-3"/>
        </w:rPr>
        <w:t xml:space="preserve"> </w:t>
      </w:r>
      <w:r>
        <w:t>the</w:t>
      </w:r>
      <w:r>
        <w:rPr>
          <w:spacing w:val="-4"/>
        </w:rPr>
        <w:t xml:space="preserve"> </w:t>
      </w:r>
      <w:r>
        <w:t>Part</w:t>
      </w:r>
      <w:r>
        <w:rPr>
          <w:spacing w:val="-3"/>
        </w:rPr>
        <w:t xml:space="preserve"> </w:t>
      </w:r>
      <w:r>
        <w:t>B</w:t>
      </w:r>
      <w:r>
        <w:rPr>
          <w:spacing w:val="-3"/>
        </w:rPr>
        <w:t xml:space="preserve"> </w:t>
      </w:r>
      <w:r>
        <w:t>premium</w:t>
      </w:r>
      <w:r>
        <w:rPr>
          <w:spacing w:val="-2"/>
        </w:rPr>
        <w:t xml:space="preserve"> </w:t>
      </w:r>
      <w:r>
        <w:t>amount</w:t>
      </w:r>
      <w:r>
        <w:rPr>
          <w:spacing w:val="-3"/>
        </w:rPr>
        <w:t xml:space="preserve"> </w:t>
      </w:r>
      <w:r>
        <w:t>charged</w:t>
      </w:r>
      <w:r>
        <w:rPr>
          <w:spacing w:val="-3"/>
        </w:rPr>
        <w:t xml:space="preserve"> </w:t>
      </w:r>
      <w:r>
        <w:t>by</w:t>
      </w:r>
      <w:r>
        <w:rPr>
          <w:spacing w:val="-3"/>
        </w:rPr>
        <w:t xml:space="preserve"> </w:t>
      </w:r>
      <w:r>
        <w:t>CMS</w:t>
      </w:r>
      <w:r>
        <w:rPr>
          <w:spacing w:val="-3"/>
        </w:rPr>
        <w:t xml:space="preserve"> </w:t>
      </w:r>
      <w:r>
        <w:t>is</w:t>
      </w:r>
      <w:r>
        <w:rPr>
          <w:spacing w:val="-4"/>
        </w:rPr>
        <w:t xml:space="preserve"> </w:t>
      </w:r>
      <w:r>
        <w:t>not</w:t>
      </w:r>
      <w:r>
        <w:rPr>
          <w:spacing w:val="-3"/>
        </w:rPr>
        <w:t xml:space="preserve"> </w:t>
      </w:r>
      <w:r>
        <w:t>the</w:t>
      </w:r>
      <w:r>
        <w:rPr>
          <w:spacing w:val="-4"/>
        </w:rPr>
        <w:t xml:space="preserve"> </w:t>
      </w:r>
      <w:r>
        <w:t>same</w:t>
      </w:r>
      <w:r>
        <w:rPr>
          <w:spacing w:val="-3"/>
        </w:rPr>
        <w:t xml:space="preserve"> </w:t>
      </w:r>
      <w:r>
        <w:t>for</w:t>
      </w:r>
      <w:r>
        <w:rPr>
          <w:spacing w:val="-3"/>
        </w:rPr>
        <w:t xml:space="preserve"> </w:t>
      </w:r>
      <w:r>
        <w:t>all</w:t>
      </w:r>
      <w:r>
        <w:rPr>
          <w:spacing w:val="-3"/>
        </w:rPr>
        <w:t xml:space="preserve"> </w:t>
      </w:r>
      <w:r>
        <w:t xml:space="preserve">Medicare </w:t>
      </w:r>
      <w:r>
        <w:rPr>
          <w:spacing w:val="-2"/>
        </w:rPr>
        <w:t>beneficiaries.</w:t>
      </w:r>
    </w:p>
    <w:p>
      <w:pPr>
        <w:pStyle w:val="ListParagraph"/>
        <w:numPr>
          <w:ilvl w:val="0"/>
          <w:numId w:val="45"/>
        </w:numPr>
        <w:tabs>
          <w:tab w:val="left" w:pos="1584"/>
        </w:tabs>
        <w:spacing w:before="120" w:after="0" w:line="240" w:lineRule="auto"/>
        <w:ind w:left="1584" w:right="1488" w:hanging="360"/>
        <w:jc w:val="left"/>
        <w:rPr>
          <w:sz w:val="24"/>
        </w:rPr>
      </w:pPr>
      <w:r>
        <w:rPr>
          <w:sz w:val="24"/>
        </w:rPr>
        <w:t>Section</w:t>
      </w:r>
      <w:r>
        <w:rPr>
          <w:spacing w:val="-3"/>
          <w:sz w:val="24"/>
        </w:rPr>
        <w:t xml:space="preserve"> </w:t>
      </w:r>
      <w:r>
        <w:rPr>
          <w:sz w:val="24"/>
        </w:rPr>
        <w:t>1839</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Social</w:t>
      </w:r>
      <w:r>
        <w:rPr>
          <w:spacing w:val="-3"/>
          <w:sz w:val="24"/>
        </w:rPr>
        <w:t xml:space="preserve"> </w:t>
      </w:r>
      <w:r>
        <w:rPr>
          <w:sz w:val="24"/>
        </w:rPr>
        <w:t>Security</w:t>
      </w:r>
      <w:r>
        <w:rPr>
          <w:spacing w:val="-3"/>
          <w:sz w:val="24"/>
        </w:rPr>
        <w:t xml:space="preserve"> </w:t>
      </w:r>
      <w:r>
        <w:rPr>
          <w:sz w:val="24"/>
        </w:rPr>
        <w:t>Act,</w:t>
      </w:r>
      <w:r>
        <w:rPr>
          <w:spacing w:val="-3"/>
          <w:sz w:val="24"/>
        </w:rPr>
        <w:t xml:space="preserve"> </w:t>
      </w:r>
      <w:r>
        <w:rPr>
          <w:sz w:val="24"/>
        </w:rPr>
        <w:t>as</w:t>
      </w:r>
      <w:r>
        <w:rPr>
          <w:spacing w:val="-2"/>
          <w:sz w:val="24"/>
        </w:rPr>
        <w:t xml:space="preserve"> </w:t>
      </w:r>
      <w:r>
        <w:rPr>
          <w:sz w:val="24"/>
        </w:rPr>
        <w:t>amended</w:t>
      </w:r>
      <w:r>
        <w:rPr>
          <w:spacing w:val="-3"/>
          <w:sz w:val="24"/>
        </w:rPr>
        <w:t xml:space="preserve"> </w:t>
      </w:r>
      <w:r>
        <w:rPr>
          <w:sz w:val="24"/>
        </w:rPr>
        <w:t>by</w:t>
      </w:r>
      <w:r>
        <w:rPr>
          <w:spacing w:val="-3"/>
          <w:sz w:val="24"/>
        </w:rPr>
        <w:t xml:space="preserve"> </w:t>
      </w:r>
      <w:r>
        <w:rPr>
          <w:sz w:val="24"/>
        </w:rPr>
        <w:t>section</w:t>
      </w:r>
      <w:r>
        <w:rPr>
          <w:spacing w:val="-3"/>
          <w:sz w:val="24"/>
        </w:rPr>
        <w:t xml:space="preserve"> </w:t>
      </w:r>
      <w:r>
        <w:rPr>
          <w:sz w:val="24"/>
        </w:rPr>
        <w:t>811</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Medicare Prescription Drug, Improvement, and Modernization Act of 2003 (MMA) and section 5111 of the Deficit Reduction Act of 2005, provides for an income-related reduction in the government subsidy of the Medicare Part B premium. Under this provision, for those beneficiaries meeting specified income thresholds, a monthly adjustment amount is added to the Part B premium. The addition of monthly adjustment amounts to the Part B premium obligation of higher-income beneficiaries was phased in over 3 years, beginning in 2007.</w:t>
      </w:r>
    </w:p>
    <w:p>
      <w:pPr>
        <w:pStyle w:val="ListParagraph"/>
        <w:numPr>
          <w:ilvl w:val="0"/>
          <w:numId w:val="45"/>
        </w:numPr>
        <w:tabs>
          <w:tab w:val="left" w:pos="1584"/>
        </w:tabs>
        <w:spacing w:before="1" w:after="0" w:line="240" w:lineRule="auto"/>
        <w:ind w:left="1584" w:right="1866" w:hanging="360"/>
        <w:jc w:val="left"/>
        <w:rPr>
          <w:sz w:val="24"/>
        </w:rPr>
      </w:pPr>
      <w:r>
        <w:rPr>
          <w:sz w:val="24"/>
        </w:rPr>
        <w:t>Certain</w:t>
      </w:r>
      <w:r>
        <w:rPr>
          <w:spacing w:val="-4"/>
          <w:sz w:val="24"/>
        </w:rPr>
        <w:t xml:space="preserve"> </w:t>
      </w:r>
      <w:r>
        <w:rPr>
          <w:sz w:val="24"/>
        </w:rPr>
        <w:t>beneficiaries’</w:t>
      </w:r>
      <w:r>
        <w:rPr>
          <w:spacing w:val="-3"/>
          <w:sz w:val="24"/>
        </w:rPr>
        <w:t xml:space="preserve"> </w:t>
      </w:r>
      <w:r>
        <w:rPr>
          <w:sz w:val="24"/>
        </w:rPr>
        <w:t>premium</w:t>
      </w:r>
      <w:r>
        <w:rPr>
          <w:spacing w:val="-4"/>
          <w:sz w:val="24"/>
        </w:rPr>
        <w:t xml:space="preserve"> </w:t>
      </w:r>
      <w:r>
        <w:rPr>
          <w:sz w:val="24"/>
        </w:rPr>
        <w:t>increase</w:t>
      </w:r>
      <w:r>
        <w:rPr>
          <w:spacing w:val="-5"/>
          <w:sz w:val="24"/>
        </w:rPr>
        <w:t xml:space="preserve"> </w:t>
      </w:r>
      <w:r>
        <w:rPr>
          <w:sz w:val="24"/>
        </w:rPr>
        <w:t>is</w:t>
      </w:r>
      <w:r>
        <w:rPr>
          <w:spacing w:val="-5"/>
          <w:sz w:val="24"/>
        </w:rPr>
        <w:t xml:space="preserve"> </w:t>
      </w:r>
      <w:r>
        <w:rPr>
          <w:sz w:val="24"/>
        </w:rPr>
        <w:t>limited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increase</w:t>
      </w:r>
      <w:r>
        <w:rPr>
          <w:spacing w:val="-5"/>
          <w:sz w:val="24"/>
        </w:rPr>
        <w:t xml:space="preserve"> </w:t>
      </w:r>
      <w:r>
        <w:rPr>
          <w:sz w:val="24"/>
        </w:rPr>
        <w:t>in</w:t>
      </w:r>
      <w:r>
        <w:rPr>
          <w:spacing w:val="-4"/>
          <w:sz w:val="24"/>
        </w:rPr>
        <w:t xml:space="preserve"> </w:t>
      </w:r>
      <w:r>
        <w:rPr>
          <w:sz w:val="24"/>
        </w:rPr>
        <w:t>their</w:t>
      </w:r>
      <w:r>
        <w:rPr>
          <w:spacing w:val="-4"/>
          <w:sz w:val="24"/>
        </w:rPr>
        <w:t xml:space="preserve"> </w:t>
      </w:r>
      <w:r>
        <w:rPr>
          <w:sz w:val="24"/>
        </w:rPr>
        <w:t>Social Security checks (that is, the “hold harmless” provision).</w:t>
      </w:r>
    </w:p>
    <w:p>
      <w:pPr>
        <w:pStyle w:val="ListParagraph"/>
        <w:numPr>
          <w:ilvl w:val="0"/>
          <w:numId w:val="45"/>
        </w:numPr>
        <w:tabs>
          <w:tab w:val="left" w:pos="1584"/>
        </w:tabs>
        <w:spacing w:before="0" w:after="0" w:line="240" w:lineRule="auto"/>
        <w:ind w:left="1584" w:right="0" w:hanging="360"/>
        <w:jc w:val="left"/>
        <w:rPr>
          <w:sz w:val="24"/>
        </w:rPr>
      </w:pPr>
      <w:r>
        <w:rPr>
          <w:sz w:val="24"/>
        </w:rPr>
        <w:t>Certain</w:t>
      </w:r>
      <w:r>
        <w:rPr>
          <w:spacing w:val="-2"/>
          <w:sz w:val="24"/>
        </w:rPr>
        <w:t xml:space="preserve"> </w:t>
      </w:r>
      <w:r>
        <w:rPr>
          <w:sz w:val="24"/>
        </w:rPr>
        <w:t>beneficiaries</w:t>
      </w:r>
      <w:r>
        <w:rPr>
          <w:spacing w:val="-2"/>
          <w:sz w:val="24"/>
        </w:rPr>
        <w:t xml:space="preserve"> </w:t>
      </w:r>
      <w:r>
        <w:rPr>
          <w:sz w:val="24"/>
        </w:rPr>
        <w:t>may</w:t>
      </w:r>
      <w:r>
        <w:rPr>
          <w:spacing w:val="-2"/>
          <w:sz w:val="24"/>
        </w:rPr>
        <w:t xml:space="preserve"> </w:t>
      </w:r>
      <w:r>
        <w:rPr>
          <w:sz w:val="24"/>
        </w:rPr>
        <w:t>pay</w:t>
      </w:r>
      <w:r>
        <w:rPr>
          <w:spacing w:val="-2"/>
          <w:sz w:val="24"/>
        </w:rPr>
        <w:t xml:space="preserve"> </w:t>
      </w:r>
      <w:r>
        <w:rPr>
          <w:sz w:val="24"/>
        </w:rPr>
        <w:t>a</w:t>
      </w:r>
      <w:r>
        <w:rPr>
          <w:spacing w:val="-3"/>
          <w:sz w:val="24"/>
        </w:rPr>
        <w:t xml:space="preserve"> </w:t>
      </w:r>
      <w:r>
        <w:rPr>
          <w:sz w:val="24"/>
        </w:rPr>
        <w:t>late-enrollment</w:t>
      </w:r>
      <w:r>
        <w:rPr>
          <w:spacing w:val="-1"/>
          <w:sz w:val="24"/>
        </w:rPr>
        <w:t xml:space="preserve"> </w:t>
      </w:r>
      <w:r>
        <w:rPr>
          <w:spacing w:val="-2"/>
          <w:sz w:val="24"/>
        </w:rPr>
        <w:t>penalty.</w:t>
      </w:r>
    </w:p>
    <w:p>
      <w:pPr>
        <w:pStyle w:val="BodyText"/>
        <w:spacing w:before="120"/>
        <w:ind w:right="1481"/>
      </w:pPr>
      <w:r>
        <w:t>The</w:t>
      </w:r>
      <w:r>
        <w:rPr>
          <w:spacing w:val="-3"/>
        </w:rPr>
        <w:t xml:space="preserve"> </w:t>
      </w:r>
      <w:r>
        <w:t>amount</w:t>
      </w:r>
      <w:r>
        <w:rPr>
          <w:spacing w:val="-2"/>
        </w:rPr>
        <w:t xml:space="preserve"> </w:t>
      </w:r>
      <w:r>
        <w:t>of</w:t>
      </w:r>
      <w:r>
        <w:rPr>
          <w:spacing w:val="-2"/>
        </w:rPr>
        <w:t xml:space="preserve"> </w:t>
      </w:r>
      <w:r>
        <w:t>rebates</w:t>
      </w:r>
      <w:r>
        <w:rPr>
          <w:spacing w:val="-2"/>
        </w:rPr>
        <w:t xml:space="preserve"> </w:t>
      </w:r>
      <w:r>
        <w:t>that</w:t>
      </w:r>
      <w:r>
        <w:rPr>
          <w:spacing w:val="-2"/>
        </w:rPr>
        <w:t xml:space="preserve"> </w:t>
      </w:r>
      <w:r>
        <w:t>can</w:t>
      </w:r>
      <w:r>
        <w:rPr>
          <w:spacing w:val="-2"/>
        </w:rPr>
        <w:t xml:space="preserve"> </w:t>
      </w:r>
      <w:r>
        <w:t>be</w:t>
      </w:r>
      <w:r>
        <w:rPr>
          <w:spacing w:val="-1"/>
        </w:rPr>
        <w:t xml:space="preserve"> </w:t>
      </w:r>
      <w:r>
        <w:t>applied</w:t>
      </w:r>
      <w:r>
        <w:rPr>
          <w:spacing w:val="-2"/>
        </w:rPr>
        <w:t xml:space="preserve"> </w:t>
      </w:r>
      <w:r>
        <w:t>to</w:t>
      </w:r>
      <w:r>
        <w:rPr>
          <w:spacing w:val="-2"/>
        </w:rPr>
        <w:t xml:space="preserve"> </w:t>
      </w:r>
      <w:r>
        <w:t>the</w:t>
      </w:r>
      <w:r>
        <w:rPr>
          <w:spacing w:val="-2"/>
        </w:rPr>
        <w:t xml:space="preserve"> </w:t>
      </w:r>
      <w:r>
        <w:t>Part</w:t>
      </w:r>
      <w:r>
        <w:rPr>
          <w:spacing w:val="-2"/>
        </w:rPr>
        <w:t xml:space="preserve"> </w:t>
      </w:r>
      <w:r>
        <w:t>B</w:t>
      </w:r>
      <w:r>
        <w:rPr>
          <w:spacing w:val="-2"/>
        </w:rPr>
        <w:t xml:space="preserve"> </w:t>
      </w:r>
      <w:r>
        <w:t>premium</w:t>
      </w:r>
      <w:r>
        <w:rPr>
          <w:spacing w:val="-2"/>
        </w:rPr>
        <w:t xml:space="preserve"> </w:t>
      </w:r>
      <w:r>
        <w:t>is</w:t>
      </w:r>
      <w:r>
        <w:rPr>
          <w:spacing w:val="-3"/>
        </w:rPr>
        <w:t xml:space="preserve"> </w:t>
      </w:r>
      <w:r>
        <w:t>limited</w:t>
      </w:r>
      <w:r>
        <w:rPr>
          <w:spacing w:val="-5"/>
        </w:rPr>
        <w:t xml:space="preserve"> </w:t>
      </w:r>
      <w:r>
        <w:t>to</w:t>
      </w:r>
      <w:r>
        <w:rPr>
          <w:spacing w:val="-2"/>
        </w:rPr>
        <w:t xml:space="preserve"> </w:t>
      </w:r>
      <w:r>
        <w:t>the</w:t>
      </w:r>
      <w:r>
        <w:rPr>
          <w:spacing w:val="-3"/>
        </w:rPr>
        <w:t xml:space="preserve"> </w:t>
      </w:r>
      <w:r>
        <w:t>amount</w:t>
      </w:r>
      <w:r>
        <w:rPr>
          <w:spacing w:val="-2"/>
        </w:rPr>
        <w:t xml:space="preserve"> </w:t>
      </w:r>
      <w:r>
        <w:t>pre-populated in the BPT by CMS at the time when the BPT is released.</w:t>
      </w:r>
    </w:p>
    <w:p>
      <w:pPr>
        <w:pStyle w:val="BodyText"/>
        <w:spacing w:before="120"/>
        <w:ind w:right="1481"/>
      </w:pPr>
      <w:r>
        <w:t>The BPT and instructions are released annually in April, but the Part B premium is not announced by CMS for the upcoming contract year until several months later. Therefore, MAOs</w:t>
      </w:r>
      <w:r>
        <w:rPr>
          <w:spacing w:val="-3"/>
        </w:rPr>
        <w:t xml:space="preserve"> </w:t>
      </w:r>
      <w:r>
        <w:t>must</w:t>
      </w:r>
      <w:r>
        <w:rPr>
          <w:spacing w:val="-2"/>
        </w:rPr>
        <w:t xml:space="preserve"> </w:t>
      </w:r>
      <w:r>
        <w:t>use</w:t>
      </w:r>
      <w:r>
        <w:rPr>
          <w:spacing w:val="-4"/>
        </w:rPr>
        <w:t xml:space="preserve"> </w:t>
      </w:r>
      <w:r>
        <w:t>the</w:t>
      </w:r>
      <w:r>
        <w:rPr>
          <w:spacing w:val="-3"/>
        </w:rPr>
        <w:t xml:space="preserve"> </w:t>
      </w:r>
      <w:r>
        <w:t>CMS</w:t>
      </w:r>
      <w:r>
        <w:rPr>
          <w:spacing w:val="-2"/>
        </w:rPr>
        <w:t xml:space="preserve"> </w:t>
      </w:r>
      <w:r>
        <w:t>pre-populated</w:t>
      </w:r>
      <w:r>
        <w:rPr>
          <w:spacing w:val="-4"/>
        </w:rPr>
        <w:t xml:space="preserve"> </w:t>
      </w:r>
      <w:r>
        <w:t>amount</w:t>
      </w:r>
      <w:r>
        <w:rPr>
          <w:spacing w:val="-3"/>
        </w:rPr>
        <w:t xml:space="preserve"> </w:t>
      </w:r>
      <w:r>
        <w:t>in</w:t>
      </w:r>
      <w:r>
        <w:rPr>
          <w:spacing w:val="-3"/>
        </w:rPr>
        <w:t xml:space="preserve"> </w:t>
      </w:r>
      <w:r>
        <w:t>the</w:t>
      </w:r>
      <w:r>
        <w:rPr>
          <w:spacing w:val="-3"/>
        </w:rPr>
        <w:t xml:space="preserve"> </w:t>
      </w:r>
      <w:r>
        <w:t>BPT</w:t>
      </w:r>
      <w:r>
        <w:rPr>
          <w:spacing w:val="-3"/>
        </w:rPr>
        <w:t xml:space="preserve"> </w:t>
      </w:r>
      <w:r>
        <w:t>to</w:t>
      </w:r>
      <w:r>
        <w:rPr>
          <w:spacing w:val="-3"/>
        </w:rPr>
        <w:t xml:space="preserve"> </w:t>
      </w:r>
      <w:r>
        <w:t>determine</w:t>
      </w:r>
      <w:r>
        <w:rPr>
          <w:spacing w:val="-4"/>
        </w:rPr>
        <w:t xml:space="preserve"> </w:t>
      </w:r>
      <w:r>
        <w:t>the</w:t>
      </w:r>
      <w:r>
        <w:rPr>
          <w:spacing w:val="-3"/>
        </w:rPr>
        <w:t xml:space="preserve"> </w:t>
      </w:r>
      <w:r>
        <w:t>level</w:t>
      </w:r>
      <w:r>
        <w:rPr>
          <w:spacing w:val="-3"/>
        </w:rPr>
        <w:t xml:space="preserve"> </w:t>
      </w:r>
      <w:r>
        <w:t>of</w:t>
      </w:r>
      <w:r>
        <w:rPr>
          <w:spacing w:val="-3"/>
        </w:rPr>
        <w:t xml:space="preserve"> </w:t>
      </w:r>
      <w:r>
        <w:t>rebates</w:t>
      </w:r>
      <w:r>
        <w:rPr>
          <w:spacing w:val="-4"/>
        </w:rPr>
        <w:t xml:space="preserve"> </w:t>
      </w:r>
      <w:r>
        <w:t>to allocate to the Part B premium buydown.</w:t>
      </w:r>
    </w:p>
    <w:p>
      <w:pPr>
        <w:spacing w:before="242"/>
        <w:ind w:left="504" w:right="0" w:firstLine="0"/>
        <w:jc w:val="left"/>
        <w:rPr>
          <w:rFonts w:ascii="Arial"/>
          <w:b/>
          <w:sz w:val="21"/>
        </w:rPr>
      </w:pPr>
      <w:bookmarkStart w:id="86" w:name="Plan Premiums, Rebate Reallocation, and "/>
      <w:bookmarkEnd w:id="86"/>
      <w:bookmarkStart w:id="87" w:name="_bookmark29"/>
      <w:bookmarkEnd w:id="87"/>
      <w:r>
        <w:rPr>
          <w:rFonts w:ascii="Arial"/>
          <w:b/>
          <w:sz w:val="21"/>
        </w:rPr>
        <w:t>Plan</w:t>
      </w:r>
      <w:r>
        <w:rPr>
          <w:rFonts w:ascii="Arial"/>
          <w:b/>
          <w:spacing w:val="-11"/>
          <w:sz w:val="21"/>
        </w:rPr>
        <w:t xml:space="preserve"> </w:t>
      </w:r>
      <w:r>
        <w:rPr>
          <w:rFonts w:ascii="Arial"/>
          <w:b/>
          <w:sz w:val="21"/>
        </w:rPr>
        <w:t>Premiums,</w:t>
      </w:r>
      <w:r>
        <w:rPr>
          <w:rFonts w:ascii="Arial"/>
          <w:b/>
          <w:spacing w:val="-8"/>
          <w:sz w:val="21"/>
        </w:rPr>
        <w:t xml:space="preserve"> </w:t>
      </w:r>
      <w:r>
        <w:rPr>
          <w:rFonts w:ascii="Arial"/>
          <w:b/>
          <w:sz w:val="21"/>
        </w:rPr>
        <w:t>Rebate</w:t>
      </w:r>
      <w:r>
        <w:rPr>
          <w:rFonts w:ascii="Arial"/>
          <w:b/>
          <w:spacing w:val="-9"/>
          <w:sz w:val="21"/>
        </w:rPr>
        <w:t xml:space="preserve"> </w:t>
      </w:r>
      <w:r>
        <w:rPr>
          <w:rFonts w:ascii="Arial"/>
          <w:b/>
          <w:sz w:val="21"/>
        </w:rPr>
        <w:t>Reallocation,</w:t>
      </w:r>
      <w:r>
        <w:rPr>
          <w:rFonts w:ascii="Arial"/>
          <w:b/>
          <w:spacing w:val="-8"/>
          <w:sz w:val="21"/>
        </w:rPr>
        <w:t xml:space="preserve"> </w:t>
      </w:r>
      <w:r>
        <w:rPr>
          <w:rFonts w:ascii="Arial"/>
          <w:b/>
          <w:sz w:val="21"/>
        </w:rPr>
        <w:t>and</w:t>
      </w:r>
      <w:r>
        <w:rPr>
          <w:rFonts w:ascii="Arial"/>
          <w:b/>
          <w:spacing w:val="-7"/>
          <w:sz w:val="21"/>
        </w:rPr>
        <w:t xml:space="preserve"> </w:t>
      </w:r>
      <w:r>
        <w:rPr>
          <w:rFonts w:ascii="Arial"/>
          <w:b/>
          <w:sz w:val="21"/>
        </w:rPr>
        <w:t>Premium</w:t>
      </w:r>
      <w:r>
        <w:rPr>
          <w:rFonts w:ascii="Arial"/>
          <w:b/>
          <w:spacing w:val="-6"/>
          <w:sz w:val="21"/>
        </w:rPr>
        <w:t xml:space="preserve"> </w:t>
      </w:r>
      <w:r>
        <w:rPr>
          <w:rFonts w:ascii="Arial"/>
          <w:b/>
          <w:spacing w:val="-2"/>
          <w:sz w:val="21"/>
        </w:rPr>
        <w:t>Rounding</w:t>
      </w:r>
    </w:p>
    <w:p>
      <w:pPr>
        <w:pStyle w:val="BodyText"/>
        <w:spacing w:before="120"/>
        <w:ind w:right="1446"/>
      </w:pPr>
      <w:r>
        <w:t>The MA BPT calculates the bid’s premium for services under the Medicare Advantage program.</w:t>
      </w:r>
      <w:r>
        <w:rPr>
          <w:spacing w:val="-3"/>
        </w:rPr>
        <w:t xml:space="preserve"> </w:t>
      </w:r>
      <w:r>
        <w:t>Estimated</w:t>
      </w:r>
      <w:r>
        <w:rPr>
          <w:spacing w:val="-3"/>
        </w:rPr>
        <w:t xml:space="preserve"> </w:t>
      </w:r>
      <w:r>
        <w:t>Part D</w:t>
      </w:r>
      <w:r>
        <w:rPr>
          <w:spacing w:val="-4"/>
        </w:rPr>
        <w:t xml:space="preserve"> </w:t>
      </w:r>
      <w:r>
        <w:t>premiums,</w:t>
      </w:r>
      <w:r>
        <w:rPr>
          <w:spacing w:val="-3"/>
        </w:rPr>
        <w:t xml:space="preserve"> </w:t>
      </w:r>
      <w:r>
        <w:t>calculated</w:t>
      </w:r>
      <w:r>
        <w:rPr>
          <w:spacing w:val="-3"/>
        </w:rPr>
        <w:t xml:space="preserve"> </w:t>
      </w:r>
      <w:r>
        <w:t>in</w:t>
      </w:r>
      <w:r>
        <w:rPr>
          <w:spacing w:val="-3"/>
        </w:rPr>
        <w:t xml:space="preserve"> </w:t>
      </w:r>
      <w:r>
        <w:t>the</w:t>
      </w:r>
      <w:r>
        <w:rPr>
          <w:spacing w:val="-4"/>
        </w:rPr>
        <w:t xml:space="preserve"> </w:t>
      </w:r>
      <w:r>
        <w:t>separate</w:t>
      </w:r>
      <w:r>
        <w:rPr>
          <w:spacing w:val="-3"/>
        </w:rPr>
        <w:t xml:space="preserve"> </w:t>
      </w:r>
      <w:r>
        <w:t>Part</w:t>
      </w:r>
      <w:r>
        <w:rPr>
          <w:spacing w:val="-3"/>
        </w:rPr>
        <w:t xml:space="preserve"> </w:t>
      </w:r>
      <w:r>
        <w:t>D</w:t>
      </w:r>
      <w:r>
        <w:rPr>
          <w:spacing w:val="-4"/>
        </w:rPr>
        <w:t xml:space="preserve"> </w:t>
      </w:r>
      <w:r>
        <w:t>BPT,</w:t>
      </w:r>
      <w:r>
        <w:rPr>
          <w:spacing w:val="-3"/>
        </w:rPr>
        <w:t xml:space="preserve"> </w:t>
      </w:r>
      <w:r>
        <w:t>are</w:t>
      </w:r>
      <w:r>
        <w:rPr>
          <w:spacing w:val="-5"/>
        </w:rPr>
        <w:t xml:space="preserve"> </w:t>
      </w:r>
      <w:r>
        <w:t>then</w:t>
      </w:r>
      <w:r>
        <w:rPr>
          <w:spacing w:val="-2"/>
        </w:rPr>
        <w:t xml:space="preserve"> </w:t>
      </w:r>
      <w:r>
        <w:t>entered</w:t>
      </w:r>
      <w:r>
        <w:rPr>
          <w:spacing w:val="-3"/>
        </w:rPr>
        <w:t xml:space="preserve"> </w:t>
      </w:r>
      <w:r>
        <w:t>in the MA BPT in order to—</w:t>
      </w:r>
    </w:p>
    <w:p>
      <w:pPr>
        <w:pStyle w:val="ListParagraph"/>
        <w:numPr>
          <w:ilvl w:val="0"/>
          <w:numId w:val="45"/>
        </w:numPr>
        <w:tabs>
          <w:tab w:val="left" w:pos="1584"/>
        </w:tabs>
        <w:spacing w:before="120" w:after="0" w:line="240" w:lineRule="auto"/>
        <w:ind w:left="1584" w:right="0" w:hanging="360"/>
        <w:jc w:val="left"/>
        <w:rPr>
          <w:sz w:val="24"/>
        </w:rPr>
      </w:pPr>
      <w:r>
        <w:rPr>
          <w:sz w:val="24"/>
        </w:rPr>
        <w:t>Underscore</w:t>
      </w:r>
      <w:r>
        <w:rPr>
          <w:spacing w:val="-6"/>
          <w:sz w:val="24"/>
        </w:rPr>
        <w:t xml:space="preserve"> </w:t>
      </w:r>
      <w:r>
        <w:rPr>
          <w:sz w:val="24"/>
        </w:rPr>
        <w:t>the</w:t>
      </w:r>
      <w:r>
        <w:rPr>
          <w:spacing w:val="-2"/>
          <w:sz w:val="24"/>
        </w:rPr>
        <w:t xml:space="preserve"> </w:t>
      </w:r>
      <w:r>
        <w:rPr>
          <w:sz w:val="24"/>
        </w:rPr>
        <w:t>relationship</w:t>
      </w:r>
      <w:r>
        <w:rPr>
          <w:spacing w:val="-1"/>
          <w:sz w:val="24"/>
        </w:rPr>
        <w:t xml:space="preserve"> </w:t>
      </w:r>
      <w:r>
        <w:rPr>
          <w:sz w:val="24"/>
        </w:rPr>
        <w:t>of</w:t>
      </w:r>
      <w:r>
        <w:rPr>
          <w:spacing w:val="-2"/>
          <w:sz w:val="24"/>
        </w:rPr>
        <w:t xml:space="preserve"> </w:t>
      </w:r>
      <w:r>
        <w:rPr>
          <w:sz w:val="24"/>
        </w:rPr>
        <w:t>MA</w:t>
      </w:r>
      <w:r>
        <w:rPr>
          <w:spacing w:val="-3"/>
          <w:sz w:val="24"/>
        </w:rPr>
        <w:t xml:space="preserve"> </w:t>
      </w:r>
      <w:r>
        <w:rPr>
          <w:sz w:val="24"/>
        </w:rPr>
        <w:t>rebates</w:t>
      </w:r>
      <w:r>
        <w:rPr>
          <w:spacing w:val="-2"/>
          <w:sz w:val="24"/>
        </w:rPr>
        <w:t xml:space="preserve"> </w:t>
      </w:r>
      <w:r>
        <w:rPr>
          <w:sz w:val="24"/>
        </w:rPr>
        <w:t>and Part</w:t>
      </w:r>
      <w:r>
        <w:rPr>
          <w:spacing w:val="-2"/>
          <w:sz w:val="24"/>
        </w:rPr>
        <w:t xml:space="preserve"> </w:t>
      </w:r>
      <w:r>
        <w:rPr>
          <w:sz w:val="24"/>
        </w:rPr>
        <w:t>D</w:t>
      </w:r>
      <w:r>
        <w:rPr>
          <w:spacing w:val="-2"/>
          <w:sz w:val="24"/>
        </w:rPr>
        <w:t xml:space="preserve"> premiums.</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ListParagraph"/>
        <w:numPr>
          <w:ilvl w:val="0"/>
          <w:numId w:val="45"/>
        </w:numPr>
        <w:tabs>
          <w:tab w:val="left" w:pos="1584"/>
        </w:tabs>
        <w:spacing w:before="0" w:after="0" w:line="240" w:lineRule="auto"/>
        <w:ind w:left="1584" w:right="1823" w:hanging="360"/>
        <w:jc w:val="left"/>
        <w:rPr>
          <w:sz w:val="24"/>
        </w:rPr>
      </w:pPr>
      <w:r>
        <w:rPr>
          <w:sz w:val="24"/>
        </w:rPr>
        <w:t>Recognize</w:t>
      </w:r>
      <w:r>
        <w:rPr>
          <w:spacing w:val="-5"/>
          <w:sz w:val="24"/>
        </w:rPr>
        <w:t xml:space="preserve"> </w:t>
      </w:r>
      <w:r>
        <w:rPr>
          <w:sz w:val="24"/>
        </w:rPr>
        <w:t>the</w:t>
      </w:r>
      <w:r>
        <w:rPr>
          <w:spacing w:val="-4"/>
          <w:sz w:val="24"/>
        </w:rPr>
        <w:t xml:space="preserve"> </w:t>
      </w:r>
      <w:r>
        <w:rPr>
          <w:sz w:val="24"/>
        </w:rPr>
        <w:t>integrated</w:t>
      </w:r>
      <w:r>
        <w:rPr>
          <w:spacing w:val="-3"/>
          <w:sz w:val="24"/>
        </w:rPr>
        <w:t xml:space="preserve"> </w:t>
      </w:r>
      <w:r>
        <w:rPr>
          <w:sz w:val="24"/>
        </w:rPr>
        <w:t>relationship</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MA</w:t>
      </w:r>
      <w:r>
        <w:rPr>
          <w:spacing w:val="-4"/>
          <w:sz w:val="24"/>
        </w:rPr>
        <w:t xml:space="preserve"> </w:t>
      </w:r>
      <w:r>
        <w:rPr>
          <w:sz w:val="24"/>
        </w:rPr>
        <w:t>and</w:t>
      </w:r>
      <w:r>
        <w:rPr>
          <w:spacing w:val="-2"/>
          <w:sz w:val="24"/>
        </w:rPr>
        <w:t xml:space="preserve"> </w:t>
      </w:r>
      <w:r>
        <w:rPr>
          <w:sz w:val="24"/>
        </w:rPr>
        <w:t>Part</w:t>
      </w:r>
      <w:r>
        <w:rPr>
          <w:spacing w:val="-4"/>
          <w:sz w:val="24"/>
        </w:rPr>
        <w:t xml:space="preserve"> </w:t>
      </w:r>
      <w:r>
        <w:rPr>
          <w:sz w:val="24"/>
        </w:rPr>
        <w:t>D</w:t>
      </w:r>
      <w:r>
        <w:rPr>
          <w:spacing w:val="-4"/>
          <w:sz w:val="24"/>
        </w:rPr>
        <w:t xml:space="preserve"> </w:t>
      </w:r>
      <w:r>
        <w:rPr>
          <w:sz w:val="24"/>
        </w:rPr>
        <w:t>programs,</w:t>
      </w:r>
      <w:r>
        <w:rPr>
          <w:spacing w:val="-4"/>
          <w:sz w:val="24"/>
        </w:rPr>
        <w:t xml:space="preserve"> </w:t>
      </w:r>
      <w:r>
        <w:rPr>
          <w:sz w:val="24"/>
        </w:rPr>
        <w:t>which</w:t>
      </w:r>
      <w:r>
        <w:rPr>
          <w:spacing w:val="-4"/>
          <w:sz w:val="24"/>
        </w:rPr>
        <w:t xml:space="preserve"> </w:t>
      </w:r>
      <w:r>
        <w:rPr>
          <w:sz w:val="24"/>
        </w:rPr>
        <w:t>are viewed by the enrollee as a single product with a single premium.</w:t>
      </w:r>
    </w:p>
    <w:p>
      <w:pPr>
        <w:pStyle w:val="ListParagraph"/>
        <w:numPr>
          <w:ilvl w:val="0"/>
          <w:numId w:val="45"/>
        </w:numPr>
        <w:tabs>
          <w:tab w:val="left" w:pos="1584"/>
        </w:tabs>
        <w:spacing w:before="0" w:after="0" w:line="240" w:lineRule="auto"/>
        <w:ind w:left="1584" w:right="0" w:hanging="360"/>
        <w:jc w:val="left"/>
        <w:rPr>
          <w:sz w:val="24"/>
        </w:rPr>
      </w:pPr>
      <w:r>
        <w:rPr>
          <w:sz w:val="24"/>
        </w:rPr>
        <w:t>Display</w:t>
      </w:r>
      <w:r>
        <w:rPr>
          <w:spacing w:val="-1"/>
          <w:sz w:val="24"/>
        </w:rPr>
        <w:t xml:space="preserve"> </w:t>
      </w:r>
      <w:r>
        <w:rPr>
          <w:sz w:val="24"/>
        </w:rPr>
        <w:t>the</w:t>
      </w:r>
      <w:r>
        <w:rPr>
          <w:spacing w:val="-1"/>
          <w:sz w:val="24"/>
        </w:rPr>
        <w:t xml:space="preserve"> </w:t>
      </w:r>
      <w:r>
        <w:rPr>
          <w:sz w:val="24"/>
        </w:rPr>
        <w:t>total</w:t>
      </w:r>
      <w:r>
        <w:rPr>
          <w:spacing w:val="-1"/>
          <w:sz w:val="24"/>
        </w:rPr>
        <w:t xml:space="preserve"> </w:t>
      </w:r>
      <w:r>
        <w:rPr>
          <w:sz w:val="24"/>
        </w:rPr>
        <w:t>estimated</w:t>
      </w:r>
      <w:r>
        <w:rPr>
          <w:spacing w:val="-1"/>
          <w:sz w:val="24"/>
        </w:rPr>
        <w:t xml:space="preserve"> </w:t>
      </w:r>
      <w:r>
        <w:rPr>
          <w:sz w:val="24"/>
        </w:rPr>
        <w:t>plan</w:t>
      </w:r>
      <w:r>
        <w:rPr>
          <w:spacing w:val="-1"/>
          <w:sz w:val="24"/>
        </w:rPr>
        <w:t xml:space="preserve"> </w:t>
      </w:r>
      <w:r>
        <w:rPr>
          <w:sz w:val="24"/>
        </w:rPr>
        <w:t>premium (sum</w:t>
      </w:r>
      <w:r>
        <w:rPr>
          <w:spacing w:val="-1"/>
          <w:sz w:val="24"/>
        </w:rPr>
        <w:t xml:space="preserve"> </w:t>
      </w:r>
      <w:r>
        <w:rPr>
          <w:sz w:val="24"/>
        </w:rPr>
        <w:t>of MA</w:t>
      </w:r>
      <w:r>
        <w:rPr>
          <w:spacing w:val="-2"/>
          <w:sz w:val="24"/>
        </w:rPr>
        <w:t xml:space="preserve"> </w:t>
      </w:r>
      <w:r>
        <w:rPr>
          <w:sz w:val="24"/>
        </w:rPr>
        <w:t xml:space="preserve">and Part </w:t>
      </w:r>
      <w:r>
        <w:rPr>
          <w:spacing w:val="-5"/>
          <w:sz w:val="24"/>
        </w:rPr>
        <w:t>D).</w:t>
      </w:r>
    </w:p>
    <w:p>
      <w:pPr>
        <w:pStyle w:val="BodyText"/>
        <w:spacing w:before="120"/>
        <w:ind w:right="1427"/>
      </w:pPr>
      <w:r>
        <w:t>When the bid is initially submitted, the Part D basic premium entered in the MA BPT is an estimated</w:t>
      </w:r>
      <w:r>
        <w:rPr>
          <w:spacing w:val="-3"/>
        </w:rPr>
        <w:t xml:space="preserve"> </w:t>
      </w:r>
      <w:r>
        <w:t>value.</w:t>
      </w:r>
      <w:r>
        <w:rPr>
          <w:spacing w:val="-3"/>
        </w:rPr>
        <w:t xml:space="preserve"> </w:t>
      </w:r>
      <w:r>
        <w:t>The</w:t>
      </w:r>
      <w:r>
        <w:rPr>
          <w:spacing w:val="-2"/>
        </w:rPr>
        <w:t xml:space="preserve"> </w:t>
      </w:r>
      <w:r>
        <w:t>actual</w:t>
      </w:r>
      <w:r>
        <w:rPr>
          <w:spacing w:val="-2"/>
        </w:rPr>
        <w:t xml:space="preserve"> </w:t>
      </w:r>
      <w:r>
        <w:t>premium</w:t>
      </w:r>
      <w:r>
        <w:rPr>
          <w:spacing w:val="-3"/>
        </w:rPr>
        <w:t xml:space="preserve"> </w:t>
      </w:r>
      <w:r>
        <w:t>will</w:t>
      </w:r>
      <w:r>
        <w:rPr>
          <w:spacing w:val="-3"/>
        </w:rPr>
        <w:t xml:space="preserve"> </w:t>
      </w:r>
      <w:r>
        <w:t>be</w:t>
      </w:r>
      <w:r>
        <w:rPr>
          <w:spacing w:val="-3"/>
        </w:rPr>
        <w:t xml:space="preserve"> </w:t>
      </w:r>
      <w:r>
        <w:t>calculated</w:t>
      </w:r>
      <w:r>
        <w:rPr>
          <w:spacing w:val="-3"/>
        </w:rPr>
        <w:t xml:space="preserve"> </w:t>
      </w:r>
      <w:r>
        <w:t>by</w:t>
      </w:r>
      <w:r>
        <w:rPr>
          <w:spacing w:val="-3"/>
        </w:rPr>
        <w:t xml:space="preserve"> </w:t>
      </w:r>
      <w:r>
        <w:t>CMS</w:t>
      </w:r>
      <w:r>
        <w:rPr>
          <w:spacing w:val="-2"/>
        </w:rPr>
        <w:t xml:space="preserve"> </w:t>
      </w:r>
      <w:r>
        <w:t>following</w:t>
      </w:r>
      <w:r>
        <w:rPr>
          <w:spacing w:val="-3"/>
        </w:rPr>
        <w:t xml:space="preserve"> </w:t>
      </w:r>
      <w:r>
        <w:t>CMS’</w:t>
      </w:r>
      <w:r>
        <w:rPr>
          <w:spacing w:val="-3"/>
        </w:rPr>
        <w:t xml:space="preserve"> </w:t>
      </w:r>
      <w:r>
        <w:t>publication</w:t>
      </w:r>
      <w:r>
        <w:rPr>
          <w:spacing w:val="-3"/>
        </w:rPr>
        <w:t xml:space="preserve"> </w:t>
      </w:r>
      <w:r>
        <w:t>of the Part D national average monthly bid amount, the Part D base beneficiary premium, the</w:t>
      </w:r>
    </w:p>
    <w:p>
      <w:pPr>
        <w:pStyle w:val="BodyText"/>
        <w:ind w:right="1556"/>
        <w:jc w:val="both"/>
      </w:pPr>
      <w:r>
        <w:t>Part</w:t>
      </w:r>
      <w:r>
        <w:rPr>
          <w:spacing w:val="-5"/>
        </w:rPr>
        <w:t xml:space="preserve"> </w:t>
      </w:r>
      <w:r>
        <w:t>D</w:t>
      </w:r>
      <w:r>
        <w:rPr>
          <w:spacing w:val="-5"/>
        </w:rPr>
        <w:t xml:space="preserve"> </w:t>
      </w:r>
      <w:r>
        <w:t>regional</w:t>
      </w:r>
      <w:r>
        <w:rPr>
          <w:spacing w:val="-4"/>
        </w:rPr>
        <w:t xml:space="preserve"> </w:t>
      </w:r>
      <w:r>
        <w:t>low-income</w:t>
      </w:r>
      <w:r>
        <w:rPr>
          <w:spacing w:val="-4"/>
        </w:rPr>
        <w:t xml:space="preserve"> </w:t>
      </w:r>
      <w:r>
        <w:t>premium</w:t>
      </w:r>
      <w:r>
        <w:rPr>
          <w:spacing w:val="-4"/>
        </w:rPr>
        <w:t xml:space="preserve"> </w:t>
      </w:r>
      <w:r>
        <w:t>subsidy</w:t>
      </w:r>
      <w:r>
        <w:rPr>
          <w:spacing w:val="-4"/>
        </w:rPr>
        <w:t xml:space="preserve"> </w:t>
      </w:r>
      <w:r>
        <w:t>amounts,</w:t>
      </w:r>
      <w:r>
        <w:rPr>
          <w:spacing w:val="-4"/>
        </w:rPr>
        <w:t xml:space="preserve"> </w:t>
      </w:r>
      <w:r>
        <w:t>and</w:t>
      </w:r>
      <w:r>
        <w:rPr>
          <w:spacing w:val="-4"/>
        </w:rPr>
        <w:t xml:space="preserve"> </w:t>
      </w:r>
      <w:r>
        <w:t>the</w:t>
      </w:r>
      <w:r>
        <w:rPr>
          <w:spacing w:val="-4"/>
        </w:rPr>
        <w:t xml:space="preserve"> </w:t>
      </w:r>
      <w:r>
        <w:t>MA</w:t>
      </w:r>
      <w:r>
        <w:rPr>
          <w:spacing w:val="-4"/>
        </w:rPr>
        <w:t xml:space="preserve"> </w:t>
      </w:r>
      <w:r>
        <w:t>regional</w:t>
      </w:r>
      <w:r>
        <w:rPr>
          <w:spacing w:val="-3"/>
        </w:rPr>
        <w:t xml:space="preserve"> </w:t>
      </w:r>
      <w:r>
        <w:t>PPO</w:t>
      </w:r>
      <w:r>
        <w:rPr>
          <w:spacing w:val="-5"/>
        </w:rPr>
        <w:t xml:space="preserve"> </w:t>
      </w:r>
      <w:r>
        <w:t>benchmarks (typically in July). Therefore, for MA-PD plans, the premium shown on the MA BPT may not be the final plan premium for CY2027.</w:t>
      </w:r>
    </w:p>
    <w:p>
      <w:pPr>
        <w:pStyle w:val="BodyText"/>
        <w:spacing w:before="120"/>
        <w:ind w:right="1696"/>
      </w:pPr>
      <w:r>
        <w:t>For</w:t>
      </w:r>
      <w:r>
        <w:rPr>
          <w:spacing w:val="-3"/>
        </w:rPr>
        <w:t xml:space="preserve"> </w:t>
      </w:r>
      <w:r>
        <w:t>local</w:t>
      </w:r>
      <w:r>
        <w:rPr>
          <w:spacing w:val="-3"/>
        </w:rPr>
        <w:t xml:space="preserve"> </w:t>
      </w:r>
      <w:r>
        <w:t>MA-only</w:t>
      </w:r>
      <w:r>
        <w:rPr>
          <w:spacing w:val="-3"/>
        </w:rPr>
        <w:t xml:space="preserve"> </w:t>
      </w:r>
      <w:r>
        <w:t>plans,</w:t>
      </w:r>
      <w:r>
        <w:rPr>
          <w:spacing w:val="-1"/>
        </w:rPr>
        <w:t xml:space="preserve"> </w:t>
      </w:r>
      <w:r>
        <w:t>the</w:t>
      </w:r>
      <w:r>
        <w:rPr>
          <w:spacing w:val="-3"/>
        </w:rPr>
        <w:t xml:space="preserve"> </w:t>
      </w:r>
      <w:r>
        <w:t>premium</w:t>
      </w:r>
      <w:r>
        <w:rPr>
          <w:spacing w:val="-3"/>
        </w:rPr>
        <w:t xml:space="preserve"> </w:t>
      </w:r>
      <w:r>
        <w:t>shown</w:t>
      </w:r>
      <w:r>
        <w:rPr>
          <w:spacing w:val="-3"/>
        </w:rPr>
        <w:t xml:space="preserve"> </w:t>
      </w:r>
      <w:r>
        <w:t>on</w:t>
      </w:r>
      <w:r>
        <w:rPr>
          <w:spacing w:val="-3"/>
        </w:rPr>
        <w:t xml:space="preserve"> </w:t>
      </w:r>
      <w:r>
        <w:t>the</w:t>
      </w:r>
      <w:r>
        <w:rPr>
          <w:spacing w:val="-4"/>
        </w:rPr>
        <w:t xml:space="preserve"> </w:t>
      </w:r>
      <w:r>
        <w:t>MA</w:t>
      </w:r>
      <w:r>
        <w:rPr>
          <w:spacing w:val="-4"/>
        </w:rPr>
        <w:t xml:space="preserve"> </w:t>
      </w:r>
      <w:r>
        <w:t>BPT</w:t>
      </w:r>
      <w:r>
        <w:rPr>
          <w:spacing w:val="-3"/>
        </w:rPr>
        <w:t xml:space="preserve"> </w:t>
      </w:r>
      <w:r>
        <w:t>in</w:t>
      </w:r>
      <w:r>
        <w:rPr>
          <w:spacing w:val="-3"/>
        </w:rPr>
        <w:t xml:space="preserve"> </w:t>
      </w:r>
      <w:r>
        <w:t>the</w:t>
      </w:r>
      <w:r>
        <w:rPr>
          <w:spacing w:val="-4"/>
        </w:rPr>
        <w:t xml:space="preserve"> </w:t>
      </w:r>
      <w:r>
        <w:t>initial</w:t>
      </w:r>
      <w:r>
        <w:rPr>
          <w:spacing w:val="-3"/>
        </w:rPr>
        <w:t xml:space="preserve"> </w:t>
      </w:r>
      <w:r>
        <w:t>bid</w:t>
      </w:r>
      <w:r>
        <w:rPr>
          <w:spacing w:val="-2"/>
        </w:rPr>
        <w:t xml:space="preserve"> </w:t>
      </w:r>
      <w:r>
        <w:t>submission</w:t>
      </w:r>
      <w:r>
        <w:rPr>
          <w:spacing w:val="-3"/>
        </w:rPr>
        <w:t xml:space="preserve"> </w:t>
      </w:r>
      <w:r>
        <w:t>is the final actual premium (not an estimate), since these plans are not affected by the Part D national average monthly bid amount and MA regional PPO benchmark calculations. Local MA-only plans</w:t>
      </w:r>
      <w:r>
        <w:rPr>
          <w:spacing w:val="-1"/>
        </w:rPr>
        <w:t xml:space="preserve"> </w:t>
      </w:r>
      <w:r>
        <w:t>do not have</w:t>
      </w:r>
      <w:r>
        <w:rPr>
          <w:spacing w:val="-1"/>
        </w:rPr>
        <w:t xml:space="preserve"> </w:t>
      </w:r>
      <w:r>
        <w:t>an opportunity to resubmit for</w:t>
      </w:r>
      <w:r>
        <w:rPr>
          <w:spacing w:val="-1"/>
        </w:rPr>
        <w:t xml:space="preserve"> </w:t>
      </w:r>
      <w:r>
        <w:t>rebate reallocation. The</w:t>
      </w:r>
      <w:r>
        <w:rPr>
          <w:spacing w:val="-1"/>
        </w:rPr>
        <w:t xml:space="preserve"> </w:t>
      </w:r>
      <w:r>
        <w:t>initial bid submission must reflect the desired plan premium.</w:t>
      </w:r>
    </w:p>
    <w:p>
      <w:pPr>
        <w:pStyle w:val="BodyText"/>
        <w:spacing w:before="121"/>
        <w:ind w:right="1473"/>
      </w:pPr>
      <w:r>
        <w:t>For regional PPO plans, the initial bid submission contains an estimated MA premium. The actual</w:t>
      </w:r>
      <w:r>
        <w:rPr>
          <w:spacing w:val="-2"/>
        </w:rPr>
        <w:t xml:space="preserve"> </w:t>
      </w:r>
      <w:r>
        <w:t>MA</w:t>
      </w:r>
      <w:r>
        <w:rPr>
          <w:spacing w:val="-3"/>
        </w:rPr>
        <w:t xml:space="preserve"> </w:t>
      </w:r>
      <w:r>
        <w:t>premium</w:t>
      </w:r>
      <w:r>
        <w:rPr>
          <w:spacing w:val="-2"/>
        </w:rPr>
        <w:t xml:space="preserve"> </w:t>
      </w:r>
      <w:r>
        <w:t>will</w:t>
      </w:r>
      <w:r>
        <w:rPr>
          <w:spacing w:val="-2"/>
        </w:rPr>
        <w:t xml:space="preserve"> </w:t>
      </w:r>
      <w:r>
        <w:t>not</w:t>
      </w:r>
      <w:r>
        <w:rPr>
          <w:spacing w:val="-2"/>
        </w:rPr>
        <w:t xml:space="preserve"> </w:t>
      </w:r>
      <w:r>
        <w:t>be</w:t>
      </w:r>
      <w:r>
        <w:rPr>
          <w:spacing w:val="-3"/>
        </w:rPr>
        <w:t xml:space="preserve"> </w:t>
      </w:r>
      <w:r>
        <w:t>known</w:t>
      </w:r>
      <w:r>
        <w:rPr>
          <w:spacing w:val="-2"/>
        </w:rPr>
        <w:t xml:space="preserve"> </w:t>
      </w:r>
      <w:r>
        <w:t>until after</w:t>
      </w:r>
      <w:r>
        <w:rPr>
          <w:spacing w:val="-2"/>
        </w:rPr>
        <w:t xml:space="preserve"> </w:t>
      </w:r>
      <w:r>
        <w:t>the</w:t>
      </w:r>
      <w:r>
        <w:rPr>
          <w:spacing w:val="-3"/>
        </w:rPr>
        <w:t xml:space="preserve"> </w:t>
      </w:r>
      <w:r>
        <w:t>initial</w:t>
      </w:r>
      <w:r>
        <w:rPr>
          <w:spacing w:val="-2"/>
        </w:rPr>
        <w:t xml:space="preserve"> </w:t>
      </w:r>
      <w:r>
        <w:t>June</w:t>
      </w:r>
      <w:r>
        <w:rPr>
          <w:spacing w:val="-2"/>
        </w:rPr>
        <w:t xml:space="preserve"> </w:t>
      </w:r>
      <w:r>
        <w:t>bid</w:t>
      </w:r>
      <w:r>
        <w:rPr>
          <w:spacing w:val="-2"/>
        </w:rPr>
        <w:t xml:space="preserve"> </w:t>
      </w:r>
      <w:r>
        <w:t>submission,</w:t>
      </w:r>
      <w:r>
        <w:rPr>
          <w:spacing w:val="-2"/>
        </w:rPr>
        <w:t xml:space="preserve"> </w:t>
      </w:r>
      <w:r>
        <w:t>when</w:t>
      </w:r>
      <w:r>
        <w:rPr>
          <w:spacing w:val="-2"/>
        </w:rPr>
        <w:t xml:space="preserve"> </w:t>
      </w:r>
      <w:r>
        <w:t>the</w:t>
      </w:r>
      <w:r>
        <w:rPr>
          <w:spacing w:val="-3"/>
        </w:rPr>
        <w:t xml:space="preserve"> </w:t>
      </w:r>
      <w:r>
        <w:t>MA regional</w:t>
      </w:r>
      <w:r>
        <w:rPr>
          <w:spacing w:val="-4"/>
        </w:rPr>
        <w:t xml:space="preserve"> </w:t>
      </w:r>
      <w:r>
        <w:t>PPO</w:t>
      </w:r>
      <w:r>
        <w:rPr>
          <w:spacing w:val="-4"/>
        </w:rPr>
        <w:t xml:space="preserve"> </w:t>
      </w:r>
      <w:r>
        <w:t>benchmarks</w:t>
      </w:r>
      <w:r>
        <w:rPr>
          <w:spacing w:val="-4"/>
        </w:rPr>
        <w:t xml:space="preserve"> </w:t>
      </w:r>
      <w:r>
        <w:t>are</w:t>
      </w:r>
      <w:r>
        <w:rPr>
          <w:spacing w:val="-5"/>
        </w:rPr>
        <w:t xml:space="preserve"> </w:t>
      </w:r>
      <w:r>
        <w:t>calculated</w:t>
      </w:r>
      <w:r>
        <w:rPr>
          <w:spacing w:val="-3"/>
        </w:rPr>
        <w:t xml:space="preserve"> </w:t>
      </w:r>
      <w:r>
        <w:t>by</w:t>
      </w:r>
      <w:r>
        <w:rPr>
          <w:spacing w:val="-3"/>
        </w:rPr>
        <w:t xml:space="preserve"> </w:t>
      </w:r>
      <w:r>
        <w:t>CMS.</w:t>
      </w:r>
      <w:r>
        <w:rPr>
          <w:spacing w:val="-1"/>
        </w:rPr>
        <w:t xml:space="preserve"> </w:t>
      </w:r>
      <w:r>
        <w:t>Note</w:t>
      </w:r>
      <w:r>
        <w:rPr>
          <w:spacing w:val="-3"/>
        </w:rPr>
        <w:t xml:space="preserve"> </w:t>
      </w:r>
      <w:r>
        <w:t>that</w:t>
      </w:r>
      <w:r>
        <w:rPr>
          <w:spacing w:val="-3"/>
        </w:rPr>
        <w:t xml:space="preserve"> </w:t>
      </w:r>
      <w:r>
        <w:t>after</w:t>
      </w:r>
      <w:r>
        <w:rPr>
          <w:spacing w:val="-3"/>
        </w:rPr>
        <w:t xml:space="preserve"> </w:t>
      </w:r>
      <w:r>
        <w:t>the</w:t>
      </w:r>
      <w:r>
        <w:rPr>
          <w:spacing w:val="-5"/>
        </w:rPr>
        <w:t xml:space="preserve"> </w:t>
      </w:r>
      <w:r>
        <w:t>regional</w:t>
      </w:r>
      <w:r>
        <w:rPr>
          <w:spacing w:val="-2"/>
        </w:rPr>
        <w:t xml:space="preserve"> </w:t>
      </w:r>
      <w:r>
        <w:t>PPO</w:t>
      </w:r>
      <w:r>
        <w:rPr>
          <w:spacing w:val="-4"/>
        </w:rPr>
        <w:t xml:space="preserve"> </w:t>
      </w:r>
      <w:r>
        <w:t>benchmarks are</w:t>
      </w:r>
      <w:r>
        <w:rPr>
          <w:spacing w:val="-4"/>
        </w:rPr>
        <w:t xml:space="preserve"> </w:t>
      </w:r>
      <w:r>
        <w:t>released</w:t>
      </w:r>
      <w:r>
        <w:rPr>
          <w:spacing w:val="-2"/>
        </w:rPr>
        <w:t xml:space="preserve"> </w:t>
      </w:r>
      <w:r>
        <w:t>by</w:t>
      </w:r>
      <w:r>
        <w:rPr>
          <w:spacing w:val="-2"/>
        </w:rPr>
        <w:t xml:space="preserve"> </w:t>
      </w:r>
      <w:r>
        <w:t>CMS,</w:t>
      </w:r>
      <w:r>
        <w:rPr>
          <w:spacing w:val="-2"/>
        </w:rPr>
        <w:t xml:space="preserve"> </w:t>
      </w:r>
      <w:r>
        <w:t>all</w:t>
      </w:r>
      <w:r>
        <w:rPr>
          <w:spacing w:val="-2"/>
        </w:rPr>
        <w:t xml:space="preserve"> </w:t>
      </w:r>
      <w:r>
        <w:t>regional</w:t>
      </w:r>
      <w:r>
        <w:rPr>
          <w:spacing w:val="-1"/>
        </w:rPr>
        <w:t xml:space="preserve"> </w:t>
      </w:r>
      <w:r>
        <w:t>PPO</w:t>
      </w:r>
      <w:r>
        <w:rPr>
          <w:spacing w:val="-3"/>
        </w:rPr>
        <w:t xml:space="preserve"> </w:t>
      </w:r>
      <w:r>
        <w:t>sponsors</w:t>
      </w:r>
      <w:r>
        <w:rPr>
          <w:spacing w:val="-2"/>
        </w:rPr>
        <w:t xml:space="preserve"> </w:t>
      </w:r>
      <w:r>
        <w:t>are</w:t>
      </w:r>
      <w:r>
        <w:rPr>
          <w:spacing w:val="-3"/>
        </w:rPr>
        <w:t xml:space="preserve"> </w:t>
      </w:r>
      <w:r>
        <w:t>required</w:t>
      </w:r>
      <w:r>
        <w:rPr>
          <w:spacing w:val="-2"/>
        </w:rPr>
        <w:t xml:space="preserve"> </w:t>
      </w:r>
      <w:r>
        <w:t>to</w:t>
      </w:r>
      <w:r>
        <w:rPr>
          <w:spacing w:val="-2"/>
        </w:rPr>
        <w:t xml:space="preserve"> </w:t>
      </w:r>
      <w:r>
        <w:t>resubmit</w:t>
      </w:r>
      <w:r>
        <w:rPr>
          <w:spacing w:val="-2"/>
        </w:rPr>
        <w:t xml:space="preserve"> </w:t>
      </w:r>
      <w:r>
        <w:t>the</w:t>
      </w:r>
      <w:r>
        <w:rPr>
          <w:spacing w:val="-2"/>
        </w:rPr>
        <w:t xml:space="preserve"> </w:t>
      </w:r>
      <w:r>
        <w:t>MA</w:t>
      </w:r>
      <w:r>
        <w:rPr>
          <w:spacing w:val="-3"/>
        </w:rPr>
        <w:t xml:space="preserve"> </w:t>
      </w:r>
      <w:r>
        <w:t>BPTs</w:t>
      </w:r>
      <w:r>
        <w:rPr>
          <w:spacing w:val="-3"/>
        </w:rPr>
        <w:t xml:space="preserve"> </w:t>
      </w:r>
      <w:r>
        <w:t>in</w:t>
      </w:r>
      <w:r>
        <w:rPr>
          <w:spacing w:val="-2"/>
        </w:rPr>
        <w:t xml:space="preserve"> </w:t>
      </w:r>
      <w:r>
        <w:t>order to reflect the actual plan bid component in Worksheet 5, and they may need to reallocate rebates accordingly.</w:t>
      </w:r>
    </w:p>
    <w:p>
      <w:pPr>
        <w:pStyle w:val="BodyText"/>
        <w:spacing w:before="120"/>
        <w:ind w:right="1481"/>
      </w:pPr>
      <w:r>
        <w:t>MA-PD</w:t>
      </w:r>
      <w:r>
        <w:rPr>
          <w:spacing w:val="-5"/>
        </w:rPr>
        <w:t xml:space="preserve"> </w:t>
      </w:r>
      <w:r>
        <w:t>and</w:t>
      </w:r>
      <w:r>
        <w:rPr>
          <w:spacing w:val="-4"/>
        </w:rPr>
        <w:t xml:space="preserve"> </w:t>
      </w:r>
      <w:r>
        <w:t>regional</w:t>
      </w:r>
      <w:r>
        <w:rPr>
          <w:spacing w:val="-4"/>
        </w:rPr>
        <w:t xml:space="preserve"> </w:t>
      </w:r>
      <w:r>
        <w:t>MA-only</w:t>
      </w:r>
      <w:r>
        <w:rPr>
          <w:spacing w:val="-4"/>
        </w:rPr>
        <w:t xml:space="preserve"> </w:t>
      </w:r>
      <w:r>
        <w:t>sponsors</w:t>
      </w:r>
      <w:r>
        <w:rPr>
          <w:spacing w:val="-4"/>
        </w:rPr>
        <w:t xml:space="preserve"> </w:t>
      </w:r>
      <w:r>
        <w:t>have</w:t>
      </w:r>
      <w:r>
        <w:rPr>
          <w:spacing w:val="-5"/>
        </w:rPr>
        <w:t xml:space="preserve"> </w:t>
      </w:r>
      <w:r>
        <w:t>the</w:t>
      </w:r>
      <w:r>
        <w:rPr>
          <w:spacing w:val="-3"/>
        </w:rPr>
        <w:t xml:space="preserve"> </w:t>
      </w:r>
      <w:r>
        <w:t>opportunity</w:t>
      </w:r>
      <w:r>
        <w:rPr>
          <w:spacing w:val="-4"/>
        </w:rPr>
        <w:t xml:space="preserve"> </w:t>
      </w:r>
      <w:r>
        <w:t>to</w:t>
      </w:r>
      <w:r>
        <w:rPr>
          <w:spacing w:val="-4"/>
        </w:rPr>
        <w:t xml:space="preserve"> </w:t>
      </w:r>
      <w:r>
        <w:t>reallocate</w:t>
      </w:r>
      <w:r>
        <w:rPr>
          <w:spacing w:val="-3"/>
        </w:rPr>
        <w:t xml:space="preserve"> </w:t>
      </w:r>
      <w:r>
        <w:t>rebates</w:t>
      </w:r>
      <w:r>
        <w:rPr>
          <w:spacing w:val="-3"/>
        </w:rPr>
        <w:t xml:space="preserve"> </w:t>
      </w:r>
      <w:r>
        <w:t>after</w:t>
      </w:r>
      <w:r>
        <w:rPr>
          <w:spacing w:val="-4"/>
        </w:rPr>
        <w:t xml:space="preserve"> </w:t>
      </w:r>
      <w:r>
        <w:t>the release of the Part D national average bid amount and MA regional PPO benchmarks.</w:t>
      </w:r>
    </w:p>
    <w:p>
      <w:pPr>
        <w:pStyle w:val="BodyText"/>
        <w:spacing w:before="121"/>
        <w:ind w:right="1481"/>
      </w:pPr>
      <w:r>
        <w:t>Appendix</w:t>
      </w:r>
      <w:r>
        <w:rPr>
          <w:spacing w:val="-4"/>
        </w:rPr>
        <w:t xml:space="preserve"> </w:t>
      </w:r>
      <w:r>
        <w:t>E</w:t>
      </w:r>
      <w:r>
        <w:rPr>
          <w:spacing w:val="-5"/>
        </w:rPr>
        <w:t xml:space="preserve"> </w:t>
      </w:r>
      <w:r>
        <w:t>contains</w:t>
      </w:r>
      <w:r>
        <w:rPr>
          <w:spacing w:val="-4"/>
        </w:rPr>
        <w:t xml:space="preserve"> </w:t>
      </w:r>
      <w:r>
        <w:t>information</w:t>
      </w:r>
      <w:r>
        <w:rPr>
          <w:spacing w:val="-4"/>
        </w:rPr>
        <w:t xml:space="preserve"> </w:t>
      </w:r>
      <w:r>
        <w:t>about</w:t>
      </w:r>
      <w:r>
        <w:rPr>
          <w:spacing w:val="-3"/>
        </w:rPr>
        <w:t xml:space="preserve"> </w:t>
      </w:r>
      <w:r>
        <w:t>rebate</w:t>
      </w:r>
      <w:r>
        <w:rPr>
          <w:spacing w:val="-5"/>
        </w:rPr>
        <w:t xml:space="preserve"> </w:t>
      </w:r>
      <w:r>
        <w:t>reallocation</w:t>
      </w:r>
      <w:r>
        <w:rPr>
          <w:spacing w:val="-4"/>
        </w:rPr>
        <w:t xml:space="preserve"> </w:t>
      </w:r>
      <w:r>
        <w:t>and</w:t>
      </w:r>
      <w:r>
        <w:rPr>
          <w:spacing w:val="-4"/>
        </w:rPr>
        <w:t xml:space="preserve"> </w:t>
      </w:r>
      <w:r>
        <w:t>rounding</w:t>
      </w:r>
      <w:r>
        <w:rPr>
          <w:spacing w:val="-3"/>
        </w:rPr>
        <w:t xml:space="preserve"> </w:t>
      </w:r>
      <w:r>
        <w:t>rules,</w:t>
      </w:r>
      <w:r>
        <w:rPr>
          <w:spacing w:val="-4"/>
        </w:rPr>
        <w:t xml:space="preserve"> </w:t>
      </w:r>
      <w:r>
        <w:t>including</w:t>
      </w:r>
      <w:r>
        <w:rPr>
          <w:spacing w:val="-4"/>
        </w:rPr>
        <w:t xml:space="preserve"> </w:t>
      </w:r>
      <w:r>
        <w:t xml:space="preserve">the </w:t>
      </w:r>
      <w:r>
        <w:rPr>
          <w:spacing w:val="-2"/>
        </w:rPr>
        <w:t>following:</w:t>
      </w:r>
    </w:p>
    <w:p>
      <w:pPr>
        <w:pStyle w:val="ListParagraph"/>
        <w:numPr>
          <w:ilvl w:val="0"/>
          <w:numId w:val="45"/>
        </w:numPr>
        <w:tabs>
          <w:tab w:val="left" w:pos="1584"/>
        </w:tabs>
        <w:spacing w:before="120" w:after="0" w:line="240" w:lineRule="auto"/>
        <w:ind w:left="1584" w:right="0" w:hanging="360"/>
        <w:jc w:val="left"/>
        <w:rPr>
          <w:sz w:val="24"/>
        </w:rPr>
      </w:pPr>
      <w:r>
        <w:rPr>
          <w:sz w:val="24"/>
        </w:rPr>
        <w:t>A</w:t>
      </w:r>
      <w:r>
        <w:rPr>
          <w:spacing w:val="-4"/>
          <w:sz w:val="24"/>
        </w:rPr>
        <w:t xml:space="preserve"> </w:t>
      </w:r>
      <w:r>
        <w:rPr>
          <w:sz w:val="24"/>
        </w:rPr>
        <w:t>description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rebate</w:t>
      </w:r>
      <w:r>
        <w:rPr>
          <w:spacing w:val="-2"/>
          <w:sz w:val="24"/>
        </w:rPr>
        <w:t xml:space="preserve"> </w:t>
      </w:r>
      <w:r>
        <w:rPr>
          <w:sz w:val="24"/>
        </w:rPr>
        <w:t xml:space="preserve">reallocation </w:t>
      </w:r>
      <w:r>
        <w:rPr>
          <w:spacing w:val="-2"/>
          <w:sz w:val="24"/>
        </w:rPr>
        <w:t>period.</w:t>
      </w:r>
    </w:p>
    <w:p>
      <w:pPr>
        <w:pStyle w:val="ListParagraph"/>
        <w:numPr>
          <w:ilvl w:val="0"/>
          <w:numId w:val="45"/>
        </w:numPr>
        <w:tabs>
          <w:tab w:val="left" w:pos="1584"/>
        </w:tabs>
        <w:spacing w:before="0" w:after="0" w:line="240" w:lineRule="auto"/>
        <w:ind w:left="1584" w:right="2369" w:hanging="360"/>
        <w:jc w:val="left"/>
        <w:rPr>
          <w:sz w:val="24"/>
        </w:rPr>
      </w:pPr>
      <w:r>
        <w:rPr>
          <w:sz w:val="24"/>
        </w:rPr>
        <w:t>A</w:t>
      </w:r>
      <w:r>
        <w:rPr>
          <w:spacing w:val="-5"/>
          <w:sz w:val="24"/>
        </w:rPr>
        <w:t xml:space="preserve"> </w:t>
      </w:r>
      <w:r>
        <w:rPr>
          <w:sz w:val="24"/>
        </w:rPr>
        <w:t>summary</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circumstances</w:t>
      </w:r>
      <w:r>
        <w:rPr>
          <w:spacing w:val="-3"/>
          <w:sz w:val="24"/>
        </w:rPr>
        <w:t xml:space="preserve"> </w:t>
      </w:r>
      <w:r>
        <w:rPr>
          <w:sz w:val="24"/>
        </w:rPr>
        <w:t>under</w:t>
      </w:r>
      <w:r>
        <w:rPr>
          <w:spacing w:val="-3"/>
          <w:sz w:val="24"/>
        </w:rPr>
        <w:t xml:space="preserve"> </w:t>
      </w:r>
      <w:r>
        <w:rPr>
          <w:sz w:val="24"/>
        </w:rPr>
        <w:t>which</w:t>
      </w:r>
      <w:r>
        <w:rPr>
          <w:spacing w:val="-4"/>
          <w:sz w:val="24"/>
        </w:rPr>
        <w:t xml:space="preserve"> </w:t>
      </w:r>
      <w:r>
        <w:rPr>
          <w:sz w:val="24"/>
        </w:rPr>
        <w:t>rebate</w:t>
      </w:r>
      <w:r>
        <w:rPr>
          <w:spacing w:val="-4"/>
          <w:sz w:val="24"/>
        </w:rPr>
        <w:t xml:space="preserve"> </w:t>
      </w:r>
      <w:r>
        <w:rPr>
          <w:sz w:val="24"/>
        </w:rPr>
        <w:t>allocation</w:t>
      </w:r>
      <w:r>
        <w:rPr>
          <w:spacing w:val="-4"/>
          <w:sz w:val="24"/>
        </w:rPr>
        <w:t xml:space="preserve"> </w:t>
      </w:r>
      <w:r>
        <w:rPr>
          <w:sz w:val="24"/>
        </w:rPr>
        <w:t>is</w:t>
      </w:r>
      <w:r>
        <w:rPr>
          <w:spacing w:val="-4"/>
          <w:sz w:val="24"/>
        </w:rPr>
        <w:t xml:space="preserve"> </w:t>
      </w:r>
      <w:r>
        <w:rPr>
          <w:sz w:val="24"/>
        </w:rPr>
        <w:t>required, permitted, or not permitted.</w:t>
      </w:r>
    </w:p>
    <w:p>
      <w:pPr>
        <w:pStyle w:val="ListParagraph"/>
        <w:numPr>
          <w:ilvl w:val="0"/>
          <w:numId w:val="45"/>
        </w:numPr>
        <w:tabs>
          <w:tab w:val="left" w:pos="1584"/>
        </w:tabs>
        <w:spacing w:before="0" w:after="0" w:line="240" w:lineRule="auto"/>
        <w:ind w:left="1584" w:right="0" w:hanging="360"/>
        <w:jc w:val="left"/>
        <w:rPr>
          <w:sz w:val="24"/>
        </w:rPr>
      </w:pPr>
      <w:r>
        <w:rPr>
          <w:sz w:val="24"/>
        </w:rPr>
        <w:t>Specific</w:t>
      </w:r>
      <w:r>
        <w:rPr>
          <w:spacing w:val="-4"/>
          <w:sz w:val="24"/>
        </w:rPr>
        <w:t xml:space="preserve"> </w:t>
      </w:r>
      <w:r>
        <w:rPr>
          <w:sz w:val="24"/>
        </w:rPr>
        <w:t>rules</w:t>
      </w:r>
      <w:r>
        <w:rPr>
          <w:spacing w:val="-2"/>
          <w:sz w:val="24"/>
        </w:rPr>
        <w:t xml:space="preserve"> </w:t>
      </w:r>
      <w:r>
        <w:rPr>
          <w:sz w:val="24"/>
        </w:rPr>
        <w:t>for</w:t>
      </w:r>
      <w:r>
        <w:rPr>
          <w:spacing w:val="-1"/>
          <w:sz w:val="24"/>
        </w:rPr>
        <w:t xml:space="preserve"> </w:t>
      </w:r>
      <w:r>
        <w:rPr>
          <w:sz w:val="24"/>
        </w:rPr>
        <w:t>returning to</w:t>
      </w:r>
      <w:r>
        <w:rPr>
          <w:spacing w:val="-1"/>
          <w:sz w:val="24"/>
        </w:rPr>
        <w:t xml:space="preserve"> </w:t>
      </w:r>
      <w:r>
        <w:rPr>
          <w:sz w:val="24"/>
        </w:rPr>
        <w:t>the</w:t>
      </w:r>
      <w:r>
        <w:rPr>
          <w:spacing w:val="-2"/>
          <w:sz w:val="24"/>
        </w:rPr>
        <w:t xml:space="preserve"> </w:t>
      </w:r>
      <w:r>
        <w:rPr>
          <w:sz w:val="24"/>
        </w:rPr>
        <w:t>target</w:t>
      </w:r>
      <w:r>
        <w:rPr>
          <w:spacing w:val="2"/>
          <w:sz w:val="24"/>
        </w:rPr>
        <w:t xml:space="preserve"> </w:t>
      </w:r>
      <w:r>
        <w:rPr>
          <w:sz w:val="24"/>
        </w:rPr>
        <w:t>Part</w:t>
      </w:r>
      <w:r>
        <w:rPr>
          <w:spacing w:val="-1"/>
          <w:sz w:val="24"/>
        </w:rPr>
        <w:t xml:space="preserve"> </w:t>
      </w:r>
      <w:r>
        <w:rPr>
          <w:sz w:val="24"/>
        </w:rPr>
        <w:t>D</w:t>
      </w:r>
      <w:r>
        <w:rPr>
          <w:spacing w:val="-2"/>
          <w:sz w:val="24"/>
        </w:rPr>
        <w:t xml:space="preserve"> </w:t>
      </w:r>
      <w:r>
        <w:rPr>
          <w:sz w:val="24"/>
        </w:rPr>
        <w:t xml:space="preserve">basic </w:t>
      </w:r>
      <w:r>
        <w:rPr>
          <w:spacing w:val="-2"/>
          <w:sz w:val="24"/>
        </w:rPr>
        <w:t>premium.</w:t>
      </w:r>
    </w:p>
    <w:p>
      <w:pPr>
        <w:pStyle w:val="ListParagraph"/>
        <w:numPr>
          <w:ilvl w:val="0"/>
          <w:numId w:val="45"/>
        </w:numPr>
        <w:tabs>
          <w:tab w:val="left" w:pos="1584"/>
        </w:tabs>
        <w:spacing w:before="0" w:after="0" w:line="240" w:lineRule="auto"/>
        <w:ind w:left="1584" w:right="1977" w:hanging="360"/>
        <w:jc w:val="left"/>
        <w:rPr>
          <w:sz w:val="24"/>
        </w:rPr>
      </w:pPr>
      <w:r>
        <w:rPr>
          <w:sz w:val="24"/>
        </w:rPr>
        <w:t>Limitations</w:t>
      </w:r>
      <w:r>
        <w:rPr>
          <w:spacing w:val="-4"/>
          <w:sz w:val="24"/>
        </w:rPr>
        <w:t xml:space="preserve"> </w:t>
      </w:r>
      <w:r>
        <w:rPr>
          <w:sz w:val="24"/>
        </w:rPr>
        <w:t>on</w:t>
      </w:r>
      <w:r>
        <w:rPr>
          <w:spacing w:val="-4"/>
          <w:sz w:val="24"/>
        </w:rPr>
        <w:t xml:space="preserve"> </w:t>
      </w:r>
      <w:r>
        <w:rPr>
          <w:sz w:val="24"/>
        </w:rPr>
        <w:t>benefit</w:t>
      </w:r>
      <w:r>
        <w:rPr>
          <w:spacing w:val="-4"/>
          <w:sz w:val="24"/>
        </w:rPr>
        <w:t xml:space="preserve"> </w:t>
      </w:r>
      <w:r>
        <w:rPr>
          <w:sz w:val="24"/>
        </w:rPr>
        <w:t>changes</w:t>
      </w:r>
      <w:r>
        <w:rPr>
          <w:spacing w:val="-5"/>
          <w:sz w:val="24"/>
        </w:rPr>
        <w:t xml:space="preserve"> </w:t>
      </w:r>
      <w:r>
        <w:rPr>
          <w:sz w:val="24"/>
        </w:rPr>
        <w:t>that</w:t>
      </w:r>
      <w:r>
        <w:rPr>
          <w:spacing w:val="-4"/>
          <w:sz w:val="24"/>
        </w:rPr>
        <w:t xml:space="preserve"> </w:t>
      </w:r>
      <w:r>
        <w:rPr>
          <w:sz w:val="24"/>
        </w:rPr>
        <w:t>are</w:t>
      </w:r>
      <w:r>
        <w:rPr>
          <w:spacing w:val="-5"/>
          <w:sz w:val="24"/>
        </w:rPr>
        <w:t xml:space="preserve"> </w:t>
      </w:r>
      <w:r>
        <w:rPr>
          <w:sz w:val="24"/>
        </w:rPr>
        <w:t>permitted</w:t>
      </w:r>
      <w:r>
        <w:rPr>
          <w:spacing w:val="-2"/>
          <w:sz w:val="24"/>
        </w:rPr>
        <w:t xml:space="preserve"> </w:t>
      </w:r>
      <w:r>
        <w:rPr>
          <w:sz w:val="24"/>
        </w:rPr>
        <w:t>during</w:t>
      </w:r>
      <w:r>
        <w:rPr>
          <w:spacing w:val="-4"/>
          <w:sz w:val="24"/>
        </w:rPr>
        <w:t xml:space="preserve"> </w:t>
      </w:r>
      <w:r>
        <w:rPr>
          <w:sz w:val="24"/>
        </w:rPr>
        <w:t>the</w:t>
      </w:r>
      <w:r>
        <w:rPr>
          <w:spacing w:val="-5"/>
          <w:sz w:val="24"/>
        </w:rPr>
        <w:t xml:space="preserve"> </w:t>
      </w:r>
      <w:r>
        <w:rPr>
          <w:sz w:val="24"/>
        </w:rPr>
        <w:t>rebate</w:t>
      </w:r>
      <w:r>
        <w:rPr>
          <w:spacing w:val="-5"/>
          <w:sz w:val="24"/>
        </w:rPr>
        <w:t xml:space="preserve"> </w:t>
      </w:r>
      <w:r>
        <w:rPr>
          <w:sz w:val="24"/>
        </w:rPr>
        <w:t xml:space="preserve">reallocation </w:t>
      </w:r>
      <w:r>
        <w:rPr>
          <w:spacing w:val="-2"/>
          <w:sz w:val="24"/>
        </w:rPr>
        <w:t>period.</w:t>
      </w:r>
    </w:p>
    <w:p>
      <w:pPr>
        <w:pStyle w:val="ListParagraph"/>
        <w:numPr>
          <w:ilvl w:val="0"/>
          <w:numId w:val="45"/>
        </w:numPr>
        <w:tabs>
          <w:tab w:val="left" w:pos="1584"/>
        </w:tabs>
        <w:spacing w:before="0" w:after="0" w:line="240" w:lineRule="auto"/>
        <w:ind w:left="1584" w:right="1610" w:hanging="360"/>
        <w:jc w:val="both"/>
        <w:rPr>
          <w:sz w:val="24"/>
        </w:rPr>
      </w:pPr>
      <w:r>
        <w:rPr>
          <w:sz w:val="24"/>
        </w:rPr>
        <w:t>Limitations on changes in pricing assumptions that are permitted during the rebate reallocation</w:t>
      </w:r>
      <w:r>
        <w:rPr>
          <w:spacing w:val="-4"/>
          <w:sz w:val="24"/>
        </w:rPr>
        <w:t xml:space="preserve"> </w:t>
      </w:r>
      <w:r>
        <w:rPr>
          <w:sz w:val="24"/>
        </w:rPr>
        <w:t>period,</w:t>
      </w:r>
      <w:r>
        <w:rPr>
          <w:spacing w:val="-4"/>
          <w:sz w:val="24"/>
        </w:rPr>
        <w:t xml:space="preserve"> </w:t>
      </w:r>
      <w:r>
        <w:rPr>
          <w:sz w:val="24"/>
        </w:rPr>
        <w:t>including</w:t>
      </w:r>
      <w:r>
        <w:rPr>
          <w:spacing w:val="-4"/>
          <w:sz w:val="24"/>
        </w:rPr>
        <w:t xml:space="preserve"> </w:t>
      </w:r>
      <w:r>
        <w:rPr>
          <w:sz w:val="24"/>
        </w:rPr>
        <w:t>a</w:t>
      </w:r>
      <w:r>
        <w:rPr>
          <w:spacing w:val="-4"/>
          <w:sz w:val="24"/>
        </w:rPr>
        <w:t xml:space="preserve"> </w:t>
      </w:r>
      <w:r>
        <w:rPr>
          <w:sz w:val="24"/>
        </w:rPr>
        <w:t>small</w:t>
      </w:r>
      <w:r>
        <w:rPr>
          <w:spacing w:val="-4"/>
          <w:sz w:val="24"/>
        </w:rPr>
        <w:t xml:space="preserve"> </w:t>
      </w:r>
      <w:r>
        <w:rPr>
          <w:sz w:val="24"/>
        </w:rPr>
        <w:t>change</w:t>
      </w:r>
      <w:r>
        <w:rPr>
          <w:spacing w:val="-5"/>
          <w:sz w:val="24"/>
        </w:rPr>
        <w:t xml:space="preserve"> </w:t>
      </w:r>
      <w:r>
        <w:rPr>
          <w:sz w:val="24"/>
        </w:rPr>
        <w:t>in</w:t>
      </w:r>
      <w:r>
        <w:rPr>
          <w:spacing w:val="-4"/>
          <w:sz w:val="24"/>
        </w:rPr>
        <w:t xml:space="preserve"> </w:t>
      </w:r>
      <w:r>
        <w:rPr>
          <w:sz w:val="24"/>
        </w:rPr>
        <w:t>gain/loss</w:t>
      </w:r>
      <w:r>
        <w:rPr>
          <w:spacing w:val="-4"/>
          <w:sz w:val="24"/>
        </w:rPr>
        <w:t xml:space="preserve"> </w:t>
      </w:r>
      <w:r>
        <w:rPr>
          <w:sz w:val="24"/>
        </w:rPr>
        <w:t>margin</w:t>
      </w:r>
      <w:r>
        <w:rPr>
          <w:spacing w:val="-4"/>
          <w:sz w:val="24"/>
        </w:rPr>
        <w:t xml:space="preserve"> </w:t>
      </w:r>
      <w:r>
        <w:rPr>
          <w:sz w:val="24"/>
        </w:rPr>
        <w:t>in</w:t>
      </w:r>
      <w:r>
        <w:rPr>
          <w:spacing w:val="-4"/>
          <w:sz w:val="24"/>
        </w:rPr>
        <w:t xml:space="preserve"> </w:t>
      </w:r>
      <w:r>
        <w:rPr>
          <w:sz w:val="24"/>
        </w:rPr>
        <w:t>order</w:t>
      </w:r>
      <w:r>
        <w:rPr>
          <w:spacing w:val="-4"/>
          <w:sz w:val="24"/>
        </w:rPr>
        <w:t xml:space="preserve"> </w:t>
      </w:r>
      <w:r>
        <w:rPr>
          <w:sz w:val="24"/>
        </w:rPr>
        <w:t>to</w:t>
      </w:r>
      <w:r>
        <w:rPr>
          <w:spacing w:val="-4"/>
          <w:sz w:val="24"/>
        </w:rPr>
        <w:t xml:space="preserve"> </w:t>
      </w:r>
      <w:r>
        <w:rPr>
          <w:sz w:val="24"/>
        </w:rPr>
        <w:t>satisfy Total Beneficiary Cost (TBC) evaluations.</w:t>
      </w:r>
    </w:p>
    <w:p>
      <w:pPr>
        <w:pStyle w:val="ListParagraph"/>
        <w:numPr>
          <w:ilvl w:val="0"/>
          <w:numId w:val="45"/>
        </w:numPr>
        <w:tabs>
          <w:tab w:val="left" w:pos="1583"/>
        </w:tabs>
        <w:spacing w:before="0" w:after="0" w:line="240" w:lineRule="auto"/>
        <w:ind w:left="1583" w:right="0" w:hanging="359"/>
        <w:jc w:val="both"/>
        <w:rPr>
          <w:sz w:val="24"/>
        </w:rPr>
      </w:pPr>
      <w:r>
        <w:rPr>
          <w:sz w:val="24"/>
        </w:rPr>
        <w:t>Limitations</w:t>
      </w:r>
      <w:r>
        <w:rPr>
          <w:spacing w:val="-3"/>
          <w:sz w:val="24"/>
        </w:rPr>
        <w:t xml:space="preserve"> </w:t>
      </w:r>
      <w:r>
        <w:rPr>
          <w:sz w:val="24"/>
        </w:rPr>
        <w:t>on</w:t>
      </w:r>
      <w:r>
        <w:rPr>
          <w:spacing w:val="-1"/>
          <w:sz w:val="24"/>
        </w:rPr>
        <w:t xml:space="preserve"> </w:t>
      </w:r>
      <w:r>
        <w:rPr>
          <w:sz w:val="24"/>
        </w:rPr>
        <w:t>significant</w:t>
      </w:r>
      <w:r>
        <w:rPr>
          <w:spacing w:val="-1"/>
          <w:sz w:val="24"/>
        </w:rPr>
        <w:t xml:space="preserve"> </w:t>
      </w:r>
      <w:r>
        <w:rPr>
          <w:sz w:val="24"/>
        </w:rPr>
        <w:t>changes</w:t>
      </w:r>
      <w:r>
        <w:rPr>
          <w:spacing w:val="-3"/>
          <w:sz w:val="24"/>
        </w:rPr>
        <w:t xml:space="preserve"> </w:t>
      </w:r>
      <w:r>
        <w:rPr>
          <w:sz w:val="24"/>
        </w:rPr>
        <w:t>to</w:t>
      </w:r>
      <w:r>
        <w:rPr>
          <w:spacing w:val="-1"/>
          <w:sz w:val="24"/>
        </w:rPr>
        <w:t xml:space="preserve"> </w:t>
      </w:r>
      <w:r>
        <w:rPr>
          <w:sz w:val="24"/>
        </w:rPr>
        <w:t>the</w:t>
      </w:r>
      <w:r>
        <w:rPr>
          <w:spacing w:val="-3"/>
          <w:sz w:val="24"/>
        </w:rPr>
        <w:t xml:space="preserve"> </w:t>
      </w:r>
      <w:r>
        <w:rPr>
          <w:sz w:val="24"/>
        </w:rPr>
        <w:t>BPT</w:t>
      </w:r>
      <w:r>
        <w:rPr>
          <w:spacing w:val="-1"/>
          <w:sz w:val="24"/>
        </w:rPr>
        <w:t xml:space="preserve"> </w:t>
      </w:r>
      <w:r>
        <w:rPr>
          <w:sz w:val="24"/>
        </w:rPr>
        <w:t>when</w:t>
      </w:r>
      <w:r>
        <w:rPr>
          <w:spacing w:val="-3"/>
          <w:sz w:val="24"/>
        </w:rPr>
        <w:t xml:space="preserve"> </w:t>
      </w:r>
      <w:r>
        <w:rPr>
          <w:sz w:val="24"/>
        </w:rPr>
        <w:t>rounding</w:t>
      </w:r>
      <w:r>
        <w:rPr>
          <w:spacing w:val="-1"/>
          <w:sz w:val="24"/>
        </w:rPr>
        <w:t xml:space="preserve"> </w:t>
      </w:r>
      <w:r>
        <w:rPr>
          <w:spacing w:val="-2"/>
          <w:sz w:val="24"/>
        </w:rPr>
        <w:t>premiums.</w:t>
      </w:r>
    </w:p>
    <w:p>
      <w:pPr>
        <w:pStyle w:val="ListParagraph"/>
        <w:numPr>
          <w:ilvl w:val="0"/>
          <w:numId w:val="45"/>
        </w:numPr>
        <w:tabs>
          <w:tab w:val="left" w:pos="1583"/>
        </w:tabs>
        <w:spacing w:before="0" w:after="0" w:line="240" w:lineRule="auto"/>
        <w:ind w:left="1583" w:right="0" w:hanging="359"/>
        <w:jc w:val="both"/>
        <w:rPr>
          <w:sz w:val="24"/>
        </w:rPr>
      </w:pPr>
      <w:r>
        <w:rPr>
          <w:sz w:val="24"/>
        </w:rPr>
        <w:t>Examples</w:t>
      </w:r>
      <w:r>
        <w:rPr>
          <w:spacing w:val="-3"/>
          <w:sz w:val="24"/>
        </w:rPr>
        <w:t xml:space="preserve"> </w:t>
      </w:r>
      <w:r>
        <w:rPr>
          <w:sz w:val="24"/>
        </w:rPr>
        <w:t>of</w:t>
      </w:r>
      <w:r>
        <w:rPr>
          <w:spacing w:val="-1"/>
          <w:sz w:val="24"/>
        </w:rPr>
        <w:t xml:space="preserve"> </w:t>
      </w:r>
      <w:r>
        <w:rPr>
          <w:sz w:val="24"/>
        </w:rPr>
        <w:t>rebate</w:t>
      </w:r>
      <w:r>
        <w:rPr>
          <w:spacing w:val="-1"/>
          <w:sz w:val="24"/>
        </w:rPr>
        <w:t xml:space="preserve"> </w:t>
      </w:r>
      <w:r>
        <w:rPr>
          <w:sz w:val="24"/>
        </w:rPr>
        <w:t>reallocation</w:t>
      </w:r>
      <w:r>
        <w:rPr>
          <w:spacing w:val="-1"/>
          <w:sz w:val="24"/>
        </w:rPr>
        <w:t xml:space="preserve"> </w:t>
      </w:r>
      <w:r>
        <w:rPr>
          <w:sz w:val="24"/>
        </w:rPr>
        <w:t>and</w:t>
      </w:r>
      <w:r>
        <w:rPr>
          <w:spacing w:val="-1"/>
          <w:sz w:val="24"/>
        </w:rPr>
        <w:t xml:space="preserve"> </w:t>
      </w:r>
      <w:r>
        <w:rPr>
          <w:spacing w:val="-2"/>
          <w:sz w:val="24"/>
        </w:rPr>
        <w:t>rounding.</w:t>
      </w:r>
    </w:p>
    <w:p>
      <w:pPr>
        <w:pStyle w:val="BodyText"/>
        <w:spacing w:before="120"/>
        <w:ind w:right="1619"/>
      </w:pPr>
      <w:r>
        <w:t>It</w:t>
      </w:r>
      <w:r>
        <w:rPr>
          <w:spacing w:val="-3"/>
        </w:rPr>
        <w:t xml:space="preserve"> </w:t>
      </w:r>
      <w:r>
        <w:t>is</w:t>
      </w:r>
      <w:r>
        <w:rPr>
          <w:spacing w:val="-4"/>
        </w:rPr>
        <w:t xml:space="preserve"> </w:t>
      </w:r>
      <w:r>
        <w:t>important</w:t>
      </w:r>
      <w:r>
        <w:rPr>
          <w:spacing w:val="-3"/>
        </w:rPr>
        <w:t xml:space="preserve"> </w:t>
      </w:r>
      <w:r>
        <w:t>to</w:t>
      </w:r>
      <w:r>
        <w:rPr>
          <w:spacing w:val="-3"/>
        </w:rPr>
        <w:t xml:space="preserve"> </w:t>
      </w:r>
      <w:r>
        <w:t>note</w:t>
      </w:r>
      <w:r>
        <w:rPr>
          <w:spacing w:val="-3"/>
        </w:rPr>
        <w:t xml:space="preserve"> </w:t>
      </w:r>
      <w:r>
        <w:t>that</w:t>
      </w:r>
      <w:r>
        <w:rPr>
          <w:spacing w:val="-3"/>
        </w:rPr>
        <w:t xml:space="preserve"> </w:t>
      </w:r>
      <w:r>
        <w:t>for</w:t>
      </w:r>
      <w:r>
        <w:rPr>
          <w:spacing w:val="-4"/>
        </w:rPr>
        <w:t xml:space="preserve"> </w:t>
      </w:r>
      <w:r>
        <w:t>all</w:t>
      </w:r>
      <w:r>
        <w:rPr>
          <w:spacing w:val="-1"/>
        </w:rPr>
        <w:t xml:space="preserve"> </w:t>
      </w:r>
      <w:r>
        <w:t>bids,</w:t>
      </w:r>
      <w:r>
        <w:rPr>
          <w:spacing w:val="-3"/>
        </w:rPr>
        <w:t xml:space="preserve"> </w:t>
      </w:r>
      <w:r>
        <w:t>the</w:t>
      </w:r>
      <w:r>
        <w:rPr>
          <w:spacing w:val="-3"/>
        </w:rPr>
        <w:t xml:space="preserve"> </w:t>
      </w:r>
      <w:r>
        <w:t>initial</w:t>
      </w:r>
      <w:r>
        <w:rPr>
          <w:spacing w:val="-3"/>
        </w:rPr>
        <w:t xml:space="preserve"> </w:t>
      </w:r>
      <w:r>
        <w:t>bid</w:t>
      </w:r>
      <w:r>
        <w:rPr>
          <w:spacing w:val="-3"/>
        </w:rPr>
        <w:t xml:space="preserve"> </w:t>
      </w:r>
      <w:r>
        <w:t>submission</w:t>
      </w:r>
      <w:r>
        <w:rPr>
          <w:spacing w:val="-3"/>
        </w:rPr>
        <w:t xml:space="preserve"> </w:t>
      </w:r>
      <w:r>
        <w:t>must</w:t>
      </w:r>
      <w:r>
        <w:rPr>
          <w:spacing w:val="-3"/>
        </w:rPr>
        <w:t xml:space="preserve"> </w:t>
      </w:r>
      <w:r>
        <w:t>reflect</w:t>
      </w:r>
      <w:r>
        <w:rPr>
          <w:spacing w:val="-3"/>
        </w:rPr>
        <w:t xml:space="preserve"> </w:t>
      </w:r>
      <w:r>
        <w:t>the</w:t>
      </w:r>
      <w:r>
        <w:rPr>
          <w:spacing w:val="-4"/>
        </w:rPr>
        <w:t xml:space="preserve"> </w:t>
      </w:r>
      <w:r>
        <w:t>desired</w:t>
      </w:r>
      <w:r>
        <w:rPr>
          <w:spacing w:val="-3"/>
        </w:rPr>
        <w:t xml:space="preserve"> </w:t>
      </w:r>
      <w:r>
        <w:t>level of premium rounding, since there are specific rules regarding the level of premium rounding permitted during the rebate reallocation period.</w:t>
      </w:r>
    </w:p>
    <w:p>
      <w:pPr>
        <w:spacing w:before="241"/>
        <w:ind w:left="504" w:right="0" w:firstLine="0"/>
        <w:jc w:val="both"/>
        <w:rPr>
          <w:rFonts w:ascii="Arial"/>
          <w:b/>
          <w:sz w:val="21"/>
        </w:rPr>
      </w:pPr>
      <w:bookmarkStart w:id="88" w:name="Plan Intention for Target Part D Basic P"/>
      <w:bookmarkEnd w:id="88"/>
      <w:bookmarkStart w:id="89" w:name="_bookmark30"/>
      <w:bookmarkEnd w:id="89"/>
      <w:r>
        <w:rPr>
          <w:rFonts w:ascii="Arial"/>
          <w:b/>
          <w:sz w:val="21"/>
        </w:rPr>
        <w:t>Plan</w:t>
      </w:r>
      <w:r>
        <w:rPr>
          <w:rFonts w:ascii="Arial"/>
          <w:b/>
          <w:spacing w:val="-5"/>
          <w:sz w:val="21"/>
        </w:rPr>
        <w:t xml:space="preserve"> </w:t>
      </w:r>
      <w:r>
        <w:rPr>
          <w:rFonts w:ascii="Arial"/>
          <w:b/>
          <w:sz w:val="21"/>
        </w:rPr>
        <w:t>Intention</w:t>
      </w:r>
      <w:r>
        <w:rPr>
          <w:rFonts w:ascii="Arial"/>
          <w:b/>
          <w:spacing w:val="-3"/>
          <w:sz w:val="21"/>
        </w:rPr>
        <w:t xml:space="preserve"> </w:t>
      </w:r>
      <w:r>
        <w:rPr>
          <w:rFonts w:ascii="Arial"/>
          <w:b/>
          <w:sz w:val="21"/>
        </w:rPr>
        <w:t>for</w:t>
      </w:r>
      <w:r>
        <w:rPr>
          <w:rFonts w:ascii="Arial"/>
          <w:b/>
          <w:spacing w:val="-7"/>
          <w:sz w:val="21"/>
        </w:rPr>
        <w:t xml:space="preserve"> </w:t>
      </w:r>
      <w:r>
        <w:rPr>
          <w:rFonts w:ascii="Arial"/>
          <w:b/>
          <w:sz w:val="21"/>
        </w:rPr>
        <w:t>Target</w:t>
      </w:r>
      <w:r>
        <w:rPr>
          <w:rFonts w:ascii="Arial"/>
          <w:b/>
          <w:spacing w:val="-6"/>
          <w:sz w:val="21"/>
        </w:rPr>
        <w:t xml:space="preserve"> </w:t>
      </w:r>
      <w:r>
        <w:rPr>
          <w:rFonts w:ascii="Arial"/>
          <w:b/>
          <w:sz w:val="21"/>
        </w:rPr>
        <w:t>Part</w:t>
      </w:r>
      <w:r>
        <w:rPr>
          <w:rFonts w:ascii="Arial"/>
          <w:b/>
          <w:spacing w:val="-5"/>
          <w:sz w:val="21"/>
        </w:rPr>
        <w:t xml:space="preserve"> </w:t>
      </w:r>
      <w:r>
        <w:rPr>
          <w:rFonts w:ascii="Arial"/>
          <w:b/>
          <w:sz w:val="21"/>
        </w:rPr>
        <w:t>D</w:t>
      </w:r>
      <w:r>
        <w:rPr>
          <w:rFonts w:ascii="Arial"/>
          <w:b/>
          <w:spacing w:val="-3"/>
          <w:sz w:val="21"/>
        </w:rPr>
        <w:t xml:space="preserve"> </w:t>
      </w:r>
      <w:r>
        <w:rPr>
          <w:rFonts w:ascii="Arial"/>
          <w:b/>
          <w:sz w:val="21"/>
        </w:rPr>
        <w:t>Basic</w:t>
      </w:r>
      <w:r>
        <w:rPr>
          <w:rFonts w:ascii="Arial"/>
          <w:b/>
          <w:spacing w:val="-4"/>
          <w:sz w:val="21"/>
        </w:rPr>
        <w:t xml:space="preserve"> </w:t>
      </w:r>
      <w:r>
        <w:rPr>
          <w:rFonts w:ascii="Arial"/>
          <w:b/>
          <w:spacing w:val="-2"/>
          <w:sz w:val="21"/>
        </w:rPr>
        <w:t>Premium</w:t>
      </w:r>
    </w:p>
    <w:p>
      <w:pPr>
        <w:pStyle w:val="BodyText"/>
        <w:spacing w:before="118"/>
        <w:ind w:right="1481"/>
      </w:pPr>
      <w:r>
        <w:t>Following CMS’ publication of the Part D national average monthly bid amount, the Part D base</w:t>
      </w:r>
      <w:r>
        <w:rPr>
          <w:spacing w:val="-4"/>
        </w:rPr>
        <w:t xml:space="preserve"> </w:t>
      </w:r>
      <w:r>
        <w:t>beneficiary</w:t>
      </w:r>
      <w:r>
        <w:rPr>
          <w:spacing w:val="-3"/>
        </w:rPr>
        <w:t xml:space="preserve"> </w:t>
      </w:r>
      <w:r>
        <w:t>premium,</w:t>
      </w:r>
      <w:r>
        <w:rPr>
          <w:spacing w:val="-3"/>
        </w:rPr>
        <w:t xml:space="preserve"> </w:t>
      </w:r>
      <w:r>
        <w:t>the</w:t>
      </w:r>
      <w:r>
        <w:rPr>
          <w:spacing w:val="-3"/>
        </w:rPr>
        <w:t xml:space="preserve"> </w:t>
      </w:r>
      <w:r>
        <w:t>Part</w:t>
      </w:r>
      <w:r>
        <w:rPr>
          <w:spacing w:val="-3"/>
        </w:rPr>
        <w:t xml:space="preserve"> </w:t>
      </w:r>
      <w:r>
        <w:t>D</w:t>
      </w:r>
      <w:r>
        <w:rPr>
          <w:spacing w:val="-4"/>
        </w:rPr>
        <w:t xml:space="preserve"> </w:t>
      </w:r>
      <w:r>
        <w:t>regional</w:t>
      </w:r>
      <w:r>
        <w:rPr>
          <w:spacing w:val="-3"/>
        </w:rPr>
        <w:t xml:space="preserve"> </w:t>
      </w:r>
      <w:r>
        <w:t>low-income</w:t>
      </w:r>
      <w:r>
        <w:rPr>
          <w:spacing w:val="-4"/>
        </w:rPr>
        <w:t xml:space="preserve"> </w:t>
      </w:r>
      <w:r>
        <w:t>premium</w:t>
      </w:r>
      <w:r>
        <w:rPr>
          <w:spacing w:val="-3"/>
        </w:rPr>
        <w:t xml:space="preserve"> </w:t>
      </w:r>
      <w:r>
        <w:t>subsidy</w:t>
      </w:r>
      <w:r>
        <w:rPr>
          <w:spacing w:val="-3"/>
        </w:rPr>
        <w:t xml:space="preserve"> </w:t>
      </w:r>
      <w:r>
        <w:t>amounts,</w:t>
      </w:r>
      <w:r>
        <w:rPr>
          <w:spacing w:val="-3"/>
        </w:rPr>
        <w:t xml:space="preserve"> </w:t>
      </w:r>
      <w:r>
        <w:t>and</w:t>
      </w:r>
      <w:r>
        <w:rPr>
          <w:spacing w:val="-3"/>
        </w:rPr>
        <w:t xml:space="preserve"> </w:t>
      </w:r>
      <w:r>
        <w:t>the MA regional PPO benchmarks, MAOs may reallocate MA rebates in certain MA-PD bids in</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right="1481"/>
      </w:pPr>
      <w:r>
        <w:t>order to return to the target Part D basic premium. MA-PD sponsors must choose one of the following two options for the target premium: “Premium Amount Displayed in Line 7d” or “Low</w:t>
      </w:r>
      <w:r>
        <w:rPr>
          <w:spacing w:val="-2"/>
        </w:rPr>
        <w:t xml:space="preserve"> </w:t>
      </w:r>
      <w:r>
        <w:t>Income</w:t>
      </w:r>
      <w:r>
        <w:rPr>
          <w:spacing w:val="-4"/>
        </w:rPr>
        <w:t xml:space="preserve"> </w:t>
      </w:r>
      <w:r>
        <w:t>Premium</w:t>
      </w:r>
      <w:r>
        <w:rPr>
          <w:spacing w:val="-3"/>
        </w:rPr>
        <w:t xml:space="preserve"> </w:t>
      </w:r>
      <w:r>
        <w:t>Subsidy</w:t>
      </w:r>
      <w:r>
        <w:rPr>
          <w:spacing w:val="-3"/>
        </w:rPr>
        <w:t xml:space="preserve"> </w:t>
      </w:r>
      <w:r>
        <w:t>Amount.”</w:t>
      </w:r>
      <w:r>
        <w:rPr>
          <w:spacing w:val="-3"/>
        </w:rPr>
        <w:t xml:space="preserve"> </w:t>
      </w:r>
      <w:r>
        <w:t>There</w:t>
      </w:r>
      <w:r>
        <w:rPr>
          <w:spacing w:val="-3"/>
        </w:rPr>
        <w:t xml:space="preserve"> </w:t>
      </w:r>
      <w:r>
        <w:t>is</w:t>
      </w:r>
      <w:r>
        <w:rPr>
          <w:spacing w:val="-4"/>
        </w:rPr>
        <w:t xml:space="preserve"> </w:t>
      </w:r>
      <w:r>
        <w:t>no</w:t>
      </w:r>
      <w:r>
        <w:rPr>
          <w:spacing w:val="-3"/>
        </w:rPr>
        <w:t xml:space="preserve"> </w:t>
      </w:r>
      <w:r>
        <w:t>option</w:t>
      </w:r>
      <w:r>
        <w:rPr>
          <w:spacing w:val="-3"/>
        </w:rPr>
        <w:t xml:space="preserve"> </w:t>
      </w:r>
      <w:r>
        <w:t>to</w:t>
      </w:r>
      <w:r>
        <w:rPr>
          <w:spacing w:val="-3"/>
        </w:rPr>
        <w:t xml:space="preserve"> </w:t>
      </w:r>
      <w:r>
        <w:t>target</w:t>
      </w:r>
      <w:r>
        <w:rPr>
          <w:spacing w:val="-3"/>
        </w:rPr>
        <w:t xml:space="preserve"> </w:t>
      </w:r>
      <w:r>
        <w:t>and</w:t>
      </w:r>
      <w:r>
        <w:rPr>
          <w:spacing w:val="-3"/>
        </w:rPr>
        <w:t xml:space="preserve"> </w:t>
      </w:r>
      <w:r>
        <w:t>reallocate</w:t>
      </w:r>
      <w:r>
        <w:rPr>
          <w:spacing w:val="-4"/>
        </w:rPr>
        <w:t xml:space="preserve"> </w:t>
      </w:r>
      <w:r>
        <w:t>rebates</w:t>
      </w:r>
      <w:r>
        <w:rPr>
          <w:spacing w:val="-4"/>
        </w:rPr>
        <w:t xml:space="preserve"> </w:t>
      </w:r>
      <w:r>
        <w:t>to return to Total Plan Premium.</w:t>
      </w:r>
    </w:p>
    <w:p>
      <w:pPr>
        <w:pStyle w:val="BodyText"/>
        <w:spacing w:before="120"/>
        <w:ind w:right="1492"/>
      </w:pPr>
      <w:r>
        <w:t>The target Part D basic premium is the Part D basic premium net of any MA rebates that were applied to reduce (buy down) the premium; it does not include the Part D supplemental premium</w:t>
      </w:r>
      <w:r>
        <w:rPr>
          <w:spacing w:val="-3"/>
        </w:rPr>
        <w:t xml:space="preserve"> </w:t>
      </w:r>
      <w:r>
        <w:t>or</w:t>
      </w:r>
      <w:r>
        <w:rPr>
          <w:spacing w:val="-4"/>
        </w:rPr>
        <w:t xml:space="preserve"> </w:t>
      </w:r>
      <w:r>
        <w:t>the</w:t>
      </w:r>
      <w:r>
        <w:rPr>
          <w:spacing w:val="-4"/>
        </w:rPr>
        <w:t xml:space="preserve"> </w:t>
      </w:r>
      <w:r>
        <w:t>MA</w:t>
      </w:r>
      <w:r>
        <w:rPr>
          <w:spacing w:val="-4"/>
        </w:rPr>
        <w:t xml:space="preserve"> </w:t>
      </w:r>
      <w:r>
        <w:t>premium.</w:t>
      </w:r>
      <w:r>
        <w:rPr>
          <w:spacing w:val="-3"/>
        </w:rPr>
        <w:t xml:space="preserve"> </w:t>
      </w:r>
      <w:r>
        <w:t>Similarly,</w:t>
      </w:r>
      <w:r>
        <w:rPr>
          <w:spacing w:val="-4"/>
        </w:rPr>
        <w:t xml:space="preserve"> </w:t>
      </w:r>
      <w:r>
        <w:t>the</w:t>
      </w:r>
      <w:r>
        <w:rPr>
          <w:spacing w:val="-4"/>
        </w:rPr>
        <w:t xml:space="preserve"> </w:t>
      </w:r>
      <w:r>
        <w:t>Low-Income</w:t>
      </w:r>
      <w:r>
        <w:rPr>
          <w:spacing w:val="-4"/>
        </w:rPr>
        <w:t xml:space="preserve"> </w:t>
      </w:r>
      <w:r>
        <w:t>Premium</w:t>
      </w:r>
      <w:r>
        <w:rPr>
          <w:spacing w:val="-3"/>
        </w:rPr>
        <w:t xml:space="preserve"> </w:t>
      </w:r>
      <w:r>
        <w:t>Subsidy</w:t>
      </w:r>
      <w:r>
        <w:rPr>
          <w:spacing w:val="-4"/>
        </w:rPr>
        <w:t xml:space="preserve"> </w:t>
      </w:r>
      <w:r>
        <w:t>Amount</w:t>
      </w:r>
      <w:r>
        <w:rPr>
          <w:spacing w:val="-3"/>
        </w:rPr>
        <w:t xml:space="preserve"> </w:t>
      </w:r>
      <w:r>
        <w:t xml:space="preserve">(LIPSA) applies to the Part D basic premium and does not cover the cost of Part D supplemental </w:t>
      </w:r>
      <w:r>
        <w:rPr>
          <w:spacing w:val="-2"/>
        </w:rPr>
        <w:t>benefits.</w:t>
      </w:r>
    </w:p>
    <w:p>
      <w:pPr>
        <w:pStyle w:val="BodyText"/>
        <w:spacing w:before="120"/>
      </w:pPr>
      <w:r>
        <w:t>CMS</w:t>
      </w:r>
      <w:r>
        <w:rPr>
          <w:spacing w:val="-1"/>
        </w:rPr>
        <w:t xml:space="preserve"> </w:t>
      </w:r>
      <w:r>
        <w:t>expects</w:t>
      </w:r>
      <w:r>
        <w:rPr>
          <w:spacing w:val="-2"/>
        </w:rPr>
        <w:t xml:space="preserve"> </w:t>
      </w:r>
      <w:r>
        <w:t>a</w:t>
      </w:r>
      <w:r>
        <w:rPr>
          <w:spacing w:val="-1"/>
        </w:rPr>
        <w:t xml:space="preserve"> </w:t>
      </w:r>
      <w:r>
        <w:t>consistent</w:t>
      </w:r>
      <w:r>
        <w:rPr>
          <w:spacing w:val="-1"/>
        </w:rPr>
        <w:t xml:space="preserve"> </w:t>
      </w:r>
      <w:r>
        <w:t>estimate of</w:t>
      </w:r>
      <w:r>
        <w:rPr>
          <w:spacing w:val="-3"/>
        </w:rPr>
        <w:t xml:space="preserve"> </w:t>
      </w:r>
      <w:r>
        <w:t>the</w:t>
      </w:r>
      <w:r>
        <w:rPr>
          <w:spacing w:val="-1"/>
        </w:rPr>
        <w:t xml:space="preserve"> </w:t>
      </w:r>
      <w:r>
        <w:t>LIPSA among bids in</w:t>
      </w:r>
      <w:r>
        <w:rPr>
          <w:spacing w:val="-1"/>
        </w:rPr>
        <w:t xml:space="preserve"> </w:t>
      </w:r>
      <w:r>
        <w:t>the</w:t>
      </w:r>
      <w:r>
        <w:rPr>
          <w:spacing w:val="-2"/>
        </w:rPr>
        <w:t xml:space="preserve"> </w:t>
      </w:r>
      <w:r>
        <w:t xml:space="preserve">same </w:t>
      </w:r>
      <w:r>
        <w:rPr>
          <w:spacing w:val="-2"/>
        </w:rPr>
        <w:t>region.</w:t>
      </w:r>
    </w:p>
    <w:p>
      <w:pPr>
        <w:pStyle w:val="BodyText"/>
        <w:spacing w:before="120"/>
        <w:ind w:right="1443"/>
      </w:pPr>
      <w:r>
        <w:t>MA-PD</w:t>
      </w:r>
      <w:r>
        <w:rPr>
          <w:spacing w:val="-4"/>
        </w:rPr>
        <w:t xml:space="preserve"> </w:t>
      </w:r>
      <w:r>
        <w:t>sponsors</w:t>
      </w:r>
      <w:r>
        <w:rPr>
          <w:spacing w:val="-3"/>
        </w:rPr>
        <w:t xml:space="preserve"> </w:t>
      </w:r>
      <w:r>
        <w:t>must</w:t>
      </w:r>
      <w:r>
        <w:rPr>
          <w:spacing w:val="-2"/>
        </w:rPr>
        <w:t xml:space="preserve"> </w:t>
      </w:r>
      <w:r>
        <w:t>choose</w:t>
      </w:r>
      <w:r>
        <w:rPr>
          <w:spacing w:val="-4"/>
        </w:rPr>
        <w:t xml:space="preserve"> </w:t>
      </w:r>
      <w:r>
        <w:t>a</w:t>
      </w:r>
      <w:r>
        <w:rPr>
          <w:spacing w:val="-4"/>
        </w:rPr>
        <w:t xml:space="preserve"> </w:t>
      </w:r>
      <w:r>
        <w:t>plan</w:t>
      </w:r>
      <w:r>
        <w:rPr>
          <w:spacing w:val="-3"/>
        </w:rPr>
        <w:t xml:space="preserve"> </w:t>
      </w:r>
      <w:r>
        <w:t>intention</w:t>
      </w:r>
      <w:r>
        <w:rPr>
          <w:spacing w:val="-3"/>
        </w:rPr>
        <w:t xml:space="preserve"> </w:t>
      </w:r>
      <w:r>
        <w:t>for</w:t>
      </w:r>
      <w:r>
        <w:rPr>
          <w:spacing w:val="-2"/>
        </w:rPr>
        <w:t xml:space="preserve"> </w:t>
      </w:r>
      <w:r>
        <w:t>the</w:t>
      </w:r>
      <w:r>
        <w:rPr>
          <w:spacing w:val="-3"/>
        </w:rPr>
        <w:t xml:space="preserve"> </w:t>
      </w:r>
      <w:r>
        <w:t>target</w:t>
      </w:r>
      <w:r>
        <w:rPr>
          <w:spacing w:val="-2"/>
        </w:rPr>
        <w:t xml:space="preserve"> </w:t>
      </w:r>
      <w:r>
        <w:t>Part</w:t>
      </w:r>
      <w:r>
        <w:rPr>
          <w:spacing w:val="-3"/>
        </w:rPr>
        <w:t xml:space="preserve"> </w:t>
      </w:r>
      <w:r>
        <w:t>D</w:t>
      </w:r>
      <w:r>
        <w:rPr>
          <w:spacing w:val="-4"/>
        </w:rPr>
        <w:t xml:space="preserve"> </w:t>
      </w:r>
      <w:r>
        <w:t>basic</w:t>
      </w:r>
      <w:r>
        <w:rPr>
          <w:spacing w:val="-3"/>
        </w:rPr>
        <w:t xml:space="preserve"> </w:t>
      </w:r>
      <w:r>
        <w:t>premium</w:t>
      </w:r>
      <w:r>
        <w:rPr>
          <w:spacing w:val="-3"/>
        </w:rPr>
        <w:t xml:space="preserve"> </w:t>
      </w:r>
      <w:r>
        <w:t>option</w:t>
      </w:r>
      <w:r>
        <w:rPr>
          <w:spacing w:val="-3"/>
        </w:rPr>
        <w:t xml:space="preserve"> </w:t>
      </w:r>
      <w:r>
        <w:t>in</w:t>
      </w:r>
      <w:r>
        <w:rPr>
          <w:spacing w:val="-3"/>
        </w:rPr>
        <w:t xml:space="preserve"> </w:t>
      </w:r>
      <w:r>
        <w:t>the initial bid submission and cannot change the chosen target in a subsequent resubmission. CMS will consider only the option selected in the initial bid submission as the plan’s intention.</w:t>
      </w:r>
    </w:p>
    <w:p>
      <w:pPr>
        <w:spacing w:before="242"/>
        <w:ind w:left="504" w:right="0" w:firstLine="0"/>
        <w:jc w:val="left"/>
        <w:rPr>
          <w:rFonts w:ascii="Arial"/>
          <w:b/>
          <w:sz w:val="21"/>
        </w:rPr>
      </w:pPr>
      <w:bookmarkStart w:id="90" w:name="Rebate Allocations"/>
      <w:bookmarkEnd w:id="90"/>
      <w:bookmarkStart w:id="91" w:name="_bookmark31"/>
      <w:bookmarkEnd w:id="91"/>
      <w:r>
        <w:rPr>
          <w:rFonts w:ascii="Arial"/>
          <w:b/>
          <w:sz w:val="21"/>
        </w:rPr>
        <w:t>Rebate</w:t>
      </w:r>
      <w:r>
        <w:rPr>
          <w:rFonts w:ascii="Arial"/>
          <w:b/>
          <w:spacing w:val="-9"/>
          <w:sz w:val="21"/>
        </w:rPr>
        <w:t xml:space="preserve"> </w:t>
      </w:r>
      <w:r>
        <w:rPr>
          <w:rFonts w:ascii="Arial"/>
          <w:b/>
          <w:spacing w:val="-2"/>
          <w:sz w:val="21"/>
        </w:rPr>
        <w:t>Allocations</w:t>
      </w:r>
    </w:p>
    <w:p>
      <w:pPr>
        <w:pStyle w:val="BodyText"/>
        <w:spacing w:before="117"/>
      </w:pPr>
      <w:r>
        <w:t>The</w:t>
      </w:r>
      <w:r>
        <w:rPr>
          <w:spacing w:val="-3"/>
        </w:rPr>
        <w:t xml:space="preserve"> </w:t>
      </w:r>
      <w:r>
        <w:t>following</w:t>
      </w:r>
      <w:r>
        <w:rPr>
          <w:spacing w:val="-1"/>
        </w:rPr>
        <w:t xml:space="preserve"> </w:t>
      </w:r>
      <w:r>
        <w:t>rules</w:t>
      </w:r>
      <w:r>
        <w:rPr>
          <w:spacing w:val="-1"/>
        </w:rPr>
        <w:t xml:space="preserve"> </w:t>
      </w:r>
      <w:r>
        <w:t>apply</w:t>
      </w:r>
      <w:r>
        <w:rPr>
          <w:spacing w:val="-1"/>
        </w:rPr>
        <w:t xml:space="preserve"> </w:t>
      </w:r>
      <w:r>
        <w:t>for</w:t>
      </w:r>
      <w:r>
        <w:rPr>
          <w:spacing w:val="-2"/>
        </w:rPr>
        <w:t xml:space="preserve"> </w:t>
      </w:r>
      <w:r>
        <w:t>rebate</w:t>
      </w:r>
      <w:r>
        <w:rPr>
          <w:spacing w:val="-1"/>
        </w:rPr>
        <w:t xml:space="preserve"> </w:t>
      </w:r>
      <w:r>
        <w:t>allocations</w:t>
      </w:r>
      <w:r>
        <w:rPr>
          <w:spacing w:val="1"/>
        </w:rPr>
        <w:t xml:space="preserve"> </w:t>
      </w:r>
      <w:r>
        <w:t>in</w:t>
      </w:r>
      <w:r>
        <w:rPr>
          <w:spacing w:val="-1"/>
        </w:rPr>
        <w:t xml:space="preserve"> </w:t>
      </w:r>
      <w:r>
        <w:t>the</w:t>
      </w:r>
      <w:r>
        <w:rPr>
          <w:spacing w:val="-1"/>
        </w:rPr>
        <w:t xml:space="preserve"> </w:t>
      </w:r>
      <w:r>
        <w:t>initial</w:t>
      </w:r>
      <w:r>
        <w:rPr>
          <w:spacing w:val="-1"/>
        </w:rPr>
        <w:t xml:space="preserve"> </w:t>
      </w:r>
      <w:r>
        <w:t xml:space="preserve">bid </w:t>
      </w:r>
      <w:r>
        <w:rPr>
          <w:spacing w:val="-2"/>
        </w:rPr>
        <w:t>submission:</w:t>
      </w:r>
    </w:p>
    <w:p>
      <w:pPr>
        <w:pStyle w:val="ListParagraph"/>
        <w:numPr>
          <w:ilvl w:val="0"/>
          <w:numId w:val="45"/>
        </w:numPr>
        <w:tabs>
          <w:tab w:val="left" w:pos="1584"/>
        </w:tabs>
        <w:spacing w:before="121" w:after="0" w:line="240" w:lineRule="auto"/>
        <w:ind w:left="1584" w:right="1617" w:hanging="360"/>
        <w:jc w:val="left"/>
        <w:rPr>
          <w:sz w:val="24"/>
        </w:rPr>
      </w:pPr>
      <w:r>
        <w:rPr>
          <w:sz w:val="24"/>
        </w:rPr>
        <w:t>The</w:t>
      </w:r>
      <w:r>
        <w:rPr>
          <w:spacing w:val="-5"/>
          <w:sz w:val="24"/>
        </w:rPr>
        <w:t xml:space="preserve"> </w:t>
      </w:r>
      <w:r>
        <w:rPr>
          <w:sz w:val="24"/>
        </w:rPr>
        <w:t>“Maximum</w:t>
      </w:r>
      <w:r>
        <w:rPr>
          <w:spacing w:val="-3"/>
          <w:sz w:val="24"/>
        </w:rPr>
        <w:t xml:space="preserve"> </w:t>
      </w:r>
      <w:r>
        <w:rPr>
          <w:sz w:val="24"/>
        </w:rPr>
        <w:t>Value”</w:t>
      </w:r>
      <w:r>
        <w:rPr>
          <w:spacing w:val="-4"/>
          <w:sz w:val="24"/>
        </w:rPr>
        <w:t xml:space="preserve"> </w:t>
      </w:r>
      <w:r>
        <w:rPr>
          <w:sz w:val="24"/>
        </w:rPr>
        <w:t>column</w:t>
      </w:r>
      <w:r>
        <w:rPr>
          <w:spacing w:val="-3"/>
          <w:sz w:val="24"/>
        </w:rPr>
        <w:t xml:space="preserve"> </w:t>
      </w:r>
      <w:r>
        <w:rPr>
          <w:sz w:val="24"/>
        </w:rPr>
        <w:t>of</w:t>
      </w:r>
      <w:r>
        <w:rPr>
          <w:spacing w:val="-4"/>
          <w:sz w:val="24"/>
        </w:rPr>
        <w:t xml:space="preserve"> </w:t>
      </w:r>
      <w:r>
        <w:rPr>
          <w:sz w:val="24"/>
        </w:rPr>
        <w:t>Worksheet</w:t>
      </w:r>
      <w:r>
        <w:rPr>
          <w:spacing w:val="-3"/>
          <w:sz w:val="24"/>
        </w:rPr>
        <w:t xml:space="preserve"> </w:t>
      </w:r>
      <w:r>
        <w:rPr>
          <w:sz w:val="24"/>
        </w:rPr>
        <w:t>6,</w:t>
      </w:r>
      <w:r>
        <w:rPr>
          <w:spacing w:val="-3"/>
          <w:sz w:val="24"/>
        </w:rPr>
        <w:t xml:space="preserve"> </w:t>
      </w:r>
      <w:r>
        <w:rPr>
          <w:sz w:val="24"/>
        </w:rPr>
        <w:t>Section</w:t>
      </w:r>
      <w:r>
        <w:rPr>
          <w:spacing w:val="-1"/>
          <w:sz w:val="24"/>
        </w:rPr>
        <w:t xml:space="preserve"> </w:t>
      </w:r>
      <w:r>
        <w:rPr>
          <w:sz w:val="24"/>
        </w:rPr>
        <w:t>IIIB</w:t>
      </w:r>
      <w:r>
        <w:rPr>
          <w:spacing w:val="-3"/>
          <w:sz w:val="24"/>
        </w:rPr>
        <w:t xml:space="preserve"> </w:t>
      </w:r>
      <w:r>
        <w:rPr>
          <w:sz w:val="24"/>
        </w:rPr>
        <w:t>shows</w:t>
      </w:r>
      <w:r>
        <w:rPr>
          <w:spacing w:val="-4"/>
          <w:sz w:val="24"/>
        </w:rPr>
        <w:t xml:space="preserve"> </w:t>
      </w:r>
      <w:r>
        <w:rPr>
          <w:sz w:val="24"/>
        </w:rPr>
        <w:t>the</w:t>
      </w:r>
      <w:r>
        <w:rPr>
          <w:spacing w:val="-3"/>
          <w:sz w:val="24"/>
        </w:rPr>
        <w:t xml:space="preserve"> </w:t>
      </w:r>
      <w:r>
        <w:rPr>
          <w:sz w:val="24"/>
        </w:rPr>
        <w:t>maximum amount that may be applied for each rebate option. Each rebate allocation cannot exceed</w:t>
      </w:r>
      <w:r>
        <w:rPr>
          <w:spacing w:val="-3"/>
          <w:sz w:val="24"/>
        </w:rPr>
        <w:t xml:space="preserve"> </w:t>
      </w:r>
      <w:r>
        <w:rPr>
          <w:sz w:val="24"/>
        </w:rPr>
        <w:t>the</w:t>
      </w:r>
      <w:r>
        <w:rPr>
          <w:spacing w:val="-3"/>
          <w:sz w:val="24"/>
        </w:rPr>
        <w:t xml:space="preserve"> </w:t>
      </w:r>
      <w:r>
        <w:rPr>
          <w:sz w:val="24"/>
        </w:rPr>
        <w:t>applicable</w:t>
      </w:r>
      <w:r>
        <w:rPr>
          <w:spacing w:val="-4"/>
          <w:sz w:val="24"/>
        </w:rPr>
        <w:t xml:space="preserve"> </w:t>
      </w:r>
      <w:r>
        <w:rPr>
          <w:sz w:val="24"/>
        </w:rPr>
        <w:t>maximum.</w:t>
      </w:r>
      <w:r>
        <w:rPr>
          <w:spacing w:val="-3"/>
          <w:sz w:val="24"/>
        </w:rPr>
        <w:t xml:space="preserve"> </w:t>
      </w:r>
      <w:r>
        <w:rPr>
          <w:sz w:val="24"/>
        </w:rPr>
        <w:t>Note</w:t>
      </w:r>
      <w:r>
        <w:rPr>
          <w:spacing w:val="-3"/>
          <w:sz w:val="24"/>
        </w:rPr>
        <w:t xml:space="preserve"> </w:t>
      </w:r>
      <w:r>
        <w:rPr>
          <w:sz w:val="24"/>
        </w:rPr>
        <w:t>that</w:t>
      </w:r>
      <w:r>
        <w:rPr>
          <w:spacing w:val="-3"/>
          <w:sz w:val="24"/>
        </w:rPr>
        <w:t xml:space="preserve"> </w:t>
      </w:r>
      <w:r>
        <w:rPr>
          <w:sz w:val="24"/>
        </w:rPr>
        <w:t>if</w:t>
      </w:r>
      <w:r>
        <w:rPr>
          <w:spacing w:val="-3"/>
          <w:sz w:val="24"/>
        </w:rPr>
        <w:t xml:space="preserve"> </w:t>
      </w:r>
      <w:r>
        <w:rPr>
          <w:sz w:val="24"/>
        </w:rPr>
        <w:t>the</w:t>
      </w:r>
      <w:r>
        <w:rPr>
          <w:spacing w:val="-5"/>
          <w:sz w:val="24"/>
        </w:rPr>
        <w:t xml:space="preserve"> </w:t>
      </w:r>
      <w:r>
        <w:rPr>
          <w:sz w:val="24"/>
        </w:rPr>
        <w:t>maximum</w:t>
      </w:r>
      <w:r>
        <w:rPr>
          <w:spacing w:val="-3"/>
          <w:sz w:val="24"/>
        </w:rPr>
        <w:t xml:space="preserve"> </w:t>
      </w:r>
      <w:r>
        <w:rPr>
          <w:sz w:val="24"/>
        </w:rPr>
        <w:t>value</w:t>
      </w:r>
      <w:r>
        <w:rPr>
          <w:spacing w:val="-3"/>
          <w:sz w:val="24"/>
        </w:rPr>
        <w:t xml:space="preserve"> </w:t>
      </w:r>
      <w:r>
        <w:rPr>
          <w:sz w:val="24"/>
        </w:rPr>
        <w:t>is</w:t>
      </w:r>
      <w:r>
        <w:rPr>
          <w:spacing w:val="-4"/>
          <w:sz w:val="24"/>
        </w:rPr>
        <w:t xml:space="preserve"> </w:t>
      </w:r>
      <w:r>
        <w:rPr>
          <w:sz w:val="24"/>
        </w:rPr>
        <w:t>negative</w:t>
      </w:r>
      <w:r>
        <w:rPr>
          <w:spacing w:val="-4"/>
          <w:sz w:val="24"/>
        </w:rPr>
        <w:t xml:space="preserve"> </w:t>
      </w:r>
      <w:r>
        <w:rPr>
          <w:sz w:val="24"/>
        </w:rPr>
        <w:t>(such as</w:t>
      </w:r>
      <w:r>
        <w:rPr>
          <w:spacing w:val="-4"/>
          <w:sz w:val="24"/>
        </w:rPr>
        <w:t xml:space="preserve"> </w:t>
      </w:r>
      <w:r>
        <w:rPr>
          <w:sz w:val="24"/>
        </w:rPr>
        <w:t>a</w:t>
      </w:r>
      <w:r>
        <w:rPr>
          <w:spacing w:val="-4"/>
          <w:sz w:val="24"/>
        </w:rPr>
        <w:t xml:space="preserve"> </w:t>
      </w:r>
      <w:r>
        <w:rPr>
          <w:sz w:val="24"/>
        </w:rPr>
        <w:t>negative</w:t>
      </w:r>
      <w:r>
        <w:rPr>
          <w:spacing w:val="-4"/>
          <w:sz w:val="24"/>
        </w:rPr>
        <w:t xml:space="preserve"> </w:t>
      </w:r>
      <w:r>
        <w:rPr>
          <w:sz w:val="24"/>
        </w:rPr>
        <w:t>Part</w:t>
      </w:r>
      <w:r>
        <w:rPr>
          <w:spacing w:val="-3"/>
          <w:sz w:val="24"/>
        </w:rPr>
        <w:t xml:space="preserve"> </w:t>
      </w:r>
      <w:r>
        <w:rPr>
          <w:sz w:val="24"/>
        </w:rPr>
        <w:t>D</w:t>
      </w:r>
      <w:r>
        <w:rPr>
          <w:spacing w:val="-4"/>
          <w:sz w:val="24"/>
        </w:rPr>
        <w:t xml:space="preserve"> </w:t>
      </w:r>
      <w:r>
        <w:rPr>
          <w:sz w:val="24"/>
        </w:rPr>
        <w:t>basic</w:t>
      </w:r>
      <w:r>
        <w:rPr>
          <w:spacing w:val="-4"/>
          <w:sz w:val="24"/>
        </w:rPr>
        <w:t xml:space="preserve"> </w:t>
      </w:r>
      <w:r>
        <w:rPr>
          <w:sz w:val="24"/>
        </w:rPr>
        <w:t>premium</w:t>
      </w:r>
      <w:r>
        <w:rPr>
          <w:spacing w:val="-3"/>
          <w:sz w:val="24"/>
        </w:rPr>
        <w:t xml:space="preserve"> </w:t>
      </w:r>
      <w:r>
        <w:rPr>
          <w:sz w:val="24"/>
        </w:rPr>
        <w:t>before</w:t>
      </w:r>
      <w:r>
        <w:rPr>
          <w:spacing w:val="-4"/>
          <w:sz w:val="24"/>
        </w:rPr>
        <w:t xml:space="preserve"> </w:t>
      </w:r>
      <w:r>
        <w:rPr>
          <w:sz w:val="24"/>
        </w:rPr>
        <w:t>rebates),</w:t>
      </w:r>
      <w:r>
        <w:rPr>
          <w:spacing w:val="-3"/>
          <w:sz w:val="24"/>
        </w:rPr>
        <w:t xml:space="preserve"> </w:t>
      </w:r>
      <w:r>
        <w:rPr>
          <w:sz w:val="24"/>
        </w:rPr>
        <w:t>then</w:t>
      </w:r>
      <w:r>
        <w:rPr>
          <w:spacing w:val="-3"/>
          <w:sz w:val="24"/>
        </w:rPr>
        <w:t xml:space="preserve"> </w:t>
      </w:r>
      <w:r>
        <w:rPr>
          <w:sz w:val="24"/>
        </w:rPr>
        <w:t>the</w:t>
      </w:r>
      <w:r>
        <w:rPr>
          <w:spacing w:val="-3"/>
          <w:sz w:val="24"/>
        </w:rPr>
        <w:t xml:space="preserve"> </w:t>
      </w:r>
      <w:r>
        <w:rPr>
          <w:sz w:val="24"/>
        </w:rPr>
        <w:t>rebate</w:t>
      </w:r>
      <w:r>
        <w:rPr>
          <w:spacing w:val="-3"/>
          <w:sz w:val="24"/>
        </w:rPr>
        <w:t xml:space="preserve"> </w:t>
      </w:r>
      <w:r>
        <w:rPr>
          <w:sz w:val="24"/>
        </w:rPr>
        <w:t>allocation</w:t>
      </w:r>
      <w:r>
        <w:rPr>
          <w:spacing w:val="-3"/>
          <w:sz w:val="24"/>
        </w:rPr>
        <w:t xml:space="preserve"> </w:t>
      </w:r>
      <w:r>
        <w:rPr>
          <w:sz w:val="24"/>
        </w:rPr>
        <w:t>must be zero.</w:t>
      </w:r>
    </w:p>
    <w:p>
      <w:pPr>
        <w:pStyle w:val="ListParagraph"/>
        <w:numPr>
          <w:ilvl w:val="0"/>
          <w:numId w:val="45"/>
        </w:numPr>
        <w:tabs>
          <w:tab w:val="left" w:pos="1584"/>
        </w:tabs>
        <w:spacing w:before="0" w:after="0" w:line="240" w:lineRule="auto"/>
        <w:ind w:left="1584" w:right="1940" w:hanging="360"/>
        <w:jc w:val="left"/>
        <w:rPr>
          <w:sz w:val="24"/>
        </w:rPr>
      </w:pPr>
      <w:r>
        <w:rPr>
          <w:sz w:val="24"/>
        </w:rPr>
        <w:t>The</w:t>
      </w:r>
      <w:r>
        <w:rPr>
          <w:spacing w:val="-5"/>
          <w:sz w:val="24"/>
        </w:rPr>
        <w:t xml:space="preserve"> </w:t>
      </w:r>
      <w:r>
        <w:rPr>
          <w:sz w:val="24"/>
        </w:rPr>
        <w:t>total</w:t>
      </w:r>
      <w:r>
        <w:rPr>
          <w:spacing w:val="-3"/>
          <w:sz w:val="24"/>
        </w:rPr>
        <w:t xml:space="preserve"> </w:t>
      </w:r>
      <w:r>
        <w:rPr>
          <w:sz w:val="24"/>
        </w:rPr>
        <w:t>rebates</w:t>
      </w:r>
      <w:r>
        <w:rPr>
          <w:spacing w:val="-2"/>
          <w:sz w:val="24"/>
        </w:rPr>
        <w:t xml:space="preserve"> </w:t>
      </w:r>
      <w:r>
        <w:rPr>
          <w:sz w:val="24"/>
        </w:rPr>
        <w:t>allocated</w:t>
      </w:r>
      <w:r>
        <w:rPr>
          <w:spacing w:val="-3"/>
          <w:sz w:val="24"/>
        </w:rPr>
        <w:t xml:space="preserve"> </w:t>
      </w:r>
      <w:r>
        <w:rPr>
          <w:sz w:val="24"/>
        </w:rPr>
        <w:t>must</w:t>
      </w:r>
      <w:r>
        <w:rPr>
          <w:spacing w:val="-3"/>
          <w:sz w:val="24"/>
        </w:rPr>
        <w:t xml:space="preserve"> </w:t>
      </w:r>
      <w:r>
        <w:rPr>
          <w:sz w:val="24"/>
        </w:rPr>
        <w:t>equal</w:t>
      </w:r>
      <w:r>
        <w:rPr>
          <w:spacing w:val="-3"/>
          <w:sz w:val="24"/>
        </w:rPr>
        <w:t xml:space="preserve"> </w:t>
      </w:r>
      <w:r>
        <w:rPr>
          <w:sz w:val="24"/>
        </w:rPr>
        <w:t>the</w:t>
      </w:r>
      <w:r>
        <w:rPr>
          <w:spacing w:val="-4"/>
          <w:sz w:val="24"/>
        </w:rPr>
        <w:t xml:space="preserve"> </w:t>
      </w:r>
      <w:r>
        <w:rPr>
          <w:sz w:val="24"/>
        </w:rPr>
        <w:t>total</w:t>
      </w:r>
      <w:r>
        <w:rPr>
          <w:spacing w:val="-3"/>
          <w:sz w:val="24"/>
        </w:rPr>
        <w:t xml:space="preserve"> </w:t>
      </w:r>
      <w:r>
        <w:rPr>
          <w:sz w:val="24"/>
        </w:rPr>
        <w:t>rebates</w:t>
      </w:r>
      <w:r>
        <w:rPr>
          <w:spacing w:val="-4"/>
          <w:sz w:val="24"/>
        </w:rPr>
        <w:t xml:space="preserve"> </w:t>
      </w:r>
      <w:r>
        <w:rPr>
          <w:sz w:val="24"/>
        </w:rPr>
        <w:t>available.</w:t>
      </w:r>
      <w:r>
        <w:rPr>
          <w:spacing w:val="-3"/>
          <w:sz w:val="24"/>
        </w:rPr>
        <w:t xml:space="preserve"> </w:t>
      </w:r>
      <w:r>
        <w:rPr>
          <w:sz w:val="24"/>
        </w:rPr>
        <w:t>MAOs</w:t>
      </w:r>
      <w:r>
        <w:rPr>
          <w:spacing w:val="-3"/>
          <w:sz w:val="24"/>
        </w:rPr>
        <w:t xml:space="preserve"> </w:t>
      </w:r>
      <w:r>
        <w:rPr>
          <w:sz w:val="24"/>
        </w:rPr>
        <w:t>are</w:t>
      </w:r>
      <w:r>
        <w:rPr>
          <w:spacing w:val="-2"/>
          <w:sz w:val="24"/>
        </w:rPr>
        <w:t xml:space="preserve"> </w:t>
      </w:r>
      <w:r>
        <w:rPr>
          <w:sz w:val="24"/>
        </w:rPr>
        <w:t>not permitted to under- or over-allocate rebates in total.</w:t>
      </w:r>
    </w:p>
    <w:p>
      <w:pPr>
        <w:pStyle w:val="ListParagraph"/>
        <w:numPr>
          <w:ilvl w:val="0"/>
          <w:numId w:val="45"/>
        </w:numPr>
        <w:tabs>
          <w:tab w:val="left" w:pos="1584"/>
        </w:tabs>
        <w:spacing w:before="0" w:after="0" w:line="240" w:lineRule="auto"/>
        <w:ind w:left="1584" w:right="0" w:hanging="360"/>
        <w:jc w:val="left"/>
        <w:rPr>
          <w:sz w:val="24"/>
        </w:rPr>
      </w:pPr>
      <w:r>
        <w:rPr>
          <w:sz w:val="24"/>
        </w:rPr>
        <w:t>No</w:t>
      </w:r>
      <w:r>
        <w:rPr>
          <w:spacing w:val="-2"/>
          <w:sz w:val="24"/>
        </w:rPr>
        <w:t xml:space="preserve"> </w:t>
      </w:r>
      <w:r>
        <w:rPr>
          <w:sz w:val="24"/>
        </w:rPr>
        <w:t>rebate</w:t>
      </w:r>
      <w:r>
        <w:rPr>
          <w:spacing w:val="-1"/>
          <w:sz w:val="24"/>
        </w:rPr>
        <w:t xml:space="preserve"> </w:t>
      </w:r>
      <w:r>
        <w:rPr>
          <w:sz w:val="24"/>
        </w:rPr>
        <w:t>allocations</w:t>
      </w:r>
      <w:r>
        <w:rPr>
          <w:spacing w:val="-2"/>
          <w:sz w:val="24"/>
        </w:rPr>
        <w:t xml:space="preserve"> </w:t>
      </w:r>
      <w:r>
        <w:rPr>
          <w:sz w:val="24"/>
        </w:rPr>
        <w:t>may</w:t>
      </w:r>
      <w:r>
        <w:rPr>
          <w:spacing w:val="-2"/>
          <w:sz w:val="24"/>
        </w:rPr>
        <w:t xml:space="preserve"> </w:t>
      </w:r>
      <w:r>
        <w:rPr>
          <w:sz w:val="24"/>
        </w:rPr>
        <w:t>be</w:t>
      </w:r>
      <w:r>
        <w:rPr>
          <w:spacing w:val="-2"/>
          <w:sz w:val="24"/>
        </w:rPr>
        <w:t xml:space="preserve"> negative.</w:t>
      </w:r>
    </w:p>
    <w:p>
      <w:pPr>
        <w:pStyle w:val="ListParagraph"/>
        <w:numPr>
          <w:ilvl w:val="0"/>
          <w:numId w:val="45"/>
        </w:numPr>
        <w:tabs>
          <w:tab w:val="left" w:pos="1584"/>
        </w:tabs>
        <w:spacing w:before="0" w:after="0" w:line="240" w:lineRule="auto"/>
        <w:ind w:left="1584" w:right="2015" w:hanging="360"/>
        <w:jc w:val="left"/>
        <w:rPr>
          <w:sz w:val="24"/>
        </w:rPr>
      </w:pPr>
      <w:r>
        <w:rPr>
          <w:sz w:val="24"/>
        </w:rPr>
        <w:t>Rebate</w:t>
      </w:r>
      <w:r>
        <w:rPr>
          <w:spacing w:val="-4"/>
          <w:sz w:val="24"/>
        </w:rPr>
        <w:t xml:space="preserve"> </w:t>
      </w:r>
      <w:r>
        <w:rPr>
          <w:sz w:val="24"/>
        </w:rPr>
        <w:t>allocations</w:t>
      </w:r>
      <w:r>
        <w:rPr>
          <w:spacing w:val="-5"/>
          <w:sz w:val="24"/>
        </w:rPr>
        <w:t xml:space="preserve"> </w:t>
      </w:r>
      <w:r>
        <w:rPr>
          <w:sz w:val="24"/>
        </w:rPr>
        <w:t>for</w:t>
      </w:r>
      <w:r>
        <w:rPr>
          <w:spacing w:val="-4"/>
          <w:sz w:val="24"/>
        </w:rPr>
        <w:t xml:space="preserve"> </w:t>
      </w:r>
      <w:r>
        <w:rPr>
          <w:sz w:val="24"/>
        </w:rPr>
        <w:t>“Reduce</w:t>
      </w:r>
      <w:r>
        <w:rPr>
          <w:spacing w:val="-5"/>
          <w:sz w:val="24"/>
        </w:rPr>
        <w:t xml:space="preserve"> </w:t>
      </w:r>
      <w:r>
        <w:rPr>
          <w:sz w:val="24"/>
        </w:rPr>
        <w:t>A/B</w:t>
      </w:r>
      <w:r>
        <w:rPr>
          <w:spacing w:val="-4"/>
          <w:sz w:val="24"/>
        </w:rPr>
        <w:t xml:space="preserve"> </w:t>
      </w:r>
      <w:r>
        <w:rPr>
          <w:sz w:val="24"/>
        </w:rPr>
        <w:t>Cost</w:t>
      </w:r>
      <w:r>
        <w:rPr>
          <w:spacing w:val="-4"/>
          <w:sz w:val="24"/>
        </w:rPr>
        <w:t xml:space="preserve"> </w:t>
      </w:r>
      <w:r>
        <w:rPr>
          <w:sz w:val="24"/>
        </w:rPr>
        <w:t>Sharing”</w:t>
      </w:r>
      <w:r>
        <w:rPr>
          <w:spacing w:val="-3"/>
          <w:sz w:val="24"/>
        </w:rPr>
        <w:t xml:space="preserve"> </w:t>
      </w:r>
      <w:r>
        <w:rPr>
          <w:sz w:val="24"/>
        </w:rPr>
        <w:t>and</w:t>
      </w:r>
      <w:r>
        <w:rPr>
          <w:spacing w:val="-4"/>
          <w:sz w:val="24"/>
        </w:rPr>
        <w:t xml:space="preserve"> </w:t>
      </w:r>
      <w:r>
        <w:rPr>
          <w:sz w:val="24"/>
        </w:rPr>
        <w:t>“Other</w:t>
      </w:r>
      <w:r>
        <w:rPr>
          <w:spacing w:val="-3"/>
          <w:sz w:val="24"/>
        </w:rPr>
        <w:t xml:space="preserve"> </w:t>
      </w:r>
      <w:r>
        <w:rPr>
          <w:sz w:val="24"/>
        </w:rPr>
        <w:t>A/B</w:t>
      </w:r>
      <w:r>
        <w:rPr>
          <w:spacing w:val="-4"/>
          <w:sz w:val="24"/>
        </w:rPr>
        <w:t xml:space="preserve"> </w:t>
      </w:r>
      <w:r>
        <w:rPr>
          <w:sz w:val="24"/>
        </w:rPr>
        <w:t>Mandatory Supplemental Benefits” are rounded by the BPT to two decimals.</w:t>
      </w:r>
    </w:p>
    <w:p>
      <w:pPr>
        <w:pStyle w:val="ListParagraph"/>
        <w:numPr>
          <w:ilvl w:val="0"/>
          <w:numId w:val="45"/>
        </w:numPr>
        <w:tabs>
          <w:tab w:val="left" w:pos="1584"/>
        </w:tabs>
        <w:spacing w:before="0" w:after="0" w:line="240" w:lineRule="auto"/>
        <w:ind w:left="1584" w:right="1449" w:hanging="360"/>
        <w:jc w:val="left"/>
        <w:rPr>
          <w:sz w:val="24"/>
        </w:rPr>
      </w:pPr>
      <w:r>
        <w:rPr>
          <w:sz w:val="24"/>
        </w:rPr>
        <w:t>Rebate</w:t>
      </w:r>
      <w:r>
        <w:rPr>
          <w:spacing w:val="-3"/>
          <w:sz w:val="24"/>
        </w:rPr>
        <w:t xml:space="preserve"> </w:t>
      </w:r>
      <w:r>
        <w:rPr>
          <w:sz w:val="24"/>
        </w:rPr>
        <w:t>allocations</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Part</w:t>
      </w:r>
      <w:r>
        <w:rPr>
          <w:spacing w:val="-3"/>
          <w:sz w:val="24"/>
        </w:rPr>
        <w:t xml:space="preserve"> </w:t>
      </w:r>
      <w:r>
        <w:rPr>
          <w:sz w:val="24"/>
        </w:rPr>
        <w:t>B</w:t>
      </w:r>
      <w:r>
        <w:rPr>
          <w:spacing w:val="-3"/>
          <w:sz w:val="24"/>
        </w:rPr>
        <w:t xml:space="preserve"> </w:t>
      </w:r>
      <w:r>
        <w:rPr>
          <w:sz w:val="24"/>
        </w:rPr>
        <w:t>premium,</w:t>
      </w:r>
      <w:r>
        <w:rPr>
          <w:spacing w:val="-2"/>
          <w:sz w:val="24"/>
        </w:rPr>
        <w:t xml:space="preserve"> </w:t>
      </w:r>
      <w:r>
        <w:rPr>
          <w:sz w:val="24"/>
        </w:rPr>
        <w:t>the</w:t>
      </w:r>
      <w:r>
        <w:rPr>
          <w:spacing w:val="-4"/>
          <w:sz w:val="24"/>
        </w:rPr>
        <w:t xml:space="preserve"> </w:t>
      </w:r>
      <w:r>
        <w:rPr>
          <w:sz w:val="24"/>
        </w:rPr>
        <w:t>Part</w:t>
      </w:r>
      <w:r>
        <w:rPr>
          <w:spacing w:val="-3"/>
          <w:sz w:val="24"/>
        </w:rPr>
        <w:t xml:space="preserve"> </w:t>
      </w:r>
      <w:r>
        <w:rPr>
          <w:sz w:val="24"/>
        </w:rPr>
        <w:t>D</w:t>
      </w:r>
      <w:r>
        <w:rPr>
          <w:spacing w:val="-4"/>
          <w:sz w:val="24"/>
        </w:rPr>
        <w:t xml:space="preserve"> </w:t>
      </w:r>
      <w:r>
        <w:rPr>
          <w:sz w:val="24"/>
        </w:rPr>
        <w:t>basic</w:t>
      </w:r>
      <w:r>
        <w:rPr>
          <w:spacing w:val="-3"/>
          <w:sz w:val="24"/>
        </w:rPr>
        <w:t xml:space="preserve"> </w:t>
      </w:r>
      <w:r>
        <w:rPr>
          <w:sz w:val="24"/>
        </w:rPr>
        <w:t>premium,</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Part</w:t>
      </w:r>
      <w:r>
        <w:rPr>
          <w:spacing w:val="-3"/>
          <w:sz w:val="24"/>
        </w:rPr>
        <w:t xml:space="preserve"> </w:t>
      </w:r>
      <w:r>
        <w:rPr>
          <w:sz w:val="24"/>
        </w:rPr>
        <w:t>D supplemental premium are rounded by the BPT to one decimal (that is, the nearest dime) due to withhold system requirements.</w:t>
      </w:r>
    </w:p>
    <w:p>
      <w:pPr>
        <w:pStyle w:val="ListParagraph"/>
        <w:numPr>
          <w:ilvl w:val="0"/>
          <w:numId w:val="45"/>
        </w:numPr>
        <w:tabs>
          <w:tab w:val="left" w:pos="1584"/>
        </w:tabs>
        <w:spacing w:before="0" w:after="0" w:line="240" w:lineRule="auto"/>
        <w:ind w:left="1584" w:right="0" w:hanging="360"/>
        <w:jc w:val="left"/>
        <w:rPr>
          <w:sz w:val="24"/>
        </w:rPr>
      </w:pPr>
      <w:r>
        <w:rPr>
          <w:sz w:val="24"/>
        </w:rPr>
        <w:t>MA-only</w:t>
      </w:r>
      <w:r>
        <w:rPr>
          <w:spacing w:val="-2"/>
          <w:sz w:val="24"/>
        </w:rPr>
        <w:t xml:space="preserve"> </w:t>
      </w:r>
      <w:r>
        <w:rPr>
          <w:sz w:val="24"/>
        </w:rPr>
        <w:t>bids</w:t>
      </w:r>
      <w:r>
        <w:rPr>
          <w:spacing w:val="-3"/>
          <w:sz w:val="24"/>
        </w:rPr>
        <w:t xml:space="preserve"> </w:t>
      </w:r>
      <w:r>
        <w:rPr>
          <w:sz w:val="24"/>
        </w:rPr>
        <w:t>cannot</w:t>
      </w:r>
      <w:r>
        <w:rPr>
          <w:spacing w:val="-2"/>
          <w:sz w:val="24"/>
        </w:rPr>
        <w:t xml:space="preserve"> </w:t>
      </w:r>
      <w:r>
        <w:rPr>
          <w:sz w:val="24"/>
        </w:rPr>
        <w:t>allocate</w:t>
      </w:r>
      <w:r>
        <w:rPr>
          <w:spacing w:val="-1"/>
          <w:sz w:val="24"/>
        </w:rPr>
        <w:t xml:space="preserve"> </w:t>
      </w:r>
      <w:r>
        <w:rPr>
          <w:sz w:val="24"/>
        </w:rPr>
        <w:t>rebates</w:t>
      </w:r>
      <w:r>
        <w:rPr>
          <w:spacing w:val="-3"/>
          <w:sz w:val="24"/>
        </w:rPr>
        <w:t xml:space="preserve"> </w:t>
      </w:r>
      <w:r>
        <w:rPr>
          <w:sz w:val="24"/>
        </w:rPr>
        <w:t>to</w:t>
      </w:r>
      <w:r>
        <w:rPr>
          <w:spacing w:val="-1"/>
          <w:sz w:val="24"/>
        </w:rPr>
        <w:t xml:space="preserve"> </w:t>
      </w:r>
      <w:r>
        <w:rPr>
          <w:sz w:val="24"/>
        </w:rPr>
        <w:t>Part</w:t>
      </w:r>
      <w:r>
        <w:rPr>
          <w:spacing w:val="-1"/>
          <w:sz w:val="24"/>
        </w:rPr>
        <w:t xml:space="preserve"> </w:t>
      </w:r>
      <w:r>
        <w:rPr>
          <w:spacing w:val="-5"/>
          <w:sz w:val="24"/>
        </w:rPr>
        <w:t>D.</w:t>
      </w:r>
    </w:p>
    <w:p>
      <w:pPr>
        <w:pStyle w:val="ListParagraph"/>
        <w:numPr>
          <w:ilvl w:val="0"/>
          <w:numId w:val="45"/>
        </w:numPr>
        <w:tabs>
          <w:tab w:val="left" w:pos="1584"/>
        </w:tabs>
        <w:spacing w:before="0" w:after="0" w:line="240" w:lineRule="auto"/>
        <w:ind w:left="1584" w:right="1476" w:hanging="360"/>
        <w:jc w:val="left"/>
        <w:rPr>
          <w:sz w:val="24"/>
        </w:rPr>
      </w:pPr>
      <w:r>
        <w:rPr>
          <w:sz w:val="24"/>
        </w:rPr>
        <w:t>Rebates allocated to buy down the Part B premium are subject to the maximum amount shown on Worksheet 6 when the BPT is released by CMS. See the “Part B Premium</w:t>
      </w:r>
      <w:r>
        <w:rPr>
          <w:spacing w:val="-4"/>
          <w:sz w:val="24"/>
        </w:rPr>
        <w:t xml:space="preserve"> </w:t>
      </w:r>
      <w:r>
        <w:rPr>
          <w:sz w:val="24"/>
        </w:rPr>
        <w:t>and</w:t>
      </w:r>
      <w:r>
        <w:rPr>
          <w:spacing w:val="-4"/>
          <w:sz w:val="24"/>
        </w:rPr>
        <w:t xml:space="preserve"> </w:t>
      </w:r>
      <w:r>
        <w:rPr>
          <w:sz w:val="24"/>
        </w:rPr>
        <w:t>Buydown”</w:t>
      </w:r>
      <w:r>
        <w:rPr>
          <w:spacing w:val="-6"/>
          <w:sz w:val="24"/>
        </w:rPr>
        <w:t xml:space="preserve"> </w:t>
      </w:r>
      <w:r>
        <w:rPr>
          <w:sz w:val="24"/>
        </w:rPr>
        <w:t>pricing</w:t>
      </w:r>
      <w:r>
        <w:rPr>
          <w:spacing w:val="-4"/>
          <w:sz w:val="24"/>
        </w:rPr>
        <w:t xml:space="preserve"> </w:t>
      </w:r>
      <w:r>
        <w:rPr>
          <w:sz w:val="24"/>
        </w:rPr>
        <w:t>consideration</w:t>
      </w:r>
      <w:r>
        <w:rPr>
          <w:spacing w:val="-4"/>
          <w:sz w:val="24"/>
        </w:rPr>
        <w:t xml:space="preserve"> </w:t>
      </w:r>
      <w:r>
        <w:rPr>
          <w:sz w:val="24"/>
        </w:rPr>
        <w:t>and</w:t>
      </w:r>
      <w:r>
        <w:rPr>
          <w:spacing w:val="-2"/>
          <w:sz w:val="24"/>
        </w:rPr>
        <w:t xml:space="preserve"> </w:t>
      </w:r>
      <w:r>
        <w:rPr>
          <w:sz w:val="24"/>
        </w:rPr>
        <w:t>the</w:t>
      </w:r>
      <w:r>
        <w:rPr>
          <w:spacing w:val="-5"/>
          <w:sz w:val="24"/>
        </w:rPr>
        <w:t xml:space="preserve"> </w:t>
      </w:r>
      <w:r>
        <w:rPr>
          <w:sz w:val="24"/>
        </w:rPr>
        <w:t>instructions</w:t>
      </w:r>
      <w:r>
        <w:rPr>
          <w:spacing w:val="-5"/>
          <w:sz w:val="24"/>
        </w:rPr>
        <w:t xml:space="preserve"> </w:t>
      </w:r>
      <w:r>
        <w:rPr>
          <w:sz w:val="24"/>
        </w:rPr>
        <w:t>for</w:t>
      </w:r>
      <w:r>
        <w:rPr>
          <w:spacing w:val="-5"/>
          <w:sz w:val="24"/>
        </w:rPr>
        <w:t xml:space="preserve"> </w:t>
      </w:r>
      <w:r>
        <w:rPr>
          <w:sz w:val="24"/>
        </w:rPr>
        <w:t>Worksheet</w:t>
      </w:r>
      <w:r>
        <w:rPr>
          <w:spacing w:val="-4"/>
          <w:sz w:val="24"/>
        </w:rPr>
        <w:t xml:space="preserve"> </w:t>
      </w:r>
      <w:r>
        <w:rPr>
          <w:sz w:val="24"/>
        </w:rPr>
        <w:t>6, Section II for further information about rebates applied to the Part B premium.</w:t>
      </w:r>
    </w:p>
    <w:p>
      <w:pPr>
        <w:spacing w:before="242"/>
        <w:ind w:left="504" w:right="0" w:firstLine="0"/>
        <w:jc w:val="left"/>
        <w:rPr>
          <w:rFonts w:ascii="Arial"/>
          <w:b/>
          <w:sz w:val="21"/>
        </w:rPr>
      </w:pPr>
      <w:bookmarkStart w:id="92" w:name="Regional Preferred Provider Organization"/>
      <w:bookmarkEnd w:id="92"/>
      <w:bookmarkStart w:id="93" w:name="_bookmark32"/>
      <w:bookmarkEnd w:id="93"/>
      <w:r>
        <w:rPr>
          <w:rFonts w:ascii="Arial"/>
          <w:b/>
          <w:sz w:val="21"/>
        </w:rPr>
        <w:t>Regional</w:t>
      </w:r>
      <w:r>
        <w:rPr>
          <w:rFonts w:ascii="Arial"/>
          <w:b/>
          <w:spacing w:val="-11"/>
          <w:sz w:val="21"/>
        </w:rPr>
        <w:t xml:space="preserve"> </w:t>
      </w:r>
      <w:r>
        <w:rPr>
          <w:rFonts w:ascii="Arial"/>
          <w:b/>
          <w:sz w:val="21"/>
        </w:rPr>
        <w:t>Preferred</w:t>
      </w:r>
      <w:r>
        <w:rPr>
          <w:rFonts w:ascii="Arial"/>
          <w:b/>
          <w:spacing w:val="-10"/>
          <w:sz w:val="21"/>
        </w:rPr>
        <w:t xml:space="preserve"> </w:t>
      </w:r>
      <w:r>
        <w:rPr>
          <w:rFonts w:ascii="Arial"/>
          <w:b/>
          <w:sz w:val="21"/>
        </w:rPr>
        <w:t>Provider</w:t>
      </w:r>
      <w:r>
        <w:rPr>
          <w:rFonts w:ascii="Arial"/>
          <w:b/>
          <w:spacing w:val="-10"/>
          <w:sz w:val="21"/>
        </w:rPr>
        <w:t xml:space="preserve"> </w:t>
      </w:r>
      <w:r>
        <w:rPr>
          <w:rFonts w:ascii="Arial"/>
          <w:b/>
          <w:sz w:val="21"/>
        </w:rPr>
        <w:t>Organizations</w:t>
      </w:r>
      <w:r>
        <w:rPr>
          <w:rFonts w:ascii="Arial"/>
          <w:b/>
          <w:spacing w:val="-8"/>
          <w:sz w:val="21"/>
        </w:rPr>
        <w:t xml:space="preserve"> </w:t>
      </w:r>
      <w:r>
        <w:rPr>
          <w:rFonts w:ascii="Arial"/>
          <w:b/>
          <w:spacing w:val="-2"/>
          <w:sz w:val="21"/>
        </w:rPr>
        <w:t>(RPPOs)</w:t>
      </w:r>
    </w:p>
    <w:p>
      <w:pPr>
        <w:pStyle w:val="BodyText"/>
        <w:spacing w:before="120"/>
        <w:ind w:right="1481"/>
      </w:pPr>
      <w:r>
        <w:t>A</w:t>
      </w:r>
      <w:r>
        <w:rPr>
          <w:spacing w:val="-3"/>
        </w:rPr>
        <w:t xml:space="preserve"> </w:t>
      </w:r>
      <w:r>
        <w:t>regional</w:t>
      </w:r>
      <w:r>
        <w:rPr>
          <w:spacing w:val="-3"/>
        </w:rPr>
        <w:t xml:space="preserve"> </w:t>
      </w:r>
      <w:r>
        <w:t>PPO</w:t>
      </w:r>
      <w:r>
        <w:rPr>
          <w:spacing w:val="-3"/>
        </w:rPr>
        <w:t xml:space="preserve"> </w:t>
      </w:r>
      <w:r>
        <w:t>plan</w:t>
      </w:r>
      <w:r>
        <w:rPr>
          <w:spacing w:val="-2"/>
        </w:rPr>
        <w:t xml:space="preserve"> </w:t>
      </w:r>
      <w:r>
        <w:t>must</w:t>
      </w:r>
      <w:r>
        <w:rPr>
          <w:spacing w:val="-1"/>
        </w:rPr>
        <w:t xml:space="preserve"> </w:t>
      </w:r>
      <w:r>
        <w:t>cover</w:t>
      </w:r>
      <w:r>
        <w:rPr>
          <w:spacing w:val="-3"/>
        </w:rPr>
        <w:t xml:space="preserve"> </w:t>
      </w:r>
      <w:r>
        <w:t>only</w:t>
      </w:r>
      <w:r>
        <w:rPr>
          <w:spacing w:val="-2"/>
        </w:rPr>
        <w:t xml:space="preserve"> </w:t>
      </w:r>
      <w:r>
        <w:t>enrollees</w:t>
      </w:r>
      <w:r>
        <w:rPr>
          <w:spacing w:val="-3"/>
        </w:rPr>
        <w:t xml:space="preserve"> </w:t>
      </w:r>
      <w:r>
        <w:t>eligible</w:t>
      </w:r>
      <w:r>
        <w:rPr>
          <w:spacing w:val="-3"/>
        </w:rPr>
        <w:t xml:space="preserve"> </w:t>
      </w:r>
      <w:r>
        <w:t>for</w:t>
      </w:r>
      <w:r>
        <w:rPr>
          <w:spacing w:val="-3"/>
        </w:rPr>
        <w:t xml:space="preserve"> </w:t>
      </w:r>
      <w:r>
        <w:t>both</w:t>
      </w:r>
      <w:r>
        <w:rPr>
          <w:spacing w:val="-2"/>
        </w:rPr>
        <w:t xml:space="preserve"> </w:t>
      </w:r>
      <w:r>
        <w:t>Part</w:t>
      </w:r>
      <w:r>
        <w:rPr>
          <w:spacing w:val="-2"/>
        </w:rPr>
        <w:t xml:space="preserve"> </w:t>
      </w:r>
      <w:r>
        <w:t>A</w:t>
      </w:r>
      <w:r>
        <w:rPr>
          <w:spacing w:val="-3"/>
        </w:rPr>
        <w:t xml:space="preserve"> </w:t>
      </w:r>
      <w:r>
        <w:t>and Part</w:t>
      </w:r>
      <w:r>
        <w:rPr>
          <w:spacing w:val="-2"/>
        </w:rPr>
        <w:t xml:space="preserve"> </w:t>
      </w:r>
      <w:r>
        <w:t>B</w:t>
      </w:r>
      <w:r>
        <w:rPr>
          <w:spacing w:val="-2"/>
        </w:rPr>
        <w:t xml:space="preserve"> </w:t>
      </w:r>
      <w:r>
        <w:t>of</w:t>
      </w:r>
      <w:r>
        <w:rPr>
          <w:spacing w:val="-2"/>
        </w:rPr>
        <w:t xml:space="preserve"> </w:t>
      </w:r>
      <w:r>
        <w:t xml:space="preserve">Medicare. See Chapter 1 of the MMCM, which can be found at </w:t>
      </w:r>
      <w:hyperlink r:id="rId16">
        <w:r>
          <w:rPr>
            <w:color w:val="0000FF"/>
            <w:u w:val="single" w:color="0000FF"/>
          </w:rPr>
          <w:t>https://www.cms.gov/Regulations-and-</w:t>
        </w:r>
      </w:hyperlink>
      <w:hyperlink r:id="rId16">
        <w:r>
          <w:rPr>
            <w:color w:val="0000FF"/>
            <w:spacing w:val="-2"/>
            <w:u w:val="single" w:color="0000FF"/>
          </w:rPr>
          <w:t>Guidance/Guidance/Manuals/Internet-Only-Manuals-IOMs-Items/CMS019326</w:t>
        </w:r>
      </w:hyperlink>
      <w:r>
        <w:rPr>
          <w:spacing w:val="-2"/>
          <w:u w:val="none"/>
        </w:rPr>
        <w:t>.</w:t>
      </w:r>
    </w:p>
    <w:p>
      <w:pPr>
        <w:spacing w:before="241"/>
        <w:ind w:left="1224" w:right="0" w:firstLine="0"/>
        <w:jc w:val="left"/>
        <w:rPr>
          <w:rFonts w:ascii="Arial"/>
          <w:b/>
          <w:i/>
          <w:sz w:val="21"/>
        </w:rPr>
      </w:pPr>
      <w:bookmarkStart w:id="94" w:name="Intra-Service Area Rate (ISAR) Factors"/>
      <w:bookmarkEnd w:id="94"/>
      <w:r>
        <w:rPr>
          <w:rFonts w:ascii="Arial"/>
          <w:b/>
          <w:i/>
          <w:sz w:val="21"/>
        </w:rPr>
        <w:t>Intra-Service</w:t>
      </w:r>
      <w:r>
        <w:rPr>
          <w:rFonts w:ascii="Arial"/>
          <w:b/>
          <w:i/>
          <w:spacing w:val="-8"/>
          <w:sz w:val="21"/>
        </w:rPr>
        <w:t xml:space="preserve"> </w:t>
      </w:r>
      <w:r>
        <w:rPr>
          <w:rFonts w:ascii="Arial"/>
          <w:b/>
          <w:i/>
          <w:sz w:val="21"/>
        </w:rPr>
        <w:t>Area</w:t>
      </w:r>
      <w:r>
        <w:rPr>
          <w:rFonts w:ascii="Arial"/>
          <w:b/>
          <w:i/>
          <w:spacing w:val="-8"/>
          <w:sz w:val="21"/>
        </w:rPr>
        <w:t xml:space="preserve"> </w:t>
      </w:r>
      <w:r>
        <w:rPr>
          <w:rFonts w:ascii="Arial"/>
          <w:b/>
          <w:i/>
          <w:sz w:val="21"/>
        </w:rPr>
        <w:t>Rate</w:t>
      </w:r>
      <w:r>
        <w:rPr>
          <w:rFonts w:ascii="Arial"/>
          <w:b/>
          <w:i/>
          <w:spacing w:val="-9"/>
          <w:sz w:val="21"/>
        </w:rPr>
        <w:t xml:space="preserve"> </w:t>
      </w:r>
      <w:r>
        <w:rPr>
          <w:rFonts w:ascii="Arial"/>
          <w:b/>
          <w:i/>
          <w:sz w:val="21"/>
        </w:rPr>
        <w:t>(ISAR)</w:t>
      </w:r>
      <w:r>
        <w:rPr>
          <w:rFonts w:ascii="Arial"/>
          <w:b/>
          <w:i/>
          <w:spacing w:val="-8"/>
          <w:sz w:val="21"/>
        </w:rPr>
        <w:t xml:space="preserve"> </w:t>
      </w:r>
      <w:r>
        <w:rPr>
          <w:rFonts w:ascii="Arial"/>
          <w:b/>
          <w:i/>
          <w:spacing w:val="-2"/>
          <w:sz w:val="21"/>
        </w:rPr>
        <w:t>Factors</w:t>
      </w:r>
    </w:p>
    <w:p>
      <w:pPr>
        <w:pStyle w:val="BodyText"/>
        <w:spacing w:before="117"/>
        <w:ind w:left="1224" w:right="1481"/>
      </w:pPr>
      <w:r>
        <w:t>In the event that the variation in the MA rates is not an accurate reflection of the variation</w:t>
      </w:r>
      <w:r>
        <w:rPr>
          <w:spacing w:val="-4"/>
        </w:rPr>
        <w:t xml:space="preserve"> </w:t>
      </w:r>
      <w:r>
        <w:t>in</w:t>
      </w:r>
      <w:r>
        <w:rPr>
          <w:spacing w:val="-4"/>
        </w:rPr>
        <w:t xml:space="preserve"> </w:t>
      </w:r>
      <w:r>
        <w:t>a</w:t>
      </w:r>
      <w:r>
        <w:rPr>
          <w:spacing w:val="-4"/>
        </w:rPr>
        <w:t xml:space="preserve"> </w:t>
      </w:r>
      <w:r>
        <w:t>plan’s</w:t>
      </w:r>
      <w:r>
        <w:rPr>
          <w:spacing w:val="-5"/>
        </w:rPr>
        <w:t xml:space="preserve"> </w:t>
      </w:r>
      <w:r>
        <w:t>projected</w:t>
      </w:r>
      <w:r>
        <w:rPr>
          <w:spacing w:val="-4"/>
        </w:rPr>
        <w:t xml:space="preserve"> </w:t>
      </w:r>
      <w:r>
        <w:t>costs</w:t>
      </w:r>
      <w:r>
        <w:rPr>
          <w:spacing w:val="-4"/>
        </w:rPr>
        <w:t xml:space="preserve"> </w:t>
      </w:r>
      <w:r>
        <w:t>in</w:t>
      </w:r>
      <w:r>
        <w:rPr>
          <w:spacing w:val="-4"/>
        </w:rPr>
        <w:t xml:space="preserve"> </w:t>
      </w:r>
      <w:r>
        <w:t>its</w:t>
      </w:r>
      <w:r>
        <w:rPr>
          <w:spacing w:val="-5"/>
        </w:rPr>
        <w:t xml:space="preserve"> </w:t>
      </w:r>
      <w:r>
        <w:t>service</w:t>
      </w:r>
      <w:r>
        <w:rPr>
          <w:spacing w:val="-3"/>
        </w:rPr>
        <w:t xml:space="preserve"> </w:t>
      </w:r>
      <w:r>
        <w:t>area,</w:t>
      </w:r>
      <w:r>
        <w:rPr>
          <w:spacing w:val="-4"/>
        </w:rPr>
        <w:t xml:space="preserve"> </w:t>
      </w:r>
      <w:r>
        <w:t>CMS</w:t>
      </w:r>
      <w:r>
        <w:rPr>
          <w:spacing w:val="-4"/>
        </w:rPr>
        <w:t xml:space="preserve"> </w:t>
      </w:r>
      <w:r>
        <w:t>will</w:t>
      </w:r>
      <w:r>
        <w:rPr>
          <w:spacing w:val="-4"/>
        </w:rPr>
        <w:t xml:space="preserve"> </w:t>
      </w:r>
      <w:r>
        <w:t>consider</w:t>
      </w:r>
      <w:r>
        <w:rPr>
          <w:spacing w:val="-3"/>
        </w:rPr>
        <w:t xml:space="preserve"> </w:t>
      </w:r>
      <w:r>
        <w:t>allowing MAOs,</w:t>
      </w:r>
      <w:r>
        <w:rPr>
          <w:spacing w:val="-2"/>
        </w:rPr>
        <w:t xml:space="preserve"> </w:t>
      </w:r>
      <w:r>
        <w:t>on</w:t>
      </w:r>
      <w:r>
        <w:rPr>
          <w:spacing w:val="-1"/>
        </w:rPr>
        <w:t xml:space="preserve"> </w:t>
      </w:r>
      <w:r>
        <w:t>a</w:t>
      </w:r>
      <w:r>
        <w:rPr>
          <w:spacing w:val="-2"/>
        </w:rPr>
        <w:t xml:space="preserve"> </w:t>
      </w:r>
      <w:r>
        <w:t>case-by-case</w:t>
      </w:r>
      <w:r>
        <w:rPr>
          <w:spacing w:val="-3"/>
        </w:rPr>
        <w:t xml:space="preserve"> </w:t>
      </w:r>
      <w:r>
        <w:t>basis,</w:t>
      </w:r>
      <w:r>
        <w:rPr>
          <w:spacing w:val="-1"/>
        </w:rPr>
        <w:t xml:space="preserve"> </w:t>
      </w:r>
      <w:r>
        <w:t>to</w:t>
      </w:r>
      <w:r>
        <w:rPr>
          <w:spacing w:val="-1"/>
        </w:rPr>
        <w:t xml:space="preserve"> </w:t>
      </w:r>
      <w:r>
        <w:t>request</w:t>
      </w:r>
      <w:r>
        <w:rPr>
          <w:spacing w:val="-2"/>
        </w:rPr>
        <w:t xml:space="preserve"> </w:t>
      </w:r>
      <w:r>
        <w:t>that</w:t>
      </w:r>
      <w:r>
        <w:rPr>
          <w:spacing w:val="-1"/>
        </w:rPr>
        <w:t xml:space="preserve"> </w:t>
      </w:r>
      <w:r>
        <w:t>payment</w:t>
      </w:r>
      <w:r>
        <w:rPr>
          <w:spacing w:val="-1"/>
        </w:rPr>
        <w:t xml:space="preserve"> </w:t>
      </w:r>
      <w:r>
        <w:t>rates</w:t>
      </w:r>
      <w:r>
        <w:rPr>
          <w:spacing w:val="-3"/>
        </w:rPr>
        <w:t xml:space="preserve"> </w:t>
      </w:r>
      <w:r>
        <w:t>for</w:t>
      </w:r>
      <w:r>
        <w:rPr>
          <w:spacing w:val="1"/>
        </w:rPr>
        <w:t xml:space="preserve"> </w:t>
      </w:r>
      <w:r>
        <w:t>regional</w:t>
      </w:r>
      <w:r>
        <w:rPr>
          <w:spacing w:val="1"/>
        </w:rPr>
        <w:t xml:space="preserve"> </w:t>
      </w:r>
      <w:r>
        <w:t>PPOs</w:t>
      </w:r>
      <w:r>
        <w:rPr>
          <w:spacing w:val="-2"/>
        </w:rPr>
        <w:t xml:space="preserve"> </w:t>
      </w:r>
      <w:r>
        <w:rPr>
          <w:spacing w:val="-5"/>
        </w:rPr>
        <w:t>be</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left="1224" w:right="1524"/>
      </w:pPr>
      <w:r>
        <w:t>developed</w:t>
      </w:r>
      <w:r>
        <w:rPr>
          <w:spacing w:val="-5"/>
        </w:rPr>
        <w:t xml:space="preserve"> </w:t>
      </w:r>
      <w:r>
        <w:t>using</w:t>
      </w:r>
      <w:r>
        <w:rPr>
          <w:spacing w:val="-5"/>
        </w:rPr>
        <w:t xml:space="preserve"> </w:t>
      </w:r>
      <w:r>
        <w:t>plan-provided</w:t>
      </w:r>
      <w:r>
        <w:rPr>
          <w:spacing w:val="-5"/>
        </w:rPr>
        <w:t xml:space="preserve"> </w:t>
      </w:r>
      <w:r>
        <w:t>geographic</w:t>
      </w:r>
      <w:r>
        <w:rPr>
          <w:spacing w:val="-5"/>
        </w:rPr>
        <w:t xml:space="preserve"> </w:t>
      </w:r>
      <w:r>
        <w:t>intra-service</w:t>
      </w:r>
      <w:r>
        <w:rPr>
          <w:spacing w:val="-6"/>
        </w:rPr>
        <w:t xml:space="preserve"> </w:t>
      </w:r>
      <w:r>
        <w:t>area</w:t>
      </w:r>
      <w:r>
        <w:rPr>
          <w:spacing w:val="-4"/>
        </w:rPr>
        <w:t xml:space="preserve"> </w:t>
      </w:r>
      <w:r>
        <w:t>rate</w:t>
      </w:r>
      <w:r>
        <w:rPr>
          <w:spacing w:val="-4"/>
        </w:rPr>
        <w:t xml:space="preserve"> </w:t>
      </w:r>
      <w:r>
        <w:t>(ISAR)</w:t>
      </w:r>
      <w:r>
        <w:rPr>
          <w:spacing w:val="-5"/>
        </w:rPr>
        <w:t xml:space="preserve"> </w:t>
      </w:r>
      <w:r>
        <w:t>factors.</w:t>
      </w:r>
      <w:r>
        <w:rPr>
          <w:spacing w:val="-5"/>
        </w:rPr>
        <w:t xml:space="preserve"> </w:t>
      </w:r>
      <w:r>
        <w:t>See the instructions for Worksheet 5 for more details on ISAR factors.</w:t>
      </w:r>
    </w:p>
    <w:p>
      <w:pPr>
        <w:spacing w:before="241"/>
        <w:ind w:left="504" w:right="0" w:firstLine="0"/>
        <w:jc w:val="left"/>
        <w:rPr>
          <w:rFonts w:ascii="Arial"/>
          <w:b/>
          <w:sz w:val="21"/>
        </w:rPr>
      </w:pPr>
      <w:bookmarkStart w:id="95" w:name="Related-Party Arrangements"/>
      <w:bookmarkEnd w:id="95"/>
      <w:bookmarkStart w:id="96" w:name="_bookmark33"/>
      <w:bookmarkEnd w:id="96"/>
      <w:r>
        <w:rPr>
          <w:rFonts w:ascii="Arial"/>
          <w:b/>
          <w:sz w:val="21"/>
        </w:rPr>
        <w:t>Related-Party</w:t>
      </w:r>
      <w:r>
        <w:rPr>
          <w:rFonts w:ascii="Arial"/>
          <w:b/>
          <w:spacing w:val="-12"/>
          <w:sz w:val="21"/>
        </w:rPr>
        <w:t xml:space="preserve"> </w:t>
      </w:r>
      <w:r>
        <w:rPr>
          <w:rFonts w:ascii="Arial"/>
          <w:b/>
          <w:spacing w:val="-2"/>
          <w:sz w:val="21"/>
        </w:rPr>
        <w:t>Arrangements</w:t>
      </w:r>
    </w:p>
    <w:p>
      <w:pPr>
        <w:pStyle w:val="BodyText"/>
        <w:spacing w:before="120"/>
        <w:ind w:right="1481"/>
      </w:pPr>
      <w:r>
        <w:t>The</w:t>
      </w:r>
      <w:r>
        <w:rPr>
          <w:spacing w:val="-5"/>
        </w:rPr>
        <w:t xml:space="preserve"> </w:t>
      </w:r>
      <w:r>
        <w:t>related-party</w:t>
      </w:r>
      <w:r>
        <w:rPr>
          <w:spacing w:val="-3"/>
        </w:rPr>
        <w:t xml:space="preserve"> </w:t>
      </w:r>
      <w:r>
        <w:t>requirements</w:t>
      </w:r>
      <w:r>
        <w:rPr>
          <w:spacing w:val="-2"/>
        </w:rPr>
        <w:t xml:space="preserve"> </w:t>
      </w:r>
      <w:r>
        <w:t>apply</w:t>
      </w:r>
      <w:r>
        <w:rPr>
          <w:spacing w:val="-3"/>
        </w:rPr>
        <w:t xml:space="preserve"> </w:t>
      </w:r>
      <w:r>
        <w:t>to</w:t>
      </w:r>
      <w:r>
        <w:rPr>
          <w:spacing w:val="-3"/>
        </w:rPr>
        <w:t xml:space="preserve"> </w:t>
      </w:r>
      <w:r>
        <w:t>any</w:t>
      </w:r>
      <w:r>
        <w:rPr>
          <w:spacing w:val="-3"/>
        </w:rPr>
        <w:t xml:space="preserve"> </w:t>
      </w:r>
      <w:r>
        <w:t>MAO</w:t>
      </w:r>
      <w:r>
        <w:rPr>
          <w:spacing w:val="-1"/>
        </w:rPr>
        <w:t xml:space="preserve"> </w:t>
      </w:r>
      <w:r>
        <w:t>entering</w:t>
      </w:r>
      <w:r>
        <w:rPr>
          <w:spacing w:val="-3"/>
        </w:rPr>
        <w:t xml:space="preserve"> </w:t>
      </w:r>
      <w:r>
        <w:t>into</w:t>
      </w:r>
      <w:r>
        <w:rPr>
          <w:spacing w:val="-3"/>
        </w:rPr>
        <w:t xml:space="preserve"> </w:t>
      </w:r>
      <w:r>
        <w:t>any</w:t>
      </w:r>
      <w:r>
        <w:rPr>
          <w:spacing w:val="-3"/>
        </w:rPr>
        <w:t xml:space="preserve"> </w:t>
      </w:r>
      <w:r>
        <w:t>type</w:t>
      </w:r>
      <w:r>
        <w:rPr>
          <w:spacing w:val="-3"/>
        </w:rPr>
        <w:t xml:space="preserve"> </w:t>
      </w:r>
      <w:r>
        <w:t>of</w:t>
      </w:r>
      <w:r>
        <w:rPr>
          <w:spacing w:val="-3"/>
        </w:rPr>
        <w:t xml:space="preserve"> </w:t>
      </w:r>
      <w:r>
        <w:t>arrangement</w:t>
      </w:r>
      <w:r>
        <w:rPr>
          <w:spacing w:val="-3"/>
        </w:rPr>
        <w:t xml:space="preserve"> </w:t>
      </w:r>
      <w:r>
        <w:t>with, or receiving services from, an entity that has a different tax identification number than that of the MAO but is associated with the MAO by any form of common, privately held ownership, control, or investment, including any arrangement in which the MAO does business with a related party through one or more unrelated parties.</w:t>
      </w:r>
    </w:p>
    <w:p>
      <w:pPr>
        <w:pStyle w:val="BodyText"/>
        <w:spacing w:before="120"/>
        <w:ind w:right="1481"/>
      </w:pPr>
      <w:r>
        <w:t>CMS requires all MAOs to disclose whether or not they are in a business arrangement with a related</w:t>
      </w:r>
      <w:r>
        <w:rPr>
          <w:spacing w:val="-3"/>
        </w:rPr>
        <w:t xml:space="preserve"> </w:t>
      </w:r>
      <w:r>
        <w:t>party.</w:t>
      </w:r>
      <w:r>
        <w:rPr>
          <w:spacing w:val="-3"/>
        </w:rPr>
        <w:t xml:space="preserve"> </w:t>
      </w:r>
      <w:r>
        <w:t>MAOs</w:t>
      </w:r>
      <w:r>
        <w:rPr>
          <w:spacing w:val="-3"/>
        </w:rPr>
        <w:t xml:space="preserve"> </w:t>
      </w:r>
      <w:r>
        <w:t>in</w:t>
      </w:r>
      <w:r>
        <w:rPr>
          <w:spacing w:val="-2"/>
        </w:rPr>
        <w:t xml:space="preserve"> </w:t>
      </w:r>
      <w:r>
        <w:t>such</w:t>
      </w:r>
      <w:r>
        <w:rPr>
          <w:spacing w:val="-3"/>
        </w:rPr>
        <w:t xml:space="preserve"> </w:t>
      </w:r>
      <w:r>
        <w:t>an</w:t>
      </w:r>
      <w:r>
        <w:rPr>
          <w:spacing w:val="-3"/>
        </w:rPr>
        <w:t xml:space="preserve"> </w:t>
      </w:r>
      <w:r>
        <w:t>arrangement</w:t>
      </w:r>
      <w:r>
        <w:rPr>
          <w:spacing w:val="-3"/>
        </w:rPr>
        <w:t xml:space="preserve"> </w:t>
      </w:r>
      <w:r>
        <w:t>must:</w:t>
      </w:r>
      <w:r>
        <w:rPr>
          <w:spacing w:val="-3"/>
        </w:rPr>
        <w:t xml:space="preserve"> </w:t>
      </w:r>
      <w:r>
        <w:t>(i)</w:t>
      </w:r>
      <w:r>
        <w:rPr>
          <w:spacing w:val="-4"/>
        </w:rPr>
        <w:t xml:space="preserve"> </w:t>
      </w:r>
      <w:r>
        <w:t>enter</w:t>
      </w:r>
      <w:r>
        <w:rPr>
          <w:spacing w:val="-5"/>
        </w:rPr>
        <w:t xml:space="preserve"> </w:t>
      </w:r>
      <w:r>
        <w:t>related-party</w:t>
      </w:r>
      <w:r>
        <w:rPr>
          <w:spacing w:val="-3"/>
        </w:rPr>
        <w:t xml:space="preserve"> </w:t>
      </w:r>
      <w:r>
        <w:t>expenses</w:t>
      </w:r>
      <w:r>
        <w:rPr>
          <w:spacing w:val="-4"/>
        </w:rPr>
        <w:t xml:space="preserve"> </w:t>
      </w:r>
      <w:r>
        <w:t>on</w:t>
      </w:r>
      <w:r>
        <w:rPr>
          <w:spacing w:val="-3"/>
        </w:rPr>
        <w:t xml:space="preserve"> </w:t>
      </w:r>
      <w:r>
        <w:t>lines</w:t>
      </w:r>
      <w:r>
        <w:rPr>
          <w:spacing w:val="-4"/>
        </w:rPr>
        <w:t xml:space="preserve"> </w:t>
      </w:r>
      <w:r>
        <w:t>z1 and z2 of Worksheet 4, and (ii) provide additional documentation for each related party in accordance with the requirements in Appendix B.</w:t>
      </w:r>
    </w:p>
    <w:p>
      <w:pPr>
        <w:spacing w:before="242"/>
        <w:ind w:left="504" w:right="0" w:firstLine="0"/>
        <w:jc w:val="left"/>
        <w:rPr>
          <w:rFonts w:ascii="Arial"/>
          <w:b/>
          <w:sz w:val="21"/>
        </w:rPr>
      </w:pPr>
      <w:bookmarkStart w:id="97" w:name="Risk Score Development for CY2027"/>
      <w:bookmarkEnd w:id="97"/>
      <w:bookmarkStart w:id="98" w:name="_bookmark34"/>
      <w:bookmarkEnd w:id="98"/>
      <w:r>
        <w:rPr>
          <w:rFonts w:ascii="Arial"/>
          <w:b/>
          <w:sz w:val="21"/>
        </w:rPr>
        <w:t>Risk</w:t>
      </w:r>
      <w:r>
        <w:rPr>
          <w:rFonts w:ascii="Arial"/>
          <w:b/>
          <w:spacing w:val="-7"/>
          <w:sz w:val="21"/>
        </w:rPr>
        <w:t xml:space="preserve"> </w:t>
      </w:r>
      <w:r>
        <w:rPr>
          <w:rFonts w:ascii="Arial"/>
          <w:b/>
          <w:sz w:val="21"/>
        </w:rPr>
        <w:t>Score</w:t>
      </w:r>
      <w:r>
        <w:rPr>
          <w:rFonts w:ascii="Arial"/>
          <w:b/>
          <w:spacing w:val="-7"/>
          <w:sz w:val="21"/>
        </w:rPr>
        <w:t xml:space="preserve"> </w:t>
      </w:r>
      <w:r>
        <w:rPr>
          <w:rFonts w:ascii="Arial"/>
          <w:b/>
          <w:sz w:val="21"/>
        </w:rPr>
        <w:t>Development</w:t>
      </w:r>
      <w:r>
        <w:rPr>
          <w:rFonts w:ascii="Arial"/>
          <w:b/>
          <w:spacing w:val="-8"/>
          <w:sz w:val="21"/>
        </w:rPr>
        <w:t xml:space="preserve"> </w:t>
      </w:r>
      <w:r>
        <w:rPr>
          <w:rFonts w:ascii="Arial"/>
          <w:b/>
          <w:sz w:val="21"/>
        </w:rPr>
        <w:t>for</w:t>
      </w:r>
      <w:r>
        <w:rPr>
          <w:rFonts w:ascii="Arial"/>
          <w:b/>
          <w:spacing w:val="-5"/>
          <w:sz w:val="21"/>
        </w:rPr>
        <w:t xml:space="preserve"> </w:t>
      </w:r>
      <w:r>
        <w:rPr>
          <w:rFonts w:ascii="Arial"/>
          <w:b/>
          <w:spacing w:val="-2"/>
          <w:sz w:val="21"/>
        </w:rPr>
        <w:t>CY2027</w:t>
      </w:r>
    </w:p>
    <w:p>
      <w:pPr>
        <w:pStyle w:val="BodyText"/>
        <w:spacing w:before="117"/>
      </w:pPr>
      <w:r>
        <w:t>The</w:t>
      </w:r>
      <w:r>
        <w:rPr>
          <w:spacing w:val="-3"/>
        </w:rPr>
        <w:t xml:space="preserve"> </w:t>
      </w:r>
      <w:r>
        <w:t>projected</w:t>
      </w:r>
      <w:r>
        <w:rPr>
          <w:spacing w:val="-1"/>
        </w:rPr>
        <w:t xml:space="preserve"> </w:t>
      </w:r>
      <w:r>
        <w:t>CY2027</w:t>
      </w:r>
      <w:r>
        <w:rPr>
          <w:spacing w:val="-1"/>
        </w:rPr>
        <w:t xml:space="preserve"> </w:t>
      </w:r>
      <w:r>
        <w:t>risk</w:t>
      </w:r>
      <w:r>
        <w:rPr>
          <w:spacing w:val="-1"/>
        </w:rPr>
        <w:t xml:space="preserve"> </w:t>
      </w:r>
      <w:r>
        <w:t>score</w:t>
      </w:r>
      <w:r>
        <w:rPr>
          <w:spacing w:val="-1"/>
        </w:rPr>
        <w:t xml:space="preserve"> </w:t>
      </w:r>
      <w:r>
        <w:rPr>
          <w:spacing w:val="-2"/>
        </w:rPr>
        <w:t>must—</w:t>
      </w:r>
    </w:p>
    <w:p>
      <w:pPr>
        <w:pStyle w:val="ListParagraph"/>
        <w:numPr>
          <w:ilvl w:val="0"/>
          <w:numId w:val="45"/>
        </w:numPr>
        <w:tabs>
          <w:tab w:val="left" w:pos="1584"/>
        </w:tabs>
        <w:spacing w:before="120" w:after="0" w:line="240" w:lineRule="auto"/>
        <w:ind w:left="1584" w:right="1588" w:hanging="360"/>
        <w:jc w:val="left"/>
        <w:rPr>
          <w:sz w:val="24"/>
        </w:rPr>
      </w:pPr>
      <w:r>
        <w:rPr>
          <w:sz w:val="24"/>
        </w:rPr>
        <w:t>Be based on the data sources and their respective weights, as specified in the resources</w:t>
      </w:r>
      <w:r>
        <w:rPr>
          <w:spacing w:val="-5"/>
          <w:sz w:val="24"/>
        </w:rPr>
        <w:t xml:space="preserve"> </w:t>
      </w:r>
      <w:r>
        <w:rPr>
          <w:sz w:val="24"/>
        </w:rPr>
        <w:t>listed</w:t>
      </w:r>
      <w:r>
        <w:rPr>
          <w:spacing w:val="-4"/>
          <w:sz w:val="24"/>
        </w:rPr>
        <w:t xml:space="preserve"> </w:t>
      </w:r>
      <w:r>
        <w:rPr>
          <w:sz w:val="24"/>
        </w:rPr>
        <w:t>below</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“Risk</w:t>
      </w:r>
      <w:r>
        <w:rPr>
          <w:spacing w:val="-4"/>
          <w:sz w:val="24"/>
        </w:rPr>
        <w:t xml:space="preserve"> </w:t>
      </w:r>
      <w:r>
        <w:rPr>
          <w:sz w:val="24"/>
        </w:rPr>
        <w:t>Adjustment</w:t>
      </w:r>
      <w:r>
        <w:rPr>
          <w:spacing w:val="-4"/>
          <w:sz w:val="24"/>
        </w:rPr>
        <w:t xml:space="preserve"> </w:t>
      </w:r>
      <w:r>
        <w:rPr>
          <w:sz w:val="24"/>
        </w:rPr>
        <w:t>Information</w:t>
      </w:r>
      <w:r>
        <w:rPr>
          <w:spacing w:val="-4"/>
          <w:sz w:val="24"/>
        </w:rPr>
        <w:t xml:space="preserve"> </w:t>
      </w:r>
      <w:r>
        <w:rPr>
          <w:sz w:val="24"/>
        </w:rPr>
        <w:t>Sources”</w:t>
      </w:r>
      <w:r>
        <w:rPr>
          <w:spacing w:val="-5"/>
          <w:sz w:val="24"/>
        </w:rPr>
        <w:t xml:space="preserve"> </w:t>
      </w:r>
      <w:r>
        <w:rPr>
          <w:sz w:val="24"/>
        </w:rPr>
        <w:t>subsection</w:t>
      </w:r>
      <w:r>
        <w:rPr>
          <w:spacing w:val="-4"/>
          <w:sz w:val="24"/>
        </w:rPr>
        <w:t xml:space="preserve"> </w:t>
      </w:r>
      <w:r>
        <w:rPr>
          <w:sz w:val="24"/>
        </w:rPr>
        <w:t>of this pricing consideration.</w:t>
      </w:r>
    </w:p>
    <w:p>
      <w:pPr>
        <w:pStyle w:val="ListParagraph"/>
        <w:numPr>
          <w:ilvl w:val="0"/>
          <w:numId w:val="45"/>
        </w:numPr>
        <w:tabs>
          <w:tab w:val="left" w:pos="1584"/>
        </w:tabs>
        <w:spacing w:before="0" w:after="0" w:line="240" w:lineRule="auto"/>
        <w:ind w:left="1584" w:right="0" w:hanging="360"/>
        <w:jc w:val="left"/>
        <w:rPr>
          <w:sz w:val="24"/>
        </w:rPr>
      </w:pPr>
      <w:r>
        <w:rPr>
          <w:sz w:val="24"/>
        </w:rPr>
        <w:t>Reflect</w:t>
      </w:r>
      <w:r>
        <w:rPr>
          <w:spacing w:val="-1"/>
          <w:sz w:val="24"/>
        </w:rPr>
        <w:t xml:space="preserve"> </w:t>
      </w:r>
      <w:r>
        <w:rPr>
          <w:sz w:val="24"/>
        </w:rPr>
        <w:t>the</w:t>
      </w:r>
      <w:r>
        <w:rPr>
          <w:spacing w:val="-2"/>
          <w:sz w:val="24"/>
        </w:rPr>
        <w:t xml:space="preserve"> </w:t>
      </w:r>
      <w:r>
        <w:rPr>
          <w:sz w:val="24"/>
        </w:rPr>
        <w:t>expected risk</w:t>
      </w:r>
      <w:r>
        <w:rPr>
          <w:spacing w:val="-1"/>
          <w:sz w:val="24"/>
        </w:rPr>
        <w:t xml:space="preserve"> </w:t>
      </w:r>
      <w:r>
        <w:rPr>
          <w:sz w:val="24"/>
        </w:rPr>
        <w:t>score</w:t>
      </w:r>
      <w:r>
        <w:rPr>
          <w:spacing w:val="-3"/>
          <w:sz w:val="24"/>
        </w:rPr>
        <w:t xml:space="preserve"> </w:t>
      </w:r>
      <w:r>
        <w:rPr>
          <w:sz w:val="24"/>
        </w:rPr>
        <w:t>trend at</w:t>
      </w:r>
      <w:r>
        <w:rPr>
          <w:spacing w:val="-1"/>
          <w:sz w:val="24"/>
        </w:rPr>
        <w:t xml:space="preserve"> </w:t>
      </w:r>
      <w:r>
        <w:rPr>
          <w:sz w:val="24"/>
        </w:rPr>
        <w:t>the</w:t>
      </w:r>
      <w:r>
        <w:rPr>
          <w:spacing w:val="-1"/>
          <w:sz w:val="24"/>
        </w:rPr>
        <w:t xml:space="preserve"> </w:t>
      </w:r>
      <w:r>
        <w:rPr>
          <w:sz w:val="24"/>
        </w:rPr>
        <w:t>bid</w:t>
      </w:r>
      <w:r>
        <w:rPr>
          <w:spacing w:val="-1"/>
          <w:sz w:val="24"/>
        </w:rPr>
        <w:t xml:space="preserve"> </w:t>
      </w:r>
      <w:r>
        <w:rPr>
          <w:spacing w:val="-2"/>
          <w:sz w:val="24"/>
        </w:rPr>
        <w:t>level.</w:t>
      </w:r>
    </w:p>
    <w:p>
      <w:pPr>
        <w:pStyle w:val="ListParagraph"/>
        <w:numPr>
          <w:ilvl w:val="0"/>
          <w:numId w:val="45"/>
        </w:numPr>
        <w:tabs>
          <w:tab w:val="left" w:pos="1584"/>
        </w:tabs>
        <w:spacing w:before="0" w:after="0" w:line="240" w:lineRule="auto"/>
        <w:ind w:left="1584" w:right="0" w:hanging="360"/>
        <w:jc w:val="left"/>
        <w:rPr>
          <w:sz w:val="24"/>
        </w:rPr>
      </w:pPr>
      <w:r>
        <w:rPr>
          <w:sz w:val="24"/>
        </w:rPr>
        <w:t>Be</w:t>
      </w:r>
      <w:r>
        <w:rPr>
          <w:spacing w:val="-2"/>
          <w:sz w:val="24"/>
        </w:rPr>
        <w:t xml:space="preserve"> </w:t>
      </w:r>
      <w:r>
        <w:rPr>
          <w:sz w:val="24"/>
        </w:rPr>
        <w:t>appropriate for</w:t>
      </w:r>
      <w:r>
        <w:rPr>
          <w:spacing w:val="-3"/>
          <w:sz w:val="24"/>
        </w:rPr>
        <w:t xml:space="preserve"> </w:t>
      </w:r>
      <w:r>
        <w:rPr>
          <w:sz w:val="24"/>
        </w:rPr>
        <w:t>the expected</w:t>
      </w:r>
      <w:r>
        <w:rPr>
          <w:spacing w:val="-1"/>
          <w:sz w:val="24"/>
        </w:rPr>
        <w:t xml:space="preserve"> </w:t>
      </w:r>
      <w:r>
        <w:rPr>
          <w:spacing w:val="-2"/>
          <w:sz w:val="24"/>
        </w:rPr>
        <w:t>population.</w:t>
      </w:r>
    </w:p>
    <w:p>
      <w:pPr>
        <w:pStyle w:val="ListParagraph"/>
        <w:numPr>
          <w:ilvl w:val="0"/>
          <w:numId w:val="45"/>
        </w:numPr>
        <w:tabs>
          <w:tab w:val="left" w:pos="1584"/>
        </w:tabs>
        <w:spacing w:before="1" w:after="0" w:line="240" w:lineRule="auto"/>
        <w:ind w:left="1584" w:right="0" w:hanging="360"/>
        <w:jc w:val="left"/>
        <w:rPr>
          <w:sz w:val="24"/>
        </w:rPr>
      </w:pPr>
      <w:r>
        <w:rPr>
          <w:sz w:val="24"/>
        </w:rPr>
        <w:t>Include</w:t>
      </w:r>
      <w:r>
        <w:rPr>
          <w:spacing w:val="-2"/>
          <w:sz w:val="24"/>
        </w:rPr>
        <w:t xml:space="preserve"> </w:t>
      </w:r>
      <w:r>
        <w:rPr>
          <w:sz w:val="24"/>
        </w:rPr>
        <w:t>adjustments</w:t>
      </w:r>
      <w:r>
        <w:rPr>
          <w:spacing w:val="-3"/>
          <w:sz w:val="24"/>
        </w:rPr>
        <w:t xml:space="preserve"> </w:t>
      </w:r>
      <w:r>
        <w:rPr>
          <w:sz w:val="24"/>
        </w:rPr>
        <w:t>for</w:t>
      </w:r>
      <w:r>
        <w:rPr>
          <w:spacing w:val="-1"/>
          <w:sz w:val="24"/>
        </w:rPr>
        <w:t xml:space="preserve"> </w:t>
      </w:r>
      <w:r>
        <w:rPr>
          <w:sz w:val="24"/>
        </w:rPr>
        <w:t>CY2027</w:t>
      </w:r>
      <w:r>
        <w:rPr>
          <w:spacing w:val="-2"/>
          <w:sz w:val="24"/>
        </w:rPr>
        <w:t xml:space="preserve"> </w:t>
      </w:r>
      <w:r>
        <w:rPr>
          <w:sz w:val="24"/>
        </w:rPr>
        <w:t>normalization</w:t>
      </w:r>
      <w:r>
        <w:rPr>
          <w:spacing w:val="-1"/>
          <w:sz w:val="24"/>
        </w:rPr>
        <w:t xml:space="preserve"> </w:t>
      </w:r>
      <w:r>
        <w:rPr>
          <w:sz w:val="24"/>
        </w:rPr>
        <w:t>and</w:t>
      </w:r>
      <w:r>
        <w:rPr>
          <w:spacing w:val="-2"/>
          <w:sz w:val="24"/>
        </w:rPr>
        <w:t xml:space="preserve"> </w:t>
      </w:r>
      <w:r>
        <w:rPr>
          <w:sz w:val="24"/>
        </w:rPr>
        <w:t>coding</w:t>
      </w:r>
      <w:r>
        <w:rPr>
          <w:spacing w:val="-1"/>
          <w:sz w:val="24"/>
        </w:rPr>
        <w:t xml:space="preserve"> </w:t>
      </w:r>
      <w:r>
        <w:rPr>
          <w:spacing w:val="-2"/>
          <w:sz w:val="24"/>
        </w:rPr>
        <w:t>intensity.</w:t>
      </w:r>
    </w:p>
    <w:p>
      <w:pPr>
        <w:spacing w:before="241"/>
        <w:ind w:left="1224" w:right="0" w:firstLine="0"/>
        <w:jc w:val="left"/>
        <w:rPr>
          <w:rFonts w:ascii="Arial"/>
          <w:b/>
          <w:i/>
          <w:sz w:val="21"/>
        </w:rPr>
      </w:pPr>
      <w:bookmarkStart w:id="99" w:name="Risk Score Calculation Approaches"/>
      <w:bookmarkEnd w:id="99"/>
      <w:r>
        <w:rPr>
          <w:rFonts w:ascii="Arial"/>
          <w:b/>
          <w:i/>
          <w:sz w:val="21"/>
        </w:rPr>
        <w:t>Risk</w:t>
      </w:r>
      <w:r>
        <w:rPr>
          <w:rFonts w:ascii="Arial"/>
          <w:b/>
          <w:i/>
          <w:spacing w:val="-7"/>
          <w:sz w:val="21"/>
        </w:rPr>
        <w:t xml:space="preserve"> </w:t>
      </w:r>
      <w:r>
        <w:rPr>
          <w:rFonts w:ascii="Arial"/>
          <w:b/>
          <w:i/>
          <w:sz w:val="21"/>
        </w:rPr>
        <w:t>Score</w:t>
      </w:r>
      <w:r>
        <w:rPr>
          <w:rFonts w:ascii="Arial"/>
          <w:b/>
          <w:i/>
          <w:spacing w:val="-7"/>
          <w:sz w:val="21"/>
        </w:rPr>
        <w:t xml:space="preserve"> </w:t>
      </w:r>
      <w:r>
        <w:rPr>
          <w:rFonts w:ascii="Arial"/>
          <w:b/>
          <w:i/>
          <w:sz w:val="21"/>
        </w:rPr>
        <w:t>Calculation</w:t>
      </w:r>
      <w:r>
        <w:rPr>
          <w:rFonts w:ascii="Arial"/>
          <w:b/>
          <w:i/>
          <w:spacing w:val="-6"/>
          <w:sz w:val="21"/>
        </w:rPr>
        <w:t xml:space="preserve"> </w:t>
      </w:r>
      <w:r>
        <w:rPr>
          <w:rFonts w:ascii="Arial"/>
          <w:b/>
          <w:i/>
          <w:spacing w:val="-2"/>
          <w:sz w:val="21"/>
        </w:rPr>
        <w:t>Approaches</w:t>
      </w:r>
    </w:p>
    <w:p>
      <w:pPr>
        <w:pStyle w:val="BodyText"/>
        <w:spacing w:before="120"/>
        <w:ind w:left="1224" w:right="1481"/>
      </w:pPr>
      <w:r>
        <w:t>There</w:t>
      </w:r>
      <w:r>
        <w:rPr>
          <w:spacing w:val="-4"/>
        </w:rPr>
        <w:t xml:space="preserve"> </w:t>
      </w:r>
      <w:r>
        <w:t>are</w:t>
      </w:r>
      <w:r>
        <w:rPr>
          <w:spacing w:val="-6"/>
        </w:rPr>
        <w:t xml:space="preserve"> </w:t>
      </w:r>
      <w:r>
        <w:t>two</w:t>
      </w:r>
      <w:r>
        <w:rPr>
          <w:spacing w:val="-4"/>
        </w:rPr>
        <w:t xml:space="preserve"> </w:t>
      </w:r>
      <w:r>
        <w:t>methods</w:t>
      </w:r>
      <w:r>
        <w:rPr>
          <w:spacing w:val="-5"/>
        </w:rPr>
        <w:t xml:space="preserve"> </w:t>
      </w:r>
      <w:r>
        <w:t>for</w:t>
      </w:r>
      <w:r>
        <w:rPr>
          <w:spacing w:val="-4"/>
        </w:rPr>
        <w:t xml:space="preserve"> </w:t>
      </w:r>
      <w:r>
        <w:t>calculating</w:t>
      </w:r>
      <w:r>
        <w:rPr>
          <w:spacing w:val="-4"/>
        </w:rPr>
        <w:t xml:space="preserve"> </w:t>
      </w:r>
      <w:r>
        <w:t>the</w:t>
      </w:r>
      <w:r>
        <w:rPr>
          <w:spacing w:val="-4"/>
        </w:rPr>
        <w:t xml:space="preserve"> </w:t>
      </w:r>
      <w:r>
        <w:t>projected</w:t>
      </w:r>
      <w:r>
        <w:rPr>
          <w:spacing w:val="-4"/>
        </w:rPr>
        <w:t xml:space="preserve"> </w:t>
      </w:r>
      <w:r>
        <w:t>risk</w:t>
      </w:r>
      <w:r>
        <w:rPr>
          <w:spacing w:val="-4"/>
        </w:rPr>
        <w:t xml:space="preserve"> </w:t>
      </w:r>
      <w:r>
        <w:t>score:</w:t>
      </w:r>
      <w:r>
        <w:rPr>
          <w:spacing w:val="-4"/>
        </w:rPr>
        <w:t xml:space="preserve"> </w:t>
      </w:r>
      <w:r>
        <w:t>the</w:t>
      </w:r>
      <w:r>
        <w:rPr>
          <w:spacing w:val="-5"/>
        </w:rPr>
        <w:t xml:space="preserve"> </w:t>
      </w:r>
      <w:r>
        <w:t>preferred</w:t>
      </w:r>
      <w:r>
        <w:rPr>
          <w:spacing w:val="-4"/>
        </w:rPr>
        <w:t xml:space="preserve"> </w:t>
      </w:r>
      <w:r>
        <w:t>approach and the alternate approach.</w:t>
      </w:r>
    </w:p>
    <w:p>
      <w:pPr>
        <w:pStyle w:val="ListParagraph"/>
        <w:numPr>
          <w:ilvl w:val="1"/>
          <w:numId w:val="45"/>
        </w:numPr>
        <w:tabs>
          <w:tab w:val="left" w:pos="1944"/>
        </w:tabs>
        <w:spacing w:before="120" w:after="0" w:line="240" w:lineRule="auto"/>
        <w:ind w:left="1944" w:right="1694" w:hanging="360"/>
        <w:jc w:val="left"/>
        <w:rPr>
          <w:sz w:val="24"/>
        </w:rPr>
      </w:pPr>
      <w:r>
        <w:rPr>
          <w:sz w:val="24"/>
        </w:rPr>
        <w:t>The</w:t>
      </w:r>
      <w:r>
        <w:rPr>
          <w:spacing w:val="-5"/>
          <w:sz w:val="24"/>
        </w:rPr>
        <w:t xml:space="preserve"> </w:t>
      </w:r>
      <w:r>
        <w:rPr>
          <w:sz w:val="24"/>
        </w:rPr>
        <w:t>preferred</w:t>
      </w:r>
      <w:r>
        <w:rPr>
          <w:spacing w:val="-3"/>
          <w:sz w:val="24"/>
        </w:rPr>
        <w:t xml:space="preserve"> </w:t>
      </w:r>
      <w:r>
        <w:rPr>
          <w:sz w:val="24"/>
        </w:rPr>
        <w:t>approach</w:t>
      </w:r>
      <w:r>
        <w:rPr>
          <w:spacing w:val="-3"/>
          <w:sz w:val="24"/>
        </w:rPr>
        <w:t xml:space="preserve"> </w:t>
      </w:r>
      <w:r>
        <w:rPr>
          <w:sz w:val="24"/>
        </w:rPr>
        <w:t>is</w:t>
      </w:r>
      <w:r>
        <w:rPr>
          <w:spacing w:val="-4"/>
          <w:sz w:val="24"/>
        </w:rPr>
        <w:t xml:space="preserve"> </w:t>
      </w:r>
      <w:r>
        <w:rPr>
          <w:sz w:val="24"/>
        </w:rPr>
        <w:t>to</w:t>
      </w:r>
      <w:r>
        <w:rPr>
          <w:spacing w:val="-3"/>
          <w:sz w:val="24"/>
        </w:rPr>
        <w:t xml:space="preserve"> </w:t>
      </w:r>
      <w:r>
        <w:rPr>
          <w:sz w:val="24"/>
        </w:rPr>
        <w:t>start</w:t>
      </w:r>
      <w:r>
        <w:rPr>
          <w:spacing w:val="-3"/>
          <w:sz w:val="24"/>
        </w:rPr>
        <w:t xml:space="preserve"> </w:t>
      </w:r>
      <w:r>
        <w:rPr>
          <w:sz w:val="24"/>
        </w:rPr>
        <w:t>with</w:t>
      </w:r>
      <w:r>
        <w:rPr>
          <w:spacing w:val="-3"/>
          <w:sz w:val="24"/>
        </w:rPr>
        <w:t xml:space="preserve"> </w:t>
      </w:r>
      <w:r>
        <w:rPr>
          <w:sz w:val="24"/>
        </w:rPr>
        <w:t>either</w:t>
      </w:r>
      <w:r>
        <w:rPr>
          <w:spacing w:val="-3"/>
          <w:sz w:val="24"/>
        </w:rPr>
        <w:t xml:space="preserve"> </w:t>
      </w:r>
      <w:r>
        <w:rPr>
          <w:sz w:val="24"/>
        </w:rPr>
        <w:t>the</w:t>
      </w:r>
      <w:r>
        <w:rPr>
          <w:spacing w:val="-5"/>
          <w:sz w:val="24"/>
        </w:rPr>
        <w:t xml:space="preserve"> </w:t>
      </w:r>
      <w:r>
        <w:rPr>
          <w:sz w:val="24"/>
        </w:rPr>
        <w:t>beneficiary</w:t>
      </w:r>
      <w:r>
        <w:rPr>
          <w:spacing w:val="-3"/>
          <w:sz w:val="24"/>
        </w:rPr>
        <w:t xml:space="preserve"> </w:t>
      </w:r>
      <w:r>
        <w:rPr>
          <w:sz w:val="24"/>
        </w:rPr>
        <w:t>or</w:t>
      </w:r>
      <w:r>
        <w:rPr>
          <w:spacing w:val="-3"/>
          <w:sz w:val="24"/>
        </w:rPr>
        <w:t xml:space="preserve"> </w:t>
      </w:r>
      <w:r>
        <w:rPr>
          <w:sz w:val="24"/>
        </w:rPr>
        <w:t>plan-level</w:t>
      </w:r>
      <w:r>
        <w:rPr>
          <w:spacing w:val="-3"/>
          <w:sz w:val="24"/>
        </w:rPr>
        <w:t xml:space="preserve"> </w:t>
      </w:r>
      <w:r>
        <w:rPr>
          <w:sz w:val="24"/>
        </w:rPr>
        <w:t>data files provided by CMS, which contain the calculated risk scores using the CY2027 payment model on 12 months of 2025 membership or the July 2025 enrollees, respectively.</w:t>
      </w:r>
    </w:p>
    <w:p>
      <w:pPr>
        <w:pStyle w:val="ListParagraph"/>
        <w:numPr>
          <w:ilvl w:val="1"/>
          <w:numId w:val="45"/>
        </w:numPr>
        <w:tabs>
          <w:tab w:val="left" w:pos="1944"/>
        </w:tabs>
        <w:spacing w:before="0" w:after="0" w:line="240" w:lineRule="auto"/>
        <w:ind w:left="1944" w:right="1804" w:hanging="360"/>
        <w:jc w:val="both"/>
        <w:rPr>
          <w:sz w:val="24"/>
        </w:rPr>
      </w:pPr>
      <w:r>
        <w:rPr>
          <w:sz w:val="24"/>
        </w:rPr>
        <w:t>The</w:t>
      </w:r>
      <w:r>
        <w:rPr>
          <w:spacing w:val="-4"/>
          <w:sz w:val="24"/>
        </w:rPr>
        <w:t xml:space="preserve"> </w:t>
      </w:r>
      <w:r>
        <w:rPr>
          <w:sz w:val="24"/>
        </w:rPr>
        <w:t>alternate</w:t>
      </w:r>
      <w:r>
        <w:rPr>
          <w:spacing w:val="-2"/>
          <w:sz w:val="24"/>
        </w:rPr>
        <w:t xml:space="preserve"> </w:t>
      </w:r>
      <w:r>
        <w:rPr>
          <w:sz w:val="24"/>
        </w:rPr>
        <w:t>approach allows</w:t>
      </w:r>
      <w:r>
        <w:rPr>
          <w:spacing w:val="-3"/>
          <w:sz w:val="24"/>
        </w:rPr>
        <w:t xml:space="preserve"> </w:t>
      </w:r>
      <w:r>
        <w:rPr>
          <w:sz w:val="24"/>
        </w:rPr>
        <w:t>new</w:t>
      </w:r>
      <w:r>
        <w:rPr>
          <w:spacing w:val="-3"/>
          <w:sz w:val="24"/>
        </w:rPr>
        <w:t xml:space="preserve"> </w:t>
      </w:r>
      <w:r>
        <w:rPr>
          <w:sz w:val="24"/>
        </w:rPr>
        <w:t>plans</w:t>
      </w:r>
      <w:r>
        <w:rPr>
          <w:spacing w:val="-3"/>
          <w:sz w:val="24"/>
        </w:rPr>
        <w:t xml:space="preserve"> </w:t>
      </w:r>
      <w:r>
        <w:rPr>
          <w:sz w:val="24"/>
        </w:rPr>
        <w:t>or</w:t>
      </w:r>
      <w:r>
        <w:rPr>
          <w:spacing w:val="-2"/>
          <w:sz w:val="24"/>
        </w:rPr>
        <w:t xml:space="preserve"> </w:t>
      </w:r>
      <w:r>
        <w:rPr>
          <w:sz w:val="24"/>
        </w:rPr>
        <w:t>plans with</w:t>
      </w:r>
      <w:r>
        <w:rPr>
          <w:spacing w:val="-2"/>
          <w:sz w:val="24"/>
        </w:rPr>
        <w:t xml:space="preserve"> </w:t>
      </w:r>
      <w:r>
        <w:rPr>
          <w:sz w:val="24"/>
        </w:rPr>
        <w:t>significant</w:t>
      </w:r>
      <w:r>
        <w:rPr>
          <w:spacing w:val="-2"/>
          <w:sz w:val="24"/>
        </w:rPr>
        <w:t xml:space="preserve"> </w:t>
      </w:r>
      <w:r>
        <w:rPr>
          <w:sz w:val="24"/>
        </w:rPr>
        <w:t>population changes</w:t>
      </w:r>
      <w:r>
        <w:rPr>
          <w:spacing w:val="-5"/>
          <w:sz w:val="24"/>
        </w:rPr>
        <w:t xml:space="preserve"> </w:t>
      </w:r>
      <w:r>
        <w:rPr>
          <w:sz w:val="24"/>
        </w:rPr>
        <w:t>to</w:t>
      </w:r>
      <w:r>
        <w:rPr>
          <w:spacing w:val="-4"/>
          <w:sz w:val="24"/>
        </w:rPr>
        <w:t xml:space="preserve"> </w:t>
      </w:r>
      <w:r>
        <w:rPr>
          <w:sz w:val="24"/>
        </w:rPr>
        <w:t>use</w:t>
      </w:r>
      <w:r>
        <w:rPr>
          <w:spacing w:val="-3"/>
          <w:sz w:val="24"/>
        </w:rPr>
        <w:t xml:space="preserve"> </w:t>
      </w:r>
      <w:r>
        <w:rPr>
          <w:sz w:val="24"/>
        </w:rPr>
        <w:t>a</w:t>
      </w:r>
      <w:r>
        <w:rPr>
          <w:spacing w:val="-5"/>
          <w:sz w:val="24"/>
        </w:rPr>
        <w:t xml:space="preserve"> </w:t>
      </w:r>
      <w:r>
        <w:rPr>
          <w:sz w:val="24"/>
        </w:rPr>
        <w:t>different</w:t>
      </w:r>
      <w:r>
        <w:rPr>
          <w:spacing w:val="-2"/>
          <w:sz w:val="24"/>
        </w:rPr>
        <w:t xml:space="preserve"> </w:t>
      </w:r>
      <w:r>
        <w:rPr>
          <w:sz w:val="24"/>
        </w:rPr>
        <w:t>starting</w:t>
      </w:r>
      <w:r>
        <w:rPr>
          <w:spacing w:val="-4"/>
          <w:sz w:val="24"/>
        </w:rPr>
        <w:t xml:space="preserve"> </w:t>
      </w:r>
      <w:r>
        <w:rPr>
          <w:sz w:val="24"/>
        </w:rPr>
        <w:t>point</w:t>
      </w:r>
      <w:r>
        <w:rPr>
          <w:spacing w:val="-4"/>
          <w:sz w:val="24"/>
        </w:rPr>
        <w:t xml:space="preserve"> </w:t>
      </w:r>
      <w:r>
        <w:rPr>
          <w:sz w:val="24"/>
        </w:rPr>
        <w:t>for</w:t>
      </w:r>
      <w:r>
        <w:rPr>
          <w:spacing w:val="-6"/>
          <w:sz w:val="24"/>
        </w:rPr>
        <w:t xml:space="preserve"> </w:t>
      </w:r>
      <w:r>
        <w:rPr>
          <w:sz w:val="24"/>
        </w:rPr>
        <w:t>estimating</w:t>
      </w:r>
      <w:r>
        <w:rPr>
          <w:spacing w:val="-4"/>
          <w:sz w:val="24"/>
        </w:rPr>
        <w:t xml:space="preserve"> </w:t>
      </w:r>
      <w:r>
        <w:rPr>
          <w:sz w:val="24"/>
        </w:rPr>
        <w:t>their</w:t>
      </w:r>
      <w:r>
        <w:rPr>
          <w:spacing w:val="-4"/>
          <w:sz w:val="24"/>
        </w:rPr>
        <w:t xml:space="preserve"> </w:t>
      </w:r>
      <w:r>
        <w:rPr>
          <w:sz w:val="24"/>
        </w:rPr>
        <w:t>contract</w:t>
      </w:r>
      <w:r>
        <w:rPr>
          <w:spacing w:val="-4"/>
          <w:sz w:val="24"/>
        </w:rPr>
        <w:t xml:space="preserve"> </w:t>
      </w:r>
      <w:r>
        <w:rPr>
          <w:sz w:val="24"/>
        </w:rPr>
        <w:t>year</w:t>
      </w:r>
      <w:r>
        <w:rPr>
          <w:spacing w:val="-3"/>
          <w:sz w:val="24"/>
        </w:rPr>
        <w:t xml:space="preserve"> </w:t>
      </w:r>
      <w:r>
        <w:rPr>
          <w:sz w:val="24"/>
        </w:rPr>
        <w:t xml:space="preserve">risk </w:t>
      </w:r>
      <w:r>
        <w:rPr>
          <w:spacing w:val="-2"/>
          <w:sz w:val="24"/>
        </w:rPr>
        <w:t>score.</w:t>
      </w:r>
    </w:p>
    <w:p>
      <w:pPr>
        <w:pStyle w:val="BodyText"/>
        <w:spacing w:before="120"/>
        <w:ind w:left="1224"/>
        <w:jc w:val="both"/>
      </w:pPr>
      <w:r>
        <w:t>For</w:t>
      </w:r>
      <w:r>
        <w:rPr>
          <w:spacing w:val="-4"/>
        </w:rPr>
        <w:t xml:space="preserve"> </w:t>
      </w:r>
      <w:r>
        <w:t>both</w:t>
      </w:r>
      <w:r>
        <w:rPr>
          <w:spacing w:val="-2"/>
        </w:rPr>
        <w:t xml:space="preserve"> </w:t>
      </w:r>
      <w:r>
        <w:t>approaches,</w:t>
      </w:r>
      <w:r>
        <w:rPr>
          <w:spacing w:val="-1"/>
        </w:rPr>
        <w:t xml:space="preserve"> </w:t>
      </w:r>
      <w:r>
        <w:t>explicit</w:t>
      </w:r>
      <w:r>
        <w:rPr>
          <w:spacing w:val="-2"/>
        </w:rPr>
        <w:t xml:space="preserve"> </w:t>
      </w:r>
      <w:r>
        <w:t>adjustments</w:t>
      </w:r>
      <w:r>
        <w:rPr>
          <w:spacing w:val="-3"/>
        </w:rPr>
        <w:t xml:space="preserve"> </w:t>
      </w:r>
      <w:r>
        <w:t>for</w:t>
      </w:r>
      <w:r>
        <w:rPr>
          <w:spacing w:val="-3"/>
        </w:rPr>
        <w:t xml:space="preserve"> </w:t>
      </w:r>
      <w:r>
        <w:t>the</w:t>
      </w:r>
      <w:r>
        <w:rPr>
          <w:spacing w:val="-2"/>
        </w:rPr>
        <w:t xml:space="preserve"> </w:t>
      </w:r>
      <w:r>
        <w:t>following</w:t>
      </w:r>
      <w:r>
        <w:rPr>
          <w:spacing w:val="-1"/>
        </w:rPr>
        <w:t xml:space="preserve"> </w:t>
      </w:r>
      <w:r>
        <w:t>factors</w:t>
      </w:r>
      <w:r>
        <w:rPr>
          <w:spacing w:val="-3"/>
        </w:rPr>
        <w:t xml:space="preserve"> </w:t>
      </w:r>
      <w:r>
        <w:t>are</w:t>
      </w:r>
      <w:r>
        <w:rPr>
          <w:spacing w:val="-2"/>
        </w:rPr>
        <w:t xml:space="preserve"> required:</w:t>
      </w:r>
    </w:p>
    <w:p>
      <w:pPr>
        <w:pStyle w:val="ListParagraph"/>
        <w:numPr>
          <w:ilvl w:val="1"/>
          <w:numId w:val="45"/>
        </w:numPr>
        <w:tabs>
          <w:tab w:val="left" w:pos="1944"/>
        </w:tabs>
        <w:spacing w:before="121" w:after="0" w:line="240" w:lineRule="auto"/>
        <w:ind w:left="1944" w:right="1882" w:hanging="360"/>
        <w:jc w:val="left"/>
        <w:rPr>
          <w:sz w:val="24"/>
        </w:rPr>
      </w:pPr>
      <w:r>
        <w:rPr>
          <w:sz w:val="24"/>
        </w:rPr>
        <w:t>Run-out</w:t>
      </w:r>
      <w:r>
        <w:rPr>
          <w:spacing w:val="-4"/>
          <w:sz w:val="24"/>
        </w:rPr>
        <w:t xml:space="preserve"> </w:t>
      </w:r>
      <w:r>
        <w:rPr>
          <w:sz w:val="24"/>
        </w:rPr>
        <w:t>of</w:t>
      </w:r>
      <w:r>
        <w:rPr>
          <w:spacing w:val="-4"/>
          <w:sz w:val="24"/>
        </w:rPr>
        <w:t xml:space="preserve"> </w:t>
      </w:r>
      <w:r>
        <w:rPr>
          <w:sz w:val="24"/>
        </w:rPr>
        <w:t>diagnosis</w:t>
      </w:r>
      <w:r>
        <w:rPr>
          <w:spacing w:val="-5"/>
          <w:sz w:val="24"/>
        </w:rPr>
        <w:t xml:space="preserve"> </w:t>
      </w:r>
      <w:r>
        <w:rPr>
          <w:sz w:val="24"/>
        </w:rPr>
        <w:t>data</w:t>
      </w:r>
      <w:r>
        <w:rPr>
          <w:spacing w:val="-4"/>
          <w:sz w:val="24"/>
        </w:rPr>
        <w:t xml:space="preserve"> </w:t>
      </w:r>
      <w:r>
        <w:rPr>
          <w:sz w:val="24"/>
        </w:rPr>
        <w:t>from</w:t>
      </w:r>
      <w:r>
        <w:rPr>
          <w:spacing w:val="-4"/>
          <w:sz w:val="24"/>
        </w:rPr>
        <w:t xml:space="preserve"> </w:t>
      </w:r>
      <w:r>
        <w:rPr>
          <w:sz w:val="24"/>
        </w:rPr>
        <w:t>all</w:t>
      </w:r>
      <w:r>
        <w:rPr>
          <w:spacing w:val="-4"/>
          <w:sz w:val="24"/>
        </w:rPr>
        <w:t xml:space="preserve"> </w:t>
      </w:r>
      <w:r>
        <w:rPr>
          <w:sz w:val="24"/>
        </w:rPr>
        <w:t>sources,</w:t>
      </w:r>
      <w:r>
        <w:rPr>
          <w:spacing w:val="-4"/>
          <w:sz w:val="24"/>
        </w:rPr>
        <w:t xml:space="preserve"> </w:t>
      </w:r>
      <w:r>
        <w:rPr>
          <w:sz w:val="24"/>
        </w:rPr>
        <w:t>including</w:t>
      </w:r>
      <w:r>
        <w:rPr>
          <w:spacing w:val="-4"/>
          <w:sz w:val="24"/>
        </w:rPr>
        <w:t xml:space="preserve"> </w:t>
      </w:r>
      <w:r>
        <w:rPr>
          <w:sz w:val="24"/>
        </w:rPr>
        <w:t>differences</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final cutoff date for data submission.</w:t>
      </w:r>
    </w:p>
    <w:p>
      <w:pPr>
        <w:pStyle w:val="ListParagraph"/>
        <w:numPr>
          <w:ilvl w:val="1"/>
          <w:numId w:val="45"/>
        </w:numPr>
        <w:tabs>
          <w:tab w:val="left" w:pos="1944"/>
        </w:tabs>
        <w:spacing w:before="0" w:after="0" w:line="240" w:lineRule="auto"/>
        <w:ind w:left="1944" w:right="0" w:hanging="360"/>
        <w:jc w:val="left"/>
        <w:rPr>
          <w:sz w:val="24"/>
        </w:rPr>
      </w:pPr>
      <w:r>
        <w:rPr>
          <w:sz w:val="24"/>
        </w:rPr>
        <w:t>Bid-specific</w:t>
      </w:r>
      <w:r>
        <w:rPr>
          <w:spacing w:val="-3"/>
          <w:sz w:val="24"/>
        </w:rPr>
        <w:t xml:space="preserve"> </w:t>
      </w:r>
      <w:r>
        <w:rPr>
          <w:sz w:val="24"/>
        </w:rPr>
        <w:t>coding</w:t>
      </w:r>
      <w:r>
        <w:rPr>
          <w:spacing w:val="-2"/>
          <w:sz w:val="24"/>
        </w:rPr>
        <w:t xml:space="preserve"> trend.</w:t>
      </w:r>
    </w:p>
    <w:p>
      <w:pPr>
        <w:pStyle w:val="ListParagraph"/>
        <w:numPr>
          <w:ilvl w:val="1"/>
          <w:numId w:val="45"/>
        </w:numPr>
        <w:tabs>
          <w:tab w:val="left" w:pos="1944"/>
        </w:tabs>
        <w:spacing w:before="0" w:after="0" w:line="240" w:lineRule="auto"/>
        <w:ind w:left="1944" w:right="0" w:hanging="360"/>
        <w:jc w:val="left"/>
        <w:rPr>
          <w:sz w:val="24"/>
        </w:rPr>
      </w:pPr>
      <w:r>
        <w:rPr>
          <w:sz w:val="24"/>
        </w:rPr>
        <w:t>Changes</w:t>
      </w:r>
      <w:r>
        <w:rPr>
          <w:spacing w:val="-2"/>
          <w:sz w:val="24"/>
        </w:rPr>
        <w:t xml:space="preserve"> </w:t>
      </w:r>
      <w:r>
        <w:rPr>
          <w:sz w:val="24"/>
        </w:rPr>
        <w:t xml:space="preserve">in bid </w:t>
      </w:r>
      <w:r>
        <w:rPr>
          <w:spacing w:val="-2"/>
          <w:sz w:val="24"/>
        </w:rPr>
        <w:t>population.</w:t>
      </w:r>
    </w:p>
    <w:p>
      <w:pPr>
        <w:pStyle w:val="ListParagraph"/>
        <w:numPr>
          <w:ilvl w:val="1"/>
          <w:numId w:val="45"/>
        </w:numPr>
        <w:tabs>
          <w:tab w:val="left" w:pos="1944"/>
        </w:tabs>
        <w:spacing w:before="0" w:after="0" w:line="240" w:lineRule="auto"/>
        <w:ind w:left="1944" w:right="2043" w:hanging="360"/>
        <w:jc w:val="left"/>
        <w:rPr>
          <w:sz w:val="24"/>
        </w:rPr>
      </w:pPr>
      <w:r>
        <w:rPr>
          <w:sz w:val="24"/>
        </w:rPr>
        <w:t>Impact</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improvements</w:t>
      </w:r>
      <w:r>
        <w:rPr>
          <w:spacing w:val="-5"/>
          <w:sz w:val="24"/>
        </w:rPr>
        <w:t xml:space="preserve"> </w:t>
      </w:r>
      <w:r>
        <w:rPr>
          <w:sz w:val="24"/>
        </w:rPr>
        <w:t>to</w:t>
      </w:r>
      <w:r>
        <w:rPr>
          <w:spacing w:val="-3"/>
          <w:sz w:val="24"/>
        </w:rPr>
        <w:t xml:space="preserve"> </w:t>
      </w:r>
      <w:r>
        <w:rPr>
          <w:sz w:val="24"/>
        </w:rPr>
        <w:t>the</w:t>
      </w:r>
      <w:r>
        <w:rPr>
          <w:spacing w:val="-5"/>
          <w:sz w:val="24"/>
        </w:rPr>
        <w:t xml:space="preserve"> </w:t>
      </w:r>
      <w:r>
        <w:rPr>
          <w:sz w:val="24"/>
        </w:rPr>
        <w:t>operational</w:t>
      </w:r>
      <w:r>
        <w:rPr>
          <w:spacing w:val="-4"/>
          <w:sz w:val="24"/>
        </w:rPr>
        <w:t xml:space="preserve"> </w:t>
      </w:r>
      <w:r>
        <w:rPr>
          <w:sz w:val="24"/>
        </w:rPr>
        <w:t>and</w:t>
      </w:r>
      <w:r>
        <w:rPr>
          <w:spacing w:val="-4"/>
          <w:sz w:val="24"/>
        </w:rPr>
        <w:t xml:space="preserve"> </w:t>
      </w:r>
      <w:r>
        <w:rPr>
          <w:sz w:val="24"/>
        </w:rPr>
        <w:t>submission</w:t>
      </w:r>
      <w:r>
        <w:rPr>
          <w:spacing w:val="-4"/>
          <w:sz w:val="24"/>
        </w:rPr>
        <w:t xml:space="preserve"> </w:t>
      </w:r>
      <w:r>
        <w:rPr>
          <w:sz w:val="24"/>
        </w:rPr>
        <w:t>process</w:t>
      </w:r>
      <w:r>
        <w:rPr>
          <w:spacing w:val="-5"/>
          <w:sz w:val="24"/>
        </w:rPr>
        <w:t xml:space="preserve"> </w:t>
      </w:r>
      <w:r>
        <w:rPr>
          <w:sz w:val="24"/>
        </w:rPr>
        <w:t>for diagnosis data sources.</w:t>
      </w:r>
    </w:p>
    <w:p>
      <w:pPr>
        <w:pStyle w:val="ListParagraph"/>
        <w:numPr>
          <w:ilvl w:val="1"/>
          <w:numId w:val="45"/>
        </w:numPr>
        <w:tabs>
          <w:tab w:val="left" w:pos="1944"/>
        </w:tabs>
        <w:spacing w:before="0" w:after="0" w:line="240" w:lineRule="auto"/>
        <w:ind w:left="1944" w:right="0" w:hanging="360"/>
        <w:jc w:val="left"/>
        <w:rPr>
          <w:sz w:val="24"/>
        </w:rPr>
      </w:pPr>
      <w:r>
        <w:rPr>
          <w:sz w:val="24"/>
        </w:rPr>
        <w:t>Other</w:t>
      </w:r>
      <w:r>
        <w:rPr>
          <w:spacing w:val="-2"/>
          <w:sz w:val="24"/>
        </w:rPr>
        <w:t xml:space="preserve"> </w:t>
      </w:r>
      <w:r>
        <w:rPr>
          <w:sz w:val="24"/>
        </w:rPr>
        <w:t>appropriate</w:t>
      </w:r>
      <w:r>
        <w:rPr>
          <w:spacing w:val="-2"/>
          <w:sz w:val="24"/>
        </w:rPr>
        <w:t xml:space="preserve"> factors.</w:t>
      </w:r>
    </w:p>
    <w:p>
      <w:pPr>
        <w:pStyle w:val="BodyText"/>
        <w:spacing w:before="120"/>
        <w:ind w:left="1224"/>
      </w:pPr>
      <w:r>
        <w:t>For</w:t>
      </w:r>
      <w:r>
        <w:rPr>
          <w:spacing w:val="-4"/>
        </w:rPr>
        <w:t xml:space="preserve"> </w:t>
      </w:r>
      <w:r>
        <w:t>an</w:t>
      </w:r>
      <w:r>
        <w:rPr>
          <w:spacing w:val="1"/>
        </w:rPr>
        <w:t xml:space="preserve"> </w:t>
      </w:r>
      <w:r>
        <w:t>alternate</w:t>
      </w:r>
      <w:r>
        <w:rPr>
          <w:spacing w:val="-3"/>
        </w:rPr>
        <w:t xml:space="preserve"> </w:t>
      </w:r>
      <w:r>
        <w:t>approach, MAOs</w:t>
      </w:r>
      <w:r>
        <w:rPr>
          <w:spacing w:val="-2"/>
        </w:rPr>
        <w:t xml:space="preserve"> </w:t>
      </w:r>
      <w:r>
        <w:t>must consider</w:t>
      </w:r>
      <w:r>
        <w:rPr>
          <w:spacing w:val="-2"/>
        </w:rPr>
        <w:t xml:space="preserve"> </w:t>
      </w:r>
      <w:r>
        <w:t>the</w:t>
      </w:r>
      <w:r>
        <w:rPr>
          <w:spacing w:val="-2"/>
        </w:rPr>
        <w:t xml:space="preserve"> </w:t>
      </w:r>
      <w:r>
        <w:t>following</w:t>
      </w:r>
      <w:r>
        <w:rPr>
          <w:spacing w:val="-1"/>
        </w:rPr>
        <w:t xml:space="preserve"> </w:t>
      </w:r>
      <w:r>
        <w:t>additional</w:t>
      </w:r>
      <w:r>
        <w:rPr>
          <w:spacing w:val="-1"/>
        </w:rPr>
        <w:t xml:space="preserve"> </w:t>
      </w:r>
      <w:r>
        <w:rPr>
          <w:spacing w:val="-2"/>
        </w:rPr>
        <w:t>adjustments:</w:t>
      </w:r>
    </w:p>
    <w:p>
      <w:pPr>
        <w:pStyle w:val="ListParagraph"/>
        <w:numPr>
          <w:ilvl w:val="1"/>
          <w:numId w:val="45"/>
        </w:numPr>
        <w:tabs>
          <w:tab w:val="left" w:pos="1944"/>
        </w:tabs>
        <w:spacing w:before="117" w:after="0" w:line="240" w:lineRule="auto"/>
        <w:ind w:left="1944" w:right="0" w:hanging="360"/>
        <w:jc w:val="left"/>
        <w:rPr>
          <w:sz w:val="24"/>
        </w:rPr>
      </w:pPr>
      <w:r>
        <w:rPr>
          <w:sz w:val="24"/>
        </w:rPr>
        <w:t>Conversion</w:t>
      </w:r>
      <w:r>
        <w:rPr>
          <w:spacing w:val="-1"/>
          <w:sz w:val="24"/>
        </w:rPr>
        <w:t xml:space="preserve"> </w:t>
      </w:r>
      <w:r>
        <w:rPr>
          <w:sz w:val="24"/>
        </w:rPr>
        <w:t>to</w:t>
      </w:r>
      <w:r>
        <w:rPr>
          <w:spacing w:val="-1"/>
          <w:sz w:val="24"/>
        </w:rPr>
        <w:t xml:space="preserve"> </w:t>
      </w:r>
      <w:r>
        <w:rPr>
          <w:sz w:val="24"/>
        </w:rPr>
        <w:t>risk model-specific</w:t>
      </w:r>
      <w:r>
        <w:rPr>
          <w:spacing w:val="-2"/>
          <w:sz w:val="24"/>
        </w:rPr>
        <w:t xml:space="preserve"> </w:t>
      </w:r>
      <w:r>
        <w:rPr>
          <w:sz w:val="24"/>
        </w:rPr>
        <w:t>unblended</w:t>
      </w:r>
      <w:r>
        <w:rPr>
          <w:spacing w:val="-1"/>
          <w:sz w:val="24"/>
        </w:rPr>
        <w:t xml:space="preserve"> </w:t>
      </w:r>
      <w:r>
        <w:rPr>
          <w:sz w:val="24"/>
        </w:rPr>
        <w:t>risk</w:t>
      </w:r>
      <w:r>
        <w:rPr>
          <w:spacing w:val="2"/>
          <w:sz w:val="24"/>
        </w:rPr>
        <w:t xml:space="preserve"> </w:t>
      </w:r>
      <w:r>
        <w:rPr>
          <w:spacing w:val="-2"/>
          <w:sz w:val="24"/>
        </w:rPr>
        <w:t>scores.</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ListParagraph"/>
        <w:numPr>
          <w:ilvl w:val="2"/>
          <w:numId w:val="45"/>
        </w:numPr>
        <w:tabs>
          <w:tab w:val="left" w:pos="2304"/>
        </w:tabs>
        <w:spacing w:before="0" w:after="0" w:line="240" w:lineRule="auto"/>
        <w:ind w:left="2304" w:right="2040" w:hanging="360"/>
        <w:jc w:val="left"/>
        <w:rPr>
          <w:sz w:val="24"/>
        </w:rPr>
      </w:pPr>
      <w:r>
        <w:rPr>
          <w:sz w:val="24"/>
        </w:rPr>
        <w:t>If</w:t>
      </w:r>
      <w:r>
        <w:rPr>
          <w:spacing w:val="-6"/>
          <w:sz w:val="24"/>
        </w:rPr>
        <w:t xml:space="preserve"> </w:t>
      </w:r>
      <w:r>
        <w:rPr>
          <w:sz w:val="24"/>
        </w:rPr>
        <w:t>the</w:t>
      </w:r>
      <w:r>
        <w:rPr>
          <w:spacing w:val="-4"/>
          <w:sz w:val="24"/>
        </w:rPr>
        <w:t xml:space="preserve"> </w:t>
      </w:r>
      <w:r>
        <w:rPr>
          <w:sz w:val="24"/>
        </w:rPr>
        <w:t>starting</w:t>
      </w:r>
      <w:r>
        <w:rPr>
          <w:spacing w:val="-4"/>
          <w:sz w:val="24"/>
        </w:rPr>
        <w:t xml:space="preserve"> </w:t>
      </w:r>
      <w:r>
        <w:rPr>
          <w:sz w:val="24"/>
        </w:rPr>
        <w:t>risk</w:t>
      </w:r>
      <w:r>
        <w:rPr>
          <w:spacing w:val="-4"/>
          <w:sz w:val="24"/>
        </w:rPr>
        <w:t xml:space="preserve"> </w:t>
      </w:r>
      <w:r>
        <w:rPr>
          <w:sz w:val="24"/>
        </w:rPr>
        <w:t>scores</w:t>
      </w:r>
      <w:r>
        <w:rPr>
          <w:spacing w:val="-2"/>
          <w:sz w:val="24"/>
        </w:rPr>
        <w:t xml:space="preserve"> </w:t>
      </w:r>
      <w:r>
        <w:rPr>
          <w:sz w:val="24"/>
        </w:rPr>
        <w:t>are</w:t>
      </w:r>
      <w:r>
        <w:rPr>
          <w:spacing w:val="-6"/>
          <w:sz w:val="24"/>
        </w:rPr>
        <w:t xml:space="preserve"> </w:t>
      </w:r>
      <w:r>
        <w:rPr>
          <w:sz w:val="24"/>
        </w:rPr>
        <w:t>blended</w:t>
      </w:r>
      <w:r>
        <w:rPr>
          <w:spacing w:val="-4"/>
          <w:sz w:val="24"/>
        </w:rPr>
        <w:t xml:space="preserve"> </w:t>
      </w:r>
      <w:r>
        <w:rPr>
          <w:sz w:val="24"/>
        </w:rPr>
        <w:t>scores,</w:t>
      </w:r>
      <w:r>
        <w:rPr>
          <w:spacing w:val="-4"/>
          <w:sz w:val="24"/>
        </w:rPr>
        <w:t xml:space="preserve"> </w:t>
      </w:r>
      <w:r>
        <w:rPr>
          <w:sz w:val="24"/>
        </w:rPr>
        <w:t>then</w:t>
      </w:r>
      <w:r>
        <w:rPr>
          <w:spacing w:val="-2"/>
          <w:sz w:val="24"/>
        </w:rPr>
        <w:t xml:space="preserve"> </w:t>
      </w:r>
      <w:r>
        <w:rPr>
          <w:sz w:val="24"/>
        </w:rPr>
        <w:t>MAOs</w:t>
      </w:r>
      <w:r>
        <w:rPr>
          <w:spacing w:val="-4"/>
          <w:sz w:val="24"/>
        </w:rPr>
        <w:t xml:space="preserve"> </w:t>
      </w:r>
      <w:r>
        <w:rPr>
          <w:sz w:val="24"/>
        </w:rPr>
        <w:t>must</w:t>
      </w:r>
      <w:r>
        <w:rPr>
          <w:spacing w:val="-3"/>
          <w:sz w:val="24"/>
        </w:rPr>
        <w:t xml:space="preserve"> </w:t>
      </w:r>
      <w:r>
        <w:rPr>
          <w:sz w:val="24"/>
        </w:rPr>
        <w:t>produce unblended risk scores before the conversion to raw scores.</w:t>
      </w:r>
    </w:p>
    <w:p>
      <w:pPr>
        <w:pStyle w:val="ListParagraph"/>
        <w:numPr>
          <w:ilvl w:val="1"/>
          <w:numId w:val="45"/>
        </w:numPr>
        <w:tabs>
          <w:tab w:val="left" w:pos="1944"/>
        </w:tabs>
        <w:spacing w:before="0" w:after="0" w:line="240" w:lineRule="auto"/>
        <w:ind w:left="1944" w:right="0" w:hanging="360"/>
        <w:jc w:val="left"/>
        <w:rPr>
          <w:sz w:val="24"/>
        </w:rPr>
      </w:pPr>
      <w:r>
        <w:rPr>
          <w:sz w:val="24"/>
        </w:rPr>
        <w:t>Conversion</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 xml:space="preserve">raw risk </w:t>
      </w:r>
      <w:r>
        <w:rPr>
          <w:spacing w:val="-2"/>
          <w:sz w:val="24"/>
        </w:rPr>
        <w:t>score.</w:t>
      </w:r>
    </w:p>
    <w:p>
      <w:pPr>
        <w:pStyle w:val="ListParagraph"/>
        <w:numPr>
          <w:ilvl w:val="2"/>
          <w:numId w:val="45"/>
        </w:numPr>
        <w:tabs>
          <w:tab w:val="left" w:pos="2304"/>
        </w:tabs>
        <w:spacing w:before="0" w:after="0" w:line="240" w:lineRule="auto"/>
        <w:ind w:left="2304" w:right="1784" w:hanging="360"/>
        <w:jc w:val="left"/>
        <w:rPr>
          <w:sz w:val="24"/>
        </w:rPr>
      </w:pPr>
      <w:r>
        <w:rPr>
          <w:sz w:val="24"/>
        </w:rPr>
        <w:t>When</w:t>
      </w:r>
      <w:r>
        <w:rPr>
          <w:spacing w:val="-4"/>
          <w:sz w:val="24"/>
        </w:rPr>
        <w:t xml:space="preserve"> </w:t>
      </w:r>
      <w:r>
        <w:rPr>
          <w:sz w:val="24"/>
        </w:rPr>
        <w:t>starting</w:t>
      </w:r>
      <w:r>
        <w:rPr>
          <w:spacing w:val="-4"/>
          <w:sz w:val="24"/>
        </w:rPr>
        <w:t xml:space="preserve"> </w:t>
      </w:r>
      <w:r>
        <w:rPr>
          <w:sz w:val="24"/>
        </w:rPr>
        <w:t>from</w:t>
      </w:r>
      <w:r>
        <w:rPr>
          <w:spacing w:val="-2"/>
          <w:sz w:val="24"/>
        </w:rPr>
        <w:t xml:space="preserve"> </w:t>
      </w:r>
      <w:r>
        <w:rPr>
          <w:sz w:val="24"/>
        </w:rPr>
        <w:t>a</w:t>
      </w:r>
      <w:r>
        <w:rPr>
          <w:spacing w:val="-5"/>
          <w:sz w:val="24"/>
        </w:rPr>
        <w:t xml:space="preserve"> </w:t>
      </w:r>
      <w:r>
        <w:rPr>
          <w:sz w:val="24"/>
        </w:rPr>
        <w:t>data</w:t>
      </w:r>
      <w:r>
        <w:rPr>
          <w:spacing w:val="-5"/>
          <w:sz w:val="24"/>
        </w:rPr>
        <w:t xml:space="preserve"> </w:t>
      </w:r>
      <w:r>
        <w:rPr>
          <w:sz w:val="24"/>
        </w:rPr>
        <w:t>source</w:t>
      </w:r>
      <w:r>
        <w:rPr>
          <w:spacing w:val="-3"/>
          <w:sz w:val="24"/>
        </w:rPr>
        <w:t xml:space="preserve"> </w:t>
      </w:r>
      <w:r>
        <w:rPr>
          <w:sz w:val="24"/>
        </w:rPr>
        <w:t>with</w:t>
      </w:r>
      <w:r>
        <w:rPr>
          <w:spacing w:val="-4"/>
          <w:sz w:val="24"/>
        </w:rPr>
        <w:t xml:space="preserve"> </w:t>
      </w:r>
      <w:r>
        <w:rPr>
          <w:sz w:val="24"/>
        </w:rPr>
        <w:t>normalized</w:t>
      </w:r>
      <w:r>
        <w:rPr>
          <w:spacing w:val="-2"/>
          <w:sz w:val="24"/>
        </w:rPr>
        <w:t xml:space="preserve"> </w:t>
      </w:r>
      <w:r>
        <w:rPr>
          <w:sz w:val="24"/>
        </w:rPr>
        <w:t>risk</w:t>
      </w:r>
      <w:r>
        <w:rPr>
          <w:spacing w:val="-4"/>
          <w:sz w:val="24"/>
        </w:rPr>
        <w:t xml:space="preserve"> </w:t>
      </w:r>
      <w:r>
        <w:rPr>
          <w:sz w:val="24"/>
        </w:rPr>
        <w:t>scores,</w:t>
      </w:r>
      <w:r>
        <w:rPr>
          <w:spacing w:val="-4"/>
          <w:sz w:val="24"/>
        </w:rPr>
        <w:t xml:space="preserve"> </w:t>
      </w:r>
      <w:r>
        <w:rPr>
          <w:sz w:val="24"/>
        </w:rPr>
        <w:t>such</w:t>
      </w:r>
      <w:r>
        <w:rPr>
          <w:spacing w:val="-3"/>
          <w:sz w:val="24"/>
        </w:rPr>
        <w:t xml:space="preserve"> </w:t>
      </w:r>
      <w:r>
        <w:rPr>
          <w:sz w:val="24"/>
        </w:rPr>
        <w:t>as</w:t>
      </w:r>
      <w:r>
        <w:rPr>
          <w:spacing w:val="-5"/>
          <w:sz w:val="24"/>
        </w:rPr>
        <w:t xml:space="preserve"> </w:t>
      </w:r>
      <w:r>
        <w:rPr>
          <w:sz w:val="24"/>
        </w:rPr>
        <w:t>the MMR, MAOs must consider a conversion to a raw (unnormalized) score before making other adjustments.</w:t>
      </w:r>
    </w:p>
    <w:p>
      <w:pPr>
        <w:pStyle w:val="ListParagraph"/>
        <w:numPr>
          <w:ilvl w:val="3"/>
          <w:numId w:val="45"/>
        </w:numPr>
        <w:tabs>
          <w:tab w:val="left" w:pos="2664"/>
        </w:tabs>
        <w:spacing w:before="0" w:after="0" w:line="240" w:lineRule="auto"/>
        <w:ind w:left="2664" w:right="1832" w:hanging="360"/>
        <w:jc w:val="left"/>
        <w:rPr>
          <w:sz w:val="24"/>
        </w:rPr>
      </w:pPr>
      <w:r>
        <w:rPr>
          <w:sz w:val="24"/>
        </w:rPr>
        <w:t>Conversion to a raw score includes subtraction of the frailty score, if applicable,</w:t>
      </w:r>
      <w:r>
        <w:rPr>
          <w:spacing w:val="-6"/>
          <w:sz w:val="24"/>
        </w:rPr>
        <w:t xml:space="preserve"> </w:t>
      </w:r>
      <w:r>
        <w:rPr>
          <w:sz w:val="24"/>
        </w:rPr>
        <w:t>and</w:t>
      </w:r>
      <w:r>
        <w:rPr>
          <w:spacing w:val="-6"/>
          <w:sz w:val="24"/>
        </w:rPr>
        <w:t xml:space="preserve"> </w:t>
      </w:r>
      <w:r>
        <w:rPr>
          <w:sz w:val="24"/>
        </w:rPr>
        <w:t>then</w:t>
      </w:r>
      <w:r>
        <w:rPr>
          <w:spacing w:val="-6"/>
          <w:sz w:val="24"/>
        </w:rPr>
        <w:t xml:space="preserve"> </w:t>
      </w:r>
      <w:r>
        <w:rPr>
          <w:sz w:val="24"/>
        </w:rPr>
        <w:t>multiplicative</w:t>
      </w:r>
      <w:r>
        <w:rPr>
          <w:spacing w:val="-7"/>
          <w:sz w:val="24"/>
        </w:rPr>
        <w:t xml:space="preserve"> </w:t>
      </w:r>
      <w:r>
        <w:rPr>
          <w:sz w:val="24"/>
        </w:rPr>
        <w:t>adjustments</w:t>
      </w:r>
      <w:r>
        <w:rPr>
          <w:spacing w:val="-7"/>
          <w:sz w:val="24"/>
        </w:rPr>
        <w:t xml:space="preserve"> </w:t>
      </w:r>
      <w:r>
        <w:rPr>
          <w:sz w:val="24"/>
        </w:rPr>
        <w:t>for</w:t>
      </w:r>
      <w:r>
        <w:rPr>
          <w:spacing w:val="-8"/>
          <w:sz w:val="24"/>
        </w:rPr>
        <w:t xml:space="preserve"> </w:t>
      </w:r>
      <w:r>
        <w:rPr>
          <w:sz w:val="24"/>
        </w:rPr>
        <w:t>normalization</w:t>
      </w:r>
      <w:r>
        <w:rPr>
          <w:spacing w:val="-6"/>
          <w:sz w:val="24"/>
        </w:rPr>
        <w:t xml:space="preserve"> </w:t>
      </w:r>
      <w:r>
        <w:rPr>
          <w:sz w:val="24"/>
        </w:rPr>
        <w:t>and coding intensity.</w:t>
      </w:r>
    </w:p>
    <w:p>
      <w:pPr>
        <w:pStyle w:val="ListParagraph"/>
        <w:numPr>
          <w:ilvl w:val="1"/>
          <w:numId w:val="45"/>
        </w:numPr>
        <w:tabs>
          <w:tab w:val="left" w:pos="1944"/>
        </w:tabs>
        <w:spacing w:before="0" w:after="0" w:line="240" w:lineRule="auto"/>
        <w:ind w:left="1944" w:right="0" w:hanging="360"/>
        <w:jc w:val="left"/>
        <w:rPr>
          <w:sz w:val="24"/>
        </w:rPr>
      </w:pPr>
      <w:r>
        <w:rPr>
          <w:sz w:val="24"/>
        </w:rPr>
        <w:t>Impact</w:t>
      </w:r>
      <w:r>
        <w:rPr>
          <w:spacing w:val="-3"/>
          <w:sz w:val="24"/>
        </w:rPr>
        <w:t xml:space="preserve"> </w:t>
      </w:r>
      <w:r>
        <w:rPr>
          <w:sz w:val="24"/>
        </w:rPr>
        <w:t>of</w:t>
      </w:r>
      <w:r>
        <w:rPr>
          <w:spacing w:val="-3"/>
          <w:sz w:val="24"/>
        </w:rPr>
        <w:t xml:space="preserve"> </w:t>
      </w:r>
      <w:r>
        <w:rPr>
          <w:sz w:val="24"/>
        </w:rPr>
        <w:t>lagged</w:t>
      </w:r>
      <w:r>
        <w:rPr>
          <w:spacing w:val="-3"/>
          <w:sz w:val="24"/>
        </w:rPr>
        <w:t xml:space="preserve"> </w:t>
      </w:r>
      <w:r>
        <w:rPr>
          <w:sz w:val="24"/>
        </w:rPr>
        <w:t>versus</w:t>
      </w:r>
      <w:r>
        <w:rPr>
          <w:spacing w:val="-3"/>
          <w:sz w:val="24"/>
        </w:rPr>
        <w:t xml:space="preserve"> </w:t>
      </w:r>
      <w:r>
        <w:rPr>
          <w:sz w:val="24"/>
        </w:rPr>
        <w:t>non-lagged</w:t>
      </w:r>
      <w:r>
        <w:rPr>
          <w:spacing w:val="-3"/>
          <w:sz w:val="24"/>
        </w:rPr>
        <w:t xml:space="preserve"> </w:t>
      </w:r>
      <w:r>
        <w:rPr>
          <w:sz w:val="24"/>
        </w:rPr>
        <w:t>diagnosis</w:t>
      </w:r>
      <w:r>
        <w:rPr>
          <w:spacing w:val="-3"/>
          <w:sz w:val="24"/>
        </w:rPr>
        <w:t xml:space="preserve"> </w:t>
      </w:r>
      <w:r>
        <w:rPr>
          <w:spacing w:val="-4"/>
          <w:sz w:val="24"/>
        </w:rPr>
        <w:t>data.</w:t>
      </w:r>
    </w:p>
    <w:p>
      <w:pPr>
        <w:pStyle w:val="ListParagraph"/>
        <w:numPr>
          <w:ilvl w:val="2"/>
          <w:numId w:val="45"/>
        </w:numPr>
        <w:tabs>
          <w:tab w:val="left" w:pos="2304"/>
        </w:tabs>
        <w:spacing w:before="0" w:after="0" w:line="240" w:lineRule="auto"/>
        <w:ind w:left="2304" w:right="1727" w:hanging="360"/>
        <w:jc w:val="left"/>
        <w:rPr>
          <w:sz w:val="24"/>
        </w:rPr>
      </w:pPr>
      <w:r>
        <w:rPr>
          <w:sz w:val="24"/>
        </w:rPr>
        <w:t>If</w:t>
      </w:r>
      <w:r>
        <w:rPr>
          <w:spacing w:val="-5"/>
          <w:sz w:val="24"/>
        </w:rPr>
        <w:t xml:space="preserve"> </w:t>
      </w:r>
      <w:r>
        <w:rPr>
          <w:sz w:val="24"/>
        </w:rPr>
        <w:t>the</w:t>
      </w:r>
      <w:r>
        <w:rPr>
          <w:spacing w:val="-3"/>
          <w:sz w:val="24"/>
        </w:rPr>
        <w:t xml:space="preserve"> </w:t>
      </w:r>
      <w:r>
        <w:rPr>
          <w:sz w:val="24"/>
        </w:rPr>
        <w:t>starting</w:t>
      </w:r>
      <w:r>
        <w:rPr>
          <w:spacing w:val="-3"/>
          <w:sz w:val="24"/>
        </w:rPr>
        <w:t xml:space="preserve"> </w:t>
      </w:r>
      <w:r>
        <w:rPr>
          <w:sz w:val="24"/>
        </w:rPr>
        <w:t>risk</w:t>
      </w:r>
      <w:r>
        <w:rPr>
          <w:spacing w:val="-3"/>
          <w:sz w:val="24"/>
        </w:rPr>
        <w:t xml:space="preserve"> </w:t>
      </w:r>
      <w:r>
        <w:rPr>
          <w:sz w:val="24"/>
        </w:rPr>
        <w:t>scores</w:t>
      </w:r>
      <w:r>
        <w:rPr>
          <w:spacing w:val="-1"/>
          <w:sz w:val="24"/>
        </w:rPr>
        <w:t xml:space="preserve"> </w:t>
      </w:r>
      <w:r>
        <w:rPr>
          <w:sz w:val="24"/>
        </w:rPr>
        <w:t>are</w:t>
      </w:r>
      <w:r>
        <w:rPr>
          <w:spacing w:val="-5"/>
          <w:sz w:val="24"/>
        </w:rPr>
        <w:t xml:space="preserve"> </w:t>
      </w:r>
      <w:r>
        <w:rPr>
          <w:sz w:val="24"/>
        </w:rPr>
        <w:t>based</w:t>
      </w:r>
      <w:r>
        <w:rPr>
          <w:spacing w:val="-3"/>
          <w:sz w:val="24"/>
        </w:rPr>
        <w:t xml:space="preserve"> </w:t>
      </w:r>
      <w:r>
        <w:rPr>
          <w:sz w:val="24"/>
        </w:rPr>
        <w:t>on</w:t>
      </w:r>
      <w:r>
        <w:rPr>
          <w:spacing w:val="-3"/>
          <w:sz w:val="24"/>
        </w:rPr>
        <w:t xml:space="preserve"> </w:t>
      </w:r>
      <w:r>
        <w:rPr>
          <w:sz w:val="24"/>
        </w:rPr>
        <w:t>lagged</w:t>
      </w:r>
      <w:r>
        <w:rPr>
          <w:spacing w:val="-3"/>
          <w:sz w:val="24"/>
        </w:rPr>
        <w:t xml:space="preserve"> </w:t>
      </w:r>
      <w:r>
        <w:rPr>
          <w:sz w:val="24"/>
        </w:rPr>
        <w:t>diagnosis</w:t>
      </w:r>
      <w:r>
        <w:rPr>
          <w:spacing w:val="-4"/>
          <w:sz w:val="24"/>
        </w:rPr>
        <w:t xml:space="preserve"> </w:t>
      </w:r>
      <w:r>
        <w:rPr>
          <w:sz w:val="24"/>
        </w:rPr>
        <w:t>data,</w:t>
      </w:r>
      <w:r>
        <w:rPr>
          <w:spacing w:val="-3"/>
          <w:sz w:val="24"/>
        </w:rPr>
        <w:t xml:space="preserve"> </w:t>
      </w:r>
      <w:r>
        <w:rPr>
          <w:sz w:val="24"/>
        </w:rPr>
        <w:t>as</w:t>
      </w:r>
      <w:r>
        <w:rPr>
          <w:spacing w:val="-4"/>
          <w:sz w:val="24"/>
        </w:rPr>
        <w:t xml:space="preserve"> </w:t>
      </w:r>
      <w:r>
        <w:rPr>
          <w:sz w:val="24"/>
        </w:rPr>
        <w:t>is</w:t>
      </w:r>
      <w:r>
        <w:rPr>
          <w:spacing w:val="-1"/>
          <w:sz w:val="24"/>
        </w:rPr>
        <w:t xml:space="preserve"> </w:t>
      </w:r>
      <w:r>
        <w:rPr>
          <w:sz w:val="24"/>
        </w:rPr>
        <w:t>the</w:t>
      </w:r>
      <w:r>
        <w:rPr>
          <w:spacing w:val="-3"/>
          <w:sz w:val="24"/>
        </w:rPr>
        <w:t xml:space="preserve"> </w:t>
      </w:r>
      <w:r>
        <w:rPr>
          <w:sz w:val="24"/>
        </w:rPr>
        <w:t>case for initial risk scores, MAOs must transition the scores from lagged to non-lagged risk scores.</w:t>
      </w:r>
    </w:p>
    <w:p>
      <w:pPr>
        <w:pStyle w:val="ListParagraph"/>
        <w:numPr>
          <w:ilvl w:val="1"/>
          <w:numId w:val="45"/>
        </w:numPr>
        <w:tabs>
          <w:tab w:val="left" w:pos="1944"/>
        </w:tabs>
        <w:spacing w:before="1" w:after="0" w:line="240" w:lineRule="auto"/>
        <w:ind w:left="1944" w:right="0" w:hanging="360"/>
        <w:jc w:val="left"/>
        <w:rPr>
          <w:sz w:val="24"/>
        </w:rPr>
      </w:pPr>
      <w:r>
        <w:rPr>
          <w:spacing w:val="-2"/>
          <w:sz w:val="24"/>
        </w:rPr>
        <w:t>Seasonality.</w:t>
      </w:r>
    </w:p>
    <w:p>
      <w:pPr>
        <w:pStyle w:val="ListParagraph"/>
        <w:numPr>
          <w:ilvl w:val="2"/>
          <w:numId w:val="45"/>
        </w:numPr>
        <w:tabs>
          <w:tab w:val="left" w:pos="2304"/>
        </w:tabs>
        <w:spacing w:before="0" w:after="0" w:line="240" w:lineRule="auto"/>
        <w:ind w:left="2304" w:right="1689" w:hanging="360"/>
        <w:jc w:val="left"/>
        <w:rPr>
          <w:sz w:val="24"/>
        </w:rPr>
      </w:pPr>
      <w:r>
        <w:rPr>
          <w:sz w:val="24"/>
        </w:rPr>
        <w:t>If</w:t>
      </w:r>
      <w:r>
        <w:rPr>
          <w:spacing w:val="-5"/>
          <w:sz w:val="24"/>
        </w:rPr>
        <w:t xml:space="preserve"> </w:t>
      </w:r>
      <w:r>
        <w:rPr>
          <w:sz w:val="24"/>
        </w:rPr>
        <w:t>the</w:t>
      </w:r>
      <w:r>
        <w:rPr>
          <w:spacing w:val="-3"/>
          <w:sz w:val="24"/>
        </w:rPr>
        <w:t xml:space="preserve"> </w:t>
      </w:r>
      <w:r>
        <w:rPr>
          <w:sz w:val="24"/>
        </w:rPr>
        <w:t>starting</w:t>
      </w:r>
      <w:r>
        <w:rPr>
          <w:spacing w:val="-3"/>
          <w:sz w:val="24"/>
        </w:rPr>
        <w:t xml:space="preserve"> </w:t>
      </w:r>
      <w:r>
        <w:rPr>
          <w:sz w:val="24"/>
        </w:rPr>
        <w:t>risk</w:t>
      </w:r>
      <w:r>
        <w:rPr>
          <w:spacing w:val="-3"/>
          <w:sz w:val="24"/>
        </w:rPr>
        <w:t xml:space="preserve"> </w:t>
      </w:r>
      <w:r>
        <w:rPr>
          <w:sz w:val="24"/>
        </w:rPr>
        <w:t>score</w:t>
      </w:r>
      <w:r>
        <w:rPr>
          <w:spacing w:val="-4"/>
          <w:sz w:val="24"/>
        </w:rPr>
        <w:t xml:space="preserve"> </w:t>
      </w:r>
      <w:r>
        <w:rPr>
          <w:sz w:val="24"/>
        </w:rPr>
        <w:t>is</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membership</w:t>
      </w:r>
      <w:r>
        <w:rPr>
          <w:spacing w:val="-3"/>
          <w:sz w:val="24"/>
        </w:rPr>
        <w:t xml:space="preserve"> </w:t>
      </w:r>
      <w:r>
        <w:rPr>
          <w:sz w:val="24"/>
        </w:rPr>
        <w:t>other</w:t>
      </w:r>
      <w:r>
        <w:rPr>
          <w:spacing w:val="-5"/>
          <w:sz w:val="24"/>
        </w:rPr>
        <w:t xml:space="preserve"> </w:t>
      </w:r>
      <w:r>
        <w:rPr>
          <w:sz w:val="24"/>
        </w:rPr>
        <w:t>than</w:t>
      </w:r>
      <w:r>
        <w:rPr>
          <w:spacing w:val="-3"/>
          <w:sz w:val="24"/>
        </w:rPr>
        <w:t xml:space="preserve"> </w:t>
      </w:r>
      <w:r>
        <w:rPr>
          <w:sz w:val="24"/>
        </w:rPr>
        <w:t>the</w:t>
      </w:r>
      <w:r>
        <w:rPr>
          <w:spacing w:val="-4"/>
          <w:sz w:val="24"/>
        </w:rPr>
        <w:t xml:space="preserve"> </w:t>
      </w:r>
      <w:r>
        <w:rPr>
          <w:sz w:val="24"/>
        </w:rPr>
        <w:t>July</w:t>
      </w:r>
      <w:r>
        <w:rPr>
          <w:spacing w:val="-3"/>
          <w:sz w:val="24"/>
        </w:rPr>
        <w:t xml:space="preserve"> </w:t>
      </w:r>
      <w:r>
        <w:rPr>
          <w:sz w:val="24"/>
        </w:rPr>
        <w:t>cohort or a full calendar-year cohort, then MAOs must make an adjustment for enrollment seasonality.</w:t>
      </w:r>
    </w:p>
    <w:p>
      <w:pPr>
        <w:pStyle w:val="ListParagraph"/>
        <w:numPr>
          <w:ilvl w:val="1"/>
          <w:numId w:val="45"/>
        </w:numPr>
        <w:tabs>
          <w:tab w:val="left" w:pos="1944"/>
        </w:tabs>
        <w:spacing w:before="0" w:after="0" w:line="240" w:lineRule="auto"/>
        <w:ind w:left="1944" w:right="0" w:hanging="360"/>
        <w:jc w:val="left"/>
        <w:rPr>
          <w:sz w:val="24"/>
        </w:rPr>
      </w:pPr>
      <w:r>
        <w:rPr>
          <w:sz w:val="24"/>
        </w:rPr>
        <w:t xml:space="preserve">Risk model </w:t>
      </w:r>
      <w:r>
        <w:rPr>
          <w:spacing w:val="-2"/>
          <w:sz w:val="24"/>
        </w:rPr>
        <w:t>change.</w:t>
      </w:r>
    </w:p>
    <w:p>
      <w:pPr>
        <w:pStyle w:val="ListParagraph"/>
        <w:numPr>
          <w:ilvl w:val="2"/>
          <w:numId w:val="45"/>
        </w:numPr>
        <w:tabs>
          <w:tab w:val="left" w:pos="2304"/>
        </w:tabs>
        <w:spacing w:before="0" w:after="0" w:line="240" w:lineRule="auto"/>
        <w:ind w:left="2304" w:right="1919" w:hanging="360"/>
        <w:jc w:val="left"/>
        <w:rPr>
          <w:sz w:val="24"/>
        </w:rPr>
      </w:pPr>
      <w:r>
        <w:rPr>
          <w:sz w:val="24"/>
        </w:rPr>
        <w:t>This includes the use of a different model in the data source versus the projection</w:t>
      </w:r>
      <w:r>
        <w:rPr>
          <w:spacing w:val="-4"/>
          <w:sz w:val="24"/>
        </w:rPr>
        <w:t xml:space="preserve"> </w:t>
      </w:r>
      <w:r>
        <w:rPr>
          <w:sz w:val="24"/>
        </w:rPr>
        <w:t>year</w:t>
      </w:r>
      <w:r>
        <w:rPr>
          <w:spacing w:val="-4"/>
          <w:sz w:val="24"/>
        </w:rPr>
        <w:t xml:space="preserve"> </w:t>
      </w:r>
      <w:r>
        <w:rPr>
          <w:sz w:val="24"/>
        </w:rPr>
        <w:t>and</w:t>
      </w:r>
      <w:r>
        <w:rPr>
          <w:spacing w:val="-4"/>
          <w:sz w:val="24"/>
        </w:rPr>
        <w:t xml:space="preserve"> </w:t>
      </w:r>
      <w:r>
        <w:rPr>
          <w:sz w:val="24"/>
        </w:rPr>
        <w:t>differences</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diagnoses</w:t>
      </w:r>
      <w:r>
        <w:rPr>
          <w:spacing w:val="-5"/>
          <w:sz w:val="24"/>
        </w:rPr>
        <w:t xml:space="preserve"> </w:t>
      </w:r>
      <w:r>
        <w:rPr>
          <w:sz w:val="24"/>
        </w:rPr>
        <w:t>included</w:t>
      </w:r>
      <w:r>
        <w:rPr>
          <w:spacing w:val="-4"/>
          <w:sz w:val="24"/>
        </w:rPr>
        <w:t xml:space="preserve"> </w:t>
      </w:r>
      <w:r>
        <w:rPr>
          <w:sz w:val="24"/>
        </w:rPr>
        <w:t>in</w:t>
      </w:r>
      <w:r>
        <w:rPr>
          <w:spacing w:val="-4"/>
          <w:sz w:val="24"/>
        </w:rPr>
        <w:t xml:space="preserve"> </w:t>
      </w:r>
      <w:r>
        <w:rPr>
          <w:sz w:val="24"/>
        </w:rPr>
        <w:t>each</w:t>
      </w:r>
      <w:r>
        <w:rPr>
          <w:spacing w:val="-4"/>
          <w:sz w:val="24"/>
        </w:rPr>
        <w:t xml:space="preserve"> </w:t>
      </w:r>
      <w:r>
        <w:rPr>
          <w:sz w:val="24"/>
        </w:rPr>
        <w:t>model.</w:t>
      </w:r>
    </w:p>
    <w:p>
      <w:pPr>
        <w:pStyle w:val="ListParagraph"/>
        <w:numPr>
          <w:ilvl w:val="1"/>
          <w:numId w:val="45"/>
        </w:numPr>
        <w:tabs>
          <w:tab w:val="left" w:pos="1944"/>
        </w:tabs>
        <w:spacing w:before="0" w:after="0" w:line="240" w:lineRule="auto"/>
        <w:ind w:left="1944" w:right="2051" w:hanging="360"/>
        <w:jc w:val="both"/>
        <w:rPr>
          <w:sz w:val="24"/>
        </w:rPr>
      </w:pPr>
      <w:r>
        <w:rPr>
          <w:sz w:val="24"/>
        </w:rPr>
        <w:t>Impact</w:t>
      </w:r>
      <w:r>
        <w:rPr>
          <w:spacing w:val="-1"/>
          <w:sz w:val="24"/>
        </w:rPr>
        <w:t xml:space="preserve"> </w:t>
      </w:r>
      <w:r>
        <w:rPr>
          <w:sz w:val="24"/>
        </w:rPr>
        <w:t>of</w:t>
      </w:r>
      <w:r>
        <w:rPr>
          <w:spacing w:val="-1"/>
          <w:sz w:val="24"/>
        </w:rPr>
        <w:t xml:space="preserve"> </w:t>
      </w:r>
      <w:r>
        <w:rPr>
          <w:sz w:val="24"/>
        </w:rPr>
        <w:t>changes</w:t>
      </w:r>
      <w:r>
        <w:rPr>
          <w:spacing w:val="-2"/>
          <w:sz w:val="24"/>
        </w:rPr>
        <w:t xml:space="preserve"> </w:t>
      </w:r>
      <w:r>
        <w:rPr>
          <w:sz w:val="24"/>
        </w:rPr>
        <w:t>to</w:t>
      </w:r>
      <w:r>
        <w:rPr>
          <w:spacing w:val="-1"/>
          <w:sz w:val="24"/>
        </w:rPr>
        <w:t xml:space="preserve"> </w:t>
      </w:r>
      <w:r>
        <w:rPr>
          <w:sz w:val="24"/>
        </w:rPr>
        <w:t>diagnosis</w:t>
      </w:r>
      <w:r>
        <w:rPr>
          <w:spacing w:val="-2"/>
          <w:sz w:val="24"/>
        </w:rPr>
        <w:t xml:space="preserve"> </w:t>
      </w:r>
      <w:r>
        <w:rPr>
          <w:sz w:val="24"/>
        </w:rPr>
        <w:t>data</w:t>
      </w:r>
      <w:r>
        <w:rPr>
          <w:spacing w:val="-1"/>
          <w:sz w:val="24"/>
        </w:rPr>
        <w:t xml:space="preserve"> </w:t>
      </w:r>
      <w:r>
        <w:rPr>
          <w:sz w:val="24"/>
        </w:rPr>
        <w:t>sources and weights</w:t>
      </w:r>
      <w:r>
        <w:rPr>
          <w:spacing w:val="-2"/>
          <w:sz w:val="24"/>
        </w:rPr>
        <w:t xml:space="preserve"> </w:t>
      </w:r>
      <w:r>
        <w:rPr>
          <w:sz w:val="24"/>
        </w:rPr>
        <w:t>between</w:t>
      </w:r>
      <w:r>
        <w:rPr>
          <w:spacing w:val="-1"/>
          <w:sz w:val="24"/>
        </w:rPr>
        <w:t xml:space="preserve"> </w:t>
      </w:r>
      <w:r>
        <w:rPr>
          <w:sz w:val="24"/>
        </w:rPr>
        <w:t>the</w:t>
      </w:r>
      <w:r>
        <w:rPr>
          <w:spacing w:val="-1"/>
          <w:sz w:val="24"/>
        </w:rPr>
        <w:t xml:space="preserve"> </w:t>
      </w:r>
      <w:r>
        <w:rPr>
          <w:sz w:val="24"/>
        </w:rPr>
        <w:t>time period</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data</w:t>
      </w:r>
      <w:r>
        <w:rPr>
          <w:spacing w:val="-4"/>
          <w:sz w:val="24"/>
        </w:rPr>
        <w:t xml:space="preserve"> </w:t>
      </w:r>
      <w:r>
        <w:rPr>
          <w:sz w:val="24"/>
        </w:rPr>
        <w:t>source</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contract</w:t>
      </w:r>
      <w:r>
        <w:rPr>
          <w:spacing w:val="-3"/>
          <w:sz w:val="24"/>
        </w:rPr>
        <w:t xml:space="preserve"> </w:t>
      </w:r>
      <w:r>
        <w:rPr>
          <w:sz w:val="24"/>
        </w:rPr>
        <w:t>year.</w:t>
      </w:r>
      <w:r>
        <w:rPr>
          <w:spacing w:val="-3"/>
          <w:sz w:val="24"/>
        </w:rPr>
        <w:t xml:space="preserve"> </w:t>
      </w:r>
      <w:r>
        <w:rPr>
          <w:sz w:val="24"/>
        </w:rPr>
        <w:t>Examples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3"/>
          <w:sz w:val="24"/>
        </w:rPr>
        <w:t xml:space="preserve"> </w:t>
      </w:r>
      <w:r>
        <w:rPr>
          <w:sz w:val="24"/>
        </w:rPr>
        <w:t>this factor include adjustments for—</w:t>
      </w:r>
    </w:p>
    <w:p>
      <w:pPr>
        <w:pStyle w:val="ListParagraph"/>
        <w:numPr>
          <w:ilvl w:val="2"/>
          <w:numId w:val="45"/>
        </w:numPr>
        <w:tabs>
          <w:tab w:val="left" w:pos="2304"/>
        </w:tabs>
        <w:spacing w:before="0" w:after="0" w:line="240" w:lineRule="auto"/>
        <w:ind w:left="2304" w:right="1481" w:hanging="360"/>
        <w:jc w:val="both"/>
        <w:rPr>
          <w:sz w:val="24"/>
        </w:rPr>
      </w:pPr>
      <w:r>
        <w:rPr>
          <w:sz w:val="24"/>
        </w:rPr>
        <w:t>The</w:t>
      </w:r>
      <w:r>
        <w:rPr>
          <w:spacing w:val="-5"/>
          <w:sz w:val="24"/>
        </w:rPr>
        <w:t xml:space="preserve"> </w:t>
      </w:r>
      <w:r>
        <w:rPr>
          <w:sz w:val="24"/>
        </w:rPr>
        <w:t>transition</w:t>
      </w:r>
      <w:r>
        <w:rPr>
          <w:spacing w:val="-3"/>
          <w:sz w:val="24"/>
        </w:rPr>
        <w:t xml:space="preserve"> </w:t>
      </w:r>
      <w:r>
        <w:rPr>
          <w:sz w:val="24"/>
        </w:rPr>
        <w:t>of</w:t>
      </w:r>
      <w:r>
        <w:rPr>
          <w:spacing w:val="-3"/>
          <w:sz w:val="24"/>
        </w:rPr>
        <w:t xml:space="preserve"> </w:t>
      </w:r>
      <w:r>
        <w:rPr>
          <w:sz w:val="24"/>
        </w:rPr>
        <w:t>starting</w:t>
      </w:r>
      <w:r>
        <w:rPr>
          <w:spacing w:val="-1"/>
          <w:sz w:val="24"/>
        </w:rPr>
        <w:t xml:space="preserve"> </w:t>
      </w:r>
      <w:r>
        <w:rPr>
          <w:sz w:val="24"/>
        </w:rPr>
        <w:t>risk</w:t>
      </w:r>
      <w:r>
        <w:rPr>
          <w:spacing w:val="-3"/>
          <w:sz w:val="24"/>
        </w:rPr>
        <w:t xml:space="preserve"> </w:t>
      </w:r>
      <w:r>
        <w:rPr>
          <w:sz w:val="24"/>
        </w:rPr>
        <w:t>scores</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MMR</w:t>
      </w:r>
      <w:r>
        <w:rPr>
          <w:spacing w:val="-3"/>
          <w:sz w:val="24"/>
        </w:rPr>
        <w:t xml:space="preserve"> </w:t>
      </w:r>
      <w:r>
        <w:rPr>
          <w:sz w:val="24"/>
        </w:rPr>
        <w:t>data</w:t>
      </w:r>
      <w:r>
        <w:rPr>
          <w:spacing w:val="-3"/>
          <w:sz w:val="24"/>
        </w:rPr>
        <w:t xml:space="preserve"> </w:t>
      </w:r>
      <w:r>
        <w:rPr>
          <w:sz w:val="24"/>
        </w:rPr>
        <w:t>from</w:t>
      </w:r>
      <w:r>
        <w:rPr>
          <w:spacing w:val="-3"/>
          <w:sz w:val="24"/>
        </w:rPr>
        <w:t xml:space="preserve"> </w:t>
      </w:r>
      <w:r>
        <w:rPr>
          <w:sz w:val="24"/>
        </w:rPr>
        <w:t>incomplete</w:t>
      </w:r>
      <w:r>
        <w:rPr>
          <w:spacing w:val="-5"/>
          <w:sz w:val="24"/>
        </w:rPr>
        <w:t xml:space="preserve"> </w:t>
      </w:r>
      <w:r>
        <w:rPr>
          <w:sz w:val="24"/>
        </w:rPr>
        <w:t>to final diagnosis data.</w:t>
      </w:r>
    </w:p>
    <w:p>
      <w:pPr>
        <w:pStyle w:val="ListParagraph"/>
        <w:numPr>
          <w:ilvl w:val="2"/>
          <w:numId w:val="45"/>
        </w:numPr>
        <w:tabs>
          <w:tab w:val="left" w:pos="2303"/>
        </w:tabs>
        <w:spacing w:before="1" w:after="0" w:line="240" w:lineRule="auto"/>
        <w:ind w:left="2303" w:right="0" w:hanging="359"/>
        <w:jc w:val="both"/>
        <w:rPr>
          <w:sz w:val="24"/>
        </w:rPr>
      </w:pPr>
      <w:r>
        <w:rPr>
          <w:sz w:val="24"/>
        </w:rPr>
        <w:t>An</w:t>
      </w:r>
      <w:r>
        <w:rPr>
          <w:spacing w:val="-1"/>
          <w:sz w:val="24"/>
        </w:rPr>
        <w:t xml:space="preserve"> </w:t>
      </w:r>
      <w:r>
        <w:rPr>
          <w:sz w:val="24"/>
        </w:rPr>
        <w:t>estimate</w:t>
      </w:r>
      <w:r>
        <w:rPr>
          <w:spacing w:val="-1"/>
          <w:sz w:val="24"/>
        </w:rPr>
        <w:t xml:space="preserve"> </w:t>
      </w:r>
      <w:r>
        <w:rPr>
          <w:sz w:val="24"/>
        </w:rPr>
        <w:t>of the</w:t>
      </w:r>
      <w:r>
        <w:rPr>
          <w:spacing w:val="-3"/>
          <w:sz w:val="24"/>
        </w:rPr>
        <w:t xml:space="preserve"> </w:t>
      </w:r>
      <w:r>
        <w:rPr>
          <w:sz w:val="24"/>
        </w:rPr>
        <w:t>impact of the</w:t>
      </w:r>
      <w:r>
        <w:rPr>
          <w:spacing w:val="-2"/>
          <w:sz w:val="24"/>
        </w:rPr>
        <w:t xml:space="preserve"> </w:t>
      </w:r>
      <w:r>
        <w:rPr>
          <w:sz w:val="24"/>
        </w:rPr>
        <w:t>final risk score</w:t>
      </w:r>
      <w:r>
        <w:rPr>
          <w:spacing w:val="-1"/>
          <w:sz w:val="24"/>
        </w:rPr>
        <w:t xml:space="preserve"> </w:t>
      </w:r>
      <w:r>
        <w:rPr>
          <w:spacing w:val="-2"/>
          <w:sz w:val="24"/>
        </w:rPr>
        <w:t>reconciliation.</w:t>
      </w:r>
    </w:p>
    <w:p>
      <w:pPr>
        <w:pStyle w:val="BodyText"/>
        <w:spacing w:before="120"/>
        <w:ind w:left="1224" w:right="1481"/>
      </w:pPr>
      <w:r>
        <w:t>Once projected to the contract year, the risk scores must reflect the CY2027 MA normalization</w:t>
      </w:r>
      <w:r>
        <w:rPr>
          <w:spacing w:val="-4"/>
        </w:rPr>
        <w:t xml:space="preserve"> </w:t>
      </w:r>
      <w:r>
        <w:t>factor(s),</w:t>
      </w:r>
      <w:r>
        <w:rPr>
          <w:spacing w:val="-4"/>
        </w:rPr>
        <w:t xml:space="preserve"> </w:t>
      </w:r>
      <w:r>
        <w:t>the</w:t>
      </w:r>
      <w:r>
        <w:rPr>
          <w:spacing w:val="-5"/>
        </w:rPr>
        <w:t xml:space="preserve"> </w:t>
      </w:r>
      <w:r>
        <w:t>MA</w:t>
      </w:r>
      <w:r>
        <w:rPr>
          <w:spacing w:val="-5"/>
        </w:rPr>
        <w:t xml:space="preserve"> </w:t>
      </w:r>
      <w:r>
        <w:t>coding</w:t>
      </w:r>
      <w:r>
        <w:rPr>
          <w:spacing w:val="-4"/>
        </w:rPr>
        <w:t xml:space="preserve"> </w:t>
      </w:r>
      <w:r>
        <w:t>pattern</w:t>
      </w:r>
      <w:r>
        <w:rPr>
          <w:spacing w:val="-2"/>
        </w:rPr>
        <w:t xml:space="preserve"> </w:t>
      </w:r>
      <w:r>
        <w:t>adjustment</w:t>
      </w:r>
      <w:r>
        <w:rPr>
          <w:spacing w:val="-4"/>
        </w:rPr>
        <w:t xml:space="preserve"> </w:t>
      </w:r>
      <w:r>
        <w:t>factor,</w:t>
      </w:r>
      <w:r>
        <w:rPr>
          <w:spacing w:val="-4"/>
        </w:rPr>
        <w:t xml:space="preserve"> </w:t>
      </w:r>
      <w:r>
        <w:t>and</w:t>
      </w:r>
      <w:r>
        <w:rPr>
          <w:spacing w:val="-4"/>
        </w:rPr>
        <w:t xml:space="preserve"> </w:t>
      </w:r>
      <w:r>
        <w:t>the</w:t>
      </w:r>
      <w:r>
        <w:rPr>
          <w:spacing w:val="-3"/>
        </w:rPr>
        <w:t xml:space="preserve"> </w:t>
      </w:r>
      <w:r>
        <w:t>frailty</w:t>
      </w:r>
      <w:r>
        <w:rPr>
          <w:spacing w:val="-4"/>
        </w:rPr>
        <w:t xml:space="preserve"> </w:t>
      </w:r>
      <w:r>
        <w:t>factor, if applicable. Note that, if a raw (unnormalized) risk score associated with a different model calibration year is being normalized, the CY2027 MA normalization factor(s) is not the appropriate normalization factor.</w:t>
      </w:r>
    </w:p>
    <w:p>
      <w:pPr>
        <w:spacing w:before="240"/>
        <w:ind w:left="1224" w:right="0" w:firstLine="0"/>
        <w:jc w:val="left"/>
        <w:rPr>
          <w:rFonts w:ascii="Arial"/>
          <w:b/>
          <w:i/>
          <w:sz w:val="21"/>
        </w:rPr>
      </w:pPr>
      <w:bookmarkStart w:id="100" w:name="Risk Adjustment Information Sources"/>
      <w:bookmarkEnd w:id="100"/>
      <w:r>
        <w:rPr>
          <w:rFonts w:ascii="Arial"/>
          <w:b/>
          <w:i/>
          <w:sz w:val="21"/>
        </w:rPr>
        <w:t>Risk</w:t>
      </w:r>
      <w:r>
        <w:rPr>
          <w:rFonts w:ascii="Arial"/>
          <w:b/>
          <w:i/>
          <w:spacing w:val="-12"/>
          <w:sz w:val="21"/>
        </w:rPr>
        <w:t xml:space="preserve"> </w:t>
      </w:r>
      <w:r>
        <w:rPr>
          <w:rFonts w:ascii="Arial"/>
          <w:b/>
          <w:i/>
          <w:sz w:val="21"/>
        </w:rPr>
        <w:t>Adjustment</w:t>
      </w:r>
      <w:r>
        <w:rPr>
          <w:rFonts w:ascii="Arial"/>
          <w:b/>
          <w:i/>
          <w:spacing w:val="-9"/>
          <w:sz w:val="21"/>
        </w:rPr>
        <w:t xml:space="preserve"> </w:t>
      </w:r>
      <w:r>
        <w:rPr>
          <w:rFonts w:ascii="Arial"/>
          <w:b/>
          <w:i/>
          <w:sz w:val="21"/>
        </w:rPr>
        <w:t>Information</w:t>
      </w:r>
      <w:r>
        <w:rPr>
          <w:rFonts w:ascii="Arial"/>
          <w:b/>
          <w:i/>
          <w:spacing w:val="-8"/>
          <w:sz w:val="21"/>
        </w:rPr>
        <w:t xml:space="preserve"> </w:t>
      </w:r>
      <w:r>
        <w:rPr>
          <w:rFonts w:ascii="Arial"/>
          <w:b/>
          <w:i/>
          <w:spacing w:val="-2"/>
          <w:sz w:val="21"/>
        </w:rPr>
        <w:t>Sources</w:t>
      </w:r>
    </w:p>
    <w:p>
      <w:pPr>
        <w:pStyle w:val="BodyText"/>
        <w:spacing w:before="118"/>
        <w:ind w:left="1224" w:right="1481"/>
      </w:pPr>
      <w:r>
        <w:t>The</w:t>
      </w:r>
      <w:r>
        <w:rPr>
          <w:spacing w:val="-6"/>
        </w:rPr>
        <w:t xml:space="preserve"> </w:t>
      </w:r>
      <w:r>
        <w:t>following</w:t>
      </w:r>
      <w:r>
        <w:rPr>
          <w:spacing w:val="-4"/>
        </w:rPr>
        <w:t xml:space="preserve"> </w:t>
      </w:r>
      <w:r>
        <w:t>resources</w:t>
      </w:r>
      <w:r>
        <w:rPr>
          <w:spacing w:val="-2"/>
        </w:rPr>
        <w:t xml:space="preserve"> </w:t>
      </w:r>
      <w:r>
        <w:t>provide</w:t>
      </w:r>
      <w:r>
        <w:rPr>
          <w:spacing w:val="-6"/>
        </w:rPr>
        <w:t xml:space="preserve"> </w:t>
      </w:r>
      <w:r>
        <w:t>information</w:t>
      </w:r>
      <w:r>
        <w:rPr>
          <w:spacing w:val="-4"/>
        </w:rPr>
        <w:t xml:space="preserve"> </w:t>
      </w:r>
      <w:r>
        <w:t>on</w:t>
      </w:r>
      <w:r>
        <w:rPr>
          <w:spacing w:val="-4"/>
        </w:rPr>
        <w:t xml:space="preserve"> </w:t>
      </w:r>
      <w:r>
        <w:t>the</w:t>
      </w:r>
      <w:r>
        <w:rPr>
          <w:spacing w:val="-5"/>
        </w:rPr>
        <w:t xml:space="preserve"> </w:t>
      </w:r>
      <w:r>
        <w:t>development</w:t>
      </w:r>
      <w:r>
        <w:rPr>
          <w:spacing w:val="-4"/>
        </w:rPr>
        <w:t xml:space="preserve"> </w:t>
      </w:r>
      <w:r>
        <w:t>of</w:t>
      </w:r>
      <w:r>
        <w:rPr>
          <w:spacing w:val="-4"/>
        </w:rPr>
        <w:t xml:space="preserve"> </w:t>
      </w:r>
      <w:r>
        <w:t>projected</w:t>
      </w:r>
      <w:r>
        <w:rPr>
          <w:spacing w:val="-4"/>
        </w:rPr>
        <w:t xml:space="preserve"> </w:t>
      </w:r>
      <w:r>
        <w:t>CY2027 risk scores:</w:t>
      </w:r>
    </w:p>
    <w:p>
      <w:pPr>
        <w:pStyle w:val="ListParagraph"/>
        <w:numPr>
          <w:ilvl w:val="1"/>
          <w:numId w:val="45"/>
        </w:numPr>
        <w:tabs>
          <w:tab w:val="left" w:pos="1944"/>
        </w:tabs>
        <w:spacing w:before="120" w:after="0" w:line="240" w:lineRule="auto"/>
        <w:ind w:left="1944" w:right="1812" w:hanging="360"/>
        <w:jc w:val="left"/>
        <w:rPr>
          <w:sz w:val="24"/>
        </w:rPr>
      </w:pPr>
      <w:r>
        <w:rPr>
          <w:sz w:val="24"/>
        </w:rPr>
        <w:t xml:space="preserve">The CY2027 Advance Notices and Announcement can be found at </w:t>
      </w:r>
      <w:hyperlink r:id="rId8">
        <w:r>
          <w:rPr>
            <w:color w:val="0000FF"/>
            <w:spacing w:val="-2"/>
            <w:sz w:val="24"/>
            <w:u w:val="single" w:color="0000FF"/>
          </w:rPr>
          <w:t>https://www.cms.gov/medicare/payment/medicare-advantage-rates-statistics/</w:t>
        </w:r>
      </w:hyperlink>
      <w:r>
        <w:rPr>
          <w:color w:val="0000FF"/>
          <w:spacing w:val="-2"/>
          <w:sz w:val="24"/>
          <w:u w:val="none"/>
        </w:rPr>
        <w:t xml:space="preserve"> </w:t>
      </w:r>
      <w:hyperlink r:id="rId8">
        <w:r>
          <w:rPr>
            <w:color w:val="0000FF"/>
            <w:spacing w:val="-2"/>
            <w:sz w:val="24"/>
            <w:u w:val="single" w:color="0000FF"/>
          </w:rPr>
          <w:t>announcements-and-documents</w:t>
        </w:r>
      </w:hyperlink>
      <w:r>
        <w:rPr>
          <w:spacing w:val="-2"/>
          <w:sz w:val="24"/>
          <w:u w:val="none"/>
        </w:rPr>
        <w:t>.</w:t>
      </w:r>
    </w:p>
    <w:p>
      <w:pPr>
        <w:pStyle w:val="ListParagraph"/>
        <w:numPr>
          <w:ilvl w:val="1"/>
          <w:numId w:val="45"/>
        </w:numPr>
        <w:tabs>
          <w:tab w:val="left" w:pos="1944"/>
        </w:tabs>
        <w:spacing w:before="1" w:after="0" w:line="240" w:lineRule="auto"/>
        <w:ind w:left="1944" w:right="2020" w:hanging="360"/>
        <w:jc w:val="both"/>
        <w:rPr>
          <w:sz w:val="24"/>
        </w:rPr>
      </w:pPr>
      <w:r>
        <w:rPr>
          <w:sz w:val="24"/>
        </w:rPr>
        <w:t>Bid-level data and technical notes are available after the publication of the CY2027</w:t>
      </w:r>
      <w:r>
        <w:rPr>
          <w:spacing w:val="-5"/>
          <w:sz w:val="24"/>
        </w:rPr>
        <w:t xml:space="preserve"> </w:t>
      </w:r>
      <w:r>
        <w:rPr>
          <w:sz w:val="24"/>
        </w:rPr>
        <w:t>Announcement</w:t>
      </w:r>
      <w:r>
        <w:rPr>
          <w:spacing w:val="-3"/>
          <w:sz w:val="24"/>
        </w:rPr>
        <w:t xml:space="preserve"> </w:t>
      </w:r>
      <w:r>
        <w:rPr>
          <w:sz w:val="24"/>
        </w:rPr>
        <w:t>through</w:t>
      </w:r>
      <w:r>
        <w:rPr>
          <w:spacing w:val="-5"/>
          <w:sz w:val="24"/>
        </w:rPr>
        <w:t xml:space="preserve"> </w:t>
      </w:r>
      <w:r>
        <w:rPr>
          <w:sz w:val="24"/>
        </w:rPr>
        <w:t>the</w:t>
      </w:r>
      <w:r>
        <w:rPr>
          <w:spacing w:val="-5"/>
          <w:sz w:val="24"/>
        </w:rPr>
        <w:t xml:space="preserve"> </w:t>
      </w:r>
      <w:r>
        <w:rPr>
          <w:sz w:val="24"/>
        </w:rPr>
        <w:t>“Risk</w:t>
      </w:r>
      <w:r>
        <w:rPr>
          <w:spacing w:val="-5"/>
          <w:sz w:val="24"/>
        </w:rPr>
        <w:t xml:space="preserve"> </w:t>
      </w:r>
      <w:r>
        <w:rPr>
          <w:sz w:val="24"/>
        </w:rPr>
        <w:t>Adjustment”</w:t>
      </w:r>
      <w:r>
        <w:rPr>
          <w:spacing w:val="-5"/>
          <w:sz w:val="24"/>
        </w:rPr>
        <w:t xml:space="preserve"> </w:t>
      </w:r>
      <w:r>
        <w:rPr>
          <w:sz w:val="24"/>
        </w:rPr>
        <w:t>link</w:t>
      </w:r>
      <w:r>
        <w:rPr>
          <w:spacing w:val="-5"/>
          <w:sz w:val="24"/>
        </w:rPr>
        <w:t xml:space="preserve"> </w:t>
      </w:r>
      <w:r>
        <w:rPr>
          <w:sz w:val="24"/>
        </w:rPr>
        <w:t>on</w:t>
      </w:r>
      <w:r>
        <w:rPr>
          <w:spacing w:val="-5"/>
          <w:sz w:val="24"/>
        </w:rPr>
        <w:t xml:space="preserve"> </w:t>
      </w:r>
      <w:r>
        <w:rPr>
          <w:sz w:val="24"/>
        </w:rPr>
        <w:t>the</w:t>
      </w:r>
      <w:r>
        <w:rPr>
          <w:spacing w:val="-6"/>
          <w:sz w:val="24"/>
        </w:rPr>
        <w:t xml:space="preserve"> </w:t>
      </w:r>
      <w:r>
        <w:rPr>
          <w:sz w:val="24"/>
        </w:rPr>
        <w:t>HPMS Home page.</w:t>
      </w:r>
    </w:p>
    <w:p>
      <w:pPr>
        <w:pStyle w:val="ListParagraph"/>
        <w:numPr>
          <w:ilvl w:val="1"/>
          <w:numId w:val="45"/>
        </w:numPr>
        <w:tabs>
          <w:tab w:val="left" w:pos="1944"/>
        </w:tabs>
        <w:spacing w:before="0" w:after="0" w:line="240" w:lineRule="auto"/>
        <w:ind w:left="1944" w:right="1551" w:hanging="360"/>
        <w:jc w:val="both"/>
        <w:rPr>
          <w:sz w:val="24"/>
        </w:rPr>
      </w:pPr>
      <w:r>
        <w:rPr>
          <w:sz w:val="24"/>
        </w:rPr>
        <w:t>Beneficiary-level</w:t>
      </w:r>
      <w:r>
        <w:rPr>
          <w:spacing w:val="-5"/>
          <w:sz w:val="24"/>
        </w:rPr>
        <w:t xml:space="preserve"> </w:t>
      </w:r>
      <w:r>
        <w:rPr>
          <w:sz w:val="24"/>
        </w:rPr>
        <w:t>files</w:t>
      </w:r>
      <w:r>
        <w:rPr>
          <w:spacing w:val="-3"/>
          <w:sz w:val="24"/>
        </w:rPr>
        <w:t xml:space="preserve"> </w:t>
      </w:r>
      <w:r>
        <w:rPr>
          <w:sz w:val="24"/>
        </w:rPr>
        <w:t>and</w:t>
      </w:r>
      <w:r>
        <w:rPr>
          <w:spacing w:val="-5"/>
          <w:sz w:val="24"/>
        </w:rPr>
        <w:t xml:space="preserve"> </w:t>
      </w:r>
      <w:r>
        <w:rPr>
          <w:sz w:val="24"/>
        </w:rPr>
        <w:t>technical</w:t>
      </w:r>
      <w:r>
        <w:rPr>
          <w:spacing w:val="-5"/>
          <w:sz w:val="24"/>
        </w:rPr>
        <w:t xml:space="preserve"> </w:t>
      </w:r>
      <w:r>
        <w:rPr>
          <w:sz w:val="24"/>
        </w:rPr>
        <w:t>notes</w:t>
      </w:r>
      <w:r>
        <w:rPr>
          <w:spacing w:val="-4"/>
          <w:sz w:val="24"/>
        </w:rPr>
        <w:t xml:space="preserve"> </w:t>
      </w:r>
      <w:r>
        <w:rPr>
          <w:sz w:val="24"/>
        </w:rPr>
        <w:t>are</w:t>
      </w:r>
      <w:r>
        <w:rPr>
          <w:spacing w:val="-6"/>
          <w:sz w:val="24"/>
        </w:rPr>
        <w:t xml:space="preserve"> </w:t>
      </w:r>
      <w:r>
        <w:rPr>
          <w:sz w:val="24"/>
        </w:rPr>
        <w:t>sent</w:t>
      </w:r>
      <w:r>
        <w:rPr>
          <w:spacing w:val="-3"/>
          <w:sz w:val="24"/>
        </w:rPr>
        <w:t xml:space="preserve"> </w:t>
      </w:r>
      <w:r>
        <w:rPr>
          <w:sz w:val="24"/>
        </w:rPr>
        <w:t>to</w:t>
      </w:r>
      <w:r>
        <w:rPr>
          <w:spacing w:val="-5"/>
          <w:sz w:val="24"/>
        </w:rPr>
        <w:t xml:space="preserve"> </w:t>
      </w:r>
      <w:r>
        <w:rPr>
          <w:sz w:val="24"/>
        </w:rPr>
        <w:t>MAOs</w:t>
      </w:r>
      <w:r>
        <w:rPr>
          <w:spacing w:val="-5"/>
          <w:sz w:val="24"/>
        </w:rPr>
        <w:t xml:space="preserve"> </w:t>
      </w:r>
      <w:r>
        <w:rPr>
          <w:sz w:val="24"/>
        </w:rPr>
        <w:t>electronically</w:t>
      </w:r>
      <w:r>
        <w:rPr>
          <w:spacing w:val="-5"/>
          <w:sz w:val="24"/>
        </w:rPr>
        <w:t xml:space="preserve"> </w:t>
      </w:r>
      <w:r>
        <w:rPr>
          <w:sz w:val="24"/>
        </w:rPr>
        <w:t>after the publication of the CY2027 Announcement.</w:t>
      </w:r>
    </w:p>
    <w:p>
      <w:pPr>
        <w:pStyle w:val="ListParagraph"/>
        <w:numPr>
          <w:ilvl w:val="1"/>
          <w:numId w:val="45"/>
        </w:numPr>
        <w:tabs>
          <w:tab w:val="left" w:pos="1943"/>
        </w:tabs>
        <w:spacing w:before="0" w:after="0" w:line="240" w:lineRule="auto"/>
        <w:ind w:left="1943" w:right="0" w:hanging="359"/>
        <w:jc w:val="both"/>
        <w:rPr>
          <w:sz w:val="24"/>
        </w:rPr>
      </w:pPr>
      <w:r>
        <w:rPr>
          <w:sz w:val="24"/>
        </w:rPr>
        <w:t>Additional</w:t>
      </w:r>
      <w:r>
        <w:rPr>
          <w:spacing w:val="-4"/>
          <w:sz w:val="24"/>
        </w:rPr>
        <w:t xml:space="preserve"> </w:t>
      </w:r>
      <w:r>
        <w:rPr>
          <w:sz w:val="24"/>
        </w:rPr>
        <w:t>information</w:t>
      </w:r>
      <w:r>
        <w:rPr>
          <w:spacing w:val="-1"/>
          <w:sz w:val="24"/>
        </w:rPr>
        <w:t xml:space="preserve"> </w:t>
      </w:r>
      <w:r>
        <w:rPr>
          <w:sz w:val="24"/>
        </w:rPr>
        <w:t>can</w:t>
      </w:r>
      <w:r>
        <w:rPr>
          <w:spacing w:val="-1"/>
          <w:sz w:val="24"/>
        </w:rPr>
        <w:t xml:space="preserve"> </w:t>
      </w:r>
      <w:r>
        <w:rPr>
          <w:sz w:val="24"/>
        </w:rPr>
        <w:t>be</w:t>
      </w:r>
      <w:r>
        <w:rPr>
          <w:spacing w:val="-2"/>
          <w:sz w:val="24"/>
        </w:rPr>
        <w:t xml:space="preserve"> found—</w:t>
      </w:r>
    </w:p>
    <w:p>
      <w:pPr>
        <w:pStyle w:val="ListParagraph"/>
        <w:spacing w:after="0" w:line="240" w:lineRule="auto"/>
        <w:jc w:val="both"/>
        <w:rPr>
          <w:sz w:val="24"/>
        </w:rPr>
        <w:sectPr>
          <w:pgSz w:w="12240" w:h="15840"/>
          <w:pgMar w:top="960" w:right="0" w:bottom="940" w:left="1080" w:header="727" w:footer="747"/>
          <w:cols w:space="720"/>
        </w:sectPr>
      </w:pPr>
    </w:p>
    <w:p>
      <w:pPr>
        <w:pStyle w:val="BodyText"/>
        <w:spacing w:before="190"/>
        <w:ind w:left="0"/>
      </w:pPr>
    </w:p>
    <w:p>
      <w:pPr>
        <w:pStyle w:val="ListParagraph"/>
        <w:numPr>
          <w:ilvl w:val="2"/>
          <w:numId w:val="45"/>
        </w:numPr>
        <w:tabs>
          <w:tab w:val="left" w:pos="2304"/>
        </w:tabs>
        <w:spacing w:before="0" w:after="0" w:line="240" w:lineRule="auto"/>
        <w:ind w:left="2304" w:right="2347" w:hanging="360"/>
        <w:jc w:val="left"/>
        <w:rPr>
          <w:sz w:val="24"/>
        </w:rPr>
      </w:pPr>
      <w:r>
        <w:rPr>
          <w:sz w:val="24"/>
        </w:rPr>
        <w:t xml:space="preserve">At the “Risk Adjustment” link at </w:t>
      </w:r>
      <w:hyperlink r:id="rId22">
        <w:r>
          <w:rPr>
            <w:color w:val="0000FF"/>
            <w:spacing w:val="-2"/>
            <w:sz w:val="24"/>
            <w:u w:val="single" w:color="0000FF"/>
          </w:rPr>
          <w:t>https://www.cms.gov/medicare/payment/medicare-advantage-rates-</w:t>
        </w:r>
      </w:hyperlink>
      <w:hyperlink r:id="rId22">
        <w:r>
          <w:rPr>
            <w:color w:val="0000FF"/>
            <w:spacing w:val="-2"/>
            <w:sz w:val="24"/>
            <w:u w:val="single" w:color="0000FF"/>
          </w:rPr>
          <w:t>statistics/risk-adjustment</w:t>
        </w:r>
      </w:hyperlink>
      <w:r>
        <w:rPr>
          <w:spacing w:val="-2"/>
          <w:sz w:val="24"/>
          <w:u w:val="none"/>
        </w:rPr>
        <w:t>.</w:t>
      </w:r>
    </w:p>
    <w:p>
      <w:pPr>
        <w:pStyle w:val="ListParagraph"/>
        <w:numPr>
          <w:ilvl w:val="2"/>
          <w:numId w:val="45"/>
        </w:numPr>
        <w:tabs>
          <w:tab w:val="left" w:pos="2304"/>
        </w:tabs>
        <w:spacing w:before="0" w:after="0" w:line="240" w:lineRule="auto"/>
        <w:ind w:left="2304" w:right="2347" w:hanging="360"/>
        <w:jc w:val="left"/>
        <w:rPr>
          <w:sz w:val="24"/>
        </w:rPr>
      </w:pPr>
      <w:r>
        <w:rPr>
          <w:sz w:val="24"/>
        </w:rPr>
        <w:t xml:space="preserve">At the “Ratebooks &amp; Supporting Data” link at </w:t>
      </w:r>
      <w:hyperlink r:id="rId19">
        <w:r>
          <w:rPr>
            <w:color w:val="0000FF"/>
            <w:spacing w:val="-2"/>
            <w:sz w:val="24"/>
            <w:u w:val="single" w:color="0000FF"/>
          </w:rPr>
          <w:t>https://www.cms.gov/medicare/payment/medicare-advantage-rates-</w:t>
        </w:r>
      </w:hyperlink>
      <w:hyperlink r:id="rId19">
        <w:r>
          <w:rPr>
            <w:color w:val="0000FF"/>
            <w:spacing w:val="-2"/>
            <w:sz w:val="24"/>
            <w:u w:val="single" w:color="0000FF"/>
          </w:rPr>
          <w:t>statistics/ratebooks-supporting-data</w:t>
        </w:r>
        <w:r>
          <w:rPr>
            <w:spacing w:val="-2"/>
            <w:sz w:val="24"/>
            <w:u w:val="none"/>
          </w:rPr>
          <w:t>.</w:t>
        </w:r>
      </w:hyperlink>
    </w:p>
    <w:p>
      <w:pPr>
        <w:pStyle w:val="ListParagraph"/>
        <w:numPr>
          <w:ilvl w:val="2"/>
          <w:numId w:val="45"/>
        </w:numPr>
        <w:tabs>
          <w:tab w:val="left" w:pos="2304"/>
        </w:tabs>
        <w:spacing w:before="0" w:after="0" w:line="240" w:lineRule="auto"/>
        <w:ind w:left="2304" w:right="1593" w:hanging="360"/>
        <w:jc w:val="left"/>
        <w:rPr>
          <w:sz w:val="24"/>
        </w:rPr>
      </w:pPr>
      <w:r>
        <w:rPr>
          <w:sz w:val="24"/>
        </w:rPr>
        <w:t>At</w:t>
      </w:r>
      <w:r>
        <w:rPr>
          <w:spacing w:val="-7"/>
          <w:sz w:val="24"/>
        </w:rPr>
        <w:t xml:space="preserve"> </w:t>
      </w:r>
      <w:hyperlink r:id="rId23">
        <w:r>
          <w:rPr>
            <w:color w:val="0000FF"/>
            <w:sz w:val="24"/>
            <w:u w:val="single" w:color="0000FF"/>
          </w:rPr>
          <w:t>https://www.csscoperations.com</w:t>
        </w:r>
      </w:hyperlink>
      <w:r>
        <w:rPr>
          <w:sz w:val="24"/>
          <w:u w:val="none"/>
        </w:rPr>
        <w:t>,</w:t>
      </w:r>
      <w:r>
        <w:rPr>
          <w:spacing w:val="-6"/>
          <w:sz w:val="24"/>
          <w:u w:val="none"/>
        </w:rPr>
        <w:t xml:space="preserve"> </w:t>
      </w:r>
      <w:r>
        <w:rPr>
          <w:sz w:val="24"/>
          <w:u w:val="none"/>
        </w:rPr>
        <w:t>including</w:t>
      </w:r>
      <w:r>
        <w:rPr>
          <w:spacing w:val="-6"/>
          <w:sz w:val="24"/>
          <w:u w:val="none"/>
        </w:rPr>
        <w:t xml:space="preserve"> </w:t>
      </w:r>
      <w:r>
        <w:rPr>
          <w:sz w:val="24"/>
          <w:u w:val="none"/>
        </w:rPr>
        <w:t>slides</w:t>
      </w:r>
      <w:r>
        <w:rPr>
          <w:spacing w:val="-7"/>
          <w:sz w:val="24"/>
          <w:u w:val="none"/>
        </w:rPr>
        <w:t xml:space="preserve"> </w:t>
      </w:r>
      <w:r>
        <w:rPr>
          <w:sz w:val="24"/>
          <w:u w:val="none"/>
        </w:rPr>
        <w:t>from</w:t>
      </w:r>
      <w:r>
        <w:rPr>
          <w:spacing w:val="-6"/>
          <w:sz w:val="24"/>
          <w:u w:val="none"/>
        </w:rPr>
        <w:t xml:space="preserve"> </w:t>
      </w:r>
      <w:r>
        <w:rPr>
          <w:sz w:val="24"/>
          <w:u w:val="none"/>
        </w:rPr>
        <w:t>Risk</w:t>
      </w:r>
      <w:r>
        <w:rPr>
          <w:spacing w:val="-6"/>
          <w:sz w:val="24"/>
          <w:u w:val="none"/>
        </w:rPr>
        <w:t xml:space="preserve"> </w:t>
      </w:r>
      <w:r>
        <w:rPr>
          <w:sz w:val="24"/>
          <w:u w:val="none"/>
        </w:rPr>
        <w:t>Adjustment User Group Calls.</w:t>
      </w:r>
    </w:p>
    <w:p>
      <w:pPr>
        <w:spacing w:before="241"/>
        <w:ind w:left="1224" w:right="0" w:firstLine="0"/>
        <w:jc w:val="left"/>
        <w:rPr>
          <w:rFonts w:ascii="Arial"/>
          <w:b/>
          <w:i/>
          <w:sz w:val="21"/>
        </w:rPr>
      </w:pPr>
      <w:bookmarkStart w:id="101" w:name="Other Considerations"/>
      <w:bookmarkEnd w:id="101"/>
      <w:r>
        <w:rPr>
          <w:rFonts w:ascii="Arial"/>
          <w:b/>
          <w:i/>
          <w:sz w:val="21"/>
        </w:rPr>
        <w:t>Other</w:t>
      </w:r>
      <w:r>
        <w:rPr>
          <w:rFonts w:ascii="Arial"/>
          <w:b/>
          <w:i/>
          <w:spacing w:val="-8"/>
          <w:sz w:val="21"/>
        </w:rPr>
        <w:t xml:space="preserve"> </w:t>
      </w:r>
      <w:r>
        <w:rPr>
          <w:rFonts w:ascii="Arial"/>
          <w:b/>
          <w:i/>
          <w:spacing w:val="-2"/>
          <w:sz w:val="21"/>
        </w:rPr>
        <w:t>Considerations</w:t>
      </w:r>
    </w:p>
    <w:p>
      <w:pPr>
        <w:pStyle w:val="BodyText"/>
        <w:spacing w:before="120"/>
        <w:ind w:left="1224" w:right="1481"/>
      </w:pPr>
      <w:r>
        <w:t>See</w:t>
      </w:r>
      <w:r>
        <w:rPr>
          <w:spacing w:val="-5"/>
        </w:rPr>
        <w:t xml:space="preserve"> </w:t>
      </w:r>
      <w:r>
        <w:t>the</w:t>
      </w:r>
      <w:r>
        <w:rPr>
          <w:spacing w:val="-5"/>
        </w:rPr>
        <w:t xml:space="preserve"> </w:t>
      </w:r>
      <w:r>
        <w:t>“Credibility”</w:t>
      </w:r>
      <w:r>
        <w:rPr>
          <w:spacing w:val="-5"/>
        </w:rPr>
        <w:t xml:space="preserve"> </w:t>
      </w:r>
      <w:r>
        <w:t>pricing</w:t>
      </w:r>
      <w:r>
        <w:rPr>
          <w:spacing w:val="-4"/>
        </w:rPr>
        <w:t xml:space="preserve"> </w:t>
      </w:r>
      <w:r>
        <w:t>consideration</w:t>
      </w:r>
      <w:r>
        <w:rPr>
          <w:spacing w:val="-4"/>
        </w:rPr>
        <w:t xml:space="preserve"> </w:t>
      </w:r>
      <w:r>
        <w:t>for</w:t>
      </w:r>
      <w:r>
        <w:rPr>
          <w:spacing w:val="-4"/>
        </w:rPr>
        <w:t xml:space="preserve"> </w:t>
      </w:r>
      <w:r>
        <w:t>more</w:t>
      </w:r>
      <w:r>
        <w:rPr>
          <w:spacing w:val="-5"/>
        </w:rPr>
        <w:t xml:space="preserve"> </w:t>
      </w:r>
      <w:r>
        <w:t>information</w:t>
      </w:r>
      <w:r>
        <w:rPr>
          <w:spacing w:val="-4"/>
        </w:rPr>
        <w:t xml:space="preserve"> </w:t>
      </w:r>
      <w:r>
        <w:t>about</w:t>
      </w:r>
      <w:r>
        <w:rPr>
          <w:spacing w:val="-4"/>
        </w:rPr>
        <w:t xml:space="preserve"> </w:t>
      </w:r>
      <w:r>
        <w:t>the</w:t>
      </w:r>
      <w:r>
        <w:rPr>
          <w:spacing w:val="-4"/>
        </w:rPr>
        <w:t xml:space="preserve"> </w:t>
      </w:r>
      <w:r>
        <w:t>projection</w:t>
      </w:r>
      <w:r>
        <w:rPr>
          <w:spacing w:val="-4"/>
        </w:rPr>
        <w:t xml:space="preserve"> </w:t>
      </w:r>
      <w:r>
        <w:t>of risk scores.</w:t>
      </w:r>
    </w:p>
    <w:p>
      <w:pPr>
        <w:pStyle w:val="BodyText"/>
        <w:spacing w:before="121"/>
        <w:ind w:left="1224"/>
      </w:pPr>
      <w:r>
        <w:t>See</w:t>
      </w:r>
      <w:r>
        <w:rPr>
          <w:spacing w:val="-4"/>
        </w:rPr>
        <w:t xml:space="preserve"> </w:t>
      </w:r>
      <w:r>
        <w:t>Appendix</w:t>
      </w:r>
      <w:r>
        <w:rPr>
          <w:spacing w:val="3"/>
        </w:rPr>
        <w:t xml:space="preserve"> </w:t>
      </w:r>
      <w:r>
        <w:t>I</w:t>
      </w:r>
      <w:r>
        <w:rPr>
          <w:spacing w:val="-3"/>
        </w:rPr>
        <w:t xml:space="preserve"> </w:t>
      </w:r>
      <w:r>
        <w:t>for</w:t>
      </w:r>
      <w:r>
        <w:rPr>
          <w:spacing w:val="-2"/>
        </w:rPr>
        <w:t xml:space="preserve"> </w:t>
      </w:r>
      <w:r>
        <w:t>more</w:t>
      </w:r>
      <w:r>
        <w:rPr>
          <w:spacing w:val="1"/>
        </w:rPr>
        <w:t xml:space="preserve"> </w:t>
      </w:r>
      <w:r>
        <w:t>information about</w:t>
      </w:r>
      <w:r>
        <w:rPr>
          <w:spacing w:val="-1"/>
        </w:rPr>
        <w:t xml:space="preserve"> </w:t>
      </w:r>
      <w:r>
        <w:t>trending MA</w:t>
      </w:r>
      <w:r>
        <w:rPr>
          <w:spacing w:val="-1"/>
        </w:rPr>
        <w:t xml:space="preserve"> </w:t>
      </w:r>
      <w:r>
        <w:t xml:space="preserve">risk </w:t>
      </w:r>
      <w:r>
        <w:rPr>
          <w:spacing w:val="-2"/>
        </w:rPr>
        <w:t>scores.</w:t>
      </w:r>
    </w:p>
    <w:p>
      <w:pPr>
        <w:spacing w:before="241"/>
        <w:ind w:left="504" w:right="0" w:firstLine="0"/>
        <w:jc w:val="left"/>
        <w:rPr>
          <w:rFonts w:ascii="Arial"/>
          <w:b/>
          <w:sz w:val="21"/>
        </w:rPr>
      </w:pPr>
      <w:bookmarkStart w:id="102" w:name="Sequestration"/>
      <w:bookmarkEnd w:id="102"/>
      <w:bookmarkStart w:id="103" w:name="_bookmark35"/>
      <w:bookmarkEnd w:id="103"/>
      <w:r>
        <w:rPr>
          <w:rFonts w:ascii="Arial"/>
          <w:b/>
          <w:spacing w:val="-2"/>
          <w:sz w:val="21"/>
        </w:rPr>
        <w:t>Sequestration</w:t>
      </w:r>
    </w:p>
    <w:p>
      <w:pPr>
        <w:pStyle w:val="BodyText"/>
        <w:spacing w:before="117"/>
        <w:ind w:right="1465"/>
      </w:pPr>
      <w:r>
        <w:t>To</w:t>
      </w:r>
      <w:r>
        <w:rPr>
          <w:spacing w:val="-5"/>
        </w:rPr>
        <w:t xml:space="preserve"> </w:t>
      </w:r>
      <w:r>
        <w:t>account</w:t>
      </w:r>
      <w:r>
        <w:rPr>
          <w:spacing w:val="-4"/>
        </w:rPr>
        <w:t xml:space="preserve"> </w:t>
      </w:r>
      <w:r>
        <w:t>for</w:t>
      </w:r>
      <w:r>
        <w:rPr>
          <w:spacing w:val="-5"/>
        </w:rPr>
        <w:t xml:space="preserve"> </w:t>
      </w:r>
      <w:r>
        <w:t>sequestration</w:t>
      </w:r>
      <w:r>
        <w:rPr>
          <w:spacing w:val="-4"/>
        </w:rPr>
        <w:t xml:space="preserve"> </w:t>
      </w:r>
      <w:r>
        <w:t>during</w:t>
      </w:r>
      <w:r>
        <w:rPr>
          <w:spacing w:val="-4"/>
        </w:rPr>
        <w:t xml:space="preserve"> </w:t>
      </w:r>
      <w:r>
        <w:t>the</w:t>
      </w:r>
      <w:r>
        <w:rPr>
          <w:spacing w:val="-5"/>
        </w:rPr>
        <w:t xml:space="preserve"> </w:t>
      </w:r>
      <w:r>
        <w:t>projection</w:t>
      </w:r>
      <w:r>
        <w:rPr>
          <w:spacing w:val="-2"/>
        </w:rPr>
        <w:t xml:space="preserve"> </w:t>
      </w:r>
      <w:r>
        <w:t>period,</w:t>
      </w:r>
      <w:r>
        <w:rPr>
          <w:spacing w:val="-4"/>
        </w:rPr>
        <w:t xml:space="preserve"> </w:t>
      </w:r>
      <w:r>
        <w:t>net</w:t>
      </w:r>
      <w:r>
        <w:rPr>
          <w:spacing w:val="-2"/>
        </w:rPr>
        <w:t xml:space="preserve"> </w:t>
      </w:r>
      <w:r>
        <w:t>medical</w:t>
      </w:r>
      <w:r>
        <w:rPr>
          <w:spacing w:val="-2"/>
        </w:rPr>
        <w:t xml:space="preserve"> </w:t>
      </w:r>
      <w:r>
        <w:t>expenses</w:t>
      </w:r>
      <w:r>
        <w:rPr>
          <w:spacing w:val="-3"/>
        </w:rPr>
        <w:t xml:space="preserve"> </w:t>
      </w:r>
      <w:r>
        <w:t>must</w:t>
      </w:r>
      <w:r>
        <w:rPr>
          <w:spacing w:val="-3"/>
        </w:rPr>
        <w:t xml:space="preserve"> </w:t>
      </w:r>
      <w:r>
        <w:t>reflect</w:t>
      </w:r>
      <w:r>
        <w:rPr>
          <w:spacing w:val="-4"/>
        </w:rPr>
        <w:t xml:space="preserve"> </w:t>
      </w:r>
      <w:r>
        <w:t>the impact of sequestration on provider payments. Cost sharing is not reduced under sequestration; therefore, for purposes of completing the BPT, net medical expenses are reduced, cost sharing is unaffected, and total allowed costs are reduced to equal the sum of net medical expenses and cost sharing. Similar modifications must be made to base period data to the extent that actual provider payments are affected by sequestration.</w:t>
      </w:r>
    </w:p>
    <w:p>
      <w:pPr>
        <w:pStyle w:val="BodyText"/>
        <w:spacing w:before="121"/>
        <w:ind w:right="1481"/>
      </w:pPr>
      <w:r>
        <w:t>Some</w:t>
      </w:r>
      <w:r>
        <w:rPr>
          <w:spacing w:val="-3"/>
        </w:rPr>
        <w:t xml:space="preserve"> </w:t>
      </w:r>
      <w:r>
        <w:t>calculations</w:t>
      </w:r>
      <w:r>
        <w:rPr>
          <w:spacing w:val="-4"/>
        </w:rPr>
        <w:t xml:space="preserve"> </w:t>
      </w:r>
      <w:r>
        <w:t>in</w:t>
      </w:r>
      <w:r>
        <w:rPr>
          <w:spacing w:val="-3"/>
        </w:rPr>
        <w:t xml:space="preserve"> </w:t>
      </w:r>
      <w:r>
        <w:t>the</w:t>
      </w:r>
      <w:r>
        <w:rPr>
          <w:spacing w:val="-3"/>
        </w:rPr>
        <w:t xml:space="preserve"> </w:t>
      </w:r>
      <w:r>
        <w:t>BPT</w:t>
      </w:r>
      <w:r>
        <w:rPr>
          <w:spacing w:val="-3"/>
        </w:rPr>
        <w:t xml:space="preserve"> </w:t>
      </w:r>
      <w:r>
        <w:t>may</w:t>
      </w:r>
      <w:r>
        <w:rPr>
          <w:spacing w:val="-3"/>
        </w:rPr>
        <w:t xml:space="preserve"> </w:t>
      </w:r>
      <w:r>
        <w:t>be</w:t>
      </w:r>
      <w:r>
        <w:rPr>
          <w:spacing w:val="-4"/>
        </w:rPr>
        <w:t xml:space="preserve"> </w:t>
      </w:r>
      <w:r>
        <w:t>affected</w:t>
      </w:r>
      <w:r>
        <w:rPr>
          <w:spacing w:val="-3"/>
        </w:rPr>
        <w:t xml:space="preserve"> </w:t>
      </w:r>
      <w:r>
        <w:t>by</w:t>
      </w:r>
      <w:r>
        <w:rPr>
          <w:spacing w:val="-2"/>
        </w:rPr>
        <w:t xml:space="preserve"> </w:t>
      </w:r>
      <w:r>
        <w:t>the</w:t>
      </w:r>
      <w:r>
        <w:rPr>
          <w:spacing w:val="-3"/>
        </w:rPr>
        <w:t xml:space="preserve"> </w:t>
      </w:r>
      <w:r>
        <w:t>modifications</w:t>
      </w:r>
      <w:r>
        <w:rPr>
          <w:spacing w:val="-4"/>
        </w:rPr>
        <w:t xml:space="preserve"> </w:t>
      </w:r>
      <w:r>
        <w:t>listed</w:t>
      </w:r>
      <w:r>
        <w:rPr>
          <w:spacing w:val="-3"/>
        </w:rPr>
        <w:t xml:space="preserve"> </w:t>
      </w:r>
      <w:r>
        <w:t>above</w:t>
      </w:r>
      <w:r>
        <w:rPr>
          <w:spacing w:val="-4"/>
        </w:rPr>
        <w:t xml:space="preserve"> </w:t>
      </w:r>
      <w:r>
        <w:t>and</w:t>
      </w:r>
      <w:r>
        <w:rPr>
          <w:spacing w:val="-3"/>
        </w:rPr>
        <w:t xml:space="preserve"> </w:t>
      </w:r>
      <w:r>
        <w:t>are</w:t>
      </w:r>
      <w:r>
        <w:rPr>
          <w:spacing w:val="-4"/>
        </w:rPr>
        <w:t xml:space="preserve"> </w:t>
      </w:r>
      <w:r>
        <w:t>to</w:t>
      </w:r>
      <w:r>
        <w:rPr>
          <w:spacing w:val="-3"/>
        </w:rPr>
        <w:t xml:space="preserve"> </w:t>
      </w:r>
      <w:r>
        <w:t>be handled as follows:</w:t>
      </w:r>
    </w:p>
    <w:p>
      <w:pPr>
        <w:pStyle w:val="ListParagraph"/>
        <w:numPr>
          <w:ilvl w:val="0"/>
          <w:numId w:val="45"/>
        </w:numPr>
        <w:tabs>
          <w:tab w:val="left" w:pos="1584"/>
        </w:tabs>
        <w:spacing w:before="120" w:after="0" w:line="240" w:lineRule="auto"/>
        <w:ind w:left="1584" w:right="1556" w:hanging="360"/>
        <w:jc w:val="left"/>
        <w:rPr>
          <w:sz w:val="24"/>
        </w:rPr>
      </w:pPr>
      <w:r>
        <w:rPr>
          <w:sz w:val="24"/>
        </w:rPr>
        <w:t>In the case of coinsurance, the effective cost sharing entered in Worksheet 3 may not match the cost-sharing percentage in the PBP. In this case, the MAO must adequately</w:t>
      </w:r>
      <w:r>
        <w:rPr>
          <w:spacing w:val="-4"/>
          <w:sz w:val="24"/>
        </w:rPr>
        <w:t xml:space="preserve"> </w:t>
      </w:r>
      <w:r>
        <w:rPr>
          <w:sz w:val="24"/>
        </w:rPr>
        <w:t>justify</w:t>
      </w:r>
      <w:r>
        <w:rPr>
          <w:spacing w:val="-4"/>
          <w:sz w:val="24"/>
        </w:rPr>
        <w:t xml:space="preserve"> </w:t>
      </w:r>
      <w:r>
        <w:rPr>
          <w:sz w:val="24"/>
        </w:rPr>
        <w:t>such</w:t>
      </w:r>
      <w:r>
        <w:rPr>
          <w:spacing w:val="-4"/>
          <w:sz w:val="24"/>
        </w:rPr>
        <w:t xml:space="preserve"> </w:t>
      </w:r>
      <w:r>
        <w:rPr>
          <w:sz w:val="24"/>
        </w:rPr>
        <w:t>difference.</w:t>
      </w:r>
      <w:r>
        <w:rPr>
          <w:spacing w:val="-4"/>
          <w:sz w:val="24"/>
        </w:rPr>
        <w:t xml:space="preserve"> </w:t>
      </w:r>
      <w:r>
        <w:rPr>
          <w:sz w:val="24"/>
        </w:rPr>
        <w:t>See</w:t>
      </w:r>
      <w:r>
        <w:rPr>
          <w:spacing w:val="-5"/>
          <w:sz w:val="24"/>
        </w:rPr>
        <w:t xml:space="preserve"> </w:t>
      </w:r>
      <w:r>
        <w:rPr>
          <w:sz w:val="24"/>
        </w:rPr>
        <w:t>the</w:t>
      </w:r>
      <w:r>
        <w:rPr>
          <w:spacing w:val="-4"/>
          <w:sz w:val="24"/>
        </w:rPr>
        <w:t xml:space="preserve"> </w:t>
      </w:r>
      <w:r>
        <w:rPr>
          <w:sz w:val="24"/>
        </w:rPr>
        <w:t>“Cost</w:t>
      </w:r>
      <w:r>
        <w:rPr>
          <w:spacing w:val="-2"/>
          <w:sz w:val="24"/>
        </w:rPr>
        <w:t xml:space="preserve"> </w:t>
      </w:r>
      <w:r>
        <w:rPr>
          <w:sz w:val="24"/>
        </w:rPr>
        <w:t>Sharing”</w:t>
      </w:r>
      <w:r>
        <w:rPr>
          <w:spacing w:val="-5"/>
          <w:sz w:val="24"/>
        </w:rPr>
        <w:t xml:space="preserve"> </w:t>
      </w:r>
      <w:r>
        <w:rPr>
          <w:sz w:val="24"/>
        </w:rPr>
        <w:t>pricing</w:t>
      </w:r>
      <w:r>
        <w:rPr>
          <w:spacing w:val="-4"/>
          <w:sz w:val="24"/>
        </w:rPr>
        <w:t xml:space="preserve"> </w:t>
      </w:r>
      <w:r>
        <w:rPr>
          <w:sz w:val="24"/>
        </w:rPr>
        <w:t>consideration</w:t>
      </w:r>
      <w:r>
        <w:rPr>
          <w:spacing w:val="-4"/>
          <w:sz w:val="24"/>
        </w:rPr>
        <w:t xml:space="preserve"> </w:t>
      </w:r>
      <w:r>
        <w:rPr>
          <w:sz w:val="24"/>
        </w:rPr>
        <w:t>for more information about the calculation of the effective coinsurance percentage.</w:t>
      </w:r>
    </w:p>
    <w:p>
      <w:pPr>
        <w:spacing w:before="241"/>
        <w:ind w:left="504" w:right="0" w:firstLine="0"/>
        <w:jc w:val="left"/>
        <w:rPr>
          <w:rFonts w:ascii="Arial"/>
          <w:b/>
          <w:sz w:val="21"/>
        </w:rPr>
      </w:pPr>
      <w:bookmarkStart w:id="104" w:name="Service Area"/>
      <w:bookmarkEnd w:id="104"/>
      <w:bookmarkStart w:id="105" w:name="_bookmark36"/>
      <w:bookmarkEnd w:id="105"/>
      <w:r>
        <w:rPr>
          <w:rFonts w:ascii="Arial"/>
          <w:b/>
          <w:sz w:val="21"/>
        </w:rPr>
        <w:t>Service</w:t>
      </w:r>
      <w:r>
        <w:rPr>
          <w:rFonts w:ascii="Arial"/>
          <w:b/>
          <w:spacing w:val="-8"/>
          <w:sz w:val="21"/>
        </w:rPr>
        <w:t xml:space="preserve"> </w:t>
      </w:r>
      <w:r>
        <w:rPr>
          <w:rFonts w:ascii="Arial"/>
          <w:b/>
          <w:spacing w:val="-4"/>
          <w:sz w:val="21"/>
        </w:rPr>
        <w:t>Area</w:t>
      </w:r>
    </w:p>
    <w:p>
      <w:pPr>
        <w:spacing w:before="241"/>
        <w:ind w:left="1224" w:right="0" w:firstLine="0"/>
        <w:jc w:val="left"/>
        <w:rPr>
          <w:rFonts w:ascii="Arial"/>
          <w:b/>
          <w:i/>
          <w:sz w:val="21"/>
        </w:rPr>
      </w:pPr>
      <w:bookmarkStart w:id="106" w:name="Segmented Service Areas"/>
      <w:bookmarkEnd w:id="106"/>
      <w:r>
        <w:rPr>
          <w:rFonts w:ascii="Arial"/>
          <w:b/>
          <w:i/>
          <w:sz w:val="21"/>
        </w:rPr>
        <w:t>Segmented</w:t>
      </w:r>
      <w:r>
        <w:rPr>
          <w:rFonts w:ascii="Arial"/>
          <w:b/>
          <w:i/>
          <w:spacing w:val="-10"/>
          <w:sz w:val="21"/>
        </w:rPr>
        <w:t xml:space="preserve"> </w:t>
      </w:r>
      <w:r>
        <w:rPr>
          <w:rFonts w:ascii="Arial"/>
          <w:b/>
          <w:i/>
          <w:sz w:val="21"/>
        </w:rPr>
        <w:t>Service</w:t>
      </w:r>
      <w:r>
        <w:rPr>
          <w:rFonts w:ascii="Arial"/>
          <w:b/>
          <w:i/>
          <w:spacing w:val="-7"/>
          <w:sz w:val="21"/>
        </w:rPr>
        <w:t xml:space="preserve"> </w:t>
      </w:r>
      <w:r>
        <w:rPr>
          <w:rFonts w:ascii="Arial"/>
          <w:b/>
          <w:i/>
          <w:spacing w:val="-2"/>
          <w:sz w:val="21"/>
        </w:rPr>
        <w:t>Areas</w:t>
      </w:r>
    </w:p>
    <w:p>
      <w:pPr>
        <w:pStyle w:val="BodyText"/>
        <w:spacing w:before="117"/>
        <w:ind w:left="1224" w:right="2001"/>
      </w:pPr>
      <w:r>
        <w:t>For</w:t>
      </w:r>
      <w:r>
        <w:rPr>
          <w:spacing w:val="-3"/>
        </w:rPr>
        <w:t xml:space="preserve"> </w:t>
      </w:r>
      <w:r>
        <w:t>information</w:t>
      </w:r>
      <w:r>
        <w:rPr>
          <w:spacing w:val="-3"/>
        </w:rPr>
        <w:t xml:space="preserve"> </w:t>
      </w:r>
      <w:r>
        <w:t>on</w:t>
      </w:r>
      <w:r>
        <w:rPr>
          <w:spacing w:val="-2"/>
        </w:rPr>
        <w:t xml:space="preserve"> </w:t>
      </w:r>
      <w:r>
        <w:t>MA</w:t>
      </w:r>
      <w:r>
        <w:rPr>
          <w:spacing w:val="-4"/>
        </w:rPr>
        <w:t xml:space="preserve"> </w:t>
      </w:r>
      <w:r>
        <w:t>segmented</w:t>
      </w:r>
      <w:r>
        <w:rPr>
          <w:spacing w:val="-3"/>
        </w:rPr>
        <w:t xml:space="preserve"> </w:t>
      </w:r>
      <w:r>
        <w:t>service</w:t>
      </w:r>
      <w:r>
        <w:rPr>
          <w:spacing w:val="-4"/>
        </w:rPr>
        <w:t xml:space="preserve"> </w:t>
      </w:r>
      <w:r>
        <w:t>area</w:t>
      </w:r>
      <w:r>
        <w:rPr>
          <w:spacing w:val="-4"/>
        </w:rPr>
        <w:t xml:space="preserve"> </w:t>
      </w:r>
      <w:r>
        <w:t>options</w:t>
      </w:r>
      <w:r>
        <w:rPr>
          <w:spacing w:val="-4"/>
        </w:rPr>
        <w:t xml:space="preserve"> </w:t>
      </w:r>
      <w:r>
        <w:t>see</w:t>
      </w:r>
      <w:r>
        <w:rPr>
          <w:spacing w:val="-4"/>
        </w:rPr>
        <w:t xml:space="preserve"> </w:t>
      </w:r>
      <w:r>
        <w:t>the</w:t>
      </w:r>
      <w:r>
        <w:rPr>
          <w:spacing w:val="-3"/>
        </w:rPr>
        <w:t xml:space="preserve"> </w:t>
      </w:r>
      <w:r>
        <w:t>CY2019</w:t>
      </w:r>
      <w:r>
        <w:rPr>
          <w:spacing w:val="-3"/>
        </w:rPr>
        <w:t xml:space="preserve"> </w:t>
      </w:r>
      <w:r>
        <w:t>Final</w:t>
      </w:r>
      <w:r>
        <w:rPr>
          <w:spacing w:val="-3"/>
        </w:rPr>
        <w:t xml:space="preserve"> </w:t>
      </w:r>
      <w:r>
        <w:t>Call Letter</w:t>
      </w:r>
      <w:r>
        <w:rPr>
          <w:spacing w:val="-2"/>
        </w:rPr>
        <w:t xml:space="preserve"> </w:t>
      </w:r>
      <w:r>
        <w:t>(page</w:t>
      </w:r>
      <w:r>
        <w:rPr>
          <w:spacing w:val="-2"/>
        </w:rPr>
        <w:t xml:space="preserve"> </w:t>
      </w:r>
      <w:r>
        <w:t>210)</w:t>
      </w:r>
      <w:r>
        <w:rPr>
          <w:spacing w:val="-1"/>
        </w:rPr>
        <w:t xml:space="preserve"> </w:t>
      </w:r>
      <w:r>
        <w:t>in</w:t>
      </w:r>
      <w:r>
        <w:rPr>
          <w:spacing w:val="-1"/>
        </w:rPr>
        <w:t xml:space="preserve"> </w:t>
      </w:r>
      <w:r>
        <w:t>the Announcement</w:t>
      </w:r>
      <w:r>
        <w:rPr>
          <w:spacing w:val="-1"/>
        </w:rPr>
        <w:t xml:space="preserve"> </w:t>
      </w:r>
      <w:r>
        <w:t>at</w:t>
      </w:r>
      <w:r>
        <w:rPr>
          <w:spacing w:val="-1"/>
        </w:rPr>
        <w:t xml:space="preserve"> </w:t>
      </w:r>
      <w:hyperlink r:id="rId24">
        <w:r>
          <w:rPr>
            <w:color w:val="0000FF"/>
            <w:u w:val="single" w:color="0000FF"/>
          </w:rPr>
          <w:t>https://www.cms.gov/Medicare/Health-</w:t>
        </w:r>
      </w:hyperlink>
      <w:hyperlink r:id="rId24">
        <w:r>
          <w:rPr>
            <w:color w:val="0000FF"/>
            <w:spacing w:val="-2"/>
            <w:u w:val="single" w:color="0000FF"/>
          </w:rPr>
          <w:t>Plans/MedicareAdvtgSpecRateStats/Announcements-and-Documents-Items/</w:t>
        </w:r>
      </w:hyperlink>
      <w:r>
        <w:rPr>
          <w:color w:val="0000FF"/>
          <w:spacing w:val="-2"/>
          <w:u w:val="none"/>
        </w:rPr>
        <w:t xml:space="preserve"> </w:t>
      </w:r>
      <w:hyperlink r:id="rId24">
        <w:r>
          <w:rPr>
            <w:color w:val="0000FF"/>
            <w:spacing w:val="-2"/>
            <w:u w:val="single" w:color="0000FF"/>
          </w:rPr>
          <w:t>2019Announcement</w:t>
        </w:r>
        <w:r>
          <w:rPr>
            <w:spacing w:val="-2"/>
            <w:u w:val="none"/>
          </w:rPr>
          <w:t>.</w:t>
        </w:r>
      </w:hyperlink>
    </w:p>
    <w:p>
      <w:pPr>
        <w:pStyle w:val="BodyText"/>
        <w:spacing w:before="121"/>
        <w:ind w:left="1224" w:right="1468"/>
      </w:pPr>
      <w:r>
        <w:t>For information on non-regional PPO bids with segmented service areas see the uniformity</w:t>
      </w:r>
      <w:r>
        <w:rPr>
          <w:spacing w:val="-4"/>
        </w:rPr>
        <w:t xml:space="preserve"> </w:t>
      </w:r>
      <w:r>
        <w:t>of</w:t>
      </w:r>
      <w:r>
        <w:rPr>
          <w:spacing w:val="-4"/>
        </w:rPr>
        <w:t xml:space="preserve"> </w:t>
      </w:r>
      <w:r>
        <w:t>benefit</w:t>
      </w:r>
      <w:r>
        <w:rPr>
          <w:spacing w:val="-4"/>
        </w:rPr>
        <w:t xml:space="preserve"> </w:t>
      </w:r>
      <w:r>
        <w:t>requirements</w:t>
      </w:r>
      <w:r>
        <w:rPr>
          <w:spacing w:val="-5"/>
        </w:rPr>
        <w:t xml:space="preserve"> </w:t>
      </w:r>
      <w:r>
        <w:t>in</w:t>
      </w:r>
      <w:r>
        <w:rPr>
          <w:spacing w:val="-3"/>
        </w:rPr>
        <w:t xml:space="preserve"> </w:t>
      </w:r>
      <w:r>
        <w:t>Chapter</w:t>
      </w:r>
      <w:r>
        <w:rPr>
          <w:spacing w:val="-5"/>
        </w:rPr>
        <w:t xml:space="preserve"> </w:t>
      </w:r>
      <w:r>
        <w:t>4</w:t>
      </w:r>
      <w:r>
        <w:rPr>
          <w:spacing w:val="-4"/>
        </w:rPr>
        <w:t xml:space="preserve"> </w:t>
      </w:r>
      <w:r>
        <w:t>-</w:t>
      </w:r>
      <w:r>
        <w:rPr>
          <w:spacing w:val="-3"/>
        </w:rPr>
        <w:t xml:space="preserve"> </w:t>
      </w:r>
      <w:r>
        <w:t>Benefit</w:t>
      </w:r>
      <w:r>
        <w:rPr>
          <w:spacing w:val="-4"/>
        </w:rPr>
        <w:t xml:space="preserve"> </w:t>
      </w:r>
      <w:r>
        <w:t>and</w:t>
      </w:r>
      <w:r>
        <w:rPr>
          <w:spacing w:val="-4"/>
        </w:rPr>
        <w:t xml:space="preserve"> </w:t>
      </w:r>
      <w:r>
        <w:t>Beneficiary</w:t>
      </w:r>
      <w:r>
        <w:rPr>
          <w:spacing w:val="-2"/>
        </w:rPr>
        <w:t xml:space="preserve"> </w:t>
      </w:r>
      <w:r>
        <w:t>Protections</w:t>
      </w:r>
      <w:r>
        <w:rPr>
          <w:spacing w:val="-2"/>
        </w:rPr>
        <w:t xml:space="preserve"> </w:t>
      </w:r>
      <w:r>
        <w:t xml:space="preserve">of the </w:t>
      </w:r>
      <w:r>
        <w:rPr>
          <w:i/>
        </w:rPr>
        <w:t xml:space="preserve">Medicare Managed Care Manual </w:t>
      </w:r>
      <w:r>
        <w:t xml:space="preserve">at </w:t>
      </w:r>
      <w:hyperlink r:id="rId16">
        <w:r>
          <w:rPr>
            <w:color w:val="0000FF"/>
            <w:u w:val="single" w:color="0000FF"/>
          </w:rPr>
          <w:t>https://www.cms.gov/Regulations-and-</w:t>
        </w:r>
      </w:hyperlink>
      <w:hyperlink r:id="rId16">
        <w:r>
          <w:rPr>
            <w:color w:val="0000FF"/>
            <w:spacing w:val="-2"/>
            <w:u w:val="single" w:color="0000FF"/>
          </w:rPr>
          <w:t>Guidance/Guidance/Manuals/Internet-Only-Manuals-IOMs-Items/CMS019326</w:t>
        </w:r>
      </w:hyperlink>
      <w:r>
        <w:rPr>
          <w:spacing w:val="-2"/>
          <w:u w:val="none"/>
        </w:rPr>
        <w:t>.</w:t>
      </w:r>
    </w:p>
    <w:p>
      <w:pPr>
        <w:spacing w:before="241"/>
        <w:ind w:left="1224" w:right="0" w:firstLine="0"/>
        <w:jc w:val="left"/>
        <w:rPr>
          <w:rFonts w:ascii="Arial"/>
          <w:b/>
          <w:i/>
          <w:sz w:val="21"/>
        </w:rPr>
      </w:pPr>
      <w:bookmarkStart w:id="107" w:name="Pending Service Area Changes"/>
      <w:bookmarkEnd w:id="107"/>
      <w:r>
        <w:rPr>
          <w:rFonts w:ascii="Arial"/>
          <w:b/>
          <w:i/>
          <w:sz w:val="21"/>
        </w:rPr>
        <w:t>Pending</w:t>
      </w:r>
      <w:r>
        <w:rPr>
          <w:rFonts w:ascii="Arial"/>
          <w:b/>
          <w:i/>
          <w:spacing w:val="-6"/>
          <w:sz w:val="21"/>
        </w:rPr>
        <w:t xml:space="preserve"> </w:t>
      </w:r>
      <w:r>
        <w:rPr>
          <w:rFonts w:ascii="Arial"/>
          <w:b/>
          <w:i/>
          <w:sz w:val="21"/>
        </w:rPr>
        <w:t>Service</w:t>
      </w:r>
      <w:r>
        <w:rPr>
          <w:rFonts w:ascii="Arial"/>
          <w:b/>
          <w:i/>
          <w:spacing w:val="-8"/>
          <w:sz w:val="21"/>
        </w:rPr>
        <w:t xml:space="preserve"> </w:t>
      </w:r>
      <w:r>
        <w:rPr>
          <w:rFonts w:ascii="Arial"/>
          <w:b/>
          <w:i/>
          <w:sz w:val="21"/>
        </w:rPr>
        <w:t>Area</w:t>
      </w:r>
      <w:r>
        <w:rPr>
          <w:rFonts w:ascii="Arial"/>
          <w:b/>
          <w:i/>
          <w:spacing w:val="-8"/>
          <w:sz w:val="21"/>
        </w:rPr>
        <w:t xml:space="preserve"> </w:t>
      </w:r>
      <w:r>
        <w:rPr>
          <w:rFonts w:ascii="Arial"/>
          <w:b/>
          <w:i/>
          <w:spacing w:val="-2"/>
          <w:sz w:val="21"/>
        </w:rPr>
        <w:t>Changes</w:t>
      </w:r>
    </w:p>
    <w:p>
      <w:pPr>
        <w:pStyle w:val="BodyText"/>
        <w:spacing w:before="120"/>
        <w:ind w:left="1224" w:right="1481"/>
      </w:pPr>
      <w:r>
        <w:t>The initial bid submission must reflect pending service area expansions and changes. The user must enter county-level data on Worksheet 5 for each county in the proposed service</w:t>
      </w:r>
      <w:r>
        <w:rPr>
          <w:spacing w:val="-2"/>
        </w:rPr>
        <w:t xml:space="preserve"> </w:t>
      </w:r>
      <w:r>
        <w:t>area.</w:t>
      </w:r>
      <w:r>
        <w:rPr>
          <w:spacing w:val="-1"/>
        </w:rPr>
        <w:t xml:space="preserve"> </w:t>
      </w:r>
      <w:r>
        <w:t>If</w:t>
      </w:r>
      <w:r>
        <w:rPr>
          <w:spacing w:val="-3"/>
        </w:rPr>
        <w:t xml:space="preserve"> </w:t>
      </w:r>
      <w:r>
        <w:t>the</w:t>
      </w:r>
      <w:r>
        <w:rPr>
          <w:spacing w:val="-5"/>
        </w:rPr>
        <w:t xml:space="preserve"> </w:t>
      </w:r>
      <w:r>
        <w:t>pending</w:t>
      </w:r>
      <w:r>
        <w:rPr>
          <w:spacing w:val="-3"/>
        </w:rPr>
        <w:t xml:space="preserve"> </w:t>
      </w:r>
      <w:r>
        <w:t>request</w:t>
      </w:r>
      <w:r>
        <w:rPr>
          <w:spacing w:val="-3"/>
        </w:rPr>
        <w:t xml:space="preserve"> </w:t>
      </w:r>
      <w:r>
        <w:t>is</w:t>
      </w:r>
      <w:r>
        <w:rPr>
          <w:spacing w:val="-4"/>
        </w:rPr>
        <w:t xml:space="preserve"> </w:t>
      </w:r>
      <w:r>
        <w:t>later</w:t>
      </w:r>
      <w:r>
        <w:rPr>
          <w:spacing w:val="-3"/>
        </w:rPr>
        <w:t xml:space="preserve"> </w:t>
      </w:r>
      <w:r>
        <w:t>denied,</w:t>
      </w:r>
      <w:r>
        <w:rPr>
          <w:spacing w:val="-3"/>
        </w:rPr>
        <w:t xml:space="preserve"> </w:t>
      </w:r>
      <w:r>
        <w:t>then</w:t>
      </w:r>
      <w:r>
        <w:rPr>
          <w:spacing w:val="-3"/>
        </w:rPr>
        <w:t xml:space="preserve"> </w:t>
      </w:r>
      <w:r>
        <w:t>the</w:t>
      </w:r>
      <w:r>
        <w:rPr>
          <w:spacing w:val="-2"/>
        </w:rPr>
        <w:t xml:space="preserve"> </w:t>
      </w:r>
      <w:r>
        <w:t>MAO</w:t>
      </w:r>
      <w:r>
        <w:rPr>
          <w:spacing w:val="-4"/>
        </w:rPr>
        <w:t xml:space="preserve"> </w:t>
      </w:r>
      <w:r>
        <w:t>must</w:t>
      </w:r>
      <w:r>
        <w:rPr>
          <w:spacing w:val="-2"/>
        </w:rPr>
        <w:t xml:space="preserve"> </w:t>
      </w:r>
      <w:r>
        <w:t>resubmit</w:t>
      </w:r>
      <w:r>
        <w:rPr>
          <w:spacing w:val="-3"/>
        </w:rPr>
        <w:t xml:space="preserve"> </w:t>
      </w:r>
      <w:r>
        <w:t>a</w:t>
      </w:r>
      <w:r>
        <w:rPr>
          <w:spacing w:val="-3"/>
        </w:rPr>
        <w:t xml:space="preserve"> </w:t>
      </w:r>
      <w:r>
        <w:t>BPT</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left="1224" w:right="1481"/>
      </w:pPr>
      <w:r>
        <w:t>that</w:t>
      </w:r>
      <w:r>
        <w:rPr>
          <w:spacing w:val="-3"/>
        </w:rPr>
        <w:t xml:space="preserve"> </w:t>
      </w:r>
      <w:r>
        <w:t>includes</w:t>
      </w:r>
      <w:r>
        <w:rPr>
          <w:spacing w:val="-4"/>
        </w:rPr>
        <w:t xml:space="preserve"> </w:t>
      </w:r>
      <w:r>
        <w:t>only</w:t>
      </w:r>
      <w:r>
        <w:rPr>
          <w:spacing w:val="-3"/>
        </w:rPr>
        <w:t xml:space="preserve"> </w:t>
      </w:r>
      <w:r>
        <w:t>the</w:t>
      </w:r>
      <w:r>
        <w:rPr>
          <w:spacing w:val="-3"/>
        </w:rPr>
        <w:t xml:space="preserve"> </w:t>
      </w:r>
      <w:r>
        <w:t>approved</w:t>
      </w:r>
      <w:r>
        <w:rPr>
          <w:spacing w:val="-3"/>
        </w:rPr>
        <w:t xml:space="preserve"> </w:t>
      </w:r>
      <w:r>
        <w:t>counties.</w:t>
      </w:r>
      <w:r>
        <w:rPr>
          <w:spacing w:val="-3"/>
        </w:rPr>
        <w:t xml:space="preserve"> </w:t>
      </w:r>
      <w:r>
        <w:t>The</w:t>
      </w:r>
      <w:r>
        <w:rPr>
          <w:spacing w:val="-2"/>
        </w:rPr>
        <w:t xml:space="preserve"> </w:t>
      </w:r>
      <w:r>
        <w:t>revised</w:t>
      </w:r>
      <w:r>
        <w:rPr>
          <w:spacing w:val="-3"/>
        </w:rPr>
        <w:t xml:space="preserve"> </w:t>
      </w:r>
      <w:r>
        <w:t>bid</w:t>
      </w:r>
      <w:r>
        <w:rPr>
          <w:spacing w:val="-3"/>
        </w:rPr>
        <w:t xml:space="preserve"> </w:t>
      </w:r>
      <w:r>
        <w:t>values</w:t>
      </w:r>
      <w:r>
        <w:rPr>
          <w:spacing w:val="-4"/>
        </w:rPr>
        <w:t xml:space="preserve"> </w:t>
      </w:r>
      <w:r>
        <w:t>must</w:t>
      </w:r>
      <w:r>
        <w:rPr>
          <w:spacing w:val="-3"/>
        </w:rPr>
        <w:t xml:space="preserve"> </w:t>
      </w:r>
      <w:r>
        <w:t>reflect</w:t>
      </w:r>
      <w:r>
        <w:rPr>
          <w:spacing w:val="-3"/>
        </w:rPr>
        <w:t xml:space="preserve"> </w:t>
      </w:r>
      <w:r>
        <w:t>only</w:t>
      </w:r>
      <w:r>
        <w:rPr>
          <w:spacing w:val="-3"/>
        </w:rPr>
        <w:t xml:space="preserve"> </w:t>
      </w:r>
      <w:r>
        <w:t>the change in the service area.</w:t>
      </w:r>
    </w:p>
    <w:p>
      <w:pPr>
        <w:pStyle w:val="BodyText"/>
        <w:spacing w:before="120"/>
        <w:ind w:left="1224" w:right="1443"/>
      </w:pPr>
      <w:r>
        <w:t>If a decision by CMS on a service area change remains outstanding as of July 15</w:t>
      </w:r>
      <w:r>
        <w:rPr>
          <w:vertAlign w:val="superscript"/>
        </w:rPr>
        <w:t>th</w:t>
      </w:r>
      <w:r>
        <w:rPr>
          <w:vertAlign w:val="baseline"/>
        </w:rPr>
        <w:t>,</w:t>
      </w:r>
      <w:r>
        <w:rPr>
          <w:spacing w:val="-1"/>
          <w:vertAlign w:val="baseline"/>
        </w:rPr>
        <w:t xml:space="preserve"> </w:t>
      </w:r>
      <w:r>
        <w:rPr>
          <w:vertAlign w:val="baseline"/>
        </w:rPr>
        <w:t>then CMS</w:t>
      </w:r>
      <w:r>
        <w:rPr>
          <w:spacing w:val="-3"/>
          <w:vertAlign w:val="baseline"/>
        </w:rPr>
        <w:t xml:space="preserve"> </w:t>
      </w:r>
      <w:r>
        <w:rPr>
          <w:vertAlign w:val="baseline"/>
        </w:rPr>
        <w:t>will</w:t>
      </w:r>
      <w:r>
        <w:rPr>
          <w:spacing w:val="-3"/>
          <w:vertAlign w:val="baseline"/>
        </w:rPr>
        <w:t xml:space="preserve"> </w:t>
      </w:r>
      <w:r>
        <w:rPr>
          <w:vertAlign w:val="baseline"/>
        </w:rPr>
        <w:t>request</w:t>
      </w:r>
      <w:r>
        <w:rPr>
          <w:spacing w:val="-3"/>
          <w:vertAlign w:val="baseline"/>
        </w:rPr>
        <w:t xml:space="preserve"> </w:t>
      </w:r>
      <w:r>
        <w:rPr>
          <w:vertAlign w:val="baseline"/>
        </w:rPr>
        <w:t>a</w:t>
      </w:r>
      <w:r>
        <w:rPr>
          <w:spacing w:val="-3"/>
          <w:vertAlign w:val="baseline"/>
        </w:rPr>
        <w:t xml:space="preserve"> </w:t>
      </w:r>
      <w:r>
        <w:rPr>
          <w:vertAlign w:val="baseline"/>
        </w:rPr>
        <w:t>sample</w:t>
      </w:r>
      <w:r>
        <w:rPr>
          <w:spacing w:val="-4"/>
          <w:vertAlign w:val="baseline"/>
        </w:rPr>
        <w:t xml:space="preserve"> </w:t>
      </w:r>
      <w:r>
        <w:rPr>
          <w:vertAlign w:val="baseline"/>
        </w:rPr>
        <w:t>BPT</w:t>
      </w:r>
      <w:r>
        <w:rPr>
          <w:spacing w:val="-3"/>
          <w:vertAlign w:val="baseline"/>
        </w:rPr>
        <w:t xml:space="preserve"> </w:t>
      </w:r>
      <w:r>
        <w:rPr>
          <w:vertAlign w:val="baseline"/>
        </w:rPr>
        <w:t>omitting</w:t>
      </w:r>
      <w:r>
        <w:rPr>
          <w:spacing w:val="-4"/>
          <w:vertAlign w:val="baseline"/>
        </w:rPr>
        <w:t xml:space="preserve"> </w:t>
      </w:r>
      <w:r>
        <w:rPr>
          <w:vertAlign w:val="baseline"/>
        </w:rPr>
        <w:t>the</w:t>
      </w:r>
      <w:r>
        <w:rPr>
          <w:spacing w:val="-3"/>
          <w:vertAlign w:val="baseline"/>
        </w:rPr>
        <w:t xml:space="preserve"> </w:t>
      </w:r>
      <w:r>
        <w:rPr>
          <w:vertAlign w:val="baseline"/>
        </w:rPr>
        <w:t>pending</w:t>
      </w:r>
      <w:r>
        <w:rPr>
          <w:spacing w:val="-3"/>
          <w:vertAlign w:val="baseline"/>
        </w:rPr>
        <w:t xml:space="preserve"> </w:t>
      </w:r>
      <w:r>
        <w:rPr>
          <w:vertAlign w:val="baseline"/>
        </w:rPr>
        <w:t>change.</w:t>
      </w:r>
      <w:r>
        <w:rPr>
          <w:spacing w:val="-1"/>
          <w:vertAlign w:val="baseline"/>
        </w:rPr>
        <w:t xml:space="preserve"> </w:t>
      </w:r>
      <w:r>
        <w:rPr>
          <w:vertAlign w:val="baseline"/>
        </w:rPr>
        <w:t>The</w:t>
      </w:r>
      <w:r>
        <w:rPr>
          <w:spacing w:val="-4"/>
          <w:vertAlign w:val="baseline"/>
        </w:rPr>
        <w:t xml:space="preserve"> </w:t>
      </w:r>
      <w:r>
        <w:rPr>
          <w:vertAlign w:val="baseline"/>
        </w:rPr>
        <w:t>sample</w:t>
      </w:r>
      <w:r>
        <w:rPr>
          <w:spacing w:val="-1"/>
          <w:vertAlign w:val="baseline"/>
        </w:rPr>
        <w:t xml:space="preserve"> </w:t>
      </w:r>
      <w:r>
        <w:rPr>
          <w:vertAlign w:val="baseline"/>
        </w:rPr>
        <w:t>BPT</w:t>
      </w:r>
      <w:r>
        <w:rPr>
          <w:spacing w:val="-3"/>
          <w:vertAlign w:val="baseline"/>
        </w:rPr>
        <w:t xml:space="preserve"> </w:t>
      </w:r>
      <w:r>
        <w:rPr>
          <w:vertAlign w:val="baseline"/>
        </w:rPr>
        <w:t>is</w:t>
      </w:r>
      <w:r>
        <w:rPr>
          <w:spacing w:val="-4"/>
          <w:vertAlign w:val="baseline"/>
        </w:rPr>
        <w:t xml:space="preserve"> </w:t>
      </w:r>
      <w:r>
        <w:rPr>
          <w:vertAlign w:val="baseline"/>
        </w:rPr>
        <w:t>not</w:t>
      </w:r>
      <w:r>
        <w:rPr>
          <w:spacing w:val="-3"/>
          <w:vertAlign w:val="baseline"/>
        </w:rPr>
        <w:t xml:space="preserve"> </w:t>
      </w:r>
      <w:r>
        <w:rPr>
          <w:vertAlign w:val="baseline"/>
        </w:rPr>
        <w:t>to be uploaded to HPMS.</w:t>
      </w:r>
    </w:p>
    <w:p>
      <w:pPr>
        <w:spacing w:before="241"/>
        <w:ind w:left="504" w:right="0" w:firstLine="0"/>
        <w:jc w:val="left"/>
        <w:rPr>
          <w:rFonts w:ascii="Arial"/>
          <w:b/>
          <w:sz w:val="21"/>
        </w:rPr>
      </w:pPr>
      <w:bookmarkStart w:id="108" w:name="Supporting Documentation"/>
      <w:bookmarkEnd w:id="108"/>
      <w:bookmarkStart w:id="109" w:name="_bookmark37"/>
      <w:bookmarkEnd w:id="109"/>
      <w:r>
        <w:rPr>
          <w:rFonts w:ascii="Arial"/>
          <w:b/>
          <w:sz w:val="21"/>
        </w:rPr>
        <w:t>Supporting</w:t>
      </w:r>
      <w:r>
        <w:rPr>
          <w:rFonts w:ascii="Arial"/>
          <w:b/>
          <w:spacing w:val="-10"/>
          <w:sz w:val="21"/>
        </w:rPr>
        <w:t xml:space="preserve"> </w:t>
      </w:r>
      <w:r>
        <w:rPr>
          <w:rFonts w:ascii="Arial"/>
          <w:b/>
          <w:spacing w:val="-2"/>
          <w:sz w:val="21"/>
        </w:rPr>
        <w:t>Documentation</w:t>
      </w:r>
    </w:p>
    <w:p>
      <w:pPr>
        <w:pStyle w:val="BodyText"/>
        <w:spacing w:before="120"/>
        <w:ind w:right="1841"/>
      </w:pPr>
      <w:r>
        <w:t>In</w:t>
      </w:r>
      <w:r>
        <w:rPr>
          <w:spacing w:val="-2"/>
        </w:rPr>
        <w:t xml:space="preserve"> </w:t>
      </w:r>
      <w:r>
        <w:t>addition</w:t>
      </w:r>
      <w:r>
        <w:rPr>
          <w:spacing w:val="-4"/>
        </w:rPr>
        <w:t xml:space="preserve"> </w:t>
      </w:r>
      <w:r>
        <w:t>to</w:t>
      </w:r>
      <w:r>
        <w:rPr>
          <w:spacing w:val="-4"/>
        </w:rPr>
        <w:t xml:space="preserve"> </w:t>
      </w:r>
      <w:r>
        <w:t>the</w:t>
      </w:r>
      <w:r>
        <w:rPr>
          <w:spacing w:val="-4"/>
        </w:rPr>
        <w:t xml:space="preserve"> </w:t>
      </w:r>
      <w:r>
        <w:t>BPT</w:t>
      </w:r>
      <w:r>
        <w:rPr>
          <w:spacing w:val="-4"/>
        </w:rPr>
        <w:t xml:space="preserve"> </w:t>
      </w:r>
      <w:r>
        <w:t>and</w:t>
      </w:r>
      <w:r>
        <w:rPr>
          <w:spacing w:val="-4"/>
        </w:rPr>
        <w:t xml:space="preserve"> </w:t>
      </w:r>
      <w:r>
        <w:t>actuarial</w:t>
      </w:r>
      <w:r>
        <w:rPr>
          <w:spacing w:val="-2"/>
        </w:rPr>
        <w:t xml:space="preserve"> </w:t>
      </w:r>
      <w:r>
        <w:t>certification,</w:t>
      </w:r>
      <w:r>
        <w:rPr>
          <w:spacing w:val="-4"/>
        </w:rPr>
        <w:t xml:space="preserve"> </w:t>
      </w:r>
      <w:r>
        <w:t>organizations</w:t>
      </w:r>
      <w:r>
        <w:rPr>
          <w:spacing w:val="-5"/>
        </w:rPr>
        <w:t xml:space="preserve"> </w:t>
      </w:r>
      <w:r>
        <w:t>must</w:t>
      </w:r>
      <w:r>
        <w:rPr>
          <w:spacing w:val="-2"/>
        </w:rPr>
        <w:t xml:space="preserve"> </w:t>
      </w:r>
      <w:r>
        <w:t>submit</w:t>
      </w:r>
      <w:r>
        <w:rPr>
          <w:spacing w:val="-3"/>
        </w:rPr>
        <w:t xml:space="preserve"> </w:t>
      </w:r>
      <w:r>
        <w:t>supporting documentation for every bid. See Appendix B for a description of the supporting documentation requirements, including content, quality, and timing.</w:t>
      </w:r>
    </w:p>
    <w:p>
      <w:pPr>
        <w:pStyle w:val="BodyText"/>
        <w:spacing w:after="0"/>
        <w:sectPr>
          <w:pgSz w:w="12240" w:h="15840"/>
          <w:pgMar w:top="960" w:right="0" w:bottom="940" w:left="1080" w:header="727" w:footer="747"/>
          <w:cols w:space="720"/>
        </w:sectPr>
      </w:pPr>
    </w:p>
    <w:p>
      <w:pPr>
        <w:pStyle w:val="BodyText"/>
        <w:spacing w:before="264"/>
        <w:ind w:left="0"/>
        <w:rPr>
          <w:sz w:val="28"/>
        </w:rPr>
      </w:pPr>
    </w:p>
    <w:p>
      <w:pPr>
        <w:pStyle w:val="Heading1"/>
        <w:numPr>
          <w:ilvl w:val="0"/>
          <w:numId w:val="56"/>
        </w:numPr>
        <w:tabs>
          <w:tab w:val="left" w:pos="785"/>
          <w:tab w:val="left" w:pos="9750"/>
        </w:tabs>
        <w:spacing w:before="0" w:after="0" w:line="240" w:lineRule="auto"/>
        <w:ind w:left="785" w:right="0" w:hanging="310"/>
        <w:jc w:val="left"/>
        <w:rPr>
          <w:u w:val="single"/>
        </w:rPr>
      </w:pPr>
      <w:bookmarkStart w:id="110" w:name="III. Data Entry and Formulas"/>
      <w:bookmarkEnd w:id="110"/>
      <w:bookmarkStart w:id="111" w:name="_bookmark38"/>
      <w:bookmarkEnd w:id="111"/>
      <w:r>
        <w:rPr>
          <w:spacing w:val="-4"/>
          <w:u w:val="single"/>
        </w:rPr>
        <w:t xml:space="preserve"> </w:t>
      </w:r>
      <w:r>
        <w:rPr>
          <w:u w:val="single"/>
        </w:rPr>
        <w:t>DATA</w:t>
      </w:r>
      <w:r>
        <w:rPr>
          <w:spacing w:val="-5"/>
          <w:u w:val="single"/>
        </w:rPr>
        <w:t xml:space="preserve"> </w:t>
      </w:r>
      <w:r>
        <w:rPr>
          <w:u w:val="single"/>
        </w:rPr>
        <w:t>ENTRY</w:t>
      </w:r>
      <w:r>
        <w:rPr>
          <w:spacing w:val="-4"/>
          <w:u w:val="single"/>
        </w:rPr>
        <w:t xml:space="preserve"> </w:t>
      </w:r>
      <w:r>
        <w:rPr>
          <w:u w:val="single"/>
        </w:rPr>
        <w:t>AND</w:t>
      </w:r>
      <w:r>
        <w:rPr>
          <w:spacing w:val="-4"/>
          <w:u w:val="single"/>
        </w:rPr>
        <w:t xml:space="preserve"> </w:t>
      </w:r>
      <w:r>
        <w:rPr>
          <w:spacing w:val="-2"/>
          <w:u w:val="single"/>
        </w:rPr>
        <w:t>FORMULAS</w:t>
      </w:r>
      <w:r>
        <w:rPr>
          <w:u w:val="single"/>
        </w:rPr>
        <w:tab/>
      </w:r>
    </w:p>
    <w:p>
      <w:pPr>
        <w:pStyle w:val="BodyText"/>
        <w:spacing w:before="271"/>
        <w:ind w:right="1481"/>
      </w:pPr>
      <w:r>
        <w:t>This</w:t>
      </w:r>
      <w:r>
        <w:rPr>
          <w:spacing w:val="-4"/>
        </w:rPr>
        <w:t xml:space="preserve"> </w:t>
      </w:r>
      <w:r>
        <w:t>section</w:t>
      </w:r>
      <w:r>
        <w:rPr>
          <w:spacing w:val="-4"/>
        </w:rPr>
        <w:t xml:space="preserve"> </w:t>
      </w:r>
      <w:r>
        <w:t>includes</w:t>
      </w:r>
      <w:r>
        <w:rPr>
          <w:spacing w:val="-4"/>
        </w:rPr>
        <w:t xml:space="preserve"> </w:t>
      </w:r>
      <w:r>
        <w:t>line-by-line</w:t>
      </w:r>
      <w:r>
        <w:rPr>
          <w:spacing w:val="-5"/>
        </w:rPr>
        <w:t xml:space="preserve"> </w:t>
      </w:r>
      <w:r>
        <w:t>instructions</w:t>
      </w:r>
      <w:r>
        <w:rPr>
          <w:spacing w:val="-4"/>
        </w:rPr>
        <w:t xml:space="preserve"> </w:t>
      </w:r>
      <w:r>
        <w:t>for</w:t>
      </w:r>
      <w:r>
        <w:rPr>
          <w:spacing w:val="-6"/>
        </w:rPr>
        <w:t xml:space="preserve"> </w:t>
      </w:r>
      <w:r>
        <w:t>completing</w:t>
      </w:r>
      <w:r>
        <w:rPr>
          <w:spacing w:val="-4"/>
        </w:rPr>
        <w:t xml:space="preserve"> </w:t>
      </w:r>
      <w:r>
        <w:t>the</w:t>
      </w:r>
      <w:r>
        <w:rPr>
          <w:spacing w:val="-5"/>
        </w:rPr>
        <w:t xml:space="preserve"> </w:t>
      </w:r>
      <w:r>
        <w:t>Medicare</w:t>
      </w:r>
      <w:r>
        <w:rPr>
          <w:spacing w:val="-4"/>
        </w:rPr>
        <w:t xml:space="preserve"> </w:t>
      </w:r>
      <w:r>
        <w:t>Advantage</w:t>
      </w:r>
      <w:r>
        <w:rPr>
          <w:spacing w:val="-6"/>
        </w:rPr>
        <w:t xml:space="preserve"> </w:t>
      </w:r>
      <w:r>
        <w:t>(MA) BPT and the Medical Savings Account (MSA) BPT. It also describes the formulas for calculated cells.</w:t>
      </w:r>
    </w:p>
    <w:p>
      <w:pPr>
        <w:pStyle w:val="BodyText"/>
        <w:spacing w:before="45"/>
        <w:ind w:left="0"/>
      </w:pPr>
    </w:p>
    <w:p>
      <w:pPr>
        <w:pStyle w:val="Heading2"/>
      </w:pPr>
      <w:bookmarkStart w:id="112" w:name="Medicare Advantage"/>
      <w:bookmarkEnd w:id="112"/>
      <w:bookmarkStart w:id="113" w:name="_bookmark39"/>
      <w:bookmarkEnd w:id="113"/>
      <w:r>
        <w:rPr>
          <w:smallCaps/>
        </w:rPr>
        <w:t>Medicare</w:t>
      </w:r>
      <w:r>
        <w:rPr>
          <w:smallCaps/>
          <w:spacing w:val="-11"/>
        </w:rPr>
        <w:t xml:space="preserve"> </w:t>
      </w:r>
      <w:r>
        <w:rPr>
          <w:smallCaps/>
          <w:spacing w:val="-2"/>
        </w:rPr>
        <w:t>Advantage</w:t>
      </w:r>
    </w:p>
    <w:p>
      <w:pPr>
        <w:pStyle w:val="BodyText"/>
        <w:spacing w:before="179"/>
        <w:ind w:right="1841"/>
      </w:pPr>
      <w:r>
        <w:t>To</w:t>
      </w:r>
      <w:r>
        <w:rPr>
          <w:spacing w:val="-3"/>
        </w:rPr>
        <w:t xml:space="preserve"> </w:t>
      </w:r>
      <w:r>
        <w:t>complete</w:t>
      </w:r>
      <w:r>
        <w:rPr>
          <w:spacing w:val="-3"/>
        </w:rPr>
        <w:t xml:space="preserve"> </w:t>
      </w:r>
      <w:r>
        <w:t>the</w:t>
      </w:r>
      <w:r>
        <w:rPr>
          <w:spacing w:val="-4"/>
        </w:rPr>
        <w:t xml:space="preserve"> </w:t>
      </w:r>
      <w:r>
        <w:t>MA</w:t>
      </w:r>
      <w:r>
        <w:rPr>
          <w:spacing w:val="-4"/>
        </w:rPr>
        <w:t xml:space="preserve"> </w:t>
      </w:r>
      <w:r>
        <w:t>BPT,</w:t>
      </w:r>
      <w:r>
        <w:rPr>
          <w:spacing w:val="-3"/>
        </w:rPr>
        <w:t xml:space="preserve"> </w:t>
      </w:r>
      <w:r>
        <w:t>organizations</w:t>
      </w:r>
      <w:r>
        <w:rPr>
          <w:spacing w:val="-3"/>
        </w:rPr>
        <w:t xml:space="preserve"> </w:t>
      </w:r>
      <w:r>
        <w:t>must</w:t>
      </w:r>
      <w:r>
        <w:rPr>
          <w:spacing w:val="-2"/>
        </w:rPr>
        <w:t xml:space="preserve"> </w:t>
      </w:r>
      <w:r>
        <w:t>provide</w:t>
      </w:r>
      <w:r>
        <w:rPr>
          <w:spacing w:val="-3"/>
        </w:rPr>
        <w:t xml:space="preserve"> </w:t>
      </w:r>
      <w:r>
        <w:t>a</w:t>
      </w:r>
      <w:r>
        <w:rPr>
          <w:spacing w:val="-5"/>
        </w:rPr>
        <w:t xml:space="preserve"> </w:t>
      </w:r>
      <w:r>
        <w:t>series</w:t>
      </w:r>
      <w:r>
        <w:rPr>
          <w:spacing w:val="-4"/>
        </w:rPr>
        <w:t xml:space="preserve"> </w:t>
      </w:r>
      <w:r>
        <w:t>of</w:t>
      </w:r>
      <w:r>
        <w:rPr>
          <w:spacing w:val="-3"/>
        </w:rPr>
        <w:t xml:space="preserve"> </w:t>
      </w:r>
      <w:r>
        <w:t>data</w:t>
      </w:r>
      <w:r>
        <w:rPr>
          <w:spacing w:val="-2"/>
        </w:rPr>
        <w:t xml:space="preserve"> </w:t>
      </w:r>
      <w:r>
        <w:t>entries</w:t>
      </w:r>
      <w:r>
        <w:rPr>
          <w:spacing w:val="-4"/>
        </w:rPr>
        <w:t xml:space="preserve"> </w:t>
      </w:r>
      <w:r>
        <w:t>on</w:t>
      </w:r>
      <w:r>
        <w:rPr>
          <w:spacing w:val="-3"/>
        </w:rPr>
        <w:t xml:space="preserve"> </w:t>
      </w:r>
      <w:r>
        <w:t>the appropriate form pages.</w:t>
      </w:r>
    </w:p>
    <w:p>
      <w:pPr>
        <w:pStyle w:val="BodyText"/>
        <w:spacing w:before="120"/>
      </w:pPr>
      <w:r>
        <w:t>The</w:t>
      </w:r>
      <w:r>
        <w:rPr>
          <w:spacing w:val="-5"/>
        </w:rPr>
        <w:t xml:space="preserve"> </w:t>
      </w:r>
      <w:r>
        <w:t>MA</w:t>
      </w:r>
      <w:r>
        <w:rPr>
          <w:spacing w:val="-2"/>
        </w:rPr>
        <w:t xml:space="preserve"> </w:t>
      </w:r>
      <w:r>
        <w:t>BPT</w:t>
      </w:r>
      <w:r>
        <w:rPr>
          <w:spacing w:val="-1"/>
        </w:rPr>
        <w:t xml:space="preserve"> </w:t>
      </w:r>
      <w:r>
        <w:t>is</w:t>
      </w:r>
      <w:r>
        <w:rPr>
          <w:spacing w:val="-1"/>
        </w:rPr>
        <w:t xml:space="preserve"> </w:t>
      </w:r>
      <w:r>
        <w:t>organized</w:t>
      </w:r>
      <w:r>
        <w:rPr>
          <w:spacing w:val="-1"/>
        </w:rPr>
        <w:t xml:space="preserve"> </w:t>
      </w:r>
      <w:r>
        <w:t>as</w:t>
      </w:r>
      <w:r>
        <w:rPr>
          <w:spacing w:val="-2"/>
        </w:rPr>
        <w:t xml:space="preserve"> </w:t>
      </w:r>
      <w:r>
        <w:t xml:space="preserve">outlined </w:t>
      </w:r>
      <w:r>
        <w:rPr>
          <w:spacing w:val="-2"/>
        </w:rPr>
        <w:t>below:</w:t>
      </w:r>
    </w:p>
    <w:p>
      <w:pPr>
        <w:pStyle w:val="ListParagraph"/>
        <w:numPr>
          <w:ilvl w:val="1"/>
          <w:numId w:val="56"/>
        </w:numPr>
        <w:tabs>
          <w:tab w:val="left" w:pos="1584"/>
        </w:tabs>
        <w:spacing w:before="118" w:after="0" w:line="240" w:lineRule="auto"/>
        <w:ind w:left="1584" w:right="0" w:hanging="360"/>
        <w:jc w:val="left"/>
        <w:rPr>
          <w:sz w:val="24"/>
        </w:rPr>
      </w:pPr>
      <w:r>
        <w:rPr>
          <w:sz w:val="24"/>
        </w:rPr>
        <w:t>Worksheet</w:t>
      </w:r>
      <w:r>
        <w:rPr>
          <w:spacing w:val="-2"/>
          <w:sz w:val="24"/>
        </w:rPr>
        <w:t xml:space="preserve"> </w:t>
      </w:r>
      <w:r>
        <w:rPr>
          <w:sz w:val="24"/>
        </w:rPr>
        <w:t>1</w:t>
      </w:r>
      <w:r>
        <w:rPr>
          <w:spacing w:val="-1"/>
          <w:sz w:val="24"/>
        </w:rPr>
        <w:t xml:space="preserve"> </w:t>
      </w:r>
      <w:r>
        <w:rPr>
          <w:sz w:val="24"/>
        </w:rPr>
        <w:t>–</w:t>
      </w:r>
      <w:r>
        <w:rPr>
          <w:spacing w:val="-1"/>
          <w:sz w:val="24"/>
        </w:rPr>
        <w:t xml:space="preserve"> </w:t>
      </w:r>
      <w:r>
        <w:rPr>
          <w:sz w:val="24"/>
        </w:rPr>
        <w:t>MA</w:t>
      </w:r>
      <w:r>
        <w:rPr>
          <w:spacing w:val="-3"/>
          <w:sz w:val="24"/>
        </w:rPr>
        <w:t xml:space="preserve"> </w:t>
      </w:r>
      <w:r>
        <w:rPr>
          <w:sz w:val="24"/>
        </w:rPr>
        <w:t>Base Period</w:t>
      </w:r>
      <w:r>
        <w:rPr>
          <w:spacing w:val="-2"/>
          <w:sz w:val="24"/>
        </w:rPr>
        <w:t xml:space="preserve"> </w:t>
      </w:r>
      <w:r>
        <w:rPr>
          <w:sz w:val="24"/>
        </w:rPr>
        <w:t>Experience</w:t>
      </w:r>
      <w:r>
        <w:rPr>
          <w:spacing w:val="-2"/>
          <w:sz w:val="24"/>
        </w:rPr>
        <w:t xml:space="preserve"> </w:t>
      </w:r>
      <w:r>
        <w:rPr>
          <w:sz w:val="24"/>
        </w:rPr>
        <w:t>and</w:t>
      </w:r>
      <w:r>
        <w:rPr>
          <w:spacing w:val="-1"/>
          <w:sz w:val="24"/>
        </w:rPr>
        <w:t xml:space="preserve"> </w:t>
      </w:r>
      <w:r>
        <w:rPr>
          <w:sz w:val="24"/>
        </w:rPr>
        <w:t>Projection</w:t>
      </w:r>
      <w:r>
        <w:rPr>
          <w:spacing w:val="-1"/>
          <w:sz w:val="24"/>
        </w:rPr>
        <w:t xml:space="preserve"> </w:t>
      </w:r>
      <w:r>
        <w:rPr>
          <w:spacing w:val="-2"/>
          <w:sz w:val="24"/>
        </w:rPr>
        <w:t>Assumptions</w:t>
      </w:r>
    </w:p>
    <w:p>
      <w:pPr>
        <w:pStyle w:val="ListParagraph"/>
        <w:numPr>
          <w:ilvl w:val="1"/>
          <w:numId w:val="56"/>
        </w:numPr>
        <w:tabs>
          <w:tab w:val="left" w:pos="1584"/>
        </w:tabs>
        <w:spacing w:before="1" w:after="0" w:line="240" w:lineRule="auto"/>
        <w:ind w:left="1584" w:right="0" w:hanging="360"/>
        <w:jc w:val="left"/>
        <w:rPr>
          <w:sz w:val="24"/>
        </w:rPr>
      </w:pPr>
      <w:r>
        <w:rPr>
          <w:sz w:val="24"/>
        </w:rPr>
        <w:t>Worksheet</w:t>
      </w:r>
      <w:r>
        <w:rPr>
          <w:spacing w:val="-2"/>
          <w:sz w:val="24"/>
        </w:rPr>
        <w:t xml:space="preserve"> </w:t>
      </w:r>
      <w:r>
        <w:rPr>
          <w:sz w:val="24"/>
        </w:rPr>
        <w:t>2</w:t>
      </w:r>
      <w:r>
        <w:rPr>
          <w:spacing w:val="-2"/>
          <w:sz w:val="24"/>
        </w:rPr>
        <w:t xml:space="preserve"> </w:t>
      </w:r>
      <w:r>
        <w:rPr>
          <w:sz w:val="24"/>
        </w:rPr>
        <w:t>–</w:t>
      </w:r>
      <w:r>
        <w:rPr>
          <w:spacing w:val="-1"/>
          <w:sz w:val="24"/>
        </w:rPr>
        <w:t xml:space="preserve"> </w:t>
      </w:r>
      <w:r>
        <w:rPr>
          <w:sz w:val="24"/>
        </w:rPr>
        <w:t>MA</w:t>
      </w:r>
      <w:r>
        <w:rPr>
          <w:spacing w:val="-3"/>
          <w:sz w:val="24"/>
        </w:rPr>
        <w:t xml:space="preserve"> </w:t>
      </w:r>
      <w:r>
        <w:rPr>
          <w:sz w:val="24"/>
        </w:rPr>
        <w:t>Projected</w:t>
      </w:r>
      <w:r>
        <w:rPr>
          <w:spacing w:val="-1"/>
          <w:sz w:val="24"/>
        </w:rPr>
        <w:t xml:space="preserve"> </w:t>
      </w:r>
      <w:r>
        <w:rPr>
          <w:sz w:val="24"/>
        </w:rPr>
        <w:t>Allowed</w:t>
      </w:r>
      <w:r>
        <w:rPr>
          <w:spacing w:val="-2"/>
          <w:sz w:val="24"/>
        </w:rPr>
        <w:t xml:space="preserve"> </w:t>
      </w:r>
      <w:r>
        <w:rPr>
          <w:sz w:val="24"/>
        </w:rPr>
        <w:t>Costs</w:t>
      </w:r>
      <w:r>
        <w:rPr>
          <w:spacing w:val="-1"/>
          <w:sz w:val="24"/>
        </w:rPr>
        <w:t xml:space="preserve"> </w:t>
      </w:r>
      <w:r>
        <w:rPr>
          <w:spacing w:val="-4"/>
          <w:sz w:val="24"/>
        </w:rPr>
        <w:t>PMPM</w:t>
      </w:r>
    </w:p>
    <w:p>
      <w:pPr>
        <w:pStyle w:val="ListParagraph"/>
        <w:numPr>
          <w:ilvl w:val="1"/>
          <w:numId w:val="56"/>
        </w:numPr>
        <w:tabs>
          <w:tab w:val="left" w:pos="1584"/>
        </w:tabs>
        <w:spacing w:before="0" w:after="0" w:line="240" w:lineRule="auto"/>
        <w:ind w:left="1584" w:right="0" w:hanging="360"/>
        <w:jc w:val="left"/>
        <w:rPr>
          <w:sz w:val="24"/>
        </w:rPr>
      </w:pPr>
      <w:r>
        <w:rPr>
          <w:sz w:val="24"/>
        </w:rPr>
        <w:t>Worksheet</w:t>
      </w:r>
      <w:r>
        <w:rPr>
          <w:spacing w:val="-1"/>
          <w:sz w:val="24"/>
        </w:rPr>
        <w:t xml:space="preserve"> </w:t>
      </w:r>
      <w:r>
        <w:rPr>
          <w:sz w:val="24"/>
        </w:rPr>
        <w:t>3</w:t>
      </w:r>
      <w:r>
        <w:rPr>
          <w:spacing w:val="-1"/>
          <w:sz w:val="24"/>
        </w:rPr>
        <w:t xml:space="preserve"> </w:t>
      </w:r>
      <w:r>
        <w:rPr>
          <w:sz w:val="24"/>
        </w:rPr>
        <w:t>–</w:t>
      </w:r>
      <w:r>
        <w:rPr>
          <w:spacing w:val="-1"/>
          <w:sz w:val="24"/>
        </w:rPr>
        <w:t xml:space="preserve"> </w:t>
      </w:r>
      <w:r>
        <w:rPr>
          <w:sz w:val="24"/>
        </w:rPr>
        <w:t>MA</w:t>
      </w:r>
      <w:r>
        <w:rPr>
          <w:spacing w:val="-2"/>
          <w:sz w:val="24"/>
        </w:rPr>
        <w:t xml:space="preserve"> </w:t>
      </w:r>
      <w:r>
        <w:rPr>
          <w:sz w:val="24"/>
        </w:rPr>
        <w:t>Projected</w:t>
      </w:r>
      <w:r>
        <w:rPr>
          <w:spacing w:val="-1"/>
          <w:sz w:val="24"/>
        </w:rPr>
        <w:t xml:space="preserve"> </w:t>
      </w:r>
      <w:r>
        <w:rPr>
          <w:sz w:val="24"/>
        </w:rPr>
        <w:t>Cost</w:t>
      </w:r>
      <w:r>
        <w:rPr>
          <w:spacing w:val="-1"/>
          <w:sz w:val="24"/>
        </w:rPr>
        <w:t xml:space="preserve"> </w:t>
      </w:r>
      <w:r>
        <w:rPr>
          <w:sz w:val="24"/>
        </w:rPr>
        <w:t xml:space="preserve">Sharing </w:t>
      </w:r>
      <w:r>
        <w:rPr>
          <w:spacing w:val="-4"/>
          <w:sz w:val="24"/>
        </w:rPr>
        <w:t>PMPM</w:t>
      </w:r>
    </w:p>
    <w:p>
      <w:pPr>
        <w:pStyle w:val="ListParagraph"/>
        <w:numPr>
          <w:ilvl w:val="1"/>
          <w:numId w:val="56"/>
        </w:numPr>
        <w:tabs>
          <w:tab w:val="left" w:pos="1584"/>
        </w:tabs>
        <w:spacing w:before="0" w:after="0" w:line="240" w:lineRule="auto"/>
        <w:ind w:left="1584" w:right="0" w:hanging="360"/>
        <w:jc w:val="left"/>
        <w:rPr>
          <w:sz w:val="24"/>
        </w:rPr>
      </w:pPr>
      <w:r>
        <w:rPr>
          <w:sz w:val="24"/>
        </w:rPr>
        <w:t>Worksheet</w:t>
      </w:r>
      <w:r>
        <w:rPr>
          <w:spacing w:val="-1"/>
          <w:sz w:val="24"/>
        </w:rPr>
        <w:t xml:space="preserve"> </w:t>
      </w:r>
      <w:r>
        <w:rPr>
          <w:sz w:val="24"/>
        </w:rPr>
        <w:t>4</w:t>
      </w:r>
      <w:r>
        <w:rPr>
          <w:spacing w:val="-1"/>
          <w:sz w:val="24"/>
        </w:rPr>
        <w:t xml:space="preserve"> </w:t>
      </w:r>
      <w:r>
        <w:rPr>
          <w:sz w:val="24"/>
        </w:rPr>
        <w:t>–</w:t>
      </w:r>
      <w:r>
        <w:rPr>
          <w:spacing w:val="-2"/>
          <w:sz w:val="24"/>
        </w:rPr>
        <w:t xml:space="preserve"> </w:t>
      </w:r>
      <w:r>
        <w:rPr>
          <w:sz w:val="24"/>
        </w:rPr>
        <w:t>MA</w:t>
      </w:r>
      <w:r>
        <w:rPr>
          <w:spacing w:val="-1"/>
          <w:sz w:val="24"/>
        </w:rPr>
        <w:t xml:space="preserve"> </w:t>
      </w:r>
      <w:r>
        <w:rPr>
          <w:sz w:val="24"/>
        </w:rPr>
        <w:t>Projected</w:t>
      </w:r>
      <w:r>
        <w:rPr>
          <w:spacing w:val="-1"/>
          <w:sz w:val="24"/>
        </w:rPr>
        <w:t xml:space="preserve"> </w:t>
      </w:r>
      <w:r>
        <w:rPr>
          <w:sz w:val="24"/>
        </w:rPr>
        <w:t>Revenue</w:t>
      </w:r>
      <w:r>
        <w:rPr>
          <w:spacing w:val="-2"/>
          <w:sz w:val="24"/>
        </w:rPr>
        <w:t xml:space="preserve"> </w:t>
      </w:r>
      <w:r>
        <w:rPr>
          <w:sz w:val="24"/>
        </w:rPr>
        <w:t>Requirement</w:t>
      </w:r>
      <w:r>
        <w:rPr>
          <w:spacing w:val="-1"/>
          <w:sz w:val="24"/>
        </w:rPr>
        <w:t xml:space="preserve"> </w:t>
      </w:r>
      <w:r>
        <w:rPr>
          <w:spacing w:val="-4"/>
          <w:sz w:val="24"/>
        </w:rPr>
        <w:t>PMPM</w:t>
      </w:r>
    </w:p>
    <w:p>
      <w:pPr>
        <w:pStyle w:val="ListParagraph"/>
        <w:numPr>
          <w:ilvl w:val="1"/>
          <w:numId w:val="56"/>
        </w:numPr>
        <w:tabs>
          <w:tab w:val="left" w:pos="1584"/>
        </w:tabs>
        <w:spacing w:before="0" w:after="0" w:line="240" w:lineRule="auto"/>
        <w:ind w:left="1584" w:right="0" w:hanging="360"/>
        <w:jc w:val="left"/>
        <w:rPr>
          <w:sz w:val="24"/>
        </w:rPr>
      </w:pPr>
      <w:r>
        <w:rPr>
          <w:sz w:val="24"/>
        </w:rPr>
        <w:t>Worksheet</w:t>
      </w:r>
      <w:r>
        <w:rPr>
          <w:spacing w:val="-1"/>
          <w:sz w:val="24"/>
        </w:rPr>
        <w:t xml:space="preserve"> </w:t>
      </w:r>
      <w:r>
        <w:rPr>
          <w:sz w:val="24"/>
        </w:rPr>
        <w:t>5</w:t>
      </w:r>
      <w:r>
        <w:rPr>
          <w:spacing w:val="-1"/>
          <w:sz w:val="24"/>
        </w:rPr>
        <w:t xml:space="preserve"> </w:t>
      </w:r>
      <w:r>
        <w:rPr>
          <w:sz w:val="24"/>
        </w:rPr>
        <w:t>–</w:t>
      </w:r>
      <w:r>
        <w:rPr>
          <w:spacing w:val="-2"/>
          <w:sz w:val="24"/>
        </w:rPr>
        <w:t xml:space="preserve"> </w:t>
      </w:r>
      <w:r>
        <w:rPr>
          <w:sz w:val="24"/>
        </w:rPr>
        <w:t>MA</w:t>
      </w:r>
      <w:r>
        <w:rPr>
          <w:spacing w:val="-1"/>
          <w:sz w:val="24"/>
        </w:rPr>
        <w:t xml:space="preserve"> </w:t>
      </w:r>
      <w:r>
        <w:rPr>
          <w:sz w:val="24"/>
        </w:rPr>
        <w:t>Benchmark</w:t>
      </w:r>
      <w:r>
        <w:rPr>
          <w:spacing w:val="-1"/>
          <w:sz w:val="24"/>
        </w:rPr>
        <w:t xml:space="preserve"> </w:t>
      </w:r>
      <w:r>
        <w:rPr>
          <w:spacing w:val="-4"/>
          <w:sz w:val="24"/>
        </w:rPr>
        <w:t>PMPM</w:t>
      </w:r>
    </w:p>
    <w:p>
      <w:pPr>
        <w:pStyle w:val="ListParagraph"/>
        <w:numPr>
          <w:ilvl w:val="1"/>
          <w:numId w:val="56"/>
        </w:numPr>
        <w:tabs>
          <w:tab w:val="left" w:pos="1584"/>
        </w:tabs>
        <w:spacing w:before="0" w:after="0" w:line="240" w:lineRule="auto"/>
        <w:ind w:left="1584" w:right="0" w:hanging="360"/>
        <w:jc w:val="left"/>
        <w:rPr>
          <w:sz w:val="24"/>
        </w:rPr>
      </w:pPr>
      <w:r>
        <w:rPr>
          <w:sz w:val="24"/>
        </w:rPr>
        <w:t>Worksheet</w:t>
      </w:r>
      <w:r>
        <w:rPr>
          <w:spacing w:val="-1"/>
          <w:sz w:val="24"/>
        </w:rPr>
        <w:t xml:space="preserve"> </w:t>
      </w:r>
      <w:r>
        <w:rPr>
          <w:sz w:val="24"/>
        </w:rPr>
        <w:t>6</w:t>
      </w:r>
      <w:r>
        <w:rPr>
          <w:spacing w:val="-1"/>
          <w:sz w:val="24"/>
        </w:rPr>
        <w:t xml:space="preserve"> </w:t>
      </w:r>
      <w:r>
        <w:rPr>
          <w:sz w:val="24"/>
        </w:rPr>
        <w:t>–</w:t>
      </w:r>
      <w:r>
        <w:rPr>
          <w:spacing w:val="-2"/>
          <w:sz w:val="24"/>
        </w:rPr>
        <w:t xml:space="preserve"> </w:t>
      </w:r>
      <w:r>
        <w:rPr>
          <w:sz w:val="24"/>
        </w:rPr>
        <w:t>MA</w:t>
      </w:r>
      <w:r>
        <w:rPr>
          <w:spacing w:val="-1"/>
          <w:sz w:val="24"/>
        </w:rPr>
        <w:t xml:space="preserve"> </w:t>
      </w:r>
      <w:r>
        <w:rPr>
          <w:sz w:val="24"/>
        </w:rPr>
        <w:t>Bid</w:t>
      </w:r>
      <w:r>
        <w:rPr>
          <w:spacing w:val="-1"/>
          <w:sz w:val="24"/>
        </w:rPr>
        <w:t xml:space="preserve"> </w:t>
      </w:r>
      <w:r>
        <w:rPr>
          <w:spacing w:val="-2"/>
          <w:sz w:val="24"/>
        </w:rPr>
        <w:t>Summary</w:t>
      </w:r>
    </w:p>
    <w:p>
      <w:pPr>
        <w:pStyle w:val="ListParagraph"/>
        <w:numPr>
          <w:ilvl w:val="1"/>
          <w:numId w:val="56"/>
        </w:numPr>
        <w:tabs>
          <w:tab w:val="left" w:pos="1584"/>
        </w:tabs>
        <w:spacing w:before="0" w:after="0" w:line="240" w:lineRule="auto"/>
        <w:ind w:left="1584" w:right="0" w:hanging="360"/>
        <w:jc w:val="left"/>
        <w:rPr>
          <w:sz w:val="24"/>
        </w:rPr>
      </w:pPr>
      <w:r>
        <w:rPr>
          <w:sz w:val="24"/>
        </w:rPr>
        <w:t>Worksheet</w:t>
      </w:r>
      <w:r>
        <w:rPr>
          <w:spacing w:val="-3"/>
          <w:sz w:val="24"/>
        </w:rPr>
        <w:t xml:space="preserve"> </w:t>
      </w:r>
      <w:r>
        <w:rPr>
          <w:sz w:val="24"/>
        </w:rPr>
        <w:t>7</w:t>
      </w:r>
      <w:r>
        <w:rPr>
          <w:spacing w:val="-1"/>
          <w:sz w:val="24"/>
        </w:rPr>
        <w:t xml:space="preserve"> </w:t>
      </w:r>
      <w:r>
        <w:rPr>
          <w:sz w:val="24"/>
        </w:rPr>
        <w:t>–</w:t>
      </w:r>
      <w:r>
        <w:rPr>
          <w:spacing w:val="-1"/>
          <w:sz w:val="24"/>
        </w:rPr>
        <w:t xml:space="preserve"> </w:t>
      </w:r>
      <w:r>
        <w:rPr>
          <w:sz w:val="24"/>
        </w:rPr>
        <w:t>Optional</w:t>
      </w:r>
      <w:r>
        <w:rPr>
          <w:spacing w:val="1"/>
          <w:sz w:val="24"/>
        </w:rPr>
        <w:t xml:space="preserve"> </w:t>
      </w:r>
      <w:r>
        <w:rPr>
          <w:sz w:val="24"/>
        </w:rPr>
        <w:t>Supplemental</w:t>
      </w:r>
      <w:r>
        <w:rPr>
          <w:spacing w:val="-1"/>
          <w:sz w:val="24"/>
        </w:rPr>
        <w:t xml:space="preserve"> </w:t>
      </w:r>
      <w:r>
        <w:rPr>
          <w:spacing w:val="-2"/>
          <w:sz w:val="24"/>
        </w:rPr>
        <w:t>Benefits</w:t>
      </w:r>
    </w:p>
    <w:p>
      <w:pPr>
        <w:pStyle w:val="BodyText"/>
        <w:spacing w:before="120"/>
        <w:ind w:right="1619"/>
      </w:pPr>
      <w:r>
        <w:t>All</w:t>
      </w:r>
      <w:r>
        <w:rPr>
          <w:spacing w:val="-3"/>
        </w:rPr>
        <w:t xml:space="preserve"> </w:t>
      </w:r>
      <w:r>
        <w:t>worksheets</w:t>
      </w:r>
      <w:r>
        <w:rPr>
          <w:spacing w:val="-4"/>
        </w:rPr>
        <w:t xml:space="preserve"> </w:t>
      </w:r>
      <w:r>
        <w:t>must</w:t>
      </w:r>
      <w:r>
        <w:rPr>
          <w:spacing w:val="-3"/>
        </w:rPr>
        <w:t xml:space="preserve"> </w:t>
      </w:r>
      <w:r>
        <w:t>be</w:t>
      </w:r>
      <w:r>
        <w:rPr>
          <w:spacing w:val="-3"/>
        </w:rPr>
        <w:t xml:space="preserve"> </w:t>
      </w:r>
      <w:r>
        <w:t>completed,</w:t>
      </w:r>
      <w:r>
        <w:rPr>
          <w:spacing w:val="-3"/>
        </w:rPr>
        <w:t xml:space="preserve"> </w:t>
      </w:r>
      <w:r>
        <w:t>with</w:t>
      </w:r>
      <w:r>
        <w:rPr>
          <w:spacing w:val="-3"/>
        </w:rPr>
        <w:t xml:space="preserve"> </w:t>
      </w:r>
      <w:r>
        <w:t>the</w:t>
      </w:r>
      <w:r>
        <w:rPr>
          <w:spacing w:val="-3"/>
        </w:rPr>
        <w:t xml:space="preserve"> </w:t>
      </w:r>
      <w:r>
        <w:t>following</w:t>
      </w:r>
      <w:r>
        <w:rPr>
          <w:spacing w:val="-3"/>
        </w:rPr>
        <w:t xml:space="preserve"> </w:t>
      </w:r>
      <w:r>
        <w:t>exception:</w:t>
      </w:r>
      <w:r>
        <w:rPr>
          <w:spacing w:val="-1"/>
        </w:rPr>
        <w:t xml:space="preserve"> </w:t>
      </w:r>
      <w:r>
        <w:t>if</w:t>
      </w:r>
      <w:r>
        <w:rPr>
          <w:spacing w:val="-3"/>
        </w:rPr>
        <w:t xml:space="preserve"> </w:t>
      </w:r>
      <w:r>
        <w:t>the</w:t>
      </w:r>
      <w:r>
        <w:rPr>
          <w:spacing w:val="-4"/>
        </w:rPr>
        <w:t xml:space="preserve"> </w:t>
      </w:r>
      <w:r>
        <w:t>bid</w:t>
      </w:r>
      <w:r>
        <w:rPr>
          <w:spacing w:val="-3"/>
        </w:rPr>
        <w:t xml:space="preserve"> </w:t>
      </w:r>
      <w:r>
        <w:t>does</w:t>
      </w:r>
      <w:r>
        <w:rPr>
          <w:spacing w:val="-4"/>
        </w:rPr>
        <w:t xml:space="preserve"> </w:t>
      </w:r>
      <w:r>
        <w:t>not</w:t>
      </w:r>
      <w:r>
        <w:rPr>
          <w:spacing w:val="-2"/>
        </w:rPr>
        <w:t xml:space="preserve"> </w:t>
      </w:r>
      <w:r>
        <w:t>include any optional supplemental benefit packages, then Worksheet 7 may be left blank.</w:t>
      </w:r>
    </w:p>
    <w:p>
      <w:pPr>
        <w:pStyle w:val="BodyText"/>
        <w:spacing w:before="45"/>
        <w:ind w:left="0"/>
      </w:pPr>
    </w:p>
    <w:p>
      <w:pPr>
        <w:pStyle w:val="Heading2"/>
      </w:pPr>
      <w:bookmarkStart w:id="114" w:name="Medical Savings Account"/>
      <w:bookmarkEnd w:id="114"/>
      <w:bookmarkStart w:id="115" w:name="_bookmark40"/>
      <w:bookmarkEnd w:id="115"/>
      <w:r>
        <w:rPr>
          <w:smallCaps/>
        </w:rPr>
        <w:t>Medical</w:t>
      </w:r>
      <w:r>
        <w:rPr>
          <w:smallCaps/>
          <w:spacing w:val="-10"/>
        </w:rPr>
        <w:t xml:space="preserve"> </w:t>
      </w:r>
      <w:r>
        <w:rPr>
          <w:smallCaps/>
        </w:rPr>
        <w:t>Savings</w:t>
      </w:r>
      <w:r>
        <w:rPr>
          <w:smallCaps/>
          <w:spacing w:val="-9"/>
        </w:rPr>
        <w:t xml:space="preserve"> </w:t>
      </w:r>
      <w:r>
        <w:rPr>
          <w:smallCaps/>
          <w:spacing w:val="-2"/>
        </w:rPr>
        <w:t>Account</w:t>
      </w:r>
    </w:p>
    <w:p>
      <w:pPr>
        <w:pStyle w:val="BodyText"/>
        <w:spacing w:before="179"/>
        <w:ind w:right="1481"/>
      </w:pPr>
      <w:r>
        <w:t>Appendix</w:t>
      </w:r>
      <w:r>
        <w:rPr>
          <w:spacing w:val="-3"/>
        </w:rPr>
        <w:t xml:space="preserve"> </w:t>
      </w:r>
      <w:r>
        <w:t>H</w:t>
      </w:r>
      <w:r>
        <w:rPr>
          <w:spacing w:val="-4"/>
        </w:rPr>
        <w:t xml:space="preserve"> </w:t>
      </w:r>
      <w:r>
        <w:t>provides</w:t>
      </w:r>
      <w:r>
        <w:rPr>
          <w:spacing w:val="-3"/>
        </w:rPr>
        <w:t xml:space="preserve"> </w:t>
      </w:r>
      <w:r>
        <w:t>additional</w:t>
      </w:r>
      <w:r>
        <w:rPr>
          <w:spacing w:val="-2"/>
        </w:rPr>
        <w:t xml:space="preserve"> </w:t>
      </w:r>
      <w:r>
        <w:t>guidance</w:t>
      </w:r>
      <w:r>
        <w:rPr>
          <w:spacing w:val="-4"/>
        </w:rPr>
        <w:t xml:space="preserve"> </w:t>
      </w:r>
      <w:r>
        <w:t>in</w:t>
      </w:r>
      <w:r>
        <w:rPr>
          <w:spacing w:val="-3"/>
        </w:rPr>
        <w:t xml:space="preserve"> </w:t>
      </w:r>
      <w:r>
        <w:t>completing</w:t>
      </w:r>
      <w:r>
        <w:rPr>
          <w:spacing w:val="-3"/>
        </w:rPr>
        <w:t xml:space="preserve"> </w:t>
      </w:r>
      <w:r>
        <w:t>the</w:t>
      </w:r>
      <w:r>
        <w:rPr>
          <w:spacing w:val="-4"/>
        </w:rPr>
        <w:t xml:space="preserve"> </w:t>
      </w:r>
      <w:r>
        <w:t>MSA</w:t>
      </w:r>
      <w:r>
        <w:rPr>
          <w:spacing w:val="-4"/>
        </w:rPr>
        <w:t xml:space="preserve"> </w:t>
      </w:r>
      <w:r>
        <w:t>BPT</w:t>
      </w:r>
      <w:r>
        <w:rPr>
          <w:spacing w:val="-4"/>
        </w:rPr>
        <w:t xml:space="preserve"> </w:t>
      </w:r>
      <w:r>
        <w:t>for</w:t>
      </w:r>
      <w:r>
        <w:rPr>
          <w:spacing w:val="-5"/>
        </w:rPr>
        <w:t xml:space="preserve"> </w:t>
      </w:r>
      <w:r>
        <w:t>MSA</w:t>
      </w:r>
      <w:r>
        <w:rPr>
          <w:spacing w:val="-4"/>
        </w:rPr>
        <w:t xml:space="preserve"> </w:t>
      </w:r>
      <w:r>
        <w:t>plans,</w:t>
      </w:r>
      <w:r>
        <w:rPr>
          <w:spacing w:val="-3"/>
        </w:rPr>
        <w:t xml:space="preserve"> </w:t>
      </w:r>
      <w:r>
        <w:t>and highlights the differences between the MSA BPT and the MA BPT.</w:t>
      </w:r>
    </w:p>
    <w:p>
      <w:pPr>
        <w:pStyle w:val="BodyText"/>
        <w:spacing w:before="45"/>
        <w:ind w:left="0"/>
      </w:pPr>
    </w:p>
    <w:p>
      <w:pPr>
        <w:pStyle w:val="Heading2"/>
      </w:pPr>
      <w:bookmarkStart w:id="116" w:name="Data Entry"/>
      <w:bookmarkEnd w:id="116"/>
      <w:bookmarkStart w:id="117" w:name="_bookmark41"/>
      <w:bookmarkEnd w:id="117"/>
      <w:r>
        <w:rPr>
          <w:smallCaps/>
        </w:rPr>
        <w:t>Data</w:t>
      </w:r>
      <w:r>
        <w:rPr>
          <w:smallCaps/>
          <w:spacing w:val="-5"/>
        </w:rPr>
        <w:t xml:space="preserve"> </w:t>
      </w:r>
      <w:r>
        <w:rPr>
          <w:smallCaps/>
          <w:spacing w:val="-2"/>
        </w:rPr>
        <w:t>Entry</w:t>
      </w:r>
    </w:p>
    <w:p>
      <w:pPr>
        <w:pStyle w:val="BodyText"/>
        <w:spacing w:before="180"/>
        <w:ind w:right="1481"/>
      </w:pPr>
      <w:r>
        <w:t>Do</w:t>
      </w:r>
      <w:r>
        <w:rPr>
          <w:spacing w:val="-3"/>
        </w:rPr>
        <w:t xml:space="preserve"> </w:t>
      </w:r>
      <w:r>
        <w:t>not</w:t>
      </w:r>
      <w:r>
        <w:rPr>
          <w:spacing w:val="-3"/>
        </w:rPr>
        <w:t xml:space="preserve"> </w:t>
      </w:r>
      <w:r>
        <w:t>leave</w:t>
      </w:r>
      <w:r>
        <w:rPr>
          <w:spacing w:val="-3"/>
        </w:rPr>
        <w:t xml:space="preserve"> </w:t>
      </w:r>
      <w:r>
        <w:t>a</w:t>
      </w:r>
      <w:r>
        <w:rPr>
          <w:spacing w:val="-2"/>
        </w:rPr>
        <w:t xml:space="preserve"> </w:t>
      </w:r>
      <w:r>
        <w:t>field</w:t>
      </w:r>
      <w:r>
        <w:rPr>
          <w:spacing w:val="-3"/>
        </w:rPr>
        <w:t xml:space="preserve"> </w:t>
      </w:r>
      <w:r>
        <w:t>blank</w:t>
      </w:r>
      <w:r>
        <w:rPr>
          <w:spacing w:val="-3"/>
        </w:rPr>
        <w:t xml:space="preserve"> </w:t>
      </w:r>
      <w:r>
        <w:t>to</w:t>
      </w:r>
      <w:r>
        <w:rPr>
          <w:spacing w:val="-3"/>
        </w:rPr>
        <w:t xml:space="preserve"> </w:t>
      </w:r>
      <w:r>
        <w:t>indicate</w:t>
      </w:r>
      <w:r>
        <w:rPr>
          <w:spacing w:val="-3"/>
        </w:rPr>
        <w:t xml:space="preserve"> </w:t>
      </w:r>
      <w:r>
        <w:t>a</w:t>
      </w:r>
      <w:r>
        <w:rPr>
          <w:spacing w:val="-4"/>
        </w:rPr>
        <w:t xml:space="preserve"> </w:t>
      </w:r>
      <w:r>
        <w:t>zero</w:t>
      </w:r>
      <w:r>
        <w:rPr>
          <w:spacing w:val="-3"/>
        </w:rPr>
        <w:t xml:space="preserve"> </w:t>
      </w:r>
      <w:r>
        <w:t>amount.</w:t>
      </w:r>
      <w:r>
        <w:rPr>
          <w:spacing w:val="-3"/>
        </w:rPr>
        <w:t xml:space="preserve"> </w:t>
      </w:r>
      <w:r>
        <w:t>If</w:t>
      </w:r>
      <w:r>
        <w:rPr>
          <w:spacing w:val="-2"/>
        </w:rPr>
        <w:t xml:space="preserve"> </w:t>
      </w:r>
      <w:r>
        <w:t>zero</w:t>
      </w:r>
      <w:r>
        <w:rPr>
          <w:spacing w:val="-3"/>
        </w:rPr>
        <w:t xml:space="preserve"> </w:t>
      </w:r>
      <w:r>
        <w:t>is</w:t>
      </w:r>
      <w:r>
        <w:rPr>
          <w:spacing w:val="-3"/>
        </w:rPr>
        <w:t xml:space="preserve"> </w:t>
      </w:r>
      <w:r>
        <w:t>the</w:t>
      </w:r>
      <w:r>
        <w:rPr>
          <w:spacing w:val="-3"/>
        </w:rPr>
        <w:t xml:space="preserve"> </w:t>
      </w:r>
      <w:r>
        <w:t>intended</w:t>
      </w:r>
      <w:r>
        <w:rPr>
          <w:spacing w:val="-1"/>
        </w:rPr>
        <w:t xml:space="preserve"> </w:t>
      </w:r>
      <w:r>
        <w:t>value,</w:t>
      </w:r>
      <w:r>
        <w:rPr>
          <w:spacing w:val="-3"/>
        </w:rPr>
        <w:t xml:space="preserve"> </w:t>
      </w:r>
      <w:r>
        <w:t>then</w:t>
      </w:r>
      <w:r>
        <w:rPr>
          <w:spacing w:val="-3"/>
        </w:rPr>
        <w:t xml:space="preserve"> </w:t>
      </w:r>
      <w:r>
        <w:t>enter zero (0) in the cell.</w:t>
      </w:r>
    </w:p>
    <w:p>
      <w:pPr>
        <w:pStyle w:val="BodyText"/>
        <w:spacing w:before="120"/>
      </w:pPr>
      <w:r>
        <w:t>Do</w:t>
      </w:r>
      <w:r>
        <w:rPr>
          <w:spacing w:val="-3"/>
        </w:rPr>
        <w:t xml:space="preserve"> </w:t>
      </w:r>
      <w:r>
        <w:t>leave</w:t>
      </w:r>
      <w:r>
        <w:rPr>
          <w:spacing w:val="-1"/>
        </w:rPr>
        <w:t xml:space="preserve"> </w:t>
      </w:r>
      <w:r>
        <w:t>a</w:t>
      </w:r>
      <w:r>
        <w:rPr>
          <w:spacing w:val="-1"/>
        </w:rPr>
        <w:t xml:space="preserve"> </w:t>
      </w:r>
      <w:r>
        <w:t>field</w:t>
      </w:r>
      <w:r>
        <w:rPr>
          <w:spacing w:val="-1"/>
        </w:rPr>
        <w:t xml:space="preserve"> </w:t>
      </w:r>
      <w:r>
        <w:t>blank</w:t>
      </w:r>
      <w:r>
        <w:rPr>
          <w:spacing w:val="-1"/>
        </w:rPr>
        <w:t xml:space="preserve"> </w:t>
      </w:r>
      <w:r>
        <w:rPr>
          <w:spacing w:val="-5"/>
        </w:rPr>
        <w:t>if—</w:t>
      </w:r>
    </w:p>
    <w:p>
      <w:pPr>
        <w:pStyle w:val="ListParagraph"/>
        <w:numPr>
          <w:ilvl w:val="1"/>
          <w:numId w:val="56"/>
        </w:numPr>
        <w:tabs>
          <w:tab w:val="left" w:pos="1584"/>
        </w:tabs>
        <w:spacing w:before="120" w:after="0" w:line="240" w:lineRule="auto"/>
        <w:ind w:left="1584" w:right="1830" w:hanging="360"/>
        <w:jc w:val="left"/>
        <w:rPr>
          <w:sz w:val="24"/>
        </w:rPr>
      </w:pPr>
      <w:r>
        <w:rPr>
          <w:sz w:val="24"/>
        </w:rPr>
        <w:t>The</w:t>
      </w:r>
      <w:r>
        <w:rPr>
          <w:spacing w:val="-5"/>
          <w:sz w:val="24"/>
        </w:rPr>
        <w:t xml:space="preserve"> </w:t>
      </w:r>
      <w:r>
        <w:rPr>
          <w:sz w:val="24"/>
        </w:rPr>
        <w:t>field</w:t>
      </w:r>
      <w:r>
        <w:rPr>
          <w:spacing w:val="-3"/>
          <w:sz w:val="24"/>
        </w:rPr>
        <w:t xml:space="preserve"> </w:t>
      </w:r>
      <w:r>
        <w:rPr>
          <w:sz w:val="24"/>
        </w:rPr>
        <w:t>does</w:t>
      </w:r>
      <w:r>
        <w:rPr>
          <w:spacing w:val="-4"/>
          <w:sz w:val="24"/>
        </w:rPr>
        <w:t xml:space="preserve"> </w:t>
      </w:r>
      <w:r>
        <w:rPr>
          <w:sz w:val="24"/>
        </w:rPr>
        <w:t>not</w:t>
      </w:r>
      <w:r>
        <w:rPr>
          <w:spacing w:val="-3"/>
          <w:sz w:val="24"/>
        </w:rPr>
        <w:t xml:space="preserve"> </w:t>
      </w:r>
      <w:r>
        <w:rPr>
          <w:sz w:val="24"/>
        </w:rPr>
        <w:t>apply,</w:t>
      </w:r>
      <w:r>
        <w:rPr>
          <w:spacing w:val="-1"/>
          <w:sz w:val="24"/>
        </w:rPr>
        <w:t xml:space="preserve"> </w:t>
      </w:r>
      <w:r>
        <w:rPr>
          <w:sz w:val="24"/>
        </w:rPr>
        <w:t>for</w:t>
      </w:r>
      <w:r>
        <w:rPr>
          <w:spacing w:val="-5"/>
          <w:sz w:val="24"/>
        </w:rPr>
        <w:t xml:space="preserve"> </w:t>
      </w:r>
      <w:r>
        <w:rPr>
          <w:sz w:val="24"/>
        </w:rPr>
        <w:t>example,</w:t>
      </w:r>
      <w:r>
        <w:rPr>
          <w:spacing w:val="-1"/>
          <w:sz w:val="24"/>
        </w:rPr>
        <w:t xml:space="preserve"> </w:t>
      </w:r>
      <w:r>
        <w:rPr>
          <w:sz w:val="24"/>
        </w:rPr>
        <w:t>Worksheet</w:t>
      </w:r>
      <w:r>
        <w:rPr>
          <w:spacing w:val="-1"/>
          <w:sz w:val="24"/>
        </w:rPr>
        <w:t xml:space="preserve"> </w:t>
      </w:r>
      <w:r>
        <w:rPr>
          <w:sz w:val="24"/>
        </w:rPr>
        <w:t>1,</w:t>
      </w:r>
      <w:r>
        <w:rPr>
          <w:spacing w:val="-3"/>
          <w:sz w:val="24"/>
        </w:rPr>
        <w:t xml:space="preserve"> </w:t>
      </w:r>
      <w:r>
        <w:rPr>
          <w:sz w:val="24"/>
        </w:rPr>
        <w:t>Sections</w:t>
      </w:r>
      <w:r>
        <w:rPr>
          <w:spacing w:val="-4"/>
          <w:sz w:val="24"/>
        </w:rPr>
        <w:t xml:space="preserve"> </w:t>
      </w:r>
      <w:r>
        <w:rPr>
          <w:sz w:val="24"/>
        </w:rPr>
        <w:t>II</w:t>
      </w:r>
      <w:r>
        <w:rPr>
          <w:spacing w:val="-5"/>
          <w:sz w:val="24"/>
        </w:rPr>
        <w:t xml:space="preserve"> </w:t>
      </w:r>
      <w:r>
        <w:rPr>
          <w:sz w:val="24"/>
        </w:rPr>
        <w:t>and</w:t>
      </w:r>
      <w:r>
        <w:rPr>
          <w:spacing w:val="-1"/>
          <w:sz w:val="24"/>
        </w:rPr>
        <w:t xml:space="preserve"> </w:t>
      </w:r>
      <w:r>
        <w:rPr>
          <w:sz w:val="24"/>
        </w:rPr>
        <w:t>III,</w:t>
      </w:r>
      <w:r>
        <w:rPr>
          <w:spacing w:val="-3"/>
          <w:sz w:val="24"/>
        </w:rPr>
        <w:t xml:space="preserve"> </w:t>
      </w:r>
      <w:r>
        <w:rPr>
          <w:sz w:val="24"/>
        </w:rPr>
        <w:t>when</w:t>
      </w:r>
      <w:r>
        <w:rPr>
          <w:spacing w:val="-3"/>
          <w:sz w:val="24"/>
        </w:rPr>
        <w:t xml:space="preserve"> </w:t>
      </w:r>
      <w:r>
        <w:rPr>
          <w:sz w:val="24"/>
        </w:rPr>
        <w:t>no base period experience is reported.</w:t>
      </w:r>
    </w:p>
    <w:p>
      <w:pPr>
        <w:pStyle w:val="ListParagraph"/>
        <w:numPr>
          <w:ilvl w:val="1"/>
          <w:numId w:val="56"/>
        </w:numPr>
        <w:tabs>
          <w:tab w:val="left" w:pos="1584"/>
        </w:tabs>
        <w:spacing w:before="0" w:after="0" w:line="240" w:lineRule="auto"/>
        <w:ind w:left="1584" w:right="1662" w:hanging="360"/>
        <w:jc w:val="left"/>
        <w:rPr>
          <w:sz w:val="24"/>
        </w:rPr>
      </w:pPr>
      <w:r>
        <w:rPr>
          <w:sz w:val="24"/>
        </w:rPr>
        <w:t>These Instructions state to leave a field blank, for example, the in-network and out-of-network</w:t>
      </w:r>
      <w:r>
        <w:rPr>
          <w:spacing w:val="-5"/>
          <w:sz w:val="24"/>
        </w:rPr>
        <w:t xml:space="preserve"> </w:t>
      </w:r>
      <w:r>
        <w:rPr>
          <w:sz w:val="24"/>
        </w:rPr>
        <w:t>plan</w:t>
      </w:r>
      <w:r>
        <w:rPr>
          <w:spacing w:val="-4"/>
          <w:sz w:val="24"/>
        </w:rPr>
        <w:t xml:space="preserve"> </w:t>
      </w:r>
      <w:r>
        <w:rPr>
          <w:sz w:val="24"/>
        </w:rPr>
        <w:t>deductibles</w:t>
      </w:r>
      <w:r>
        <w:rPr>
          <w:spacing w:val="-5"/>
          <w:sz w:val="24"/>
        </w:rPr>
        <w:t xml:space="preserve"> </w:t>
      </w:r>
      <w:r>
        <w:rPr>
          <w:sz w:val="24"/>
        </w:rPr>
        <w:t>when</w:t>
      </w:r>
      <w:r>
        <w:rPr>
          <w:spacing w:val="-4"/>
          <w:sz w:val="24"/>
        </w:rPr>
        <w:t xml:space="preserve"> </w:t>
      </w:r>
      <w:r>
        <w:rPr>
          <w:sz w:val="24"/>
        </w:rPr>
        <w:t>the</w:t>
      </w:r>
      <w:r>
        <w:rPr>
          <w:spacing w:val="-4"/>
          <w:sz w:val="24"/>
        </w:rPr>
        <w:t xml:space="preserve"> </w:t>
      </w:r>
      <w:r>
        <w:rPr>
          <w:sz w:val="24"/>
        </w:rPr>
        <w:t>annual</w:t>
      </w:r>
      <w:r>
        <w:rPr>
          <w:spacing w:val="-2"/>
          <w:sz w:val="24"/>
        </w:rPr>
        <w:t xml:space="preserve"> </w:t>
      </w:r>
      <w:r>
        <w:rPr>
          <w:sz w:val="24"/>
        </w:rPr>
        <w:t>deductible</w:t>
      </w:r>
      <w:r>
        <w:rPr>
          <w:spacing w:val="-5"/>
          <w:sz w:val="24"/>
        </w:rPr>
        <w:t xml:space="preserve"> </w:t>
      </w:r>
      <w:r>
        <w:rPr>
          <w:sz w:val="24"/>
        </w:rPr>
        <w:t>for</w:t>
      </w:r>
      <w:r>
        <w:rPr>
          <w:spacing w:val="-4"/>
          <w:sz w:val="24"/>
        </w:rPr>
        <w:t xml:space="preserve"> </w:t>
      </w:r>
      <w:r>
        <w:rPr>
          <w:sz w:val="24"/>
        </w:rPr>
        <w:t>a</w:t>
      </w:r>
      <w:r>
        <w:rPr>
          <w:spacing w:val="-5"/>
          <w:sz w:val="24"/>
        </w:rPr>
        <w:t xml:space="preserve"> </w:t>
      </w:r>
      <w:r>
        <w:rPr>
          <w:sz w:val="24"/>
        </w:rPr>
        <w:t>local</w:t>
      </w:r>
      <w:r>
        <w:rPr>
          <w:spacing w:val="-4"/>
          <w:sz w:val="24"/>
        </w:rPr>
        <w:t xml:space="preserve"> </w:t>
      </w:r>
      <w:r>
        <w:rPr>
          <w:sz w:val="24"/>
        </w:rPr>
        <w:t>or</w:t>
      </w:r>
      <w:r>
        <w:rPr>
          <w:spacing w:val="-3"/>
          <w:sz w:val="24"/>
        </w:rPr>
        <w:t xml:space="preserve"> </w:t>
      </w:r>
      <w:r>
        <w:rPr>
          <w:sz w:val="24"/>
        </w:rPr>
        <w:t>regional Preferred Provider Organization (PPO) functions as a combined deductible.</w:t>
      </w:r>
    </w:p>
    <w:p>
      <w:pPr>
        <w:pStyle w:val="ListParagraph"/>
        <w:spacing w:after="0" w:line="240" w:lineRule="auto"/>
        <w:jc w:val="left"/>
        <w:rPr>
          <w:sz w:val="24"/>
        </w:rPr>
        <w:sectPr>
          <w:headerReference w:type="default" r:id="rId25"/>
          <w:footerReference w:type="default" r:id="rId26"/>
          <w:pgSz w:w="12240" w:h="15840"/>
          <w:pgMar w:top="960" w:right="0" w:bottom="940" w:left="1080" w:header="727" w:footer="747"/>
          <w:cols w:space="720"/>
        </w:sectPr>
      </w:pPr>
    </w:p>
    <w:p>
      <w:pPr>
        <w:pStyle w:val="BodyText"/>
        <w:spacing w:before="264"/>
        <w:ind w:left="0"/>
        <w:rPr>
          <w:sz w:val="28"/>
        </w:rPr>
      </w:pPr>
    </w:p>
    <w:p>
      <w:pPr>
        <w:pStyle w:val="Heading1"/>
        <w:spacing w:line="322" w:lineRule="exact"/>
        <w:ind w:left="504"/>
        <w:rPr>
          <w:u w:val="none"/>
        </w:rPr>
      </w:pPr>
      <w:bookmarkStart w:id="118" w:name="MA Worksheet 1 – MA Base Period Experien"/>
      <w:bookmarkEnd w:id="118"/>
      <w:bookmarkStart w:id="119" w:name="_bookmark42"/>
      <w:bookmarkEnd w:id="119"/>
      <w:r>
        <w:rPr>
          <w:u w:val="none"/>
        </w:rPr>
        <w:t>MA</w:t>
      </w:r>
      <w:r>
        <w:rPr>
          <w:spacing w:val="-5"/>
          <w:u w:val="none"/>
        </w:rPr>
        <w:t xml:space="preserve"> </w:t>
      </w:r>
      <w:r>
        <w:rPr>
          <w:u w:val="none"/>
        </w:rPr>
        <w:t>WORKSHEET</w:t>
      </w:r>
      <w:r>
        <w:rPr>
          <w:spacing w:val="-3"/>
          <w:u w:val="none"/>
        </w:rPr>
        <w:t xml:space="preserve"> </w:t>
      </w:r>
      <w:r>
        <w:rPr>
          <w:u w:val="none"/>
        </w:rPr>
        <w:t>1</w:t>
      </w:r>
      <w:r>
        <w:rPr>
          <w:spacing w:val="-3"/>
          <w:u w:val="none"/>
        </w:rPr>
        <w:t xml:space="preserve"> </w:t>
      </w:r>
      <w:r>
        <w:rPr>
          <w:u w:val="none"/>
        </w:rPr>
        <w:t>–</w:t>
      </w:r>
      <w:r>
        <w:rPr>
          <w:spacing w:val="-6"/>
          <w:u w:val="none"/>
        </w:rPr>
        <w:t xml:space="preserve"> </w:t>
      </w:r>
      <w:r>
        <w:rPr>
          <w:u w:val="none"/>
        </w:rPr>
        <w:t>MA</w:t>
      </w:r>
      <w:r>
        <w:rPr>
          <w:spacing w:val="-6"/>
          <w:u w:val="none"/>
        </w:rPr>
        <w:t xml:space="preserve"> </w:t>
      </w:r>
      <w:r>
        <w:rPr>
          <w:u w:val="none"/>
        </w:rPr>
        <w:t>BASE</w:t>
      </w:r>
      <w:r>
        <w:rPr>
          <w:spacing w:val="-6"/>
          <w:u w:val="none"/>
        </w:rPr>
        <w:t xml:space="preserve"> </w:t>
      </w:r>
      <w:r>
        <w:rPr>
          <w:u w:val="none"/>
        </w:rPr>
        <w:t>PERIOD</w:t>
      </w:r>
      <w:r>
        <w:rPr>
          <w:spacing w:val="-1"/>
          <w:u w:val="none"/>
        </w:rPr>
        <w:t xml:space="preserve"> </w:t>
      </w:r>
      <w:r>
        <w:rPr>
          <w:u w:val="none"/>
        </w:rPr>
        <w:t>EXPERIENCE</w:t>
      </w:r>
      <w:r>
        <w:rPr>
          <w:spacing w:val="-4"/>
          <w:u w:val="none"/>
        </w:rPr>
        <w:t xml:space="preserve"> </w:t>
      </w:r>
      <w:r>
        <w:rPr>
          <w:spacing w:val="-5"/>
          <w:u w:val="none"/>
        </w:rPr>
        <w:t>AND</w:t>
      </w:r>
    </w:p>
    <w:p>
      <w:pPr>
        <w:tabs>
          <w:tab w:val="left" w:pos="9750"/>
        </w:tabs>
        <w:spacing w:before="0"/>
        <w:ind w:left="475" w:right="0" w:firstLine="0"/>
        <w:jc w:val="left"/>
        <w:rPr>
          <w:rFonts w:ascii="Arial"/>
          <w:b/>
          <w:sz w:val="28"/>
        </w:rPr>
      </w:pPr>
      <w:r>
        <w:rPr>
          <w:rFonts w:ascii="Arial"/>
          <w:b/>
          <w:spacing w:val="-50"/>
          <w:sz w:val="28"/>
          <w:u w:val="single"/>
        </w:rPr>
        <w:t xml:space="preserve"> </w:t>
      </w:r>
      <w:r>
        <w:rPr>
          <w:rFonts w:ascii="Arial"/>
          <w:b/>
          <w:sz w:val="28"/>
          <w:u w:val="single"/>
        </w:rPr>
        <w:t>PROJECTION</w:t>
      </w:r>
      <w:r>
        <w:rPr>
          <w:rFonts w:ascii="Arial"/>
          <w:b/>
          <w:spacing w:val="-9"/>
          <w:sz w:val="28"/>
          <w:u w:val="single"/>
        </w:rPr>
        <w:t xml:space="preserve"> </w:t>
      </w:r>
      <w:r>
        <w:rPr>
          <w:rFonts w:ascii="Arial"/>
          <w:b/>
          <w:spacing w:val="-2"/>
          <w:sz w:val="28"/>
          <w:u w:val="single"/>
        </w:rPr>
        <w:t>ASSUMPTIONS</w:t>
      </w:r>
      <w:r>
        <w:rPr>
          <w:rFonts w:ascii="Arial"/>
          <w:b/>
          <w:sz w:val="28"/>
          <w:u w:val="single"/>
        </w:rPr>
        <w:tab/>
      </w:r>
    </w:p>
    <w:p>
      <w:pPr>
        <w:pStyle w:val="BodyText"/>
        <w:spacing w:before="271"/>
        <w:ind w:right="1453"/>
        <w:jc w:val="both"/>
      </w:pPr>
      <w:r>
        <w:t>The</w:t>
      </w:r>
      <w:r>
        <w:rPr>
          <w:spacing w:val="-5"/>
        </w:rPr>
        <w:t xml:space="preserve"> </w:t>
      </w:r>
      <w:r>
        <w:t>purpose</w:t>
      </w:r>
      <w:r>
        <w:rPr>
          <w:spacing w:val="-4"/>
        </w:rPr>
        <w:t xml:space="preserve"> </w:t>
      </w:r>
      <w:r>
        <w:t>of</w:t>
      </w:r>
      <w:r>
        <w:rPr>
          <w:spacing w:val="-2"/>
        </w:rPr>
        <w:t xml:space="preserve"> </w:t>
      </w:r>
      <w:r>
        <w:t>Worksheet</w:t>
      </w:r>
      <w:r>
        <w:rPr>
          <w:spacing w:val="-2"/>
        </w:rPr>
        <w:t xml:space="preserve"> </w:t>
      </w:r>
      <w:r>
        <w:t>1</w:t>
      </w:r>
      <w:r>
        <w:rPr>
          <w:spacing w:val="-3"/>
        </w:rPr>
        <w:t xml:space="preserve"> </w:t>
      </w:r>
      <w:r>
        <w:t>is</w:t>
      </w:r>
      <w:r>
        <w:rPr>
          <w:spacing w:val="-3"/>
        </w:rPr>
        <w:t xml:space="preserve"> </w:t>
      </w:r>
      <w:r>
        <w:t>to</w:t>
      </w:r>
      <w:r>
        <w:rPr>
          <w:spacing w:val="-3"/>
        </w:rPr>
        <w:t xml:space="preserve"> </w:t>
      </w:r>
      <w:r>
        <w:t>capture</w:t>
      </w:r>
      <w:r>
        <w:rPr>
          <w:spacing w:val="-5"/>
        </w:rPr>
        <w:t xml:space="preserve"> </w:t>
      </w:r>
      <w:r>
        <w:t>bid-specific</w:t>
      </w:r>
      <w:r>
        <w:rPr>
          <w:spacing w:val="-4"/>
        </w:rPr>
        <w:t xml:space="preserve"> </w:t>
      </w:r>
      <w:r>
        <w:t>experience</w:t>
      </w:r>
      <w:r>
        <w:rPr>
          <w:spacing w:val="-4"/>
        </w:rPr>
        <w:t xml:space="preserve"> </w:t>
      </w:r>
      <w:r>
        <w:t>for</w:t>
      </w:r>
      <w:r>
        <w:rPr>
          <w:spacing w:val="-5"/>
        </w:rPr>
        <w:t xml:space="preserve"> </w:t>
      </w:r>
      <w:r>
        <w:t>the</w:t>
      </w:r>
      <w:r>
        <w:rPr>
          <w:spacing w:val="-3"/>
        </w:rPr>
        <w:t xml:space="preserve"> </w:t>
      </w:r>
      <w:r>
        <w:t>base</w:t>
      </w:r>
      <w:r>
        <w:rPr>
          <w:spacing w:val="-4"/>
        </w:rPr>
        <w:t xml:space="preserve"> </w:t>
      </w:r>
      <w:r>
        <w:t>period,</w:t>
      </w:r>
      <w:r>
        <w:rPr>
          <w:spacing w:val="-3"/>
        </w:rPr>
        <w:t xml:space="preserve"> </w:t>
      </w:r>
      <w:r>
        <w:t>regardless of</w:t>
      </w:r>
      <w:r>
        <w:rPr>
          <w:spacing w:val="-3"/>
        </w:rPr>
        <w:t xml:space="preserve"> </w:t>
      </w:r>
      <w:r>
        <w:t>the</w:t>
      </w:r>
      <w:r>
        <w:rPr>
          <w:spacing w:val="-5"/>
        </w:rPr>
        <w:t xml:space="preserve"> </w:t>
      </w:r>
      <w:r>
        <w:t>level</w:t>
      </w:r>
      <w:r>
        <w:rPr>
          <w:spacing w:val="-3"/>
        </w:rPr>
        <w:t xml:space="preserve"> </w:t>
      </w:r>
      <w:r>
        <w:t>of</w:t>
      </w:r>
      <w:r>
        <w:rPr>
          <w:spacing w:val="-1"/>
        </w:rPr>
        <w:t xml:space="preserve"> </w:t>
      </w:r>
      <w:r>
        <w:t>enrollment</w:t>
      </w:r>
      <w:r>
        <w:rPr>
          <w:spacing w:val="-3"/>
        </w:rPr>
        <w:t xml:space="preserve"> </w:t>
      </w:r>
      <w:r>
        <w:t>and</w:t>
      </w:r>
      <w:r>
        <w:rPr>
          <w:spacing w:val="-3"/>
        </w:rPr>
        <w:t xml:space="preserve"> </w:t>
      </w:r>
      <w:r>
        <w:t>credibility,</w:t>
      </w:r>
      <w:r>
        <w:rPr>
          <w:spacing w:val="-3"/>
        </w:rPr>
        <w:t xml:space="preserve"> </w:t>
      </w:r>
      <w:r>
        <w:t>and</w:t>
      </w:r>
      <w:r>
        <w:rPr>
          <w:spacing w:val="-3"/>
        </w:rPr>
        <w:t xml:space="preserve"> </w:t>
      </w:r>
      <w:r>
        <w:t>to</w:t>
      </w:r>
      <w:r>
        <w:rPr>
          <w:spacing w:val="-3"/>
        </w:rPr>
        <w:t xml:space="preserve"> </w:t>
      </w:r>
      <w:r>
        <w:t>summarize</w:t>
      </w:r>
      <w:r>
        <w:rPr>
          <w:spacing w:val="-3"/>
        </w:rPr>
        <w:t xml:space="preserve"> </w:t>
      </w:r>
      <w:r>
        <w:t>the</w:t>
      </w:r>
      <w:r>
        <w:rPr>
          <w:spacing w:val="-3"/>
        </w:rPr>
        <w:t xml:space="preserve"> </w:t>
      </w:r>
      <w:r>
        <w:t>key</w:t>
      </w:r>
      <w:r>
        <w:rPr>
          <w:spacing w:val="-1"/>
        </w:rPr>
        <w:t xml:space="preserve"> </w:t>
      </w:r>
      <w:r>
        <w:t>assumptions</w:t>
      </w:r>
      <w:r>
        <w:rPr>
          <w:spacing w:val="-4"/>
        </w:rPr>
        <w:t xml:space="preserve"> </w:t>
      </w:r>
      <w:r>
        <w:t>used</w:t>
      </w:r>
      <w:r>
        <w:rPr>
          <w:spacing w:val="-3"/>
        </w:rPr>
        <w:t xml:space="preserve"> </w:t>
      </w:r>
      <w:r>
        <w:t>to</w:t>
      </w:r>
      <w:r>
        <w:rPr>
          <w:spacing w:val="-3"/>
        </w:rPr>
        <w:t xml:space="preserve"> </w:t>
      </w:r>
      <w:r>
        <w:t>project allowed costs to the contract period.</w:t>
      </w:r>
    </w:p>
    <w:p>
      <w:pPr>
        <w:pStyle w:val="ListParagraph"/>
        <w:numPr>
          <w:ilvl w:val="1"/>
          <w:numId w:val="56"/>
        </w:numPr>
        <w:tabs>
          <w:tab w:val="left" w:pos="1584"/>
        </w:tabs>
        <w:spacing w:before="120" w:after="0" w:line="240" w:lineRule="auto"/>
        <w:ind w:left="1584" w:right="1860" w:hanging="360"/>
        <w:jc w:val="left"/>
        <w:rPr>
          <w:sz w:val="24"/>
        </w:rPr>
      </w:pPr>
      <w:r>
        <w:rPr>
          <w:sz w:val="24"/>
        </w:rPr>
        <w:t>Section</w:t>
      </w:r>
      <w:r>
        <w:rPr>
          <w:spacing w:val="-3"/>
          <w:sz w:val="24"/>
        </w:rPr>
        <w:t xml:space="preserve"> </w:t>
      </w:r>
      <w:r>
        <w:rPr>
          <w:sz w:val="24"/>
        </w:rPr>
        <w:t>I</w:t>
      </w:r>
      <w:r>
        <w:rPr>
          <w:spacing w:val="-4"/>
          <w:sz w:val="24"/>
        </w:rPr>
        <w:t xml:space="preserve"> </w:t>
      </w:r>
      <w:r>
        <w:rPr>
          <w:sz w:val="24"/>
        </w:rPr>
        <w:t>contains</w:t>
      </w:r>
      <w:r>
        <w:rPr>
          <w:spacing w:val="-4"/>
          <w:sz w:val="24"/>
        </w:rPr>
        <w:t xml:space="preserve"> </w:t>
      </w:r>
      <w:r>
        <w:rPr>
          <w:sz w:val="24"/>
        </w:rPr>
        <w:t>general</w:t>
      </w:r>
      <w:r>
        <w:rPr>
          <w:spacing w:val="-2"/>
          <w:sz w:val="24"/>
        </w:rPr>
        <w:t xml:space="preserve"> </w:t>
      </w:r>
      <w:r>
        <w:rPr>
          <w:sz w:val="24"/>
        </w:rPr>
        <w:t>bid</w:t>
      </w:r>
      <w:r>
        <w:rPr>
          <w:spacing w:val="-3"/>
          <w:sz w:val="24"/>
        </w:rPr>
        <w:t xml:space="preserve"> </w:t>
      </w:r>
      <w:r>
        <w:rPr>
          <w:sz w:val="24"/>
        </w:rPr>
        <w:t>information</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displayed</w:t>
      </w:r>
      <w:r>
        <w:rPr>
          <w:spacing w:val="-3"/>
          <w:sz w:val="24"/>
        </w:rPr>
        <w:t xml:space="preserve"> </w:t>
      </w:r>
      <w:r>
        <w:rPr>
          <w:sz w:val="24"/>
        </w:rPr>
        <w:t>on</w:t>
      </w:r>
      <w:r>
        <w:rPr>
          <w:spacing w:val="-3"/>
          <w:sz w:val="24"/>
        </w:rPr>
        <w:t xml:space="preserve"> </w:t>
      </w:r>
      <w:r>
        <w:rPr>
          <w:sz w:val="24"/>
        </w:rPr>
        <w:t>all</w:t>
      </w:r>
      <w:r>
        <w:rPr>
          <w:spacing w:val="-3"/>
          <w:sz w:val="24"/>
        </w:rPr>
        <w:t xml:space="preserve"> </w:t>
      </w:r>
      <w:r>
        <w:rPr>
          <w:sz w:val="24"/>
        </w:rPr>
        <w:t>MA</w:t>
      </w:r>
      <w:r>
        <w:rPr>
          <w:spacing w:val="-2"/>
          <w:sz w:val="24"/>
        </w:rPr>
        <w:t xml:space="preserve"> </w:t>
      </w:r>
      <w:r>
        <w:rPr>
          <w:sz w:val="24"/>
        </w:rPr>
        <w:t xml:space="preserve">BPT </w:t>
      </w:r>
      <w:r>
        <w:rPr>
          <w:spacing w:val="-2"/>
          <w:sz w:val="24"/>
        </w:rPr>
        <w:t>worksheets.</w:t>
      </w:r>
    </w:p>
    <w:p>
      <w:pPr>
        <w:pStyle w:val="ListParagraph"/>
        <w:numPr>
          <w:ilvl w:val="1"/>
          <w:numId w:val="56"/>
        </w:numPr>
        <w:tabs>
          <w:tab w:val="left" w:pos="1584"/>
        </w:tabs>
        <w:spacing w:before="0" w:after="0" w:line="240" w:lineRule="auto"/>
        <w:ind w:left="1584" w:right="0" w:hanging="360"/>
        <w:jc w:val="left"/>
        <w:rPr>
          <w:sz w:val="24"/>
        </w:rPr>
      </w:pPr>
      <w:r>
        <w:rPr>
          <w:sz w:val="24"/>
        </w:rPr>
        <w:t>Section</w:t>
      </w:r>
      <w:r>
        <w:rPr>
          <w:spacing w:val="-2"/>
          <w:sz w:val="24"/>
        </w:rPr>
        <w:t xml:space="preserve"> </w:t>
      </w:r>
      <w:r>
        <w:rPr>
          <w:sz w:val="24"/>
        </w:rPr>
        <w:t>II</w:t>
      </w:r>
      <w:r>
        <w:rPr>
          <w:spacing w:val="-1"/>
          <w:sz w:val="24"/>
        </w:rPr>
        <w:t xml:space="preserve"> </w:t>
      </w:r>
      <w:r>
        <w:rPr>
          <w:sz w:val="24"/>
        </w:rPr>
        <w:t>captures</w:t>
      </w:r>
      <w:r>
        <w:rPr>
          <w:spacing w:val="-3"/>
          <w:sz w:val="24"/>
        </w:rPr>
        <w:t xml:space="preserve"> </w:t>
      </w:r>
      <w:r>
        <w:rPr>
          <w:sz w:val="24"/>
        </w:rPr>
        <w:t>base</w:t>
      </w:r>
      <w:r>
        <w:rPr>
          <w:spacing w:val="-1"/>
          <w:sz w:val="24"/>
        </w:rPr>
        <w:t xml:space="preserve"> </w:t>
      </w:r>
      <w:r>
        <w:rPr>
          <w:sz w:val="24"/>
        </w:rPr>
        <w:t>period</w:t>
      </w:r>
      <w:r>
        <w:rPr>
          <w:spacing w:val="-1"/>
          <w:sz w:val="24"/>
        </w:rPr>
        <w:t xml:space="preserve"> </w:t>
      </w:r>
      <w:r>
        <w:rPr>
          <w:sz w:val="24"/>
        </w:rPr>
        <w:t>background</w:t>
      </w:r>
      <w:r>
        <w:rPr>
          <w:spacing w:val="-2"/>
          <w:sz w:val="24"/>
        </w:rPr>
        <w:t xml:space="preserve"> information.</w:t>
      </w:r>
    </w:p>
    <w:p>
      <w:pPr>
        <w:pStyle w:val="ListParagraph"/>
        <w:numPr>
          <w:ilvl w:val="1"/>
          <w:numId w:val="56"/>
        </w:numPr>
        <w:tabs>
          <w:tab w:val="left" w:pos="1584"/>
        </w:tabs>
        <w:spacing w:before="0" w:after="0" w:line="240" w:lineRule="auto"/>
        <w:ind w:left="1584" w:right="0" w:hanging="360"/>
        <w:jc w:val="left"/>
        <w:rPr>
          <w:sz w:val="24"/>
        </w:rPr>
      </w:pPr>
      <w:r>
        <w:rPr>
          <w:sz w:val="24"/>
        </w:rPr>
        <w:t>Section</w:t>
      </w:r>
      <w:r>
        <w:rPr>
          <w:spacing w:val="-1"/>
          <w:sz w:val="24"/>
        </w:rPr>
        <w:t xml:space="preserve"> </w:t>
      </w:r>
      <w:r>
        <w:rPr>
          <w:sz w:val="24"/>
        </w:rPr>
        <w:t>III</w:t>
      </w:r>
      <w:r>
        <w:rPr>
          <w:spacing w:val="-3"/>
          <w:sz w:val="24"/>
        </w:rPr>
        <w:t xml:space="preserve"> </w:t>
      </w:r>
      <w:r>
        <w:rPr>
          <w:sz w:val="24"/>
        </w:rPr>
        <w:t>summarizes</w:t>
      </w:r>
      <w:r>
        <w:rPr>
          <w:spacing w:val="-2"/>
          <w:sz w:val="24"/>
        </w:rPr>
        <w:t xml:space="preserve"> </w:t>
      </w:r>
      <w:r>
        <w:rPr>
          <w:sz w:val="24"/>
        </w:rPr>
        <w:t>the</w:t>
      </w:r>
      <w:r>
        <w:rPr>
          <w:spacing w:val="-1"/>
          <w:sz w:val="24"/>
        </w:rPr>
        <w:t xml:space="preserve"> </w:t>
      </w:r>
      <w:r>
        <w:rPr>
          <w:sz w:val="24"/>
        </w:rPr>
        <w:t>base</w:t>
      </w:r>
      <w:r>
        <w:rPr>
          <w:spacing w:val="-1"/>
          <w:sz w:val="24"/>
        </w:rPr>
        <w:t xml:space="preserve"> </w:t>
      </w:r>
      <w:r>
        <w:rPr>
          <w:sz w:val="24"/>
        </w:rPr>
        <w:t>period</w:t>
      </w:r>
      <w:r>
        <w:rPr>
          <w:spacing w:val="-1"/>
          <w:sz w:val="24"/>
        </w:rPr>
        <w:t xml:space="preserve"> </w:t>
      </w:r>
      <w:r>
        <w:rPr>
          <w:sz w:val="24"/>
        </w:rPr>
        <w:t>data</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pacing w:val="-4"/>
          <w:sz w:val="24"/>
        </w:rPr>
        <w:t>bid.</w:t>
      </w:r>
    </w:p>
    <w:p>
      <w:pPr>
        <w:pStyle w:val="ListParagraph"/>
        <w:numPr>
          <w:ilvl w:val="1"/>
          <w:numId w:val="56"/>
        </w:numPr>
        <w:tabs>
          <w:tab w:val="left" w:pos="1584"/>
        </w:tabs>
        <w:spacing w:before="0" w:after="0" w:line="240" w:lineRule="auto"/>
        <w:ind w:left="1584" w:right="1738" w:hanging="360"/>
        <w:jc w:val="left"/>
        <w:rPr>
          <w:sz w:val="24"/>
        </w:rPr>
      </w:pPr>
      <w:r>
        <w:rPr>
          <w:sz w:val="24"/>
        </w:rPr>
        <w:t>Section</w:t>
      </w:r>
      <w:r>
        <w:rPr>
          <w:spacing w:val="-3"/>
          <w:sz w:val="24"/>
        </w:rPr>
        <w:t xml:space="preserve"> </w:t>
      </w:r>
      <w:r>
        <w:rPr>
          <w:sz w:val="24"/>
        </w:rPr>
        <w:t>IV</w:t>
      </w:r>
      <w:r>
        <w:rPr>
          <w:spacing w:val="-4"/>
          <w:sz w:val="24"/>
        </w:rPr>
        <w:t xml:space="preserve"> </w:t>
      </w:r>
      <w:r>
        <w:rPr>
          <w:sz w:val="24"/>
        </w:rPr>
        <w:t>captures</w:t>
      </w:r>
      <w:r>
        <w:rPr>
          <w:spacing w:val="-2"/>
          <w:sz w:val="24"/>
        </w:rPr>
        <w:t xml:space="preserve"> </w:t>
      </w:r>
      <w:r>
        <w:rPr>
          <w:sz w:val="24"/>
        </w:rPr>
        <w:t>the</w:t>
      </w:r>
      <w:r>
        <w:rPr>
          <w:spacing w:val="-3"/>
          <w:sz w:val="24"/>
        </w:rPr>
        <w:t xml:space="preserve"> </w:t>
      </w:r>
      <w:r>
        <w:rPr>
          <w:sz w:val="24"/>
        </w:rPr>
        <w:t>factors</w:t>
      </w:r>
      <w:r>
        <w:rPr>
          <w:spacing w:val="-4"/>
          <w:sz w:val="24"/>
        </w:rPr>
        <w:t xml:space="preserve"> </w:t>
      </w:r>
      <w:r>
        <w:rPr>
          <w:sz w:val="24"/>
        </w:rPr>
        <w:t>used</w:t>
      </w:r>
      <w:r>
        <w:rPr>
          <w:spacing w:val="-3"/>
          <w:sz w:val="24"/>
        </w:rPr>
        <w:t xml:space="preserve"> </w:t>
      </w:r>
      <w:r>
        <w:rPr>
          <w:sz w:val="24"/>
        </w:rPr>
        <w:t>to</w:t>
      </w:r>
      <w:r>
        <w:rPr>
          <w:spacing w:val="-3"/>
          <w:sz w:val="24"/>
        </w:rPr>
        <w:t xml:space="preserve"> </w:t>
      </w:r>
      <w:r>
        <w:rPr>
          <w:sz w:val="24"/>
        </w:rPr>
        <w:t>project</w:t>
      </w:r>
      <w:r>
        <w:rPr>
          <w:spacing w:val="-3"/>
          <w:sz w:val="24"/>
        </w:rPr>
        <w:t xml:space="preserve"> </w:t>
      </w:r>
      <w:r>
        <w:rPr>
          <w:sz w:val="24"/>
        </w:rPr>
        <w:t>the</w:t>
      </w:r>
      <w:r>
        <w:rPr>
          <w:spacing w:val="-2"/>
          <w:sz w:val="24"/>
        </w:rPr>
        <w:t xml:space="preserve"> </w:t>
      </w:r>
      <w:r>
        <w:rPr>
          <w:sz w:val="24"/>
        </w:rPr>
        <w:t>base</w:t>
      </w:r>
      <w:r>
        <w:rPr>
          <w:spacing w:val="-4"/>
          <w:sz w:val="24"/>
        </w:rPr>
        <w:t xml:space="preserve"> </w:t>
      </w:r>
      <w:r>
        <w:rPr>
          <w:sz w:val="24"/>
        </w:rPr>
        <w:t>period</w:t>
      </w:r>
      <w:r>
        <w:rPr>
          <w:spacing w:val="-3"/>
          <w:sz w:val="24"/>
        </w:rPr>
        <w:t xml:space="preserve"> </w:t>
      </w:r>
      <w:r>
        <w:rPr>
          <w:sz w:val="24"/>
        </w:rPr>
        <w:t>data</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 xml:space="preserve">contract </w:t>
      </w:r>
      <w:r>
        <w:rPr>
          <w:spacing w:val="-2"/>
          <w:sz w:val="24"/>
        </w:rPr>
        <w:t>period.</w:t>
      </w:r>
    </w:p>
    <w:p>
      <w:pPr>
        <w:pStyle w:val="ListParagraph"/>
        <w:numPr>
          <w:ilvl w:val="1"/>
          <w:numId w:val="56"/>
        </w:numPr>
        <w:tabs>
          <w:tab w:val="left" w:pos="1584"/>
        </w:tabs>
        <w:spacing w:before="1" w:after="0" w:line="240" w:lineRule="auto"/>
        <w:ind w:left="1584" w:right="0" w:hanging="360"/>
        <w:jc w:val="left"/>
        <w:rPr>
          <w:sz w:val="24"/>
        </w:rPr>
      </w:pPr>
      <w:r>
        <w:rPr>
          <w:sz w:val="24"/>
        </w:rPr>
        <w:t>Section</w:t>
      </w:r>
      <w:r>
        <w:rPr>
          <w:spacing w:val="-4"/>
          <w:sz w:val="24"/>
        </w:rPr>
        <w:t xml:space="preserve"> </w:t>
      </w:r>
      <w:r>
        <w:rPr>
          <w:sz w:val="24"/>
        </w:rPr>
        <w:t>V</w:t>
      </w:r>
      <w:r>
        <w:rPr>
          <w:spacing w:val="-2"/>
          <w:sz w:val="24"/>
        </w:rPr>
        <w:t xml:space="preserve"> </w:t>
      </w:r>
      <w:r>
        <w:rPr>
          <w:sz w:val="24"/>
        </w:rPr>
        <w:t>contains</w:t>
      </w:r>
      <w:r>
        <w:rPr>
          <w:spacing w:val="-2"/>
          <w:sz w:val="24"/>
        </w:rPr>
        <w:t xml:space="preserve"> </w:t>
      </w:r>
      <w:r>
        <w:rPr>
          <w:sz w:val="24"/>
        </w:rPr>
        <w:t>a</w:t>
      </w:r>
      <w:r>
        <w:rPr>
          <w:spacing w:val="-2"/>
          <w:sz w:val="24"/>
        </w:rPr>
        <w:t xml:space="preserve"> </w:t>
      </w:r>
      <w:r>
        <w:rPr>
          <w:sz w:val="24"/>
        </w:rPr>
        <w:t>summary</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base</w:t>
      </w:r>
      <w:r>
        <w:rPr>
          <w:spacing w:val="-2"/>
          <w:sz w:val="24"/>
        </w:rPr>
        <w:t xml:space="preserve"> </w:t>
      </w:r>
      <w:r>
        <w:rPr>
          <w:sz w:val="24"/>
        </w:rPr>
        <w:t>period</w:t>
      </w:r>
      <w:r>
        <w:rPr>
          <w:spacing w:val="-1"/>
          <w:sz w:val="24"/>
        </w:rPr>
        <w:t xml:space="preserve"> </w:t>
      </w:r>
      <w:r>
        <w:rPr>
          <w:sz w:val="24"/>
        </w:rPr>
        <w:t>revenue and</w:t>
      </w:r>
      <w:r>
        <w:rPr>
          <w:spacing w:val="-1"/>
          <w:sz w:val="24"/>
        </w:rPr>
        <w:t xml:space="preserve"> </w:t>
      </w:r>
      <w:r>
        <w:rPr>
          <w:spacing w:val="-2"/>
          <w:sz w:val="24"/>
        </w:rPr>
        <w:t>expenses.</w:t>
      </w:r>
    </w:p>
    <w:p>
      <w:pPr>
        <w:pStyle w:val="ListParagraph"/>
        <w:numPr>
          <w:ilvl w:val="1"/>
          <w:numId w:val="56"/>
        </w:numPr>
        <w:tabs>
          <w:tab w:val="left" w:pos="1584"/>
        </w:tabs>
        <w:spacing w:before="0" w:after="0" w:line="240" w:lineRule="auto"/>
        <w:ind w:left="1584" w:right="0" w:hanging="360"/>
        <w:jc w:val="left"/>
        <w:rPr>
          <w:sz w:val="24"/>
        </w:rPr>
      </w:pPr>
      <w:r>
        <w:rPr>
          <w:sz w:val="24"/>
        </w:rPr>
        <w:t>Section</w:t>
      </w:r>
      <w:r>
        <w:rPr>
          <w:spacing w:val="-3"/>
          <w:sz w:val="24"/>
        </w:rPr>
        <w:t xml:space="preserve"> </w:t>
      </w:r>
      <w:r>
        <w:rPr>
          <w:sz w:val="24"/>
        </w:rPr>
        <w:t>VI</w:t>
      </w:r>
      <w:r>
        <w:rPr>
          <w:spacing w:val="-5"/>
          <w:sz w:val="24"/>
        </w:rPr>
        <w:t xml:space="preserve"> </w:t>
      </w:r>
      <w:r>
        <w:rPr>
          <w:sz w:val="24"/>
        </w:rPr>
        <w:t>summarizes</w:t>
      </w:r>
      <w:r>
        <w:rPr>
          <w:spacing w:val="-1"/>
          <w:sz w:val="24"/>
        </w:rPr>
        <w:t xml:space="preserve"> </w:t>
      </w:r>
      <w:r>
        <w:rPr>
          <w:sz w:val="24"/>
        </w:rPr>
        <w:t>the</w:t>
      </w:r>
      <w:r>
        <w:rPr>
          <w:spacing w:val="-2"/>
          <w:sz w:val="24"/>
        </w:rPr>
        <w:t xml:space="preserve"> </w:t>
      </w:r>
      <w:r>
        <w:rPr>
          <w:sz w:val="24"/>
        </w:rPr>
        <w:t>base</w:t>
      </w:r>
      <w:r>
        <w:rPr>
          <w:spacing w:val="-2"/>
          <w:sz w:val="24"/>
        </w:rPr>
        <w:t xml:space="preserve"> </w:t>
      </w:r>
      <w:r>
        <w:rPr>
          <w:sz w:val="24"/>
        </w:rPr>
        <w:t>period risk-sharing</w:t>
      </w:r>
      <w:r>
        <w:rPr>
          <w:spacing w:val="-1"/>
          <w:sz w:val="24"/>
        </w:rPr>
        <w:t xml:space="preserve"> </w:t>
      </w:r>
      <w:r>
        <w:rPr>
          <w:sz w:val="24"/>
        </w:rPr>
        <w:t xml:space="preserve">arrangement </w:t>
      </w:r>
      <w:r>
        <w:rPr>
          <w:spacing w:val="-2"/>
          <w:sz w:val="24"/>
        </w:rPr>
        <w:t>payments.</w:t>
      </w:r>
    </w:p>
    <w:p>
      <w:pPr>
        <w:pStyle w:val="BodyText"/>
        <w:spacing w:before="120"/>
        <w:ind w:right="1608"/>
        <w:jc w:val="both"/>
      </w:pPr>
      <w:r>
        <w:t>Section</w:t>
      </w:r>
      <w:r>
        <w:rPr>
          <w:spacing w:val="-3"/>
        </w:rPr>
        <w:t xml:space="preserve"> </w:t>
      </w:r>
      <w:r>
        <w:t>I</w:t>
      </w:r>
      <w:r>
        <w:rPr>
          <w:spacing w:val="-6"/>
        </w:rPr>
        <w:t xml:space="preserve"> </w:t>
      </w:r>
      <w:r>
        <w:t>must</w:t>
      </w:r>
      <w:r>
        <w:rPr>
          <w:spacing w:val="-2"/>
        </w:rPr>
        <w:t xml:space="preserve"> </w:t>
      </w:r>
      <w:r>
        <w:t>be</w:t>
      </w:r>
      <w:r>
        <w:rPr>
          <w:spacing w:val="-4"/>
        </w:rPr>
        <w:t xml:space="preserve"> </w:t>
      </w:r>
      <w:r>
        <w:t>fully</w:t>
      </w:r>
      <w:r>
        <w:rPr>
          <w:spacing w:val="-3"/>
        </w:rPr>
        <w:t xml:space="preserve"> </w:t>
      </w:r>
      <w:r>
        <w:t>completed</w:t>
      </w:r>
      <w:r>
        <w:rPr>
          <w:spacing w:val="-3"/>
        </w:rPr>
        <w:t xml:space="preserve"> </w:t>
      </w:r>
      <w:r>
        <w:t>for</w:t>
      </w:r>
      <w:r>
        <w:rPr>
          <w:spacing w:val="-3"/>
        </w:rPr>
        <w:t xml:space="preserve"> </w:t>
      </w:r>
      <w:r>
        <w:t>all</w:t>
      </w:r>
      <w:r>
        <w:rPr>
          <w:spacing w:val="-1"/>
        </w:rPr>
        <w:t xml:space="preserve"> </w:t>
      </w:r>
      <w:r>
        <w:t>bids.</w:t>
      </w:r>
      <w:r>
        <w:rPr>
          <w:spacing w:val="-3"/>
        </w:rPr>
        <w:t xml:space="preserve"> </w:t>
      </w:r>
      <w:r>
        <w:t>(Note</w:t>
      </w:r>
      <w:r>
        <w:rPr>
          <w:spacing w:val="-3"/>
        </w:rPr>
        <w:t xml:space="preserve"> </w:t>
      </w:r>
      <w:r>
        <w:t>that</w:t>
      </w:r>
      <w:r>
        <w:rPr>
          <w:spacing w:val="-3"/>
        </w:rPr>
        <w:t xml:space="preserve"> </w:t>
      </w:r>
      <w:r>
        <w:t>some</w:t>
      </w:r>
      <w:r>
        <w:rPr>
          <w:spacing w:val="-4"/>
        </w:rPr>
        <w:t xml:space="preserve"> </w:t>
      </w:r>
      <w:r>
        <w:t>fields</w:t>
      </w:r>
      <w:r>
        <w:rPr>
          <w:spacing w:val="-4"/>
        </w:rPr>
        <w:t xml:space="preserve"> </w:t>
      </w:r>
      <w:r>
        <w:t>may</w:t>
      </w:r>
      <w:r>
        <w:rPr>
          <w:spacing w:val="-1"/>
        </w:rPr>
        <w:t xml:space="preserve"> </w:t>
      </w:r>
      <w:r>
        <w:t>be</w:t>
      </w:r>
      <w:r>
        <w:rPr>
          <w:spacing w:val="-4"/>
        </w:rPr>
        <w:t xml:space="preserve"> </w:t>
      </w:r>
      <w:r>
        <w:t>pre-populated</w:t>
      </w:r>
      <w:r>
        <w:rPr>
          <w:spacing w:val="-3"/>
        </w:rPr>
        <w:t xml:space="preserve"> </w:t>
      </w:r>
      <w:r>
        <w:t>by the</w:t>
      </w:r>
      <w:r>
        <w:rPr>
          <w:spacing w:val="-1"/>
        </w:rPr>
        <w:t xml:space="preserve"> </w:t>
      </w:r>
      <w:r>
        <w:t>PBP.)</w:t>
      </w:r>
      <w:r>
        <w:rPr>
          <w:spacing w:val="-2"/>
        </w:rPr>
        <w:t xml:space="preserve"> </w:t>
      </w:r>
      <w:r>
        <w:t>Sections</w:t>
      </w:r>
      <w:r>
        <w:rPr>
          <w:spacing w:val="-2"/>
        </w:rPr>
        <w:t xml:space="preserve"> </w:t>
      </w:r>
      <w:r>
        <w:t>II</w:t>
      </w:r>
      <w:r>
        <w:rPr>
          <w:spacing w:val="-5"/>
        </w:rPr>
        <w:t xml:space="preserve"> </w:t>
      </w:r>
      <w:r>
        <w:t>through</w:t>
      </w:r>
      <w:r>
        <w:rPr>
          <w:spacing w:val="-1"/>
        </w:rPr>
        <w:t xml:space="preserve"> </w:t>
      </w:r>
      <w:r>
        <w:t>VI</w:t>
      </w:r>
      <w:r>
        <w:rPr>
          <w:spacing w:val="-5"/>
        </w:rPr>
        <w:t xml:space="preserve"> </w:t>
      </w:r>
      <w:r>
        <w:t>must be</w:t>
      </w:r>
      <w:r>
        <w:rPr>
          <w:spacing w:val="-2"/>
        </w:rPr>
        <w:t xml:space="preserve"> </w:t>
      </w:r>
      <w:r>
        <w:t>completed</w:t>
      </w:r>
      <w:r>
        <w:rPr>
          <w:spacing w:val="-1"/>
        </w:rPr>
        <w:t xml:space="preserve"> </w:t>
      </w:r>
      <w:r>
        <w:t>for</w:t>
      </w:r>
      <w:r>
        <w:rPr>
          <w:spacing w:val="-3"/>
        </w:rPr>
        <w:t xml:space="preserve"> </w:t>
      </w:r>
      <w:r>
        <w:t>all bids</w:t>
      </w:r>
      <w:r>
        <w:rPr>
          <w:spacing w:val="-2"/>
        </w:rPr>
        <w:t xml:space="preserve"> </w:t>
      </w:r>
      <w:r>
        <w:t>with</w:t>
      </w:r>
      <w:r>
        <w:rPr>
          <w:spacing w:val="-1"/>
        </w:rPr>
        <w:t xml:space="preserve"> </w:t>
      </w:r>
      <w:r>
        <w:t>experience</w:t>
      </w:r>
      <w:r>
        <w:rPr>
          <w:spacing w:val="-2"/>
        </w:rPr>
        <w:t xml:space="preserve"> </w:t>
      </w:r>
      <w:r>
        <w:t>data</w:t>
      </w:r>
      <w:r>
        <w:rPr>
          <w:spacing w:val="-2"/>
        </w:rPr>
        <w:t xml:space="preserve"> </w:t>
      </w:r>
      <w:r>
        <w:t>for</w:t>
      </w:r>
      <w:r>
        <w:rPr>
          <w:spacing w:val="-2"/>
        </w:rPr>
        <w:t xml:space="preserve"> </w:t>
      </w:r>
      <w:r>
        <w:t>2025 regardless of the level of enrollment.</w:t>
      </w:r>
    </w:p>
    <w:p>
      <w:pPr>
        <w:pStyle w:val="BodyText"/>
        <w:spacing w:before="44"/>
        <w:ind w:left="0"/>
      </w:pPr>
    </w:p>
    <w:p>
      <w:pPr>
        <w:pStyle w:val="Heading2"/>
        <w:spacing w:before="1"/>
        <w:jc w:val="both"/>
      </w:pPr>
      <w:bookmarkStart w:id="120" w:name="Section I – General Information"/>
      <w:bookmarkEnd w:id="120"/>
      <w:bookmarkStart w:id="121" w:name="_bookmark43"/>
      <w:bookmarkEnd w:id="121"/>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79"/>
        <w:ind w:right="1443"/>
      </w:pPr>
      <w:r>
        <w:t>The</w:t>
      </w:r>
      <w:r>
        <w:rPr>
          <w:spacing w:val="-4"/>
        </w:rPr>
        <w:t xml:space="preserve"> </w:t>
      </w:r>
      <w:r>
        <w:t>fields</w:t>
      </w:r>
      <w:r>
        <w:rPr>
          <w:spacing w:val="-3"/>
        </w:rPr>
        <w:t xml:space="preserve"> </w:t>
      </w:r>
      <w:r>
        <w:t>of</w:t>
      </w:r>
      <w:r>
        <w:rPr>
          <w:spacing w:val="-3"/>
        </w:rPr>
        <w:t xml:space="preserve"> </w:t>
      </w:r>
      <w:r>
        <w:t>Section I</w:t>
      </w:r>
      <w:r>
        <w:rPr>
          <w:spacing w:val="-5"/>
        </w:rPr>
        <w:t xml:space="preserve"> </w:t>
      </w:r>
      <w:r>
        <w:t>have</w:t>
      </w:r>
      <w:r>
        <w:rPr>
          <w:spacing w:val="-3"/>
        </w:rPr>
        <w:t xml:space="preserve"> </w:t>
      </w:r>
      <w:r>
        <w:t>been</w:t>
      </w:r>
      <w:r>
        <w:rPr>
          <w:spacing w:val="-2"/>
        </w:rPr>
        <w:t xml:space="preserve"> </w:t>
      </w:r>
      <w:r>
        <w:t>formatted</w:t>
      </w:r>
      <w:r>
        <w:rPr>
          <w:spacing w:val="-2"/>
        </w:rPr>
        <w:t xml:space="preserve"> </w:t>
      </w:r>
      <w:r>
        <w:t>as</w:t>
      </w:r>
      <w:r>
        <w:rPr>
          <w:spacing w:val="-3"/>
        </w:rPr>
        <w:t xml:space="preserve"> </w:t>
      </w:r>
      <w:r>
        <w:t>the</w:t>
      </w:r>
      <w:r>
        <w:rPr>
          <w:spacing w:val="-1"/>
        </w:rPr>
        <w:t xml:space="preserve"> </w:t>
      </w:r>
      <w:r>
        <w:t>“General”</w:t>
      </w:r>
      <w:r>
        <w:rPr>
          <w:spacing w:val="-1"/>
        </w:rPr>
        <w:t xml:space="preserve"> </w:t>
      </w:r>
      <w:r>
        <w:t>format</w:t>
      </w:r>
      <w:r>
        <w:rPr>
          <w:spacing w:val="-2"/>
        </w:rPr>
        <w:t xml:space="preserve"> </w:t>
      </w:r>
      <w:r>
        <w:t>in</w:t>
      </w:r>
      <w:r>
        <w:rPr>
          <w:spacing w:val="-2"/>
        </w:rPr>
        <w:t xml:space="preserve"> </w:t>
      </w:r>
      <w:r>
        <w:t>Excel to</w:t>
      </w:r>
      <w:r>
        <w:rPr>
          <w:spacing w:val="-2"/>
        </w:rPr>
        <w:t xml:space="preserve"> </w:t>
      </w:r>
      <w:r>
        <w:t>support</w:t>
      </w:r>
      <w:r>
        <w:rPr>
          <w:spacing w:val="-2"/>
        </w:rPr>
        <w:t xml:space="preserve"> </w:t>
      </w:r>
      <w:r>
        <w:t>the</w:t>
      </w:r>
      <w:r>
        <w:rPr>
          <w:spacing w:val="-3"/>
        </w:rPr>
        <w:t xml:space="preserve"> </w:t>
      </w:r>
      <w:r>
        <w:t>link functionality to other spreadsheets. Therefore, certain numeric fields, such as Plan ID,</w:t>
      </w:r>
    </w:p>
    <w:p>
      <w:pPr>
        <w:pStyle w:val="BodyText"/>
        <w:ind w:right="1481"/>
      </w:pPr>
      <w:r>
        <w:t>Segment ID, and Region Number, must be entered as text—that is, using a preceding apostrophe—and</w:t>
      </w:r>
      <w:r>
        <w:rPr>
          <w:spacing w:val="-3"/>
        </w:rPr>
        <w:t xml:space="preserve"> </w:t>
      </w:r>
      <w:r>
        <w:t>must</w:t>
      </w:r>
      <w:r>
        <w:rPr>
          <w:spacing w:val="-3"/>
        </w:rPr>
        <w:t xml:space="preserve"> </w:t>
      </w:r>
      <w:r>
        <w:t>include</w:t>
      </w:r>
      <w:r>
        <w:rPr>
          <w:spacing w:val="-3"/>
        </w:rPr>
        <w:t xml:space="preserve"> </w:t>
      </w:r>
      <w:r>
        <w:t>any</w:t>
      </w:r>
      <w:r>
        <w:rPr>
          <w:spacing w:val="-3"/>
        </w:rPr>
        <w:t xml:space="preserve"> </w:t>
      </w:r>
      <w:r>
        <w:t>leading</w:t>
      </w:r>
      <w:r>
        <w:rPr>
          <w:spacing w:val="-2"/>
        </w:rPr>
        <w:t xml:space="preserve"> </w:t>
      </w:r>
      <w:r>
        <w:t>zeroes.</w:t>
      </w:r>
      <w:r>
        <w:rPr>
          <w:spacing w:val="-1"/>
        </w:rPr>
        <w:t xml:space="preserve"> </w:t>
      </w:r>
      <w:r>
        <w:t>All</w:t>
      </w:r>
      <w:r>
        <w:rPr>
          <w:spacing w:val="-3"/>
        </w:rPr>
        <w:t xml:space="preserve"> </w:t>
      </w:r>
      <w:r>
        <w:t>fields</w:t>
      </w:r>
      <w:r>
        <w:rPr>
          <w:spacing w:val="-4"/>
        </w:rPr>
        <w:t xml:space="preserve"> </w:t>
      </w:r>
      <w:r>
        <w:t>in</w:t>
      </w:r>
      <w:r>
        <w:rPr>
          <w:spacing w:val="-3"/>
        </w:rPr>
        <w:t xml:space="preserve"> </w:t>
      </w:r>
      <w:r>
        <w:t>Section</w:t>
      </w:r>
      <w:r>
        <w:rPr>
          <w:spacing w:val="-3"/>
        </w:rPr>
        <w:t xml:space="preserve"> </w:t>
      </w:r>
      <w:r>
        <w:t>I</w:t>
      </w:r>
      <w:r>
        <w:rPr>
          <w:spacing w:val="-6"/>
        </w:rPr>
        <w:t xml:space="preserve"> </w:t>
      </w:r>
      <w:r>
        <w:t>must</w:t>
      </w:r>
      <w:r>
        <w:rPr>
          <w:spacing w:val="-2"/>
        </w:rPr>
        <w:t xml:space="preserve"> </w:t>
      </w:r>
      <w:r>
        <w:t>be</w:t>
      </w:r>
      <w:r>
        <w:rPr>
          <w:spacing w:val="-4"/>
        </w:rPr>
        <w:t xml:space="preserve"> </w:t>
      </w:r>
      <w:r>
        <w:t>completed; none can be left blank.</w:t>
      </w:r>
    </w:p>
    <w:p>
      <w:pPr>
        <w:spacing w:before="241"/>
        <w:ind w:left="504" w:right="0" w:firstLine="0"/>
        <w:jc w:val="left"/>
        <w:rPr>
          <w:rFonts w:ascii="Arial" w:hAnsi="Arial"/>
          <w:b/>
          <w:sz w:val="21"/>
        </w:rPr>
      </w:pPr>
      <w:bookmarkStart w:id="122" w:name="Line 1 – Contract Number"/>
      <w:bookmarkEnd w:id="122"/>
      <w:r>
        <w:rPr>
          <w:rFonts w:ascii="Arial" w:hAnsi="Arial"/>
          <w:b/>
          <w:sz w:val="21"/>
        </w:rPr>
        <w:t>Line</w:t>
      </w:r>
      <w:r>
        <w:rPr>
          <w:rFonts w:ascii="Arial" w:hAnsi="Arial"/>
          <w:b/>
          <w:spacing w:val="-4"/>
          <w:sz w:val="21"/>
        </w:rPr>
        <w:t xml:space="preserve"> </w:t>
      </w:r>
      <w:r>
        <w:rPr>
          <w:rFonts w:ascii="Arial" w:hAnsi="Arial"/>
          <w:b/>
          <w:sz w:val="21"/>
        </w:rPr>
        <w:t>1</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Contract</w:t>
      </w:r>
      <w:r>
        <w:rPr>
          <w:rFonts w:ascii="Arial" w:hAnsi="Arial"/>
          <w:b/>
          <w:spacing w:val="-5"/>
          <w:sz w:val="21"/>
        </w:rPr>
        <w:t xml:space="preserve"> </w:t>
      </w:r>
      <w:r>
        <w:rPr>
          <w:rFonts w:ascii="Arial" w:hAnsi="Arial"/>
          <w:b/>
          <w:spacing w:val="-2"/>
          <w:sz w:val="21"/>
        </w:rPr>
        <w:t>Number</w:t>
      </w:r>
    </w:p>
    <w:p>
      <w:pPr>
        <w:pStyle w:val="BodyText"/>
        <w:spacing w:before="118"/>
        <w:ind w:right="1443"/>
      </w:pPr>
      <w:r>
        <w:t>Enter</w:t>
      </w:r>
      <w:r>
        <w:rPr>
          <w:spacing w:val="-3"/>
        </w:rPr>
        <w:t xml:space="preserve"> </w:t>
      </w:r>
      <w:r>
        <w:t>the</w:t>
      </w:r>
      <w:r>
        <w:rPr>
          <w:spacing w:val="-4"/>
        </w:rPr>
        <w:t xml:space="preserve"> </w:t>
      </w:r>
      <w:r>
        <w:t>contract</w:t>
      </w:r>
      <w:r>
        <w:rPr>
          <w:spacing w:val="-3"/>
        </w:rPr>
        <w:t xml:space="preserve"> </w:t>
      </w:r>
      <w:r>
        <w:t>number</w:t>
      </w:r>
      <w:r>
        <w:rPr>
          <w:spacing w:val="-3"/>
        </w:rPr>
        <w:t xml:space="preserve"> </w:t>
      </w:r>
      <w:r>
        <w:t>for</w:t>
      </w:r>
      <w:r>
        <w:rPr>
          <w:spacing w:val="-3"/>
        </w:rPr>
        <w:t xml:space="preserve"> </w:t>
      </w:r>
      <w:r>
        <w:t>the</w:t>
      </w:r>
      <w:r>
        <w:rPr>
          <w:spacing w:val="-4"/>
        </w:rPr>
        <w:t xml:space="preserve"> </w:t>
      </w:r>
      <w:r>
        <w:t>bid.</w:t>
      </w:r>
      <w:r>
        <w:rPr>
          <w:spacing w:val="-3"/>
        </w:rPr>
        <w:t xml:space="preserve"> </w:t>
      </w:r>
      <w:r>
        <w:t>The</w:t>
      </w:r>
      <w:r>
        <w:rPr>
          <w:spacing w:val="-4"/>
        </w:rPr>
        <w:t xml:space="preserve"> </w:t>
      </w:r>
      <w:r>
        <w:t>designation</w:t>
      </w:r>
      <w:r>
        <w:rPr>
          <w:spacing w:val="-3"/>
        </w:rPr>
        <w:t xml:space="preserve"> </w:t>
      </w:r>
      <w:r>
        <w:t>begins</w:t>
      </w:r>
      <w:r>
        <w:rPr>
          <w:spacing w:val="-4"/>
        </w:rPr>
        <w:t xml:space="preserve"> </w:t>
      </w:r>
      <w:r>
        <w:t>with</w:t>
      </w:r>
      <w:r>
        <w:rPr>
          <w:spacing w:val="-3"/>
        </w:rPr>
        <w:t xml:space="preserve"> </w:t>
      </w:r>
      <w:r>
        <w:t>a</w:t>
      </w:r>
      <w:r>
        <w:rPr>
          <w:spacing w:val="-3"/>
        </w:rPr>
        <w:t xml:space="preserve"> </w:t>
      </w:r>
      <w:r>
        <w:t>capital</w:t>
      </w:r>
      <w:r>
        <w:rPr>
          <w:spacing w:val="-3"/>
        </w:rPr>
        <w:t xml:space="preserve"> </w:t>
      </w:r>
      <w:r>
        <w:t>letter</w:t>
      </w:r>
      <w:r>
        <w:rPr>
          <w:spacing w:val="-3"/>
        </w:rPr>
        <w:t xml:space="preserve"> </w:t>
      </w:r>
      <w:r>
        <w:t>H</w:t>
      </w:r>
      <w:r>
        <w:rPr>
          <w:spacing w:val="-4"/>
        </w:rPr>
        <w:t xml:space="preserve"> </w:t>
      </w:r>
      <w:r>
        <w:t>(local</w:t>
      </w:r>
      <w:r>
        <w:rPr>
          <w:spacing w:val="-3"/>
        </w:rPr>
        <w:t xml:space="preserve"> </w:t>
      </w:r>
      <w:r>
        <w:t>plan) or R (regional PPO plan) and includes four Arabic numerals (for example, H9999, R9999). Be sure to include all leading zeroes (for example, H0001).</w:t>
      </w:r>
    </w:p>
    <w:p>
      <w:pPr>
        <w:spacing w:before="241"/>
        <w:ind w:left="504" w:right="0" w:firstLine="0"/>
        <w:jc w:val="left"/>
        <w:rPr>
          <w:rFonts w:ascii="Arial" w:hAnsi="Arial"/>
          <w:b/>
          <w:sz w:val="21"/>
        </w:rPr>
      </w:pPr>
      <w:bookmarkStart w:id="123" w:name="Line 2 – Plan ID"/>
      <w:bookmarkEnd w:id="123"/>
      <w:r>
        <w:rPr>
          <w:rFonts w:ascii="Arial" w:hAnsi="Arial"/>
          <w:b/>
          <w:sz w:val="21"/>
        </w:rPr>
        <w:t>Line</w:t>
      </w:r>
      <w:r>
        <w:rPr>
          <w:rFonts w:ascii="Arial" w:hAnsi="Arial"/>
          <w:b/>
          <w:spacing w:val="-3"/>
          <w:sz w:val="21"/>
        </w:rPr>
        <w:t xml:space="preserve"> </w:t>
      </w:r>
      <w:r>
        <w:rPr>
          <w:rFonts w:ascii="Arial" w:hAnsi="Arial"/>
          <w:b/>
          <w:sz w:val="21"/>
        </w:rPr>
        <w:t>2</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2"/>
          <w:sz w:val="21"/>
        </w:rPr>
        <w:t xml:space="preserve"> </w:t>
      </w:r>
      <w:r>
        <w:rPr>
          <w:rFonts w:ascii="Arial" w:hAnsi="Arial"/>
          <w:b/>
          <w:spacing w:val="-5"/>
          <w:sz w:val="21"/>
        </w:rPr>
        <w:t>ID</w:t>
      </w:r>
    </w:p>
    <w:p>
      <w:pPr>
        <w:pStyle w:val="BodyText"/>
        <w:spacing w:before="120"/>
        <w:ind w:right="1481"/>
      </w:pPr>
      <w:r>
        <w:t>Plan</w:t>
      </w:r>
      <w:r>
        <w:rPr>
          <w:spacing w:val="-4"/>
        </w:rPr>
        <w:t xml:space="preserve"> </w:t>
      </w:r>
      <w:r>
        <w:t>IDs</w:t>
      </w:r>
      <w:r>
        <w:rPr>
          <w:spacing w:val="-1"/>
        </w:rPr>
        <w:t xml:space="preserve"> </w:t>
      </w:r>
      <w:r>
        <w:t>contain</w:t>
      </w:r>
      <w:r>
        <w:rPr>
          <w:spacing w:val="-3"/>
        </w:rPr>
        <w:t xml:space="preserve"> </w:t>
      </w:r>
      <w:r>
        <w:t>three</w:t>
      </w:r>
      <w:r>
        <w:rPr>
          <w:spacing w:val="-2"/>
        </w:rPr>
        <w:t xml:space="preserve"> </w:t>
      </w:r>
      <w:r>
        <w:t>Arabic</w:t>
      </w:r>
      <w:r>
        <w:rPr>
          <w:spacing w:val="-3"/>
        </w:rPr>
        <w:t xml:space="preserve"> </w:t>
      </w:r>
      <w:r>
        <w:t>numerals;</w:t>
      </w:r>
      <w:r>
        <w:rPr>
          <w:spacing w:val="-3"/>
        </w:rPr>
        <w:t xml:space="preserve"> </w:t>
      </w:r>
      <w:r>
        <w:t>however,</w:t>
      </w:r>
      <w:r>
        <w:rPr>
          <w:spacing w:val="-2"/>
        </w:rPr>
        <w:t xml:space="preserve"> </w:t>
      </w:r>
      <w:r>
        <w:t>this</w:t>
      </w:r>
      <w:r>
        <w:rPr>
          <w:spacing w:val="-4"/>
        </w:rPr>
        <w:t xml:space="preserve"> </w:t>
      </w:r>
      <w:r>
        <w:t>field</w:t>
      </w:r>
      <w:r>
        <w:rPr>
          <w:spacing w:val="-3"/>
        </w:rPr>
        <w:t xml:space="preserve"> </w:t>
      </w:r>
      <w:r>
        <w:t>is</w:t>
      </w:r>
      <w:r>
        <w:rPr>
          <w:spacing w:val="-4"/>
        </w:rPr>
        <w:t xml:space="preserve"> </w:t>
      </w:r>
      <w:r>
        <w:t>to</w:t>
      </w:r>
      <w:r>
        <w:rPr>
          <w:spacing w:val="-3"/>
        </w:rPr>
        <w:t xml:space="preserve"> </w:t>
      </w:r>
      <w:r>
        <w:t>be</w:t>
      </w:r>
      <w:r>
        <w:rPr>
          <w:spacing w:val="-4"/>
        </w:rPr>
        <w:t xml:space="preserve"> </w:t>
      </w:r>
      <w:r>
        <w:t>entered</w:t>
      </w:r>
      <w:r>
        <w:rPr>
          <w:spacing w:val="-1"/>
        </w:rPr>
        <w:t xml:space="preserve"> </w:t>
      </w:r>
      <w:r>
        <w:t>as</w:t>
      </w:r>
      <w:r>
        <w:rPr>
          <w:spacing w:val="-4"/>
        </w:rPr>
        <w:t xml:space="preserve"> </w:t>
      </w:r>
      <w:r>
        <w:t>a</w:t>
      </w:r>
      <w:r>
        <w:rPr>
          <w:spacing w:val="-4"/>
        </w:rPr>
        <w:t xml:space="preserve"> </w:t>
      </w:r>
      <w:r>
        <w:t>text</w:t>
      </w:r>
      <w:r>
        <w:rPr>
          <w:spacing w:val="-3"/>
        </w:rPr>
        <w:t xml:space="preserve"> </w:t>
      </w:r>
      <w:r>
        <w:t>input</w:t>
      </w:r>
      <w:r>
        <w:rPr>
          <w:spacing w:val="-3"/>
        </w:rPr>
        <w:t xml:space="preserve"> </w:t>
      </w:r>
      <w:r>
        <w:t>(that is, with a preceding apostrophe). Be sure to include all leading zeroes (for example, ‘001).</w:t>
      </w:r>
    </w:p>
    <w:p>
      <w:pPr>
        <w:spacing w:before="241"/>
        <w:ind w:left="504" w:right="0" w:firstLine="0"/>
        <w:jc w:val="left"/>
        <w:rPr>
          <w:rFonts w:ascii="Arial" w:hAnsi="Arial"/>
          <w:b/>
          <w:sz w:val="21"/>
        </w:rPr>
      </w:pPr>
      <w:bookmarkStart w:id="124" w:name="Line 3 – Segment ID"/>
      <w:bookmarkEnd w:id="124"/>
      <w:r>
        <w:rPr>
          <w:rFonts w:ascii="Arial" w:hAnsi="Arial"/>
          <w:b/>
          <w:sz w:val="21"/>
        </w:rPr>
        <w:t>Line</w:t>
      </w:r>
      <w:r>
        <w:rPr>
          <w:rFonts w:ascii="Arial" w:hAnsi="Arial"/>
          <w:b/>
          <w:spacing w:val="-3"/>
          <w:sz w:val="21"/>
        </w:rPr>
        <w:t xml:space="preserve"> </w:t>
      </w:r>
      <w:r>
        <w:rPr>
          <w:rFonts w:ascii="Arial" w:hAnsi="Arial"/>
          <w:b/>
          <w:sz w:val="21"/>
        </w:rPr>
        <w:t>3</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Segment</w:t>
      </w:r>
      <w:r>
        <w:rPr>
          <w:rFonts w:ascii="Arial" w:hAnsi="Arial"/>
          <w:b/>
          <w:spacing w:val="-3"/>
          <w:sz w:val="21"/>
        </w:rPr>
        <w:t xml:space="preserve"> </w:t>
      </w:r>
      <w:r>
        <w:rPr>
          <w:rFonts w:ascii="Arial" w:hAnsi="Arial"/>
          <w:b/>
          <w:spacing w:val="-5"/>
          <w:sz w:val="21"/>
        </w:rPr>
        <w:t>ID</w:t>
      </w:r>
    </w:p>
    <w:p>
      <w:pPr>
        <w:pStyle w:val="BodyText"/>
        <w:spacing w:before="118"/>
        <w:ind w:right="1443"/>
      </w:pPr>
      <w:r>
        <w:t>If</w:t>
      </w:r>
      <w:r>
        <w:rPr>
          <w:spacing w:val="-5"/>
        </w:rPr>
        <w:t xml:space="preserve"> </w:t>
      </w:r>
      <w:r>
        <w:t>the</w:t>
      </w:r>
      <w:r>
        <w:rPr>
          <w:spacing w:val="-3"/>
        </w:rPr>
        <w:t xml:space="preserve"> </w:t>
      </w:r>
      <w:r>
        <w:t>bid</w:t>
      </w:r>
      <w:r>
        <w:rPr>
          <w:spacing w:val="-3"/>
        </w:rPr>
        <w:t xml:space="preserve"> </w:t>
      </w:r>
      <w:r>
        <w:t>is</w:t>
      </w:r>
      <w:r>
        <w:rPr>
          <w:spacing w:val="-4"/>
        </w:rPr>
        <w:t xml:space="preserve"> </w:t>
      </w:r>
      <w:r>
        <w:t>in</w:t>
      </w:r>
      <w:r>
        <w:rPr>
          <w:spacing w:val="-3"/>
        </w:rPr>
        <w:t xml:space="preserve"> </w:t>
      </w:r>
      <w:r>
        <w:t>a</w:t>
      </w:r>
      <w:r>
        <w:rPr>
          <w:spacing w:val="-4"/>
        </w:rPr>
        <w:t xml:space="preserve"> </w:t>
      </w:r>
      <w:r>
        <w:t>non-segmented</w:t>
      </w:r>
      <w:r>
        <w:rPr>
          <w:spacing w:val="-3"/>
        </w:rPr>
        <w:t xml:space="preserve"> </w:t>
      </w:r>
      <w:r>
        <w:t>plan,</w:t>
      </w:r>
      <w:r>
        <w:rPr>
          <w:spacing w:val="-3"/>
        </w:rPr>
        <w:t xml:space="preserve"> </w:t>
      </w:r>
      <w:r>
        <w:t>enter</w:t>
      </w:r>
      <w:r>
        <w:rPr>
          <w:spacing w:val="-3"/>
        </w:rPr>
        <w:t xml:space="preserve"> </w:t>
      </w:r>
      <w:r>
        <w:t>zero</w:t>
      </w:r>
      <w:r>
        <w:rPr>
          <w:spacing w:val="-2"/>
        </w:rPr>
        <w:t xml:space="preserve"> </w:t>
      </w:r>
      <w:r>
        <w:t>(0).</w:t>
      </w:r>
      <w:r>
        <w:rPr>
          <w:spacing w:val="-3"/>
        </w:rPr>
        <w:t xml:space="preserve"> </w:t>
      </w:r>
      <w:r>
        <w:t>Otherwise,</w:t>
      </w:r>
      <w:r>
        <w:rPr>
          <w:spacing w:val="-1"/>
        </w:rPr>
        <w:t xml:space="preserve"> </w:t>
      </w:r>
      <w:r>
        <w:t>enter</w:t>
      </w:r>
      <w:r>
        <w:rPr>
          <w:spacing w:val="-5"/>
        </w:rPr>
        <w:t xml:space="preserve"> </w:t>
      </w:r>
      <w:r>
        <w:t>the</w:t>
      </w:r>
      <w:r>
        <w:rPr>
          <w:spacing w:val="-4"/>
        </w:rPr>
        <w:t xml:space="preserve"> </w:t>
      </w:r>
      <w:r>
        <w:t>segment ID.</w:t>
      </w:r>
      <w:r>
        <w:rPr>
          <w:spacing w:val="-3"/>
        </w:rPr>
        <w:t xml:space="preserve"> </w:t>
      </w:r>
      <w:r>
        <w:t>This</w:t>
      </w:r>
      <w:r>
        <w:rPr>
          <w:spacing w:val="-4"/>
        </w:rPr>
        <w:t xml:space="preserve"> </w:t>
      </w:r>
      <w:r>
        <w:t>field is to be entered as a text input (that is, with a preceding apostrophe). Be sure to include all leading zeroes (for example, ‘000 or ‘001).</w:t>
      </w:r>
    </w:p>
    <w:p>
      <w:pPr>
        <w:spacing w:before="241"/>
        <w:ind w:left="504" w:right="0" w:firstLine="0"/>
        <w:jc w:val="left"/>
        <w:rPr>
          <w:rFonts w:ascii="Arial" w:hAnsi="Arial"/>
          <w:b/>
          <w:sz w:val="21"/>
        </w:rPr>
      </w:pPr>
      <w:bookmarkStart w:id="125" w:name="Line 4 – Contract Year"/>
      <w:bookmarkEnd w:id="125"/>
      <w:r>
        <w:rPr>
          <w:rFonts w:ascii="Arial" w:hAnsi="Arial"/>
          <w:b/>
          <w:sz w:val="21"/>
        </w:rPr>
        <w:t>Line</w:t>
      </w:r>
      <w:r>
        <w:rPr>
          <w:rFonts w:ascii="Arial" w:hAnsi="Arial"/>
          <w:b/>
          <w:spacing w:val="-4"/>
          <w:sz w:val="21"/>
        </w:rPr>
        <w:t xml:space="preserve"> </w:t>
      </w:r>
      <w:r>
        <w:rPr>
          <w:rFonts w:ascii="Arial" w:hAnsi="Arial"/>
          <w:b/>
          <w:sz w:val="21"/>
        </w:rPr>
        <w:t>4</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Contract</w:t>
      </w:r>
      <w:r>
        <w:rPr>
          <w:rFonts w:ascii="Arial" w:hAnsi="Arial"/>
          <w:b/>
          <w:spacing w:val="-4"/>
          <w:sz w:val="21"/>
        </w:rPr>
        <w:t xml:space="preserve"> Year</w:t>
      </w:r>
    </w:p>
    <w:p>
      <w:pPr>
        <w:pStyle w:val="BodyText"/>
        <w:spacing w:before="120"/>
      </w:pPr>
      <w:r>
        <w:t>This</w:t>
      </w:r>
      <w:r>
        <w:rPr>
          <w:spacing w:val="-3"/>
        </w:rPr>
        <w:t xml:space="preserve"> </w:t>
      </w:r>
      <w:r>
        <w:t>cell</w:t>
      </w:r>
      <w:r>
        <w:rPr>
          <w:spacing w:val="-1"/>
        </w:rPr>
        <w:t xml:space="preserve"> </w:t>
      </w:r>
      <w:r>
        <w:t>is</w:t>
      </w:r>
      <w:r>
        <w:rPr>
          <w:spacing w:val="-2"/>
        </w:rPr>
        <w:t xml:space="preserve"> </w:t>
      </w:r>
      <w:r>
        <w:t>pre-populated</w:t>
      </w:r>
      <w:r>
        <w:rPr>
          <w:spacing w:val="1"/>
        </w:rPr>
        <w:t xml:space="preserve"> </w:t>
      </w:r>
      <w:r>
        <w:t>with</w:t>
      </w:r>
      <w:r>
        <w:rPr>
          <w:spacing w:val="-2"/>
        </w:rPr>
        <w:t xml:space="preserve"> </w:t>
      </w:r>
      <w:r>
        <w:t>the</w:t>
      </w:r>
      <w:r>
        <w:rPr>
          <w:spacing w:val="-2"/>
        </w:rPr>
        <w:t xml:space="preserve"> </w:t>
      </w:r>
      <w:r>
        <w:t>calendar</w:t>
      </w:r>
      <w:r>
        <w:rPr>
          <w:spacing w:val="-1"/>
        </w:rPr>
        <w:t xml:space="preserve"> </w:t>
      </w:r>
      <w:r>
        <w:t>year</w:t>
      </w:r>
      <w:r>
        <w:rPr>
          <w:spacing w:val="-1"/>
        </w:rPr>
        <w:t xml:space="preserve"> </w:t>
      </w:r>
      <w:r>
        <w:t>to</w:t>
      </w:r>
      <w:r>
        <w:rPr>
          <w:spacing w:val="-1"/>
        </w:rPr>
        <w:t xml:space="preserve"> </w:t>
      </w:r>
      <w:r>
        <w:t>which</w:t>
      </w:r>
      <w:r>
        <w:rPr>
          <w:spacing w:val="-1"/>
        </w:rPr>
        <w:t xml:space="preserve"> </w:t>
      </w:r>
      <w:r>
        <w:t>the</w:t>
      </w:r>
      <w:r>
        <w:rPr>
          <w:spacing w:val="-1"/>
        </w:rPr>
        <w:t xml:space="preserve"> </w:t>
      </w:r>
      <w:r>
        <w:t>contract</w:t>
      </w:r>
      <w:r>
        <w:rPr>
          <w:spacing w:val="-1"/>
        </w:rPr>
        <w:t xml:space="preserve"> </w:t>
      </w:r>
      <w:r>
        <w:rPr>
          <w:spacing w:val="-2"/>
        </w:rPr>
        <w:t>applies.</w:t>
      </w:r>
    </w:p>
    <w:p>
      <w:pPr>
        <w:pStyle w:val="BodyText"/>
        <w:spacing w:after="0"/>
        <w:sectPr>
          <w:headerReference w:type="default" r:id="rId27"/>
          <w:footerReference w:type="default" r:id="rId28"/>
          <w:pgSz w:w="12240" w:h="15840"/>
          <w:pgMar w:top="960" w:right="0" w:bottom="940" w:left="1080" w:header="727" w:footer="747"/>
          <w:cols w:space="720"/>
        </w:sectPr>
      </w:pPr>
    </w:p>
    <w:p>
      <w:pPr>
        <w:pStyle w:val="BodyText"/>
        <w:spacing w:before="225"/>
        <w:ind w:left="0"/>
        <w:rPr>
          <w:sz w:val="21"/>
        </w:rPr>
      </w:pPr>
    </w:p>
    <w:p>
      <w:pPr>
        <w:spacing w:before="0"/>
        <w:ind w:left="504" w:right="0" w:firstLine="0"/>
        <w:jc w:val="left"/>
        <w:rPr>
          <w:rFonts w:ascii="Arial" w:hAnsi="Arial"/>
          <w:b/>
          <w:sz w:val="21"/>
        </w:rPr>
      </w:pPr>
      <w:bookmarkStart w:id="126" w:name="Line 5 – Organization Name"/>
      <w:bookmarkEnd w:id="126"/>
      <w:r>
        <w:rPr>
          <w:rFonts w:ascii="Arial" w:hAnsi="Arial"/>
          <w:b/>
          <w:sz w:val="21"/>
        </w:rPr>
        <w:t>Line</w:t>
      </w:r>
      <w:r>
        <w:rPr>
          <w:rFonts w:ascii="Arial" w:hAnsi="Arial"/>
          <w:b/>
          <w:spacing w:val="-5"/>
          <w:sz w:val="21"/>
        </w:rPr>
        <w:t xml:space="preserve"> </w:t>
      </w:r>
      <w:r>
        <w:rPr>
          <w:rFonts w:ascii="Arial" w:hAnsi="Arial"/>
          <w:b/>
          <w:sz w:val="21"/>
        </w:rPr>
        <w:t>5</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Organization</w:t>
      </w:r>
      <w:r>
        <w:rPr>
          <w:rFonts w:ascii="Arial" w:hAnsi="Arial"/>
          <w:b/>
          <w:spacing w:val="-6"/>
          <w:sz w:val="21"/>
        </w:rPr>
        <w:t xml:space="preserve"> </w:t>
      </w:r>
      <w:r>
        <w:rPr>
          <w:rFonts w:ascii="Arial" w:hAnsi="Arial"/>
          <w:b/>
          <w:spacing w:val="-4"/>
          <w:sz w:val="21"/>
        </w:rPr>
        <w:t>Name</w:t>
      </w:r>
    </w:p>
    <w:p>
      <w:pPr>
        <w:pStyle w:val="BodyText"/>
        <w:spacing w:before="120"/>
      </w:pPr>
      <w:r>
        <w:t>Enter</w:t>
      </w:r>
      <w:r>
        <w:rPr>
          <w:spacing w:val="-1"/>
        </w:rPr>
        <w:t xml:space="preserve"> </w:t>
      </w:r>
      <w:r>
        <w:t>the</w:t>
      </w:r>
      <w:r>
        <w:rPr>
          <w:spacing w:val="-3"/>
        </w:rPr>
        <w:t xml:space="preserve"> </w:t>
      </w:r>
      <w:r>
        <w:t>MAO’s</w:t>
      </w:r>
      <w:r>
        <w:rPr>
          <w:spacing w:val="-2"/>
        </w:rPr>
        <w:t xml:space="preserve"> </w:t>
      </w:r>
      <w:r>
        <w:t>legal</w:t>
      </w:r>
      <w:r>
        <w:rPr>
          <w:spacing w:val="-1"/>
        </w:rPr>
        <w:t xml:space="preserve"> </w:t>
      </w:r>
      <w:r>
        <w:t>entity</w:t>
      </w:r>
      <w:r>
        <w:rPr>
          <w:spacing w:val="-1"/>
        </w:rPr>
        <w:t xml:space="preserve"> </w:t>
      </w:r>
      <w:r>
        <w:t>name.</w:t>
      </w:r>
      <w:r>
        <w:rPr>
          <w:spacing w:val="-1"/>
        </w:rPr>
        <w:t xml:space="preserve"> </w:t>
      </w:r>
      <w:r>
        <w:t>This</w:t>
      </w:r>
      <w:r>
        <w:rPr>
          <w:spacing w:val="-2"/>
        </w:rPr>
        <w:t xml:space="preserve"> </w:t>
      </w:r>
      <w:r>
        <w:t>information</w:t>
      </w:r>
      <w:r>
        <w:rPr>
          <w:spacing w:val="-1"/>
        </w:rPr>
        <w:t xml:space="preserve"> </w:t>
      </w:r>
      <w:r>
        <w:t>also</w:t>
      </w:r>
      <w:r>
        <w:rPr>
          <w:spacing w:val="-1"/>
        </w:rPr>
        <w:t xml:space="preserve"> </w:t>
      </w:r>
      <w:r>
        <w:t>appears</w:t>
      </w:r>
      <w:r>
        <w:rPr>
          <w:spacing w:val="-2"/>
        </w:rPr>
        <w:t xml:space="preserve"> </w:t>
      </w:r>
      <w:r>
        <w:t>in</w:t>
      </w:r>
      <w:r>
        <w:rPr>
          <w:spacing w:val="-1"/>
        </w:rPr>
        <w:t xml:space="preserve"> </w:t>
      </w:r>
      <w:r>
        <w:t>HPMS</w:t>
      </w:r>
      <w:r>
        <w:rPr>
          <w:spacing w:val="-1"/>
        </w:rPr>
        <w:t xml:space="preserve"> </w:t>
      </w:r>
      <w:r>
        <w:t>and</w:t>
      </w:r>
      <w:r>
        <w:rPr>
          <w:spacing w:val="-1"/>
        </w:rPr>
        <w:t xml:space="preserve"> </w:t>
      </w:r>
      <w:r>
        <w:t xml:space="preserve">the </w:t>
      </w:r>
      <w:r>
        <w:rPr>
          <w:spacing w:val="-4"/>
        </w:rPr>
        <w:t>PBP.</w:t>
      </w:r>
    </w:p>
    <w:p>
      <w:pPr>
        <w:spacing w:before="241"/>
        <w:ind w:left="504" w:right="0" w:firstLine="0"/>
        <w:jc w:val="left"/>
        <w:rPr>
          <w:rFonts w:ascii="Arial" w:hAnsi="Arial"/>
          <w:b/>
          <w:sz w:val="21"/>
        </w:rPr>
      </w:pPr>
      <w:bookmarkStart w:id="127" w:name="Line 6 – Plan Name"/>
      <w:bookmarkEnd w:id="127"/>
      <w:r>
        <w:rPr>
          <w:rFonts w:ascii="Arial" w:hAnsi="Arial"/>
          <w:b/>
          <w:sz w:val="21"/>
        </w:rPr>
        <w:t>Line</w:t>
      </w:r>
      <w:r>
        <w:rPr>
          <w:rFonts w:ascii="Arial" w:hAnsi="Arial"/>
          <w:b/>
          <w:spacing w:val="-4"/>
          <w:sz w:val="21"/>
        </w:rPr>
        <w:t xml:space="preserve"> </w:t>
      </w:r>
      <w:r>
        <w:rPr>
          <w:rFonts w:ascii="Arial" w:hAnsi="Arial"/>
          <w:b/>
          <w:sz w:val="21"/>
        </w:rPr>
        <w:t>6</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4"/>
          <w:sz w:val="21"/>
        </w:rPr>
        <w:t xml:space="preserve"> Name</w:t>
      </w:r>
    </w:p>
    <w:p>
      <w:pPr>
        <w:pStyle w:val="BodyText"/>
        <w:spacing w:before="118"/>
      </w:pPr>
      <w:r>
        <w:t>Enter</w:t>
      </w:r>
      <w:r>
        <w:rPr>
          <w:spacing w:val="-1"/>
        </w:rPr>
        <w:t xml:space="preserve"> </w:t>
      </w:r>
      <w:r>
        <w:t>the</w:t>
      </w:r>
      <w:r>
        <w:rPr>
          <w:spacing w:val="-3"/>
        </w:rPr>
        <w:t xml:space="preserve"> </w:t>
      </w:r>
      <w:r>
        <w:t>plan</w:t>
      </w:r>
      <w:r>
        <w:rPr>
          <w:spacing w:val="-1"/>
        </w:rPr>
        <w:t xml:space="preserve"> </w:t>
      </w:r>
      <w:r>
        <w:t>name. This</w:t>
      </w:r>
      <w:r>
        <w:rPr>
          <w:spacing w:val="-2"/>
        </w:rPr>
        <w:t xml:space="preserve"> </w:t>
      </w:r>
      <w:r>
        <w:t>information</w:t>
      </w:r>
      <w:r>
        <w:rPr>
          <w:spacing w:val="-1"/>
        </w:rPr>
        <w:t xml:space="preserve"> </w:t>
      </w:r>
      <w:r>
        <w:t>also</w:t>
      </w:r>
      <w:r>
        <w:rPr>
          <w:spacing w:val="-1"/>
        </w:rPr>
        <w:t xml:space="preserve"> </w:t>
      </w:r>
      <w:r>
        <w:t>appears</w:t>
      </w:r>
      <w:r>
        <w:rPr>
          <w:spacing w:val="-1"/>
        </w:rPr>
        <w:t xml:space="preserve"> </w:t>
      </w:r>
      <w:r>
        <w:t>in</w:t>
      </w:r>
      <w:r>
        <w:rPr>
          <w:spacing w:val="-1"/>
        </w:rPr>
        <w:t xml:space="preserve"> </w:t>
      </w:r>
      <w:r>
        <w:t>HPMS</w:t>
      </w:r>
      <w:r>
        <w:rPr>
          <w:spacing w:val="-1"/>
        </w:rPr>
        <w:t xml:space="preserve"> </w:t>
      </w:r>
      <w:r>
        <w:t>and</w:t>
      </w:r>
      <w:r>
        <w:rPr>
          <w:spacing w:val="-1"/>
        </w:rPr>
        <w:t xml:space="preserve"> </w:t>
      </w:r>
      <w:r>
        <w:t xml:space="preserve">the </w:t>
      </w:r>
      <w:r>
        <w:rPr>
          <w:spacing w:val="-4"/>
        </w:rPr>
        <w:t>PBP.</w:t>
      </w:r>
    </w:p>
    <w:p>
      <w:pPr>
        <w:spacing w:before="241"/>
        <w:ind w:left="504" w:right="0" w:firstLine="0"/>
        <w:jc w:val="left"/>
        <w:rPr>
          <w:rFonts w:ascii="Arial" w:hAnsi="Arial"/>
          <w:b/>
          <w:sz w:val="21"/>
        </w:rPr>
      </w:pPr>
      <w:bookmarkStart w:id="128" w:name="Line 7 – Plan Type"/>
      <w:bookmarkEnd w:id="128"/>
      <w:r>
        <w:rPr>
          <w:rFonts w:ascii="Arial" w:hAnsi="Arial"/>
          <w:b/>
          <w:sz w:val="21"/>
        </w:rPr>
        <w:t>Line</w:t>
      </w:r>
      <w:r>
        <w:rPr>
          <w:rFonts w:ascii="Arial" w:hAnsi="Arial"/>
          <w:b/>
          <w:spacing w:val="-6"/>
          <w:sz w:val="21"/>
        </w:rPr>
        <w:t xml:space="preserve"> </w:t>
      </w:r>
      <w:r>
        <w:rPr>
          <w:rFonts w:ascii="Arial" w:hAnsi="Arial"/>
          <w:b/>
          <w:sz w:val="21"/>
        </w:rPr>
        <w:t>7</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4"/>
          <w:sz w:val="21"/>
        </w:rPr>
        <w:t xml:space="preserve"> Type</w:t>
      </w:r>
    </w:p>
    <w:p>
      <w:pPr>
        <w:pStyle w:val="BodyText"/>
        <w:spacing w:before="120"/>
      </w:pPr>
      <w:r>
        <w:t>Enter</w:t>
      </w:r>
      <w:r>
        <w:rPr>
          <w:spacing w:val="-1"/>
        </w:rPr>
        <w:t xml:space="preserve"> </w:t>
      </w:r>
      <w:r>
        <w:t>the</w:t>
      </w:r>
      <w:r>
        <w:rPr>
          <w:spacing w:val="-2"/>
        </w:rPr>
        <w:t xml:space="preserve"> </w:t>
      </w:r>
      <w:r>
        <w:t>type of</w:t>
      </w:r>
      <w:r>
        <w:rPr>
          <w:spacing w:val="-2"/>
        </w:rPr>
        <w:t xml:space="preserve"> </w:t>
      </w:r>
      <w:r>
        <w:t>MA</w:t>
      </w:r>
      <w:r>
        <w:rPr>
          <w:spacing w:val="-1"/>
        </w:rPr>
        <w:t xml:space="preserve"> </w:t>
      </w:r>
      <w:r>
        <w:t>plan. The</w:t>
      </w:r>
      <w:r>
        <w:rPr>
          <w:spacing w:val="-1"/>
        </w:rPr>
        <w:t xml:space="preserve"> </w:t>
      </w:r>
      <w:r>
        <w:t>valid</w:t>
      </w:r>
      <w:r>
        <w:rPr>
          <w:spacing w:val="-1"/>
        </w:rPr>
        <w:t xml:space="preserve"> </w:t>
      </w:r>
      <w:r>
        <w:t>options</w:t>
      </w:r>
      <w:r>
        <w:rPr>
          <w:spacing w:val="-1"/>
        </w:rPr>
        <w:t xml:space="preserve"> </w:t>
      </w:r>
      <w:r>
        <w:t>are</w:t>
      </w:r>
      <w:r>
        <w:rPr>
          <w:spacing w:val="-2"/>
        </w:rPr>
        <w:t xml:space="preserve"> </w:t>
      </w:r>
      <w:r>
        <w:t>listed in the</w:t>
      </w:r>
      <w:r>
        <w:rPr>
          <w:spacing w:val="-1"/>
        </w:rPr>
        <w:t xml:space="preserve"> </w:t>
      </w:r>
      <w:r>
        <w:t>table</w:t>
      </w:r>
      <w:r>
        <w:rPr>
          <w:spacing w:val="-1"/>
        </w:rPr>
        <w:t xml:space="preserve"> </w:t>
      </w:r>
      <w:r>
        <w:rPr>
          <w:spacing w:val="-2"/>
        </w:rPr>
        <w:t>below.</w:t>
      </w:r>
    </w:p>
    <w:p>
      <w:pPr>
        <w:pStyle w:val="BodyText"/>
        <w:spacing w:before="6"/>
        <w:ind w:left="0"/>
        <w:rPr>
          <w:sz w:val="10"/>
        </w:rPr>
      </w:pPr>
    </w:p>
    <w:tbl>
      <w:tblPr>
        <w:tblStyle w:val="TableNormal"/>
        <w:tblW w:w="0" w:type="auto"/>
        <w:jc w:val="left"/>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4"/>
        <w:gridCol w:w="2429"/>
      </w:tblGrid>
      <w:tr>
        <w:tblPrEx>
          <w:tblW w:w="0" w:type="auto"/>
          <w:jc w:val="left"/>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2"/>
          <w:jc w:val="left"/>
        </w:trPr>
        <w:tc>
          <w:tcPr>
            <w:tcW w:w="6584" w:type="dxa"/>
            <w:tcBorders>
              <w:bottom w:val="double" w:sz="4" w:space="0" w:color="000000"/>
            </w:tcBorders>
          </w:tcPr>
          <w:p>
            <w:pPr>
              <w:pStyle w:val="TableParagraph"/>
              <w:spacing w:before="1" w:line="252" w:lineRule="exact"/>
              <w:ind w:left="107"/>
              <w:rPr>
                <w:b/>
                <w:sz w:val="22"/>
              </w:rPr>
            </w:pPr>
            <w:r>
              <w:rPr>
                <w:b/>
                <w:sz w:val="22"/>
              </w:rPr>
              <w:t>Type</w:t>
            </w:r>
            <w:r>
              <w:rPr>
                <w:b/>
                <w:spacing w:val="-3"/>
                <w:sz w:val="22"/>
              </w:rPr>
              <w:t xml:space="preserve"> </w:t>
            </w:r>
            <w:r>
              <w:rPr>
                <w:b/>
                <w:sz w:val="22"/>
              </w:rPr>
              <w:t xml:space="preserve">of </w:t>
            </w:r>
            <w:r>
              <w:rPr>
                <w:b/>
                <w:spacing w:val="-4"/>
                <w:sz w:val="22"/>
              </w:rPr>
              <w:t>Plan</w:t>
            </w:r>
          </w:p>
        </w:tc>
        <w:tc>
          <w:tcPr>
            <w:tcW w:w="2429" w:type="dxa"/>
            <w:tcBorders>
              <w:bottom w:val="double" w:sz="4" w:space="0" w:color="000000"/>
            </w:tcBorders>
          </w:tcPr>
          <w:p>
            <w:pPr>
              <w:pStyle w:val="TableParagraph"/>
              <w:spacing w:before="1" w:line="252" w:lineRule="exact"/>
              <w:ind w:left="107"/>
              <w:rPr>
                <w:b/>
                <w:sz w:val="22"/>
              </w:rPr>
            </w:pPr>
            <w:r>
              <w:rPr>
                <w:b/>
                <w:sz w:val="22"/>
              </w:rPr>
              <w:t>Plan</w:t>
            </w:r>
            <w:r>
              <w:rPr>
                <w:b/>
                <w:spacing w:val="-4"/>
                <w:sz w:val="22"/>
              </w:rPr>
              <w:t xml:space="preserve"> </w:t>
            </w:r>
            <w:r>
              <w:rPr>
                <w:b/>
                <w:sz w:val="22"/>
              </w:rPr>
              <w:t>Type</w:t>
            </w:r>
            <w:r>
              <w:rPr>
                <w:b/>
                <w:spacing w:val="-2"/>
                <w:sz w:val="22"/>
              </w:rPr>
              <w:t xml:space="preserve"> </w:t>
            </w:r>
            <w:r>
              <w:rPr>
                <w:b/>
                <w:spacing w:val="-4"/>
                <w:sz w:val="22"/>
              </w:rPr>
              <w:t>Code</w:t>
            </w:r>
          </w:p>
        </w:tc>
      </w:tr>
      <w:tr>
        <w:tblPrEx>
          <w:tblW w:w="0" w:type="auto"/>
          <w:jc w:val="left"/>
          <w:tblInd w:w="610" w:type="dxa"/>
          <w:tblLayout w:type="fixed"/>
          <w:tblCellMar>
            <w:top w:w="0" w:type="dxa"/>
            <w:left w:w="0" w:type="dxa"/>
            <w:bottom w:w="0" w:type="dxa"/>
            <w:right w:w="0" w:type="dxa"/>
          </w:tblCellMar>
          <w:tblLook w:val="01E0"/>
        </w:tblPrEx>
        <w:trPr>
          <w:trHeight w:val="272"/>
          <w:jc w:val="left"/>
        </w:trPr>
        <w:tc>
          <w:tcPr>
            <w:tcW w:w="6584" w:type="dxa"/>
            <w:tcBorders>
              <w:top w:val="double" w:sz="4" w:space="0" w:color="000000"/>
            </w:tcBorders>
          </w:tcPr>
          <w:p>
            <w:pPr>
              <w:pStyle w:val="TableParagraph"/>
              <w:spacing w:line="252" w:lineRule="exact"/>
              <w:ind w:left="107"/>
              <w:rPr>
                <w:b/>
                <w:sz w:val="22"/>
              </w:rPr>
            </w:pPr>
            <w:r>
              <w:rPr>
                <w:b/>
                <w:sz w:val="22"/>
              </w:rPr>
              <w:t>Local</w:t>
            </w:r>
            <w:r>
              <w:rPr>
                <w:b/>
                <w:spacing w:val="-4"/>
                <w:sz w:val="22"/>
              </w:rPr>
              <w:t xml:space="preserve"> </w:t>
            </w:r>
            <w:r>
              <w:rPr>
                <w:b/>
                <w:sz w:val="22"/>
              </w:rPr>
              <w:t>Coordinated</w:t>
            </w:r>
            <w:r>
              <w:rPr>
                <w:b/>
                <w:spacing w:val="-5"/>
                <w:sz w:val="22"/>
              </w:rPr>
              <w:t xml:space="preserve"> </w:t>
            </w:r>
            <w:r>
              <w:rPr>
                <w:b/>
                <w:sz w:val="22"/>
              </w:rPr>
              <w:t>Care</w:t>
            </w:r>
            <w:r>
              <w:rPr>
                <w:b/>
                <w:spacing w:val="-6"/>
                <w:sz w:val="22"/>
              </w:rPr>
              <w:t xml:space="preserve"> </w:t>
            </w:r>
            <w:r>
              <w:rPr>
                <w:b/>
                <w:spacing w:val="-2"/>
                <w:sz w:val="22"/>
              </w:rPr>
              <w:t>Plans:</w:t>
            </w:r>
          </w:p>
        </w:tc>
        <w:tc>
          <w:tcPr>
            <w:tcW w:w="2429" w:type="dxa"/>
            <w:tcBorders>
              <w:top w:val="double" w:sz="4" w:space="0" w:color="000000"/>
            </w:tcBorders>
          </w:tcPr>
          <w:p>
            <w:pPr>
              <w:pStyle w:val="TableParagraph"/>
              <w:rPr>
                <w:sz w:val="20"/>
              </w:rPr>
            </w:pPr>
          </w:p>
        </w:tc>
      </w:tr>
      <w:tr>
        <w:tblPrEx>
          <w:tblW w:w="0" w:type="auto"/>
          <w:jc w:val="left"/>
          <w:tblInd w:w="610" w:type="dxa"/>
          <w:tblLayout w:type="fixed"/>
          <w:tblCellMar>
            <w:top w:w="0" w:type="dxa"/>
            <w:left w:w="0" w:type="dxa"/>
            <w:bottom w:w="0" w:type="dxa"/>
            <w:right w:w="0" w:type="dxa"/>
          </w:tblCellMar>
          <w:tblLook w:val="01E0"/>
        </w:tblPrEx>
        <w:trPr>
          <w:trHeight w:val="253"/>
          <w:jc w:val="left"/>
        </w:trPr>
        <w:tc>
          <w:tcPr>
            <w:tcW w:w="6584" w:type="dxa"/>
          </w:tcPr>
          <w:p>
            <w:pPr>
              <w:pStyle w:val="TableParagraph"/>
              <w:spacing w:line="234" w:lineRule="exact"/>
              <w:ind w:left="107"/>
              <w:rPr>
                <w:sz w:val="22"/>
              </w:rPr>
            </w:pPr>
            <w:r>
              <w:rPr>
                <w:sz w:val="22"/>
              </w:rPr>
              <w:t>Health</w:t>
            </w:r>
            <w:r>
              <w:rPr>
                <w:spacing w:val="-8"/>
                <w:sz w:val="22"/>
              </w:rPr>
              <w:t xml:space="preserve"> </w:t>
            </w:r>
            <w:r>
              <w:rPr>
                <w:sz w:val="22"/>
              </w:rPr>
              <w:t>Maintenance</w:t>
            </w:r>
            <w:r>
              <w:rPr>
                <w:spacing w:val="-7"/>
                <w:sz w:val="22"/>
              </w:rPr>
              <w:t xml:space="preserve"> </w:t>
            </w:r>
            <w:r>
              <w:rPr>
                <w:sz w:val="22"/>
              </w:rPr>
              <w:t>Organization</w:t>
            </w:r>
            <w:r>
              <w:rPr>
                <w:spacing w:val="-9"/>
                <w:sz w:val="22"/>
              </w:rPr>
              <w:t xml:space="preserve"> </w:t>
            </w:r>
            <w:r>
              <w:rPr>
                <w:spacing w:val="-2"/>
                <w:sz w:val="22"/>
              </w:rPr>
              <w:t>(HMO)</w:t>
            </w:r>
          </w:p>
        </w:tc>
        <w:tc>
          <w:tcPr>
            <w:tcW w:w="2429" w:type="dxa"/>
          </w:tcPr>
          <w:p>
            <w:pPr>
              <w:pStyle w:val="TableParagraph"/>
              <w:spacing w:line="234" w:lineRule="exact"/>
              <w:ind w:left="107"/>
              <w:rPr>
                <w:sz w:val="22"/>
              </w:rPr>
            </w:pPr>
            <w:r>
              <w:rPr>
                <w:spacing w:val="-5"/>
                <w:sz w:val="22"/>
              </w:rPr>
              <w:t>HMO</w:t>
            </w:r>
          </w:p>
        </w:tc>
      </w:tr>
      <w:tr>
        <w:tblPrEx>
          <w:tblW w:w="0" w:type="auto"/>
          <w:jc w:val="left"/>
          <w:tblInd w:w="610" w:type="dxa"/>
          <w:tblLayout w:type="fixed"/>
          <w:tblCellMar>
            <w:top w:w="0" w:type="dxa"/>
            <w:left w:w="0" w:type="dxa"/>
            <w:bottom w:w="0" w:type="dxa"/>
            <w:right w:w="0" w:type="dxa"/>
          </w:tblCellMar>
          <w:tblLook w:val="01E0"/>
        </w:tblPrEx>
        <w:trPr>
          <w:trHeight w:val="252"/>
          <w:jc w:val="left"/>
        </w:trPr>
        <w:tc>
          <w:tcPr>
            <w:tcW w:w="6584" w:type="dxa"/>
          </w:tcPr>
          <w:p>
            <w:pPr>
              <w:pStyle w:val="TableParagraph"/>
              <w:spacing w:line="232" w:lineRule="exact"/>
              <w:ind w:left="107"/>
              <w:rPr>
                <w:sz w:val="22"/>
              </w:rPr>
            </w:pPr>
            <w:r>
              <w:rPr>
                <w:sz w:val="22"/>
              </w:rPr>
              <w:t>Religious</w:t>
            </w:r>
            <w:r>
              <w:rPr>
                <w:spacing w:val="-6"/>
                <w:sz w:val="22"/>
              </w:rPr>
              <w:t xml:space="preserve"> </w:t>
            </w:r>
            <w:r>
              <w:rPr>
                <w:sz w:val="22"/>
              </w:rPr>
              <w:t>Fraternal</w:t>
            </w:r>
            <w:r>
              <w:rPr>
                <w:spacing w:val="-4"/>
                <w:sz w:val="22"/>
              </w:rPr>
              <w:t xml:space="preserve"> </w:t>
            </w:r>
            <w:r>
              <w:rPr>
                <w:sz w:val="22"/>
              </w:rPr>
              <w:t>Benefit</w:t>
            </w:r>
            <w:r>
              <w:rPr>
                <w:spacing w:val="-6"/>
                <w:sz w:val="22"/>
              </w:rPr>
              <w:t xml:space="preserve"> </w:t>
            </w:r>
            <w:r>
              <w:rPr>
                <w:spacing w:val="-5"/>
                <w:sz w:val="22"/>
              </w:rPr>
              <w:t>HMO</w:t>
            </w:r>
          </w:p>
        </w:tc>
        <w:tc>
          <w:tcPr>
            <w:tcW w:w="2429" w:type="dxa"/>
          </w:tcPr>
          <w:p>
            <w:pPr>
              <w:pStyle w:val="TableParagraph"/>
              <w:spacing w:line="232" w:lineRule="exact"/>
              <w:ind w:left="107"/>
              <w:rPr>
                <w:sz w:val="22"/>
              </w:rPr>
            </w:pPr>
            <w:r>
              <w:rPr>
                <w:sz w:val="22"/>
              </w:rPr>
              <w:t>RFB</w:t>
            </w:r>
            <w:r>
              <w:rPr>
                <w:spacing w:val="-5"/>
                <w:sz w:val="22"/>
              </w:rPr>
              <w:t xml:space="preserve"> HMO</w:t>
            </w:r>
          </w:p>
        </w:tc>
      </w:tr>
      <w:tr>
        <w:tblPrEx>
          <w:tblW w:w="0" w:type="auto"/>
          <w:jc w:val="left"/>
          <w:tblInd w:w="610" w:type="dxa"/>
          <w:tblLayout w:type="fixed"/>
          <w:tblCellMar>
            <w:top w:w="0" w:type="dxa"/>
            <w:left w:w="0" w:type="dxa"/>
            <w:bottom w:w="0" w:type="dxa"/>
            <w:right w:w="0" w:type="dxa"/>
          </w:tblCellMar>
          <w:tblLook w:val="01E0"/>
        </w:tblPrEx>
        <w:trPr>
          <w:trHeight w:val="253"/>
          <w:jc w:val="left"/>
        </w:trPr>
        <w:tc>
          <w:tcPr>
            <w:tcW w:w="6584" w:type="dxa"/>
          </w:tcPr>
          <w:p>
            <w:pPr>
              <w:pStyle w:val="TableParagraph"/>
              <w:spacing w:line="234" w:lineRule="exact"/>
              <w:ind w:left="107"/>
              <w:rPr>
                <w:sz w:val="22"/>
              </w:rPr>
            </w:pPr>
            <w:r>
              <w:rPr>
                <w:sz w:val="22"/>
              </w:rPr>
              <w:t>Religious</w:t>
            </w:r>
            <w:r>
              <w:rPr>
                <w:spacing w:val="-7"/>
                <w:sz w:val="22"/>
              </w:rPr>
              <w:t xml:space="preserve"> </w:t>
            </w:r>
            <w:r>
              <w:rPr>
                <w:sz w:val="22"/>
              </w:rPr>
              <w:t>Fraternal</w:t>
            </w:r>
            <w:r>
              <w:rPr>
                <w:spacing w:val="-3"/>
                <w:sz w:val="22"/>
              </w:rPr>
              <w:t xml:space="preserve"> </w:t>
            </w:r>
            <w:r>
              <w:rPr>
                <w:sz w:val="22"/>
              </w:rPr>
              <w:t>Benefit</w:t>
            </w:r>
            <w:r>
              <w:rPr>
                <w:spacing w:val="-5"/>
                <w:sz w:val="22"/>
              </w:rPr>
              <w:t xml:space="preserve"> </w:t>
            </w:r>
            <w:r>
              <w:rPr>
                <w:sz w:val="22"/>
              </w:rPr>
              <w:t>HMO</w:t>
            </w:r>
            <w:r>
              <w:rPr>
                <w:spacing w:val="-5"/>
                <w:sz w:val="22"/>
              </w:rPr>
              <w:t xml:space="preserve"> </w:t>
            </w:r>
            <w:r>
              <w:rPr>
                <w:sz w:val="22"/>
              </w:rPr>
              <w:t>with</w:t>
            </w:r>
            <w:r>
              <w:rPr>
                <w:spacing w:val="-7"/>
                <w:sz w:val="22"/>
              </w:rPr>
              <w:t xml:space="preserve"> </w:t>
            </w:r>
            <w:r>
              <w:rPr>
                <w:sz w:val="22"/>
              </w:rPr>
              <w:t>a</w:t>
            </w:r>
            <w:r>
              <w:rPr>
                <w:spacing w:val="-3"/>
                <w:sz w:val="22"/>
              </w:rPr>
              <w:t xml:space="preserve"> </w:t>
            </w:r>
            <w:r>
              <w:rPr>
                <w:sz w:val="22"/>
              </w:rPr>
              <w:t>Point-of-Service</w:t>
            </w:r>
            <w:r>
              <w:rPr>
                <w:spacing w:val="-4"/>
                <w:sz w:val="22"/>
              </w:rPr>
              <w:t xml:space="preserve"> </w:t>
            </w:r>
            <w:r>
              <w:rPr>
                <w:sz w:val="22"/>
              </w:rPr>
              <w:t>(POS)</w:t>
            </w:r>
            <w:r>
              <w:rPr>
                <w:spacing w:val="-5"/>
                <w:sz w:val="22"/>
              </w:rPr>
              <w:t xml:space="preserve"> </w:t>
            </w:r>
            <w:r>
              <w:rPr>
                <w:spacing w:val="-2"/>
                <w:sz w:val="22"/>
              </w:rPr>
              <w:t>Option</w:t>
            </w:r>
          </w:p>
        </w:tc>
        <w:tc>
          <w:tcPr>
            <w:tcW w:w="2429" w:type="dxa"/>
          </w:tcPr>
          <w:p>
            <w:pPr>
              <w:pStyle w:val="TableParagraph"/>
              <w:spacing w:line="234" w:lineRule="exact"/>
              <w:ind w:left="107"/>
              <w:rPr>
                <w:sz w:val="22"/>
              </w:rPr>
            </w:pPr>
            <w:r>
              <w:rPr>
                <w:sz w:val="22"/>
              </w:rPr>
              <w:t>RFB</w:t>
            </w:r>
            <w:r>
              <w:rPr>
                <w:spacing w:val="-3"/>
                <w:sz w:val="22"/>
              </w:rPr>
              <w:t xml:space="preserve"> </w:t>
            </w:r>
            <w:r>
              <w:rPr>
                <w:spacing w:val="-2"/>
                <w:sz w:val="22"/>
              </w:rPr>
              <w:t>HMOPOS</w:t>
            </w:r>
          </w:p>
        </w:tc>
      </w:tr>
      <w:tr>
        <w:tblPrEx>
          <w:tblW w:w="0" w:type="auto"/>
          <w:jc w:val="left"/>
          <w:tblInd w:w="610" w:type="dxa"/>
          <w:tblLayout w:type="fixed"/>
          <w:tblCellMar>
            <w:top w:w="0" w:type="dxa"/>
            <w:left w:w="0" w:type="dxa"/>
            <w:bottom w:w="0" w:type="dxa"/>
            <w:right w:w="0" w:type="dxa"/>
          </w:tblCellMar>
          <w:tblLook w:val="01E0"/>
        </w:tblPrEx>
        <w:trPr>
          <w:trHeight w:val="251"/>
          <w:jc w:val="left"/>
        </w:trPr>
        <w:tc>
          <w:tcPr>
            <w:tcW w:w="6584" w:type="dxa"/>
          </w:tcPr>
          <w:p>
            <w:pPr>
              <w:pStyle w:val="TableParagraph"/>
              <w:spacing w:line="232" w:lineRule="exact"/>
              <w:ind w:left="107"/>
              <w:rPr>
                <w:sz w:val="22"/>
              </w:rPr>
            </w:pPr>
            <w:r>
              <w:rPr>
                <w:sz w:val="22"/>
              </w:rPr>
              <w:t>HMO</w:t>
            </w:r>
            <w:r>
              <w:rPr>
                <w:spacing w:val="-3"/>
                <w:sz w:val="22"/>
              </w:rPr>
              <w:t xml:space="preserve"> </w:t>
            </w:r>
            <w:r>
              <w:rPr>
                <w:sz w:val="22"/>
              </w:rPr>
              <w:t>with</w:t>
            </w:r>
            <w:r>
              <w:rPr>
                <w:spacing w:val="-4"/>
                <w:sz w:val="22"/>
              </w:rPr>
              <w:t xml:space="preserve"> </w:t>
            </w:r>
            <w:r>
              <w:rPr>
                <w:sz w:val="22"/>
              </w:rPr>
              <w:t>a</w:t>
            </w:r>
            <w:r>
              <w:rPr>
                <w:spacing w:val="-2"/>
                <w:sz w:val="22"/>
              </w:rPr>
              <w:t xml:space="preserve"> </w:t>
            </w:r>
            <w:r>
              <w:rPr>
                <w:sz w:val="22"/>
              </w:rPr>
              <w:t>POS</w:t>
            </w:r>
            <w:r>
              <w:rPr>
                <w:spacing w:val="-2"/>
                <w:sz w:val="22"/>
              </w:rPr>
              <w:t xml:space="preserve"> Option</w:t>
            </w:r>
          </w:p>
        </w:tc>
        <w:tc>
          <w:tcPr>
            <w:tcW w:w="2429" w:type="dxa"/>
          </w:tcPr>
          <w:p>
            <w:pPr>
              <w:pStyle w:val="TableParagraph"/>
              <w:spacing w:line="232" w:lineRule="exact"/>
              <w:ind w:left="107"/>
              <w:rPr>
                <w:sz w:val="22"/>
              </w:rPr>
            </w:pPr>
            <w:r>
              <w:rPr>
                <w:spacing w:val="-2"/>
                <w:sz w:val="22"/>
              </w:rPr>
              <w:t>HMOPOS</w:t>
            </w:r>
          </w:p>
        </w:tc>
      </w:tr>
      <w:tr>
        <w:tblPrEx>
          <w:tblW w:w="0" w:type="auto"/>
          <w:jc w:val="left"/>
          <w:tblInd w:w="610" w:type="dxa"/>
          <w:tblLayout w:type="fixed"/>
          <w:tblCellMar>
            <w:top w:w="0" w:type="dxa"/>
            <w:left w:w="0" w:type="dxa"/>
            <w:bottom w:w="0" w:type="dxa"/>
            <w:right w:w="0" w:type="dxa"/>
          </w:tblCellMar>
          <w:tblLook w:val="01E0"/>
        </w:tblPrEx>
        <w:trPr>
          <w:trHeight w:val="253"/>
          <w:jc w:val="left"/>
        </w:trPr>
        <w:tc>
          <w:tcPr>
            <w:tcW w:w="6584" w:type="dxa"/>
          </w:tcPr>
          <w:p>
            <w:pPr>
              <w:pStyle w:val="TableParagraph"/>
              <w:spacing w:line="234" w:lineRule="exact"/>
              <w:ind w:left="107"/>
              <w:rPr>
                <w:sz w:val="22"/>
              </w:rPr>
            </w:pPr>
            <w:r>
              <w:rPr>
                <w:sz w:val="22"/>
              </w:rPr>
              <w:t>Provider-Sponsored</w:t>
            </w:r>
            <w:r>
              <w:rPr>
                <w:spacing w:val="-5"/>
                <w:sz w:val="22"/>
              </w:rPr>
              <w:t xml:space="preserve"> </w:t>
            </w:r>
            <w:r>
              <w:rPr>
                <w:sz w:val="22"/>
              </w:rPr>
              <w:t>Organization</w:t>
            </w:r>
            <w:r>
              <w:rPr>
                <w:spacing w:val="-6"/>
                <w:sz w:val="22"/>
              </w:rPr>
              <w:t xml:space="preserve"> </w:t>
            </w:r>
            <w:r>
              <w:rPr>
                <w:sz w:val="22"/>
              </w:rPr>
              <w:t>(PSO)</w:t>
            </w:r>
            <w:r>
              <w:rPr>
                <w:spacing w:val="-4"/>
                <w:sz w:val="22"/>
              </w:rPr>
              <w:t xml:space="preserve"> </w:t>
            </w:r>
            <w:r>
              <w:rPr>
                <w:sz w:val="22"/>
              </w:rPr>
              <w:t>with</w:t>
            </w:r>
            <w:r>
              <w:rPr>
                <w:spacing w:val="-4"/>
                <w:sz w:val="22"/>
              </w:rPr>
              <w:t xml:space="preserve"> </w:t>
            </w:r>
            <w:r>
              <w:rPr>
                <w:sz w:val="22"/>
              </w:rPr>
              <w:t>a</w:t>
            </w:r>
            <w:r>
              <w:rPr>
                <w:spacing w:val="-5"/>
                <w:sz w:val="22"/>
              </w:rPr>
              <w:t xml:space="preserve"> </w:t>
            </w:r>
            <w:r>
              <w:rPr>
                <w:sz w:val="22"/>
              </w:rPr>
              <w:t>State</w:t>
            </w:r>
            <w:r>
              <w:rPr>
                <w:spacing w:val="-4"/>
                <w:sz w:val="22"/>
              </w:rPr>
              <w:t xml:space="preserve"> </w:t>
            </w:r>
            <w:r>
              <w:rPr>
                <w:spacing w:val="-2"/>
                <w:sz w:val="22"/>
              </w:rPr>
              <w:t>License</w:t>
            </w:r>
          </w:p>
        </w:tc>
        <w:tc>
          <w:tcPr>
            <w:tcW w:w="2429" w:type="dxa"/>
          </w:tcPr>
          <w:p>
            <w:pPr>
              <w:pStyle w:val="TableParagraph"/>
              <w:spacing w:line="234" w:lineRule="exact"/>
              <w:ind w:left="107"/>
              <w:rPr>
                <w:sz w:val="22"/>
              </w:rPr>
            </w:pPr>
            <w:r>
              <w:rPr>
                <w:sz w:val="22"/>
              </w:rPr>
              <w:t>PSO</w:t>
            </w:r>
            <w:r>
              <w:rPr>
                <w:spacing w:val="-3"/>
                <w:sz w:val="22"/>
              </w:rPr>
              <w:t xml:space="preserve"> </w:t>
            </w:r>
            <w:r>
              <w:rPr>
                <w:sz w:val="22"/>
              </w:rPr>
              <w:t>State</w:t>
            </w:r>
            <w:r>
              <w:rPr>
                <w:spacing w:val="-2"/>
                <w:sz w:val="22"/>
              </w:rPr>
              <w:t xml:space="preserve"> License</w:t>
            </w:r>
          </w:p>
        </w:tc>
      </w:tr>
      <w:tr>
        <w:tblPrEx>
          <w:tblW w:w="0" w:type="auto"/>
          <w:jc w:val="left"/>
          <w:tblInd w:w="610" w:type="dxa"/>
          <w:tblLayout w:type="fixed"/>
          <w:tblCellMar>
            <w:top w:w="0" w:type="dxa"/>
            <w:left w:w="0" w:type="dxa"/>
            <w:bottom w:w="0" w:type="dxa"/>
            <w:right w:w="0" w:type="dxa"/>
          </w:tblCellMar>
          <w:tblLook w:val="01E0"/>
        </w:tblPrEx>
        <w:trPr>
          <w:trHeight w:val="251"/>
          <w:jc w:val="left"/>
        </w:trPr>
        <w:tc>
          <w:tcPr>
            <w:tcW w:w="6584" w:type="dxa"/>
          </w:tcPr>
          <w:p>
            <w:pPr>
              <w:pStyle w:val="TableParagraph"/>
              <w:spacing w:line="232" w:lineRule="exact"/>
              <w:ind w:left="107"/>
              <w:rPr>
                <w:sz w:val="22"/>
              </w:rPr>
            </w:pPr>
            <w:r>
              <w:rPr>
                <w:sz w:val="22"/>
              </w:rPr>
              <w:t>Religious</w:t>
            </w:r>
            <w:r>
              <w:rPr>
                <w:spacing w:val="-4"/>
                <w:sz w:val="22"/>
              </w:rPr>
              <w:t xml:space="preserve"> </w:t>
            </w:r>
            <w:r>
              <w:rPr>
                <w:sz w:val="22"/>
              </w:rPr>
              <w:t>Fraternal</w:t>
            </w:r>
            <w:r>
              <w:rPr>
                <w:spacing w:val="-2"/>
                <w:sz w:val="22"/>
              </w:rPr>
              <w:t xml:space="preserve"> </w:t>
            </w:r>
            <w:r>
              <w:rPr>
                <w:sz w:val="22"/>
              </w:rPr>
              <w:t>Benefit</w:t>
            </w:r>
            <w:r>
              <w:rPr>
                <w:spacing w:val="-5"/>
                <w:sz w:val="22"/>
              </w:rPr>
              <w:t xml:space="preserve"> </w:t>
            </w:r>
            <w:r>
              <w:rPr>
                <w:sz w:val="22"/>
              </w:rPr>
              <w:t>with</w:t>
            </w:r>
            <w:r>
              <w:rPr>
                <w:spacing w:val="-3"/>
                <w:sz w:val="22"/>
              </w:rPr>
              <w:t xml:space="preserve"> </w:t>
            </w:r>
            <w:r>
              <w:rPr>
                <w:sz w:val="22"/>
              </w:rPr>
              <w:t>a</w:t>
            </w:r>
            <w:r>
              <w:rPr>
                <w:spacing w:val="-5"/>
                <w:sz w:val="22"/>
              </w:rPr>
              <w:t xml:space="preserve"> </w:t>
            </w:r>
            <w:r>
              <w:rPr>
                <w:sz w:val="22"/>
              </w:rPr>
              <w:t>State</w:t>
            </w:r>
            <w:r>
              <w:rPr>
                <w:spacing w:val="-3"/>
                <w:sz w:val="22"/>
              </w:rPr>
              <w:t xml:space="preserve"> </w:t>
            </w:r>
            <w:r>
              <w:rPr>
                <w:spacing w:val="-2"/>
                <w:sz w:val="22"/>
              </w:rPr>
              <w:t>License</w:t>
            </w:r>
          </w:p>
        </w:tc>
        <w:tc>
          <w:tcPr>
            <w:tcW w:w="2429" w:type="dxa"/>
          </w:tcPr>
          <w:p>
            <w:pPr>
              <w:pStyle w:val="TableParagraph"/>
              <w:spacing w:line="232" w:lineRule="exact"/>
              <w:ind w:left="107"/>
              <w:rPr>
                <w:sz w:val="22"/>
              </w:rPr>
            </w:pPr>
            <w:r>
              <w:rPr>
                <w:sz w:val="22"/>
              </w:rPr>
              <w:t>RFB</w:t>
            </w:r>
            <w:r>
              <w:rPr>
                <w:spacing w:val="-3"/>
                <w:sz w:val="22"/>
              </w:rPr>
              <w:t xml:space="preserve"> </w:t>
            </w:r>
            <w:r>
              <w:rPr>
                <w:sz w:val="22"/>
              </w:rPr>
              <w:t>PSO</w:t>
            </w:r>
            <w:r>
              <w:rPr>
                <w:spacing w:val="-2"/>
                <w:sz w:val="22"/>
              </w:rPr>
              <w:t xml:space="preserve"> </w:t>
            </w:r>
            <w:r>
              <w:rPr>
                <w:sz w:val="22"/>
              </w:rPr>
              <w:t>State</w:t>
            </w:r>
            <w:r>
              <w:rPr>
                <w:spacing w:val="-1"/>
                <w:sz w:val="22"/>
              </w:rPr>
              <w:t xml:space="preserve"> </w:t>
            </w:r>
            <w:r>
              <w:rPr>
                <w:spacing w:val="-2"/>
                <w:sz w:val="22"/>
              </w:rPr>
              <w:t>License</w:t>
            </w:r>
          </w:p>
        </w:tc>
      </w:tr>
      <w:tr>
        <w:tblPrEx>
          <w:tblW w:w="0" w:type="auto"/>
          <w:jc w:val="left"/>
          <w:tblInd w:w="610" w:type="dxa"/>
          <w:tblLayout w:type="fixed"/>
          <w:tblCellMar>
            <w:top w:w="0" w:type="dxa"/>
            <w:left w:w="0" w:type="dxa"/>
            <w:bottom w:w="0" w:type="dxa"/>
            <w:right w:w="0" w:type="dxa"/>
          </w:tblCellMar>
          <w:tblLook w:val="01E0"/>
        </w:tblPrEx>
        <w:trPr>
          <w:trHeight w:val="253"/>
          <w:jc w:val="left"/>
        </w:trPr>
        <w:tc>
          <w:tcPr>
            <w:tcW w:w="6584" w:type="dxa"/>
          </w:tcPr>
          <w:p>
            <w:pPr>
              <w:pStyle w:val="TableParagraph"/>
              <w:spacing w:before="1" w:line="233" w:lineRule="exact"/>
              <w:ind w:left="107"/>
              <w:rPr>
                <w:sz w:val="22"/>
              </w:rPr>
            </w:pPr>
            <w:r>
              <w:rPr>
                <w:sz w:val="22"/>
              </w:rPr>
              <w:t>Preferred</w:t>
            </w:r>
            <w:r>
              <w:rPr>
                <w:spacing w:val="-6"/>
                <w:sz w:val="22"/>
              </w:rPr>
              <w:t xml:space="preserve"> </w:t>
            </w:r>
            <w:r>
              <w:rPr>
                <w:sz w:val="22"/>
              </w:rPr>
              <w:t>Provider</w:t>
            </w:r>
            <w:r>
              <w:rPr>
                <w:spacing w:val="-6"/>
                <w:sz w:val="22"/>
              </w:rPr>
              <w:t xml:space="preserve"> </w:t>
            </w:r>
            <w:r>
              <w:rPr>
                <w:sz w:val="22"/>
              </w:rPr>
              <w:t>Organization</w:t>
            </w:r>
            <w:r>
              <w:rPr>
                <w:spacing w:val="-5"/>
                <w:sz w:val="22"/>
              </w:rPr>
              <w:t xml:space="preserve"> </w:t>
            </w:r>
            <w:r>
              <w:rPr>
                <w:spacing w:val="-4"/>
                <w:sz w:val="22"/>
              </w:rPr>
              <w:t>(PPO)</w:t>
            </w:r>
          </w:p>
        </w:tc>
        <w:tc>
          <w:tcPr>
            <w:tcW w:w="2429" w:type="dxa"/>
          </w:tcPr>
          <w:p>
            <w:pPr>
              <w:pStyle w:val="TableParagraph"/>
              <w:spacing w:before="1" w:line="233" w:lineRule="exact"/>
              <w:ind w:left="107"/>
              <w:rPr>
                <w:sz w:val="22"/>
              </w:rPr>
            </w:pPr>
            <w:r>
              <w:rPr>
                <w:spacing w:val="-4"/>
                <w:sz w:val="22"/>
              </w:rPr>
              <w:t>LPPO</w:t>
            </w:r>
          </w:p>
        </w:tc>
      </w:tr>
      <w:tr>
        <w:tblPrEx>
          <w:tblW w:w="0" w:type="auto"/>
          <w:jc w:val="left"/>
          <w:tblInd w:w="610" w:type="dxa"/>
          <w:tblLayout w:type="fixed"/>
          <w:tblCellMar>
            <w:top w:w="0" w:type="dxa"/>
            <w:left w:w="0" w:type="dxa"/>
            <w:bottom w:w="0" w:type="dxa"/>
            <w:right w:w="0" w:type="dxa"/>
          </w:tblCellMar>
          <w:tblLook w:val="01E0"/>
        </w:tblPrEx>
        <w:trPr>
          <w:trHeight w:val="254"/>
          <w:jc w:val="left"/>
        </w:trPr>
        <w:tc>
          <w:tcPr>
            <w:tcW w:w="6584" w:type="dxa"/>
          </w:tcPr>
          <w:p>
            <w:pPr>
              <w:pStyle w:val="TableParagraph"/>
              <w:spacing w:line="234" w:lineRule="exact"/>
              <w:ind w:left="107"/>
              <w:rPr>
                <w:sz w:val="22"/>
              </w:rPr>
            </w:pPr>
            <w:r>
              <w:rPr>
                <w:sz w:val="22"/>
              </w:rPr>
              <w:t>Religious</w:t>
            </w:r>
            <w:r>
              <w:rPr>
                <w:spacing w:val="-6"/>
                <w:sz w:val="22"/>
              </w:rPr>
              <w:t xml:space="preserve"> </w:t>
            </w:r>
            <w:r>
              <w:rPr>
                <w:sz w:val="22"/>
              </w:rPr>
              <w:t>Fraternal</w:t>
            </w:r>
            <w:r>
              <w:rPr>
                <w:spacing w:val="-4"/>
                <w:sz w:val="22"/>
              </w:rPr>
              <w:t xml:space="preserve"> </w:t>
            </w:r>
            <w:r>
              <w:rPr>
                <w:sz w:val="22"/>
              </w:rPr>
              <w:t>Benefit</w:t>
            </w:r>
            <w:r>
              <w:rPr>
                <w:spacing w:val="-6"/>
                <w:sz w:val="22"/>
              </w:rPr>
              <w:t xml:space="preserve"> </w:t>
            </w:r>
            <w:r>
              <w:rPr>
                <w:spacing w:val="-5"/>
                <w:sz w:val="22"/>
              </w:rPr>
              <w:t>PPO</w:t>
            </w:r>
          </w:p>
        </w:tc>
        <w:tc>
          <w:tcPr>
            <w:tcW w:w="2429" w:type="dxa"/>
          </w:tcPr>
          <w:p>
            <w:pPr>
              <w:pStyle w:val="TableParagraph"/>
              <w:spacing w:line="234" w:lineRule="exact"/>
              <w:ind w:left="107"/>
              <w:rPr>
                <w:sz w:val="22"/>
              </w:rPr>
            </w:pPr>
            <w:r>
              <w:rPr>
                <w:sz w:val="22"/>
              </w:rPr>
              <w:t>RFB</w:t>
            </w:r>
            <w:r>
              <w:rPr>
                <w:spacing w:val="-3"/>
                <w:sz w:val="22"/>
              </w:rPr>
              <w:t xml:space="preserve"> </w:t>
            </w:r>
            <w:r>
              <w:rPr>
                <w:spacing w:val="-4"/>
                <w:sz w:val="22"/>
              </w:rPr>
              <w:t>LPPO</w:t>
            </w:r>
          </w:p>
        </w:tc>
      </w:tr>
      <w:tr>
        <w:tblPrEx>
          <w:tblW w:w="0" w:type="auto"/>
          <w:jc w:val="left"/>
          <w:tblInd w:w="610" w:type="dxa"/>
          <w:tblLayout w:type="fixed"/>
          <w:tblCellMar>
            <w:top w:w="0" w:type="dxa"/>
            <w:left w:w="0" w:type="dxa"/>
            <w:bottom w:w="0" w:type="dxa"/>
            <w:right w:w="0" w:type="dxa"/>
          </w:tblCellMar>
          <w:tblLook w:val="01E0"/>
        </w:tblPrEx>
        <w:trPr>
          <w:trHeight w:val="270"/>
          <w:jc w:val="left"/>
        </w:trPr>
        <w:tc>
          <w:tcPr>
            <w:tcW w:w="6584" w:type="dxa"/>
          </w:tcPr>
          <w:p>
            <w:pPr>
              <w:pStyle w:val="TableParagraph"/>
              <w:spacing w:before="1" w:line="250" w:lineRule="exact"/>
              <w:ind w:left="107"/>
              <w:rPr>
                <w:b/>
                <w:sz w:val="22"/>
              </w:rPr>
            </w:pPr>
            <w:r>
              <w:rPr>
                <w:b/>
                <w:sz w:val="22"/>
              </w:rPr>
              <w:t>Regional</w:t>
            </w:r>
            <w:r>
              <w:rPr>
                <w:b/>
                <w:spacing w:val="-5"/>
                <w:sz w:val="22"/>
              </w:rPr>
              <w:t xml:space="preserve"> </w:t>
            </w:r>
            <w:r>
              <w:rPr>
                <w:b/>
                <w:sz w:val="22"/>
              </w:rPr>
              <w:t>Coordinated</w:t>
            </w:r>
            <w:r>
              <w:rPr>
                <w:b/>
                <w:spacing w:val="-6"/>
                <w:sz w:val="22"/>
              </w:rPr>
              <w:t xml:space="preserve"> </w:t>
            </w:r>
            <w:r>
              <w:rPr>
                <w:b/>
                <w:sz w:val="22"/>
              </w:rPr>
              <w:t>Care</w:t>
            </w:r>
            <w:r>
              <w:rPr>
                <w:b/>
                <w:spacing w:val="-5"/>
                <w:sz w:val="22"/>
              </w:rPr>
              <w:t xml:space="preserve"> </w:t>
            </w:r>
            <w:r>
              <w:rPr>
                <w:b/>
                <w:spacing w:val="-2"/>
                <w:sz w:val="22"/>
              </w:rPr>
              <w:t>Plan:</w:t>
            </w:r>
          </w:p>
        </w:tc>
        <w:tc>
          <w:tcPr>
            <w:tcW w:w="2429" w:type="dxa"/>
          </w:tcPr>
          <w:p>
            <w:pPr>
              <w:pStyle w:val="TableParagraph"/>
              <w:rPr>
                <w:sz w:val="20"/>
              </w:rPr>
            </w:pPr>
          </w:p>
        </w:tc>
      </w:tr>
      <w:tr>
        <w:tblPrEx>
          <w:tblW w:w="0" w:type="auto"/>
          <w:jc w:val="left"/>
          <w:tblInd w:w="610" w:type="dxa"/>
          <w:tblLayout w:type="fixed"/>
          <w:tblCellMar>
            <w:top w:w="0" w:type="dxa"/>
            <w:left w:w="0" w:type="dxa"/>
            <w:bottom w:w="0" w:type="dxa"/>
            <w:right w:w="0" w:type="dxa"/>
          </w:tblCellMar>
          <w:tblLook w:val="01E0"/>
        </w:tblPrEx>
        <w:trPr>
          <w:trHeight w:val="253"/>
          <w:jc w:val="left"/>
        </w:trPr>
        <w:tc>
          <w:tcPr>
            <w:tcW w:w="6584" w:type="dxa"/>
          </w:tcPr>
          <w:p>
            <w:pPr>
              <w:pStyle w:val="TableParagraph"/>
              <w:spacing w:before="1" w:line="233" w:lineRule="exact"/>
              <w:ind w:left="107"/>
              <w:rPr>
                <w:sz w:val="22"/>
              </w:rPr>
            </w:pPr>
            <w:r>
              <w:rPr>
                <w:sz w:val="22"/>
              </w:rPr>
              <w:t>Regional</w:t>
            </w:r>
            <w:r>
              <w:rPr>
                <w:spacing w:val="-6"/>
                <w:sz w:val="22"/>
              </w:rPr>
              <w:t xml:space="preserve"> </w:t>
            </w:r>
            <w:r>
              <w:rPr>
                <w:sz w:val="22"/>
              </w:rPr>
              <w:t>Preferred</w:t>
            </w:r>
            <w:r>
              <w:rPr>
                <w:spacing w:val="-6"/>
                <w:sz w:val="22"/>
              </w:rPr>
              <w:t xml:space="preserve"> </w:t>
            </w:r>
            <w:r>
              <w:rPr>
                <w:sz w:val="22"/>
              </w:rPr>
              <w:t>Provider</w:t>
            </w:r>
            <w:r>
              <w:rPr>
                <w:spacing w:val="-6"/>
                <w:sz w:val="22"/>
              </w:rPr>
              <w:t xml:space="preserve"> </w:t>
            </w:r>
            <w:r>
              <w:rPr>
                <w:sz w:val="22"/>
              </w:rPr>
              <w:t>Organization</w:t>
            </w:r>
            <w:r>
              <w:rPr>
                <w:spacing w:val="-6"/>
                <w:sz w:val="22"/>
              </w:rPr>
              <w:t xml:space="preserve"> </w:t>
            </w:r>
            <w:r>
              <w:rPr>
                <w:spacing w:val="-2"/>
                <w:sz w:val="22"/>
              </w:rPr>
              <w:t>(RPPO)</w:t>
            </w:r>
          </w:p>
        </w:tc>
        <w:tc>
          <w:tcPr>
            <w:tcW w:w="2429" w:type="dxa"/>
          </w:tcPr>
          <w:p>
            <w:pPr>
              <w:pStyle w:val="TableParagraph"/>
              <w:spacing w:before="1" w:line="233" w:lineRule="exact"/>
              <w:ind w:left="107"/>
              <w:rPr>
                <w:sz w:val="22"/>
              </w:rPr>
            </w:pPr>
            <w:r>
              <w:rPr>
                <w:spacing w:val="-4"/>
                <w:sz w:val="22"/>
              </w:rPr>
              <w:t>RPPO</w:t>
            </w:r>
          </w:p>
        </w:tc>
      </w:tr>
      <w:tr>
        <w:tblPrEx>
          <w:tblW w:w="0" w:type="auto"/>
          <w:jc w:val="left"/>
          <w:tblInd w:w="610" w:type="dxa"/>
          <w:tblLayout w:type="fixed"/>
          <w:tblCellMar>
            <w:top w:w="0" w:type="dxa"/>
            <w:left w:w="0" w:type="dxa"/>
            <w:bottom w:w="0" w:type="dxa"/>
            <w:right w:w="0" w:type="dxa"/>
          </w:tblCellMar>
          <w:tblLook w:val="01E0"/>
        </w:tblPrEx>
        <w:trPr>
          <w:trHeight w:val="273"/>
          <w:jc w:val="left"/>
        </w:trPr>
        <w:tc>
          <w:tcPr>
            <w:tcW w:w="6584" w:type="dxa"/>
          </w:tcPr>
          <w:p>
            <w:pPr>
              <w:pStyle w:val="TableParagraph"/>
              <w:spacing w:before="1" w:line="252" w:lineRule="exact"/>
              <w:ind w:left="107"/>
              <w:rPr>
                <w:b/>
                <w:sz w:val="22"/>
              </w:rPr>
            </w:pPr>
            <w:r>
              <w:rPr>
                <w:b/>
                <w:sz w:val="22"/>
              </w:rPr>
              <w:t>Private</w:t>
            </w:r>
            <w:r>
              <w:rPr>
                <w:b/>
                <w:spacing w:val="-7"/>
                <w:sz w:val="22"/>
              </w:rPr>
              <w:t xml:space="preserve"> </w:t>
            </w:r>
            <w:r>
              <w:rPr>
                <w:b/>
                <w:sz w:val="22"/>
              </w:rPr>
              <w:t>Fee-for-Service</w:t>
            </w:r>
            <w:r>
              <w:rPr>
                <w:b/>
                <w:spacing w:val="-7"/>
                <w:sz w:val="22"/>
              </w:rPr>
              <w:t xml:space="preserve"> </w:t>
            </w:r>
            <w:r>
              <w:rPr>
                <w:b/>
                <w:spacing w:val="-2"/>
                <w:sz w:val="22"/>
              </w:rPr>
              <w:t>Plans:</w:t>
            </w:r>
          </w:p>
        </w:tc>
        <w:tc>
          <w:tcPr>
            <w:tcW w:w="2429" w:type="dxa"/>
          </w:tcPr>
          <w:p>
            <w:pPr>
              <w:pStyle w:val="TableParagraph"/>
              <w:rPr>
                <w:sz w:val="20"/>
              </w:rPr>
            </w:pPr>
          </w:p>
        </w:tc>
      </w:tr>
      <w:tr>
        <w:tblPrEx>
          <w:tblW w:w="0" w:type="auto"/>
          <w:jc w:val="left"/>
          <w:tblInd w:w="610" w:type="dxa"/>
          <w:tblLayout w:type="fixed"/>
          <w:tblCellMar>
            <w:top w:w="0" w:type="dxa"/>
            <w:left w:w="0" w:type="dxa"/>
            <w:bottom w:w="0" w:type="dxa"/>
            <w:right w:w="0" w:type="dxa"/>
          </w:tblCellMar>
          <w:tblLook w:val="01E0"/>
        </w:tblPrEx>
        <w:trPr>
          <w:trHeight w:val="254"/>
          <w:jc w:val="left"/>
        </w:trPr>
        <w:tc>
          <w:tcPr>
            <w:tcW w:w="6584" w:type="dxa"/>
          </w:tcPr>
          <w:p>
            <w:pPr>
              <w:pStyle w:val="TableParagraph"/>
              <w:spacing w:line="234" w:lineRule="exact"/>
              <w:ind w:left="107"/>
              <w:rPr>
                <w:sz w:val="22"/>
              </w:rPr>
            </w:pPr>
            <w:r>
              <w:rPr>
                <w:sz w:val="22"/>
              </w:rPr>
              <w:t>Private</w:t>
            </w:r>
            <w:r>
              <w:rPr>
                <w:spacing w:val="-7"/>
                <w:sz w:val="22"/>
              </w:rPr>
              <w:t xml:space="preserve"> </w:t>
            </w:r>
            <w:r>
              <w:rPr>
                <w:sz w:val="22"/>
              </w:rPr>
              <w:t>Fee-for-Service</w:t>
            </w:r>
            <w:r>
              <w:rPr>
                <w:spacing w:val="-8"/>
                <w:sz w:val="22"/>
              </w:rPr>
              <w:t xml:space="preserve"> </w:t>
            </w:r>
            <w:r>
              <w:rPr>
                <w:spacing w:val="-2"/>
                <w:sz w:val="22"/>
              </w:rPr>
              <w:t>(PFFS)</w:t>
            </w:r>
          </w:p>
        </w:tc>
        <w:tc>
          <w:tcPr>
            <w:tcW w:w="2429" w:type="dxa"/>
          </w:tcPr>
          <w:p>
            <w:pPr>
              <w:pStyle w:val="TableParagraph"/>
              <w:spacing w:line="234" w:lineRule="exact"/>
              <w:ind w:left="107"/>
              <w:rPr>
                <w:sz w:val="22"/>
              </w:rPr>
            </w:pPr>
            <w:r>
              <w:rPr>
                <w:spacing w:val="-4"/>
                <w:sz w:val="22"/>
              </w:rPr>
              <w:t>PFFS</w:t>
            </w:r>
          </w:p>
        </w:tc>
      </w:tr>
      <w:tr>
        <w:tblPrEx>
          <w:tblW w:w="0" w:type="auto"/>
          <w:jc w:val="left"/>
          <w:tblInd w:w="610" w:type="dxa"/>
          <w:tblLayout w:type="fixed"/>
          <w:tblCellMar>
            <w:top w:w="0" w:type="dxa"/>
            <w:left w:w="0" w:type="dxa"/>
            <w:bottom w:w="0" w:type="dxa"/>
            <w:right w:w="0" w:type="dxa"/>
          </w:tblCellMar>
          <w:tblLook w:val="01E0"/>
        </w:tblPrEx>
        <w:trPr>
          <w:trHeight w:val="251"/>
          <w:jc w:val="left"/>
        </w:trPr>
        <w:tc>
          <w:tcPr>
            <w:tcW w:w="6584" w:type="dxa"/>
          </w:tcPr>
          <w:p>
            <w:pPr>
              <w:pStyle w:val="TableParagraph"/>
              <w:spacing w:line="232" w:lineRule="exact"/>
              <w:ind w:left="107"/>
              <w:rPr>
                <w:sz w:val="22"/>
              </w:rPr>
            </w:pPr>
            <w:r>
              <w:rPr>
                <w:sz w:val="22"/>
              </w:rPr>
              <w:t>Religious</w:t>
            </w:r>
            <w:r>
              <w:rPr>
                <w:spacing w:val="-6"/>
                <w:sz w:val="22"/>
              </w:rPr>
              <w:t xml:space="preserve"> </w:t>
            </w:r>
            <w:r>
              <w:rPr>
                <w:sz w:val="22"/>
              </w:rPr>
              <w:t>Fraternal</w:t>
            </w:r>
            <w:r>
              <w:rPr>
                <w:spacing w:val="-4"/>
                <w:sz w:val="22"/>
              </w:rPr>
              <w:t xml:space="preserve"> </w:t>
            </w:r>
            <w:r>
              <w:rPr>
                <w:sz w:val="22"/>
              </w:rPr>
              <w:t>Benefit</w:t>
            </w:r>
            <w:r>
              <w:rPr>
                <w:spacing w:val="-6"/>
                <w:sz w:val="22"/>
              </w:rPr>
              <w:t xml:space="preserve"> </w:t>
            </w:r>
            <w:r>
              <w:rPr>
                <w:spacing w:val="-4"/>
                <w:sz w:val="22"/>
              </w:rPr>
              <w:t>PFFS</w:t>
            </w:r>
          </w:p>
        </w:tc>
        <w:tc>
          <w:tcPr>
            <w:tcW w:w="2429" w:type="dxa"/>
          </w:tcPr>
          <w:p>
            <w:pPr>
              <w:pStyle w:val="TableParagraph"/>
              <w:spacing w:line="232" w:lineRule="exact"/>
              <w:ind w:left="107"/>
              <w:rPr>
                <w:sz w:val="22"/>
              </w:rPr>
            </w:pPr>
            <w:r>
              <w:rPr>
                <w:sz w:val="22"/>
              </w:rPr>
              <w:t>RFB</w:t>
            </w:r>
            <w:r>
              <w:rPr>
                <w:spacing w:val="-3"/>
                <w:sz w:val="22"/>
              </w:rPr>
              <w:t xml:space="preserve"> </w:t>
            </w:r>
            <w:r>
              <w:rPr>
                <w:spacing w:val="-4"/>
                <w:sz w:val="22"/>
              </w:rPr>
              <w:t>PFFS</w:t>
            </w:r>
          </w:p>
        </w:tc>
      </w:tr>
    </w:tbl>
    <w:p>
      <w:pPr>
        <w:spacing w:before="249"/>
        <w:ind w:left="504" w:right="0" w:firstLine="0"/>
        <w:jc w:val="left"/>
        <w:rPr>
          <w:rFonts w:ascii="Arial" w:hAnsi="Arial"/>
          <w:b/>
          <w:sz w:val="21"/>
        </w:rPr>
      </w:pPr>
      <w:bookmarkStart w:id="129" w:name="Line 8 – MA-PD"/>
      <w:bookmarkEnd w:id="129"/>
      <w:r>
        <w:rPr>
          <w:rFonts w:ascii="Arial" w:hAnsi="Arial"/>
          <w:b/>
          <w:sz w:val="21"/>
        </w:rPr>
        <w:t>Line</w:t>
      </w:r>
      <w:r>
        <w:rPr>
          <w:rFonts w:ascii="Arial" w:hAnsi="Arial"/>
          <w:b/>
          <w:spacing w:val="-4"/>
          <w:sz w:val="21"/>
        </w:rPr>
        <w:t xml:space="preserve"> </w:t>
      </w:r>
      <w:r>
        <w:rPr>
          <w:rFonts w:ascii="Arial" w:hAnsi="Arial"/>
          <w:b/>
          <w:sz w:val="21"/>
        </w:rPr>
        <w:t>8</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MA-</w:t>
      </w:r>
      <w:r>
        <w:rPr>
          <w:rFonts w:ascii="Arial" w:hAnsi="Arial"/>
          <w:b/>
          <w:spacing w:val="-5"/>
          <w:sz w:val="21"/>
        </w:rPr>
        <w:t>PD</w:t>
      </w:r>
    </w:p>
    <w:p>
      <w:pPr>
        <w:pStyle w:val="BodyText"/>
        <w:spacing w:before="120"/>
        <w:ind w:right="1481"/>
      </w:pPr>
      <w:r>
        <w:t>If</w:t>
      </w:r>
      <w:r>
        <w:rPr>
          <w:spacing w:val="-3"/>
        </w:rPr>
        <w:t xml:space="preserve"> </w:t>
      </w:r>
      <w:r>
        <w:t>the</w:t>
      </w:r>
      <w:r>
        <w:rPr>
          <w:spacing w:val="-2"/>
        </w:rPr>
        <w:t xml:space="preserve"> </w:t>
      </w:r>
      <w:r>
        <w:t>bid</w:t>
      </w:r>
      <w:r>
        <w:rPr>
          <w:spacing w:val="-1"/>
        </w:rPr>
        <w:t xml:space="preserve"> </w:t>
      </w:r>
      <w:r>
        <w:t>provides</w:t>
      </w:r>
      <w:r>
        <w:rPr>
          <w:spacing w:val="-2"/>
        </w:rPr>
        <w:t xml:space="preserve"> </w:t>
      </w:r>
      <w:r>
        <w:t>coverage</w:t>
      </w:r>
      <w:r>
        <w:rPr>
          <w:spacing w:val="-2"/>
        </w:rPr>
        <w:t xml:space="preserve"> </w:t>
      </w:r>
      <w:r>
        <w:t>under a</w:t>
      </w:r>
      <w:r>
        <w:rPr>
          <w:spacing w:val="-2"/>
        </w:rPr>
        <w:t xml:space="preserve"> </w:t>
      </w:r>
      <w:r>
        <w:t>Medicare</w:t>
      </w:r>
      <w:r>
        <w:rPr>
          <w:spacing w:val="-1"/>
        </w:rPr>
        <w:t xml:space="preserve"> </w:t>
      </w:r>
      <w:r>
        <w:t>Advantage</w:t>
      </w:r>
      <w:r>
        <w:rPr>
          <w:spacing w:val="-3"/>
        </w:rPr>
        <w:t xml:space="preserve"> </w:t>
      </w:r>
      <w:r>
        <w:t>Prescription</w:t>
      </w:r>
      <w:r>
        <w:rPr>
          <w:spacing w:val="-1"/>
        </w:rPr>
        <w:t xml:space="preserve"> </w:t>
      </w:r>
      <w:r>
        <w:t>Drug</w:t>
      </w:r>
      <w:r>
        <w:rPr>
          <w:spacing w:val="-1"/>
        </w:rPr>
        <w:t xml:space="preserve"> </w:t>
      </w:r>
      <w:r>
        <w:t>Plan</w:t>
      </w:r>
      <w:r>
        <w:rPr>
          <w:spacing w:val="-1"/>
        </w:rPr>
        <w:t xml:space="preserve"> </w:t>
      </w:r>
      <w:r>
        <w:t>(MA-PD),</w:t>
      </w:r>
      <w:r>
        <w:rPr>
          <w:spacing w:val="-1"/>
        </w:rPr>
        <w:t xml:space="preserve"> </w:t>
      </w:r>
      <w:r>
        <w:t>as defined</w:t>
      </w:r>
      <w:r>
        <w:rPr>
          <w:spacing w:val="-4"/>
        </w:rPr>
        <w:t xml:space="preserve"> </w:t>
      </w:r>
      <w:r>
        <w:t>in</w:t>
      </w:r>
      <w:r>
        <w:rPr>
          <w:spacing w:val="-1"/>
        </w:rPr>
        <w:t xml:space="preserve"> </w:t>
      </w:r>
      <w:r>
        <w:t>Chapter</w:t>
      </w:r>
      <w:r>
        <w:rPr>
          <w:spacing w:val="-2"/>
        </w:rPr>
        <w:t xml:space="preserve"> </w:t>
      </w:r>
      <w:r>
        <w:t>1</w:t>
      </w:r>
      <w:r>
        <w:rPr>
          <w:spacing w:val="-1"/>
        </w:rPr>
        <w:t xml:space="preserve"> </w:t>
      </w:r>
      <w:r>
        <w:t>of</w:t>
      </w:r>
      <w:r>
        <w:rPr>
          <w:spacing w:val="-1"/>
        </w:rPr>
        <w:t xml:space="preserve"> </w:t>
      </w:r>
      <w:r>
        <w:t>the</w:t>
      </w:r>
      <w:r>
        <w:rPr>
          <w:spacing w:val="-2"/>
        </w:rPr>
        <w:t xml:space="preserve"> </w:t>
      </w:r>
      <w:r>
        <w:rPr>
          <w:i/>
        </w:rPr>
        <w:t>Medicare</w:t>
      </w:r>
      <w:r>
        <w:rPr>
          <w:i/>
          <w:spacing w:val="-2"/>
        </w:rPr>
        <w:t xml:space="preserve"> </w:t>
      </w:r>
      <w:r>
        <w:rPr>
          <w:i/>
        </w:rPr>
        <w:t>Managed</w:t>
      </w:r>
      <w:r>
        <w:rPr>
          <w:i/>
          <w:spacing w:val="-1"/>
        </w:rPr>
        <w:t xml:space="preserve"> </w:t>
      </w:r>
      <w:r>
        <w:rPr>
          <w:i/>
        </w:rPr>
        <w:t>Care</w:t>
      </w:r>
      <w:r>
        <w:rPr>
          <w:i/>
          <w:spacing w:val="-2"/>
        </w:rPr>
        <w:t xml:space="preserve"> </w:t>
      </w:r>
      <w:r>
        <w:rPr>
          <w:i/>
        </w:rPr>
        <w:t>Manual</w:t>
      </w:r>
      <w:r>
        <w:t>,</w:t>
      </w:r>
      <w:r>
        <w:rPr>
          <w:spacing w:val="-1"/>
        </w:rPr>
        <w:t xml:space="preserve"> </w:t>
      </w:r>
      <w:r>
        <w:t>enter</w:t>
      </w:r>
      <w:r>
        <w:rPr>
          <w:spacing w:val="-1"/>
        </w:rPr>
        <w:t xml:space="preserve"> </w:t>
      </w:r>
      <w:r>
        <w:t>“Y”.</w:t>
      </w:r>
      <w:r>
        <w:rPr>
          <w:spacing w:val="1"/>
        </w:rPr>
        <w:t xml:space="preserve"> </w:t>
      </w:r>
      <w:r>
        <w:t>Otherwise,</w:t>
      </w:r>
      <w:r>
        <w:rPr>
          <w:spacing w:val="-1"/>
        </w:rPr>
        <w:t xml:space="preserve"> </w:t>
      </w:r>
      <w:r>
        <w:t>enter</w:t>
      </w:r>
      <w:r>
        <w:rPr>
          <w:spacing w:val="-1"/>
        </w:rPr>
        <w:t xml:space="preserve"> </w:t>
      </w:r>
      <w:r>
        <w:rPr>
          <w:spacing w:val="-4"/>
        </w:rPr>
        <w:t>“N”.</w:t>
      </w:r>
    </w:p>
    <w:p>
      <w:pPr>
        <w:spacing w:before="241"/>
        <w:ind w:left="504" w:right="0" w:firstLine="0"/>
        <w:jc w:val="left"/>
        <w:rPr>
          <w:rFonts w:ascii="Arial" w:hAnsi="Arial"/>
          <w:b/>
          <w:sz w:val="21"/>
        </w:rPr>
      </w:pPr>
      <w:bookmarkStart w:id="130" w:name="Line 9 – Enrollee Type"/>
      <w:bookmarkEnd w:id="130"/>
      <w:r>
        <w:rPr>
          <w:rFonts w:ascii="Arial" w:hAnsi="Arial"/>
          <w:b/>
          <w:sz w:val="21"/>
        </w:rPr>
        <w:t>Line</w:t>
      </w:r>
      <w:r>
        <w:rPr>
          <w:rFonts w:ascii="Arial" w:hAnsi="Arial"/>
          <w:b/>
          <w:spacing w:val="-5"/>
          <w:sz w:val="21"/>
        </w:rPr>
        <w:t xml:space="preserve"> </w:t>
      </w:r>
      <w:r>
        <w:rPr>
          <w:rFonts w:ascii="Arial" w:hAnsi="Arial"/>
          <w:b/>
          <w:sz w:val="21"/>
        </w:rPr>
        <w:t>9</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Enrollee</w:t>
      </w:r>
      <w:r>
        <w:rPr>
          <w:rFonts w:ascii="Arial" w:hAnsi="Arial"/>
          <w:b/>
          <w:spacing w:val="-5"/>
          <w:sz w:val="21"/>
        </w:rPr>
        <w:t xml:space="preserve"> </w:t>
      </w:r>
      <w:r>
        <w:rPr>
          <w:rFonts w:ascii="Arial" w:hAnsi="Arial"/>
          <w:b/>
          <w:spacing w:val="-4"/>
          <w:sz w:val="21"/>
        </w:rPr>
        <w:t>Type</w:t>
      </w:r>
    </w:p>
    <w:p>
      <w:pPr>
        <w:pStyle w:val="BodyText"/>
        <w:spacing w:before="118"/>
        <w:ind w:right="1481"/>
      </w:pPr>
      <w:r>
        <w:t>If</w:t>
      </w:r>
      <w:r>
        <w:rPr>
          <w:spacing w:val="-4"/>
        </w:rPr>
        <w:t xml:space="preserve"> </w:t>
      </w:r>
      <w:r>
        <w:t>the</w:t>
      </w:r>
      <w:r>
        <w:rPr>
          <w:spacing w:val="-2"/>
        </w:rPr>
        <w:t xml:space="preserve"> </w:t>
      </w:r>
      <w:r>
        <w:t>bid</w:t>
      </w:r>
      <w:r>
        <w:rPr>
          <w:spacing w:val="-3"/>
        </w:rPr>
        <w:t xml:space="preserve"> </w:t>
      </w:r>
      <w:r>
        <w:t>covers</w:t>
      </w:r>
      <w:r>
        <w:rPr>
          <w:spacing w:val="-3"/>
        </w:rPr>
        <w:t xml:space="preserve"> </w:t>
      </w:r>
      <w:r>
        <w:t>enrollees</w:t>
      </w:r>
      <w:r>
        <w:rPr>
          <w:spacing w:val="-3"/>
        </w:rPr>
        <w:t xml:space="preserve"> </w:t>
      </w:r>
      <w:r>
        <w:t>eligible</w:t>
      </w:r>
      <w:r>
        <w:rPr>
          <w:spacing w:val="-3"/>
        </w:rPr>
        <w:t xml:space="preserve"> </w:t>
      </w:r>
      <w:r>
        <w:t>for</w:t>
      </w:r>
      <w:r>
        <w:rPr>
          <w:spacing w:val="-4"/>
        </w:rPr>
        <w:t xml:space="preserve"> </w:t>
      </w:r>
      <w:r>
        <w:t>both</w:t>
      </w:r>
      <w:r>
        <w:rPr>
          <w:spacing w:val="-1"/>
        </w:rPr>
        <w:t xml:space="preserve"> </w:t>
      </w:r>
      <w:r>
        <w:t>Part</w:t>
      </w:r>
      <w:r>
        <w:rPr>
          <w:spacing w:val="-2"/>
        </w:rPr>
        <w:t xml:space="preserve"> </w:t>
      </w:r>
      <w:r>
        <w:t>A and</w:t>
      </w:r>
      <w:r>
        <w:rPr>
          <w:spacing w:val="-2"/>
        </w:rPr>
        <w:t xml:space="preserve"> </w:t>
      </w:r>
      <w:r>
        <w:t>Part</w:t>
      </w:r>
      <w:r>
        <w:rPr>
          <w:spacing w:val="-2"/>
        </w:rPr>
        <w:t xml:space="preserve"> </w:t>
      </w:r>
      <w:r>
        <w:t>B</w:t>
      </w:r>
      <w:r>
        <w:rPr>
          <w:spacing w:val="-2"/>
        </w:rPr>
        <w:t xml:space="preserve"> </w:t>
      </w:r>
      <w:r>
        <w:t>of</w:t>
      </w:r>
      <w:r>
        <w:rPr>
          <w:spacing w:val="-2"/>
        </w:rPr>
        <w:t xml:space="preserve"> </w:t>
      </w:r>
      <w:r>
        <w:t>Medicare, enter</w:t>
      </w:r>
      <w:r>
        <w:rPr>
          <w:spacing w:val="-4"/>
        </w:rPr>
        <w:t xml:space="preserve"> </w:t>
      </w:r>
      <w:r>
        <w:t>“A/B”. If</w:t>
      </w:r>
      <w:r>
        <w:rPr>
          <w:spacing w:val="-2"/>
        </w:rPr>
        <w:t xml:space="preserve"> </w:t>
      </w:r>
      <w:r>
        <w:t>the bid covers enrollees eligible for Part B only, enter “PART B ONLY”. (See Appendix C for additional information regarding Part B-only plans.)</w:t>
      </w:r>
    </w:p>
    <w:p>
      <w:pPr>
        <w:pStyle w:val="BodyText"/>
        <w:spacing w:before="120"/>
      </w:pPr>
      <w:r>
        <w:t>If</w:t>
      </w:r>
      <w:r>
        <w:rPr>
          <w:spacing w:val="-4"/>
        </w:rPr>
        <w:t xml:space="preserve"> </w:t>
      </w:r>
      <w:r>
        <w:t>the</w:t>
      </w:r>
      <w:r>
        <w:rPr>
          <w:spacing w:val="-2"/>
        </w:rPr>
        <w:t xml:space="preserve"> </w:t>
      </w:r>
      <w:r>
        <w:t>plan type equals</w:t>
      </w:r>
      <w:r>
        <w:rPr>
          <w:spacing w:val="-1"/>
        </w:rPr>
        <w:t xml:space="preserve"> </w:t>
      </w:r>
      <w:r>
        <w:t>“RPPO,”</w:t>
      </w:r>
      <w:r>
        <w:rPr>
          <w:spacing w:val="-2"/>
        </w:rPr>
        <w:t xml:space="preserve"> </w:t>
      </w:r>
      <w:r>
        <w:t>the</w:t>
      </w:r>
      <w:r>
        <w:rPr>
          <w:spacing w:val="-1"/>
        </w:rPr>
        <w:t xml:space="preserve"> </w:t>
      </w:r>
      <w:r>
        <w:t>enrollee</w:t>
      </w:r>
      <w:r>
        <w:rPr>
          <w:spacing w:val="-2"/>
        </w:rPr>
        <w:t xml:space="preserve"> </w:t>
      </w:r>
      <w:r>
        <w:t>type</w:t>
      </w:r>
      <w:r>
        <w:rPr>
          <w:spacing w:val="1"/>
        </w:rPr>
        <w:t xml:space="preserve"> </w:t>
      </w:r>
      <w:r>
        <w:t>must equal</w:t>
      </w:r>
      <w:r>
        <w:rPr>
          <w:spacing w:val="1"/>
        </w:rPr>
        <w:t xml:space="preserve"> </w:t>
      </w:r>
      <w:r>
        <w:rPr>
          <w:spacing w:val="-2"/>
        </w:rPr>
        <w:t>“A/B.”</w:t>
      </w:r>
    </w:p>
    <w:p>
      <w:pPr>
        <w:spacing w:before="241"/>
        <w:ind w:left="504" w:right="0" w:firstLine="0"/>
        <w:jc w:val="left"/>
        <w:rPr>
          <w:rFonts w:ascii="Arial" w:hAnsi="Arial"/>
          <w:b/>
          <w:sz w:val="21"/>
        </w:rPr>
      </w:pPr>
      <w:bookmarkStart w:id="131" w:name="Line 10 – MA Region"/>
      <w:bookmarkEnd w:id="131"/>
      <w:r>
        <w:rPr>
          <w:rFonts w:ascii="Arial" w:hAnsi="Arial"/>
          <w:b/>
          <w:sz w:val="21"/>
        </w:rPr>
        <w:t>Line</w:t>
      </w:r>
      <w:r>
        <w:rPr>
          <w:rFonts w:ascii="Arial" w:hAnsi="Arial"/>
          <w:b/>
          <w:spacing w:val="-4"/>
          <w:sz w:val="21"/>
        </w:rPr>
        <w:t xml:space="preserve"> </w:t>
      </w:r>
      <w:r>
        <w:rPr>
          <w:rFonts w:ascii="Arial" w:hAnsi="Arial"/>
          <w:b/>
          <w:sz w:val="21"/>
        </w:rPr>
        <w:t>10</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MA</w:t>
      </w:r>
      <w:r>
        <w:rPr>
          <w:rFonts w:ascii="Arial" w:hAnsi="Arial"/>
          <w:b/>
          <w:spacing w:val="-4"/>
          <w:sz w:val="21"/>
        </w:rPr>
        <w:t xml:space="preserve"> </w:t>
      </w:r>
      <w:r>
        <w:rPr>
          <w:rFonts w:ascii="Arial" w:hAnsi="Arial"/>
          <w:b/>
          <w:spacing w:val="-2"/>
          <w:sz w:val="21"/>
        </w:rPr>
        <w:t>Region</w:t>
      </w:r>
    </w:p>
    <w:p>
      <w:pPr>
        <w:pStyle w:val="BodyText"/>
        <w:spacing w:before="121"/>
        <w:ind w:right="1481"/>
      </w:pPr>
      <w:r>
        <w:t>If the MA plan is a regional PPO (that is, plan type equals “RPPO”), then input the region number</w:t>
      </w:r>
      <w:r>
        <w:rPr>
          <w:spacing w:val="-4"/>
        </w:rPr>
        <w:t xml:space="preserve"> </w:t>
      </w:r>
      <w:r>
        <w:t>associated</w:t>
      </w:r>
      <w:r>
        <w:rPr>
          <w:spacing w:val="-1"/>
        </w:rPr>
        <w:t xml:space="preserve"> </w:t>
      </w:r>
      <w:r>
        <w:t>with</w:t>
      </w:r>
      <w:r>
        <w:rPr>
          <w:spacing w:val="-2"/>
        </w:rPr>
        <w:t xml:space="preserve"> </w:t>
      </w:r>
      <w:r>
        <w:t>the</w:t>
      </w:r>
      <w:r>
        <w:rPr>
          <w:spacing w:val="-3"/>
        </w:rPr>
        <w:t xml:space="preserve"> </w:t>
      </w:r>
      <w:r>
        <w:t>region</w:t>
      </w:r>
      <w:r>
        <w:rPr>
          <w:spacing w:val="-2"/>
        </w:rPr>
        <w:t xml:space="preserve"> </w:t>
      </w:r>
      <w:r>
        <w:t>that</w:t>
      </w:r>
      <w:r>
        <w:rPr>
          <w:spacing w:val="-2"/>
        </w:rPr>
        <w:t xml:space="preserve"> </w:t>
      </w:r>
      <w:r>
        <w:t>the</w:t>
      </w:r>
      <w:r>
        <w:rPr>
          <w:spacing w:val="-3"/>
        </w:rPr>
        <w:t xml:space="preserve"> </w:t>
      </w:r>
      <w:r>
        <w:t>plan</w:t>
      </w:r>
      <w:r>
        <w:rPr>
          <w:spacing w:val="-2"/>
        </w:rPr>
        <w:t xml:space="preserve"> </w:t>
      </w:r>
      <w:r>
        <w:t>will</w:t>
      </w:r>
      <w:r>
        <w:rPr>
          <w:spacing w:val="-2"/>
        </w:rPr>
        <w:t xml:space="preserve"> </w:t>
      </w:r>
      <w:r>
        <w:t>cover.</w:t>
      </w:r>
      <w:r>
        <w:rPr>
          <w:spacing w:val="-2"/>
        </w:rPr>
        <w:t xml:space="preserve"> </w:t>
      </w:r>
      <w:r>
        <w:t>This</w:t>
      </w:r>
      <w:r>
        <w:rPr>
          <w:spacing w:val="-3"/>
        </w:rPr>
        <w:t xml:space="preserve"> </w:t>
      </w:r>
      <w:r>
        <w:t>field</w:t>
      </w:r>
      <w:r>
        <w:rPr>
          <w:spacing w:val="-2"/>
        </w:rPr>
        <w:t xml:space="preserve"> </w:t>
      </w:r>
      <w:r>
        <w:t>must</w:t>
      </w:r>
      <w:r>
        <w:rPr>
          <w:spacing w:val="-1"/>
        </w:rPr>
        <w:t xml:space="preserve"> </w:t>
      </w:r>
      <w:r>
        <w:t>be</w:t>
      </w:r>
      <w:r>
        <w:rPr>
          <w:spacing w:val="-3"/>
        </w:rPr>
        <w:t xml:space="preserve"> </w:t>
      </w:r>
      <w:r>
        <w:t>entered</w:t>
      </w:r>
      <w:r>
        <w:rPr>
          <w:spacing w:val="-2"/>
        </w:rPr>
        <w:t xml:space="preserve"> </w:t>
      </w:r>
      <w:r>
        <w:t>as</w:t>
      </w:r>
      <w:r>
        <w:rPr>
          <w:spacing w:val="-3"/>
        </w:rPr>
        <w:t xml:space="preserve"> </w:t>
      </w:r>
      <w:r>
        <w:t>a</w:t>
      </w:r>
      <w:r>
        <w:rPr>
          <w:spacing w:val="-3"/>
        </w:rPr>
        <w:t xml:space="preserve"> </w:t>
      </w:r>
      <w:r>
        <w:t>text input (that is, must include a preceding apostrophe) and must include any leading zeroes (for example, ‘01).</w:t>
      </w:r>
    </w:p>
    <w:p>
      <w:pPr>
        <w:pStyle w:val="BodyText"/>
        <w:spacing w:before="120"/>
      </w:pPr>
      <w:r>
        <w:t>For</w:t>
      </w:r>
      <w:r>
        <w:rPr>
          <w:spacing w:val="-3"/>
        </w:rPr>
        <w:t xml:space="preserve"> </w:t>
      </w:r>
      <w:r>
        <w:t>regional</w:t>
      </w:r>
      <w:r>
        <w:rPr>
          <w:spacing w:val="-1"/>
        </w:rPr>
        <w:t xml:space="preserve"> </w:t>
      </w:r>
      <w:r>
        <w:t>PPO</w:t>
      </w:r>
      <w:r>
        <w:rPr>
          <w:spacing w:val="-1"/>
        </w:rPr>
        <w:t xml:space="preserve"> </w:t>
      </w:r>
      <w:r>
        <w:t>plans,</w:t>
      </w:r>
      <w:r>
        <w:rPr>
          <w:spacing w:val="-1"/>
        </w:rPr>
        <w:t xml:space="preserve"> </w:t>
      </w:r>
      <w:r>
        <w:t>valid</w:t>
      </w:r>
      <w:r>
        <w:rPr>
          <w:spacing w:val="-1"/>
        </w:rPr>
        <w:t xml:space="preserve"> </w:t>
      </w:r>
      <w:r>
        <w:t>entries</w:t>
      </w:r>
      <w:r>
        <w:rPr>
          <w:spacing w:val="-1"/>
        </w:rPr>
        <w:t xml:space="preserve"> </w:t>
      </w:r>
      <w:r>
        <w:t>are</w:t>
      </w:r>
      <w:r>
        <w:rPr>
          <w:spacing w:val="-2"/>
        </w:rPr>
        <w:t xml:space="preserve"> </w:t>
      </w:r>
      <w:r>
        <w:t>shown</w:t>
      </w:r>
      <w:r>
        <w:rPr>
          <w:spacing w:val="-1"/>
        </w:rPr>
        <w:t xml:space="preserve"> </w:t>
      </w:r>
      <w:r>
        <w:t>in the</w:t>
      </w:r>
      <w:r>
        <w:rPr>
          <w:spacing w:val="-1"/>
        </w:rPr>
        <w:t xml:space="preserve"> </w:t>
      </w:r>
      <w:r>
        <w:t xml:space="preserve">following </w:t>
      </w:r>
      <w:r>
        <w:rPr>
          <w:spacing w:val="-2"/>
        </w:rPr>
        <w:t>table:</w:t>
      </w:r>
    </w:p>
    <w:p>
      <w:pPr>
        <w:pStyle w:val="BodyText"/>
        <w:spacing w:after="0"/>
        <w:sectPr>
          <w:pgSz w:w="12240" w:h="15840"/>
          <w:pgMar w:top="960" w:right="0" w:bottom="940" w:left="1080" w:header="727" w:footer="747"/>
          <w:cols w:space="720"/>
        </w:sectPr>
      </w:pPr>
    </w:p>
    <w:p>
      <w:pPr>
        <w:pStyle w:val="BodyText"/>
        <w:ind w:left="0"/>
        <w:rPr>
          <w:sz w:val="20"/>
        </w:rPr>
      </w:pPr>
    </w:p>
    <w:p>
      <w:pPr>
        <w:pStyle w:val="BodyText"/>
        <w:spacing w:before="6" w:after="1"/>
        <w:ind w:left="0"/>
        <w:rPr>
          <w:sz w:val="20"/>
        </w:rPr>
      </w:pPr>
    </w:p>
    <w:tbl>
      <w:tblPr>
        <w:tblStyle w:val="TableNormal"/>
        <w:tblW w:w="0" w:type="auto"/>
        <w:jc w:val="lef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2"/>
        <w:gridCol w:w="3219"/>
        <w:gridCol w:w="828"/>
        <w:gridCol w:w="921"/>
        <w:gridCol w:w="3218"/>
      </w:tblGrid>
      <w:tr>
        <w:tblPrEx>
          <w:tblW w:w="0" w:type="auto"/>
          <w:jc w:val="lef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hRule="exact" w:val="283"/>
          <w:jc w:val="left"/>
        </w:trPr>
        <w:tc>
          <w:tcPr>
            <w:tcW w:w="922" w:type="dxa"/>
          </w:tcPr>
          <w:p>
            <w:pPr>
              <w:pStyle w:val="TableParagraph"/>
              <w:spacing w:before="1" w:line="252" w:lineRule="exact"/>
              <w:ind w:right="41"/>
              <w:jc w:val="center"/>
              <w:rPr>
                <w:b/>
                <w:sz w:val="22"/>
              </w:rPr>
            </w:pPr>
            <w:r>
              <w:rPr>
                <w:b/>
                <w:spacing w:val="-2"/>
                <w:sz w:val="22"/>
              </w:rPr>
              <w:t>Region</w:t>
            </w:r>
          </w:p>
        </w:tc>
        <w:tc>
          <w:tcPr>
            <w:tcW w:w="3219" w:type="dxa"/>
          </w:tcPr>
          <w:p>
            <w:pPr>
              <w:pStyle w:val="TableParagraph"/>
              <w:spacing w:before="1" w:line="252" w:lineRule="exact"/>
              <w:ind w:left="103"/>
              <w:rPr>
                <w:b/>
                <w:sz w:val="22"/>
              </w:rPr>
            </w:pPr>
            <w:r>
              <w:rPr>
                <w:b/>
                <w:spacing w:val="-2"/>
                <w:sz w:val="22"/>
              </w:rPr>
              <w:t>Description</w:t>
            </w:r>
          </w:p>
        </w:tc>
        <w:tc>
          <w:tcPr>
            <w:tcW w:w="828" w:type="dxa"/>
            <w:vMerge w:val="restart"/>
            <w:tcBorders>
              <w:top w:val="nil"/>
              <w:bottom w:val="nil"/>
            </w:tcBorders>
          </w:tcPr>
          <w:p>
            <w:pPr>
              <w:pStyle w:val="TableParagraph"/>
              <w:rPr>
                <w:sz w:val="22"/>
              </w:rPr>
            </w:pPr>
          </w:p>
        </w:tc>
        <w:tc>
          <w:tcPr>
            <w:tcW w:w="921" w:type="dxa"/>
          </w:tcPr>
          <w:p>
            <w:pPr>
              <w:pStyle w:val="TableParagraph"/>
              <w:spacing w:before="1" w:line="252" w:lineRule="exact"/>
              <w:ind w:right="41"/>
              <w:jc w:val="center"/>
              <w:rPr>
                <w:b/>
                <w:sz w:val="22"/>
              </w:rPr>
            </w:pPr>
            <w:r>
              <w:rPr>
                <w:b/>
                <w:spacing w:val="-2"/>
                <w:sz w:val="22"/>
              </w:rPr>
              <w:t>Region</w:t>
            </w:r>
          </w:p>
        </w:tc>
        <w:tc>
          <w:tcPr>
            <w:tcW w:w="3218" w:type="dxa"/>
          </w:tcPr>
          <w:p>
            <w:pPr>
              <w:pStyle w:val="TableParagraph"/>
              <w:spacing w:before="1" w:line="252" w:lineRule="exact"/>
              <w:ind w:left="103"/>
              <w:rPr>
                <w:b/>
                <w:sz w:val="22"/>
              </w:rPr>
            </w:pPr>
            <w:r>
              <w:rPr>
                <w:b/>
                <w:spacing w:val="-2"/>
                <w:sz w:val="22"/>
              </w:rPr>
              <w:t>Description</w:t>
            </w:r>
          </w:p>
        </w:tc>
      </w:tr>
      <w:tr>
        <w:tblPrEx>
          <w:tblW w:w="0" w:type="auto"/>
          <w:jc w:val="left"/>
          <w:tblInd w:w="562" w:type="dxa"/>
          <w:tblLayout w:type="fixed"/>
          <w:tblCellMar>
            <w:top w:w="0" w:type="dxa"/>
            <w:left w:w="0" w:type="dxa"/>
            <w:bottom w:w="0" w:type="dxa"/>
            <w:right w:w="0" w:type="dxa"/>
          </w:tblCellMar>
          <w:tblLook w:val="01E0"/>
        </w:tblPrEx>
        <w:trPr>
          <w:trHeight w:hRule="exact" w:val="261"/>
          <w:jc w:val="left"/>
        </w:trPr>
        <w:tc>
          <w:tcPr>
            <w:tcW w:w="922" w:type="dxa"/>
            <w:vMerge w:val="restart"/>
          </w:tcPr>
          <w:p>
            <w:pPr>
              <w:pStyle w:val="TableParagraph"/>
              <w:spacing w:before="125"/>
              <w:ind w:left="41" w:right="41"/>
              <w:jc w:val="center"/>
              <w:rPr>
                <w:sz w:val="22"/>
              </w:rPr>
            </w:pPr>
            <w:r>
              <w:rPr>
                <w:spacing w:val="-5"/>
                <w:sz w:val="22"/>
              </w:rPr>
              <w:t>01</w:t>
            </w:r>
          </w:p>
        </w:tc>
        <w:tc>
          <w:tcPr>
            <w:tcW w:w="3219" w:type="dxa"/>
            <w:vMerge w:val="restart"/>
          </w:tcPr>
          <w:p>
            <w:pPr>
              <w:pStyle w:val="TableParagraph"/>
              <w:spacing w:line="252" w:lineRule="exact"/>
              <w:ind w:left="103"/>
              <w:rPr>
                <w:sz w:val="22"/>
              </w:rPr>
            </w:pPr>
            <w:r>
              <w:rPr>
                <w:sz w:val="22"/>
              </w:rPr>
              <w:t>Northern</w:t>
            </w:r>
            <w:r>
              <w:rPr>
                <w:spacing w:val="-13"/>
                <w:sz w:val="22"/>
              </w:rPr>
              <w:t xml:space="preserve"> </w:t>
            </w:r>
            <w:r>
              <w:rPr>
                <w:sz w:val="22"/>
              </w:rPr>
              <w:t>New</w:t>
            </w:r>
            <w:r>
              <w:rPr>
                <w:spacing w:val="-13"/>
                <w:sz w:val="22"/>
              </w:rPr>
              <w:t xml:space="preserve"> </w:t>
            </w:r>
            <w:r>
              <w:rPr>
                <w:sz w:val="22"/>
              </w:rPr>
              <w:t>England</w:t>
            </w:r>
            <w:r>
              <w:rPr>
                <w:spacing w:val="-13"/>
                <w:sz w:val="22"/>
              </w:rPr>
              <w:t xml:space="preserve"> </w:t>
            </w:r>
            <w:r>
              <w:rPr>
                <w:sz w:val="22"/>
              </w:rPr>
              <w:t>(New Hampshire and Maine)</w:t>
            </w:r>
          </w:p>
        </w:tc>
        <w:tc>
          <w:tcPr>
            <w:tcW w:w="828" w:type="dxa"/>
            <w:vMerge/>
            <w:tcBorders>
              <w:top w:val="nil"/>
              <w:bottom w:val="nil"/>
            </w:tcBorders>
          </w:tcPr>
          <w:p>
            <w:pPr>
              <w:rPr>
                <w:sz w:val="2"/>
                <w:szCs w:val="2"/>
              </w:rPr>
            </w:pPr>
          </w:p>
        </w:tc>
        <w:tc>
          <w:tcPr>
            <w:tcW w:w="921" w:type="dxa"/>
          </w:tcPr>
          <w:p>
            <w:pPr>
              <w:pStyle w:val="TableParagraph"/>
              <w:spacing w:line="232" w:lineRule="exact"/>
              <w:ind w:left="41" w:right="41"/>
              <w:jc w:val="center"/>
              <w:rPr>
                <w:sz w:val="22"/>
              </w:rPr>
            </w:pPr>
            <w:r>
              <w:rPr>
                <w:spacing w:val="-5"/>
                <w:sz w:val="22"/>
              </w:rPr>
              <w:t>15</w:t>
            </w:r>
          </w:p>
        </w:tc>
        <w:tc>
          <w:tcPr>
            <w:tcW w:w="3218" w:type="dxa"/>
          </w:tcPr>
          <w:p>
            <w:pPr>
              <w:pStyle w:val="TableParagraph"/>
              <w:spacing w:line="232" w:lineRule="exact"/>
              <w:ind w:left="103"/>
              <w:rPr>
                <w:sz w:val="22"/>
              </w:rPr>
            </w:pPr>
            <w:r>
              <w:rPr>
                <w:sz w:val="22"/>
              </w:rPr>
              <w:t>Arkansas</w:t>
            </w:r>
            <w:r>
              <w:rPr>
                <w:spacing w:val="-5"/>
                <w:sz w:val="22"/>
              </w:rPr>
              <w:t xml:space="preserve"> </w:t>
            </w:r>
            <w:r>
              <w:rPr>
                <w:sz w:val="22"/>
              </w:rPr>
              <w:t>and</w:t>
            </w:r>
            <w:r>
              <w:rPr>
                <w:spacing w:val="-5"/>
                <w:sz w:val="22"/>
              </w:rPr>
              <w:t xml:space="preserve"> </w:t>
            </w:r>
            <w:r>
              <w:rPr>
                <w:spacing w:val="-2"/>
                <w:sz w:val="22"/>
              </w:rPr>
              <w:t>Missouri</w:t>
            </w:r>
          </w:p>
        </w:tc>
      </w:tr>
      <w:tr>
        <w:tblPrEx>
          <w:tblW w:w="0" w:type="auto"/>
          <w:jc w:val="left"/>
          <w:tblInd w:w="562" w:type="dxa"/>
          <w:tblLayout w:type="fixed"/>
          <w:tblCellMar>
            <w:top w:w="0" w:type="dxa"/>
            <w:left w:w="0" w:type="dxa"/>
            <w:bottom w:w="0" w:type="dxa"/>
            <w:right w:w="0" w:type="dxa"/>
          </w:tblCellMar>
          <w:tblLook w:val="01E0"/>
        </w:tblPrEx>
        <w:trPr>
          <w:trHeight w:hRule="exact" w:val="254"/>
          <w:jc w:val="left"/>
        </w:trPr>
        <w:tc>
          <w:tcPr>
            <w:tcW w:w="922" w:type="dxa"/>
            <w:vMerge/>
            <w:tcBorders>
              <w:top w:val="nil"/>
            </w:tcBorders>
          </w:tcPr>
          <w:p>
            <w:pPr>
              <w:rPr>
                <w:sz w:val="2"/>
                <w:szCs w:val="2"/>
              </w:rPr>
            </w:pPr>
          </w:p>
        </w:tc>
        <w:tc>
          <w:tcPr>
            <w:tcW w:w="3219" w:type="dxa"/>
            <w:vMerge/>
            <w:tcBorders>
              <w:top w:val="nil"/>
            </w:tcBorders>
          </w:tcPr>
          <w:p>
            <w:pPr>
              <w:rPr>
                <w:sz w:val="2"/>
                <w:szCs w:val="2"/>
              </w:rPr>
            </w:pPr>
          </w:p>
        </w:tc>
        <w:tc>
          <w:tcPr>
            <w:tcW w:w="828" w:type="dxa"/>
            <w:vMerge/>
            <w:tcBorders>
              <w:top w:val="nil"/>
              <w:bottom w:val="nil"/>
            </w:tcBorders>
          </w:tcPr>
          <w:p>
            <w:pPr>
              <w:rPr>
                <w:sz w:val="2"/>
                <w:szCs w:val="2"/>
              </w:rPr>
            </w:pPr>
          </w:p>
        </w:tc>
        <w:tc>
          <w:tcPr>
            <w:tcW w:w="921" w:type="dxa"/>
          </w:tcPr>
          <w:p>
            <w:pPr>
              <w:pStyle w:val="TableParagraph"/>
              <w:spacing w:before="1" w:line="233" w:lineRule="exact"/>
              <w:ind w:left="41" w:right="41"/>
              <w:jc w:val="center"/>
              <w:rPr>
                <w:sz w:val="22"/>
              </w:rPr>
            </w:pPr>
            <w:r>
              <w:rPr>
                <w:spacing w:val="-5"/>
                <w:sz w:val="22"/>
              </w:rPr>
              <w:t>16</w:t>
            </w:r>
          </w:p>
        </w:tc>
        <w:tc>
          <w:tcPr>
            <w:tcW w:w="3218" w:type="dxa"/>
          </w:tcPr>
          <w:p>
            <w:pPr>
              <w:pStyle w:val="TableParagraph"/>
              <w:spacing w:before="1" w:line="233" w:lineRule="exact"/>
              <w:ind w:left="103"/>
              <w:rPr>
                <w:sz w:val="22"/>
              </w:rPr>
            </w:pPr>
            <w:r>
              <w:rPr>
                <w:sz w:val="22"/>
              </w:rPr>
              <w:t>Louisiana</w:t>
            </w:r>
            <w:r>
              <w:rPr>
                <w:spacing w:val="-5"/>
                <w:sz w:val="22"/>
              </w:rPr>
              <w:t xml:space="preserve"> </w:t>
            </w:r>
            <w:r>
              <w:rPr>
                <w:sz w:val="22"/>
              </w:rPr>
              <w:t>and</w:t>
            </w:r>
            <w:r>
              <w:rPr>
                <w:spacing w:val="-5"/>
                <w:sz w:val="22"/>
              </w:rPr>
              <w:t xml:space="preserve"> </w:t>
            </w:r>
            <w:r>
              <w:rPr>
                <w:spacing w:val="-2"/>
                <w:sz w:val="22"/>
              </w:rPr>
              <w:t>Mississippi</w:t>
            </w:r>
          </w:p>
        </w:tc>
      </w:tr>
      <w:tr>
        <w:tblPrEx>
          <w:tblW w:w="0" w:type="auto"/>
          <w:jc w:val="left"/>
          <w:tblInd w:w="562" w:type="dxa"/>
          <w:tblLayout w:type="fixed"/>
          <w:tblCellMar>
            <w:top w:w="0" w:type="dxa"/>
            <w:left w:w="0" w:type="dxa"/>
            <w:bottom w:w="0" w:type="dxa"/>
            <w:right w:w="0" w:type="dxa"/>
          </w:tblCellMar>
          <w:tblLook w:val="01E0"/>
        </w:tblPrEx>
        <w:trPr>
          <w:trHeight w:hRule="exact" w:val="273"/>
          <w:jc w:val="left"/>
        </w:trPr>
        <w:tc>
          <w:tcPr>
            <w:tcW w:w="922" w:type="dxa"/>
            <w:vMerge w:val="restart"/>
          </w:tcPr>
          <w:p>
            <w:pPr>
              <w:pStyle w:val="TableParagraph"/>
              <w:spacing w:before="250"/>
              <w:ind w:left="41" w:right="41"/>
              <w:jc w:val="center"/>
              <w:rPr>
                <w:sz w:val="22"/>
              </w:rPr>
            </w:pPr>
            <w:r>
              <w:rPr>
                <w:spacing w:val="-5"/>
                <w:sz w:val="22"/>
              </w:rPr>
              <w:t>02</w:t>
            </w:r>
          </w:p>
        </w:tc>
        <w:tc>
          <w:tcPr>
            <w:tcW w:w="3219" w:type="dxa"/>
            <w:vMerge w:val="restart"/>
          </w:tcPr>
          <w:p>
            <w:pPr>
              <w:pStyle w:val="TableParagraph"/>
              <w:ind w:left="103" w:right="527"/>
              <w:rPr>
                <w:sz w:val="22"/>
              </w:rPr>
            </w:pPr>
            <w:r>
              <w:rPr>
                <w:sz w:val="22"/>
              </w:rPr>
              <w:t>Central New England (Connecticut,</w:t>
            </w:r>
            <w:r>
              <w:rPr>
                <w:spacing w:val="-14"/>
                <w:sz w:val="22"/>
              </w:rPr>
              <w:t xml:space="preserve"> </w:t>
            </w:r>
            <w:r>
              <w:rPr>
                <w:sz w:val="22"/>
              </w:rPr>
              <w:t>Massachusetts,</w:t>
            </w:r>
          </w:p>
          <w:p>
            <w:pPr>
              <w:pStyle w:val="TableParagraph"/>
              <w:spacing w:line="233" w:lineRule="exact"/>
              <w:ind w:left="103"/>
              <w:rPr>
                <w:sz w:val="22"/>
              </w:rPr>
            </w:pPr>
            <w:r>
              <w:rPr>
                <w:sz w:val="22"/>
              </w:rPr>
              <w:t>Rhode</w:t>
            </w:r>
            <w:r>
              <w:rPr>
                <w:spacing w:val="-2"/>
                <w:sz w:val="22"/>
              </w:rPr>
              <w:t xml:space="preserve"> </w:t>
            </w:r>
            <w:r>
              <w:rPr>
                <w:sz w:val="22"/>
              </w:rPr>
              <w:t>Island,</w:t>
            </w:r>
            <w:r>
              <w:rPr>
                <w:spacing w:val="-1"/>
                <w:sz w:val="22"/>
              </w:rPr>
              <w:t xml:space="preserve"> </w:t>
            </w:r>
            <w:r>
              <w:rPr>
                <w:sz w:val="22"/>
              </w:rPr>
              <w:t>and</w:t>
            </w:r>
            <w:r>
              <w:rPr>
                <w:spacing w:val="-3"/>
                <w:sz w:val="22"/>
              </w:rPr>
              <w:t xml:space="preserve"> </w:t>
            </w:r>
            <w:r>
              <w:rPr>
                <w:spacing w:val="-2"/>
                <w:sz w:val="22"/>
              </w:rPr>
              <w:t>Vermont)</w:t>
            </w:r>
          </w:p>
        </w:tc>
        <w:tc>
          <w:tcPr>
            <w:tcW w:w="828" w:type="dxa"/>
            <w:vMerge/>
            <w:tcBorders>
              <w:top w:val="nil"/>
              <w:bottom w:val="nil"/>
            </w:tcBorders>
          </w:tcPr>
          <w:p>
            <w:pPr>
              <w:rPr>
                <w:sz w:val="2"/>
                <w:szCs w:val="2"/>
              </w:rPr>
            </w:pPr>
          </w:p>
        </w:tc>
        <w:tc>
          <w:tcPr>
            <w:tcW w:w="921" w:type="dxa"/>
          </w:tcPr>
          <w:p>
            <w:pPr>
              <w:pStyle w:val="TableParagraph"/>
              <w:spacing w:line="234" w:lineRule="exact"/>
              <w:ind w:left="41" w:right="41"/>
              <w:jc w:val="center"/>
              <w:rPr>
                <w:sz w:val="22"/>
              </w:rPr>
            </w:pPr>
            <w:r>
              <w:rPr>
                <w:spacing w:val="-5"/>
                <w:sz w:val="22"/>
              </w:rPr>
              <w:t>17</w:t>
            </w:r>
          </w:p>
        </w:tc>
        <w:tc>
          <w:tcPr>
            <w:tcW w:w="3218" w:type="dxa"/>
          </w:tcPr>
          <w:p>
            <w:pPr>
              <w:pStyle w:val="TableParagraph"/>
              <w:spacing w:line="234" w:lineRule="exact"/>
              <w:ind w:left="103"/>
              <w:rPr>
                <w:sz w:val="22"/>
              </w:rPr>
            </w:pPr>
            <w:r>
              <w:rPr>
                <w:spacing w:val="-2"/>
                <w:sz w:val="22"/>
              </w:rPr>
              <w:t>Texas</w:t>
            </w:r>
          </w:p>
        </w:tc>
      </w:tr>
      <w:tr>
        <w:tblPrEx>
          <w:tblW w:w="0" w:type="auto"/>
          <w:jc w:val="left"/>
          <w:tblInd w:w="562" w:type="dxa"/>
          <w:tblLayout w:type="fixed"/>
          <w:tblCellMar>
            <w:top w:w="0" w:type="dxa"/>
            <w:left w:w="0" w:type="dxa"/>
            <w:bottom w:w="0" w:type="dxa"/>
            <w:right w:w="0" w:type="dxa"/>
          </w:tblCellMar>
          <w:tblLook w:val="01E0"/>
        </w:tblPrEx>
        <w:trPr>
          <w:trHeight w:hRule="exact" w:val="261"/>
          <w:jc w:val="left"/>
        </w:trPr>
        <w:tc>
          <w:tcPr>
            <w:tcW w:w="922" w:type="dxa"/>
            <w:vMerge/>
            <w:tcBorders>
              <w:top w:val="nil"/>
            </w:tcBorders>
          </w:tcPr>
          <w:p>
            <w:pPr>
              <w:rPr>
                <w:sz w:val="2"/>
                <w:szCs w:val="2"/>
              </w:rPr>
            </w:pPr>
          </w:p>
        </w:tc>
        <w:tc>
          <w:tcPr>
            <w:tcW w:w="3219" w:type="dxa"/>
            <w:vMerge/>
            <w:tcBorders>
              <w:top w:val="nil"/>
            </w:tcBorders>
          </w:tcPr>
          <w:p>
            <w:pPr>
              <w:rPr>
                <w:sz w:val="2"/>
                <w:szCs w:val="2"/>
              </w:rPr>
            </w:pPr>
          </w:p>
        </w:tc>
        <w:tc>
          <w:tcPr>
            <w:tcW w:w="828" w:type="dxa"/>
            <w:vMerge/>
            <w:tcBorders>
              <w:top w:val="nil"/>
              <w:bottom w:val="nil"/>
            </w:tcBorders>
          </w:tcPr>
          <w:p>
            <w:pPr>
              <w:rPr>
                <w:sz w:val="2"/>
                <w:szCs w:val="2"/>
              </w:rPr>
            </w:pPr>
          </w:p>
        </w:tc>
        <w:tc>
          <w:tcPr>
            <w:tcW w:w="921" w:type="dxa"/>
          </w:tcPr>
          <w:p>
            <w:pPr>
              <w:pStyle w:val="TableParagraph"/>
              <w:spacing w:line="232" w:lineRule="exact"/>
              <w:ind w:left="41" w:right="41"/>
              <w:jc w:val="center"/>
              <w:rPr>
                <w:sz w:val="22"/>
              </w:rPr>
            </w:pPr>
            <w:r>
              <w:rPr>
                <w:spacing w:val="-5"/>
                <w:sz w:val="22"/>
              </w:rPr>
              <w:t>18</w:t>
            </w:r>
          </w:p>
        </w:tc>
        <w:tc>
          <w:tcPr>
            <w:tcW w:w="3218" w:type="dxa"/>
          </w:tcPr>
          <w:p>
            <w:pPr>
              <w:pStyle w:val="TableParagraph"/>
              <w:spacing w:line="232" w:lineRule="exact"/>
              <w:ind w:left="103"/>
              <w:rPr>
                <w:sz w:val="22"/>
              </w:rPr>
            </w:pPr>
            <w:r>
              <w:rPr>
                <w:sz w:val="22"/>
              </w:rPr>
              <w:t>Kansas</w:t>
            </w:r>
            <w:r>
              <w:rPr>
                <w:spacing w:val="-5"/>
                <w:sz w:val="22"/>
              </w:rPr>
              <w:t xml:space="preserve"> </w:t>
            </w:r>
            <w:r>
              <w:rPr>
                <w:sz w:val="22"/>
              </w:rPr>
              <w:t>and</w:t>
            </w:r>
            <w:r>
              <w:rPr>
                <w:spacing w:val="-2"/>
                <w:sz w:val="22"/>
              </w:rPr>
              <w:t xml:space="preserve"> Oklahoma</w:t>
            </w:r>
          </w:p>
        </w:tc>
      </w:tr>
      <w:tr>
        <w:tblPrEx>
          <w:tblW w:w="0" w:type="auto"/>
          <w:jc w:val="left"/>
          <w:tblInd w:w="562" w:type="dxa"/>
          <w:tblLayout w:type="fixed"/>
          <w:tblCellMar>
            <w:top w:w="0" w:type="dxa"/>
            <w:left w:w="0" w:type="dxa"/>
            <w:bottom w:w="0" w:type="dxa"/>
            <w:right w:w="0" w:type="dxa"/>
          </w:tblCellMar>
          <w:tblLook w:val="01E0"/>
        </w:tblPrEx>
        <w:trPr>
          <w:trHeight w:hRule="exact" w:val="232"/>
          <w:jc w:val="left"/>
        </w:trPr>
        <w:tc>
          <w:tcPr>
            <w:tcW w:w="922" w:type="dxa"/>
            <w:vMerge/>
            <w:tcBorders>
              <w:top w:val="nil"/>
            </w:tcBorders>
          </w:tcPr>
          <w:p>
            <w:pPr>
              <w:rPr>
                <w:sz w:val="2"/>
                <w:szCs w:val="2"/>
              </w:rPr>
            </w:pPr>
          </w:p>
        </w:tc>
        <w:tc>
          <w:tcPr>
            <w:tcW w:w="3219" w:type="dxa"/>
            <w:vMerge/>
            <w:tcBorders>
              <w:top w:val="nil"/>
            </w:tcBorders>
          </w:tcPr>
          <w:p>
            <w:pPr>
              <w:rPr>
                <w:sz w:val="2"/>
                <w:szCs w:val="2"/>
              </w:rPr>
            </w:pPr>
          </w:p>
        </w:tc>
        <w:tc>
          <w:tcPr>
            <w:tcW w:w="828" w:type="dxa"/>
            <w:vMerge/>
            <w:tcBorders>
              <w:top w:val="nil"/>
              <w:bottom w:val="nil"/>
            </w:tcBorders>
          </w:tcPr>
          <w:p>
            <w:pPr>
              <w:rPr>
                <w:sz w:val="2"/>
                <w:szCs w:val="2"/>
              </w:rPr>
            </w:pPr>
          </w:p>
        </w:tc>
        <w:tc>
          <w:tcPr>
            <w:tcW w:w="921" w:type="dxa"/>
            <w:vMerge w:val="restart"/>
          </w:tcPr>
          <w:p>
            <w:pPr>
              <w:pStyle w:val="TableParagraph"/>
              <w:spacing w:before="251"/>
              <w:rPr>
                <w:sz w:val="22"/>
              </w:rPr>
            </w:pPr>
          </w:p>
          <w:p>
            <w:pPr>
              <w:pStyle w:val="TableParagraph"/>
              <w:spacing w:before="1"/>
              <w:ind w:left="41" w:right="41"/>
              <w:jc w:val="center"/>
              <w:rPr>
                <w:sz w:val="22"/>
              </w:rPr>
            </w:pPr>
            <w:r>
              <w:rPr>
                <w:spacing w:val="-5"/>
                <w:sz w:val="22"/>
              </w:rPr>
              <w:t>19</w:t>
            </w:r>
          </w:p>
        </w:tc>
        <w:tc>
          <w:tcPr>
            <w:tcW w:w="3218" w:type="dxa"/>
            <w:vMerge w:val="restart"/>
          </w:tcPr>
          <w:p>
            <w:pPr>
              <w:pStyle w:val="TableParagraph"/>
              <w:ind w:left="103" w:right="88"/>
              <w:rPr>
                <w:sz w:val="22"/>
              </w:rPr>
            </w:pPr>
            <w:r>
              <w:rPr>
                <w:sz w:val="22"/>
              </w:rPr>
              <w:t>Upper</w:t>
            </w:r>
            <w:r>
              <w:rPr>
                <w:spacing w:val="-12"/>
                <w:sz w:val="22"/>
              </w:rPr>
              <w:t xml:space="preserve"> </w:t>
            </w:r>
            <w:r>
              <w:rPr>
                <w:sz w:val="22"/>
              </w:rPr>
              <w:t>Midwest</w:t>
            </w:r>
            <w:r>
              <w:rPr>
                <w:spacing w:val="-14"/>
                <w:sz w:val="22"/>
              </w:rPr>
              <w:t xml:space="preserve"> </w:t>
            </w:r>
            <w:r>
              <w:rPr>
                <w:sz w:val="22"/>
              </w:rPr>
              <w:t>and</w:t>
            </w:r>
            <w:r>
              <w:rPr>
                <w:spacing w:val="-13"/>
                <w:sz w:val="22"/>
              </w:rPr>
              <w:t xml:space="preserve"> </w:t>
            </w:r>
            <w:r>
              <w:rPr>
                <w:sz w:val="22"/>
              </w:rPr>
              <w:t>Northern Plains (Iowa, Minnesota, Montana, Nebraska, North</w:t>
            </w:r>
          </w:p>
          <w:p>
            <w:pPr>
              <w:pStyle w:val="TableParagraph"/>
              <w:spacing w:line="252" w:lineRule="exact"/>
              <w:ind w:left="103" w:right="88"/>
              <w:rPr>
                <w:sz w:val="22"/>
              </w:rPr>
            </w:pPr>
            <w:r>
              <w:rPr>
                <w:sz w:val="22"/>
              </w:rPr>
              <w:t>Dakota,</w:t>
            </w:r>
            <w:r>
              <w:rPr>
                <w:spacing w:val="-13"/>
                <w:sz w:val="22"/>
              </w:rPr>
              <w:t xml:space="preserve"> </w:t>
            </w:r>
            <w:r>
              <w:rPr>
                <w:sz w:val="22"/>
              </w:rPr>
              <w:t>South</w:t>
            </w:r>
            <w:r>
              <w:rPr>
                <w:spacing w:val="-14"/>
                <w:sz w:val="22"/>
              </w:rPr>
              <w:t xml:space="preserve"> </w:t>
            </w:r>
            <w:r>
              <w:rPr>
                <w:sz w:val="22"/>
              </w:rPr>
              <w:t>Dakota,</w:t>
            </w:r>
            <w:r>
              <w:rPr>
                <w:spacing w:val="-12"/>
                <w:sz w:val="22"/>
              </w:rPr>
              <w:t xml:space="preserve"> </w:t>
            </w:r>
            <w:r>
              <w:rPr>
                <w:sz w:val="22"/>
              </w:rPr>
              <w:t xml:space="preserve">and </w:t>
            </w:r>
            <w:r>
              <w:rPr>
                <w:spacing w:val="-2"/>
                <w:sz w:val="22"/>
              </w:rPr>
              <w:t>Wyoming)</w:t>
            </w:r>
          </w:p>
        </w:tc>
      </w:tr>
      <w:tr>
        <w:tblPrEx>
          <w:tblW w:w="0" w:type="auto"/>
          <w:jc w:val="left"/>
          <w:tblInd w:w="562" w:type="dxa"/>
          <w:tblLayout w:type="fixed"/>
          <w:tblCellMar>
            <w:top w:w="0" w:type="dxa"/>
            <w:left w:w="0" w:type="dxa"/>
            <w:bottom w:w="0" w:type="dxa"/>
            <w:right w:w="0" w:type="dxa"/>
          </w:tblCellMar>
          <w:tblLook w:val="01E0"/>
        </w:tblPrEx>
        <w:trPr>
          <w:trHeight w:hRule="exact" w:val="263"/>
          <w:jc w:val="left"/>
        </w:trPr>
        <w:tc>
          <w:tcPr>
            <w:tcW w:w="922" w:type="dxa"/>
          </w:tcPr>
          <w:p>
            <w:pPr>
              <w:pStyle w:val="TableParagraph"/>
              <w:spacing w:line="234" w:lineRule="exact"/>
              <w:ind w:left="41" w:right="41"/>
              <w:jc w:val="center"/>
              <w:rPr>
                <w:sz w:val="22"/>
              </w:rPr>
            </w:pPr>
            <w:r>
              <w:rPr>
                <w:spacing w:val="-5"/>
                <w:sz w:val="22"/>
              </w:rPr>
              <w:t>03</w:t>
            </w:r>
          </w:p>
        </w:tc>
        <w:tc>
          <w:tcPr>
            <w:tcW w:w="3219" w:type="dxa"/>
          </w:tcPr>
          <w:p>
            <w:pPr>
              <w:pStyle w:val="TableParagraph"/>
              <w:spacing w:line="234" w:lineRule="exact"/>
              <w:ind w:left="103"/>
              <w:rPr>
                <w:sz w:val="22"/>
              </w:rPr>
            </w:pPr>
            <w:r>
              <w:rPr>
                <w:sz w:val="22"/>
              </w:rPr>
              <w:t>New</w:t>
            </w:r>
            <w:r>
              <w:rPr>
                <w:spacing w:val="-3"/>
                <w:sz w:val="22"/>
              </w:rPr>
              <w:t xml:space="preserve"> </w:t>
            </w:r>
            <w:r>
              <w:rPr>
                <w:spacing w:val="-4"/>
                <w:sz w:val="22"/>
              </w:rPr>
              <w:t>York</w:t>
            </w:r>
          </w:p>
        </w:tc>
        <w:tc>
          <w:tcPr>
            <w:tcW w:w="828" w:type="dxa"/>
            <w:vMerge/>
            <w:tcBorders>
              <w:top w:val="nil"/>
              <w:bottom w:val="nil"/>
            </w:tcBorders>
          </w:tcPr>
          <w:p>
            <w:pPr>
              <w:rPr>
                <w:sz w:val="2"/>
                <w:szCs w:val="2"/>
              </w:rPr>
            </w:pPr>
          </w:p>
        </w:tc>
        <w:tc>
          <w:tcPr>
            <w:tcW w:w="921" w:type="dxa"/>
            <w:vMerge/>
            <w:tcBorders>
              <w:top w:val="nil"/>
            </w:tcBorders>
          </w:tcPr>
          <w:p>
            <w:pPr>
              <w:rPr>
                <w:sz w:val="2"/>
                <w:szCs w:val="2"/>
              </w:rPr>
            </w:pPr>
          </w:p>
        </w:tc>
        <w:tc>
          <w:tcPr>
            <w:tcW w:w="3218" w:type="dxa"/>
            <w:vMerge/>
            <w:tcBorders>
              <w:top w:val="nil"/>
            </w:tcBorders>
          </w:tcPr>
          <w:p>
            <w:pPr>
              <w:rPr>
                <w:sz w:val="2"/>
                <w:szCs w:val="2"/>
              </w:rPr>
            </w:pPr>
          </w:p>
        </w:tc>
      </w:tr>
      <w:tr>
        <w:tblPrEx>
          <w:tblW w:w="0" w:type="auto"/>
          <w:jc w:val="left"/>
          <w:tblInd w:w="562" w:type="dxa"/>
          <w:tblLayout w:type="fixed"/>
          <w:tblCellMar>
            <w:top w:w="0" w:type="dxa"/>
            <w:left w:w="0" w:type="dxa"/>
            <w:bottom w:w="0" w:type="dxa"/>
            <w:right w:w="0" w:type="dxa"/>
          </w:tblCellMar>
          <w:tblLook w:val="01E0"/>
        </w:tblPrEx>
        <w:trPr>
          <w:trHeight w:hRule="exact" w:val="261"/>
          <w:jc w:val="left"/>
        </w:trPr>
        <w:tc>
          <w:tcPr>
            <w:tcW w:w="922" w:type="dxa"/>
          </w:tcPr>
          <w:p>
            <w:pPr>
              <w:pStyle w:val="TableParagraph"/>
              <w:spacing w:line="232" w:lineRule="exact"/>
              <w:ind w:left="41" w:right="41"/>
              <w:jc w:val="center"/>
              <w:rPr>
                <w:sz w:val="22"/>
              </w:rPr>
            </w:pPr>
            <w:r>
              <w:rPr>
                <w:spacing w:val="-5"/>
                <w:sz w:val="22"/>
              </w:rPr>
              <w:t>04</w:t>
            </w:r>
          </w:p>
        </w:tc>
        <w:tc>
          <w:tcPr>
            <w:tcW w:w="3219" w:type="dxa"/>
          </w:tcPr>
          <w:p>
            <w:pPr>
              <w:pStyle w:val="TableParagraph"/>
              <w:spacing w:line="232" w:lineRule="exact"/>
              <w:ind w:left="103"/>
              <w:rPr>
                <w:sz w:val="22"/>
              </w:rPr>
            </w:pPr>
            <w:r>
              <w:rPr>
                <w:sz w:val="22"/>
              </w:rPr>
              <w:t>New</w:t>
            </w:r>
            <w:r>
              <w:rPr>
                <w:spacing w:val="-3"/>
                <w:sz w:val="22"/>
              </w:rPr>
              <w:t xml:space="preserve"> </w:t>
            </w:r>
            <w:r>
              <w:rPr>
                <w:spacing w:val="-2"/>
                <w:sz w:val="22"/>
              </w:rPr>
              <w:t>Jersey</w:t>
            </w:r>
          </w:p>
        </w:tc>
        <w:tc>
          <w:tcPr>
            <w:tcW w:w="828" w:type="dxa"/>
            <w:vMerge/>
            <w:tcBorders>
              <w:top w:val="nil"/>
              <w:bottom w:val="nil"/>
            </w:tcBorders>
          </w:tcPr>
          <w:p>
            <w:pPr>
              <w:rPr>
                <w:sz w:val="2"/>
                <w:szCs w:val="2"/>
              </w:rPr>
            </w:pPr>
          </w:p>
        </w:tc>
        <w:tc>
          <w:tcPr>
            <w:tcW w:w="921" w:type="dxa"/>
            <w:vMerge/>
            <w:tcBorders>
              <w:top w:val="nil"/>
            </w:tcBorders>
          </w:tcPr>
          <w:p>
            <w:pPr>
              <w:rPr>
                <w:sz w:val="2"/>
                <w:szCs w:val="2"/>
              </w:rPr>
            </w:pPr>
          </w:p>
        </w:tc>
        <w:tc>
          <w:tcPr>
            <w:tcW w:w="3218" w:type="dxa"/>
            <w:vMerge/>
            <w:tcBorders>
              <w:top w:val="nil"/>
            </w:tcBorders>
          </w:tcPr>
          <w:p>
            <w:pPr>
              <w:rPr>
                <w:sz w:val="2"/>
                <w:szCs w:val="2"/>
              </w:rPr>
            </w:pPr>
          </w:p>
        </w:tc>
      </w:tr>
      <w:tr>
        <w:tblPrEx>
          <w:tblW w:w="0" w:type="auto"/>
          <w:jc w:val="left"/>
          <w:tblInd w:w="562" w:type="dxa"/>
          <w:tblLayout w:type="fixed"/>
          <w:tblCellMar>
            <w:top w:w="0" w:type="dxa"/>
            <w:left w:w="0" w:type="dxa"/>
            <w:bottom w:w="0" w:type="dxa"/>
            <w:right w:w="0" w:type="dxa"/>
          </w:tblCellMar>
          <w:tblLook w:val="01E0"/>
        </w:tblPrEx>
        <w:trPr>
          <w:trHeight w:hRule="exact" w:val="516"/>
          <w:jc w:val="left"/>
        </w:trPr>
        <w:tc>
          <w:tcPr>
            <w:tcW w:w="922" w:type="dxa"/>
          </w:tcPr>
          <w:p>
            <w:pPr>
              <w:pStyle w:val="TableParagraph"/>
              <w:spacing w:before="125"/>
              <w:ind w:left="41" w:right="41"/>
              <w:jc w:val="center"/>
              <w:rPr>
                <w:sz w:val="22"/>
              </w:rPr>
            </w:pPr>
            <w:r>
              <w:rPr>
                <w:spacing w:val="-5"/>
                <w:sz w:val="22"/>
              </w:rPr>
              <w:t>05</w:t>
            </w:r>
          </w:p>
        </w:tc>
        <w:tc>
          <w:tcPr>
            <w:tcW w:w="3219" w:type="dxa"/>
          </w:tcPr>
          <w:p>
            <w:pPr>
              <w:pStyle w:val="TableParagraph"/>
              <w:spacing w:line="252" w:lineRule="exact"/>
              <w:ind w:left="103" w:right="81"/>
              <w:rPr>
                <w:sz w:val="22"/>
              </w:rPr>
            </w:pPr>
            <w:r>
              <w:rPr>
                <w:sz w:val="22"/>
              </w:rPr>
              <w:t>Mid-Atlantic</w:t>
            </w:r>
            <w:r>
              <w:rPr>
                <w:spacing w:val="-14"/>
                <w:sz w:val="22"/>
              </w:rPr>
              <w:t xml:space="preserve"> </w:t>
            </w:r>
            <w:r>
              <w:rPr>
                <w:sz w:val="22"/>
              </w:rPr>
              <w:t>(Delaware,</w:t>
            </w:r>
            <w:r>
              <w:rPr>
                <w:spacing w:val="-14"/>
                <w:sz w:val="22"/>
              </w:rPr>
              <w:t xml:space="preserve"> </w:t>
            </w:r>
            <w:r>
              <w:rPr>
                <w:sz w:val="22"/>
              </w:rPr>
              <w:t>District of Columbia, and Maryland)</w:t>
            </w:r>
          </w:p>
        </w:tc>
        <w:tc>
          <w:tcPr>
            <w:tcW w:w="828" w:type="dxa"/>
            <w:vMerge/>
            <w:tcBorders>
              <w:top w:val="nil"/>
              <w:bottom w:val="nil"/>
            </w:tcBorders>
          </w:tcPr>
          <w:p>
            <w:pPr>
              <w:rPr>
                <w:sz w:val="2"/>
                <w:szCs w:val="2"/>
              </w:rPr>
            </w:pPr>
          </w:p>
        </w:tc>
        <w:tc>
          <w:tcPr>
            <w:tcW w:w="921" w:type="dxa"/>
            <w:vMerge/>
            <w:tcBorders>
              <w:top w:val="nil"/>
            </w:tcBorders>
          </w:tcPr>
          <w:p>
            <w:pPr>
              <w:rPr>
                <w:sz w:val="2"/>
                <w:szCs w:val="2"/>
              </w:rPr>
            </w:pPr>
          </w:p>
        </w:tc>
        <w:tc>
          <w:tcPr>
            <w:tcW w:w="3218" w:type="dxa"/>
            <w:vMerge/>
            <w:tcBorders>
              <w:top w:val="nil"/>
            </w:tcBorders>
          </w:tcPr>
          <w:p>
            <w:pPr>
              <w:rPr>
                <w:sz w:val="2"/>
                <w:szCs w:val="2"/>
              </w:rPr>
            </w:pPr>
          </w:p>
        </w:tc>
      </w:tr>
      <w:tr>
        <w:tblPrEx>
          <w:tblW w:w="0" w:type="auto"/>
          <w:jc w:val="left"/>
          <w:tblInd w:w="562" w:type="dxa"/>
          <w:tblLayout w:type="fixed"/>
          <w:tblCellMar>
            <w:top w:w="0" w:type="dxa"/>
            <w:left w:w="0" w:type="dxa"/>
            <w:bottom w:w="0" w:type="dxa"/>
            <w:right w:w="0" w:type="dxa"/>
          </w:tblCellMar>
          <w:tblLook w:val="01E0"/>
        </w:tblPrEx>
        <w:trPr>
          <w:trHeight w:hRule="exact" w:val="263"/>
          <w:jc w:val="left"/>
        </w:trPr>
        <w:tc>
          <w:tcPr>
            <w:tcW w:w="922" w:type="dxa"/>
          </w:tcPr>
          <w:p>
            <w:pPr>
              <w:pStyle w:val="TableParagraph"/>
              <w:spacing w:before="1" w:line="233" w:lineRule="exact"/>
              <w:ind w:left="41" w:right="41"/>
              <w:jc w:val="center"/>
              <w:rPr>
                <w:sz w:val="22"/>
              </w:rPr>
            </w:pPr>
            <w:r>
              <w:rPr>
                <w:spacing w:val="-5"/>
                <w:sz w:val="22"/>
              </w:rPr>
              <w:t>06</w:t>
            </w:r>
          </w:p>
        </w:tc>
        <w:tc>
          <w:tcPr>
            <w:tcW w:w="3219" w:type="dxa"/>
          </w:tcPr>
          <w:p>
            <w:pPr>
              <w:pStyle w:val="TableParagraph"/>
              <w:spacing w:before="1" w:line="233" w:lineRule="exact"/>
              <w:ind w:left="103"/>
              <w:rPr>
                <w:sz w:val="22"/>
              </w:rPr>
            </w:pPr>
            <w:r>
              <w:rPr>
                <w:sz w:val="22"/>
              </w:rPr>
              <w:t>Pennsylvania</w:t>
            </w:r>
            <w:r>
              <w:rPr>
                <w:spacing w:val="-5"/>
                <w:sz w:val="22"/>
              </w:rPr>
              <w:t xml:space="preserve"> </w:t>
            </w:r>
            <w:r>
              <w:rPr>
                <w:sz w:val="22"/>
              </w:rPr>
              <w:t>and</w:t>
            </w:r>
            <w:r>
              <w:rPr>
                <w:spacing w:val="-3"/>
                <w:sz w:val="22"/>
              </w:rPr>
              <w:t xml:space="preserve"> </w:t>
            </w:r>
            <w:r>
              <w:rPr>
                <w:sz w:val="22"/>
              </w:rPr>
              <w:t>West</w:t>
            </w:r>
            <w:r>
              <w:rPr>
                <w:spacing w:val="-2"/>
                <w:sz w:val="22"/>
              </w:rPr>
              <w:t xml:space="preserve"> Virginia</w:t>
            </w:r>
          </w:p>
        </w:tc>
        <w:tc>
          <w:tcPr>
            <w:tcW w:w="828" w:type="dxa"/>
            <w:vMerge/>
            <w:tcBorders>
              <w:top w:val="nil"/>
              <w:bottom w:val="nil"/>
            </w:tcBorders>
          </w:tcPr>
          <w:p>
            <w:pPr>
              <w:rPr>
                <w:sz w:val="2"/>
                <w:szCs w:val="2"/>
              </w:rPr>
            </w:pPr>
          </w:p>
        </w:tc>
        <w:tc>
          <w:tcPr>
            <w:tcW w:w="921" w:type="dxa"/>
          </w:tcPr>
          <w:p>
            <w:pPr>
              <w:pStyle w:val="TableParagraph"/>
              <w:spacing w:before="1" w:line="233" w:lineRule="exact"/>
              <w:ind w:left="41" w:right="41"/>
              <w:jc w:val="center"/>
              <w:rPr>
                <w:sz w:val="22"/>
              </w:rPr>
            </w:pPr>
            <w:r>
              <w:rPr>
                <w:spacing w:val="-5"/>
                <w:sz w:val="22"/>
              </w:rPr>
              <w:t>20</w:t>
            </w:r>
          </w:p>
        </w:tc>
        <w:tc>
          <w:tcPr>
            <w:tcW w:w="3218" w:type="dxa"/>
          </w:tcPr>
          <w:p>
            <w:pPr>
              <w:pStyle w:val="TableParagraph"/>
              <w:spacing w:before="1" w:line="233" w:lineRule="exact"/>
              <w:ind w:left="103"/>
              <w:rPr>
                <w:sz w:val="22"/>
              </w:rPr>
            </w:pPr>
            <w:r>
              <w:rPr>
                <w:sz w:val="22"/>
              </w:rPr>
              <w:t>Colorado</w:t>
            </w:r>
            <w:r>
              <w:rPr>
                <w:spacing w:val="-3"/>
                <w:sz w:val="22"/>
              </w:rPr>
              <w:t xml:space="preserve"> </w:t>
            </w:r>
            <w:r>
              <w:rPr>
                <w:sz w:val="22"/>
              </w:rPr>
              <w:t>and</w:t>
            </w:r>
            <w:r>
              <w:rPr>
                <w:spacing w:val="-3"/>
                <w:sz w:val="22"/>
              </w:rPr>
              <w:t xml:space="preserve"> </w:t>
            </w:r>
            <w:r>
              <w:rPr>
                <w:sz w:val="22"/>
              </w:rPr>
              <w:t>New</w:t>
            </w:r>
            <w:r>
              <w:rPr>
                <w:spacing w:val="-2"/>
                <w:sz w:val="22"/>
              </w:rPr>
              <w:t xml:space="preserve"> Mexico</w:t>
            </w:r>
          </w:p>
        </w:tc>
      </w:tr>
      <w:tr>
        <w:tblPrEx>
          <w:tblW w:w="0" w:type="auto"/>
          <w:jc w:val="left"/>
          <w:tblInd w:w="562" w:type="dxa"/>
          <w:tblLayout w:type="fixed"/>
          <w:tblCellMar>
            <w:top w:w="0" w:type="dxa"/>
            <w:left w:w="0" w:type="dxa"/>
            <w:bottom w:w="0" w:type="dxa"/>
            <w:right w:w="0" w:type="dxa"/>
          </w:tblCellMar>
          <w:tblLook w:val="01E0"/>
        </w:tblPrEx>
        <w:trPr>
          <w:trHeight w:hRule="exact" w:val="263"/>
          <w:jc w:val="left"/>
        </w:trPr>
        <w:tc>
          <w:tcPr>
            <w:tcW w:w="922" w:type="dxa"/>
          </w:tcPr>
          <w:p>
            <w:pPr>
              <w:pStyle w:val="TableParagraph"/>
              <w:spacing w:line="234" w:lineRule="exact"/>
              <w:ind w:left="41" w:right="41"/>
              <w:jc w:val="center"/>
              <w:rPr>
                <w:sz w:val="22"/>
              </w:rPr>
            </w:pPr>
            <w:r>
              <w:rPr>
                <w:spacing w:val="-5"/>
                <w:sz w:val="22"/>
              </w:rPr>
              <w:t>07</w:t>
            </w:r>
          </w:p>
        </w:tc>
        <w:tc>
          <w:tcPr>
            <w:tcW w:w="3219" w:type="dxa"/>
          </w:tcPr>
          <w:p>
            <w:pPr>
              <w:pStyle w:val="TableParagraph"/>
              <w:spacing w:line="234" w:lineRule="exact"/>
              <w:ind w:left="103"/>
              <w:rPr>
                <w:sz w:val="22"/>
              </w:rPr>
            </w:pPr>
            <w:r>
              <w:rPr>
                <w:sz w:val="22"/>
              </w:rPr>
              <w:t>North</w:t>
            </w:r>
            <w:r>
              <w:rPr>
                <w:spacing w:val="-4"/>
                <w:sz w:val="22"/>
              </w:rPr>
              <w:t xml:space="preserve"> </w:t>
            </w:r>
            <w:r>
              <w:rPr>
                <w:sz w:val="22"/>
              </w:rPr>
              <w:t>Carolina</w:t>
            </w:r>
            <w:r>
              <w:rPr>
                <w:spacing w:val="-4"/>
                <w:sz w:val="22"/>
              </w:rPr>
              <w:t xml:space="preserve"> </w:t>
            </w:r>
            <w:r>
              <w:rPr>
                <w:sz w:val="22"/>
              </w:rPr>
              <w:t>and</w:t>
            </w:r>
            <w:r>
              <w:rPr>
                <w:spacing w:val="-3"/>
                <w:sz w:val="22"/>
              </w:rPr>
              <w:t xml:space="preserve"> </w:t>
            </w:r>
            <w:r>
              <w:rPr>
                <w:spacing w:val="-2"/>
                <w:sz w:val="22"/>
              </w:rPr>
              <w:t>Virginia</w:t>
            </w:r>
          </w:p>
        </w:tc>
        <w:tc>
          <w:tcPr>
            <w:tcW w:w="828" w:type="dxa"/>
            <w:vMerge/>
            <w:tcBorders>
              <w:top w:val="nil"/>
              <w:bottom w:val="nil"/>
            </w:tcBorders>
          </w:tcPr>
          <w:p>
            <w:pPr>
              <w:rPr>
                <w:sz w:val="2"/>
                <w:szCs w:val="2"/>
              </w:rPr>
            </w:pPr>
          </w:p>
        </w:tc>
        <w:tc>
          <w:tcPr>
            <w:tcW w:w="921" w:type="dxa"/>
          </w:tcPr>
          <w:p>
            <w:pPr>
              <w:pStyle w:val="TableParagraph"/>
              <w:spacing w:line="234" w:lineRule="exact"/>
              <w:ind w:left="41" w:right="41"/>
              <w:jc w:val="center"/>
              <w:rPr>
                <w:sz w:val="22"/>
              </w:rPr>
            </w:pPr>
            <w:r>
              <w:rPr>
                <w:spacing w:val="-5"/>
                <w:sz w:val="22"/>
              </w:rPr>
              <w:t>21</w:t>
            </w:r>
          </w:p>
        </w:tc>
        <w:tc>
          <w:tcPr>
            <w:tcW w:w="3218" w:type="dxa"/>
          </w:tcPr>
          <w:p>
            <w:pPr>
              <w:pStyle w:val="TableParagraph"/>
              <w:spacing w:line="234" w:lineRule="exact"/>
              <w:ind w:left="103"/>
              <w:rPr>
                <w:sz w:val="22"/>
              </w:rPr>
            </w:pPr>
            <w:r>
              <w:rPr>
                <w:spacing w:val="-2"/>
                <w:sz w:val="22"/>
              </w:rPr>
              <w:t>Arizona</w:t>
            </w:r>
          </w:p>
        </w:tc>
      </w:tr>
      <w:tr>
        <w:tblPrEx>
          <w:tblW w:w="0" w:type="auto"/>
          <w:jc w:val="left"/>
          <w:tblInd w:w="562" w:type="dxa"/>
          <w:tblLayout w:type="fixed"/>
          <w:tblCellMar>
            <w:top w:w="0" w:type="dxa"/>
            <w:left w:w="0" w:type="dxa"/>
            <w:bottom w:w="0" w:type="dxa"/>
            <w:right w:w="0" w:type="dxa"/>
          </w:tblCellMar>
          <w:tblLook w:val="01E0"/>
        </w:tblPrEx>
        <w:trPr>
          <w:trHeight w:hRule="exact" w:val="261"/>
          <w:jc w:val="left"/>
        </w:trPr>
        <w:tc>
          <w:tcPr>
            <w:tcW w:w="922" w:type="dxa"/>
          </w:tcPr>
          <w:p>
            <w:pPr>
              <w:pStyle w:val="TableParagraph"/>
              <w:spacing w:line="232" w:lineRule="exact"/>
              <w:ind w:left="41" w:right="41"/>
              <w:jc w:val="center"/>
              <w:rPr>
                <w:sz w:val="22"/>
              </w:rPr>
            </w:pPr>
            <w:r>
              <w:rPr>
                <w:spacing w:val="-5"/>
                <w:sz w:val="22"/>
              </w:rPr>
              <w:t>08</w:t>
            </w:r>
          </w:p>
        </w:tc>
        <w:tc>
          <w:tcPr>
            <w:tcW w:w="3219" w:type="dxa"/>
          </w:tcPr>
          <w:p>
            <w:pPr>
              <w:pStyle w:val="TableParagraph"/>
              <w:spacing w:line="232" w:lineRule="exact"/>
              <w:ind w:left="103"/>
              <w:rPr>
                <w:sz w:val="22"/>
              </w:rPr>
            </w:pPr>
            <w:r>
              <w:rPr>
                <w:sz w:val="22"/>
              </w:rPr>
              <w:t>Georgia</w:t>
            </w:r>
            <w:r>
              <w:rPr>
                <w:spacing w:val="-2"/>
                <w:sz w:val="22"/>
              </w:rPr>
              <w:t xml:space="preserve"> </w:t>
            </w:r>
            <w:r>
              <w:rPr>
                <w:sz w:val="22"/>
              </w:rPr>
              <w:t>and</w:t>
            </w:r>
            <w:r>
              <w:rPr>
                <w:spacing w:val="-5"/>
                <w:sz w:val="22"/>
              </w:rPr>
              <w:t xml:space="preserve"> </w:t>
            </w:r>
            <w:r>
              <w:rPr>
                <w:sz w:val="22"/>
              </w:rPr>
              <w:t>South</w:t>
            </w:r>
            <w:r>
              <w:rPr>
                <w:spacing w:val="-1"/>
                <w:sz w:val="22"/>
              </w:rPr>
              <w:t xml:space="preserve"> </w:t>
            </w:r>
            <w:r>
              <w:rPr>
                <w:spacing w:val="-2"/>
                <w:sz w:val="22"/>
              </w:rPr>
              <w:t>Carolina</w:t>
            </w:r>
          </w:p>
        </w:tc>
        <w:tc>
          <w:tcPr>
            <w:tcW w:w="828" w:type="dxa"/>
            <w:vMerge/>
            <w:tcBorders>
              <w:top w:val="nil"/>
              <w:bottom w:val="nil"/>
            </w:tcBorders>
          </w:tcPr>
          <w:p>
            <w:pPr>
              <w:rPr>
                <w:sz w:val="2"/>
                <w:szCs w:val="2"/>
              </w:rPr>
            </w:pPr>
          </w:p>
        </w:tc>
        <w:tc>
          <w:tcPr>
            <w:tcW w:w="921" w:type="dxa"/>
          </w:tcPr>
          <w:p>
            <w:pPr>
              <w:pStyle w:val="TableParagraph"/>
              <w:spacing w:line="232" w:lineRule="exact"/>
              <w:ind w:left="41" w:right="41"/>
              <w:jc w:val="center"/>
              <w:rPr>
                <w:sz w:val="22"/>
              </w:rPr>
            </w:pPr>
            <w:r>
              <w:rPr>
                <w:spacing w:val="-5"/>
                <w:sz w:val="22"/>
              </w:rPr>
              <w:t>22</w:t>
            </w:r>
          </w:p>
        </w:tc>
        <w:tc>
          <w:tcPr>
            <w:tcW w:w="3218" w:type="dxa"/>
          </w:tcPr>
          <w:p>
            <w:pPr>
              <w:pStyle w:val="TableParagraph"/>
              <w:spacing w:line="232" w:lineRule="exact"/>
              <w:ind w:left="103"/>
              <w:rPr>
                <w:sz w:val="22"/>
              </w:rPr>
            </w:pPr>
            <w:r>
              <w:rPr>
                <w:spacing w:val="-2"/>
                <w:sz w:val="22"/>
              </w:rPr>
              <w:t>Nevada</w:t>
            </w:r>
          </w:p>
        </w:tc>
      </w:tr>
      <w:tr>
        <w:tblPrEx>
          <w:tblW w:w="0" w:type="auto"/>
          <w:jc w:val="left"/>
          <w:tblInd w:w="562" w:type="dxa"/>
          <w:tblLayout w:type="fixed"/>
          <w:tblCellMar>
            <w:top w:w="0" w:type="dxa"/>
            <w:left w:w="0" w:type="dxa"/>
            <w:bottom w:w="0" w:type="dxa"/>
            <w:right w:w="0" w:type="dxa"/>
          </w:tblCellMar>
          <w:tblLook w:val="01E0"/>
        </w:tblPrEx>
        <w:trPr>
          <w:trHeight w:hRule="exact" w:val="264"/>
          <w:jc w:val="left"/>
        </w:trPr>
        <w:tc>
          <w:tcPr>
            <w:tcW w:w="922" w:type="dxa"/>
          </w:tcPr>
          <w:p>
            <w:pPr>
              <w:pStyle w:val="TableParagraph"/>
              <w:spacing w:line="235" w:lineRule="exact"/>
              <w:ind w:left="41" w:right="41"/>
              <w:jc w:val="center"/>
              <w:rPr>
                <w:sz w:val="22"/>
              </w:rPr>
            </w:pPr>
            <w:r>
              <w:rPr>
                <w:spacing w:val="-5"/>
                <w:sz w:val="22"/>
              </w:rPr>
              <w:t>09</w:t>
            </w:r>
          </w:p>
        </w:tc>
        <w:tc>
          <w:tcPr>
            <w:tcW w:w="3219" w:type="dxa"/>
          </w:tcPr>
          <w:p>
            <w:pPr>
              <w:pStyle w:val="TableParagraph"/>
              <w:spacing w:line="235" w:lineRule="exact"/>
              <w:ind w:left="103"/>
              <w:rPr>
                <w:sz w:val="22"/>
              </w:rPr>
            </w:pPr>
            <w:r>
              <w:rPr>
                <w:spacing w:val="-2"/>
                <w:sz w:val="22"/>
              </w:rPr>
              <w:t>Florida</w:t>
            </w:r>
          </w:p>
        </w:tc>
        <w:tc>
          <w:tcPr>
            <w:tcW w:w="828" w:type="dxa"/>
            <w:vMerge/>
            <w:tcBorders>
              <w:top w:val="nil"/>
              <w:bottom w:val="nil"/>
            </w:tcBorders>
          </w:tcPr>
          <w:p>
            <w:pPr>
              <w:rPr>
                <w:sz w:val="2"/>
                <w:szCs w:val="2"/>
              </w:rPr>
            </w:pPr>
          </w:p>
        </w:tc>
        <w:tc>
          <w:tcPr>
            <w:tcW w:w="921" w:type="dxa"/>
            <w:vMerge w:val="restart"/>
          </w:tcPr>
          <w:p>
            <w:pPr>
              <w:pStyle w:val="TableParagraph"/>
              <w:spacing w:before="126"/>
              <w:ind w:left="41" w:right="41"/>
              <w:jc w:val="center"/>
              <w:rPr>
                <w:sz w:val="22"/>
              </w:rPr>
            </w:pPr>
            <w:r>
              <w:rPr>
                <w:spacing w:val="-5"/>
                <w:sz w:val="22"/>
              </w:rPr>
              <w:t>23</w:t>
            </w:r>
          </w:p>
        </w:tc>
        <w:tc>
          <w:tcPr>
            <w:tcW w:w="3218" w:type="dxa"/>
            <w:vMerge w:val="restart"/>
          </w:tcPr>
          <w:p>
            <w:pPr>
              <w:pStyle w:val="TableParagraph"/>
              <w:spacing w:line="254" w:lineRule="exact"/>
              <w:ind w:left="103" w:right="88"/>
              <w:rPr>
                <w:sz w:val="22"/>
              </w:rPr>
            </w:pPr>
            <w:r>
              <w:rPr>
                <w:sz w:val="22"/>
              </w:rPr>
              <w:t>Northwest</w:t>
            </w:r>
            <w:r>
              <w:rPr>
                <w:spacing w:val="-13"/>
                <w:sz w:val="22"/>
              </w:rPr>
              <w:t xml:space="preserve"> </w:t>
            </w:r>
            <w:r>
              <w:rPr>
                <w:sz w:val="22"/>
              </w:rPr>
              <w:t>(Idaho,</w:t>
            </w:r>
            <w:r>
              <w:rPr>
                <w:spacing w:val="-12"/>
                <w:sz w:val="22"/>
              </w:rPr>
              <w:t xml:space="preserve"> </w:t>
            </w:r>
            <w:r>
              <w:rPr>
                <w:sz w:val="22"/>
              </w:rPr>
              <w:t>Oregon,</w:t>
            </w:r>
            <w:r>
              <w:rPr>
                <w:spacing w:val="-14"/>
                <w:sz w:val="22"/>
              </w:rPr>
              <w:t xml:space="preserve"> </w:t>
            </w:r>
            <w:r>
              <w:rPr>
                <w:sz w:val="22"/>
              </w:rPr>
              <w:t>Utah, and Washington)</w:t>
            </w:r>
          </w:p>
        </w:tc>
      </w:tr>
      <w:tr>
        <w:tblPrEx>
          <w:tblW w:w="0" w:type="auto"/>
          <w:jc w:val="left"/>
          <w:tblInd w:w="562" w:type="dxa"/>
          <w:tblLayout w:type="fixed"/>
          <w:tblCellMar>
            <w:top w:w="0" w:type="dxa"/>
            <w:left w:w="0" w:type="dxa"/>
            <w:bottom w:w="0" w:type="dxa"/>
            <w:right w:w="0" w:type="dxa"/>
          </w:tblCellMar>
          <w:tblLook w:val="01E0"/>
        </w:tblPrEx>
        <w:trPr>
          <w:trHeight w:hRule="exact" w:val="261"/>
          <w:jc w:val="left"/>
        </w:trPr>
        <w:tc>
          <w:tcPr>
            <w:tcW w:w="922" w:type="dxa"/>
          </w:tcPr>
          <w:p>
            <w:pPr>
              <w:pStyle w:val="TableParagraph"/>
              <w:spacing w:line="232" w:lineRule="exact"/>
              <w:ind w:left="41" w:right="41"/>
              <w:jc w:val="center"/>
              <w:rPr>
                <w:sz w:val="22"/>
              </w:rPr>
            </w:pPr>
            <w:r>
              <w:rPr>
                <w:spacing w:val="-5"/>
                <w:sz w:val="22"/>
              </w:rPr>
              <w:t>10</w:t>
            </w:r>
          </w:p>
        </w:tc>
        <w:tc>
          <w:tcPr>
            <w:tcW w:w="3219" w:type="dxa"/>
          </w:tcPr>
          <w:p>
            <w:pPr>
              <w:pStyle w:val="TableParagraph"/>
              <w:spacing w:line="232" w:lineRule="exact"/>
              <w:ind w:left="103"/>
              <w:rPr>
                <w:sz w:val="22"/>
              </w:rPr>
            </w:pPr>
            <w:r>
              <w:rPr>
                <w:sz w:val="22"/>
              </w:rPr>
              <w:t>Alabama</w:t>
            </w:r>
            <w:r>
              <w:rPr>
                <w:spacing w:val="-4"/>
                <w:sz w:val="22"/>
              </w:rPr>
              <w:t xml:space="preserve"> </w:t>
            </w:r>
            <w:r>
              <w:rPr>
                <w:sz w:val="22"/>
              </w:rPr>
              <w:t>and</w:t>
            </w:r>
            <w:r>
              <w:rPr>
                <w:spacing w:val="-2"/>
                <w:sz w:val="22"/>
              </w:rPr>
              <w:t xml:space="preserve"> Tennessee</w:t>
            </w:r>
          </w:p>
        </w:tc>
        <w:tc>
          <w:tcPr>
            <w:tcW w:w="828" w:type="dxa"/>
            <w:vMerge/>
            <w:tcBorders>
              <w:top w:val="nil"/>
              <w:bottom w:val="nil"/>
            </w:tcBorders>
          </w:tcPr>
          <w:p>
            <w:pPr>
              <w:rPr>
                <w:sz w:val="2"/>
                <w:szCs w:val="2"/>
              </w:rPr>
            </w:pPr>
          </w:p>
        </w:tc>
        <w:tc>
          <w:tcPr>
            <w:tcW w:w="921" w:type="dxa"/>
            <w:vMerge/>
            <w:tcBorders>
              <w:top w:val="nil"/>
            </w:tcBorders>
          </w:tcPr>
          <w:p>
            <w:pPr>
              <w:rPr>
                <w:sz w:val="2"/>
                <w:szCs w:val="2"/>
              </w:rPr>
            </w:pPr>
          </w:p>
        </w:tc>
        <w:tc>
          <w:tcPr>
            <w:tcW w:w="3218" w:type="dxa"/>
            <w:vMerge/>
            <w:tcBorders>
              <w:top w:val="nil"/>
            </w:tcBorders>
          </w:tcPr>
          <w:p>
            <w:pPr>
              <w:rPr>
                <w:sz w:val="2"/>
                <w:szCs w:val="2"/>
              </w:rPr>
            </w:pPr>
          </w:p>
        </w:tc>
      </w:tr>
      <w:tr>
        <w:tblPrEx>
          <w:tblW w:w="0" w:type="auto"/>
          <w:jc w:val="left"/>
          <w:tblInd w:w="562" w:type="dxa"/>
          <w:tblLayout w:type="fixed"/>
          <w:tblCellMar>
            <w:top w:w="0" w:type="dxa"/>
            <w:left w:w="0" w:type="dxa"/>
            <w:bottom w:w="0" w:type="dxa"/>
            <w:right w:w="0" w:type="dxa"/>
          </w:tblCellMar>
          <w:tblLook w:val="01E0"/>
        </w:tblPrEx>
        <w:trPr>
          <w:trHeight w:hRule="exact" w:val="263"/>
          <w:jc w:val="left"/>
        </w:trPr>
        <w:tc>
          <w:tcPr>
            <w:tcW w:w="922" w:type="dxa"/>
          </w:tcPr>
          <w:p>
            <w:pPr>
              <w:pStyle w:val="TableParagraph"/>
              <w:spacing w:line="234" w:lineRule="exact"/>
              <w:ind w:left="41" w:right="41"/>
              <w:jc w:val="center"/>
              <w:rPr>
                <w:sz w:val="22"/>
              </w:rPr>
            </w:pPr>
            <w:r>
              <w:rPr>
                <w:spacing w:val="-5"/>
                <w:sz w:val="22"/>
              </w:rPr>
              <w:t>11</w:t>
            </w:r>
          </w:p>
        </w:tc>
        <w:tc>
          <w:tcPr>
            <w:tcW w:w="3219" w:type="dxa"/>
          </w:tcPr>
          <w:p>
            <w:pPr>
              <w:pStyle w:val="TableParagraph"/>
              <w:spacing w:line="234" w:lineRule="exact"/>
              <w:ind w:left="103"/>
              <w:rPr>
                <w:sz w:val="22"/>
              </w:rPr>
            </w:pPr>
            <w:r>
              <w:rPr>
                <w:spacing w:val="-2"/>
                <w:sz w:val="22"/>
              </w:rPr>
              <w:t>Michigan</w:t>
            </w:r>
          </w:p>
        </w:tc>
        <w:tc>
          <w:tcPr>
            <w:tcW w:w="828" w:type="dxa"/>
            <w:vMerge/>
            <w:tcBorders>
              <w:top w:val="nil"/>
              <w:bottom w:val="nil"/>
            </w:tcBorders>
          </w:tcPr>
          <w:p>
            <w:pPr>
              <w:rPr>
                <w:sz w:val="2"/>
                <w:szCs w:val="2"/>
              </w:rPr>
            </w:pPr>
          </w:p>
        </w:tc>
        <w:tc>
          <w:tcPr>
            <w:tcW w:w="921" w:type="dxa"/>
          </w:tcPr>
          <w:p>
            <w:pPr>
              <w:pStyle w:val="TableParagraph"/>
              <w:spacing w:line="234" w:lineRule="exact"/>
              <w:ind w:left="41" w:right="41"/>
              <w:jc w:val="center"/>
              <w:rPr>
                <w:sz w:val="22"/>
              </w:rPr>
            </w:pPr>
            <w:r>
              <w:rPr>
                <w:spacing w:val="-5"/>
                <w:sz w:val="22"/>
              </w:rPr>
              <w:t>24</w:t>
            </w:r>
          </w:p>
        </w:tc>
        <w:tc>
          <w:tcPr>
            <w:tcW w:w="3218" w:type="dxa"/>
          </w:tcPr>
          <w:p>
            <w:pPr>
              <w:pStyle w:val="TableParagraph"/>
              <w:spacing w:line="234" w:lineRule="exact"/>
              <w:ind w:left="103"/>
              <w:rPr>
                <w:sz w:val="22"/>
              </w:rPr>
            </w:pPr>
            <w:r>
              <w:rPr>
                <w:spacing w:val="-2"/>
                <w:sz w:val="22"/>
              </w:rPr>
              <w:t>California</w:t>
            </w:r>
          </w:p>
        </w:tc>
      </w:tr>
      <w:tr>
        <w:tblPrEx>
          <w:tblW w:w="0" w:type="auto"/>
          <w:jc w:val="left"/>
          <w:tblInd w:w="562" w:type="dxa"/>
          <w:tblLayout w:type="fixed"/>
          <w:tblCellMar>
            <w:top w:w="0" w:type="dxa"/>
            <w:left w:w="0" w:type="dxa"/>
            <w:bottom w:w="0" w:type="dxa"/>
            <w:right w:w="0" w:type="dxa"/>
          </w:tblCellMar>
          <w:tblLook w:val="01E0"/>
        </w:tblPrEx>
        <w:trPr>
          <w:trHeight w:hRule="exact" w:val="261"/>
          <w:jc w:val="left"/>
        </w:trPr>
        <w:tc>
          <w:tcPr>
            <w:tcW w:w="922" w:type="dxa"/>
          </w:tcPr>
          <w:p>
            <w:pPr>
              <w:pStyle w:val="TableParagraph"/>
              <w:spacing w:line="232" w:lineRule="exact"/>
              <w:ind w:left="41" w:right="41"/>
              <w:jc w:val="center"/>
              <w:rPr>
                <w:sz w:val="22"/>
              </w:rPr>
            </w:pPr>
            <w:r>
              <w:rPr>
                <w:spacing w:val="-5"/>
                <w:sz w:val="22"/>
              </w:rPr>
              <w:t>12</w:t>
            </w:r>
          </w:p>
        </w:tc>
        <w:tc>
          <w:tcPr>
            <w:tcW w:w="3219" w:type="dxa"/>
          </w:tcPr>
          <w:p>
            <w:pPr>
              <w:pStyle w:val="TableParagraph"/>
              <w:spacing w:line="232" w:lineRule="exact"/>
              <w:ind w:left="103"/>
              <w:rPr>
                <w:sz w:val="22"/>
              </w:rPr>
            </w:pPr>
            <w:r>
              <w:rPr>
                <w:spacing w:val="-4"/>
                <w:sz w:val="22"/>
              </w:rPr>
              <w:t>Ohio</w:t>
            </w:r>
          </w:p>
        </w:tc>
        <w:tc>
          <w:tcPr>
            <w:tcW w:w="828" w:type="dxa"/>
            <w:vMerge/>
            <w:tcBorders>
              <w:top w:val="nil"/>
              <w:bottom w:val="nil"/>
            </w:tcBorders>
          </w:tcPr>
          <w:p>
            <w:pPr>
              <w:rPr>
                <w:sz w:val="2"/>
                <w:szCs w:val="2"/>
              </w:rPr>
            </w:pPr>
          </w:p>
        </w:tc>
        <w:tc>
          <w:tcPr>
            <w:tcW w:w="921" w:type="dxa"/>
          </w:tcPr>
          <w:p>
            <w:pPr>
              <w:pStyle w:val="TableParagraph"/>
              <w:spacing w:line="232" w:lineRule="exact"/>
              <w:ind w:left="41" w:right="41"/>
              <w:jc w:val="center"/>
              <w:rPr>
                <w:sz w:val="22"/>
              </w:rPr>
            </w:pPr>
            <w:r>
              <w:rPr>
                <w:spacing w:val="-5"/>
                <w:sz w:val="22"/>
              </w:rPr>
              <w:t>25</w:t>
            </w:r>
          </w:p>
        </w:tc>
        <w:tc>
          <w:tcPr>
            <w:tcW w:w="3218" w:type="dxa"/>
          </w:tcPr>
          <w:p>
            <w:pPr>
              <w:pStyle w:val="TableParagraph"/>
              <w:spacing w:line="232" w:lineRule="exact"/>
              <w:ind w:left="103"/>
              <w:rPr>
                <w:sz w:val="22"/>
              </w:rPr>
            </w:pPr>
            <w:r>
              <w:rPr>
                <w:spacing w:val="-2"/>
                <w:sz w:val="22"/>
              </w:rPr>
              <w:t>Hawaii</w:t>
            </w:r>
          </w:p>
        </w:tc>
      </w:tr>
      <w:tr>
        <w:tblPrEx>
          <w:tblW w:w="0" w:type="auto"/>
          <w:jc w:val="left"/>
          <w:tblInd w:w="562" w:type="dxa"/>
          <w:tblLayout w:type="fixed"/>
          <w:tblCellMar>
            <w:top w:w="0" w:type="dxa"/>
            <w:left w:w="0" w:type="dxa"/>
            <w:bottom w:w="0" w:type="dxa"/>
            <w:right w:w="0" w:type="dxa"/>
          </w:tblCellMar>
          <w:tblLook w:val="01E0"/>
        </w:tblPrEx>
        <w:trPr>
          <w:trHeight w:hRule="exact" w:val="263"/>
          <w:jc w:val="left"/>
        </w:trPr>
        <w:tc>
          <w:tcPr>
            <w:tcW w:w="922" w:type="dxa"/>
          </w:tcPr>
          <w:p>
            <w:pPr>
              <w:pStyle w:val="TableParagraph"/>
              <w:spacing w:before="1" w:line="233" w:lineRule="exact"/>
              <w:ind w:left="41" w:right="41"/>
              <w:jc w:val="center"/>
              <w:rPr>
                <w:sz w:val="22"/>
              </w:rPr>
            </w:pPr>
            <w:r>
              <w:rPr>
                <w:spacing w:val="-5"/>
                <w:sz w:val="22"/>
              </w:rPr>
              <w:t>13</w:t>
            </w:r>
          </w:p>
        </w:tc>
        <w:tc>
          <w:tcPr>
            <w:tcW w:w="3219" w:type="dxa"/>
          </w:tcPr>
          <w:p>
            <w:pPr>
              <w:pStyle w:val="TableParagraph"/>
              <w:spacing w:before="1" w:line="233" w:lineRule="exact"/>
              <w:ind w:left="103"/>
              <w:rPr>
                <w:sz w:val="22"/>
              </w:rPr>
            </w:pPr>
            <w:r>
              <w:rPr>
                <w:sz w:val="22"/>
              </w:rPr>
              <w:t>Indiana</w:t>
            </w:r>
            <w:r>
              <w:rPr>
                <w:spacing w:val="-3"/>
                <w:sz w:val="22"/>
              </w:rPr>
              <w:t xml:space="preserve"> </w:t>
            </w:r>
            <w:r>
              <w:rPr>
                <w:sz w:val="22"/>
              </w:rPr>
              <w:t>and</w:t>
            </w:r>
            <w:r>
              <w:rPr>
                <w:spacing w:val="-1"/>
                <w:sz w:val="22"/>
              </w:rPr>
              <w:t xml:space="preserve"> </w:t>
            </w:r>
            <w:r>
              <w:rPr>
                <w:spacing w:val="-2"/>
                <w:sz w:val="22"/>
              </w:rPr>
              <w:t>Kentucky</w:t>
            </w:r>
          </w:p>
        </w:tc>
        <w:tc>
          <w:tcPr>
            <w:tcW w:w="828" w:type="dxa"/>
            <w:vMerge/>
            <w:tcBorders>
              <w:top w:val="nil"/>
              <w:bottom w:val="nil"/>
            </w:tcBorders>
          </w:tcPr>
          <w:p>
            <w:pPr>
              <w:rPr>
                <w:sz w:val="2"/>
                <w:szCs w:val="2"/>
              </w:rPr>
            </w:pPr>
          </w:p>
        </w:tc>
        <w:tc>
          <w:tcPr>
            <w:tcW w:w="921" w:type="dxa"/>
          </w:tcPr>
          <w:p>
            <w:pPr>
              <w:pStyle w:val="TableParagraph"/>
              <w:spacing w:line="234" w:lineRule="exact"/>
              <w:ind w:left="41" w:right="41"/>
              <w:jc w:val="center"/>
              <w:rPr>
                <w:sz w:val="22"/>
              </w:rPr>
            </w:pPr>
            <w:r>
              <w:rPr>
                <w:spacing w:val="-5"/>
                <w:sz w:val="22"/>
              </w:rPr>
              <w:t>26</w:t>
            </w:r>
          </w:p>
        </w:tc>
        <w:tc>
          <w:tcPr>
            <w:tcW w:w="3218" w:type="dxa"/>
          </w:tcPr>
          <w:p>
            <w:pPr>
              <w:pStyle w:val="TableParagraph"/>
              <w:spacing w:line="234" w:lineRule="exact"/>
              <w:ind w:left="103"/>
              <w:rPr>
                <w:sz w:val="22"/>
              </w:rPr>
            </w:pPr>
            <w:r>
              <w:rPr>
                <w:spacing w:val="-2"/>
                <w:sz w:val="22"/>
              </w:rPr>
              <w:t>Alaska</w:t>
            </w:r>
          </w:p>
        </w:tc>
      </w:tr>
      <w:tr>
        <w:tblPrEx>
          <w:tblW w:w="0" w:type="auto"/>
          <w:jc w:val="left"/>
          <w:tblInd w:w="562" w:type="dxa"/>
          <w:tblLayout w:type="fixed"/>
          <w:tblCellMar>
            <w:top w:w="0" w:type="dxa"/>
            <w:left w:w="0" w:type="dxa"/>
            <w:bottom w:w="0" w:type="dxa"/>
            <w:right w:w="0" w:type="dxa"/>
          </w:tblCellMar>
          <w:tblLook w:val="01E0"/>
        </w:tblPrEx>
        <w:trPr>
          <w:trHeight w:hRule="exact" w:val="264"/>
          <w:jc w:val="left"/>
        </w:trPr>
        <w:tc>
          <w:tcPr>
            <w:tcW w:w="922" w:type="dxa"/>
          </w:tcPr>
          <w:p>
            <w:pPr>
              <w:pStyle w:val="TableParagraph"/>
              <w:spacing w:line="234" w:lineRule="exact"/>
              <w:ind w:left="41" w:right="41"/>
              <w:jc w:val="center"/>
              <w:rPr>
                <w:sz w:val="22"/>
              </w:rPr>
            </w:pPr>
            <w:r>
              <w:rPr>
                <w:spacing w:val="-5"/>
                <w:sz w:val="22"/>
              </w:rPr>
              <w:t>14</w:t>
            </w:r>
          </w:p>
        </w:tc>
        <w:tc>
          <w:tcPr>
            <w:tcW w:w="3219" w:type="dxa"/>
          </w:tcPr>
          <w:p>
            <w:pPr>
              <w:pStyle w:val="TableParagraph"/>
              <w:spacing w:line="234" w:lineRule="exact"/>
              <w:ind w:left="103"/>
              <w:rPr>
                <w:sz w:val="22"/>
              </w:rPr>
            </w:pPr>
            <w:r>
              <w:rPr>
                <w:sz w:val="22"/>
              </w:rPr>
              <w:t>Illinois</w:t>
            </w:r>
            <w:r>
              <w:rPr>
                <w:spacing w:val="-5"/>
                <w:sz w:val="22"/>
              </w:rPr>
              <w:t xml:space="preserve"> </w:t>
            </w:r>
            <w:r>
              <w:rPr>
                <w:sz w:val="22"/>
              </w:rPr>
              <w:t>and</w:t>
            </w:r>
            <w:r>
              <w:rPr>
                <w:spacing w:val="-4"/>
                <w:sz w:val="22"/>
              </w:rPr>
              <w:t xml:space="preserve"> </w:t>
            </w:r>
            <w:r>
              <w:rPr>
                <w:spacing w:val="-2"/>
                <w:sz w:val="22"/>
              </w:rPr>
              <w:t>Wisconsin</w:t>
            </w:r>
          </w:p>
        </w:tc>
        <w:tc>
          <w:tcPr>
            <w:tcW w:w="4967" w:type="dxa"/>
            <w:gridSpan w:val="3"/>
            <w:tcBorders>
              <w:top w:val="nil"/>
              <w:bottom w:val="nil"/>
              <w:right w:val="nil"/>
            </w:tcBorders>
          </w:tcPr>
          <w:p>
            <w:pPr>
              <w:pStyle w:val="TableParagraph"/>
              <w:rPr>
                <w:sz w:val="18"/>
              </w:rPr>
            </w:pPr>
          </w:p>
        </w:tc>
      </w:tr>
    </w:tbl>
    <w:p>
      <w:pPr>
        <w:spacing w:before="133"/>
        <w:ind w:left="504" w:right="0" w:firstLine="0"/>
        <w:jc w:val="left"/>
        <w:rPr>
          <w:rFonts w:ascii="Arial" w:hAnsi="Arial"/>
          <w:b/>
          <w:sz w:val="21"/>
        </w:rPr>
      </w:pPr>
      <w:bookmarkStart w:id="132" w:name="Line 11 – Actuarial Swapping or Actuaria"/>
      <w:bookmarkEnd w:id="132"/>
      <w:r>
        <w:rPr>
          <w:rFonts w:ascii="Arial" w:hAnsi="Arial"/>
          <w:b/>
          <w:sz w:val="21"/>
        </w:rPr>
        <w:t>Line</w:t>
      </w:r>
      <w:r>
        <w:rPr>
          <w:rFonts w:ascii="Arial" w:hAnsi="Arial"/>
          <w:b/>
          <w:spacing w:val="-8"/>
          <w:sz w:val="21"/>
        </w:rPr>
        <w:t xml:space="preserve"> </w:t>
      </w:r>
      <w:r>
        <w:rPr>
          <w:rFonts w:ascii="Arial" w:hAnsi="Arial"/>
          <w:b/>
          <w:sz w:val="21"/>
        </w:rPr>
        <w:t>11</w:t>
      </w:r>
      <w:r>
        <w:rPr>
          <w:rFonts w:ascii="Arial" w:hAnsi="Arial"/>
          <w:b/>
          <w:spacing w:val="-5"/>
          <w:sz w:val="21"/>
        </w:rPr>
        <w:t xml:space="preserve"> </w:t>
      </w:r>
      <w:r>
        <w:rPr>
          <w:rFonts w:ascii="Arial" w:hAnsi="Arial"/>
          <w:b/>
          <w:sz w:val="21"/>
        </w:rPr>
        <w:t>–</w:t>
      </w:r>
      <w:r>
        <w:rPr>
          <w:rFonts w:ascii="Arial" w:hAnsi="Arial"/>
          <w:b/>
          <w:spacing w:val="-7"/>
          <w:sz w:val="21"/>
        </w:rPr>
        <w:t xml:space="preserve"> </w:t>
      </w:r>
      <w:r>
        <w:rPr>
          <w:rFonts w:ascii="Arial" w:hAnsi="Arial"/>
          <w:b/>
          <w:sz w:val="21"/>
        </w:rPr>
        <w:t>Actuarial</w:t>
      </w:r>
      <w:r>
        <w:rPr>
          <w:rFonts w:ascii="Arial" w:hAnsi="Arial"/>
          <w:b/>
          <w:spacing w:val="-6"/>
          <w:sz w:val="21"/>
        </w:rPr>
        <w:t xml:space="preserve"> </w:t>
      </w:r>
      <w:r>
        <w:rPr>
          <w:rFonts w:ascii="Arial" w:hAnsi="Arial"/>
          <w:b/>
          <w:sz w:val="21"/>
        </w:rPr>
        <w:t>Swapping</w:t>
      </w:r>
      <w:r>
        <w:rPr>
          <w:rFonts w:ascii="Arial" w:hAnsi="Arial"/>
          <w:b/>
          <w:spacing w:val="-5"/>
          <w:sz w:val="21"/>
        </w:rPr>
        <w:t xml:space="preserve"> </w:t>
      </w:r>
      <w:r>
        <w:rPr>
          <w:rFonts w:ascii="Arial" w:hAnsi="Arial"/>
          <w:b/>
          <w:sz w:val="21"/>
        </w:rPr>
        <w:t>or</w:t>
      </w:r>
      <w:r>
        <w:rPr>
          <w:rFonts w:ascii="Arial" w:hAnsi="Arial"/>
          <w:b/>
          <w:spacing w:val="-8"/>
          <w:sz w:val="21"/>
        </w:rPr>
        <w:t xml:space="preserve"> </w:t>
      </w:r>
      <w:r>
        <w:rPr>
          <w:rFonts w:ascii="Arial" w:hAnsi="Arial"/>
          <w:b/>
          <w:sz w:val="21"/>
        </w:rPr>
        <w:t>Actuarial</w:t>
      </w:r>
      <w:r>
        <w:rPr>
          <w:rFonts w:ascii="Arial" w:hAnsi="Arial"/>
          <w:b/>
          <w:spacing w:val="-6"/>
          <w:sz w:val="21"/>
        </w:rPr>
        <w:t xml:space="preserve"> </w:t>
      </w:r>
      <w:r>
        <w:rPr>
          <w:rFonts w:ascii="Arial" w:hAnsi="Arial"/>
          <w:b/>
          <w:sz w:val="21"/>
        </w:rPr>
        <w:t>Equivalence</w:t>
      </w:r>
      <w:r>
        <w:rPr>
          <w:rFonts w:ascii="Arial" w:hAnsi="Arial"/>
          <w:b/>
          <w:spacing w:val="-4"/>
          <w:sz w:val="21"/>
        </w:rPr>
        <w:t xml:space="preserve"> </w:t>
      </w:r>
      <w:r>
        <w:rPr>
          <w:rFonts w:ascii="Arial" w:hAnsi="Arial"/>
          <w:b/>
          <w:spacing w:val="-2"/>
          <w:sz w:val="21"/>
        </w:rPr>
        <w:t>Apply</w:t>
      </w:r>
    </w:p>
    <w:p>
      <w:pPr>
        <w:pStyle w:val="BodyText"/>
        <w:spacing w:before="120"/>
        <w:ind w:right="1602"/>
        <w:jc w:val="both"/>
      </w:pPr>
      <w:r>
        <w:t>If</w:t>
      </w:r>
      <w:r>
        <w:rPr>
          <w:spacing w:val="-4"/>
        </w:rPr>
        <w:t xml:space="preserve"> </w:t>
      </w:r>
      <w:r>
        <w:t>an</w:t>
      </w:r>
      <w:r>
        <w:rPr>
          <w:spacing w:val="-2"/>
        </w:rPr>
        <w:t xml:space="preserve"> </w:t>
      </w:r>
      <w:r>
        <w:t>individual-market</w:t>
      </w:r>
      <w:r>
        <w:rPr>
          <w:spacing w:val="-2"/>
        </w:rPr>
        <w:t xml:space="preserve"> </w:t>
      </w:r>
      <w:r>
        <w:t>plan</w:t>
      </w:r>
      <w:r>
        <w:rPr>
          <w:spacing w:val="-2"/>
        </w:rPr>
        <w:t xml:space="preserve"> </w:t>
      </w:r>
      <w:r>
        <w:t>will</w:t>
      </w:r>
      <w:r>
        <w:rPr>
          <w:spacing w:val="-2"/>
        </w:rPr>
        <w:t xml:space="preserve"> </w:t>
      </w:r>
      <w:r>
        <w:t>use</w:t>
      </w:r>
      <w:r>
        <w:rPr>
          <w:spacing w:val="-2"/>
        </w:rPr>
        <w:t xml:space="preserve"> </w:t>
      </w:r>
      <w:r>
        <w:t>actuarial</w:t>
      </w:r>
      <w:r>
        <w:rPr>
          <w:spacing w:val="-2"/>
        </w:rPr>
        <w:t xml:space="preserve"> </w:t>
      </w:r>
      <w:r>
        <w:t>swapping</w:t>
      </w:r>
      <w:r>
        <w:rPr>
          <w:spacing w:val="-2"/>
        </w:rPr>
        <w:t xml:space="preserve"> </w:t>
      </w:r>
      <w:r>
        <w:t>or</w:t>
      </w:r>
      <w:r>
        <w:rPr>
          <w:spacing w:val="-3"/>
        </w:rPr>
        <w:t xml:space="preserve"> </w:t>
      </w:r>
      <w:r>
        <w:t>actuarial</w:t>
      </w:r>
      <w:r>
        <w:rPr>
          <w:spacing w:val="-2"/>
        </w:rPr>
        <w:t xml:space="preserve"> </w:t>
      </w:r>
      <w:r>
        <w:t>equivalence</w:t>
      </w:r>
      <w:r>
        <w:rPr>
          <w:spacing w:val="-3"/>
        </w:rPr>
        <w:t xml:space="preserve"> </w:t>
      </w:r>
      <w:r>
        <w:t>for</w:t>
      </w:r>
      <w:r>
        <w:rPr>
          <w:spacing w:val="-2"/>
        </w:rPr>
        <w:t xml:space="preserve"> </w:t>
      </w:r>
      <w:r>
        <w:t>employer or</w:t>
      </w:r>
      <w:r>
        <w:rPr>
          <w:spacing w:val="-3"/>
        </w:rPr>
        <w:t xml:space="preserve"> </w:t>
      </w:r>
      <w:r>
        <w:t>union</w:t>
      </w:r>
      <w:r>
        <w:rPr>
          <w:spacing w:val="-3"/>
        </w:rPr>
        <w:t xml:space="preserve"> </w:t>
      </w:r>
      <w:r>
        <w:t>groups,</w:t>
      </w:r>
      <w:r>
        <w:rPr>
          <w:spacing w:val="-3"/>
        </w:rPr>
        <w:t xml:space="preserve"> </w:t>
      </w:r>
      <w:r>
        <w:t>enter</w:t>
      </w:r>
      <w:r>
        <w:rPr>
          <w:spacing w:val="-3"/>
        </w:rPr>
        <w:t xml:space="preserve"> </w:t>
      </w:r>
      <w:r>
        <w:t>“Y”.</w:t>
      </w:r>
      <w:r>
        <w:rPr>
          <w:spacing w:val="-3"/>
        </w:rPr>
        <w:t xml:space="preserve"> </w:t>
      </w:r>
      <w:r>
        <w:t>Otherwise,</w:t>
      </w:r>
      <w:r>
        <w:rPr>
          <w:spacing w:val="-3"/>
        </w:rPr>
        <w:t xml:space="preserve"> </w:t>
      </w:r>
      <w:r>
        <w:t>enter</w:t>
      </w:r>
      <w:r>
        <w:rPr>
          <w:spacing w:val="-3"/>
        </w:rPr>
        <w:t xml:space="preserve"> </w:t>
      </w:r>
      <w:r>
        <w:t>“N”.</w:t>
      </w:r>
      <w:r>
        <w:rPr>
          <w:spacing w:val="-2"/>
        </w:rPr>
        <w:t xml:space="preserve"> </w:t>
      </w:r>
      <w:r>
        <w:t>(See</w:t>
      </w:r>
      <w:r>
        <w:rPr>
          <w:spacing w:val="-4"/>
        </w:rPr>
        <w:t xml:space="preserve"> </w:t>
      </w:r>
      <w:r>
        <w:t>Appendix</w:t>
      </w:r>
      <w:r>
        <w:rPr>
          <w:spacing w:val="-3"/>
        </w:rPr>
        <w:t xml:space="preserve"> </w:t>
      </w:r>
      <w:r>
        <w:t>D</w:t>
      </w:r>
      <w:r>
        <w:rPr>
          <w:spacing w:val="-2"/>
        </w:rPr>
        <w:t xml:space="preserve"> </w:t>
      </w:r>
      <w:r>
        <w:t>for</w:t>
      </w:r>
      <w:r>
        <w:rPr>
          <w:spacing w:val="-5"/>
        </w:rPr>
        <w:t xml:space="preserve"> </w:t>
      </w:r>
      <w:r>
        <w:t>further</w:t>
      </w:r>
      <w:r>
        <w:rPr>
          <w:spacing w:val="-3"/>
        </w:rPr>
        <w:t xml:space="preserve"> </w:t>
      </w:r>
      <w:r>
        <w:t>information</w:t>
      </w:r>
      <w:r>
        <w:rPr>
          <w:spacing w:val="-3"/>
        </w:rPr>
        <w:t xml:space="preserve"> </w:t>
      </w:r>
      <w:r>
        <w:t>on using actuarial swapping or equivalence.)</w:t>
      </w:r>
    </w:p>
    <w:p>
      <w:pPr>
        <w:spacing w:before="241"/>
        <w:ind w:left="504" w:right="0" w:firstLine="0"/>
        <w:jc w:val="left"/>
        <w:rPr>
          <w:rFonts w:ascii="Arial" w:hAnsi="Arial"/>
          <w:b/>
          <w:sz w:val="21"/>
        </w:rPr>
      </w:pPr>
      <w:bookmarkStart w:id="133" w:name="Line 12 – SNP"/>
      <w:bookmarkEnd w:id="133"/>
      <w:r>
        <w:rPr>
          <w:rFonts w:ascii="Arial" w:hAnsi="Arial"/>
          <w:b/>
          <w:sz w:val="21"/>
        </w:rPr>
        <w:t>Line</w:t>
      </w:r>
      <w:r>
        <w:rPr>
          <w:rFonts w:ascii="Arial" w:hAnsi="Arial"/>
          <w:b/>
          <w:spacing w:val="-3"/>
          <w:sz w:val="21"/>
        </w:rPr>
        <w:t xml:space="preserve"> </w:t>
      </w:r>
      <w:r>
        <w:rPr>
          <w:rFonts w:ascii="Arial" w:hAnsi="Arial"/>
          <w:b/>
          <w:sz w:val="21"/>
        </w:rPr>
        <w:t>12</w:t>
      </w:r>
      <w:r>
        <w:rPr>
          <w:rFonts w:ascii="Arial" w:hAnsi="Arial"/>
          <w:b/>
          <w:spacing w:val="-2"/>
          <w:sz w:val="21"/>
        </w:rPr>
        <w:t xml:space="preserve"> </w:t>
      </w:r>
      <w:r>
        <w:rPr>
          <w:rFonts w:ascii="Arial" w:hAnsi="Arial"/>
          <w:b/>
          <w:sz w:val="21"/>
        </w:rPr>
        <w:t>–</w:t>
      </w:r>
      <w:r>
        <w:rPr>
          <w:rFonts w:ascii="Arial" w:hAnsi="Arial"/>
          <w:b/>
          <w:spacing w:val="-4"/>
          <w:sz w:val="21"/>
        </w:rPr>
        <w:t xml:space="preserve"> </w:t>
      </w:r>
      <w:r>
        <w:rPr>
          <w:rFonts w:ascii="Arial" w:hAnsi="Arial"/>
          <w:b/>
          <w:spacing w:val="-5"/>
          <w:sz w:val="21"/>
        </w:rPr>
        <w:t>SNP</w:t>
      </w:r>
    </w:p>
    <w:p>
      <w:pPr>
        <w:pStyle w:val="BodyText"/>
        <w:spacing w:before="118"/>
        <w:jc w:val="both"/>
      </w:pPr>
      <w:r>
        <w:t>If</w:t>
      </w:r>
      <w:r>
        <w:rPr>
          <w:spacing w:val="-6"/>
        </w:rPr>
        <w:t xml:space="preserve"> </w:t>
      </w:r>
      <w:r>
        <w:t>the</w:t>
      </w:r>
      <w:r>
        <w:rPr>
          <w:spacing w:val="-1"/>
        </w:rPr>
        <w:t xml:space="preserve"> </w:t>
      </w:r>
      <w:r>
        <w:t>plan</w:t>
      </w:r>
      <w:r>
        <w:rPr>
          <w:spacing w:val="-1"/>
        </w:rPr>
        <w:t xml:space="preserve"> </w:t>
      </w:r>
      <w:r>
        <w:t>is</w:t>
      </w:r>
      <w:r>
        <w:rPr>
          <w:spacing w:val="-2"/>
        </w:rPr>
        <w:t xml:space="preserve"> </w:t>
      </w:r>
      <w:r>
        <w:t>a</w:t>
      </w:r>
      <w:r>
        <w:rPr>
          <w:spacing w:val="-1"/>
        </w:rPr>
        <w:t xml:space="preserve"> </w:t>
      </w:r>
      <w:r>
        <w:t>SNP,</w:t>
      </w:r>
      <w:r>
        <w:rPr>
          <w:spacing w:val="-2"/>
        </w:rPr>
        <w:t xml:space="preserve"> </w:t>
      </w:r>
      <w:r>
        <w:t>enter</w:t>
      </w:r>
      <w:r>
        <w:rPr>
          <w:spacing w:val="-1"/>
        </w:rPr>
        <w:t xml:space="preserve"> </w:t>
      </w:r>
      <w:r>
        <w:t>“Y”.</w:t>
      </w:r>
      <w:r>
        <w:rPr>
          <w:spacing w:val="1"/>
        </w:rPr>
        <w:t xml:space="preserve"> </w:t>
      </w:r>
      <w:r>
        <w:t>Otherwise,</w:t>
      </w:r>
      <w:r>
        <w:rPr>
          <w:spacing w:val="1"/>
        </w:rPr>
        <w:t xml:space="preserve"> </w:t>
      </w:r>
      <w:r>
        <w:t>enter</w:t>
      </w:r>
      <w:r>
        <w:rPr>
          <w:spacing w:val="-1"/>
        </w:rPr>
        <w:t xml:space="preserve"> </w:t>
      </w:r>
      <w:r>
        <w:rPr>
          <w:spacing w:val="-4"/>
        </w:rPr>
        <w:t>“N”.</w:t>
      </w:r>
    </w:p>
    <w:p>
      <w:pPr>
        <w:spacing w:before="241"/>
        <w:ind w:left="504" w:right="0" w:firstLine="0"/>
        <w:jc w:val="left"/>
        <w:rPr>
          <w:rFonts w:ascii="Arial" w:hAnsi="Arial"/>
          <w:b/>
          <w:sz w:val="21"/>
        </w:rPr>
      </w:pPr>
      <w:bookmarkStart w:id="134" w:name="Line 13 – Region Name"/>
      <w:bookmarkEnd w:id="134"/>
      <w:r>
        <w:rPr>
          <w:rFonts w:ascii="Arial" w:hAnsi="Arial"/>
          <w:b/>
          <w:sz w:val="21"/>
        </w:rPr>
        <w:t>Line</w:t>
      </w:r>
      <w:r>
        <w:rPr>
          <w:rFonts w:ascii="Arial" w:hAnsi="Arial"/>
          <w:b/>
          <w:spacing w:val="-6"/>
          <w:sz w:val="21"/>
        </w:rPr>
        <w:t xml:space="preserve"> </w:t>
      </w:r>
      <w:r>
        <w:rPr>
          <w:rFonts w:ascii="Arial" w:hAnsi="Arial"/>
          <w:b/>
          <w:sz w:val="21"/>
        </w:rPr>
        <w:t>13</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Region</w:t>
      </w:r>
      <w:r>
        <w:rPr>
          <w:rFonts w:ascii="Arial" w:hAnsi="Arial"/>
          <w:b/>
          <w:spacing w:val="-2"/>
          <w:sz w:val="21"/>
        </w:rPr>
        <w:t xml:space="preserve"> </w:t>
      </w:r>
      <w:r>
        <w:rPr>
          <w:rFonts w:ascii="Arial" w:hAnsi="Arial"/>
          <w:b/>
          <w:spacing w:val="-4"/>
          <w:sz w:val="21"/>
        </w:rPr>
        <w:t>Name</w:t>
      </w:r>
    </w:p>
    <w:p>
      <w:pPr>
        <w:pStyle w:val="BodyText"/>
        <w:spacing w:before="120"/>
        <w:ind w:right="1481"/>
      </w:pPr>
      <w:r>
        <w:t>No</w:t>
      </w:r>
      <w:r>
        <w:rPr>
          <w:spacing w:val="-3"/>
        </w:rPr>
        <w:t xml:space="preserve"> </w:t>
      </w:r>
      <w:r>
        <w:t>user</w:t>
      </w:r>
      <w:r>
        <w:rPr>
          <w:spacing w:val="-3"/>
        </w:rPr>
        <w:t xml:space="preserve"> </w:t>
      </w:r>
      <w:r>
        <w:t>input</w:t>
      </w:r>
      <w:r>
        <w:rPr>
          <w:spacing w:val="-3"/>
        </w:rPr>
        <w:t xml:space="preserve"> </w:t>
      </w:r>
      <w:r>
        <w:t>is</w:t>
      </w:r>
      <w:r>
        <w:rPr>
          <w:spacing w:val="-4"/>
        </w:rPr>
        <w:t xml:space="preserve"> </w:t>
      </w:r>
      <w:r>
        <w:t>required.</w:t>
      </w:r>
      <w:r>
        <w:rPr>
          <w:spacing w:val="-1"/>
        </w:rPr>
        <w:t xml:space="preserve"> </w:t>
      </w:r>
      <w:r>
        <w:t>This</w:t>
      </w:r>
      <w:r>
        <w:rPr>
          <w:spacing w:val="-4"/>
        </w:rPr>
        <w:t xml:space="preserve"> </w:t>
      </w:r>
      <w:r>
        <w:t>field</w:t>
      </w:r>
      <w:r>
        <w:rPr>
          <w:spacing w:val="-3"/>
        </w:rPr>
        <w:t xml:space="preserve"> </w:t>
      </w:r>
      <w:r>
        <w:t>displays</w:t>
      </w:r>
      <w:r>
        <w:rPr>
          <w:spacing w:val="-3"/>
        </w:rPr>
        <w:t xml:space="preserve"> </w:t>
      </w:r>
      <w:r>
        <w:t>the</w:t>
      </w:r>
      <w:r>
        <w:rPr>
          <w:spacing w:val="-3"/>
        </w:rPr>
        <w:t xml:space="preserve"> </w:t>
      </w:r>
      <w:r>
        <w:t>region</w:t>
      </w:r>
      <w:r>
        <w:rPr>
          <w:spacing w:val="-3"/>
        </w:rPr>
        <w:t xml:space="preserve"> </w:t>
      </w:r>
      <w:r>
        <w:t>name,</w:t>
      </w:r>
      <w:r>
        <w:rPr>
          <w:spacing w:val="-3"/>
        </w:rPr>
        <w:t xml:space="preserve"> </w:t>
      </w:r>
      <w:r>
        <w:t>based</w:t>
      </w:r>
      <w:r>
        <w:rPr>
          <w:spacing w:val="-3"/>
        </w:rPr>
        <w:t xml:space="preserve"> </w:t>
      </w:r>
      <w:r>
        <w:t>on</w:t>
      </w:r>
      <w:r>
        <w:rPr>
          <w:spacing w:val="-3"/>
        </w:rPr>
        <w:t xml:space="preserve"> </w:t>
      </w:r>
      <w:r>
        <w:t>the</w:t>
      </w:r>
      <w:r>
        <w:rPr>
          <w:spacing w:val="-2"/>
        </w:rPr>
        <w:t xml:space="preserve"> </w:t>
      </w:r>
      <w:r>
        <w:t>region</w:t>
      </w:r>
      <w:r>
        <w:rPr>
          <w:spacing w:val="-3"/>
        </w:rPr>
        <w:t xml:space="preserve"> </w:t>
      </w:r>
      <w:r>
        <w:t>number entered in line 10.</w:t>
      </w:r>
    </w:p>
    <w:p>
      <w:pPr>
        <w:spacing w:before="241"/>
        <w:ind w:left="504" w:right="0" w:firstLine="0"/>
        <w:jc w:val="left"/>
        <w:rPr>
          <w:rFonts w:ascii="Arial" w:hAnsi="Arial"/>
          <w:b/>
          <w:sz w:val="21"/>
        </w:rPr>
      </w:pPr>
      <w:bookmarkStart w:id="135" w:name="Line 14 – SNP Type"/>
      <w:bookmarkEnd w:id="135"/>
      <w:r>
        <w:rPr>
          <w:rFonts w:ascii="Arial" w:hAnsi="Arial"/>
          <w:b/>
          <w:sz w:val="21"/>
        </w:rPr>
        <w:t>Line</w:t>
      </w:r>
      <w:r>
        <w:rPr>
          <w:rFonts w:ascii="Arial" w:hAnsi="Arial"/>
          <w:b/>
          <w:spacing w:val="-5"/>
          <w:sz w:val="21"/>
        </w:rPr>
        <w:t xml:space="preserve"> </w:t>
      </w:r>
      <w:r>
        <w:rPr>
          <w:rFonts w:ascii="Arial" w:hAnsi="Arial"/>
          <w:b/>
          <w:sz w:val="21"/>
        </w:rPr>
        <w:t>14</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SNP</w:t>
      </w:r>
      <w:r>
        <w:rPr>
          <w:rFonts w:ascii="Arial" w:hAnsi="Arial"/>
          <w:b/>
          <w:spacing w:val="-4"/>
          <w:sz w:val="21"/>
        </w:rPr>
        <w:t xml:space="preserve"> Type</w:t>
      </w:r>
    </w:p>
    <w:p>
      <w:pPr>
        <w:pStyle w:val="BodyText"/>
        <w:spacing w:before="118"/>
      </w:pPr>
      <w:r>
        <w:t>If</w:t>
      </w:r>
      <w:r>
        <w:rPr>
          <w:spacing w:val="-3"/>
        </w:rPr>
        <w:t xml:space="preserve"> </w:t>
      </w:r>
      <w:r>
        <w:t>the</w:t>
      </w:r>
      <w:r>
        <w:rPr>
          <w:spacing w:val="-1"/>
        </w:rPr>
        <w:t xml:space="preserve"> </w:t>
      </w:r>
      <w:r>
        <w:t>plan</w:t>
      </w:r>
      <w:r>
        <w:rPr>
          <w:spacing w:val="-1"/>
        </w:rPr>
        <w:t xml:space="preserve"> </w:t>
      </w:r>
      <w:r>
        <w:t>is</w:t>
      </w:r>
      <w:r>
        <w:rPr>
          <w:spacing w:val="-2"/>
        </w:rPr>
        <w:t xml:space="preserve"> </w:t>
      </w:r>
      <w:r>
        <w:t>a</w:t>
      </w:r>
      <w:r>
        <w:rPr>
          <w:spacing w:val="-1"/>
        </w:rPr>
        <w:t xml:space="preserve"> </w:t>
      </w:r>
      <w:r>
        <w:t>SNP,</w:t>
      </w:r>
      <w:r>
        <w:rPr>
          <w:spacing w:val="-1"/>
        </w:rPr>
        <w:t xml:space="preserve"> </w:t>
      </w:r>
      <w:r>
        <w:t>enter</w:t>
      </w:r>
      <w:r>
        <w:rPr>
          <w:spacing w:val="-1"/>
        </w:rPr>
        <w:t xml:space="preserve"> </w:t>
      </w:r>
      <w:r>
        <w:t>the</w:t>
      </w:r>
      <w:r>
        <w:rPr>
          <w:spacing w:val="-3"/>
        </w:rPr>
        <w:t xml:space="preserve"> </w:t>
      </w:r>
      <w:r>
        <w:t>SNP</w:t>
      </w:r>
      <w:r>
        <w:rPr>
          <w:spacing w:val="-2"/>
        </w:rPr>
        <w:t xml:space="preserve"> </w:t>
      </w:r>
      <w:r>
        <w:t>type. Valid</w:t>
      </w:r>
      <w:r>
        <w:rPr>
          <w:spacing w:val="-1"/>
        </w:rPr>
        <w:t xml:space="preserve"> </w:t>
      </w:r>
      <w:r>
        <w:t>options</w:t>
      </w:r>
      <w:r>
        <w:rPr>
          <w:spacing w:val="-2"/>
        </w:rPr>
        <w:t xml:space="preserve"> </w:t>
      </w:r>
      <w:r>
        <w:t>are</w:t>
      </w:r>
      <w:r>
        <w:rPr>
          <w:spacing w:val="-2"/>
        </w:rPr>
        <w:t xml:space="preserve"> </w:t>
      </w:r>
      <w:r>
        <w:t>“Institutional,”</w:t>
      </w:r>
      <w:r>
        <w:rPr>
          <w:spacing w:val="-2"/>
        </w:rPr>
        <w:t xml:space="preserve"> </w:t>
      </w:r>
      <w:r>
        <w:t>“Dual-Eligible,”</w:t>
      </w:r>
      <w:r>
        <w:rPr>
          <w:spacing w:val="-1"/>
        </w:rPr>
        <w:t xml:space="preserve"> </w:t>
      </w:r>
      <w:r>
        <w:rPr>
          <w:spacing w:val="-5"/>
        </w:rPr>
        <w:t>or</w:t>
      </w:r>
    </w:p>
    <w:p>
      <w:pPr>
        <w:pStyle w:val="BodyText"/>
      </w:pPr>
      <w:r>
        <w:t>“Chronic</w:t>
      </w:r>
      <w:r>
        <w:rPr>
          <w:spacing w:val="-3"/>
        </w:rPr>
        <w:t xml:space="preserve"> </w:t>
      </w:r>
      <w:r>
        <w:t>or</w:t>
      </w:r>
      <w:r>
        <w:rPr>
          <w:spacing w:val="-1"/>
        </w:rPr>
        <w:t xml:space="preserve"> </w:t>
      </w:r>
      <w:r>
        <w:t>Disabling Condition.”</w:t>
      </w:r>
      <w:r>
        <w:rPr>
          <w:spacing w:val="-2"/>
        </w:rPr>
        <w:t xml:space="preserve"> </w:t>
      </w:r>
      <w:r>
        <w:t>This</w:t>
      </w:r>
      <w:r>
        <w:rPr>
          <w:spacing w:val="-2"/>
        </w:rPr>
        <w:t xml:space="preserve"> </w:t>
      </w:r>
      <w:r>
        <w:t>entry must match the</w:t>
      </w:r>
      <w:r>
        <w:rPr>
          <w:spacing w:val="-1"/>
        </w:rPr>
        <w:t xml:space="preserve"> </w:t>
      </w:r>
      <w:r>
        <w:t>SNP</w:t>
      </w:r>
      <w:r>
        <w:rPr>
          <w:spacing w:val="-1"/>
        </w:rPr>
        <w:t xml:space="preserve"> </w:t>
      </w:r>
      <w:r>
        <w:t>type in</w:t>
      </w:r>
      <w:r>
        <w:rPr>
          <w:spacing w:val="-1"/>
        </w:rPr>
        <w:t xml:space="preserve"> </w:t>
      </w:r>
      <w:r>
        <w:t xml:space="preserve">the </w:t>
      </w:r>
      <w:r>
        <w:rPr>
          <w:spacing w:val="-4"/>
        </w:rPr>
        <w:t>PBP.</w:t>
      </w:r>
    </w:p>
    <w:p>
      <w:pPr>
        <w:pStyle w:val="BodyText"/>
        <w:spacing w:before="45"/>
        <w:ind w:left="0"/>
      </w:pPr>
    </w:p>
    <w:p>
      <w:pPr>
        <w:pStyle w:val="Heading2"/>
        <w:jc w:val="both"/>
      </w:pPr>
      <w:bookmarkStart w:id="136" w:name="Section II – Base Period Background Info"/>
      <w:bookmarkEnd w:id="136"/>
      <w:bookmarkStart w:id="137" w:name="_bookmark44"/>
      <w:bookmarkEnd w:id="137"/>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Base</w:t>
      </w:r>
      <w:r>
        <w:rPr>
          <w:smallCaps/>
          <w:spacing w:val="-11"/>
        </w:rPr>
        <w:t xml:space="preserve"> </w:t>
      </w:r>
      <w:r>
        <w:rPr>
          <w:smallCaps/>
        </w:rPr>
        <w:t>Period</w:t>
      </w:r>
      <w:r>
        <w:rPr>
          <w:smallCaps/>
          <w:spacing w:val="-7"/>
        </w:rPr>
        <w:t xml:space="preserve"> </w:t>
      </w:r>
      <w:r>
        <w:rPr>
          <w:smallCaps/>
        </w:rPr>
        <w:t>Background</w:t>
      </w:r>
      <w:r>
        <w:rPr>
          <w:smallCaps/>
          <w:spacing w:val="-7"/>
        </w:rPr>
        <w:t xml:space="preserve"> </w:t>
      </w:r>
      <w:r>
        <w:rPr>
          <w:smallCaps/>
          <w:spacing w:val="-2"/>
        </w:rPr>
        <w:t>Information</w:t>
      </w:r>
    </w:p>
    <w:p>
      <w:pPr>
        <w:spacing w:before="240"/>
        <w:ind w:left="504" w:right="0" w:firstLine="0"/>
        <w:jc w:val="left"/>
        <w:rPr>
          <w:rFonts w:ascii="Arial" w:hAnsi="Arial"/>
          <w:b/>
          <w:sz w:val="21"/>
        </w:rPr>
      </w:pPr>
      <w:bookmarkStart w:id="138" w:name="Line 1 – Time Period Definition"/>
      <w:bookmarkEnd w:id="138"/>
      <w:r>
        <w:rPr>
          <w:rFonts w:ascii="Arial" w:hAnsi="Arial"/>
          <w:b/>
          <w:sz w:val="21"/>
        </w:rPr>
        <w:t>Line</w:t>
      </w:r>
      <w:r>
        <w:rPr>
          <w:rFonts w:ascii="Arial" w:hAnsi="Arial"/>
          <w:b/>
          <w:spacing w:val="-3"/>
          <w:sz w:val="21"/>
        </w:rPr>
        <w:t xml:space="preserve"> </w:t>
      </w:r>
      <w:r>
        <w:rPr>
          <w:rFonts w:ascii="Arial" w:hAnsi="Arial"/>
          <w:b/>
          <w:sz w:val="21"/>
        </w:rPr>
        <w:t>1</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Time</w:t>
      </w:r>
      <w:r>
        <w:rPr>
          <w:rFonts w:ascii="Arial" w:hAnsi="Arial"/>
          <w:b/>
          <w:spacing w:val="-3"/>
          <w:sz w:val="21"/>
        </w:rPr>
        <w:t xml:space="preserve"> </w:t>
      </w:r>
      <w:r>
        <w:rPr>
          <w:rFonts w:ascii="Arial" w:hAnsi="Arial"/>
          <w:b/>
          <w:sz w:val="21"/>
        </w:rPr>
        <w:t>Period</w:t>
      </w:r>
      <w:r>
        <w:rPr>
          <w:rFonts w:ascii="Arial" w:hAnsi="Arial"/>
          <w:b/>
          <w:spacing w:val="-2"/>
          <w:sz w:val="21"/>
        </w:rPr>
        <w:t xml:space="preserve"> Definition</w:t>
      </w:r>
    </w:p>
    <w:p>
      <w:pPr>
        <w:pStyle w:val="BodyText"/>
        <w:spacing w:before="121"/>
        <w:ind w:right="1481"/>
      </w:pPr>
      <w:r>
        <w:t>CMS</w:t>
      </w:r>
      <w:r>
        <w:rPr>
          <w:spacing w:val="-2"/>
        </w:rPr>
        <w:t xml:space="preserve"> </w:t>
      </w:r>
      <w:r>
        <w:t>requires</w:t>
      </w:r>
      <w:r>
        <w:rPr>
          <w:spacing w:val="-4"/>
        </w:rPr>
        <w:t xml:space="preserve"> </w:t>
      </w:r>
      <w:r>
        <w:t>base</w:t>
      </w:r>
      <w:r>
        <w:rPr>
          <w:spacing w:val="-4"/>
        </w:rPr>
        <w:t xml:space="preserve"> </w:t>
      </w:r>
      <w:r>
        <w:t>experience</w:t>
      </w:r>
      <w:r>
        <w:rPr>
          <w:spacing w:val="-4"/>
        </w:rPr>
        <w:t xml:space="preserve"> </w:t>
      </w:r>
      <w:r>
        <w:t>data</w:t>
      </w:r>
      <w:r>
        <w:rPr>
          <w:spacing w:val="-4"/>
        </w:rPr>
        <w:t xml:space="preserve"> </w:t>
      </w:r>
      <w:r>
        <w:t>to</w:t>
      </w:r>
      <w:r>
        <w:rPr>
          <w:spacing w:val="-3"/>
        </w:rPr>
        <w:t xml:space="preserve"> </w:t>
      </w:r>
      <w:r>
        <w:t>be</w:t>
      </w:r>
      <w:r>
        <w:rPr>
          <w:spacing w:val="-3"/>
        </w:rPr>
        <w:t xml:space="preserve"> </w:t>
      </w:r>
      <w:r>
        <w:t>based</w:t>
      </w:r>
      <w:r>
        <w:rPr>
          <w:spacing w:val="-3"/>
        </w:rPr>
        <w:t xml:space="preserve"> </w:t>
      </w:r>
      <w:r>
        <w:t>on</w:t>
      </w:r>
      <w:r>
        <w:rPr>
          <w:spacing w:val="-1"/>
        </w:rPr>
        <w:t xml:space="preserve"> </w:t>
      </w:r>
      <w:r>
        <w:t>claims</w:t>
      </w:r>
      <w:r>
        <w:rPr>
          <w:spacing w:val="-3"/>
        </w:rPr>
        <w:t xml:space="preserve"> </w:t>
      </w:r>
      <w:r>
        <w:t>incurred</w:t>
      </w:r>
      <w:r>
        <w:rPr>
          <w:spacing w:val="-3"/>
        </w:rPr>
        <w:t xml:space="preserve"> </w:t>
      </w:r>
      <w:r>
        <w:t>in</w:t>
      </w:r>
      <w:r>
        <w:rPr>
          <w:spacing w:val="-3"/>
        </w:rPr>
        <w:t xml:space="preserve"> </w:t>
      </w:r>
      <w:r>
        <w:t>calendar</w:t>
      </w:r>
      <w:r>
        <w:rPr>
          <w:spacing w:val="-3"/>
        </w:rPr>
        <w:t xml:space="preserve"> </w:t>
      </w:r>
      <w:r>
        <w:t>year 2025</w:t>
      </w:r>
      <w:r>
        <w:rPr>
          <w:spacing w:val="-3"/>
        </w:rPr>
        <w:t xml:space="preserve"> </w:t>
      </w:r>
      <w:r>
        <w:t>and</w:t>
      </w:r>
      <w:r>
        <w:rPr>
          <w:spacing w:val="-1"/>
        </w:rPr>
        <w:t xml:space="preserve"> </w:t>
      </w:r>
      <w:r>
        <w:t>at least 30 days of paid claims run-out; 2–3 months of paid claim run-out is preferable.</w:t>
      </w:r>
    </w:p>
    <w:p>
      <w:pPr>
        <w:pStyle w:val="BodyText"/>
        <w:spacing w:before="120"/>
      </w:pPr>
      <w:r>
        <w:t>The</w:t>
      </w:r>
      <w:r>
        <w:rPr>
          <w:spacing w:val="-3"/>
        </w:rPr>
        <w:t xml:space="preserve"> </w:t>
      </w:r>
      <w:r>
        <w:t>incurred</w:t>
      </w:r>
      <w:r>
        <w:rPr>
          <w:spacing w:val="-1"/>
        </w:rPr>
        <w:t xml:space="preserve"> </w:t>
      </w:r>
      <w:r>
        <w:t>dates</w:t>
      </w:r>
      <w:r>
        <w:rPr>
          <w:spacing w:val="-1"/>
        </w:rPr>
        <w:t xml:space="preserve"> </w:t>
      </w:r>
      <w:r>
        <w:t>in</w:t>
      </w:r>
      <w:r>
        <w:rPr>
          <w:spacing w:val="-1"/>
        </w:rPr>
        <w:t xml:space="preserve"> </w:t>
      </w:r>
      <w:r>
        <w:t>the</w:t>
      </w:r>
      <w:r>
        <w:rPr>
          <w:spacing w:val="1"/>
        </w:rPr>
        <w:t xml:space="preserve"> </w:t>
      </w:r>
      <w:r>
        <w:t>first</w:t>
      </w:r>
      <w:r>
        <w:rPr>
          <w:spacing w:val="-1"/>
        </w:rPr>
        <w:t xml:space="preserve"> </w:t>
      </w:r>
      <w:r>
        <w:t>two</w:t>
      </w:r>
      <w:r>
        <w:rPr>
          <w:spacing w:val="-1"/>
        </w:rPr>
        <w:t xml:space="preserve"> </w:t>
      </w:r>
      <w:r>
        <w:t>cells are</w:t>
      </w:r>
      <w:r>
        <w:rPr>
          <w:spacing w:val="-2"/>
        </w:rPr>
        <w:t xml:space="preserve"> </w:t>
      </w:r>
      <w:r>
        <w:t>pre-populated</w:t>
      </w:r>
      <w:r>
        <w:rPr>
          <w:spacing w:val="-1"/>
        </w:rPr>
        <w:t xml:space="preserve"> </w:t>
      </w:r>
      <w:r>
        <w:t>with</w:t>
      </w:r>
      <w:r>
        <w:rPr>
          <w:spacing w:val="-1"/>
        </w:rPr>
        <w:t xml:space="preserve"> </w:t>
      </w:r>
      <w:r>
        <w:t>01/01/2025</w:t>
      </w:r>
      <w:r>
        <w:rPr>
          <w:spacing w:val="-1"/>
        </w:rPr>
        <w:t xml:space="preserve"> </w:t>
      </w:r>
      <w:r>
        <w:t xml:space="preserve">and </w:t>
      </w:r>
      <w:r>
        <w:rPr>
          <w:spacing w:val="-2"/>
        </w:rPr>
        <w:t>12/31/2025.</w:t>
      </w:r>
    </w:p>
    <w:p>
      <w:pPr>
        <w:pStyle w:val="BodyText"/>
        <w:spacing w:before="120"/>
        <w:ind w:right="1496"/>
      </w:pPr>
      <w:r>
        <w:t>In</w:t>
      </w:r>
      <w:r>
        <w:rPr>
          <w:spacing w:val="-2"/>
        </w:rPr>
        <w:t xml:space="preserve"> </w:t>
      </w:r>
      <w:r>
        <w:t>the</w:t>
      </w:r>
      <w:r>
        <w:rPr>
          <w:spacing w:val="-2"/>
        </w:rPr>
        <w:t xml:space="preserve"> </w:t>
      </w:r>
      <w:r>
        <w:t>third</w:t>
      </w:r>
      <w:r>
        <w:rPr>
          <w:spacing w:val="-1"/>
        </w:rPr>
        <w:t xml:space="preserve"> </w:t>
      </w:r>
      <w:r>
        <w:t>cell</w:t>
      </w:r>
      <w:r>
        <w:rPr>
          <w:spacing w:val="-2"/>
        </w:rPr>
        <w:t xml:space="preserve"> </w:t>
      </w:r>
      <w:r>
        <w:t>enter</w:t>
      </w:r>
      <w:r>
        <w:rPr>
          <w:spacing w:val="-2"/>
        </w:rPr>
        <w:t xml:space="preserve"> </w:t>
      </w:r>
      <w:r>
        <w:t>the</w:t>
      </w:r>
      <w:r>
        <w:rPr>
          <w:spacing w:val="-1"/>
        </w:rPr>
        <w:t xml:space="preserve"> </w:t>
      </w:r>
      <w:r>
        <w:t>date</w:t>
      </w:r>
      <w:r>
        <w:rPr>
          <w:spacing w:val="-2"/>
        </w:rPr>
        <w:t xml:space="preserve"> </w:t>
      </w:r>
      <w:r>
        <w:t>that</w:t>
      </w:r>
      <w:r>
        <w:rPr>
          <w:spacing w:val="-2"/>
        </w:rPr>
        <w:t xml:space="preserve"> </w:t>
      </w:r>
      <w:r>
        <w:t>indicates</w:t>
      </w:r>
      <w:r>
        <w:rPr>
          <w:spacing w:val="-3"/>
        </w:rPr>
        <w:t xml:space="preserve"> </w:t>
      </w:r>
      <w:r>
        <w:t>the</w:t>
      </w:r>
      <w:r>
        <w:rPr>
          <w:spacing w:val="-3"/>
        </w:rPr>
        <w:t xml:space="preserve"> </w:t>
      </w:r>
      <w:r>
        <w:t>number</w:t>
      </w:r>
      <w:r>
        <w:rPr>
          <w:spacing w:val="-4"/>
        </w:rPr>
        <w:t xml:space="preserve"> </w:t>
      </w:r>
      <w:r>
        <w:t>of</w:t>
      </w:r>
      <w:r>
        <w:rPr>
          <w:spacing w:val="-2"/>
        </w:rPr>
        <w:t xml:space="preserve"> </w:t>
      </w:r>
      <w:r>
        <w:t>days</w:t>
      </w:r>
      <w:r>
        <w:rPr>
          <w:spacing w:val="-3"/>
        </w:rPr>
        <w:t xml:space="preserve"> </w:t>
      </w:r>
      <w:r>
        <w:t>of</w:t>
      </w:r>
      <w:r>
        <w:rPr>
          <w:spacing w:val="-2"/>
        </w:rPr>
        <w:t xml:space="preserve"> </w:t>
      </w:r>
      <w:r>
        <w:t>paid</w:t>
      </w:r>
      <w:r>
        <w:rPr>
          <w:spacing w:val="-2"/>
        </w:rPr>
        <w:t xml:space="preserve"> </w:t>
      </w:r>
      <w:r>
        <w:t>run-out.</w:t>
      </w:r>
      <w:r>
        <w:rPr>
          <w:spacing w:val="-1"/>
        </w:rPr>
        <w:t xml:space="preserve"> </w:t>
      </w:r>
      <w:r>
        <w:t>For</w:t>
      </w:r>
      <w:r>
        <w:rPr>
          <w:spacing w:val="-2"/>
        </w:rPr>
        <w:t xml:space="preserve"> </w:t>
      </w:r>
      <w:r>
        <w:t>example,</w:t>
      </w:r>
      <w:r>
        <w:rPr>
          <w:spacing w:val="-2"/>
        </w:rPr>
        <w:t xml:space="preserve"> </w:t>
      </w:r>
      <w:r>
        <w:t>if there are two months of paid claims run-out in the detailed claims data by service category, then the paid-through date is 02/28/2026. Note that such date would not change, if claims data</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right="1691"/>
        <w:jc w:val="both"/>
      </w:pPr>
      <w:r>
        <w:t>paid</w:t>
      </w:r>
      <w:r>
        <w:rPr>
          <w:spacing w:val="-3"/>
        </w:rPr>
        <w:t xml:space="preserve"> </w:t>
      </w:r>
      <w:r>
        <w:t>on</w:t>
      </w:r>
      <w:r>
        <w:rPr>
          <w:spacing w:val="-3"/>
        </w:rPr>
        <w:t xml:space="preserve"> </w:t>
      </w:r>
      <w:r>
        <w:t>a</w:t>
      </w:r>
      <w:r>
        <w:rPr>
          <w:spacing w:val="-4"/>
        </w:rPr>
        <w:t xml:space="preserve"> </w:t>
      </w:r>
      <w:r>
        <w:t>subsequent</w:t>
      </w:r>
      <w:r>
        <w:rPr>
          <w:spacing w:val="-3"/>
        </w:rPr>
        <w:t xml:space="preserve"> </w:t>
      </w:r>
      <w:r>
        <w:t>date</w:t>
      </w:r>
      <w:r>
        <w:rPr>
          <w:spacing w:val="-4"/>
        </w:rPr>
        <w:t xml:space="preserve"> </w:t>
      </w:r>
      <w:r>
        <w:t>were</w:t>
      </w:r>
      <w:r>
        <w:rPr>
          <w:spacing w:val="-4"/>
        </w:rPr>
        <w:t xml:space="preserve"> </w:t>
      </w:r>
      <w:r>
        <w:t>used</w:t>
      </w:r>
      <w:r>
        <w:rPr>
          <w:spacing w:val="-3"/>
        </w:rPr>
        <w:t xml:space="preserve"> </w:t>
      </w:r>
      <w:r>
        <w:t>to</w:t>
      </w:r>
      <w:r>
        <w:rPr>
          <w:spacing w:val="-3"/>
        </w:rPr>
        <w:t xml:space="preserve"> </w:t>
      </w:r>
      <w:r>
        <w:t>revise</w:t>
      </w:r>
      <w:r>
        <w:rPr>
          <w:spacing w:val="-4"/>
        </w:rPr>
        <w:t xml:space="preserve"> </w:t>
      </w:r>
      <w:r>
        <w:t>estimated</w:t>
      </w:r>
      <w:r>
        <w:rPr>
          <w:spacing w:val="-2"/>
        </w:rPr>
        <w:t xml:space="preserve"> </w:t>
      </w:r>
      <w:r>
        <w:t>incurred</w:t>
      </w:r>
      <w:r>
        <w:rPr>
          <w:spacing w:val="-3"/>
        </w:rPr>
        <w:t xml:space="preserve"> </w:t>
      </w:r>
      <w:r>
        <w:t>claims,</w:t>
      </w:r>
      <w:r>
        <w:rPr>
          <w:spacing w:val="-3"/>
        </w:rPr>
        <w:t xml:space="preserve"> </w:t>
      </w:r>
      <w:r>
        <w:t>but</w:t>
      </w:r>
      <w:r>
        <w:rPr>
          <w:spacing w:val="-3"/>
        </w:rPr>
        <w:t xml:space="preserve"> </w:t>
      </w:r>
      <w:r>
        <w:t>were</w:t>
      </w:r>
      <w:r>
        <w:rPr>
          <w:spacing w:val="-5"/>
        </w:rPr>
        <w:t xml:space="preserve"> </w:t>
      </w:r>
      <w:r>
        <w:t>not</w:t>
      </w:r>
      <w:r>
        <w:rPr>
          <w:spacing w:val="-3"/>
        </w:rPr>
        <w:t xml:space="preserve"> </w:t>
      </w:r>
      <w:r>
        <w:t>used</w:t>
      </w:r>
      <w:r>
        <w:rPr>
          <w:spacing w:val="-3"/>
        </w:rPr>
        <w:t xml:space="preserve"> </w:t>
      </w:r>
      <w:r>
        <w:t>to update the detailed claims data set by service category.</w:t>
      </w:r>
    </w:p>
    <w:p>
      <w:pPr>
        <w:spacing w:before="241"/>
        <w:ind w:left="504" w:right="0" w:firstLine="0"/>
        <w:jc w:val="left"/>
        <w:rPr>
          <w:rFonts w:ascii="Arial" w:hAnsi="Arial"/>
          <w:b/>
          <w:sz w:val="21"/>
        </w:rPr>
      </w:pPr>
      <w:bookmarkStart w:id="139" w:name="Line 2 – Member Months"/>
      <w:bookmarkEnd w:id="139"/>
      <w:r>
        <w:rPr>
          <w:rFonts w:ascii="Arial" w:hAnsi="Arial"/>
          <w:b/>
          <w:sz w:val="21"/>
        </w:rPr>
        <w:t>Line</w:t>
      </w:r>
      <w:r>
        <w:rPr>
          <w:rFonts w:ascii="Arial" w:hAnsi="Arial"/>
          <w:b/>
          <w:spacing w:val="-4"/>
          <w:sz w:val="21"/>
        </w:rPr>
        <w:t xml:space="preserve"> </w:t>
      </w:r>
      <w:r>
        <w:rPr>
          <w:rFonts w:ascii="Arial" w:hAnsi="Arial"/>
          <w:b/>
          <w:sz w:val="21"/>
        </w:rPr>
        <w:t>2</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Member</w:t>
      </w:r>
      <w:r>
        <w:rPr>
          <w:rFonts w:ascii="Arial" w:hAnsi="Arial"/>
          <w:b/>
          <w:spacing w:val="-4"/>
          <w:sz w:val="21"/>
        </w:rPr>
        <w:t xml:space="preserve"> </w:t>
      </w:r>
      <w:r>
        <w:rPr>
          <w:rFonts w:ascii="Arial" w:hAnsi="Arial"/>
          <w:b/>
          <w:spacing w:val="-2"/>
          <w:sz w:val="21"/>
        </w:rPr>
        <w:t>Months</w:t>
      </w:r>
    </w:p>
    <w:p>
      <w:pPr>
        <w:pStyle w:val="BodyText"/>
        <w:spacing w:before="120"/>
        <w:ind w:right="1767"/>
        <w:jc w:val="both"/>
      </w:pPr>
      <w:r>
        <w:t>This</w:t>
      </w:r>
      <w:r>
        <w:rPr>
          <w:spacing w:val="-1"/>
        </w:rPr>
        <w:t xml:space="preserve"> </w:t>
      </w:r>
      <w:r>
        <w:t>line is</w:t>
      </w:r>
      <w:r>
        <w:rPr>
          <w:spacing w:val="-1"/>
        </w:rPr>
        <w:t xml:space="preserve"> </w:t>
      </w:r>
      <w:r>
        <w:t>calculated as the sum of the</w:t>
      </w:r>
      <w:r>
        <w:rPr>
          <w:spacing w:val="-1"/>
        </w:rPr>
        <w:t xml:space="preserve"> </w:t>
      </w:r>
      <w:r>
        <w:t>member months entered in line</w:t>
      </w:r>
      <w:r>
        <w:rPr>
          <w:spacing w:val="-1"/>
        </w:rPr>
        <w:t xml:space="preserve"> </w:t>
      </w:r>
      <w:r>
        <w:t>6. The</w:t>
      </w:r>
      <w:r>
        <w:rPr>
          <w:spacing w:val="-1"/>
        </w:rPr>
        <w:t xml:space="preserve"> </w:t>
      </w:r>
      <w:r>
        <w:t>total member months</w:t>
      </w:r>
      <w:r>
        <w:rPr>
          <w:spacing w:val="-3"/>
        </w:rPr>
        <w:t xml:space="preserve"> </w:t>
      </w:r>
      <w:r>
        <w:t>in</w:t>
      </w:r>
      <w:r>
        <w:rPr>
          <w:spacing w:val="-3"/>
        </w:rPr>
        <w:t xml:space="preserve"> </w:t>
      </w:r>
      <w:r>
        <w:t>line</w:t>
      </w:r>
      <w:r>
        <w:rPr>
          <w:spacing w:val="-3"/>
        </w:rPr>
        <w:t xml:space="preserve"> </w:t>
      </w:r>
      <w:r>
        <w:t>2</w:t>
      </w:r>
      <w:r>
        <w:rPr>
          <w:spacing w:val="-4"/>
        </w:rPr>
        <w:t xml:space="preserve"> </w:t>
      </w:r>
      <w:r>
        <w:t>represent</w:t>
      </w:r>
      <w:r>
        <w:rPr>
          <w:spacing w:val="-3"/>
        </w:rPr>
        <w:t xml:space="preserve"> </w:t>
      </w:r>
      <w:r>
        <w:t>the</w:t>
      </w:r>
      <w:r>
        <w:rPr>
          <w:spacing w:val="-4"/>
        </w:rPr>
        <w:t xml:space="preserve"> </w:t>
      </w:r>
      <w:r>
        <w:t>base</w:t>
      </w:r>
      <w:r>
        <w:rPr>
          <w:spacing w:val="-4"/>
        </w:rPr>
        <w:t xml:space="preserve"> </w:t>
      </w:r>
      <w:r>
        <w:t>period</w:t>
      </w:r>
      <w:r>
        <w:rPr>
          <w:spacing w:val="-2"/>
        </w:rPr>
        <w:t xml:space="preserve"> </w:t>
      </w:r>
      <w:r>
        <w:t>experience</w:t>
      </w:r>
      <w:r>
        <w:rPr>
          <w:spacing w:val="-4"/>
        </w:rPr>
        <w:t xml:space="preserve"> </w:t>
      </w:r>
      <w:r>
        <w:t>excluding</w:t>
      </w:r>
      <w:r>
        <w:rPr>
          <w:spacing w:val="-3"/>
        </w:rPr>
        <w:t xml:space="preserve"> </w:t>
      </w:r>
      <w:r>
        <w:t>ESRD</w:t>
      </w:r>
      <w:r>
        <w:rPr>
          <w:spacing w:val="-4"/>
        </w:rPr>
        <w:t xml:space="preserve"> </w:t>
      </w:r>
      <w:r>
        <w:t>enrollees</w:t>
      </w:r>
      <w:r>
        <w:rPr>
          <w:spacing w:val="-4"/>
        </w:rPr>
        <w:t xml:space="preserve"> </w:t>
      </w:r>
      <w:r>
        <w:t>for</w:t>
      </w:r>
      <w:r>
        <w:rPr>
          <w:spacing w:val="-5"/>
        </w:rPr>
        <w:t xml:space="preserve"> </w:t>
      </w:r>
      <w:r>
        <w:t>the</w:t>
      </w:r>
      <w:r>
        <w:rPr>
          <w:spacing w:val="-3"/>
        </w:rPr>
        <w:t xml:space="preserve"> </w:t>
      </w:r>
      <w:r>
        <w:t>time period that enrollees are in ESRD status and excluding hospice</w:t>
      </w:r>
      <w:r>
        <w:rPr>
          <w:spacing w:val="-1"/>
        </w:rPr>
        <w:t xml:space="preserve"> </w:t>
      </w:r>
      <w:r>
        <w:t>enrollees for the</w:t>
      </w:r>
      <w:r>
        <w:rPr>
          <w:spacing w:val="-1"/>
        </w:rPr>
        <w:t xml:space="preserve"> </w:t>
      </w:r>
      <w:r>
        <w:t>time period that the enrollees are in hospice status.</w:t>
      </w:r>
    </w:p>
    <w:p>
      <w:pPr>
        <w:pStyle w:val="BodyText"/>
        <w:spacing w:before="120"/>
        <w:ind w:right="1487"/>
        <w:jc w:val="both"/>
      </w:pPr>
      <w:r>
        <w:t>Enter</w:t>
      </w:r>
      <w:r>
        <w:rPr>
          <w:spacing w:val="-5"/>
        </w:rPr>
        <w:t xml:space="preserve"> </w:t>
      </w:r>
      <w:r>
        <w:t>the</w:t>
      </w:r>
      <w:r>
        <w:rPr>
          <w:spacing w:val="-3"/>
        </w:rPr>
        <w:t xml:space="preserve"> </w:t>
      </w:r>
      <w:r>
        <w:t>subset</w:t>
      </w:r>
      <w:r>
        <w:rPr>
          <w:spacing w:val="-3"/>
        </w:rPr>
        <w:t xml:space="preserve"> </w:t>
      </w:r>
      <w:r>
        <w:t>of</w:t>
      </w:r>
      <w:r>
        <w:rPr>
          <w:spacing w:val="-3"/>
        </w:rPr>
        <w:t xml:space="preserve"> </w:t>
      </w:r>
      <w:r>
        <w:t>member</w:t>
      </w:r>
      <w:r>
        <w:rPr>
          <w:spacing w:val="-3"/>
        </w:rPr>
        <w:t xml:space="preserve"> </w:t>
      </w:r>
      <w:r>
        <w:t>months</w:t>
      </w:r>
      <w:r>
        <w:rPr>
          <w:spacing w:val="-4"/>
        </w:rPr>
        <w:t xml:space="preserve"> </w:t>
      </w:r>
      <w:r>
        <w:t>that</w:t>
      </w:r>
      <w:r>
        <w:rPr>
          <w:spacing w:val="-3"/>
        </w:rPr>
        <w:t xml:space="preserve"> </w:t>
      </w:r>
      <w:r>
        <w:t>represents</w:t>
      </w:r>
      <w:r>
        <w:rPr>
          <w:spacing w:val="-1"/>
        </w:rPr>
        <w:t xml:space="preserve"> </w:t>
      </w:r>
      <w:r>
        <w:t>the</w:t>
      </w:r>
      <w:r>
        <w:rPr>
          <w:spacing w:val="-2"/>
        </w:rPr>
        <w:t xml:space="preserve"> </w:t>
      </w:r>
      <w:r>
        <w:t>non-DE#</w:t>
      </w:r>
      <w:r>
        <w:rPr>
          <w:spacing w:val="-4"/>
        </w:rPr>
        <w:t xml:space="preserve"> </w:t>
      </w:r>
      <w:r>
        <w:t>enrollees.</w:t>
      </w:r>
      <w:r>
        <w:rPr>
          <w:spacing w:val="-1"/>
        </w:rPr>
        <w:t xml:space="preserve"> </w:t>
      </w:r>
      <w:r>
        <w:t>The</w:t>
      </w:r>
      <w:r>
        <w:rPr>
          <w:spacing w:val="-4"/>
        </w:rPr>
        <w:t xml:space="preserve"> </w:t>
      </w:r>
      <w:r>
        <w:t>DE#</w:t>
      </w:r>
      <w:r>
        <w:rPr>
          <w:spacing w:val="-3"/>
        </w:rPr>
        <w:t xml:space="preserve"> </w:t>
      </w:r>
      <w:r>
        <w:t>subset</w:t>
      </w:r>
      <w:r>
        <w:rPr>
          <w:spacing w:val="-3"/>
        </w:rPr>
        <w:t xml:space="preserve"> </w:t>
      </w:r>
      <w:r>
        <w:t>will be calculated as the difference between the total and the non-DE# amounts entered.</w:t>
      </w:r>
    </w:p>
    <w:p>
      <w:pPr>
        <w:spacing w:before="241"/>
        <w:ind w:left="504" w:right="0" w:firstLine="0"/>
        <w:jc w:val="left"/>
        <w:rPr>
          <w:rFonts w:ascii="Arial" w:hAnsi="Arial"/>
          <w:b/>
          <w:sz w:val="21"/>
        </w:rPr>
      </w:pPr>
      <w:bookmarkStart w:id="140" w:name="Line 3 – Risk Score"/>
      <w:bookmarkEnd w:id="140"/>
      <w:r>
        <w:rPr>
          <w:rFonts w:ascii="Arial" w:hAnsi="Arial"/>
          <w:b/>
          <w:sz w:val="21"/>
        </w:rPr>
        <w:t>Line</w:t>
      </w:r>
      <w:r>
        <w:rPr>
          <w:rFonts w:ascii="Arial" w:hAnsi="Arial"/>
          <w:b/>
          <w:spacing w:val="-3"/>
          <w:sz w:val="21"/>
        </w:rPr>
        <w:t xml:space="preserve"> </w:t>
      </w:r>
      <w:r>
        <w:rPr>
          <w:rFonts w:ascii="Arial" w:hAnsi="Arial"/>
          <w:b/>
          <w:sz w:val="21"/>
        </w:rPr>
        <w:t>3</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Risk</w:t>
      </w:r>
      <w:r>
        <w:rPr>
          <w:rFonts w:ascii="Arial" w:hAnsi="Arial"/>
          <w:b/>
          <w:spacing w:val="-2"/>
          <w:sz w:val="21"/>
        </w:rPr>
        <w:t xml:space="preserve"> Score</w:t>
      </w:r>
    </w:p>
    <w:p>
      <w:pPr>
        <w:pStyle w:val="BodyText"/>
        <w:spacing w:before="118"/>
        <w:ind w:right="1492"/>
      </w:pPr>
      <w:r>
        <w:t>Enter the final average risk score for the non-ESRD and non-hospice members of the population represented in the base period data using the Part C risk adjustment model that was used</w:t>
      </w:r>
      <w:r>
        <w:rPr>
          <w:spacing w:val="-4"/>
        </w:rPr>
        <w:t xml:space="preserve"> </w:t>
      </w:r>
      <w:r>
        <w:t>for</w:t>
      </w:r>
      <w:r>
        <w:rPr>
          <w:spacing w:val="-5"/>
        </w:rPr>
        <w:t xml:space="preserve"> </w:t>
      </w:r>
      <w:r>
        <w:t>payment</w:t>
      </w:r>
      <w:r>
        <w:rPr>
          <w:spacing w:val="-3"/>
        </w:rPr>
        <w:t xml:space="preserve"> </w:t>
      </w:r>
      <w:r>
        <w:t>year</w:t>
      </w:r>
      <w:r>
        <w:rPr>
          <w:spacing w:val="-4"/>
        </w:rPr>
        <w:t xml:space="preserve"> </w:t>
      </w:r>
      <w:r>
        <w:t>2025.</w:t>
      </w:r>
      <w:r>
        <w:rPr>
          <w:spacing w:val="-3"/>
        </w:rPr>
        <w:t xml:space="preserve"> </w:t>
      </w:r>
      <w:r>
        <w:t>This</w:t>
      </w:r>
      <w:r>
        <w:rPr>
          <w:spacing w:val="-3"/>
        </w:rPr>
        <w:t xml:space="preserve"> </w:t>
      </w:r>
      <w:r>
        <w:t>risk</w:t>
      </w:r>
      <w:r>
        <w:rPr>
          <w:spacing w:val="-3"/>
        </w:rPr>
        <w:t xml:space="preserve"> </w:t>
      </w:r>
      <w:r>
        <w:t>score</w:t>
      </w:r>
      <w:r>
        <w:rPr>
          <w:spacing w:val="-5"/>
        </w:rPr>
        <w:t xml:space="preserve"> </w:t>
      </w:r>
      <w:r>
        <w:t>must</w:t>
      </w:r>
      <w:r>
        <w:rPr>
          <w:spacing w:val="-2"/>
        </w:rPr>
        <w:t xml:space="preserve"> </w:t>
      </w:r>
      <w:r>
        <w:t>incorporate</w:t>
      </w:r>
      <w:r>
        <w:rPr>
          <w:spacing w:val="-4"/>
        </w:rPr>
        <w:t xml:space="preserve"> </w:t>
      </w:r>
      <w:r>
        <w:t>the</w:t>
      </w:r>
      <w:r>
        <w:rPr>
          <w:spacing w:val="-4"/>
        </w:rPr>
        <w:t xml:space="preserve"> </w:t>
      </w:r>
      <w:r>
        <w:t>normalization</w:t>
      </w:r>
      <w:r>
        <w:rPr>
          <w:spacing w:val="-3"/>
        </w:rPr>
        <w:t xml:space="preserve"> </w:t>
      </w:r>
      <w:r>
        <w:t>factor,</w:t>
      </w:r>
      <w:r>
        <w:rPr>
          <w:spacing w:val="-3"/>
        </w:rPr>
        <w:t xml:space="preserve"> </w:t>
      </w:r>
      <w:r>
        <w:t>the</w:t>
      </w:r>
      <w:r>
        <w:rPr>
          <w:spacing w:val="-3"/>
        </w:rPr>
        <w:t xml:space="preserve"> </w:t>
      </w:r>
      <w:r>
        <w:t>MA coding pattern adjustment factor, and an estimate of the final reconciliation.</w:t>
      </w:r>
    </w:p>
    <w:p>
      <w:pPr>
        <w:pStyle w:val="BodyText"/>
        <w:spacing w:before="120"/>
        <w:ind w:right="1841"/>
      </w:pPr>
      <w:r>
        <w:t>Actuaries</w:t>
      </w:r>
      <w:r>
        <w:rPr>
          <w:spacing w:val="-4"/>
        </w:rPr>
        <w:t xml:space="preserve"> </w:t>
      </w:r>
      <w:r>
        <w:t>may</w:t>
      </w:r>
      <w:r>
        <w:rPr>
          <w:spacing w:val="-3"/>
        </w:rPr>
        <w:t xml:space="preserve"> </w:t>
      </w:r>
      <w:r>
        <w:t>use</w:t>
      </w:r>
      <w:r>
        <w:rPr>
          <w:spacing w:val="-4"/>
        </w:rPr>
        <w:t xml:space="preserve"> </w:t>
      </w:r>
      <w:r>
        <w:t>as</w:t>
      </w:r>
      <w:r>
        <w:rPr>
          <w:spacing w:val="-4"/>
        </w:rPr>
        <w:t xml:space="preserve"> </w:t>
      </w:r>
      <w:r>
        <w:t>a</w:t>
      </w:r>
      <w:r>
        <w:rPr>
          <w:spacing w:val="-4"/>
        </w:rPr>
        <w:t xml:space="preserve"> </w:t>
      </w:r>
      <w:r>
        <w:t>starting</w:t>
      </w:r>
      <w:r>
        <w:rPr>
          <w:spacing w:val="-3"/>
        </w:rPr>
        <w:t xml:space="preserve"> </w:t>
      </w:r>
      <w:r>
        <w:t>point</w:t>
      </w:r>
      <w:r>
        <w:rPr>
          <w:spacing w:val="-3"/>
        </w:rPr>
        <w:t xml:space="preserve"> </w:t>
      </w:r>
      <w:r>
        <w:t>risk</w:t>
      </w:r>
      <w:r>
        <w:rPr>
          <w:spacing w:val="-3"/>
        </w:rPr>
        <w:t xml:space="preserve"> </w:t>
      </w:r>
      <w:r>
        <w:t>scores</w:t>
      </w:r>
      <w:r>
        <w:rPr>
          <w:spacing w:val="-4"/>
        </w:rPr>
        <w:t xml:space="preserve"> </w:t>
      </w:r>
      <w:r>
        <w:t>calculated</w:t>
      </w:r>
      <w:r>
        <w:rPr>
          <w:spacing w:val="-3"/>
        </w:rPr>
        <w:t xml:space="preserve"> </w:t>
      </w:r>
      <w:r>
        <w:t>with</w:t>
      </w:r>
      <w:r>
        <w:rPr>
          <w:spacing w:val="-3"/>
        </w:rPr>
        <w:t xml:space="preserve"> </w:t>
      </w:r>
      <w:r>
        <w:t>the</w:t>
      </w:r>
      <w:r>
        <w:rPr>
          <w:spacing w:val="-3"/>
        </w:rPr>
        <w:t xml:space="preserve"> </w:t>
      </w:r>
      <w:r>
        <w:t>model</w:t>
      </w:r>
      <w:r>
        <w:rPr>
          <w:spacing w:val="-1"/>
        </w:rPr>
        <w:t xml:space="preserve"> </w:t>
      </w:r>
      <w:r>
        <w:t>used</w:t>
      </w:r>
      <w:r>
        <w:rPr>
          <w:spacing w:val="-3"/>
        </w:rPr>
        <w:t xml:space="preserve"> </w:t>
      </w:r>
      <w:r>
        <w:t>for</w:t>
      </w:r>
      <w:r>
        <w:rPr>
          <w:spacing w:val="-2"/>
        </w:rPr>
        <w:t xml:space="preserve"> </w:t>
      </w:r>
      <w:r>
        <w:t>2025, which are included in the beneficiary-level files sent to MAOs electronically after the publication of the CY2027 Announcement.</w:t>
      </w:r>
    </w:p>
    <w:p>
      <w:pPr>
        <w:pStyle w:val="BodyText"/>
        <w:spacing w:before="120"/>
        <w:ind w:right="1492"/>
      </w:pPr>
      <w:r>
        <w:t>Also</w:t>
      </w:r>
      <w:r>
        <w:rPr>
          <w:spacing w:val="-2"/>
        </w:rPr>
        <w:t xml:space="preserve"> </w:t>
      </w:r>
      <w:r>
        <w:t>enter</w:t>
      </w:r>
      <w:r>
        <w:rPr>
          <w:spacing w:val="-4"/>
        </w:rPr>
        <w:t xml:space="preserve"> </w:t>
      </w:r>
      <w:r>
        <w:t>the</w:t>
      </w:r>
      <w:r>
        <w:rPr>
          <w:spacing w:val="-2"/>
        </w:rPr>
        <w:t xml:space="preserve"> </w:t>
      </w:r>
      <w:r>
        <w:t>risk</w:t>
      </w:r>
      <w:r>
        <w:rPr>
          <w:spacing w:val="-2"/>
        </w:rPr>
        <w:t xml:space="preserve"> </w:t>
      </w:r>
      <w:r>
        <w:t>score</w:t>
      </w:r>
      <w:r>
        <w:rPr>
          <w:spacing w:val="-2"/>
        </w:rPr>
        <w:t xml:space="preserve"> </w:t>
      </w:r>
      <w:r>
        <w:t>for</w:t>
      </w:r>
      <w:r>
        <w:rPr>
          <w:spacing w:val="-4"/>
        </w:rPr>
        <w:t xml:space="preserve"> </w:t>
      </w:r>
      <w:r>
        <w:t>the</w:t>
      </w:r>
      <w:r>
        <w:rPr>
          <w:spacing w:val="-2"/>
        </w:rPr>
        <w:t xml:space="preserve"> </w:t>
      </w:r>
      <w:r>
        <w:t>non-DE#</w:t>
      </w:r>
      <w:r>
        <w:rPr>
          <w:spacing w:val="-3"/>
        </w:rPr>
        <w:t xml:space="preserve"> </w:t>
      </w:r>
      <w:r>
        <w:t>subset.</w:t>
      </w:r>
      <w:r>
        <w:rPr>
          <w:spacing w:val="-2"/>
        </w:rPr>
        <w:t xml:space="preserve"> </w:t>
      </w:r>
      <w:r>
        <w:t>The</w:t>
      </w:r>
      <w:r>
        <w:rPr>
          <w:spacing w:val="-3"/>
        </w:rPr>
        <w:t xml:space="preserve"> </w:t>
      </w:r>
      <w:r>
        <w:t>DE#</w:t>
      </w:r>
      <w:r>
        <w:rPr>
          <w:spacing w:val="-2"/>
        </w:rPr>
        <w:t xml:space="preserve"> </w:t>
      </w:r>
      <w:r>
        <w:t>subset</w:t>
      </w:r>
      <w:r>
        <w:rPr>
          <w:spacing w:val="-2"/>
        </w:rPr>
        <w:t xml:space="preserve"> </w:t>
      </w:r>
      <w:r>
        <w:t>will</w:t>
      </w:r>
      <w:r>
        <w:rPr>
          <w:spacing w:val="-2"/>
        </w:rPr>
        <w:t xml:space="preserve"> </w:t>
      </w:r>
      <w:r>
        <w:t>be</w:t>
      </w:r>
      <w:r>
        <w:rPr>
          <w:spacing w:val="-3"/>
        </w:rPr>
        <w:t xml:space="preserve"> </w:t>
      </w:r>
      <w:r>
        <w:t>calculated</w:t>
      </w:r>
      <w:r>
        <w:rPr>
          <w:spacing w:val="-2"/>
        </w:rPr>
        <w:t xml:space="preserve"> </w:t>
      </w:r>
      <w:r>
        <w:t>based</w:t>
      </w:r>
      <w:r>
        <w:rPr>
          <w:spacing w:val="-2"/>
        </w:rPr>
        <w:t xml:space="preserve"> </w:t>
      </w:r>
      <w:r>
        <w:t>on the total and non-DE# amounts entered. The DE# risk score default calculation may be overwritten</w:t>
      </w:r>
      <w:r>
        <w:rPr>
          <w:spacing w:val="-3"/>
        </w:rPr>
        <w:t xml:space="preserve"> </w:t>
      </w:r>
      <w:r>
        <w:t>by</w:t>
      </w:r>
      <w:r>
        <w:rPr>
          <w:spacing w:val="-3"/>
        </w:rPr>
        <w:t xml:space="preserve"> </w:t>
      </w:r>
      <w:r>
        <w:t>the</w:t>
      </w:r>
      <w:r>
        <w:rPr>
          <w:spacing w:val="-4"/>
        </w:rPr>
        <w:t xml:space="preserve"> </w:t>
      </w:r>
      <w:r>
        <w:t>user.</w:t>
      </w:r>
      <w:r>
        <w:rPr>
          <w:spacing w:val="-1"/>
        </w:rPr>
        <w:t xml:space="preserve"> </w:t>
      </w:r>
      <w:r>
        <w:t>See</w:t>
      </w:r>
      <w:r>
        <w:rPr>
          <w:spacing w:val="-4"/>
        </w:rPr>
        <w:t xml:space="preserve"> </w:t>
      </w:r>
      <w:r>
        <w:t>the</w:t>
      </w:r>
      <w:r>
        <w:rPr>
          <w:spacing w:val="-3"/>
        </w:rPr>
        <w:t xml:space="preserve"> </w:t>
      </w:r>
      <w:r>
        <w:t>“Dual-Eligible</w:t>
      </w:r>
      <w:r>
        <w:rPr>
          <w:spacing w:val="-3"/>
        </w:rPr>
        <w:t xml:space="preserve"> </w:t>
      </w:r>
      <w:r>
        <w:t>Beneficiaries”</w:t>
      </w:r>
      <w:r>
        <w:rPr>
          <w:spacing w:val="-4"/>
        </w:rPr>
        <w:t xml:space="preserve"> </w:t>
      </w:r>
      <w:r>
        <w:t>pricing</w:t>
      </w:r>
      <w:r>
        <w:rPr>
          <w:spacing w:val="-3"/>
        </w:rPr>
        <w:t xml:space="preserve"> </w:t>
      </w:r>
      <w:r>
        <w:t>consideration</w:t>
      </w:r>
      <w:r>
        <w:rPr>
          <w:spacing w:val="-3"/>
        </w:rPr>
        <w:t xml:space="preserve"> </w:t>
      </w:r>
      <w:r>
        <w:t>for</w:t>
      </w:r>
      <w:r>
        <w:rPr>
          <w:spacing w:val="-3"/>
        </w:rPr>
        <w:t xml:space="preserve"> </w:t>
      </w:r>
      <w:r>
        <w:t>more information about base period risk scores.</w:t>
      </w:r>
    </w:p>
    <w:p>
      <w:pPr>
        <w:pStyle w:val="BodyText"/>
        <w:spacing w:before="121"/>
      </w:pPr>
      <w:r>
        <w:t>If</w:t>
      </w:r>
      <w:r>
        <w:rPr>
          <w:spacing w:val="-5"/>
        </w:rPr>
        <w:t xml:space="preserve"> </w:t>
      </w:r>
      <w:r>
        <w:t>DE#</w:t>
      </w:r>
      <w:r>
        <w:rPr>
          <w:spacing w:val="-1"/>
        </w:rPr>
        <w:t xml:space="preserve"> </w:t>
      </w:r>
      <w:r>
        <w:t>members</w:t>
      </w:r>
      <w:r>
        <w:rPr>
          <w:spacing w:val="-1"/>
        </w:rPr>
        <w:t xml:space="preserve"> </w:t>
      </w:r>
      <w:r>
        <w:t>equals</w:t>
      </w:r>
      <w:r>
        <w:rPr>
          <w:spacing w:val="-2"/>
        </w:rPr>
        <w:t xml:space="preserve"> </w:t>
      </w:r>
      <w:r>
        <w:t>zero, then</w:t>
      </w:r>
      <w:r>
        <w:rPr>
          <w:spacing w:val="-1"/>
        </w:rPr>
        <w:t xml:space="preserve"> </w:t>
      </w:r>
      <w:r>
        <w:t>the non-DE#</w:t>
      </w:r>
      <w:r>
        <w:rPr>
          <w:spacing w:val="-1"/>
        </w:rPr>
        <w:t xml:space="preserve"> </w:t>
      </w:r>
      <w:r>
        <w:t>risk score</w:t>
      </w:r>
      <w:r>
        <w:rPr>
          <w:spacing w:val="-3"/>
        </w:rPr>
        <w:t xml:space="preserve"> </w:t>
      </w:r>
      <w:r>
        <w:t>must</w:t>
      </w:r>
      <w:r>
        <w:rPr>
          <w:spacing w:val="1"/>
        </w:rPr>
        <w:t xml:space="preserve"> </w:t>
      </w:r>
      <w:r>
        <w:t>equal</w:t>
      </w:r>
      <w:r>
        <w:rPr>
          <w:spacing w:val="-1"/>
        </w:rPr>
        <w:t xml:space="preserve"> </w:t>
      </w:r>
      <w:r>
        <w:t>the</w:t>
      </w:r>
      <w:r>
        <w:rPr>
          <w:spacing w:val="-1"/>
        </w:rPr>
        <w:t xml:space="preserve"> </w:t>
      </w:r>
      <w:r>
        <w:t>total</w:t>
      </w:r>
      <w:r>
        <w:rPr>
          <w:spacing w:val="-1"/>
        </w:rPr>
        <w:t xml:space="preserve"> </w:t>
      </w:r>
      <w:r>
        <w:t xml:space="preserve">risk </w:t>
      </w:r>
      <w:r>
        <w:rPr>
          <w:spacing w:val="-2"/>
        </w:rPr>
        <w:t>score.</w:t>
      </w:r>
    </w:p>
    <w:p>
      <w:pPr>
        <w:spacing w:before="241"/>
        <w:ind w:left="504" w:right="0" w:firstLine="0"/>
        <w:jc w:val="left"/>
        <w:rPr>
          <w:rFonts w:ascii="Arial" w:hAnsi="Arial"/>
          <w:b/>
          <w:sz w:val="21"/>
        </w:rPr>
      </w:pPr>
      <w:bookmarkStart w:id="141" w:name="Line 4 – Completion Factor"/>
      <w:bookmarkEnd w:id="141"/>
      <w:r>
        <w:rPr>
          <w:rFonts w:ascii="Arial" w:hAnsi="Arial"/>
          <w:b/>
          <w:sz w:val="21"/>
        </w:rPr>
        <w:t>Line</w:t>
      </w:r>
      <w:r>
        <w:rPr>
          <w:rFonts w:ascii="Arial" w:hAnsi="Arial"/>
          <w:b/>
          <w:spacing w:val="-5"/>
          <w:sz w:val="21"/>
        </w:rPr>
        <w:t xml:space="preserve"> </w:t>
      </w:r>
      <w:r>
        <w:rPr>
          <w:rFonts w:ascii="Arial" w:hAnsi="Arial"/>
          <w:b/>
          <w:sz w:val="21"/>
        </w:rPr>
        <w:t>4</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Completion</w:t>
      </w:r>
      <w:r>
        <w:rPr>
          <w:rFonts w:ascii="Arial" w:hAnsi="Arial"/>
          <w:b/>
          <w:spacing w:val="-3"/>
          <w:sz w:val="21"/>
        </w:rPr>
        <w:t xml:space="preserve"> </w:t>
      </w:r>
      <w:r>
        <w:rPr>
          <w:rFonts w:ascii="Arial" w:hAnsi="Arial"/>
          <w:b/>
          <w:spacing w:val="-2"/>
          <w:sz w:val="21"/>
        </w:rPr>
        <w:t>Factor</w:t>
      </w:r>
    </w:p>
    <w:p>
      <w:pPr>
        <w:pStyle w:val="BodyText"/>
        <w:spacing w:before="120"/>
        <w:ind w:right="1492"/>
      </w:pPr>
      <w:r>
        <w:t>Enter</w:t>
      </w:r>
      <w:r>
        <w:rPr>
          <w:spacing w:val="-1"/>
        </w:rPr>
        <w:t xml:space="preserve"> </w:t>
      </w:r>
      <w:r>
        <w:t>the</w:t>
      </w:r>
      <w:r>
        <w:rPr>
          <w:spacing w:val="-3"/>
        </w:rPr>
        <w:t xml:space="preserve"> </w:t>
      </w:r>
      <w:r>
        <w:t>multiplicative</w:t>
      </w:r>
      <w:r>
        <w:rPr>
          <w:spacing w:val="-1"/>
        </w:rPr>
        <w:t xml:space="preserve"> </w:t>
      </w:r>
      <w:r>
        <w:t>factor</w:t>
      </w:r>
      <w:r>
        <w:rPr>
          <w:spacing w:val="-1"/>
        </w:rPr>
        <w:t xml:space="preserve"> </w:t>
      </w:r>
      <w:r>
        <w:t>used</w:t>
      </w:r>
      <w:r>
        <w:rPr>
          <w:spacing w:val="-1"/>
        </w:rPr>
        <w:t xml:space="preserve"> </w:t>
      </w:r>
      <w:r>
        <w:t>to</w:t>
      </w:r>
      <w:r>
        <w:rPr>
          <w:spacing w:val="-1"/>
        </w:rPr>
        <w:t xml:space="preserve"> </w:t>
      </w:r>
      <w:r>
        <w:t>adjust</w:t>
      </w:r>
      <w:r>
        <w:rPr>
          <w:spacing w:val="-1"/>
        </w:rPr>
        <w:t xml:space="preserve"> </w:t>
      </w:r>
      <w:r>
        <w:t>the</w:t>
      </w:r>
      <w:r>
        <w:rPr>
          <w:spacing w:val="-1"/>
        </w:rPr>
        <w:t xml:space="preserve"> </w:t>
      </w:r>
      <w:r>
        <w:t>paid</w:t>
      </w:r>
      <w:r>
        <w:rPr>
          <w:spacing w:val="-1"/>
        </w:rPr>
        <w:t xml:space="preserve"> </w:t>
      </w:r>
      <w:r>
        <w:t>data</w:t>
      </w:r>
      <w:r>
        <w:rPr>
          <w:spacing w:val="-2"/>
        </w:rPr>
        <w:t xml:space="preserve"> </w:t>
      </w:r>
      <w:r>
        <w:t>to</w:t>
      </w:r>
      <w:r>
        <w:rPr>
          <w:spacing w:val="-1"/>
        </w:rPr>
        <w:t xml:space="preserve"> </w:t>
      </w:r>
      <w:r>
        <w:t>an</w:t>
      </w:r>
      <w:r>
        <w:rPr>
          <w:spacing w:val="-1"/>
        </w:rPr>
        <w:t xml:space="preserve"> </w:t>
      </w:r>
      <w:r>
        <w:t>incurred</w:t>
      </w:r>
      <w:r>
        <w:rPr>
          <w:spacing w:val="-1"/>
        </w:rPr>
        <w:t xml:space="preserve"> </w:t>
      </w:r>
      <w:r>
        <w:t>basis.</w:t>
      </w:r>
      <w:r>
        <w:rPr>
          <w:spacing w:val="-1"/>
        </w:rPr>
        <w:t xml:space="preserve"> </w:t>
      </w:r>
      <w:r>
        <w:t>The</w:t>
      </w:r>
      <w:r>
        <w:rPr>
          <w:spacing w:val="-2"/>
        </w:rPr>
        <w:t xml:space="preserve"> </w:t>
      </w:r>
      <w:r>
        <w:t>base</w:t>
      </w:r>
      <w:r>
        <w:rPr>
          <w:spacing w:val="-2"/>
        </w:rPr>
        <w:t xml:space="preserve"> </w:t>
      </w:r>
      <w:r>
        <w:t>period data must represent the best estimate of incurred claims for the time period, including any unpaid</w:t>
      </w:r>
      <w:r>
        <w:rPr>
          <w:spacing w:val="-3"/>
        </w:rPr>
        <w:t xml:space="preserve"> </w:t>
      </w:r>
      <w:r>
        <w:t>claims</w:t>
      </w:r>
      <w:r>
        <w:rPr>
          <w:spacing w:val="-3"/>
        </w:rPr>
        <w:t xml:space="preserve"> </w:t>
      </w:r>
      <w:r>
        <w:t>as</w:t>
      </w:r>
      <w:r>
        <w:rPr>
          <w:spacing w:val="-3"/>
        </w:rPr>
        <w:t xml:space="preserve"> </w:t>
      </w:r>
      <w:r>
        <w:t>of</w:t>
      </w:r>
      <w:r>
        <w:rPr>
          <w:spacing w:val="-3"/>
        </w:rPr>
        <w:t xml:space="preserve"> </w:t>
      </w:r>
      <w:r>
        <w:t>the</w:t>
      </w:r>
      <w:r>
        <w:rPr>
          <w:spacing w:val="-3"/>
        </w:rPr>
        <w:t xml:space="preserve"> </w:t>
      </w:r>
      <w:r>
        <w:t>paid-through</w:t>
      </w:r>
      <w:r>
        <w:rPr>
          <w:spacing w:val="-3"/>
        </w:rPr>
        <w:t xml:space="preserve"> </w:t>
      </w:r>
      <w:r>
        <w:t>date.</w:t>
      </w:r>
      <w:r>
        <w:rPr>
          <w:spacing w:val="-3"/>
        </w:rPr>
        <w:t xml:space="preserve"> </w:t>
      </w:r>
      <w:r>
        <w:t>The</w:t>
      </w:r>
      <w:r>
        <w:rPr>
          <w:spacing w:val="-3"/>
        </w:rPr>
        <w:t xml:space="preserve"> </w:t>
      </w:r>
      <w:r>
        <w:t>factor</w:t>
      </w:r>
      <w:r>
        <w:rPr>
          <w:spacing w:val="-3"/>
        </w:rPr>
        <w:t xml:space="preserve"> </w:t>
      </w:r>
      <w:r>
        <w:t>entered</w:t>
      </w:r>
      <w:r>
        <w:rPr>
          <w:spacing w:val="-3"/>
        </w:rPr>
        <w:t xml:space="preserve"> </w:t>
      </w:r>
      <w:r>
        <w:t>must</w:t>
      </w:r>
      <w:r>
        <w:rPr>
          <w:spacing w:val="-3"/>
        </w:rPr>
        <w:t xml:space="preserve"> </w:t>
      </w:r>
      <w:r>
        <w:t>be</w:t>
      </w:r>
      <w:r>
        <w:rPr>
          <w:spacing w:val="-3"/>
        </w:rPr>
        <w:t xml:space="preserve"> </w:t>
      </w:r>
      <w:r>
        <w:t>the</w:t>
      </w:r>
      <w:r>
        <w:rPr>
          <w:spacing w:val="-2"/>
        </w:rPr>
        <w:t xml:space="preserve"> </w:t>
      </w:r>
      <w:r>
        <w:t>amount</w:t>
      </w:r>
      <w:r>
        <w:rPr>
          <w:spacing w:val="-3"/>
        </w:rPr>
        <w:t xml:space="preserve"> </w:t>
      </w:r>
      <w:r>
        <w:t>to</w:t>
      </w:r>
      <w:r>
        <w:rPr>
          <w:spacing w:val="-3"/>
        </w:rPr>
        <w:t xml:space="preserve"> </w:t>
      </w:r>
      <w:r>
        <w:t>adjust</w:t>
      </w:r>
      <w:r>
        <w:rPr>
          <w:spacing w:val="-3"/>
        </w:rPr>
        <w:t xml:space="preserve"> </w:t>
      </w:r>
      <w:r>
        <w:t>only the portion of paid claims that requires completion (that is, omit capitations from the calculation of this factor).</w:t>
      </w:r>
    </w:p>
    <w:p>
      <w:pPr>
        <w:pStyle w:val="BodyText"/>
        <w:spacing w:before="120"/>
      </w:pPr>
      <w:r>
        <w:t>For</w:t>
      </w:r>
      <w:r>
        <w:rPr>
          <w:spacing w:val="-2"/>
        </w:rPr>
        <w:t xml:space="preserve"> </w:t>
      </w:r>
      <w:r>
        <w:t>example,</w:t>
      </w:r>
      <w:r>
        <w:rPr>
          <w:spacing w:val="-1"/>
        </w:rPr>
        <w:t xml:space="preserve"> </w:t>
      </w:r>
      <w:r>
        <w:t>assume</w:t>
      </w:r>
      <w:r>
        <w:rPr>
          <w:spacing w:val="-2"/>
        </w:rPr>
        <w:t xml:space="preserve"> </w:t>
      </w:r>
      <w:r>
        <w:t xml:space="preserve">the </w:t>
      </w:r>
      <w:r>
        <w:rPr>
          <w:spacing w:val="-2"/>
        </w:rPr>
        <w:t>following:</w:t>
      </w:r>
    </w:p>
    <w:p>
      <w:pPr>
        <w:pStyle w:val="BodyText"/>
        <w:spacing w:before="1" w:after="1"/>
        <w:ind w:left="0"/>
        <w:rPr>
          <w:sz w:val="11"/>
        </w:rPr>
      </w:pPr>
    </w:p>
    <w:tbl>
      <w:tblPr>
        <w:tblStyle w:val="TableNormal"/>
        <w:tblW w:w="0" w:type="auto"/>
        <w:jc w:val="left"/>
        <w:tblInd w:w="1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70"/>
        <w:gridCol w:w="2466"/>
      </w:tblGrid>
      <w:tr>
        <w:tblPrEx>
          <w:tblW w:w="0" w:type="auto"/>
          <w:jc w:val="left"/>
          <w:tblInd w:w="1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48"/>
          <w:jc w:val="left"/>
        </w:trPr>
        <w:tc>
          <w:tcPr>
            <w:tcW w:w="4770" w:type="dxa"/>
          </w:tcPr>
          <w:p>
            <w:pPr>
              <w:pStyle w:val="TableParagraph"/>
              <w:spacing w:line="228" w:lineRule="exact"/>
              <w:ind w:left="50"/>
              <w:rPr>
                <w:sz w:val="22"/>
              </w:rPr>
            </w:pPr>
            <w:r>
              <w:rPr>
                <w:sz w:val="22"/>
              </w:rPr>
              <w:t>Incurred</w:t>
            </w:r>
            <w:r>
              <w:rPr>
                <w:spacing w:val="-5"/>
                <w:sz w:val="22"/>
              </w:rPr>
              <w:t xml:space="preserve"> </w:t>
            </w:r>
            <w:r>
              <w:rPr>
                <w:spacing w:val="-4"/>
                <w:sz w:val="22"/>
              </w:rPr>
              <w:t>Date</w:t>
            </w:r>
          </w:p>
        </w:tc>
        <w:tc>
          <w:tcPr>
            <w:tcW w:w="2466" w:type="dxa"/>
          </w:tcPr>
          <w:p>
            <w:pPr>
              <w:pStyle w:val="TableParagraph"/>
              <w:spacing w:line="228" w:lineRule="exact"/>
              <w:ind w:left="409"/>
              <w:rPr>
                <w:sz w:val="22"/>
              </w:rPr>
            </w:pPr>
            <w:r>
              <w:rPr>
                <w:sz w:val="22"/>
              </w:rPr>
              <w:t>1/1/2025</w:t>
            </w:r>
            <w:r>
              <w:rPr>
                <w:spacing w:val="-2"/>
                <w:sz w:val="22"/>
              </w:rPr>
              <w:t xml:space="preserve"> </w:t>
            </w:r>
            <w:r>
              <w:rPr>
                <w:sz w:val="22"/>
              </w:rPr>
              <w:t>–</w:t>
            </w:r>
            <w:r>
              <w:rPr>
                <w:spacing w:val="-3"/>
                <w:sz w:val="22"/>
              </w:rPr>
              <w:t xml:space="preserve"> </w:t>
            </w:r>
            <w:r>
              <w:rPr>
                <w:spacing w:val="-2"/>
                <w:sz w:val="22"/>
              </w:rPr>
              <w:t>12/31/2025</w:t>
            </w:r>
          </w:p>
        </w:tc>
      </w:tr>
      <w:tr>
        <w:tblPrEx>
          <w:tblW w:w="0" w:type="auto"/>
          <w:jc w:val="left"/>
          <w:tblInd w:w="1376" w:type="dxa"/>
          <w:tblLayout w:type="fixed"/>
          <w:tblCellMar>
            <w:top w:w="0" w:type="dxa"/>
            <w:left w:w="0" w:type="dxa"/>
            <w:bottom w:w="0" w:type="dxa"/>
            <w:right w:w="0" w:type="dxa"/>
          </w:tblCellMar>
          <w:tblLook w:val="01E0"/>
        </w:tblPrEx>
        <w:trPr>
          <w:trHeight w:val="252"/>
          <w:jc w:val="left"/>
        </w:trPr>
        <w:tc>
          <w:tcPr>
            <w:tcW w:w="4770" w:type="dxa"/>
          </w:tcPr>
          <w:p>
            <w:pPr>
              <w:pStyle w:val="TableParagraph"/>
              <w:spacing w:line="232" w:lineRule="exact"/>
              <w:ind w:left="50"/>
              <w:rPr>
                <w:sz w:val="22"/>
              </w:rPr>
            </w:pPr>
            <w:r>
              <w:rPr>
                <w:sz w:val="22"/>
              </w:rPr>
              <w:t>Paid-Through</w:t>
            </w:r>
            <w:r>
              <w:rPr>
                <w:spacing w:val="-4"/>
                <w:sz w:val="22"/>
              </w:rPr>
              <w:t xml:space="preserve"> </w:t>
            </w:r>
            <w:r>
              <w:rPr>
                <w:sz w:val="22"/>
              </w:rPr>
              <w:t>Date</w:t>
            </w:r>
            <w:r>
              <w:rPr>
                <w:spacing w:val="-3"/>
                <w:sz w:val="22"/>
              </w:rPr>
              <w:t xml:space="preserve"> </w:t>
            </w:r>
            <w:r>
              <w:rPr>
                <w:spacing w:val="-4"/>
                <w:sz w:val="22"/>
              </w:rPr>
              <w:t>(PTD)</w:t>
            </w:r>
          </w:p>
        </w:tc>
        <w:tc>
          <w:tcPr>
            <w:tcW w:w="2466" w:type="dxa"/>
          </w:tcPr>
          <w:p>
            <w:pPr>
              <w:pStyle w:val="TableParagraph"/>
              <w:spacing w:line="232" w:lineRule="exact"/>
              <w:ind w:left="409"/>
              <w:rPr>
                <w:sz w:val="22"/>
              </w:rPr>
            </w:pPr>
            <w:r>
              <w:rPr>
                <w:spacing w:val="-2"/>
                <w:sz w:val="22"/>
              </w:rPr>
              <w:t>2/28/2026</w:t>
            </w:r>
          </w:p>
        </w:tc>
      </w:tr>
      <w:tr>
        <w:tblPrEx>
          <w:tblW w:w="0" w:type="auto"/>
          <w:jc w:val="left"/>
          <w:tblInd w:w="1376" w:type="dxa"/>
          <w:tblLayout w:type="fixed"/>
          <w:tblCellMar>
            <w:top w:w="0" w:type="dxa"/>
            <w:left w:w="0" w:type="dxa"/>
            <w:bottom w:w="0" w:type="dxa"/>
            <w:right w:w="0" w:type="dxa"/>
          </w:tblCellMar>
          <w:tblLook w:val="01E0"/>
        </w:tblPrEx>
        <w:trPr>
          <w:trHeight w:val="253"/>
          <w:jc w:val="left"/>
        </w:trPr>
        <w:tc>
          <w:tcPr>
            <w:tcW w:w="4770" w:type="dxa"/>
          </w:tcPr>
          <w:p>
            <w:pPr>
              <w:pStyle w:val="TableParagraph"/>
              <w:spacing w:line="233" w:lineRule="exact"/>
              <w:ind w:left="50"/>
              <w:rPr>
                <w:sz w:val="22"/>
              </w:rPr>
            </w:pPr>
            <w:r>
              <w:rPr>
                <w:sz w:val="22"/>
              </w:rPr>
              <w:t>Capitation</w:t>
            </w:r>
            <w:r>
              <w:rPr>
                <w:spacing w:val="-4"/>
                <w:sz w:val="22"/>
              </w:rPr>
              <w:t xml:space="preserve"> </w:t>
            </w:r>
            <w:r>
              <w:rPr>
                <w:spacing w:val="-2"/>
                <w:sz w:val="22"/>
              </w:rPr>
              <w:t>Payments</w:t>
            </w:r>
          </w:p>
        </w:tc>
        <w:tc>
          <w:tcPr>
            <w:tcW w:w="2466" w:type="dxa"/>
          </w:tcPr>
          <w:p>
            <w:pPr>
              <w:pStyle w:val="TableParagraph"/>
              <w:spacing w:line="233" w:lineRule="exact"/>
              <w:ind w:left="1117"/>
              <w:rPr>
                <w:sz w:val="22"/>
              </w:rPr>
            </w:pPr>
            <w:r>
              <w:rPr>
                <w:sz w:val="22"/>
              </w:rPr>
              <w:t>$</w:t>
            </w:r>
            <w:r>
              <w:rPr>
                <w:spacing w:val="43"/>
                <w:sz w:val="22"/>
              </w:rPr>
              <w:t xml:space="preserve"> </w:t>
            </w:r>
            <w:r>
              <w:rPr>
                <w:spacing w:val="-5"/>
                <w:sz w:val="22"/>
              </w:rPr>
              <w:t>100</w:t>
            </w:r>
          </w:p>
        </w:tc>
      </w:tr>
      <w:tr>
        <w:tblPrEx>
          <w:tblW w:w="0" w:type="auto"/>
          <w:jc w:val="left"/>
          <w:tblInd w:w="1376" w:type="dxa"/>
          <w:tblLayout w:type="fixed"/>
          <w:tblCellMar>
            <w:top w:w="0" w:type="dxa"/>
            <w:left w:w="0" w:type="dxa"/>
            <w:bottom w:w="0" w:type="dxa"/>
            <w:right w:w="0" w:type="dxa"/>
          </w:tblCellMar>
          <w:tblLook w:val="01E0"/>
        </w:tblPrEx>
        <w:trPr>
          <w:trHeight w:val="253"/>
          <w:jc w:val="left"/>
        </w:trPr>
        <w:tc>
          <w:tcPr>
            <w:tcW w:w="4770" w:type="dxa"/>
          </w:tcPr>
          <w:p>
            <w:pPr>
              <w:pStyle w:val="TableParagraph"/>
              <w:spacing w:line="233" w:lineRule="exact"/>
              <w:ind w:left="50"/>
              <w:rPr>
                <w:sz w:val="22"/>
              </w:rPr>
            </w:pPr>
            <w:r>
              <w:rPr>
                <w:sz w:val="22"/>
              </w:rPr>
              <w:t>PTD</w:t>
            </w:r>
            <w:r>
              <w:rPr>
                <w:spacing w:val="-5"/>
                <w:sz w:val="22"/>
              </w:rPr>
              <w:t xml:space="preserve"> </w:t>
            </w:r>
            <w:r>
              <w:rPr>
                <w:sz w:val="22"/>
              </w:rPr>
              <w:t>Claims</w:t>
            </w:r>
            <w:r>
              <w:rPr>
                <w:spacing w:val="-4"/>
                <w:sz w:val="22"/>
              </w:rPr>
              <w:t xml:space="preserve"> </w:t>
            </w:r>
            <w:r>
              <w:rPr>
                <w:sz w:val="22"/>
              </w:rPr>
              <w:t>Requiring</w:t>
            </w:r>
            <w:r>
              <w:rPr>
                <w:spacing w:val="-4"/>
                <w:sz w:val="22"/>
              </w:rPr>
              <w:t xml:space="preserve"> </w:t>
            </w:r>
            <w:r>
              <w:rPr>
                <w:spacing w:val="-2"/>
                <w:sz w:val="22"/>
              </w:rPr>
              <w:t>Completion</w:t>
            </w:r>
          </w:p>
        </w:tc>
        <w:tc>
          <w:tcPr>
            <w:tcW w:w="2466" w:type="dxa"/>
          </w:tcPr>
          <w:p>
            <w:pPr>
              <w:pStyle w:val="TableParagraph"/>
              <w:spacing w:line="233" w:lineRule="exact"/>
              <w:ind w:left="1117"/>
              <w:rPr>
                <w:sz w:val="22"/>
              </w:rPr>
            </w:pPr>
            <w:r>
              <w:rPr>
                <w:sz w:val="22"/>
              </w:rPr>
              <w:t>$</w:t>
            </w:r>
            <w:r>
              <w:rPr>
                <w:spacing w:val="43"/>
                <w:sz w:val="22"/>
              </w:rPr>
              <w:t xml:space="preserve"> </w:t>
            </w:r>
            <w:r>
              <w:rPr>
                <w:spacing w:val="-5"/>
                <w:sz w:val="22"/>
              </w:rPr>
              <w:t>400</w:t>
            </w:r>
          </w:p>
        </w:tc>
      </w:tr>
      <w:tr>
        <w:tblPrEx>
          <w:tblW w:w="0" w:type="auto"/>
          <w:jc w:val="left"/>
          <w:tblInd w:w="1376" w:type="dxa"/>
          <w:tblLayout w:type="fixed"/>
          <w:tblCellMar>
            <w:top w:w="0" w:type="dxa"/>
            <w:left w:w="0" w:type="dxa"/>
            <w:bottom w:w="0" w:type="dxa"/>
            <w:right w:w="0" w:type="dxa"/>
          </w:tblCellMar>
          <w:tblLook w:val="01E0"/>
        </w:tblPrEx>
        <w:trPr>
          <w:trHeight w:val="253"/>
          <w:jc w:val="left"/>
        </w:trPr>
        <w:tc>
          <w:tcPr>
            <w:tcW w:w="4770" w:type="dxa"/>
          </w:tcPr>
          <w:p>
            <w:pPr>
              <w:pStyle w:val="TableParagraph"/>
              <w:spacing w:line="233" w:lineRule="exact"/>
              <w:ind w:left="50"/>
              <w:rPr>
                <w:sz w:val="22"/>
              </w:rPr>
            </w:pPr>
            <w:r>
              <w:rPr>
                <w:sz w:val="22"/>
                <w:u w:val="single"/>
              </w:rPr>
              <w:t>Estimate</w:t>
            </w:r>
            <w:r>
              <w:rPr>
                <w:spacing w:val="-4"/>
                <w:sz w:val="22"/>
                <w:u w:val="single"/>
              </w:rPr>
              <w:t xml:space="preserve"> </w:t>
            </w:r>
            <w:r>
              <w:rPr>
                <w:sz w:val="22"/>
                <w:u w:val="single"/>
              </w:rPr>
              <w:t>of</w:t>
            </w:r>
            <w:r>
              <w:rPr>
                <w:spacing w:val="-3"/>
                <w:sz w:val="22"/>
                <w:u w:val="single"/>
              </w:rPr>
              <w:t xml:space="preserve"> </w:t>
            </w:r>
            <w:r>
              <w:rPr>
                <w:sz w:val="22"/>
                <w:u w:val="single"/>
              </w:rPr>
              <w:t>Unpaid</w:t>
            </w:r>
            <w:r>
              <w:rPr>
                <w:spacing w:val="-2"/>
                <w:sz w:val="22"/>
                <w:u w:val="single"/>
              </w:rPr>
              <w:t xml:space="preserve"> </w:t>
            </w:r>
            <w:r>
              <w:rPr>
                <w:sz w:val="22"/>
                <w:u w:val="single"/>
              </w:rPr>
              <w:t>2025</w:t>
            </w:r>
            <w:r>
              <w:rPr>
                <w:spacing w:val="-4"/>
                <w:sz w:val="22"/>
                <w:u w:val="single"/>
              </w:rPr>
              <w:t xml:space="preserve"> </w:t>
            </w:r>
            <w:r>
              <w:rPr>
                <w:sz w:val="22"/>
                <w:u w:val="single"/>
              </w:rPr>
              <w:t>Claims</w:t>
            </w:r>
            <w:r>
              <w:rPr>
                <w:spacing w:val="-5"/>
                <w:sz w:val="22"/>
                <w:u w:val="single"/>
              </w:rPr>
              <w:t xml:space="preserve"> </w:t>
            </w:r>
            <w:r>
              <w:rPr>
                <w:sz w:val="22"/>
                <w:u w:val="single"/>
              </w:rPr>
              <w:t>as</w:t>
            </w:r>
            <w:r>
              <w:rPr>
                <w:spacing w:val="-3"/>
                <w:sz w:val="22"/>
                <w:u w:val="single"/>
              </w:rPr>
              <w:t xml:space="preserve"> </w:t>
            </w:r>
            <w:r>
              <w:rPr>
                <w:sz w:val="22"/>
                <w:u w:val="single"/>
              </w:rPr>
              <w:t>of</w:t>
            </w:r>
            <w:r>
              <w:rPr>
                <w:spacing w:val="-3"/>
                <w:sz w:val="22"/>
                <w:u w:val="single"/>
              </w:rPr>
              <w:t xml:space="preserve"> </w:t>
            </w:r>
            <w:r>
              <w:rPr>
                <w:spacing w:val="-2"/>
                <w:sz w:val="22"/>
                <w:u w:val="single"/>
              </w:rPr>
              <w:t>2/28/2026</w:t>
            </w:r>
          </w:p>
        </w:tc>
        <w:tc>
          <w:tcPr>
            <w:tcW w:w="2466" w:type="dxa"/>
          </w:tcPr>
          <w:p>
            <w:pPr>
              <w:pStyle w:val="TableParagraph"/>
              <w:tabs>
                <w:tab w:val="left" w:pos="1436"/>
              </w:tabs>
              <w:spacing w:line="233" w:lineRule="exact"/>
              <w:ind w:left="1117"/>
              <w:rPr>
                <w:sz w:val="22"/>
              </w:rPr>
            </w:pPr>
            <w:r>
              <w:rPr>
                <w:spacing w:val="-10"/>
                <w:sz w:val="22"/>
                <w:u w:val="single"/>
              </w:rPr>
              <w:t>$</w:t>
            </w:r>
            <w:r>
              <w:rPr>
                <w:sz w:val="22"/>
                <w:u w:val="single"/>
              </w:rPr>
              <w:tab/>
            </w:r>
            <w:r>
              <w:rPr>
                <w:spacing w:val="-5"/>
                <w:sz w:val="22"/>
                <w:u w:val="single"/>
              </w:rPr>
              <w:t>30</w:t>
            </w:r>
          </w:p>
        </w:tc>
      </w:tr>
      <w:tr>
        <w:tblPrEx>
          <w:tblW w:w="0" w:type="auto"/>
          <w:jc w:val="left"/>
          <w:tblInd w:w="1376" w:type="dxa"/>
          <w:tblLayout w:type="fixed"/>
          <w:tblCellMar>
            <w:top w:w="0" w:type="dxa"/>
            <w:left w:w="0" w:type="dxa"/>
            <w:bottom w:w="0" w:type="dxa"/>
            <w:right w:w="0" w:type="dxa"/>
          </w:tblCellMar>
          <w:tblLook w:val="01E0"/>
        </w:tblPrEx>
        <w:trPr>
          <w:trHeight w:val="253"/>
          <w:jc w:val="left"/>
        </w:trPr>
        <w:tc>
          <w:tcPr>
            <w:tcW w:w="4770" w:type="dxa"/>
          </w:tcPr>
          <w:p>
            <w:pPr>
              <w:pStyle w:val="TableParagraph"/>
              <w:spacing w:line="233" w:lineRule="exact"/>
              <w:ind w:left="50"/>
              <w:rPr>
                <w:sz w:val="22"/>
              </w:rPr>
            </w:pPr>
            <w:r>
              <w:rPr>
                <w:sz w:val="22"/>
              </w:rPr>
              <w:t>Total</w:t>
            </w:r>
            <w:r>
              <w:rPr>
                <w:spacing w:val="-5"/>
                <w:sz w:val="22"/>
              </w:rPr>
              <w:t xml:space="preserve"> </w:t>
            </w:r>
            <w:r>
              <w:rPr>
                <w:sz w:val="22"/>
              </w:rPr>
              <w:t>Incurred</w:t>
            </w:r>
            <w:r>
              <w:rPr>
                <w:spacing w:val="-4"/>
                <w:sz w:val="22"/>
              </w:rPr>
              <w:t xml:space="preserve"> </w:t>
            </w:r>
            <w:r>
              <w:rPr>
                <w:sz w:val="22"/>
              </w:rPr>
              <w:t>Claims</w:t>
            </w:r>
            <w:r>
              <w:rPr>
                <w:spacing w:val="-5"/>
                <w:sz w:val="22"/>
              </w:rPr>
              <w:t xml:space="preserve"> </w:t>
            </w:r>
            <w:r>
              <w:rPr>
                <w:sz w:val="22"/>
              </w:rPr>
              <w:t>for</w:t>
            </w:r>
            <w:r>
              <w:rPr>
                <w:spacing w:val="-1"/>
                <w:sz w:val="22"/>
              </w:rPr>
              <w:t xml:space="preserve"> </w:t>
            </w:r>
            <w:r>
              <w:rPr>
                <w:spacing w:val="-4"/>
                <w:sz w:val="22"/>
              </w:rPr>
              <w:t>2025</w:t>
            </w:r>
          </w:p>
        </w:tc>
        <w:tc>
          <w:tcPr>
            <w:tcW w:w="2466" w:type="dxa"/>
          </w:tcPr>
          <w:p>
            <w:pPr>
              <w:pStyle w:val="TableParagraph"/>
              <w:spacing w:line="233" w:lineRule="exact"/>
              <w:ind w:left="1117"/>
              <w:rPr>
                <w:sz w:val="22"/>
              </w:rPr>
            </w:pPr>
            <w:r>
              <w:rPr>
                <w:sz w:val="22"/>
              </w:rPr>
              <w:t>$</w:t>
            </w:r>
            <w:r>
              <w:rPr>
                <w:spacing w:val="43"/>
                <w:sz w:val="22"/>
              </w:rPr>
              <w:t xml:space="preserve"> </w:t>
            </w:r>
            <w:r>
              <w:rPr>
                <w:spacing w:val="-5"/>
                <w:sz w:val="22"/>
              </w:rPr>
              <w:t>530</w:t>
            </w:r>
          </w:p>
        </w:tc>
      </w:tr>
      <w:tr>
        <w:tblPrEx>
          <w:tblW w:w="0" w:type="auto"/>
          <w:jc w:val="left"/>
          <w:tblInd w:w="1376" w:type="dxa"/>
          <w:tblLayout w:type="fixed"/>
          <w:tblCellMar>
            <w:top w:w="0" w:type="dxa"/>
            <w:left w:w="0" w:type="dxa"/>
            <w:bottom w:w="0" w:type="dxa"/>
            <w:right w:w="0" w:type="dxa"/>
          </w:tblCellMar>
          <w:tblLook w:val="01E0"/>
        </w:tblPrEx>
        <w:trPr>
          <w:trHeight w:val="252"/>
          <w:jc w:val="left"/>
        </w:trPr>
        <w:tc>
          <w:tcPr>
            <w:tcW w:w="4770" w:type="dxa"/>
          </w:tcPr>
          <w:p>
            <w:pPr>
              <w:pStyle w:val="TableParagraph"/>
              <w:spacing w:line="232" w:lineRule="exact"/>
              <w:ind w:left="50"/>
              <w:rPr>
                <w:sz w:val="22"/>
              </w:rPr>
            </w:pPr>
            <w:r>
              <w:rPr>
                <w:sz w:val="22"/>
              </w:rPr>
              <w:t>The</w:t>
            </w:r>
            <w:r>
              <w:rPr>
                <w:spacing w:val="-5"/>
                <w:sz w:val="22"/>
              </w:rPr>
              <w:t xml:space="preserve"> </w:t>
            </w:r>
            <w:r>
              <w:rPr>
                <w:sz w:val="22"/>
              </w:rPr>
              <w:t>Completion</w:t>
            </w:r>
            <w:r>
              <w:rPr>
                <w:spacing w:val="-4"/>
                <w:sz w:val="22"/>
              </w:rPr>
              <w:t xml:space="preserve"> </w:t>
            </w:r>
            <w:r>
              <w:rPr>
                <w:sz w:val="22"/>
              </w:rPr>
              <w:t>Factor</w:t>
            </w:r>
            <w:r>
              <w:rPr>
                <w:spacing w:val="-5"/>
                <w:sz w:val="22"/>
              </w:rPr>
              <w:t xml:space="preserve"> </w:t>
            </w:r>
            <w:r>
              <w:rPr>
                <w:sz w:val="22"/>
              </w:rPr>
              <w:t>would</w:t>
            </w:r>
            <w:r>
              <w:rPr>
                <w:spacing w:val="-4"/>
                <w:sz w:val="22"/>
              </w:rPr>
              <w:t xml:space="preserve"> </w:t>
            </w:r>
            <w:r>
              <w:rPr>
                <w:sz w:val="22"/>
              </w:rPr>
              <w:t>be</w:t>
            </w:r>
            <w:r>
              <w:rPr>
                <w:spacing w:val="-6"/>
                <w:sz w:val="22"/>
              </w:rPr>
              <w:t xml:space="preserve"> </w:t>
            </w:r>
            <w:r>
              <w:rPr>
                <w:sz w:val="22"/>
              </w:rPr>
              <w:t>calculated</w:t>
            </w:r>
            <w:r>
              <w:rPr>
                <w:spacing w:val="-4"/>
                <w:sz w:val="22"/>
              </w:rPr>
              <w:t xml:space="preserve"> </w:t>
            </w:r>
            <w:r>
              <w:rPr>
                <w:spacing w:val="-5"/>
                <w:sz w:val="22"/>
              </w:rPr>
              <w:t>as:</w:t>
            </w:r>
          </w:p>
        </w:tc>
        <w:tc>
          <w:tcPr>
            <w:tcW w:w="2466" w:type="dxa"/>
          </w:tcPr>
          <w:p>
            <w:pPr>
              <w:pStyle w:val="TableParagraph"/>
              <w:rPr>
                <w:sz w:val="18"/>
              </w:rPr>
            </w:pPr>
          </w:p>
        </w:tc>
      </w:tr>
      <w:tr>
        <w:tblPrEx>
          <w:tblW w:w="0" w:type="auto"/>
          <w:jc w:val="left"/>
          <w:tblInd w:w="1376" w:type="dxa"/>
          <w:tblLayout w:type="fixed"/>
          <w:tblCellMar>
            <w:top w:w="0" w:type="dxa"/>
            <w:left w:w="0" w:type="dxa"/>
            <w:bottom w:w="0" w:type="dxa"/>
            <w:right w:w="0" w:type="dxa"/>
          </w:tblCellMar>
          <w:tblLook w:val="01E0"/>
        </w:tblPrEx>
        <w:trPr>
          <w:trHeight w:val="248"/>
          <w:jc w:val="left"/>
        </w:trPr>
        <w:tc>
          <w:tcPr>
            <w:tcW w:w="4770" w:type="dxa"/>
          </w:tcPr>
          <w:p>
            <w:pPr>
              <w:pStyle w:val="TableParagraph"/>
              <w:spacing w:line="228" w:lineRule="exact"/>
              <w:ind w:left="50"/>
              <w:rPr>
                <w:sz w:val="22"/>
              </w:rPr>
            </w:pPr>
            <w:r>
              <w:rPr>
                <w:sz w:val="22"/>
              </w:rPr>
              <w:t>Completion</w:t>
            </w:r>
            <w:r>
              <w:rPr>
                <w:spacing w:val="-2"/>
                <w:sz w:val="22"/>
              </w:rPr>
              <w:t xml:space="preserve"> </w:t>
            </w:r>
            <w:r>
              <w:rPr>
                <w:sz w:val="22"/>
              </w:rPr>
              <w:t>Factor</w:t>
            </w:r>
            <w:r>
              <w:rPr>
                <w:spacing w:val="-1"/>
                <w:sz w:val="22"/>
              </w:rPr>
              <w:t xml:space="preserve"> </w:t>
            </w:r>
            <w:r>
              <w:rPr>
                <w:sz w:val="22"/>
              </w:rPr>
              <w:t>=</w:t>
            </w:r>
            <w:r>
              <w:rPr>
                <w:spacing w:val="-4"/>
                <w:sz w:val="22"/>
              </w:rPr>
              <w:t xml:space="preserve"> </w:t>
            </w:r>
            <w:r>
              <w:rPr>
                <w:sz w:val="22"/>
              </w:rPr>
              <w:t>(400</w:t>
            </w:r>
            <w:r>
              <w:rPr>
                <w:spacing w:val="-4"/>
                <w:sz w:val="22"/>
              </w:rPr>
              <w:t xml:space="preserve"> </w:t>
            </w:r>
            <w:r>
              <w:rPr>
                <w:sz w:val="22"/>
              </w:rPr>
              <w:t>+</w:t>
            </w:r>
            <w:r>
              <w:rPr>
                <w:spacing w:val="-2"/>
                <w:sz w:val="22"/>
              </w:rPr>
              <w:t xml:space="preserve"> </w:t>
            </w:r>
            <w:r>
              <w:rPr>
                <w:sz w:val="22"/>
              </w:rPr>
              <w:t>30)</w:t>
            </w:r>
            <w:r>
              <w:rPr>
                <w:spacing w:val="-3"/>
                <w:sz w:val="22"/>
              </w:rPr>
              <w:t xml:space="preserve"> </w:t>
            </w:r>
            <w:r>
              <w:rPr>
                <w:sz w:val="22"/>
              </w:rPr>
              <w:t>÷</w:t>
            </w:r>
            <w:r>
              <w:rPr>
                <w:spacing w:val="-1"/>
                <w:sz w:val="22"/>
              </w:rPr>
              <w:t xml:space="preserve"> </w:t>
            </w:r>
            <w:r>
              <w:rPr>
                <w:sz w:val="22"/>
              </w:rPr>
              <w:t>400</w:t>
            </w:r>
            <w:r>
              <w:rPr>
                <w:spacing w:val="-1"/>
                <w:sz w:val="22"/>
              </w:rPr>
              <w:t xml:space="preserve"> </w:t>
            </w:r>
            <w:r>
              <w:rPr>
                <w:sz w:val="22"/>
              </w:rPr>
              <w:t>=</w:t>
            </w:r>
            <w:r>
              <w:rPr>
                <w:spacing w:val="-1"/>
                <w:sz w:val="22"/>
              </w:rPr>
              <w:t xml:space="preserve"> </w:t>
            </w:r>
            <w:r>
              <w:rPr>
                <w:spacing w:val="-4"/>
                <w:sz w:val="22"/>
              </w:rPr>
              <w:t>1.075</w:t>
            </w:r>
          </w:p>
        </w:tc>
        <w:tc>
          <w:tcPr>
            <w:tcW w:w="2466" w:type="dxa"/>
          </w:tcPr>
          <w:p>
            <w:pPr>
              <w:pStyle w:val="TableParagraph"/>
              <w:rPr>
                <w:sz w:val="18"/>
              </w:rPr>
            </w:pPr>
          </w:p>
        </w:tc>
      </w:tr>
    </w:tbl>
    <w:p>
      <w:pPr>
        <w:pStyle w:val="TableParagraph"/>
        <w:spacing w:after="0"/>
        <w:rPr>
          <w:sz w:val="18"/>
        </w:rPr>
        <w:sectPr>
          <w:pgSz w:w="12240" w:h="15840"/>
          <w:pgMar w:top="960" w:right="0" w:bottom="940" w:left="1080" w:header="727" w:footer="747"/>
          <w:cols w:space="720"/>
        </w:sectPr>
      </w:pPr>
    </w:p>
    <w:p>
      <w:pPr>
        <w:pStyle w:val="BodyText"/>
        <w:spacing w:before="225"/>
        <w:ind w:left="0"/>
        <w:rPr>
          <w:sz w:val="21"/>
        </w:rPr>
      </w:pPr>
    </w:p>
    <w:p>
      <w:pPr>
        <w:spacing w:before="0"/>
        <w:ind w:left="504" w:right="0" w:firstLine="0"/>
        <w:jc w:val="left"/>
        <w:rPr>
          <w:rFonts w:ascii="Arial" w:hAnsi="Arial"/>
          <w:b/>
          <w:sz w:val="21"/>
        </w:rPr>
      </w:pPr>
      <w:bookmarkStart w:id="142" w:name="Line 5 – Level of Significance"/>
      <w:bookmarkEnd w:id="142"/>
      <w:r>
        <w:rPr>
          <w:rFonts w:ascii="Arial" w:hAnsi="Arial"/>
          <w:b/>
          <w:sz w:val="21"/>
        </w:rPr>
        <w:t>Line</w:t>
      </w:r>
      <w:r>
        <w:rPr>
          <w:rFonts w:ascii="Arial" w:hAnsi="Arial"/>
          <w:b/>
          <w:spacing w:val="-2"/>
          <w:sz w:val="21"/>
        </w:rPr>
        <w:t xml:space="preserve"> </w:t>
      </w:r>
      <w:r>
        <w:rPr>
          <w:rFonts w:ascii="Arial" w:hAnsi="Arial"/>
          <w:b/>
          <w:sz w:val="21"/>
        </w:rPr>
        <w:t>5</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z w:val="21"/>
        </w:rPr>
        <w:t>Level</w:t>
      </w:r>
      <w:r>
        <w:rPr>
          <w:rFonts w:ascii="Arial" w:hAnsi="Arial"/>
          <w:b/>
          <w:spacing w:val="-2"/>
          <w:sz w:val="21"/>
        </w:rPr>
        <w:t xml:space="preserve"> </w:t>
      </w:r>
      <w:r>
        <w:rPr>
          <w:rFonts w:ascii="Arial" w:hAnsi="Arial"/>
          <w:b/>
          <w:sz w:val="21"/>
        </w:rPr>
        <w:t>of</w:t>
      </w:r>
      <w:r>
        <w:rPr>
          <w:rFonts w:ascii="Arial" w:hAnsi="Arial"/>
          <w:b/>
          <w:spacing w:val="-2"/>
          <w:sz w:val="21"/>
        </w:rPr>
        <w:t xml:space="preserve"> Significance</w:t>
      </w:r>
    </w:p>
    <w:p>
      <w:pPr>
        <w:pStyle w:val="BodyText"/>
        <w:spacing w:before="120"/>
        <w:ind w:right="1567"/>
        <w:jc w:val="both"/>
      </w:pPr>
      <w:r>
        <w:t>If</w:t>
      </w:r>
      <w:r>
        <w:rPr>
          <w:spacing w:val="-3"/>
        </w:rPr>
        <w:t xml:space="preserve"> </w:t>
      </w:r>
      <w:r>
        <w:t>a</w:t>
      </w:r>
      <w:r>
        <w:rPr>
          <w:spacing w:val="-2"/>
        </w:rPr>
        <w:t xml:space="preserve"> </w:t>
      </w:r>
      <w:r>
        <w:t>level</w:t>
      </w:r>
      <w:r>
        <w:rPr>
          <w:spacing w:val="-1"/>
        </w:rPr>
        <w:t xml:space="preserve"> </w:t>
      </w:r>
      <w:r>
        <w:t>of</w:t>
      </w:r>
      <w:r>
        <w:rPr>
          <w:spacing w:val="-1"/>
        </w:rPr>
        <w:t xml:space="preserve"> </w:t>
      </w:r>
      <w:r>
        <w:t>significance is</w:t>
      </w:r>
      <w:r>
        <w:rPr>
          <w:spacing w:val="-1"/>
        </w:rPr>
        <w:t xml:space="preserve"> </w:t>
      </w:r>
      <w:r>
        <w:t>used</w:t>
      </w:r>
      <w:r>
        <w:rPr>
          <w:spacing w:val="-1"/>
        </w:rPr>
        <w:t xml:space="preserve"> </w:t>
      </w:r>
      <w:r>
        <w:t>to</w:t>
      </w:r>
      <w:r>
        <w:rPr>
          <w:spacing w:val="-1"/>
        </w:rPr>
        <w:t xml:space="preserve"> </w:t>
      </w:r>
      <w:r>
        <w:t>determine</w:t>
      </w:r>
      <w:r>
        <w:rPr>
          <w:spacing w:val="-2"/>
        </w:rPr>
        <w:t xml:space="preserve"> </w:t>
      </w:r>
      <w:r>
        <w:t>whether</w:t>
      </w:r>
      <w:r>
        <w:rPr>
          <w:spacing w:val="-1"/>
        </w:rPr>
        <w:t xml:space="preserve"> </w:t>
      </w:r>
      <w:r>
        <w:t>a</w:t>
      </w:r>
      <w:r>
        <w:rPr>
          <w:spacing w:val="-3"/>
        </w:rPr>
        <w:t xml:space="preserve"> </w:t>
      </w:r>
      <w:r>
        <w:t>Contract-Plan ID-Segment ID</w:t>
      </w:r>
      <w:r>
        <w:rPr>
          <w:spacing w:val="-2"/>
        </w:rPr>
        <w:t xml:space="preserve"> </w:t>
      </w:r>
      <w:r>
        <w:t>is</w:t>
      </w:r>
      <w:r>
        <w:rPr>
          <w:spacing w:val="-2"/>
        </w:rPr>
        <w:t xml:space="preserve"> </w:t>
      </w:r>
      <w:r>
        <w:t>listed in</w:t>
      </w:r>
      <w:r>
        <w:rPr>
          <w:spacing w:val="-3"/>
        </w:rPr>
        <w:t xml:space="preserve"> </w:t>
      </w:r>
      <w:r>
        <w:t>Worksheet</w:t>
      </w:r>
      <w:r>
        <w:rPr>
          <w:spacing w:val="-3"/>
        </w:rPr>
        <w:t xml:space="preserve"> </w:t>
      </w:r>
      <w:r>
        <w:t>1,</w:t>
      </w:r>
      <w:r>
        <w:rPr>
          <w:spacing w:val="-3"/>
        </w:rPr>
        <w:t xml:space="preserve"> </w:t>
      </w:r>
      <w:r>
        <w:t>Section</w:t>
      </w:r>
      <w:r>
        <w:rPr>
          <w:spacing w:val="-1"/>
        </w:rPr>
        <w:t xml:space="preserve"> </w:t>
      </w:r>
      <w:r>
        <w:t>II,</w:t>
      </w:r>
      <w:r>
        <w:rPr>
          <w:spacing w:val="-3"/>
        </w:rPr>
        <w:t xml:space="preserve"> </w:t>
      </w:r>
      <w:r>
        <w:t>line</w:t>
      </w:r>
      <w:r>
        <w:rPr>
          <w:spacing w:val="-4"/>
        </w:rPr>
        <w:t xml:space="preserve"> </w:t>
      </w:r>
      <w:r>
        <w:t>6,</w:t>
      </w:r>
      <w:r>
        <w:rPr>
          <w:spacing w:val="-1"/>
        </w:rPr>
        <w:t xml:space="preserve"> </w:t>
      </w:r>
      <w:r>
        <w:t>enter</w:t>
      </w:r>
      <w:r>
        <w:rPr>
          <w:spacing w:val="-5"/>
        </w:rPr>
        <w:t xml:space="preserve"> </w:t>
      </w:r>
      <w:r>
        <w:t>the</w:t>
      </w:r>
      <w:r>
        <w:rPr>
          <w:spacing w:val="-3"/>
        </w:rPr>
        <w:t xml:space="preserve"> </w:t>
      </w:r>
      <w:r>
        <w:t>level</w:t>
      </w:r>
      <w:r>
        <w:rPr>
          <w:spacing w:val="-3"/>
        </w:rPr>
        <w:t xml:space="preserve"> </w:t>
      </w:r>
      <w:r>
        <w:t>of</w:t>
      </w:r>
      <w:r>
        <w:rPr>
          <w:spacing w:val="-3"/>
        </w:rPr>
        <w:t xml:space="preserve"> </w:t>
      </w:r>
      <w:r>
        <w:t>significance</w:t>
      </w:r>
      <w:r>
        <w:rPr>
          <w:spacing w:val="-4"/>
        </w:rPr>
        <w:t xml:space="preserve"> </w:t>
      </w:r>
      <w:r>
        <w:t>in</w:t>
      </w:r>
      <w:r>
        <w:rPr>
          <w:spacing w:val="-3"/>
        </w:rPr>
        <w:t xml:space="preserve"> </w:t>
      </w:r>
      <w:r>
        <w:t>this</w:t>
      </w:r>
      <w:r>
        <w:rPr>
          <w:spacing w:val="-4"/>
        </w:rPr>
        <w:t xml:space="preserve"> </w:t>
      </w:r>
      <w:r>
        <w:t>cell.</w:t>
      </w:r>
      <w:r>
        <w:rPr>
          <w:spacing w:val="-3"/>
        </w:rPr>
        <w:t xml:space="preserve"> </w:t>
      </w:r>
      <w:r>
        <w:t>The</w:t>
      </w:r>
      <w:r>
        <w:rPr>
          <w:spacing w:val="-5"/>
        </w:rPr>
        <w:t xml:space="preserve"> </w:t>
      </w:r>
      <w:r>
        <w:t>value</w:t>
      </w:r>
      <w:r>
        <w:rPr>
          <w:spacing w:val="-3"/>
        </w:rPr>
        <w:t xml:space="preserve"> </w:t>
      </w:r>
      <w:r>
        <w:t>must</w:t>
      </w:r>
      <w:r>
        <w:rPr>
          <w:spacing w:val="-3"/>
        </w:rPr>
        <w:t xml:space="preserve"> </w:t>
      </w:r>
      <w:r>
        <w:t>be greater than 0% and less than 100%. Otherwise, leave this cell blank.</w:t>
      </w:r>
    </w:p>
    <w:p>
      <w:pPr>
        <w:spacing w:before="241"/>
        <w:ind w:left="504" w:right="0" w:firstLine="0"/>
        <w:jc w:val="left"/>
        <w:rPr>
          <w:rFonts w:ascii="Arial" w:hAnsi="Arial"/>
          <w:b/>
          <w:sz w:val="21"/>
        </w:rPr>
      </w:pPr>
      <w:bookmarkStart w:id="143" w:name="Line 6 – Bids Included in Base Period Da"/>
      <w:bookmarkEnd w:id="143"/>
      <w:r>
        <w:rPr>
          <w:rFonts w:ascii="Arial" w:hAnsi="Arial"/>
          <w:b/>
          <w:sz w:val="21"/>
        </w:rPr>
        <w:t>Line</w:t>
      </w:r>
      <w:r>
        <w:rPr>
          <w:rFonts w:ascii="Arial" w:hAnsi="Arial"/>
          <w:b/>
          <w:spacing w:val="-5"/>
          <w:sz w:val="21"/>
        </w:rPr>
        <w:t xml:space="preserve"> </w:t>
      </w:r>
      <w:r>
        <w:rPr>
          <w:rFonts w:ascii="Arial" w:hAnsi="Arial"/>
          <w:b/>
          <w:sz w:val="21"/>
        </w:rPr>
        <w:t>6</w:t>
      </w:r>
      <w:r>
        <w:rPr>
          <w:rFonts w:ascii="Arial" w:hAnsi="Arial"/>
          <w:b/>
          <w:spacing w:val="-4"/>
          <w:sz w:val="21"/>
        </w:rPr>
        <w:t xml:space="preserve"> </w:t>
      </w:r>
      <w:r>
        <w:rPr>
          <w:rFonts w:ascii="Arial" w:hAnsi="Arial"/>
          <w:b/>
          <w:sz w:val="21"/>
        </w:rPr>
        <w:t>–</w:t>
      </w:r>
      <w:r>
        <w:rPr>
          <w:rFonts w:ascii="Arial" w:hAnsi="Arial"/>
          <w:b/>
          <w:spacing w:val="-7"/>
          <w:sz w:val="21"/>
        </w:rPr>
        <w:t xml:space="preserve"> </w:t>
      </w:r>
      <w:r>
        <w:rPr>
          <w:rFonts w:ascii="Arial" w:hAnsi="Arial"/>
          <w:b/>
          <w:sz w:val="21"/>
        </w:rPr>
        <w:t>Bids</w:t>
      </w:r>
      <w:r>
        <w:rPr>
          <w:rFonts w:ascii="Arial" w:hAnsi="Arial"/>
          <w:b/>
          <w:spacing w:val="-3"/>
          <w:sz w:val="21"/>
        </w:rPr>
        <w:t xml:space="preserve"> </w:t>
      </w:r>
      <w:r>
        <w:rPr>
          <w:rFonts w:ascii="Arial" w:hAnsi="Arial"/>
          <w:b/>
          <w:sz w:val="21"/>
        </w:rPr>
        <w:t>Included</w:t>
      </w:r>
      <w:r>
        <w:rPr>
          <w:rFonts w:ascii="Arial" w:hAnsi="Arial"/>
          <w:b/>
          <w:spacing w:val="-4"/>
          <w:sz w:val="21"/>
        </w:rPr>
        <w:t xml:space="preserve"> </w:t>
      </w:r>
      <w:r>
        <w:rPr>
          <w:rFonts w:ascii="Arial" w:hAnsi="Arial"/>
          <w:b/>
          <w:sz w:val="21"/>
        </w:rPr>
        <w:t>in</w:t>
      </w:r>
      <w:r>
        <w:rPr>
          <w:rFonts w:ascii="Arial" w:hAnsi="Arial"/>
          <w:b/>
          <w:spacing w:val="-4"/>
          <w:sz w:val="21"/>
        </w:rPr>
        <w:t xml:space="preserve"> </w:t>
      </w:r>
      <w:r>
        <w:rPr>
          <w:rFonts w:ascii="Arial" w:hAnsi="Arial"/>
          <w:b/>
          <w:sz w:val="21"/>
        </w:rPr>
        <w:t>Base</w:t>
      </w:r>
      <w:r>
        <w:rPr>
          <w:rFonts w:ascii="Arial" w:hAnsi="Arial"/>
          <w:b/>
          <w:spacing w:val="-4"/>
          <w:sz w:val="21"/>
        </w:rPr>
        <w:t xml:space="preserve"> </w:t>
      </w:r>
      <w:r>
        <w:rPr>
          <w:rFonts w:ascii="Arial" w:hAnsi="Arial"/>
          <w:b/>
          <w:sz w:val="21"/>
        </w:rPr>
        <w:t>Period</w:t>
      </w:r>
      <w:r>
        <w:rPr>
          <w:rFonts w:ascii="Arial" w:hAnsi="Arial"/>
          <w:b/>
          <w:spacing w:val="-6"/>
          <w:sz w:val="21"/>
        </w:rPr>
        <w:t xml:space="preserve"> </w:t>
      </w:r>
      <w:r>
        <w:rPr>
          <w:rFonts w:ascii="Arial" w:hAnsi="Arial"/>
          <w:b/>
          <w:spacing w:val="-4"/>
          <w:sz w:val="21"/>
        </w:rPr>
        <w:t>Data</w:t>
      </w:r>
    </w:p>
    <w:p>
      <w:pPr>
        <w:pStyle w:val="BodyText"/>
        <w:spacing w:before="118"/>
        <w:ind w:right="1481"/>
      </w:pPr>
      <w:r>
        <w:t>The</w:t>
      </w:r>
      <w:r>
        <w:rPr>
          <w:spacing w:val="-5"/>
        </w:rPr>
        <w:t xml:space="preserve"> </w:t>
      </w:r>
      <w:r>
        <w:t>“Contract-Plan-Segment</w:t>
      </w:r>
      <w:r>
        <w:rPr>
          <w:spacing w:val="-2"/>
        </w:rPr>
        <w:t xml:space="preserve"> </w:t>
      </w:r>
      <w:r>
        <w:t>ID”</w:t>
      </w:r>
      <w:r>
        <w:rPr>
          <w:spacing w:val="-4"/>
        </w:rPr>
        <w:t xml:space="preserve"> </w:t>
      </w:r>
      <w:r>
        <w:t>columns</w:t>
      </w:r>
      <w:r>
        <w:rPr>
          <w:spacing w:val="-4"/>
        </w:rPr>
        <w:t xml:space="preserve"> </w:t>
      </w:r>
      <w:r>
        <w:t>in</w:t>
      </w:r>
      <w:r>
        <w:rPr>
          <w:spacing w:val="-3"/>
        </w:rPr>
        <w:t xml:space="preserve"> </w:t>
      </w:r>
      <w:r>
        <w:t>line</w:t>
      </w:r>
      <w:r>
        <w:rPr>
          <w:spacing w:val="-1"/>
        </w:rPr>
        <w:t xml:space="preserve"> </w:t>
      </w:r>
      <w:r>
        <w:t>6</w:t>
      </w:r>
      <w:r>
        <w:rPr>
          <w:spacing w:val="-3"/>
        </w:rPr>
        <w:t xml:space="preserve"> </w:t>
      </w:r>
      <w:r>
        <w:t>must</w:t>
      </w:r>
      <w:r>
        <w:rPr>
          <w:spacing w:val="-2"/>
        </w:rPr>
        <w:t xml:space="preserve"> </w:t>
      </w:r>
      <w:r>
        <w:t>include</w:t>
      </w:r>
      <w:r>
        <w:rPr>
          <w:spacing w:val="-4"/>
        </w:rPr>
        <w:t xml:space="preserve"> </w:t>
      </w:r>
      <w:r>
        <w:t>the</w:t>
      </w:r>
      <w:r>
        <w:rPr>
          <w:spacing w:val="-3"/>
        </w:rPr>
        <w:t xml:space="preserve"> </w:t>
      </w:r>
      <w:r>
        <w:t>contract</w:t>
      </w:r>
      <w:r>
        <w:rPr>
          <w:spacing w:val="-3"/>
        </w:rPr>
        <w:t xml:space="preserve"> </w:t>
      </w:r>
      <w:r>
        <w:t>number,</w:t>
      </w:r>
      <w:r>
        <w:rPr>
          <w:spacing w:val="-3"/>
        </w:rPr>
        <w:t xml:space="preserve"> </w:t>
      </w:r>
      <w:r>
        <w:t>plan</w:t>
      </w:r>
      <w:r>
        <w:rPr>
          <w:spacing w:val="-1"/>
        </w:rPr>
        <w:t xml:space="preserve"> </w:t>
      </w:r>
      <w:r>
        <w:t>ID, and</w:t>
      </w:r>
      <w:r>
        <w:rPr>
          <w:spacing w:val="-2"/>
        </w:rPr>
        <w:t xml:space="preserve"> </w:t>
      </w:r>
      <w:r>
        <w:t>segment ID</w:t>
      </w:r>
      <w:r>
        <w:rPr>
          <w:spacing w:val="-2"/>
        </w:rPr>
        <w:t xml:space="preserve"> </w:t>
      </w:r>
      <w:r>
        <w:t>of</w:t>
      </w:r>
      <w:r>
        <w:rPr>
          <w:spacing w:val="-2"/>
        </w:rPr>
        <w:t xml:space="preserve"> </w:t>
      </w:r>
      <w:r>
        <w:t>each bid</w:t>
      </w:r>
      <w:r>
        <w:rPr>
          <w:spacing w:val="-2"/>
        </w:rPr>
        <w:t xml:space="preserve"> </w:t>
      </w:r>
      <w:r>
        <w:t>(including</w:t>
      </w:r>
      <w:r>
        <w:rPr>
          <w:spacing w:val="-1"/>
        </w:rPr>
        <w:t xml:space="preserve"> </w:t>
      </w:r>
      <w:r>
        <w:t>a</w:t>
      </w:r>
      <w:r>
        <w:rPr>
          <w:spacing w:val="-2"/>
        </w:rPr>
        <w:t xml:space="preserve"> </w:t>
      </w:r>
      <w:r>
        <w:t>segment ID</w:t>
      </w:r>
      <w:r>
        <w:rPr>
          <w:spacing w:val="-2"/>
        </w:rPr>
        <w:t xml:space="preserve"> </w:t>
      </w:r>
      <w:r>
        <w:t>of</w:t>
      </w:r>
      <w:r>
        <w:rPr>
          <w:spacing w:val="-2"/>
        </w:rPr>
        <w:t xml:space="preserve"> </w:t>
      </w:r>
      <w:r>
        <w:t>zero</w:t>
      </w:r>
      <w:r>
        <w:rPr>
          <w:spacing w:val="-2"/>
        </w:rPr>
        <w:t xml:space="preserve"> </w:t>
      </w:r>
      <w:r>
        <w:t>(0)</w:t>
      </w:r>
      <w:r>
        <w:rPr>
          <w:spacing w:val="-2"/>
        </w:rPr>
        <w:t xml:space="preserve"> </w:t>
      </w:r>
      <w:r>
        <w:t>for</w:t>
      </w:r>
      <w:r>
        <w:rPr>
          <w:spacing w:val="-1"/>
        </w:rPr>
        <w:t xml:space="preserve"> </w:t>
      </w:r>
      <w:r>
        <w:t>a</w:t>
      </w:r>
      <w:r>
        <w:rPr>
          <w:spacing w:val="-2"/>
        </w:rPr>
        <w:t xml:space="preserve"> </w:t>
      </w:r>
      <w:r>
        <w:t>non-segmented</w:t>
      </w:r>
      <w:r>
        <w:rPr>
          <w:spacing w:val="-2"/>
        </w:rPr>
        <w:t xml:space="preserve"> </w:t>
      </w:r>
      <w:r>
        <w:t>plan),</w:t>
      </w:r>
      <w:r>
        <w:rPr>
          <w:spacing w:val="-1"/>
        </w:rPr>
        <w:t xml:space="preserve"> </w:t>
      </w:r>
      <w:r>
        <w:t>for which: (i) base period data are required to be reported in Worksheet 1 in accordance with the “Base Period Experience” pricing consideration, and (ii) such base period data exists.</w:t>
      </w:r>
    </w:p>
    <w:p>
      <w:pPr>
        <w:pStyle w:val="BodyText"/>
        <w:spacing w:before="120"/>
      </w:pPr>
      <w:r>
        <w:t>The</w:t>
      </w:r>
      <w:r>
        <w:rPr>
          <w:spacing w:val="-4"/>
        </w:rPr>
        <w:t xml:space="preserve"> </w:t>
      </w:r>
      <w:r>
        <w:t>required</w:t>
      </w:r>
      <w:r>
        <w:rPr>
          <w:spacing w:val="-1"/>
        </w:rPr>
        <w:t xml:space="preserve"> </w:t>
      </w:r>
      <w:r>
        <w:t>format</w:t>
      </w:r>
      <w:r>
        <w:rPr>
          <w:spacing w:val="-1"/>
        </w:rPr>
        <w:t xml:space="preserve"> </w:t>
      </w:r>
      <w:r>
        <w:t>is</w:t>
      </w:r>
      <w:r>
        <w:rPr>
          <w:spacing w:val="-1"/>
        </w:rPr>
        <w:t xml:space="preserve"> </w:t>
      </w:r>
      <w:r>
        <w:t>“H####-###-###” (with</w:t>
      </w:r>
      <w:r>
        <w:rPr>
          <w:spacing w:val="-1"/>
        </w:rPr>
        <w:t xml:space="preserve"> </w:t>
      </w:r>
      <w:r>
        <w:t>the</w:t>
      </w:r>
      <w:r>
        <w:rPr>
          <w:spacing w:val="-1"/>
        </w:rPr>
        <w:t xml:space="preserve"> </w:t>
      </w:r>
      <w:r>
        <w:t>first</w:t>
      </w:r>
      <w:r>
        <w:rPr>
          <w:spacing w:val="-2"/>
        </w:rPr>
        <w:t xml:space="preserve"> </w:t>
      </w:r>
      <w:r>
        <w:t>character</w:t>
      </w:r>
      <w:r>
        <w:rPr>
          <w:spacing w:val="-1"/>
        </w:rPr>
        <w:t xml:space="preserve"> </w:t>
      </w:r>
      <w:r>
        <w:t>being</w:t>
      </w:r>
      <w:r>
        <w:rPr>
          <w:spacing w:val="-1"/>
        </w:rPr>
        <w:t xml:space="preserve"> </w:t>
      </w:r>
      <w:r>
        <w:t>H</w:t>
      </w:r>
      <w:r>
        <w:rPr>
          <w:spacing w:val="1"/>
        </w:rPr>
        <w:t xml:space="preserve"> </w:t>
      </w:r>
      <w:r>
        <w:t>or</w:t>
      </w:r>
      <w:r>
        <w:rPr>
          <w:spacing w:val="-1"/>
        </w:rPr>
        <w:t xml:space="preserve"> </w:t>
      </w:r>
      <w:r>
        <w:t>R and</w:t>
      </w:r>
      <w:r>
        <w:rPr>
          <w:spacing w:val="-1"/>
        </w:rPr>
        <w:t xml:space="preserve"> </w:t>
      </w:r>
      <w:r>
        <w:t>ending</w:t>
      </w:r>
      <w:r>
        <w:rPr>
          <w:spacing w:val="-1"/>
        </w:rPr>
        <w:t xml:space="preserve"> </w:t>
      </w:r>
      <w:r>
        <w:rPr>
          <w:spacing w:val="-5"/>
        </w:rPr>
        <w:t>in</w:t>
      </w:r>
    </w:p>
    <w:p>
      <w:pPr>
        <w:pStyle w:val="BodyText"/>
        <w:spacing w:before="1"/>
      </w:pPr>
      <w:r>
        <w:t>“000”</w:t>
      </w:r>
      <w:r>
        <w:rPr>
          <w:spacing w:val="-2"/>
        </w:rPr>
        <w:t xml:space="preserve"> </w:t>
      </w:r>
      <w:r>
        <w:t>for a</w:t>
      </w:r>
      <w:r>
        <w:rPr>
          <w:spacing w:val="-2"/>
        </w:rPr>
        <w:t xml:space="preserve"> </w:t>
      </w:r>
      <w:r>
        <w:t xml:space="preserve">non-segmented </w:t>
      </w:r>
      <w:r>
        <w:rPr>
          <w:spacing w:val="-2"/>
        </w:rPr>
        <w:t>plan).</w:t>
      </w:r>
    </w:p>
    <w:p>
      <w:pPr>
        <w:pStyle w:val="BodyText"/>
        <w:spacing w:before="120"/>
        <w:ind w:right="1492"/>
      </w:pPr>
      <w:r>
        <w:t>The BPT calculates the Contract-Plan ID-Segment ID in cell N14 based on the contract number, plan ID, and segment ID in Section I. However, the Contract-Plan ID-Segment ID in cell</w:t>
      </w:r>
      <w:r>
        <w:rPr>
          <w:spacing w:val="-3"/>
        </w:rPr>
        <w:t xml:space="preserve"> </w:t>
      </w:r>
      <w:r>
        <w:t>N14</w:t>
      </w:r>
      <w:r>
        <w:rPr>
          <w:spacing w:val="-3"/>
        </w:rPr>
        <w:t xml:space="preserve"> </w:t>
      </w:r>
      <w:r>
        <w:t>may</w:t>
      </w:r>
      <w:r>
        <w:rPr>
          <w:spacing w:val="-3"/>
        </w:rPr>
        <w:t xml:space="preserve"> </w:t>
      </w:r>
      <w:r>
        <w:t>be</w:t>
      </w:r>
      <w:r>
        <w:rPr>
          <w:spacing w:val="-4"/>
        </w:rPr>
        <w:t xml:space="preserve"> </w:t>
      </w:r>
      <w:r>
        <w:t>overwritten</w:t>
      </w:r>
      <w:r>
        <w:rPr>
          <w:spacing w:val="-3"/>
        </w:rPr>
        <w:t xml:space="preserve"> </w:t>
      </w:r>
      <w:r>
        <w:t>by</w:t>
      </w:r>
      <w:r>
        <w:rPr>
          <w:spacing w:val="-3"/>
        </w:rPr>
        <w:t xml:space="preserve"> </w:t>
      </w:r>
      <w:r>
        <w:t>the</w:t>
      </w:r>
      <w:r>
        <w:rPr>
          <w:spacing w:val="-4"/>
        </w:rPr>
        <w:t xml:space="preserve"> </w:t>
      </w:r>
      <w:r>
        <w:t>user,</w:t>
      </w:r>
      <w:r>
        <w:rPr>
          <w:spacing w:val="-3"/>
        </w:rPr>
        <w:t xml:space="preserve"> </w:t>
      </w:r>
      <w:r>
        <w:t>that</w:t>
      </w:r>
      <w:r>
        <w:rPr>
          <w:spacing w:val="-3"/>
        </w:rPr>
        <w:t xml:space="preserve"> </w:t>
      </w:r>
      <w:r>
        <w:t>is,</w:t>
      </w:r>
      <w:r>
        <w:rPr>
          <w:spacing w:val="-3"/>
        </w:rPr>
        <w:t xml:space="preserve"> </w:t>
      </w:r>
      <w:r>
        <w:t>if</w:t>
      </w:r>
      <w:r>
        <w:rPr>
          <w:spacing w:val="-1"/>
        </w:rPr>
        <w:t xml:space="preserve"> </w:t>
      </w:r>
      <w:r>
        <w:t>the</w:t>
      </w:r>
      <w:r>
        <w:rPr>
          <w:spacing w:val="-3"/>
        </w:rPr>
        <w:t xml:space="preserve"> </w:t>
      </w:r>
      <w:r>
        <w:t>base</w:t>
      </w:r>
      <w:r>
        <w:rPr>
          <w:spacing w:val="-4"/>
        </w:rPr>
        <w:t xml:space="preserve"> </w:t>
      </w:r>
      <w:r>
        <w:t>period</w:t>
      </w:r>
      <w:r>
        <w:rPr>
          <w:spacing w:val="-3"/>
        </w:rPr>
        <w:t xml:space="preserve"> </w:t>
      </w:r>
      <w:r>
        <w:t>data</w:t>
      </w:r>
      <w:r>
        <w:rPr>
          <w:spacing w:val="-3"/>
        </w:rPr>
        <w:t xml:space="preserve"> </w:t>
      </w:r>
      <w:r>
        <w:t>excludes</w:t>
      </w:r>
      <w:r>
        <w:rPr>
          <w:spacing w:val="-4"/>
        </w:rPr>
        <w:t xml:space="preserve"> </w:t>
      </w:r>
      <w:r>
        <w:t>the</w:t>
      </w:r>
      <w:r>
        <w:rPr>
          <w:spacing w:val="-3"/>
        </w:rPr>
        <w:t xml:space="preserve"> </w:t>
      </w:r>
      <w:r>
        <w:t>experience of the bid.</w:t>
      </w:r>
    </w:p>
    <w:p>
      <w:pPr>
        <w:pStyle w:val="BodyText"/>
        <w:spacing w:before="120"/>
        <w:ind w:right="1481"/>
      </w:pPr>
      <w:r>
        <w:t>In</w:t>
      </w:r>
      <w:r>
        <w:rPr>
          <w:spacing w:val="-3"/>
        </w:rPr>
        <w:t xml:space="preserve"> </w:t>
      </w:r>
      <w:r>
        <w:t>the</w:t>
      </w:r>
      <w:r>
        <w:rPr>
          <w:spacing w:val="-3"/>
        </w:rPr>
        <w:t xml:space="preserve"> </w:t>
      </w:r>
      <w:r>
        <w:t>second</w:t>
      </w:r>
      <w:r>
        <w:rPr>
          <w:spacing w:val="-1"/>
        </w:rPr>
        <w:t xml:space="preserve"> </w:t>
      </w:r>
      <w:r>
        <w:t>column,</w:t>
      </w:r>
      <w:r>
        <w:rPr>
          <w:spacing w:val="-3"/>
        </w:rPr>
        <w:t xml:space="preserve"> </w:t>
      </w:r>
      <w:r>
        <w:t>the</w:t>
      </w:r>
      <w:r>
        <w:rPr>
          <w:spacing w:val="-3"/>
        </w:rPr>
        <w:t xml:space="preserve"> </w:t>
      </w:r>
      <w:r>
        <w:t>user</w:t>
      </w:r>
      <w:r>
        <w:rPr>
          <w:spacing w:val="-3"/>
        </w:rPr>
        <w:t xml:space="preserve"> </w:t>
      </w:r>
      <w:r>
        <w:t>must</w:t>
      </w:r>
      <w:r>
        <w:rPr>
          <w:spacing w:val="-3"/>
        </w:rPr>
        <w:t xml:space="preserve"> </w:t>
      </w:r>
      <w:r>
        <w:t>enter</w:t>
      </w:r>
      <w:r>
        <w:rPr>
          <w:spacing w:val="-2"/>
        </w:rPr>
        <w:t xml:space="preserve"> </w:t>
      </w:r>
      <w:r>
        <w:t>each</w:t>
      </w:r>
      <w:r>
        <w:rPr>
          <w:spacing w:val="-3"/>
        </w:rPr>
        <w:t xml:space="preserve"> </w:t>
      </w:r>
      <w:r>
        <w:t>bid’s</w:t>
      </w:r>
      <w:r>
        <w:rPr>
          <w:spacing w:val="-4"/>
        </w:rPr>
        <w:t xml:space="preserve"> </w:t>
      </w:r>
      <w:r>
        <w:t>base</w:t>
      </w:r>
      <w:r>
        <w:rPr>
          <w:spacing w:val="-4"/>
        </w:rPr>
        <w:t xml:space="preserve"> </w:t>
      </w:r>
      <w:r>
        <w:t>period</w:t>
      </w:r>
      <w:r>
        <w:rPr>
          <w:spacing w:val="-3"/>
        </w:rPr>
        <w:t xml:space="preserve"> </w:t>
      </w:r>
      <w:r>
        <w:t>member</w:t>
      </w:r>
      <w:r>
        <w:rPr>
          <w:spacing w:val="-3"/>
        </w:rPr>
        <w:t xml:space="preserve"> </w:t>
      </w:r>
      <w:r>
        <w:t>months.</w:t>
      </w:r>
      <w:r>
        <w:rPr>
          <w:spacing w:val="-3"/>
        </w:rPr>
        <w:t xml:space="preserve"> </w:t>
      </w:r>
      <w:r>
        <w:t>The</w:t>
      </w:r>
      <w:r>
        <w:rPr>
          <w:spacing w:val="-4"/>
        </w:rPr>
        <w:t xml:space="preserve"> </w:t>
      </w:r>
      <w:r>
        <w:t>sum</w:t>
      </w:r>
      <w:r>
        <w:rPr>
          <w:spacing w:val="-3"/>
        </w:rPr>
        <w:t xml:space="preserve"> </w:t>
      </w:r>
      <w:r>
        <w:t>of the member months entered in line 6 is displayed as the total member months in line 2.</w:t>
      </w:r>
    </w:p>
    <w:p>
      <w:pPr>
        <w:pStyle w:val="BodyText"/>
        <w:spacing w:before="120"/>
        <w:ind w:right="1524"/>
      </w:pPr>
      <w:r>
        <w:t>If base period data are reported for more than eight bids, then the MAO must include in supporting documentation the base period member months for such bids. Further, the user must:</w:t>
      </w:r>
      <w:r>
        <w:rPr>
          <w:spacing w:val="-3"/>
        </w:rPr>
        <w:t xml:space="preserve"> </w:t>
      </w:r>
      <w:r>
        <w:t>(i)</w:t>
      </w:r>
      <w:r>
        <w:rPr>
          <w:spacing w:val="-4"/>
        </w:rPr>
        <w:t xml:space="preserve"> </w:t>
      </w:r>
      <w:r>
        <w:t>enter</w:t>
      </w:r>
      <w:r>
        <w:rPr>
          <w:spacing w:val="-5"/>
        </w:rPr>
        <w:t xml:space="preserve"> </w:t>
      </w:r>
      <w:r>
        <w:t>in</w:t>
      </w:r>
      <w:r>
        <w:rPr>
          <w:spacing w:val="-3"/>
        </w:rPr>
        <w:t xml:space="preserve"> </w:t>
      </w:r>
      <w:r>
        <w:t>cells</w:t>
      </w:r>
      <w:r>
        <w:rPr>
          <w:spacing w:val="-4"/>
        </w:rPr>
        <w:t xml:space="preserve"> </w:t>
      </w:r>
      <w:r>
        <w:t>N14:N17</w:t>
      </w:r>
      <w:r>
        <w:rPr>
          <w:spacing w:val="-3"/>
        </w:rPr>
        <w:t xml:space="preserve"> </w:t>
      </w:r>
      <w:r>
        <w:t>and</w:t>
      </w:r>
      <w:r>
        <w:rPr>
          <w:spacing w:val="-3"/>
        </w:rPr>
        <w:t xml:space="preserve"> </w:t>
      </w:r>
      <w:r>
        <w:t>P14:P16,</w:t>
      </w:r>
      <w:r>
        <w:rPr>
          <w:spacing w:val="-3"/>
        </w:rPr>
        <w:t xml:space="preserve"> </w:t>
      </w:r>
      <w:r>
        <w:t>the</w:t>
      </w:r>
      <w:r>
        <w:rPr>
          <w:spacing w:val="-4"/>
        </w:rPr>
        <w:t xml:space="preserve"> </w:t>
      </w:r>
      <w:r>
        <w:t>Contract-Plan</w:t>
      </w:r>
      <w:r>
        <w:rPr>
          <w:spacing w:val="-1"/>
        </w:rPr>
        <w:t xml:space="preserve"> </w:t>
      </w:r>
      <w:r>
        <w:t>ID-Segment</w:t>
      </w:r>
      <w:r>
        <w:rPr>
          <w:spacing w:val="-2"/>
        </w:rPr>
        <w:t xml:space="preserve"> </w:t>
      </w:r>
      <w:r>
        <w:t>ID</w:t>
      </w:r>
      <w:r>
        <w:rPr>
          <w:spacing w:val="-4"/>
        </w:rPr>
        <w:t xml:space="preserve"> </w:t>
      </w:r>
      <w:r>
        <w:t>of</w:t>
      </w:r>
      <w:r>
        <w:rPr>
          <w:spacing w:val="-3"/>
        </w:rPr>
        <w:t xml:space="preserve"> </w:t>
      </w:r>
      <w:r>
        <w:t>the</w:t>
      </w:r>
      <w:r>
        <w:rPr>
          <w:spacing w:val="-5"/>
        </w:rPr>
        <w:t xml:space="preserve"> </w:t>
      </w:r>
      <w:r>
        <w:t>seven bids with the greatest number of base period member months, and (ii) enter in cell P17,</w:t>
      </w:r>
    </w:p>
    <w:p>
      <w:pPr>
        <w:pStyle w:val="BodyText"/>
      </w:pPr>
      <w:r>
        <w:t>“All</w:t>
      </w:r>
      <w:r>
        <w:rPr>
          <w:spacing w:val="-1"/>
        </w:rPr>
        <w:t xml:space="preserve"> </w:t>
      </w:r>
      <w:r>
        <w:rPr>
          <w:spacing w:val="-2"/>
        </w:rPr>
        <w:t>Other”.</w:t>
      </w:r>
    </w:p>
    <w:p>
      <w:pPr>
        <w:pStyle w:val="BodyText"/>
        <w:spacing w:before="45"/>
        <w:ind w:left="0"/>
      </w:pPr>
    </w:p>
    <w:p>
      <w:pPr>
        <w:pStyle w:val="Heading2"/>
      </w:pPr>
      <w:bookmarkStart w:id="144" w:name="Section III – Base Period Data (at Plan’"/>
      <w:bookmarkEnd w:id="144"/>
      <w:bookmarkStart w:id="145" w:name="_bookmark45"/>
      <w:bookmarkEnd w:id="145"/>
      <w:r>
        <w:rPr>
          <w:smallCaps/>
        </w:rPr>
        <w:t>Section</w:t>
      </w:r>
      <w:r>
        <w:rPr>
          <w:smallCaps/>
          <w:spacing w:val="-15"/>
        </w:rPr>
        <w:t xml:space="preserve"> </w:t>
      </w:r>
      <w:r>
        <w:rPr>
          <w:smallCaps/>
        </w:rPr>
        <w:t>III</w:t>
      </w:r>
      <w:r>
        <w:rPr>
          <w:smallCaps/>
          <w:spacing w:val="-15"/>
        </w:rPr>
        <w:t xml:space="preserve"> </w:t>
      </w:r>
      <w:r>
        <w:rPr>
          <w:smallCaps/>
        </w:rPr>
        <w:t>–</w:t>
      </w:r>
      <w:r>
        <w:rPr>
          <w:smallCaps/>
          <w:spacing w:val="-15"/>
        </w:rPr>
        <w:t xml:space="preserve"> </w:t>
      </w:r>
      <w:r>
        <w:rPr>
          <w:smallCaps/>
        </w:rPr>
        <w:t>Base</w:t>
      </w:r>
      <w:r>
        <w:rPr>
          <w:smallCaps/>
          <w:spacing w:val="-15"/>
        </w:rPr>
        <w:t xml:space="preserve"> </w:t>
      </w:r>
      <w:r>
        <w:rPr>
          <w:smallCaps/>
        </w:rPr>
        <w:t>Period</w:t>
      </w:r>
      <w:r>
        <w:rPr>
          <w:smallCaps/>
          <w:spacing w:val="-11"/>
        </w:rPr>
        <w:t xml:space="preserve"> </w:t>
      </w:r>
      <w:r>
        <w:rPr>
          <w:smallCaps/>
        </w:rPr>
        <w:t>Data</w:t>
      </w:r>
      <w:r>
        <w:rPr>
          <w:smallCaps/>
          <w:spacing w:val="-7"/>
        </w:rPr>
        <w:t xml:space="preserve"> </w:t>
      </w:r>
      <w:r>
        <w:rPr>
          <w:smallCaps/>
        </w:rPr>
        <w:t>(at</w:t>
      </w:r>
      <w:r>
        <w:rPr>
          <w:smallCaps/>
          <w:spacing w:val="-5"/>
        </w:rPr>
        <w:t xml:space="preserve"> </w:t>
      </w:r>
      <w:r>
        <w:rPr>
          <w:smallCaps/>
        </w:rPr>
        <w:t>Plan’s</w:t>
      </w:r>
      <w:r>
        <w:rPr>
          <w:smallCaps/>
          <w:spacing w:val="-8"/>
        </w:rPr>
        <w:t xml:space="preserve"> </w:t>
      </w:r>
      <w:r>
        <w:rPr>
          <w:smallCaps/>
        </w:rPr>
        <w:t>Risk</w:t>
      </w:r>
      <w:r>
        <w:rPr>
          <w:smallCaps/>
          <w:spacing w:val="-7"/>
        </w:rPr>
        <w:t xml:space="preserve"> </w:t>
      </w:r>
      <w:r>
        <w:rPr>
          <w:smallCaps/>
        </w:rPr>
        <w:t>Factor)</w:t>
      </w:r>
      <w:r>
        <w:rPr>
          <w:smallCaps/>
          <w:spacing w:val="-15"/>
        </w:rPr>
        <w:t xml:space="preserve"> </w:t>
      </w:r>
      <w:r>
        <w:rPr>
          <w:smallCaps/>
        </w:rPr>
        <w:t>for</w:t>
      </w:r>
      <w:r>
        <w:rPr>
          <w:smallCaps/>
          <w:spacing w:val="-9"/>
        </w:rPr>
        <w:t xml:space="preserve"> </w:t>
      </w:r>
      <w:r>
        <w:rPr>
          <w:smallCaps/>
        </w:rPr>
        <w:t>1/1/2025</w:t>
      </w:r>
      <w:r>
        <w:rPr>
          <w:smallCaps/>
          <w:spacing w:val="-15"/>
        </w:rPr>
        <w:t xml:space="preserve"> </w:t>
      </w:r>
      <w:r>
        <w:rPr>
          <w:smallCaps/>
          <w:spacing w:val="-10"/>
        </w:rPr>
        <w:t>–</w:t>
      </w:r>
    </w:p>
    <w:p>
      <w:pPr>
        <w:spacing w:before="2"/>
        <w:ind w:left="504" w:right="0" w:firstLine="0"/>
        <w:jc w:val="left"/>
        <w:rPr>
          <w:rFonts w:ascii="Arial"/>
          <w:b/>
          <w:sz w:val="26"/>
        </w:rPr>
      </w:pPr>
      <w:r>
        <w:rPr>
          <w:rFonts w:ascii="Arial"/>
          <w:b/>
          <w:spacing w:val="-2"/>
          <w:sz w:val="26"/>
        </w:rPr>
        <w:t>12/31/2025</w:t>
      </w:r>
    </w:p>
    <w:p>
      <w:pPr>
        <w:pStyle w:val="BodyText"/>
        <w:spacing w:before="179"/>
      </w:pPr>
      <w:r>
        <w:t>Section</w:t>
      </w:r>
      <w:r>
        <w:rPr>
          <w:spacing w:val="-1"/>
        </w:rPr>
        <w:t xml:space="preserve"> </w:t>
      </w:r>
      <w:r>
        <w:t>III</w:t>
      </w:r>
      <w:r>
        <w:rPr>
          <w:spacing w:val="-3"/>
        </w:rPr>
        <w:t xml:space="preserve"> </w:t>
      </w:r>
      <w:r>
        <w:t>summarizes</w:t>
      </w:r>
      <w:r>
        <w:rPr>
          <w:spacing w:val="-2"/>
        </w:rPr>
        <w:t xml:space="preserve"> </w:t>
      </w:r>
      <w:r>
        <w:t>the</w:t>
      </w:r>
      <w:r>
        <w:rPr>
          <w:spacing w:val="-1"/>
        </w:rPr>
        <w:t xml:space="preserve"> </w:t>
      </w:r>
      <w:r>
        <w:t>base</w:t>
      </w:r>
      <w:r>
        <w:rPr>
          <w:spacing w:val="-2"/>
        </w:rPr>
        <w:t xml:space="preserve"> </w:t>
      </w:r>
      <w:r>
        <w:t>period</w:t>
      </w:r>
      <w:r>
        <w:rPr>
          <w:spacing w:val="-1"/>
        </w:rPr>
        <w:t xml:space="preserve"> </w:t>
      </w:r>
      <w:r>
        <w:t>data</w:t>
      </w:r>
      <w:r>
        <w:rPr>
          <w:spacing w:val="-1"/>
        </w:rPr>
        <w:t xml:space="preserve"> </w:t>
      </w:r>
      <w:r>
        <w:t>by</w:t>
      </w:r>
      <w:r>
        <w:rPr>
          <w:spacing w:val="-1"/>
        </w:rPr>
        <w:t xml:space="preserve"> </w:t>
      </w:r>
      <w:r>
        <w:t>benefit</w:t>
      </w:r>
      <w:r>
        <w:rPr>
          <w:spacing w:val="-1"/>
        </w:rPr>
        <w:t xml:space="preserve"> </w:t>
      </w:r>
      <w:r>
        <w:t xml:space="preserve">service </w:t>
      </w:r>
      <w:r>
        <w:rPr>
          <w:spacing w:val="-2"/>
        </w:rPr>
        <w:t>category.</w:t>
      </w:r>
    </w:p>
    <w:p>
      <w:pPr>
        <w:spacing w:before="240"/>
        <w:ind w:left="504" w:right="0" w:firstLine="0"/>
        <w:jc w:val="left"/>
        <w:rPr>
          <w:rFonts w:ascii="Arial"/>
          <w:b/>
          <w:sz w:val="21"/>
        </w:rPr>
      </w:pPr>
      <w:bookmarkStart w:id="146" w:name="In lines a through q:"/>
      <w:bookmarkEnd w:id="146"/>
      <w:r>
        <w:rPr>
          <w:rFonts w:ascii="Arial"/>
          <w:b/>
          <w:sz w:val="21"/>
        </w:rPr>
        <w:t>In</w:t>
      </w:r>
      <w:r>
        <w:rPr>
          <w:rFonts w:ascii="Arial"/>
          <w:b/>
          <w:spacing w:val="-4"/>
          <w:sz w:val="21"/>
        </w:rPr>
        <w:t xml:space="preserve"> </w:t>
      </w:r>
      <w:r>
        <w:rPr>
          <w:rFonts w:ascii="Arial"/>
          <w:b/>
          <w:sz w:val="21"/>
        </w:rPr>
        <w:t>lines</w:t>
      </w:r>
      <w:r>
        <w:rPr>
          <w:rFonts w:ascii="Arial"/>
          <w:b/>
          <w:spacing w:val="-4"/>
          <w:sz w:val="21"/>
        </w:rPr>
        <w:t xml:space="preserve"> </w:t>
      </w:r>
      <w:r>
        <w:rPr>
          <w:rFonts w:ascii="Arial"/>
          <w:b/>
          <w:sz w:val="21"/>
        </w:rPr>
        <w:t>a</w:t>
      </w:r>
      <w:r>
        <w:rPr>
          <w:rFonts w:ascii="Arial"/>
          <w:b/>
          <w:spacing w:val="-4"/>
          <w:sz w:val="21"/>
        </w:rPr>
        <w:t xml:space="preserve"> </w:t>
      </w:r>
      <w:r>
        <w:rPr>
          <w:rFonts w:ascii="Arial"/>
          <w:b/>
          <w:sz w:val="21"/>
        </w:rPr>
        <w:t>through</w:t>
      </w:r>
      <w:r>
        <w:rPr>
          <w:rFonts w:ascii="Arial"/>
          <w:b/>
          <w:spacing w:val="-3"/>
          <w:sz w:val="21"/>
        </w:rPr>
        <w:t xml:space="preserve"> </w:t>
      </w:r>
      <w:r>
        <w:rPr>
          <w:rFonts w:ascii="Arial"/>
          <w:b/>
          <w:spacing w:val="-5"/>
          <w:sz w:val="21"/>
        </w:rPr>
        <w:t>q:</w:t>
      </w:r>
    </w:p>
    <w:p>
      <w:pPr>
        <w:pStyle w:val="ListParagraph"/>
        <w:numPr>
          <w:ilvl w:val="0"/>
          <w:numId w:val="43"/>
        </w:numPr>
        <w:tabs>
          <w:tab w:val="left" w:pos="1223"/>
        </w:tabs>
        <w:spacing w:before="119" w:after="0" w:line="240" w:lineRule="auto"/>
        <w:ind w:left="12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b</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Service</w:t>
      </w:r>
      <w:r>
        <w:rPr>
          <w:rFonts w:ascii="Arial" w:hAnsi="Arial"/>
          <w:b/>
          <w:spacing w:val="-3"/>
          <w:sz w:val="21"/>
        </w:rPr>
        <w:t xml:space="preserve"> </w:t>
      </w:r>
      <w:r>
        <w:rPr>
          <w:rFonts w:ascii="Arial" w:hAnsi="Arial"/>
          <w:b/>
          <w:spacing w:val="-2"/>
          <w:sz w:val="21"/>
        </w:rPr>
        <w:t>Category</w:t>
      </w:r>
    </w:p>
    <w:p>
      <w:pPr>
        <w:pStyle w:val="BodyText"/>
        <w:spacing w:before="120"/>
        <w:ind w:left="1224"/>
      </w:pPr>
      <w:r>
        <w:t>The</w:t>
      </w:r>
      <w:r>
        <w:rPr>
          <w:spacing w:val="-5"/>
        </w:rPr>
        <w:t xml:space="preserve"> </w:t>
      </w:r>
      <w:r>
        <w:t>benefit service</w:t>
      </w:r>
      <w:r>
        <w:rPr>
          <w:spacing w:val="-1"/>
        </w:rPr>
        <w:t xml:space="preserve"> </w:t>
      </w:r>
      <w:r>
        <w:t>categories</w:t>
      </w:r>
      <w:r>
        <w:rPr>
          <w:spacing w:val="-1"/>
        </w:rPr>
        <w:t xml:space="preserve"> </w:t>
      </w:r>
      <w:r>
        <w:t>are</w:t>
      </w:r>
      <w:r>
        <w:rPr>
          <w:spacing w:val="-2"/>
        </w:rPr>
        <w:t xml:space="preserve"> </w:t>
      </w:r>
      <w:r>
        <w:t>displayed</w:t>
      </w:r>
      <w:r>
        <w:rPr>
          <w:spacing w:val="-1"/>
        </w:rPr>
        <w:t xml:space="preserve"> </w:t>
      </w:r>
      <w:r>
        <w:t>in column</w:t>
      </w:r>
      <w:r>
        <w:rPr>
          <w:spacing w:val="2"/>
        </w:rPr>
        <w:t xml:space="preserve"> </w:t>
      </w:r>
      <w:r>
        <w:rPr>
          <w:spacing w:val="-5"/>
        </w:rPr>
        <w:t>b.</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d</w:t>
      </w:r>
      <w:r>
        <w:rPr>
          <w:rFonts w:ascii="Arial" w:hAnsi="Arial"/>
          <w:b/>
          <w:spacing w:val="-1"/>
          <w:sz w:val="21"/>
        </w:rPr>
        <w:t xml:space="preserve"> </w:t>
      </w:r>
      <w:r>
        <w:rPr>
          <w:rFonts w:ascii="Arial" w:hAnsi="Arial"/>
          <w:b/>
          <w:sz w:val="21"/>
        </w:rPr>
        <w:t>–</w:t>
      </w:r>
      <w:r>
        <w:rPr>
          <w:rFonts w:ascii="Arial" w:hAnsi="Arial"/>
          <w:b/>
          <w:spacing w:val="-2"/>
          <w:sz w:val="21"/>
        </w:rPr>
        <w:t xml:space="preserve"> </w:t>
      </w:r>
      <w:r>
        <w:rPr>
          <w:rFonts w:ascii="Arial" w:hAnsi="Arial"/>
          <w:b/>
          <w:sz w:val="21"/>
        </w:rPr>
        <w:t>Net</w:t>
      </w:r>
      <w:r>
        <w:rPr>
          <w:rFonts w:ascii="Arial" w:hAnsi="Arial"/>
          <w:b/>
          <w:spacing w:val="-4"/>
          <w:sz w:val="21"/>
        </w:rPr>
        <w:t xml:space="preserve"> PMPM</w:t>
      </w:r>
    </w:p>
    <w:p>
      <w:pPr>
        <w:pStyle w:val="BodyText"/>
        <w:spacing w:before="118"/>
        <w:ind w:left="1224" w:right="1481"/>
      </w:pPr>
      <w:r>
        <w:t>Enter</w:t>
      </w:r>
      <w:r>
        <w:rPr>
          <w:spacing w:val="-2"/>
        </w:rPr>
        <w:t xml:space="preserve"> </w:t>
      </w:r>
      <w:r>
        <w:t>the</w:t>
      </w:r>
      <w:r>
        <w:rPr>
          <w:spacing w:val="-4"/>
        </w:rPr>
        <w:t xml:space="preserve"> </w:t>
      </w:r>
      <w:r>
        <w:t>net</w:t>
      </w:r>
      <w:r>
        <w:rPr>
          <w:spacing w:val="-2"/>
        </w:rPr>
        <w:t xml:space="preserve"> </w:t>
      </w:r>
      <w:r>
        <w:t>medical</w:t>
      </w:r>
      <w:r>
        <w:rPr>
          <w:spacing w:val="-2"/>
        </w:rPr>
        <w:t xml:space="preserve"> </w:t>
      </w:r>
      <w:r>
        <w:t>PMPM</w:t>
      </w:r>
      <w:r>
        <w:rPr>
          <w:spacing w:val="-3"/>
        </w:rPr>
        <w:t xml:space="preserve"> </w:t>
      </w:r>
      <w:r>
        <w:t>for</w:t>
      </w:r>
      <w:r>
        <w:rPr>
          <w:spacing w:val="-4"/>
        </w:rPr>
        <w:t xml:space="preserve"> </w:t>
      </w:r>
      <w:r>
        <w:t>each</w:t>
      </w:r>
      <w:r>
        <w:rPr>
          <w:spacing w:val="-2"/>
        </w:rPr>
        <w:t xml:space="preserve"> </w:t>
      </w:r>
      <w:r>
        <w:t>of</w:t>
      </w:r>
      <w:r>
        <w:rPr>
          <w:spacing w:val="-2"/>
        </w:rPr>
        <w:t xml:space="preserve"> </w:t>
      </w:r>
      <w:r>
        <w:t>the</w:t>
      </w:r>
      <w:r>
        <w:rPr>
          <w:spacing w:val="-4"/>
        </w:rPr>
        <w:t xml:space="preserve"> </w:t>
      </w:r>
      <w:r>
        <w:t>benefit</w:t>
      </w:r>
      <w:r>
        <w:rPr>
          <w:spacing w:val="-2"/>
        </w:rPr>
        <w:t xml:space="preserve"> </w:t>
      </w:r>
      <w:r>
        <w:t>service</w:t>
      </w:r>
      <w:r>
        <w:rPr>
          <w:spacing w:val="-3"/>
        </w:rPr>
        <w:t xml:space="preserve"> </w:t>
      </w:r>
      <w:r>
        <w:t>categories</w:t>
      </w:r>
      <w:r>
        <w:rPr>
          <w:spacing w:val="-3"/>
        </w:rPr>
        <w:t xml:space="preserve"> </w:t>
      </w:r>
      <w:r>
        <w:t>for</w:t>
      </w:r>
      <w:r>
        <w:rPr>
          <w:spacing w:val="-2"/>
        </w:rPr>
        <w:t xml:space="preserve"> </w:t>
      </w:r>
      <w:r>
        <w:t>the</w:t>
      </w:r>
      <w:r>
        <w:rPr>
          <w:spacing w:val="-3"/>
        </w:rPr>
        <w:t xml:space="preserve"> </w:t>
      </w:r>
      <w:r>
        <w:t xml:space="preserve">base </w:t>
      </w:r>
      <w:r>
        <w:rPr>
          <w:spacing w:val="-2"/>
        </w:rPr>
        <w:t>period.</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2"/>
          <w:sz w:val="21"/>
        </w:rPr>
        <w:t xml:space="preserve"> </w:t>
      </w:r>
      <w:r>
        <w:rPr>
          <w:rFonts w:ascii="Arial" w:hAnsi="Arial"/>
          <w:b/>
          <w:sz w:val="21"/>
        </w:rPr>
        <w:t>e</w:t>
      </w:r>
      <w:r>
        <w:rPr>
          <w:rFonts w:ascii="Arial" w:hAnsi="Arial"/>
          <w:b/>
          <w:spacing w:val="-2"/>
          <w:sz w:val="21"/>
        </w:rPr>
        <w:t xml:space="preserve"> </w:t>
      </w:r>
      <w:r>
        <w:rPr>
          <w:rFonts w:ascii="Arial" w:hAnsi="Arial"/>
          <w:b/>
          <w:sz w:val="21"/>
        </w:rPr>
        <w:t>–</w:t>
      </w:r>
      <w:r>
        <w:rPr>
          <w:rFonts w:ascii="Arial" w:hAnsi="Arial"/>
          <w:b/>
          <w:spacing w:val="-4"/>
          <w:sz w:val="21"/>
        </w:rPr>
        <w:t xml:space="preserve"> </w:t>
      </w:r>
      <w:r>
        <w:rPr>
          <w:rFonts w:ascii="Arial" w:hAnsi="Arial"/>
          <w:b/>
          <w:sz w:val="21"/>
        </w:rPr>
        <w:t>Cost</w:t>
      </w:r>
      <w:r>
        <w:rPr>
          <w:rFonts w:ascii="Arial" w:hAnsi="Arial"/>
          <w:b/>
          <w:spacing w:val="-3"/>
          <w:sz w:val="21"/>
        </w:rPr>
        <w:t xml:space="preserve"> </w:t>
      </w:r>
      <w:r>
        <w:rPr>
          <w:rFonts w:ascii="Arial" w:hAnsi="Arial"/>
          <w:b/>
          <w:spacing w:val="-2"/>
          <w:sz w:val="21"/>
        </w:rPr>
        <w:t>Sharing</w:t>
      </w:r>
    </w:p>
    <w:p>
      <w:pPr>
        <w:pStyle w:val="BodyText"/>
        <w:spacing w:before="120"/>
        <w:ind w:left="1224" w:right="1481"/>
      </w:pPr>
      <w:r>
        <w:t>These</w:t>
      </w:r>
      <w:r>
        <w:rPr>
          <w:spacing w:val="-5"/>
        </w:rPr>
        <w:t xml:space="preserve"> </w:t>
      </w:r>
      <w:r>
        <w:t>fields</w:t>
      </w:r>
      <w:r>
        <w:rPr>
          <w:spacing w:val="-5"/>
        </w:rPr>
        <w:t xml:space="preserve"> </w:t>
      </w:r>
      <w:r>
        <w:t>are</w:t>
      </w:r>
      <w:r>
        <w:rPr>
          <w:spacing w:val="-5"/>
        </w:rPr>
        <w:t xml:space="preserve"> </w:t>
      </w:r>
      <w:r>
        <w:t>calculated</w:t>
      </w:r>
      <w:r>
        <w:rPr>
          <w:spacing w:val="-4"/>
        </w:rPr>
        <w:t xml:space="preserve"> </w:t>
      </w:r>
      <w:r>
        <w:t>automatically,</w:t>
      </w:r>
      <w:r>
        <w:rPr>
          <w:spacing w:val="-4"/>
        </w:rPr>
        <w:t xml:space="preserve"> </w:t>
      </w:r>
      <w:r>
        <w:t>as</w:t>
      </w:r>
      <w:r>
        <w:rPr>
          <w:spacing w:val="-5"/>
        </w:rPr>
        <w:t xml:space="preserve"> </w:t>
      </w:r>
      <w:r>
        <w:t>the</w:t>
      </w:r>
      <w:r>
        <w:rPr>
          <w:spacing w:val="-4"/>
        </w:rPr>
        <w:t xml:space="preserve"> </w:t>
      </w:r>
      <w:r>
        <w:t>difference</w:t>
      </w:r>
      <w:r>
        <w:rPr>
          <w:spacing w:val="-5"/>
        </w:rPr>
        <w:t xml:space="preserve"> </w:t>
      </w:r>
      <w:r>
        <w:t>between</w:t>
      </w:r>
      <w:r>
        <w:rPr>
          <w:spacing w:val="-4"/>
        </w:rPr>
        <w:t xml:space="preserve"> </w:t>
      </w:r>
      <w:r>
        <w:t>column</w:t>
      </w:r>
      <w:r>
        <w:rPr>
          <w:spacing w:val="-2"/>
        </w:rPr>
        <w:t xml:space="preserve"> </w:t>
      </w:r>
      <w:r>
        <w:t>i</w:t>
      </w:r>
      <w:r>
        <w:rPr>
          <w:spacing w:val="-2"/>
        </w:rPr>
        <w:t xml:space="preserve"> </w:t>
      </w:r>
      <w:r>
        <w:t>(allowed PMPM) and column d (net PMPM). The values must be greater than or equal to zero.</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f</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Utilization</w:t>
      </w:r>
      <w:r>
        <w:rPr>
          <w:rFonts w:ascii="Arial" w:hAnsi="Arial"/>
          <w:b/>
          <w:spacing w:val="-3"/>
          <w:sz w:val="21"/>
        </w:rPr>
        <w:t xml:space="preserve"> </w:t>
      </w:r>
      <w:r>
        <w:rPr>
          <w:rFonts w:ascii="Arial" w:hAnsi="Arial"/>
          <w:b/>
          <w:spacing w:val="-4"/>
          <w:sz w:val="21"/>
        </w:rPr>
        <w:t>type</w:t>
      </w:r>
    </w:p>
    <w:p>
      <w:pPr>
        <w:pStyle w:val="BodyText"/>
        <w:spacing w:before="120"/>
        <w:ind w:left="1224" w:right="1481"/>
      </w:pPr>
      <w:r>
        <w:t>Column f displays the utilization types entered on Worksheet 2. Utilization types are required</w:t>
      </w:r>
      <w:r>
        <w:rPr>
          <w:spacing w:val="-3"/>
        </w:rPr>
        <w:t xml:space="preserve"> </w:t>
      </w:r>
      <w:r>
        <w:t>inputs</w:t>
      </w:r>
      <w:r>
        <w:rPr>
          <w:spacing w:val="-4"/>
        </w:rPr>
        <w:t xml:space="preserve"> </w:t>
      </w:r>
      <w:r>
        <w:t>on</w:t>
      </w:r>
      <w:r>
        <w:rPr>
          <w:spacing w:val="-3"/>
        </w:rPr>
        <w:t xml:space="preserve"> </w:t>
      </w:r>
      <w:r>
        <w:t>Worksheet</w:t>
      </w:r>
      <w:r>
        <w:rPr>
          <w:spacing w:val="-3"/>
        </w:rPr>
        <w:t xml:space="preserve"> </w:t>
      </w:r>
      <w:r>
        <w:t>2,</w:t>
      </w:r>
      <w:r>
        <w:rPr>
          <w:spacing w:val="-3"/>
        </w:rPr>
        <w:t xml:space="preserve"> </w:t>
      </w:r>
      <w:r>
        <w:t>whether</w:t>
      </w:r>
      <w:r>
        <w:rPr>
          <w:spacing w:val="-3"/>
        </w:rPr>
        <w:t xml:space="preserve"> </w:t>
      </w:r>
      <w:r>
        <w:t>the</w:t>
      </w:r>
      <w:r>
        <w:rPr>
          <w:spacing w:val="-5"/>
        </w:rPr>
        <w:t xml:space="preserve"> </w:t>
      </w:r>
      <w:r>
        <w:t>pricing</w:t>
      </w:r>
      <w:r>
        <w:rPr>
          <w:spacing w:val="-3"/>
        </w:rPr>
        <w:t xml:space="preserve"> </w:t>
      </w:r>
      <w:r>
        <w:t>is</w:t>
      </w:r>
      <w:r>
        <w:rPr>
          <w:spacing w:val="-4"/>
        </w:rPr>
        <w:t xml:space="preserve"> </w:t>
      </w:r>
      <w:r>
        <w:t>based</w:t>
      </w:r>
      <w:r>
        <w:rPr>
          <w:spacing w:val="-3"/>
        </w:rPr>
        <w:t xml:space="preserve"> </w:t>
      </w:r>
      <w:r>
        <w:t>on</w:t>
      </w:r>
      <w:r>
        <w:rPr>
          <w:spacing w:val="-4"/>
        </w:rPr>
        <w:t xml:space="preserve"> </w:t>
      </w:r>
      <w:r>
        <w:t>base</w:t>
      </w:r>
      <w:r>
        <w:rPr>
          <w:spacing w:val="-4"/>
        </w:rPr>
        <w:t xml:space="preserve"> </w:t>
      </w:r>
      <w:r>
        <w:t>period</w:t>
      </w:r>
      <w:r>
        <w:rPr>
          <w:spacing w:val="-1"/>
        </w:rPr>
        <w:t xml:space="preserve"> </w:t>
      </w:r>
      <w:r>
        <w:t>experience data or manual rates.</w:t>
      </w:r>
    </w:p>
    <w:p>
      <w:pPr>
        <w:pStyle w:val="BodyText"/>
        <w:spacing w:after="0"/>
        <w:sectPr>
          <w:pgSz w:w="12240" w:h="15840"/>
          <w:pgMar w:top="960" w:right="0" w:bottom="940" w:left="1080" w:header="727" w:footer="747"/>
          <w:cols w:space="720"/>
        </w:sectPr>
      </w:pPr>
    </w:p>
    <w:p>
      <w:pPr>
        <w:pStyle w:val="BodyText"/>
        <w:spacing w:before="225"/>
        <w:ind w:left="0"/>
        <w:rPr>
          <w:sz w:val="21"/>
        </w:rPr>
      </w:pPr>
    </w:p>
    <w:p>
      <w:pPr>
        <w:pStyle w:val="ListParagraph"/>
        <w:numPr>
          <w:ilvl w:val="0"/>
          <w:numId w:val="43"/>
        </w:numPr>
        <w:tabs>
          <w:tab w:val="left" w:pos="1223"/>
        </w:tabs>
        <w:spacing w:before="0" w:after="0" w:line="240" w:lineRule="auto"/>
        <w:ind w:left="1223"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g</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Annualized</w:t>
      </w:r>
      <w:r>
        <w:rPr>
          <w:rFonts w:ascii="Arial" w:hAnsi="Arial"/>
          <w:b/>
          <w:spacing w:val="-4"/>
          <w:sz w:val="21"/>
        </w:rPr>
        <w:t xml:space="preserve"> </w:t>
      </w:r>
      <w:r>
        <w:rPr>
          <w:rFonts w:ascii="Arial" w:hAnsi="Arial"/>
          <w:b/>
          <w:spacing w:val="-2"/>
          <w:sz w:val="21"/>
        </w:rPr>
        <w:t>Utilization/1,000</w:t>
      </w:r>
    </w:p>
    <w:p>
      <w:pPr>
        <w:pStyle w:val="BodyText"/>
        <w:spacing w:before="120"/>
        <w:ind w:left="1224" w:right="1481"/>
      </w:pPr>
      <w:r>
        <w:t>Enter the annualized utilization per thousand enrollees for each of the benefit service categories</w:t>
      </w:r>
      <w:r>
        <w:rPr>
          <w:spacing w:val="-3"/>
        </w:rPr>
        <w:t xml:space="preserve"> </w:t>
      </w:r>
      <w:r>
        <w:t>for</w:t>
      </w:r>
      <w:r>
        <w:rPr>
          <w:spacing w:val="-6"/>
        </w:rPr>
        <w:t xml:space="preserve"> </w:t>
      </w:r>
      <w:r>
        <w:t>the</w:t>
      </w:r>
      <w:r>
        <w:rPr>
          <w:spacing w:val="-4"/>
        </w:rPr>
        <w:t xml:space="preserve"> </w:t>
      </w:r>
      <w:r>
        <w:t>base</w:t>
      </w:r>
      <w:r>
        <w:rPr>
          <w:spacing w:val="-5"/>
        </w:rPr>
        <w:t xml:space="preserve"> </w:t>
      </w:r>
      <w:r>
        <w:t>period</w:t>
      </w:r>
      <w:r>
        <w:rPr>
          <w:spacing w:val="-4"/>
        </w:rPr>
        <w:t xml:space="preserve"> </w:t>
      </w:r>
      <w:r>
        <w:t>data.</w:t>
      </w:r>
      <w:r>
        <w:rPr>
          <w:spacing w:val="-4"/>
        </w:rPr>
        <w:t xml:space="preserve"> </w:t>
      </w:r>
      <w:r>
        <w:t>The</w:t>
      </w:r>
      <w:r>
        <w:rPr>
          <w:spacing w:val="-5"/>
        </w:rPr>
        <w:t xml:space="preserve"> </w:t>
      </w:r>
      <w:r>
        <w:t>utilization/1000</w:t>
      </w:r>
      <w:r>
        <w:rPr>
          <w:spacing w:val="-4"/>
        </w:rPr>
        <w:t xml:space="preserve"> </w:t>
      </w:r>
      <w:r>
        <w:t>must</w:t>
      </w:r>
      <w:r>
        <w:rPr>
          <w:spacing w:val="-4"/>
        </w:rPr>
        <w:t xml:space="preserve"> </w:t>
      </w:r>
      <w:r>
        <w:t>be</w:t>
      </w:r>
      <w:r>
        <w:rPr>
          <w:spacing w:val="-4"/>
        </w:rPr>
        <w:t xml:space="preserve"> </w:t>
      </w:r>
      <w:r>
        <w:t>reported</w:t>
      </w:r>
      <w:r>
        <w:rPr>
          <w:spacing w:val="-4"/>
        </w:rPr>
        <w:t xml:space="preserve"> </w:t>
      </w:r>
      <w:r>
        <w:t>consistently with the utilization type displayed in column f.</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h</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Average</w:t>
      </w:r>
      <w:r>
        <w:rPr>
          <w:rFonts w:ascii="Arial" w:hAnsi="Arial"/>
          <w:b/>
          <w:spacing w:val="-3"/>
          <w:sz w:val="21"/>
        </w:rPr>
        <w:t xml:space="preserve"> </w:t>
      </w:r>
      <w:r>
        <w:rPr>
          <w:rFonts w:ascii="Arial" w:hAnsi="Arial"/>
          <w:b/>
          <w:sz w:val="21"/>
        </w:rPr>
        <w:t>Cost</w:t>
      </w:r>
      <w:r>
        <w:rPr>
          <w:rFonts w:ascii="Arial" w:hAnsi="Arial"/>
          <w:b/>
          <w:spacing w:val="-5"/>
          <w:sz w:val="21"/>
        </w:rPr>
        <w:t xml:space="preserve"> </w:t>
      </w:r>
      <w:r>
        <w:rPr>
          <w:rFonts w:ascii="Arial" w:hAnsi="Arial"/>
          <w:b/>
          <w:sz w:val="21"/>
        </w:rPr>
        <w:t>per</w:t>
      </w:r>
      <w:r>
        <w:rPr>
          <w:rFonts w:ascii="Arial" w:hAnsi="Arial"/>
          <w:b/>
          <w:spacing w:val="-4"/>
          <w:sz w:val="21"/>
        </w:rPr>
        <w:t xml:space="preserve"> Unit</w:t>
      </w:r>
    </w:p>
    <w:p>
      <w:pPr>
        <w:pStyle w:val="BodyText"/>
        <w:spacing w:before="118"/>
        <w:ind w:left="1224" w:right="1481"/>
      </w:pPr>
      <w:r>
        <w:t>These</w:t>
      </w:r>
      <w:r>
        <w:rPr>
          <w:spacing w:val="-5"/>
        </w:rPr>
        <w:t xml:space="preserve"> </w:t>
      </w:r>
      <w:r>
        <w:t>cells</w:t>
      </w:r>
      <w:r>
        <w:rPr>
          <w:spacing w:val="-5"/>
        </w:rPr>
        <w:t xml:space="preserve"> </w:t>
      </w:r>
      <w:r>
        <w:t>are</w:t>
      </w:r>
      <w:r>
        <w:rPr>
          <w:spacing w:val="-4"/>
        </w:rPr>
        <w:t xml:space="preserve"> </w:t>
      </w:r>
      <w:r>
        <w:t>calculated</w:t>
      </w:r>
      <w:r>
        <w:rPr>
          <w:spacing w:val="-4"/>
        </w:rPr>
        <w:t xml:space="preserve"> </w:t>
      </w:r>
      <w:r>
        <w:t>automatically</w:t>
      </w:r>
      <w:r>
        <w:rPr>
          <w:spacing w:val="-4"/>
        </w:rPr>
        <w:t xml:space="preserve"> </w:t>
      </w:r>
      <w:r>
        <w:t>using</w:t>
      </w:r>
      <w:r>
        <w:rPr>
          <w:spacing w:val="-4"/>
        </w:rPr>
        <w:t xml:space="preserve"> </w:t>
      </w:r>
      <w:r>
        <w:t>the</w:t>
      </w:r>
      <w:r>
        <w:rPr>
          <w:spacing w:val="-4"/>
        </w:rPr>
        <w:t xml:space="preserve"> </w:t>
      </w:r>
      <w:r>
        <w:t>utilization</w:t>
      </w:r>
      <w:r>
        <w:rPr>
          <w:spacing w:val="-4"/>
        </w:rPr>
        <w:t xml:space="preserve"> </w:t>
      </w:r>
      <w:r>
        <w:t>provided</w:t>
      </w:r>
      <w:r>
        <w:rPr>
          <w:spacing w:val="-4"/>
        </w:rPr>
        <w:t xml:space="preserve"> </w:t>
      </w:r>
      <w:r>
        <w:t>in</w:t>
      </w:r>
      <w:r>
        <w:rPr>
          <w:spacing w:val="-4"/>
        </w:rPr>
        <w:t xml:space="preserve"> </w:t>
      </w:r>
      <w:r>
        <w:t>column</w:t>
      </w:r>
      <w:r>
        <w:rPr>
          <w:spacing w:val="-4"/>
        </w:rPr>
        <w:t xml:space="preserve"> </w:t>
      </w:r>
      <w:r>
        <w:t>g</w:t>
      </w:r>
      <w:r>
        <w:rPr>
          <w:spacing w:val="-4"/>
        </w:rPr>
        <w:t xml:space="preserve"> </w:t>
      </w:r>
      <w:r>
        <w:t>and allowed PMPM provided in column i.</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i</w:t>
      </w:r>
      <w:r>
        <w:rPr>
          <w:rFonts w:ascii="Arial" w:hAnsi="Arial"/>
          <w:b/>
          <w:spacing w:val="-6"/>
          <w:sz w:val="21"/>
        </w:rPr>
        <w:t xml:space="preserve"> </w:t>
      </w:r>
      <w:r>
        <w:rPr>
          <w:rFonts w:ascii="Arial" w:hAnsi="Arial"/>
          <w:b/>
          <w:sz w:val="21"/>
        </w:rPr>
        <w:t>–</w:t>
      </w:r>
      <w:r>
        <w:rPr>
          <w:rFonts w:ascii="Arial" w:hAnsi="Arial"/>
          <w:b/>
          <w:spacing w:val="-4"/>
          <w:sz w:val="21"/>
        </w:rPr>
        <w:t xml:space="preserve"> </w:t>
      </w:r>
      <w:r>
        <w:rPr>
          <w:rFonts w:ascii="Arial" w:hAnsi="Arial"/>
          <w:b/>
          <w:sz w:val="21"/>
        </w:rPr>
        <w:t>Allowed</w:t>
      </w:r>
      <w:r>
        <w:rPr>
          <w:rFonts w:ascii="Arial" w:hAnsi="Arial"/>
          <w:b/>
          <w:spacing w:val="-2"/>
          <w:sz w:val="21"/>
        </w:rPr>
        <w:t xml:space="preserve"> </w:t>
      </w:r>
      <w:r>
        <w:rPr>
          <w:rFonts w:ascii="Arial" w:hAnsi="Arial"/>
          <w:b/>
          <w:spacing w:val="-4"/>
          <w:sz w:val="21"/>
        </w:rPr>
        <w:t>PMPM</w:t>
      </w:r>
    </w:p>
    <w:p>
      <w:pPr>
        <w:pStyle w:val="BodyText"/>
        <w:spacing w:before="120"/>
        <w:ind w:left="1224"/>
      </w:pPr>
      <w:r>
        <w:t>Enter</w:t>
      </w:r>
      <w:r>
        <w:rPr>
          <w:spacing w:val="-3"/>
        </w:rPr>
        <w:t xml:space="preserve"> </w:t>
      </w:r>
      <w:r>
        <w:t>the</w:t>
      </w:r>
      <w:r>
        <w:rPr>
          <w:spacing w:val="-3"/>
        </w:rPr>
        <w:t xml:space="preserve"> </w:t>
      </w:r>
      <w:r>
        <w:t>allowed</w:t>
      </w:r>
      <w:r>
        <w:rPr>
          <w:spacing w:val="-1"/>
        </w:rPr>
        <w:t xml:space="preserve"> </w:t>
      </w:r>
      <w:r>
        <w:t>PMPM</w:t>
      </w:r>
      <w:r>
        <w:rPr>
          <w:spacing w:val="-2"/>
        </w:rPr>
        <w:t xml:space="preserve"> </w:t>
      </w:r>
      <w:r>
        <w:t>by</w:t>
      </w:r>
      <w:r>
        <w:rPr>
          <w:spacing w:val="-1"/>
        </w:rPr>
        <w:t xml:space="preserve"> </w:t>
      </w:r>
      <w:r>
        <w:t>service</w:t>
      </w:r>
      <w:r>
        <w:rPr>
          <w:spacing w:val="-1"/>
        </w:rPr>
        <w:t xml:space="preserve"> </w:t>
      </w:r>
      <w:r>
        <w:t>category for</w:t>
      </w:r>
      <w:r>
        <w:rPr>
          <w:spacing w:val="-3"/>
        </w:rPr>
        <w:t xml:space="preserve"> </w:t>
      </w:r>
      <w:r>
        <w:t>the</w:t>
      </w:r>
      <w:r>
        <w:rPr>
          <w:spacing w:val="-1"/>
        </w:rPr>
        <w:t xml:space="preserve"> </w:t>
      </w:r>
      <w:r>
        <w:t>base</w:t>
      </w:r>
      <w:r>
        <w:rPr>
          <w:spacing w:val="-2"/>
        </w:rPr>
        <w:t xml:space="preserve"> period.</w:t>
      </w:r>
    </w:p>
    <w:p>
      <w:pPr>
        <w:spacing w:before="241"/>
        <w:ind w:left="504" w:right="0" w:firstLine="0"/>
        <w:jc w:val="left"/>
        <w:rPr>
          <w:rFonts w:ascii="Arial" w:hAnsi="Arial"/>
          <w:b/>
          <w:sz w:val="21"/>
        </w:rPr>
      </w:pPr>
      <w:bookmarkStart w:id="147" w:name="Line r – COB/Subrogation (outside claims"/>
      <w:bookmarkEnd w:id="147"/>
      <w:r>
        <w:rPr>
          <w:rFonts w:ascii="Arial" w:hAnsi="Arial"/>
          <w:b/>
          <w:sz w:val="21"/>
        </w:rPr>
        <w:t>Line</w:t>
      </w:r>
      <w:r>
        <w:rPr>
          <w:rFonts w:ascii="Arial" w:hAnsi="Arial"/>
          <w:b/>
          <w:spacing w:val="-7"/>
          <w:sz w:val="21"/>
        </w:rPr>
        <w:t xml:space="preserve"> </w:t>
      </w:r>
      <w:r>
        <w:rPr>
          <w:rFonts w:ascii="Arial" w:hAnsi="Arial"/>
          <w:b/>
          <w:sz w:val="21"/>
        </w:rPr>
        <w:t>r</w:t>
      </w:r>
      <w:r>
        <w:rPr>
          <w:rFonts w:ascii="Arial" w:hAnsi="Arial"/>
          <w:b/>
          <w:spacing w:val="-7"/>
          <w:sz w:val="21"/>
        </w:rPr>
        <w:t xml:space="preserve"> </w:t>
      </w:r>
      <w:r>
        <w:rPr>
          <w:rFonts w:ascii="Arial" w:hAnsi="Arial"/>
          <w:b/>
          <w:sz w:val="21"/>
        </w:rPr>
        <w:t>–</w:t>
      </w:r>
      <w:r>
        <w:rPr>
          <w:rFonts w:ascii="Arial" w:hAnsi="Arial"/>
          <w:b/>
          <w:spacing w:val="-6"/>
          <w:sz w:val="21"/>
        </w:rPr>
        <w:t xml:space="preserve"> </w:t>
      </w:r>
      <w:r>
        <w:rPr>
          <w:rFonts w:ascii="Arial" w:hAnsi="Arial"/>
          <w:b/>
          <w:sz w:val="21"/>
        </w:rPr>
        <w:t>COB/Subrogation</w:t>
      </w:r>
      <w:r>
        <w:rPr>
          <w:rFonts w:ascii="Arial" w:hAnsi="Arial"/>
          <w:b/>
          <w:spacing w:val="-5"/>
          <w:sz w:val="21"/>
        </w:rPr>
        <w:t xml:space="preserve"> </w:t>
      </w:r>
      <w:r>
        <w:rPr>
          <w:rFonts w:ascii="Arial" w:hAnsi="Arial"/>
          <w:b/>
          <w:sz w:val="21"/>
        </w:rPr>
        <w:t>(outside</w:t>
      </w:r>
      <w:r>
        <w:rPr>
          <w:rFonts w:ascii="Arial" w:hAnsi="Arial"/>
          <w:b/>
          <w:spacing w:val="-6"/>
          <w:sz w:val="21"/>
        </w:rPr>
        <w:t xml:space="preserve"> </w:t>
      </w:r>
      <w:r>
        <w:rPr>
          <w:rFonts w:ascii="Arial" w:hAnsi="Arial"/>
          <w:b/>
          <w:sz w:val="21"/>
        </w:rPr>
        <w:t>claims</w:t>
      </w:r>
      <w:r>
        <w:rPr>
          <w:rFonts w:ascii="Arial" w:hAnsi="Arial"/>
          <w:b/>
          <w:spacing w:val="-7"/>
          <w:sz w:val="21"/>
        </w:rPr>
        <w:t xml:space="preserve"> </w:t>
      </w:r>
      <w:r>
        <w:rPr>
          <w:rFonts w:ascii="Arial" w:hAnsi="Arial"/>
          <w:b/>
          <w:spacing w:val="-2"/>
          <w:sz w:val="21"/>
        </w:rPr>
        <w:t>system)</w:t>
      </w:r>
    </w:p>
    <w:p>
      <w:pPr>
        <w:pStyle w:val="BodyText"/>
        <w:spacing w:before="118"/>
        <w:ind w:right="1481"/>
      </w:pPr>
      <w:r>
        <w:t>The</w:t>
      </w:r>
      <w:r>
        <w:rPr>
          <w:spacing w:val="-5"/>
        </w:rPr>
        <w:t xml:space="preserve"> </w:t>
      </w:r>
      <w:r>
        <w:t>Coordination</w:t>
      </w:r>
      <w:r>
        <w:rPr>
          <w:spacing w:val="-4"/>
        </w:rPr>
        <w:t xml:space="preserve"> </w:t>
      </w:r>
      <w:r>
        <w:t>of</w:t>
      </w:r>
      <w:r>
        <w:rPr>
          <w:spacing w:val="-5"/>
        </w:rPr>
        <w:t xml:space="preserve"> </w:t>
      </w:r>
      <w:r>
        <w:t>Benefits</w:t>
      </w:r>
      <w:r>
        <w:rPr>
          <w:spacing w:val="-5"/>
        </w:rPr>
        <w:t xml:space="preserve"> </w:t>
      </w:r>
      <w:r>
        <w:t>(COB)/Subrogation</w:t>
      </w:r>
      <w:r>
        <w:rPr>
          <w:spacing w:val="-4"/>
        </w:rPr>
        <w:t xml:space="preserve"> </w:t>
      </w:r>
      <w:r>
        <w:t>service</w:t>
      </w:r>
      <w:r>
        <w:rPr>
          <w:spacing w:val="-3"/>
        </w:rPr>
        <w:t xml:space="preserve"> </w:t>
      </w:r>
      <w:r>
        <w:t>category</w:t>
      </w:r>
      <w:r>
        <w:rPr>
          <w:spacing w:val="-4"/>
        </w:rPr>
        <w:t xml:space="preserve"> </w:t>
      </w:r>
      <w:r>
        <w:t>is</w:t>
      </w:r>
      <w:r>
        <w:rPr>
          <w:spacing w:val="-5"/>
        </w:rPr>
        <w:t xml:space="preserve"> </w:t>
      </w:r>
      <w:r>
        <w:t>intended</w:t>
      </w:r>
      <w:r>
        <w:rPr>
          <w:spacing w:val="-4"/>
        </w:rPr>
        <w:t xml:space="preserve"> </w:t>
      </w:r>
      <w:r>
        <w:t>to</w:t>
      </w:r>
      <w:r>
        <w:rPr>
          <w:spacing w:val="-4"/>
        </w:rPr>
        <w:t xml:space="preserve"> </w:t>
      </w:r>
      <w:r>
        <w:t>include</w:t>
      </w:r>
      <w:r>
        <w:rPr>
          <w:spacing w:val="-4"/>
        </w:rPr>
        <w:t xml:space="preserve"> </w:t>
      </w:r>
      <w:r>
        <w:t>only those amounts that are to be settled outside the claim system. See the “COB/Subrogation” pricing consideration for more information.</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b</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Service</w:t>
      </w:r>
      <w:r>
        <w:rPr>
          <w:rFonts w:ascii="Arial" w:hAnsi="Arial"/>
          <w:b/>
          <w:spacing w:val="-3"/>
          <w:sz w:val="21"/>
        </w:rPr>
        <w:t xml:space="preserve"> </w:t>
      </w:r>
      <w:r>
        <w:rPr>
          <w:rFonts w:ascii="Arial" w:hAnsi="Arial"/>
          <w:b/>
          <w:spacing w:val="-2"/>
          <w:sz w:val="21"/>
        </w:rPr>
        <w:t>Category</w:t>
      </w:r>
    </w:p>
    <w:p>
      <w:pPr>
        <w:pStyle w:val="BodyText"/>
        <w:spacing w:before="120"/>
        <w:ind w:left="1224"/>
      </w:pPr>
      <w:r>
        <w:t>COB/Subrogation</w:t>
      </w:r>
      <w:r>
        <w:rPr>
          <w:spacing w:val="-1"/>
        </w:rPr>
        <w:t xml:space="preserve"> </w:t>
      </w:r>
      <w:r>
        <w:t>is displayed</w:t>
      </w:r>
      <w:r>
        <w:rPr>
          <w:spacing w:val="-2"/>
        </w:rPr>
        <w:t xml:space="preserve"> </w:t>
      </w:r>
      <w:r>
        <w:t>in</w:t>
      </w:r>
      <w:r>
        <w:rPr>
          <w:spacing w:val="-1"/>
        </w:rPr>
        <w:t xml:space="preserve"> </w:t>
      </w:r>
      <w:r>
        <w:t>lieu</w:t>
      </w:r>
      <w:r>
        <w:rPr>
          <w:spacing w:val="-1"/>
        </w:rPr>
        <w:t xml:space="preserve"> </w:t>
      </w:r>
      <w:r>
        <w:t>of</w:t>
      </w:r>
      <w:r>
        <w:rPr>
          <w:spacing w:val="-2"/>
        </w:rPr>
        <w:t xml:space="preserve"> </w:t>
      </w:r>
      <w:r>
        <w:t>a</w:t>
      </w:r>
      <w:r>
        <w:rPr>
          <w:spacing w:val="-2"/>
        </w:rPr>
        <w:t xml:space="preserve"> </w:t>
      </w:r>
      <w:r>
        <w:t xml:space="preserve">service </w:t>
      </w:r>
      <w:r>
        <w:rPr>
          <w:spacing w:val="-2"/>
        </w:rPr>
        <w:t>category.</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d</w:t>
      </w:r>
      <w:r>
        <w:rPr>
          <w:rFonts w:ascii="Arial" w:hAnsi="Arial"/>
          <w:b/>
          <w:spacing w:val="-1"/>
          <w:sz w:val="21"/>
        </w:rPr>
        <w:t xml:space="preserve"> </w:t>
      </w:r>
      <w:r>
        <w:rPr>
          <w:rFonts w:ascii="Arial" w:hAnsi="Arial"/>
          <w:b/>
          <w:sz w:val="21"/>
        </w:rPr>
        <w:t>–</w:t>
      </w:r>
      <w:r>
        <w:rPr>
          <w:rFonts w:ascii="Arial" w:hAnsi="Arial"/>
          <w:b/>
          <w:spacing w:val="-2"/>
          <w:sz w:val="21"/>
        </w:rPr>
        <w:t xml:space="preserve"> </w:t>
      </w:r>
      <w:r>
        <w:rPr>
          <w:rFonts w:ascii="Arial" w:hAnsi="Arial"/>
          <w:b/>
          <w:sz w:val="21"/>
        </w:rPr>
        <w:t>Net</w:t>
      </w:r>
      <w:r>
        <w:rPr>
          <w:rFonts w:ascii="Arial" w:hAnsi="Arial"/>
          <w:b/>
          <w:spacing w:val="-4"/>
          <w:sz w:val="21"/>
        </w:rPr>
        <w:t xml:space="preserve"> PMPM</w:t>
      </w:r>
    </w:p>
    <w:p>
      <w:pPr>
        <w:pStyle w:val="BodyText"/>
        <w:spacing w:before="120"/>
        <w:ind w:left="1224"/>
      </w:pPr>
      <w:r>
        <w:t>Line</w:t>
      </w:r>
      <w:r>
        <w:rPr>
          <w:spacing w:val="-4"/>
        </w:rPr>
        <w:t xml:space="preserve"> </w:t>
      </w:r>
      <w:r>
        <w:t>r,</w:t>
      </w:r>
      <w:r>
        <w:rPr>
          <w:spacing w:val="-1"/>
        </w:rPr>
        <w:t xml:space="preserve"> </w:t>
      </w:r>
      <w:r>
        <w:t>COB, is</w:t>
      </w:r>
      <w:r>
        <w:rPr>
          <w:spacing w:val="-1"/>
        </w:rPr>
        <w:t xml:space="preserve"> </w:t>
      </w:r>
      <w:r>
        <w:t>set</w:t>
      </w:r>
      <w:r>
        <w:rPr>
          <w:spacing w:val="-1"/>
        </w:rPr>
        <w:t xml:space="preserve"> </w:t>
      </w:r>
      <w:r>
        <w:t>equal</w:t>
      </w:r>
      <w:r>
        <w:rPr>
          <w:spacing w:val="2"/>
        </w:rPr>
        <w:t xml:space="preserve"> </w:t>
      </w:r>
      <w:r>
        <w:t>to</w:t>
      </w:r>
      <w:r>
        <w:rPr>
          <w:spacing w:val="-1"/>
        </w:rPr>
        <w:t xml:space="preserve"> </w:t>
      </w:r>
      <w:r>
        <w:t>the</w:t>
      </w:r>
      <w:r>
        <w:rPr>
          <w:spacing w:val="-2"/>
        </w:rPr>
        <w:t xml:space="preserve"> </w:t>
      </w:r>
      <w:r>
        <w:t>allowed PMPM</w:t>
      </w:r>
      <w:r>
        <w:rPr>
          <w:spacing w:val="-2"/>
        </w:rPr>
        <w:t xml:space="preserve"> </w:t>
      </w:r>
      <w:r>
        <w:t>in</w:t>
      </w:r>
      <w:r>
        <w:rPr>
          <w:spacing w:val="-3"/>
        </w:rPr>
        <w:t xml:space="preserve"> </w:t>
      </w:r>
      <w:r>
        <w:t>column i</w:t>
      </w:r>
      <w:r>
        <w:rPr>
          <w:spacing w:val="-1"/>
        </w:rPr>
        <w:t xml:space="preserve"> </w:t>
      </w:r>
      <w:r>
        <w:t xml:space="preserve">by </w:t>
      </w:r>
      <w:r>
        <w:rPr>
          <w:spacing w:val="-2"/>
        </w:rPr>
        <w:t>formula.</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2"/>
          <w:sz w:val="21"/>
        </w:rPr>
        <w:t xml:space="preserve"> </w:t>
      </w:r>
      <w:r>
        <w:rPr>
          <w:rFonts w:ascii="Arial" w:hAnsi="Arial"/>
          <w:b/>
          <w:sz w:val="21"/>
        </w:rPr>
        <w:t>e</w:t>
      </w:r>
      <w:r>
        <w:rPr>
          <w:rFonts w:ascii="Arial" w:hAnsi="Arial"/>
          <w:b/>
          <w:spacing w:val="-2"/>
          <w:sz w:val="21"/>
        </w:rPr>
        <w:t xml:space="preserve"> </w:t>
      </w:r>
      <w:r>
        <w:rPr>
          <w:rFonts w:ascii="Arial" w:hAnsi="Arial"/>
          <w:b/>
          <w:sz w:val="21"/>
        </w:rPr>
        <w:t>–</w:t>
      </w:r>
      <w:r>
        <w:rPr>
          <w:rFonts w:ascii="Arial" w:hAnsi="Arial"/>
          <w:b/>
          <w:spacing w:val="-4"/>
          <w:sz w:val="21"/>
        </w:rPr>
        <w:t xml:space="preserve"> </w:t>
      </w:r>
      <w:r>
        <w:rPr>
          <w:rFonts w:ascii="Arial" w:hAnsi="Arial"/>
          <w:b/>
          <w:sz w:val="21"/>
        </w:rPr>
        <w:t>Cost</w:t>
      </w:r>
      <w:r>
        <w:rPr>
          <w:rFonts w:ascii="Arial" w:hAnsi="Arial"/>
          <w:b/>
          <w:spacing w:val="-3"/>
          <w:sz w:val="21"/>
        </w:rPr>
        <w:t xml:space="preserve"> </w:t>
      </w:r>
      <w:r>
        <w:rPr>
          <w:rFonts w:ascii="Arial" w:hAnsi="Arial"/>
          <w:b/>
          <w:spacing w:val="-2"/>
          <w:sz w:val="21"/>
        </w:rPr>
        <w:t>Sharing</w:t>
      </w:r>
    </w:p>
    <w:p>
      <w:pPr>
        <w:pStyle w:val="BodyText"/>
        <w:spacing w:before="118"/>
        <w:ind w:left="1224"/>
      </w:pPr>
      <w:r>
        <w:t>Line</w:t>
      </w:r>
      <w:r>
        <w:rPr>
          <w:spacing w:val="-2"/>
        </w:rPr>
        <w:t xml:space="preserve"> </w:t>
      </w:r>
      <w:r>
        <w:t>r,</w:t>
      </w:r>
      <w:r>
        <w:rPr>
          <w:spacing w:val="-1"/>
        </w:rPr>
        <w:t xml:space="preserve"> </w:t>
      </w:r>
      <w:r>
        <w:t>COB, is</w:t>
      </w:r>
      <w:r>
        <w:rPr>
          <w:spacing w:val="-1"/>
        </w:rPr>
        <w:t xml:space="preserve"> </w:t>
      </w:r>
      <w:r>
        <w:t>set equal</w:t>
      </w:r>
      <w:r>
        <w:rPr>
          <w:spacing w:val="1"/>
        </w:rPr>
        <w:t xml:space="preserve"> </w:t>
      </w:r>
      <w:r>
        <w:t xml:space="preserve">to </w:t>
      </w:r>
      <w:r>
        <w:rPr>
          <w:spacing w:val="-2"/>
        </w:rPr>
        <w:t>zero.</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i</w:t>
      </w:r>
      <w:r>
        <w:rPr>
          <w:rFonts w:ascii="Arial" w:hAnsi="Arial"/>
          <w:b/>
          <w:spacing w:val="-6"/>
          <w:sz w:val="21"/>
        </w:rPr>
        <w:t xml:space="preserve"> </w:t>
      </w:r>
      <w:r>
        <w:rPr>
          <w:rFonts w:ascii="Arial" w:hAnsi="Arial"/>
          <w:b/>
          <w:sz w:val="21"/>
        </w:rPr>
        <w:t>–</w:t>
      </w:r>
      <w:r>
        <w:rPr>
          <w:rFonts w:ascii="Arial" w:hAnsi="Arial"/>
          <w:b/>
          <w:spacing w:val="-4"/>
          <w:sz w:val="21"/>
        </w:rPr>
        <w:t xml:space="preserve"> </w:t>
      </w:r>
      <w:r>
        <w:rPr>
          <w:rFonts w:ascii="Arial" w:hAnsi="Arial"/>
          <w:b/>
          <w:sz w:val="21"/>
        </w:rPr>
        <w:t>Allowed</w:t>
      </w:r>
      <w:r>
        <w:rPr>
          <w:rFonts w:ascii="Arial" w:hAnsi="Arial"/>
          <w:b/>
          <w:spacing w:val="-2"/>
          <w:sz w:val="21"/>
        </w:rPr>
        <w:t xml:space="preserve"> </w:t>
      </w:r>
      <w:r>
        <w:rPr>
          <w:rFonts w:ascii="Arial" w:hAnsi="Arial"/>
          <w:b/>
          <w:spacing w:val="-4"/>
          <w:sz w:val="21"/>
        </w:rPr>
        <w:t>PMPM</w:t>
      </w:r>
    </w:p>
    <w:p>
      <w:pPr>
        <w:pStyle w:val="BodyText"/>
        <w:spacing w:before="120"/>
        <w:ind w:left="1224" w:right="1481"/>
      </w:pPr>
      <w:r>
        <w:t>Enter</w:t>
      </w:r>
      <w:r>
        <w:rPr>
          <w:spacing w:val="-4"/>
        </w:rPr>
        <w:t xml:space="preserve"> </w:t>
      </w:r>
      <w:r>
        <w:t>any</w:t>
      </w:r>
      <w:r>
        <w:rPr>
          <w:spacing w:val="-3"/>
        </w:rPr>
        <w:t xml:space="preserve"> </w:t>
      </w:r>
      <w:r>
        <w:t>COB/Subrogation</w:t>
      </w:r>
      <w:r>
        <w:rPr>
          <w:spacing w:val="-3"/>
        </w:rPr>
        <w:t xml:space="preserve"> </w:t>
      </w:r>
      <w:r>
        <w:t>offsets</w:t>
      </w:r>
      <w:r>
        <w:rPr>
          <w:spacing w:val="-4"/>
        </w:rPr>
        <w:t xml:space="preserve"> </w:t>
      </w:r>
      <w:r>
        <w:t>to</w:t>
      </w:r>
      <w:r>
        <w:rPr>
          <w:spacing w:val="-3"/>
        </w:rPr>
        <w:t xml:space="preserve"> </w:t>
      </w:r>
      <w:r>
        <w:t>costs</w:t>
      </w:r>
      <w:r>
        <w:rPr>
          <w:spacing w:val="-3"/>
        </w:rPr>
        <w:t xml:space="preserve"> </w:t>
      </w:r>
      <w:r>
        <w:t>as</w:t>
      </w:r>
      <w:r>
        <w:rPr>
          <w:spacing w:val="-4"/>
        </w:rPr>
        <w:t xml:space="preserve"> </w:t>
      </w:r>
      <w:r>
        <w:t>a</w:t>
      </w:r>
      <w:r>
        <w:rPr>
          <w:spacing w:val="-4"/>
        </w:rPr>
        <w:t xml:space="preserve"> </w:t>
      </w:r>
      <w:r>
        <w:t>negative</w:t>
      </w:r>
      <w:r>
        <w:rPr>
          <w:spacing w:val="-4"/>
        </w:rPr>
        <w:t xml:space="preserve"> </w:t>
      </w:r>
      <w:r>
        <w:t>number,</w:t>
      </w:r>
      <w:r>
        <w:rPr>
          <w:spacing w:val="-3"/>
        </w:rPr>
        <w:t xml:space="preserve"> </w:t>
      </w:r>
      <w:r>
        <w:t>since</w:t>
      </w:r>
      <w:r>
        <w:rPr>
          <w:spacing w:val="-4"/>
        </w:rPr>
        <w:t xml:space="preserve"> </w:t>
      </w:r>
      <w:r>
        <w:t>line</w:t>
      </w:r>
      <w:r>
        <w:rPr>
          <w:spacing w:val="-4"/>
        </w:rPr>
        <w:t xml:space="preserve"> </w:t>
      </w:r>
      <w:r>
        <w:t>r</w:t>
      </w:r>
      <w:r>
        <w:rPr>
          <w:spacing w:val="-3"/>
        </w:rPr>
        <w:t xml:space="preserve"> </w:t>
      </w:r>
      <w:r>
        <w:t>will</w:t>
      </w:r>
      <w:r>
        <w:rPr>
          <w:spacing w:val="-3"/>
        </w:rPr>
        <w:t xml:space="preserve"> </w:t>
      </w:r>
      <w:r>
        <w:t>be added to total medical expenses.</w:t>
      </w:r>
    </w:p>
    <w:p>
      <w:pPr>
        <w:spacing w:before="241"/>
        <w:ind w:left="504" w:right="0" w:firstLine="0"/>
        <w:jc w:val="left"/>
        <w:rPr>
          <w:rFonts w:ascii="Arial" w:hAnsi="Arial"/>
          <w:b/>
          <w:sz w:val="21"/>
        </w:rPr>
      </w:pPr>
      <w:bookmarkStart w:id="148" w:name="Line s – Total Medical Expenses"/>
      <w:bookmarkEnd w:id="148"/>
      <w:r>
        <w:rPr>
          <w:rFonts w:ascii="Arial" w:hAnsi="Arial"/>
          <w:b/>
          <w:sz w:val="21"/>
        </w:rPr>
        <w:t>Line</w:t>
      </w:r>
      <w:r>
        <w:rPr>
          <w:rFonts w:ascii="Arial" w:hAnsi="Arial"/>
          <w:b/>
          <w:spacing w:val="-3"/>
          <w:sz w:val="21"/>
        </w:rPr>
        <w:t xml:space="preserve"> </w:t>
      </w:r>
      <w:r>
        <w:rPr>
          <w:rFonts w:ascii="Arial" w:hAnsi="Arial"/>
          <w:b/>
          <w:sz w:val="21"/>
        </w:rPr>
        <w:t>s</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4"/>
          <w:sz w:val="21"/>
        </w:rPr>
        <w:t xml:space="preserve"> </w:t>
      </w:r>
      <w:r>
        <w:rPr>
          <w:rFonts w:ascii="Arial" w:hAnsi="Arial"/>
          <w:b/>
          <w:sz w:val="21"/>
        </w:rPr>
        <w:t>Medical</w:t>
      </w:r>
      <w:r>
        <w:rPr>
          <w:rFonts w:ascii="Arial" w:hAnsi="Arial"/>
          <w:b/>
          <w:spacing w:val="-3"/>
          <w:sz w:val="21"/>
        </w:rPr>
        <w:t xml:space="preserve"> </w:t>
      </w:r>
      <w:r>
        <w:rPr>
          <w:rFonts w:ascii="Arial" w:hAnsi="Arial"/>
          <w:b/>
          <w:spacing w:val="-2"/>
          <w:sz w:val="21"/>
        </w:rPr>
        <w:t>Expenses</w:t>
      </w:r>
    </w:p>
    <w:p>
      <w:pPr>
        <w:pStyle w:val="BodyText"/>
        <w:spacing w:before="118"/>
        <w:ind w:right="1481"/>
      </w:pPr>
      <w:r>
        <w:t>Calculated</w:t>
      </w:r>
      <w:r>
        <w:rPr>
          <w:spacing w:val="-3"/>
        </w:rPr>
        <w:t xml:space="preserve"> </w:t>
      </w:r>
      <w:r>
        <w:t>automatically</w:t>
      </w:r>
      <w:r>
        <w:rPr>
          <w:spacing w:val="-1"/>
        </w:rPr>
        <w:t xml:space="preserve"> </w:t>
      </w:r>
      <w:r>
        <w:t>as</w:t>
      </w:r>
      <w:r>
        <w:rPr>
          <w:spacing w:val="-3"/>
        </w:rPr>
        <w:t xml:space="preserve"> </w:t>
      </w:r>
      <w:r>
        <w:t>the</w:t>
      </w:r>
      <w:r>
        <w:rPr>
          <w:spacing w:val="-3"/>
        </w:rPr>
        <w:t xml:space="preserve"> </w:t>
      </w:r>
      <w:r>
        <w:t>sum</w:t>
      </w:r>
      <w:r>
        <w:rPr>
          <w:spacing w:val="-3"/>
        </w:rPr>
        <w:t xml:space="preserve"> </w:t>
      </w:r>
      <w:r>
        <w:t>of</w:t>
      </w:r>
      <w:r>
        <w:rPr>
          <w:spacing w:val="-3"/>
        </w:rPr>
        <w:t xml:space="preserve"> </w:t>
      </w:r>
      <w:r>
        <w:t>lines</w:t>
      </w:r>
      <w:r>
        <w:rPr>
          <w:spacing w:val="-3"/>
        </w:rPr>
        <w:t xml:space="preserve"> </w:t>
      </w:r>
      <w:r>
        <w:t>a</w:t>
      </w:r>
      <w:r>
        <w:rPr>
          <w:spacing w:val="-4"/>
        </w:rPr>
        <w:t xml:space="preserve"> </w:t>
      </w:r>
      <w:r>
        <w:t>through</w:t>
      </w:r>
      <w:r>
        <w:rPr>
          <w:spacing w:val="-3"/>
        </w:rPr>
        <w:t xml:space="preserve"> </w:t>
      </w:r>
      <w:r>
        <w:t>r.</w:t>
      </w:r>
      <w:r>
        <w:rPr>
          <w:spacing w:val="-3"/>
        </w:rPr>
        <w:t xml:space="preserve"> </w:t>
      </w:r>
      <w:r>
        <w:t>Value</w:t>
      </w:r>
      <w:r>
        <w:rPr>
          <w:spacing w:val="-3"/>
        </w:rPr>
        <w:t xml:space="preserve"> </w:t>
      </w:r>
      <w:r>
        <w:t>should</w:t>
      </w:r>
      <w:r>
        <w:rPr>
          <w:spacing w:val="-3"/>
        </w:rPr>
        <w:t xml:space="preserve"> </w:t>
      </w:r>
      <w:r>
        <w:t>be</w:t>
      </w:r>
      <w:r>
        <w:rPr>
          <w:spacing w:val="-3"/>
        </w:rPr>
        <w:t xml:space="preserve"> </w:t>
      </w:r>
      <w:r>
        <w:t>greater</w:t>
      </w:r>
      <w:r>
        <w:rPr>
          <w:spacing w:val="-4"/>
        </w:rPr>
        <w:t xml:space="preserve"> </w:t>
      </w:r>
      <w:r>
        <w:t>than</w:t>
      </w:r>
      <w:r>
        <w:rPr>
          <w:spacing w:val="-2"/>
        </w:rPr>
        <w:t xml:space="preserve"> </w:t>
      </w:r>
      <w:r>
        <w:t>zero</w:t>
      </w:r>
      <w:r>
        <w:rPr>
          <w:spacing w:val="-3"/>
        </w:rPr>
        <w:t xml:space="preserve"> </w:t>
      </w:r>
      <w:r>
        <w:t>if base period member months are greater than zero.</w:t>
      </w:r>
    </w:p>
    <w:p>
      <w:pPr>
        <w:spacing w:before="240"/>
        <w:ind w:left="504" w:right="0" w:firstLine="0"/>
        <w:jc w:val="left"/>
        <w:rPr>
          <w:rFonts w:ascii="Arial" w:hAnsi="Arial"/>
          <w:b/>
          <w:sz w:val="21"/>
        </w:rPr>
      </w:pPr>
      <w:bookmarkStart w:id="149" w:name="Line t – Subtotal Medicare-Covered Servi"/>
      <w:bookmarkEnd w:id="149"/>
      <w:r>
        <w:rPr>
          <w:rFonts w:ascii="Arial" w:hAnsi="Arial"/>
          <w:b/>
          <w:sz w:val="21"/>
        </w:rPr>
        <w:t>Line</w:t>
      </w:r>
      <w:r>
        <w:rPr>
          <w:rFonts w:ascii="Arial" w:hAnsi="Arial"/>
          <w:b/>
          <w:spacing w:val="-7"/>
          <w:sz w:val="21"/>
        </w:rPr>
        <w:t xml:space="preserve"> </w:t>
      </w:r>
      <w:r>
        <w:rPr>
          <w:rFonts w:ascii="Arial" w:hAnsi="Arial"/>
          <w:b/>
          <w:sz w:val="21"/>
        </w:rPr>
        <w:t>t</w:t>
      </w:r>
      <w:r>
        <w:rPr>
          <w:rFonts w:ascii="Arial" w:hAnsi="Arial"/>
          <w:b/>
          <w:spacing w:val="-7"/>
          <w:sz w:val="21"/>
        </w:rPr>
        <w:t xml:space="preserve"> </w:t>
      </w:r>
      <w:r>
        <w:rPr>
          <w:rFonts w:ascii="Arial" w:hAnsi="Arial"/>
          <w:b/>
          <w:sz w:val="21"/>
        </w:rPr>
        <w:t>–</w:t>
      </w:r>
      <w:r>
        <w:rPr>
          <w:rFonts w:ascii="Arial" w:hAnsi="Arial"/>
          <w:b/>
          <w:spacing w:val="-6"/>
          <w:sz w:val="21"/>
        </w:rPr>
        <w:t xml:space="preserve"> </w:t>
      </w:r>
      <w:r>
        <w:rPr>
          <w:rFonts w:ascii="Arial" w:hAnsi="Arial"/>
          <w:b/>
          <w:sz w:val="21"/>
        </w:rPr>
        <w:t>Subtotal</w:t>
      </w:r>
      <w:r>
        <w:rPr>
          <w:rFonts w:ascii="Arial" w:hAnsi="Arial"/>
          <w:b/>
          <w:spacing w:val="-7"/>
          <w:sz w:val="21"/>
        </w:rPr>
        <w:t xml:space="preserve"> </w:t>
      </w:r>
      <w:r>
        <w:rPr>
          <w:rFonts w:ascii="Arial" w:hAnsi="Arial"/>
          <w:b/>
          <w:sz w:val="21"/>
        </w:rPr>
        <w:t>Medicare-Covered</w:t>
      </w:r>
      <w:r>
        <w:rPr>
          <w:rFonts w:ascii="Arial" w:hAnsi="Arial"/>
          <w:b/>
          <w:spacing w:val="-5"/>
          <w:sz w:val="21"/>
        </w:rPr>
        <w:t xml:space="preserve"> </w:t>
      </w:r>
      <w:r>
        <w:rPr>
          <w:rFonts w:ascii="Arial" w:hAnsi="Arial"/>
          <w:b/>
          <w:sz w:val="21"/>
        </w:rPr>
        <w:t>Service</w:t>
      </w:r>
      <w:r>
        <w:rPr>
          <w:rFonts w:ascii="Arial" w:hAnsi="Arial"/>
          <w:b/>
          <w:spacing w:val="-8"/>
          <w:sz w:val="21"/>
        </w:rPr>
        <w:t xml:space="preserve"> </w:t>
      </w:r>
      <w:r>
        <w:rPr>
          <w:rFonts w:ascii="Arial" w:hAnsi="Arial"/>
          <w:b/>
          <w:spacing w:val="-2"/>
          <w:sz w:val="21"/>
        </w:rPr>
        <w:t>Categories</w:t>
      </w:r>
    </w:p>
    <w:p>
      <w:pPr>
        <w:pStyle w:val="BodyText"/>
        <w:spacing w:before="121"/>
      </w:pPr>
      <w:r>
        <w:t>Calculated</w:t>
      </w:r>
      <w:r>
        <w:rPr>
          <w:spacing w:val="-1"/>
        </w:rPr>
        <w:t xml:space="preserve"> </w:t>
      </w:r>
      <w:r>
        <w:t>automatically</w:t>
      </w:r>
      <w:r>
        <w:rPr>
          <w:spacing w:val="1"/>
        </w:rPr>
        <w:t xml:space="preserve"> </w:t>
      </w:r>
      <w:r>
        <w:t>as</w:t>
      </w:r>
      <w:r>
        <w:rPr>
          <w:spacing w:val="-2"/>
        </w:rPr>
        <w:t xml:space="preserve"> </w:t>
      </w:r>
      <w:r>
        <w:t>the</w:t>
      </w:r>
      <w:r>
        <w:rPr>
          <w:spacing w:val="-1"/>
        </w:rPr>
        <w:t xml:space="preserve"> </w:t>
      </w:r>
      <w:r>
        <w:t>sum</w:t>
      </w:r>
      <w:r>
        <w:rPr>
          <w:spacing w:val="-1"/>
        </w:rPr>
        <w:t xml:space="preserve"> </w:t>
      </w:r>
      <w:r>
        <w:t>of</w:t>
      </w:r>
      <w:r>
        <w:rPr>
          <w:spacing w:val="-1"/>
        </w:rPr>
        <w:t xml:space="preserve"> </w:t>
      </w:r>
      <w:r>
        <w:t>lines</w:t>
      </w:r>
      <w:r>
        <w:rPr>
          <w:spacing w:val="-2"/>
        </w:rPr>
        <w:t xml:space="preserve"> </w:t>
      </w:r>
      <w:r>
        <w:t>a</w:t>
      </w:r>
      <w:r>
        <w:rPr>
          <w:spacing w:val="-2"/>
        </w:rPr>
        <w:t xml:space="preserve"> </w:t>
      </w:r>
      <w:r>
        <w:t xml:space="preserve">through </w:t>
      </w:r>
      <w:r>
        <w:rPr>
          <w:spacing w:val="-5"/>
        </w:rPr>
        <w:t>k.</w:t>
      </w:r>
    </w:p>
    <w:p>
      <w:pPr>
        <w:pStyle w:val="BodyText"/>
        <w:spacing w:before="45"/>
        <w:ind w:left="0"/>
      </w:pPr>
    </w:p>
    <w:p>
      <w:pPr>
        <w:pStyle w:val="Heading2"/>
      </w:pPr>
      <w:bookmarkStart w:id="150" w:name="Section IV – Projection Assumptions"/>
      <w:bookmarkEnd w:id="150"/>
      <w:bookmarkStart w:id="151" w:name="_bookmark46"/>
      <w:bookmarkEnd w:id="151"/>
      <w:r>
        <w:rPr>
          <w:smallCaps/>
        </w:rPr>
        <w:t>Section</w:t>
      </w:r>
      <w:r>
        <w:rPr>
          <w:smallCaps/>
          <w:spacing w:val="-15"/>
        </w:rPr>
        <w:t xml:space="preserve"> </w:t>
      </w:r>
      <w:r>
        <w:rPr>
          <w:smallCaps/>
        </w:rPr>
        <w:t>IV</w:t>
      </w:r>
      <w:r>
        <w:rPr>
          <w:smallCaps/>
          <w:spacing w:val="-15"/>
        </w:rPr>
        <w:t xml:space="preserve"> </w:t>
      </w:r>
      <w:r>
        <w:rPr>
          <w:smallCaps/>
        </w:rPr>
        <w:t>–</w:t>
      </w:r>
      <w:r>
        <w:rPr>
          <w:smallCaps/>
          <w:spacing w:val="-15"/>
        </w:rPr>
        <w:t xml:space="preserve"> </w:t>
      </w:r>
      <w:r>
        <w:rPr>
          <w:smallCaps/>
        </w:rPr>
        <w:t>Projection</w:t>
      </w:r>
      <w:r>
        <w:rPr>
          <w:smallCaps/>
          <w:spacing w:val="-11"/>
        </w:rPr>
        <w:t xml:space="preserve"> </w:t>
      </w:r>
      <w:r>
        <w:rPr>
          <w:smallCaps/>
          <w:spacing w:val="-2"/>
        </w:rPr>
        <w:t>Assumptions</w:t>
      </w:r>
    </w:p>
    <w:p>
      <w:pPr>
        <w:pStyle w:val="BodyText"/>
        <w:spacing w:before="179"/>
        <w:ind w:right="1443"/>
      </w:pPr>
      <w:r>
        <w:t>Section IV contains the utilization, average unit cost, and other adjustment assumptions to project the base period data to the contract period. The values in columns j through n are the total adjustment factors from the base period to the contract period, not annual trend rates. For example,</w:t>
      </w:r>
      <w:r>
        <w:rPr>
          <w:spacing w:val="-3"/>
        </w:rPr>
        <w:t xml:space="preserve"> </w:t>
      </w:r>
      <w:r>
        <w:t>assume</w:t>
      </w:r>
      <w:r>
        <w:rPr>
          <w:spacing w:val="-4"/>
        </w:rPr>
        <w:t xml:space="preserve"> </w:t>
      </w:r>
      <w:r>
        <w:t>that</w:t>
      </w:r>
      <w:r>
        <w:rPr>
          <w:spacing w:val="-3"/>
        </w:rPr>
        <w:t xml:space="preserve"> </w:t>
      </w:r>
      <w:r>
        <w:t>the</w:t>
      </w:r>
      <w:r>
        <w:rPr>
          <w:spacing w:val="-2"/>
        </w:rPr>
        <w:t xml:space="preserve"> </w:t>
      </w:r>
      <w:r>
        <w:t>base</w:t>
      </w:r>
      <w:r>
        <w:rPr>
          <w:spacing w:val="-3"/>
        </w:rPr>
        <w:t xml:space="preserve"> </w:t>
      </w:r>
      <w:r>
        <w:t>period</w:t>
      </w:r>
      <w:r>
        <w:rPr>
          <w:spacing w:val="-4"/>
        </w:rPr>
        <w:t xml:space="preserve"> </w:t>
      </w:r>
      <w:r>
        <w:t>is</w:t>
      </w:r>
      <w:r>
        <w:rPr>
          <w:spacing w:val="-4"/>
        </w:rPr>
        <w:t xml:space="preserve"> </w:t>
      </w:r>
      <w:r>
        <w:t>calendar</w:t>
      </w:r>
      <w:r>
        <w:rPr>
          <w:spacing w:val="-3"/>
        </w:rPr>
        <w:t xml:space="preserve"> </w:t>
      </w:r>
      <w:r>
        <w:t>year</w:t>
      </w:r>
      <w:r>
        <w:rPr>
          <w:spacing w:val="-3"/>
        </w:rPr>
        <w:t xml:space="preserve"> </w:t>
      </w:r>
      <w:r>
        <w:t>2025</w:t>
      </w:r>
      <w:r>
        <w:rPr>
          <w:spacing w:val="-3"/>
        </w:rPr>
        <w:t xml:space="preserve"> </w:t>
      </w:r>
      <w:r>
        <w:t>and</w:t>
      </w:r>
      <w:r>
        <w:rPr>
          <w:spacing w:val="-3"/>
        </w:rPr>
        <w:t xml:space="preserve"> </w:t>
      </w:r>
      <w:r>
        <w:t>that</w:t>
      </w:r>
      <w:r>
        <w:rPr>
          <w:spacing w:val="-3"/>
        </w:rPr>
        <w:t xml:space="preserve"> </w:t>
      </w:r>
      <w:r>
        <w:t>the</w:t>
      </w:r>
      <w:r>
        <w:rPr>
          <w:spacing w:val="-4"/>
        </w:rPr>
        <w:t xml:space="preserve"> </w:t>
      </w:r>
      <w:r>
        <w:t>contract</w:t>
      </w:r>
      <w:r>
        <w:rPr>
          <w:spacing w:val="-3"/>
        </w:rPr>
        <w:t xml:space="preserve"> </w:t>
      </w:r>
      <w:r>
        <w:t>year</w:t>
      </w:r>
      <w:r>
        <w:rPr>
          <w:spacing w:val="-3"/>
        </w:rPr>
        <w:t xml:space="preserve"> </w:t>
      </w:r>
      <w:r>
        <w:t>is</w:t>
      </w:r>
      <w:r>
        <w:rPr>
          <w:spacing w:val="-2"/>
        </w:rPr>
        <w:t xml:space="preserve"> </w:t>
      </w:r>
      <w:r>
        <w:t>2027.</w:t>
      </w:r>
      <w:r>
        <w:rPr>
          <w:spacing w:val="-1"/>
        </w:rPr>
        <w:t xml:space="preserve"> </w:t>
      </w:r>
      <w:r>
        <w:t>If the utilization trend is 5 percent from 2025 to 2026 and 6 percent for projecting 2026 to 2027,</w:t>
      </w:r>
    </w:p>
    <w:p>
      <w:pPr>
        <w:pStyle w:val="BodyText"/>
        <w:spacing w:before="1"/>
      </w:pPr>
      <w:r>
        <w:t>then</w:t>
      </w:r>
      <w:r>
        <w:rPr>
          <w:spacing w:val="-2"/>
        </w:rPr>
        <w:t xml:space="preserve"> </w:t>
      </w:r>
      <w:r>
        <w:t>enter</w:t>
      </w:r>
      <w:r>
        <w:rPr>
          <w:spacing w:val="-2"/>
        </w:rPr>
        <w:t xml:space="preserve"> </w:t>
      </w:r>
      <w:r>
        <w:t>“1.113”</w:t>
      </w:r>
      <w:r>
        <w:rPr>
          <w:spacing w:val="-1"/>
        </w:rPr>
        <w:t xml:space="preserve"> </w:t>
      </w:r>
      <w:r>
        <w:t>in column j (1.05</w:t>
      </w:r>
      <w:r>
        <w:rPr>
          <w:spacing w:val="-1"/>
        </w:rPr>
        <w:t xml:space="preserve"> </w:t>
      </w:r>
      <w:r>
        <w:t>x</w:t>
      </w:r>
      <w:r>
        <w:rPr>
          <w:spacing w:val="1"/>
        </w:rPr>
        <w:t xml:space="preserve"> </w:t>
      </w:r>
      <w:r>
        <w:rPr>
          <w:spacing w:val="-2"/>
        </w:rPr>
        <w:t>1.06).</w:t>
      </w:r>
    </w:p>
    <w:p>
      <w:pPr>
        <w:pStyle w:val="BodyText"/>
        <w:spacing w:after="0"/>
        <w:sectPr>
          <w:pgSz w:w="12240" w:h="15840"/>
          <w:pgMar w:top="960" w:right="0" w:bottom="940" w:left="1080" w:header="727" w:footer="747"/>
          <w:cols w:space="720"/>
        </w:sectPr>
      </w:pPr>
    </w:p>
    <w:p>
      <w:pPr>
        <w:pStyle w:val="BodyText"/>
        <w:spacing w:before="225"/>
        <w:ind w:left="0"/>
        <w:rPr>
          <w:sz w:val="21"/>
        </w:rPr>
      </w:pPr>
    </w:p>
    <w:p>
      <w:pPr>
        <w:spacing w:before="0"/>
        <w:ind w:left="504" w:right="0" w:firstLine="0"/>
        <w:jc w:val="left"/>
        <w:rPr>
          <w:rFonts w:ascii="Arial"/>
          <w:b/>
          <w:sz w:val="21"/>
        </w:rPr>
      </w:pPr>
      <w:bookmarkStart w:id="152" w:name="In lines a through r:"/>
      <w:bookmarkEnd w:id="152"/>
      <w:r>
        <w:rPr>
          <w:rFonts w:ascii="Arial"/>
          <w:b/>
          <w:sz w:val="21"/>
        </w:rPr>
        <w:t>In</w:t>
      </w:r>
      <w:r>
        <w:rPr>
          <w:rFonts w:ascii="Arial"/>
          <w:b/>
          <w:spacing w:val="-4"/>
          <w:sz w:val="21"/>
        </w:rPr>
        <w:t xml:space="preserve"> </w:t>
      </w:r>
      <w:r>
        <w:rPr>
          <w:rFonts w:ascii="Arial"/>
          <w:b/>
          <w:sz w:val="21"/>
        </w:rPr>
        <w:t>lines</w:t>
      </w:r>
      <w:r>
        <w:rPr>
          <w:rFonts w:ascii="Arial"/>
          <w:b/>
          <w:spacing w:val="-3"/>
          <w:sz w:val="21"/>
        </w:rPr>
        <w:t xml:space="preserve"> </w:t>
      </w:r>
      <w:r>
        <w:rPr>
          <w:rFonts w:ascii="Arial"/>
          <w:b/>
          <w:sz w:val="21"/>
        </w:rPr>
        <w:t>a</w:t>
      </w:r>
      <w:r>
        <w:rPr>
          <w:rFonts w:ascii="Arial"/>
          <w:b/>
          <w:spacing w:val="-4"/>
          <w:sz w:val="21"/>
        </w:rPr>
        <w:t xml:space="preserve"> </w:t>
      </w:r>
      <w:r>
        <w:rPr>
          <w:rFonts w:ascii="Arial"/>
          <w:b/>
          <w:sz w:val="21"/>
        </w:rPr>
        <w:t>through</w:t>
      </w:r>
      <w:r>
        <w:rPr>
          <w:rFonts w:ascii="Arial"/>
          <w:b/>
          <w:spacing w:val="-3"/>
          <w:sz w:val="21"/>
        </w:rPr>
        <w:t xml:space="preserve"> </w:t>
      </w:r>
      <w:r>
        <w:rPr>
          <w:rFonts w:ascii="Arial"/>
          <w:b/>
          <w:spacing w:val="-5"/>
          <w:sz w:val="21"/>
        </w:rPr>
        <w:t>r:</w:t>
      </w:r>
    </w:p>
    <w:p>
      <w:pPr>
        <w:pStyle w:val="BodyText"/>
        <w:spacing w:before="120"/>
      </w:pPr>
      <w:r>
        <w:t>This</w:t>
      </w:r>
      <w:r>
        <w:rPr>
          <w:spacing w:val="-4"/>
        </w:rPr>
        <w:t xml:space="preserve"> </w:t>
      </w:r>
      <w:r>
        <w:t>section</w:t>
      </w:r>
      <w:r>
        <w:rPr>
          <w:spacing w:val="-1"/>
        </w:rPr>
        <w:t xml:space="preserve"> </w:t>
      </w:r>
      <w:r>
        <w:t>may</w:t>
      </w:r>
      <w:r>
        <w:rPr>
          <w:spacing w:val="-1"/>
        </w:rPr>
        <w:t xml:space="preserve"> </w:t>
      </w:r>
      <w:r>
        <w:t>be</w:t>
      </w:r>
      <w:r>
        <w:rPr>
          <w:spacing w:val="-2"/>
        </w:rPr>
        <w:t xml:space="preserve"> </w:t>
      </w:r>
      <w:r>
        <w:t>used</w:t>
      </w:r>
      <w:r>
        <w:rPr>
          <w:spacing w:val="1"/>
        </w:rPr>
        <w:t xml:space="preserve"> </w:t>
      </w:r>
      <w:r>
        <w:t>for</w:t>
      </w:r>
      <w:r>
        <w:rPr>
          <w:spacing w:val="-3"/>
        </w:rPr>
        <w:t xml:space="preserve"> </w:t>
      </w:r>
      <w:r>
        <w:t>new,</w:t>
      </w:r>
      <w:r>
        <w:rPr>
          <w:spacing w:val="1"/>
        </w:rPr>
        <w:t xml:space="preserve"> </w:t>
      </w:r>
      <w:r>
        <w:t>removed</w:t>
      </w:r>
      <w:r>
        <w:rPr>
          <w:spacing w:val="-1"/>
        </w:rPr>
        <w:t xml:space="preserve"> </w:t>
      </w:r>
      <w:r>
        <w:t>or</w:t>
      </w:r>
      <w:r>
        <w:rPr>
          <w:spacing w:val="-1"/>
        </w:rPr>
        <w:t xml:space="preserve"> </w:t>
      </w:r>
      <w:r>
        <w:t xml:space="preserve">existing </w:t>
      </w:r>
      <w:r>
        <w:rPr>
          <w:spacing w:val="-2"/>
        </w:rPr>
        <w:t>benefits.</w:t>
      </w:r>
    </w:p>
    <w:p>
      <w:pPr>
        <w:pStyle w:val="ListParagraph"/>
        <w:numPr>
          <w:ilvl w:val="0"/>
          <w:numId w:val="43"/>
        </w:numPr>
        <w:tabs>
          <w:tab w:val="left" w:pos="1223"/>
        </w:tabs>
        <w:spacing w:before="140" w:after="0" w:line="240" w:lineRule="auto"/>
        <w:ind w:left="1223" w:right="0" w:hanging="359"/>
        <w:jc w:val="left"/>
        <w:rPr>
          <w:rFonts w:ascii="Arial" w:hAnsi="Arial"/>
          <w:b/>
          <w:sz w:val="21"/>
        </w:rPr>
      </w:pPr>
      <w:r>
        <w:rPr>
          <w:rFonts w:ascii="Arial" w:hAnsi="Arial"/>
          <w:b/>
          <w:sz w:val="21"/>
        </w:rPr>
        <w:t>Column</w:t>
      </w:r>
      <w:r>
        <w:rPr>
          <w:rFonts w:ascii="Arial" w:hAnsi="Arial"/>
          <w:b/>
          <w:spacing w:val="-9"/>
          <w:sz w:val="21"/>
        </w:rPr>
        <w:t xml:space="preserve"> </w:t>
      </w:r>
      <w:r>
        <w:rPr>
          <w:rFonts w:ascii="Arial" w:hAnsi="Arial"/>
          <w:b/>
          <w:sz w:val="21"/>
        </w:rPr>
        <w:t>j</w:t>
      </w:r>
      <w:r>
        <w:rPr>
          <w:rFonts w:ascii="Arial" w:hAnsi="Arial"/>
          <w:b/>
          <w:spacing w:val="-9"/>
          <w:sz w:val="21"/>
        </w:rPr>
        <w:t xml:space="preserve"> </w:t>
      </w:r>
      <w:r>
        <w:rPr>
          <w:rFonts w:ascii="Arial" w:hAnsi="Arial"/>
          <w:b/>
          <w:sz w:val="21"/>
        </w:rPr>
        <w:t>–</w:t>
      </w:r>
      <w:r>
        <w:rPr>
          <w:rFonts w:ascii="Arial" w:hAnsi="Arial"/>
          <w:b/>
          <w:spacing w:val="-7"/>
          <w:sz w:val="21"/>
        </w:rPr>
        <w:t xml:space="preserve"> </w:t>
      </w:r>
      <w:r>
        <w:rPr>
          <w:rFonts w:ascii="Arial" w:hAnsi="Arial"/>
          <w:b/>
          <w:sz w:val="21"/>
        </w:rPr>
        <w:t>Utilization</w:t>
      </w:r>
      <w:r>
        <w:rPr>
          <w:rFonts w:ascii="Arial" w:hAnsi="Arial"/>
          <w:b/>
          <w:spacing w:val="-8"/>
          <w:sz w:val="21"/>
        </w:rPr>
        <w:t xml:space="preserve"> </w:t>
      </w:r>
      <w:r>
        <w:rPr>
          <w:rFonts w:ascii="Arial" w:hAnsi="Arial"/>
          <w:b/>
          <w:sz w:val="21"/>
        </w:rPr>
        <w:t>Adjustment</w:t>
      </w:r>
      <w:r>
        <w:rPr>
          <w:rFonts w:ascii="Arial" w:hAnsi="Arial"/>
          <w:b/>
          <w:spacing w:val="-8"/>
          <w:sz w:val="21"/>
        </w:rPr>
        <w:t xml:space="preserve"> </w:t>
      </w:r>
      <w:r>
        <w:rPr>
          <w:rFonts w:ascii="Arial" w:hAnsi="Arial"/>
          <w:b/>
          <w:sz w:val="21"/>
        </w:rPr>
        <w:t>–</w:t>
      </w:r>
      <w:r>
        <w:rPr>
          <w:rFonts w:ascii="Arial" w:hAnsi="Arial"/>
          <w:b/>
          <w:spacing w:val="-7"/>
          <w:sz w:val="21"/>
        </w:rPr>
        <w:t xml:space="preserve"> </w:t>
      </w:r>
      <w:r>
        <w:rPr>
          <w:rFonts w:ascii="Arial" w:hAnsi="Arial"/>
          <w:b/>
          <w:sz w:val="21"/>
        </w:rPr>
        <w:t>Utilization/1,000</w:t>
      </w:r>
      <w:r>
        <w:rPr>
          <w:rFonts w:ascii="Arial" w:hAnsi="Arial"/>
          <w:b/>
          <w:spacing w:val="-8"/>
          <w:sz w:val="21"/>
        </w:rPr>
        <w:t xml:space="preserve"> </w:t>
      </w:r>
      <w:r>
        <w:rPr>
          <w:rFonts w:ascii="Arial" w:hAnsi="Arial"/>
          <w:b/>
          <w:spacing w:val="-2"/>
          <w:sz w:val="21"/>
        </w:rPr>
        <w:t>Trend</w:t>
      </w:r>
    </w:p>
    <w:p>
      <w:pPr>
        <w:pStyle w:val="BodyText"/>
        <w:spacing w:before="121"/>
        <w:ind w:left="1224" w:right="1481"/>
      </w:pPr>
      <w:r>
        <w:t>Enter the utilization trend factor from the base period to the contract period by service category. An example of the use of this factor is to reflect the impact on utilization of changes</w:t>
      </w:r>
      <w:r>
        <w:rPr>
          <w:spacing w:val="-5"/>
        </w:rPr>
        <w:t xml:space="preserve"> </w:t>
      </w:r>
      <w:r>
        <w:t>in</w:t>
      </w:r>
      <w:r>
        <w:rPr>
          <w:spacing w:val="-4"/>
        </w:rPr>
        <w:t xml:space="preserve"> </w:t>
      </w:r>
      <w:r>
        <w:t>medical</w:t>
      </w:r>
      <w:r>
        <w:rPr>
          <w:spacing w:val="-4"/>
        </w:rPr>
        <w:t xml:space="preserve"> </w:t>
      </w:r>
      <w:r>
        <w:t>management.</w:t>
      </w:r>
      <w:r>
        <w:rPr>
          <w:spacing w:val="-4"/>
        </w:rPr>
        <w:t xml:space="preserve"> </w:t>
      </w:r>
      <w:r>
        <w:t>Entering</w:t>
      </w:r>
      <w:r>
        <w:rPr>
          <w:spacing w:val="-4"/>
        </w:rPr>
        <w:t xml:space="preserve"> </w:t>
      </w:r>
      <w:r>
        <w:t>1.000</w:t>
      </w:r>
      <w:r>
        <w:rPr>
          <w:spacing w:val="-2"/>
        </w:rPr>
        <w:t xml:space="preserve"> </w:t>
      </w:r>
      <w:r>
        <w:t>would</w:t>
      </w:r>
      <w:r>
        <w:rPr>
          <w:spacing w:val="-4"/>
        </w:rPr>
        <w:t xml:space="preserve"> </w:t>
      </w:r>
      <w:r>
        <w:t>indicate</w:t>
      </w:r>
      <w:r>
        <w:rPr>
          <w:spacing w:val="-4"/>
        </w:rPr>
        <w:t xml:space="preserve"> </w:t>
      </w:r>
      <w:r>
        <w:t>0</w:t>
      </w:r>
      <w:r>
        <w:rPr>
          <w:spacing w:val="-4"/>
        </w:rPr>
        <w:t xml:space="preserve"> </w:t>
      </w:r>
      <w:r>
        <w:t>percent</w:t>
      </w:r>
      <w:r>
        <w:rPr>
          <w:spacing w:val="-1"/>
        </w:rPr>
        <w:t xml:space="preserve"> </w:t>
      </w:r>
      <w:r>
        <w:t>trend.</w:t>
      </w:r>
      <w:r>
        <w:rPr>
          <w:spacing w:val="-4"/>
        </w:rPr>
        <w:t xml:space="preserve"> </w:t>
      </w:r>
      <w:r>
        <w:t>Do</w:t>
      </w:r>
      <w:r>
        <w:rPr>
          <w:spacing w:val="-4"/>
        </w:rPr>
        <w:t xml:space="preserve"> </w:t>
      </w:r>
      <w:r>
        <w:t>not leave this field blank. Do not enter zero (0).</w:t>
      </w:r>
    </w:p>
    <w:p>
      <w:pPr>
        <w:pStyle w:val="ListParagraph"/>
        <w:numPr>
          <w:ilvl w:val="0"/>
          <w:numId w:val="43"/>
        </w:numPr>
        <w:tabs>
          <w:tab w:val="left" w:pos="1223"/>
        </w:tabs>
        <w:spacing w:before="120" w:after="0" w:line="240" w:lineRule="auto"/>
        <w:ind w:left="12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k</w:t>
      </w:r>
      <w:r>
        <w:rPr>
          <w:rFonts w:ascii="Arial" w:hAnsi="Arial"/>
          <w:b/>
          <w:spacing w:val="-5"/>
          <w:sz w:val="21"/>
        </w:rPr>
        <w:t xml:space="preserve"> </w:t>
      </w:r>
      <w:r>
        <w:rPr>
          <w:rFonts w:ascii="Arial" w:hAnsi="Arial"/>
          <w:b/>
          <w:sz w:val="21"/>
        </w:rPr>
        <w:t>–</w:t>
      </w:r>
      <w:r>
        <w:rPr>
          <w:rFonts w:ascii="Arial" w:hAnsi="Arial"/>
          <w:b/>
          <w:spacing w:val="-7"/>
          <w:sz w:val="21"/>
        </w:rPr>
        <w:t xml:space="preserve"> </w:t>
      </w:r>
      <w:r>
        <w:rPr>
          <w:rFonts w:ascii="Arial" w:hAnsi="Arial"/>
          <w:b/>
          <w:sz w:val="21"/>
        </w:rPr>
        <w:t>Utilization</w:t>
      </w:r>
      <w:r>
        <w:rPr>
          <w:rFonts w:ascii="Arial" w:hAnsi="Arial"/>
          <w:b/>
          <w:spacing w:val="-4"/>
          <w:sz w:val="21"/>
        </w:rPr>
        <w:t xml:space="preserve"> </w:t>
      </w:r>
      <w:r>
        <w:rPr>
          <w:rFonts w:ascii="Arial" w:hAnsi="Arial"/>
          <w:b/>
          <w:sz w:val="21"/>
        </w:rPr>
        <w:t>Adjustment</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Benefit</w:t>
      </w:r>
      <w:r>
        <w:rPr>
          <w:rFonts w:ascii="Arial" w:hAnsi="Arial"/>
          <w:b/>
          <w:spacing w:val="-6"/>
          <w:sz w:val="21"/>
        </w:rPr>
        <w:t xml:space="preserve"> </w:t>
      </w:r>
      <w:r>
        <w:rPr>
          <w:rFonts w:ascii="Arial" w:hAnsi="Arial"/>
          <w:b/>
          <w:sz w:val="21"/>
        </w:rPr>
        <w:t>Plan</w:t>
      </w:r>
      <w:r>
        <w:rPr>
          <w:rFonts w:ascii="Arial" w:hAnsi="Arial"/>
          <w:b/>
          <w:spacing w:val="-6"/>
          <w:sz w:val="21"/>
        </w:rPr>
        <w:t xml:space="preserve"> </w:t>
      </w:r>
      <w:r>
        <w:rPr>
          <w:rFonts w:ascii="Arial" w:hAnsi="Arial"/>
          <w:b/>
          <w:spacing w:val="-2"/>
          <w:sz w:val="21"/>
        </w:rPr>
        <w:t>Change</w:t>
      </w:r>
    </w:p>
    <w:p>
      <w:pPr>
        <w:pStyle w:val="BodyText"/>
        <w:spacing w:before="118"/>
        <w:ind w:left="1224" w:right="1481"/>
      </w:pPr>
      <w:r>
        <w:t>Enter the multiplicative adjustment factor for any benefit plan changes (for example, increases in coverage level from base period to contract period) that affect the base period</w:t>
      </w:r>
      <w:r>
        <w:rPr>
          <w:spacing w:val="-4"/>
        </w:rPr>
        <w:t xml:space="preserve"> </w:t>
      </w:r>
      <w:r>
        <w:t>utilization</w:t>
      </w:r>
      <w:r>
        <w:rPr>
          <w:spacing w:val="-4"/>
        </w:rPr>
        <w:t xml:space="preserve"> </w:t>
      </w:r>
      <w:r>
        <w:t>by</w:t>
      </w:r>
      <w:r>
        <w:rPr>
          <w:spacing w:val="-4"/>
        </w:rPr>
        <w:t xml:space="preserve"> </w:t>
      </w:r>
      <w:r>
        <w:t>service</w:t>
      </w:r>
      <w:r>
        <w:rPr>
          <w:spacing w:val="-6"/>
        </w:rPr>
        <w:t xml:space="preserve"> </w:t>
      </w:r>
      <w:r>
        <w:t>category.</w:t>
      </w:r>
      <w:r>
        <w:rPr>
          <w:spacing w:val="-4"/>
        </w:rPr>
        <w:t xml:space="preserve"> </w:t>
      </w:r>
      <w:r>
        <w:t>Entering</w:t>
      </w:r>
      <w:r>
        <w:rPr>
          <w:spacing w:val="-4"/>
        </w:rPr>
        <w:t xml:space="preserve"> </w:t>
      </w:r>
      <w:r>
        <w:t>1.000</w:t>
      </w:r>
      <w:r>
        <w:rPr>
          <w:spacing w:val="-4"/>
        </w:rPr>
        <w:t xml:space="preserve"> </w:t>
      </w:r>
      <w:r>
        <w:t>would</w:t>
      </w:r>
      <w:r>
        <w:rPr>
          <w:spacing w:val="-4"/>
        </w:rPr>
        <w:t xml:space="preserve"> </w:t>
      </w:r>
      <w:r>
        <w:t>indicate</w:t>
      </w:r>
      <w:r>
        <w:rPr>
          <w:spacing w:val="-4"/>
        </w:rPr>
        <w:t xml:space="preserve"> </w:t>
      </w:r>
      <w:r>
        <w:t>0</w:t>
      </w:r>
      <w:r>
        <w:rPr>
          <w:spacing w:val="-4"/>
        </w:rPr>
        <w:t xml:space="preserve"> </w:t>
      </w:r>
      <w:r>
        <w:t>percent</w:t>
      </w:r>
      <w:r>
        <w:rPr>
          <w:spacing w:val="-4"/>
        </w:rPr>
        <w:t xml:space="preserve"> </w:t>
      </w:r>
      <w:r>
        <w:t>change. Do not leave this field blank. Do not enter zero (0).</w:t>
      </w:r>
    </w:p>
    <w:p>
      <w:pPr>
        <w:pStyle w:val="ListParagraph"/>
        <w:numPr>
          <w:ilvl w:val="0"/>
          <w:numId w:val="43"/>
        </w:numPr>
        <w:tabs>
          <w:tab w:val="left" w:pos="1223"/>
        </w:tabs>
        <w:spacing w:before="122" w:after="0" w:line="240" w:lineRule="auto"/>
        <w:ind w:left="1223" w:right="0" w:hanging="359"/>
        <w:jc w:val="left"/>
        <w:rPr>
          <w:rFonts w:ascii="Arial" w:hAnsi="Arial"/>
          <w:b/>
          <w:sz w:val="21"/>
        </w:rPr>
      </w:pPr>
      <w:r>
        <w:rPr>
          <w:rFonts w:ascii="Arial" w:hAnsi="Arial"/>
          <w:b/>
          <w:sz w:val="21"/>
        </w:rPr>
        <w:t>Column</w:t>
      </w:r>
      <w:r>
        <w:rPr>
          <w:rFonts w:ascii="Arial" w:hAnsi="Arial"/>
          <w:b/>
          <w:spacing w:val="-5"/>
          <w:sz w:val="21"/>
        </w:rPr>
        <w:t xml:space="preserve"> </w:t>
      </w:r>
      <w:r>
        <w:rPr>
          <w:rFonts w:ascii="Arial" w:hAnsi="Arial"/>
          <w:b/>
          <w:sz w:val="21"/>
        </w:rPr>
        <w:t>l</w:t>
      </w:r>
      <w:r>
        <w:rPr>
          <w:rFonts w:ascii="Arial" w:hAnsi="Arial"/>
          <w:b/>
          <w:spacing w:val="-8"/>
          <w:sz w:val="21"/>
        </w:rPr>
        <w:t xml:space="preserve"> </w:t>
      </w:r>
      <w:r>
        <w:rPr>
          <w:rFonts w:ascii="Arial" w:hAnsi="Arial"/>
          <w:b/>
          <w:sz w:val="21"/>
        </w:rPr>
        <w:t>–</w:t>
      </w:r>
      <w:r>
        <w:rPr>
          <w:rFonts w:ascii="Arial" w:hAnsi="Arial"/>
          <w:b/>
          <w:spacing w:val="-6"/>
          <w:sz w:val="21"/>
        </w:rPr>
        <w:t xml:space="preserve"> </w:t>
      </w:r>
      <w:r>
        <w:rPr>
          <w:rFonts w:ascii="Arial" w:hAnsi="Arial"/>
          <w:b/>
          <w:sz w:val="21"/>
        </w:rPr>
        <w:t>Utilization</w:t>
      </w:r>
      <w:r>
        <w:rPr>
          <w:rFonts w:ascii="Arial" w:hAnsi="Arial"/>
          <w:b/>
          <w:spacing w:val="-7"/>
          <w:sz w:val="21"/>
        </w:rPr>
        <w:t xml:space="preserve"> </w:t>
      </w:r>
      <w:r>
        <w:rPr>
          <w:rFonts w:ascii="Arial" w:hAnsi="Arial"/>
          <w:b/>
          <w:sz w:val="21"/>
        </w:rPr>
        <w:t>Adjustment</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Population</w:t>
      </w:r>
      <w:r>
        <w:rPr>
          <w:rFonts w:ascii="Arial" w:hAnsi="Arial"/>
          <w:b/>
          <w:spacing w:val="-4"/>
          <w:sz w:val="21"/>
        </w:rPr>
        <w:t xml:space="preserve"> </w:t>
      </w:r>
      <w:r>
        <w:rPr>
          <w:rFonts w:ascii="Arial" w:hAnsi="Arial"/>
          <w:b/>
          <w:spacing w:val="-2"/>
          <w:sz w:val="21"/>
        </w:rPr>
        <w:t>Change</w:t>
      </w:r>
    </w:p>
    <w:p>
      <w:pPr>
        <w:pStyle w:val="BodyText"/>
        <w:spacing w:before="120"/>
        <w:ind w:left="1224" w:right="1465"/>
      </w:pPr>
      <w:r>
        <w:t>Enter any expected demographic or morbidity changes that are necessary to adjust the base</w:t>
      </w:r>
      <w:r>
        <w:rPr>
          <w:spacing w:val="-4"/>
        </w:rPr>
        <w:t xml:space="preserve"> </w:t>
      </w:r>
      <w:r>
        <w:t>period</w:t>
      </w:r>
      <w:r>
        <w:rPr>
          <w:spacing w:val="-3"/>
        </w:rPr>
        <w:t xml:space="preserve"> </w:t>
      </w:r>
      <w:r>
        <w:t>data</w:t>
      </w:r>
      <w:r>
        <w:rPr>
          <w:spacing w:val="-3"/>
        </w:rPr>
        <w:t xml:space="preserve"> </w:t>
      </w:r>
      <w:r>
        <w:t>to</w:t>
      </w:r>
      <w:r>
        <w:rPr>
          <w:spacing w:val="-3"/>
        </w:rPr>
        <w:t xml:space="preserve"> </w:t>
      </w:r>
      <w:r>
        <w:t>the</w:t>
      </w:r>
      <w:r>
        <w:rPr>
          <w:spacing w:val="-3"/>
        </w:rPr>
        <w:t xml:space="preserve"> </w:t>
      </w:r>
      <w:r>
        <w:t>contract</w:t>
      </w:r>
      <w:r>
        <w:rPr>
          <w:spacing w:val="-3"/>
        </w:rPr>
        <w:t xml:space="preserve"> </w:t>
      </w:r>
      <w:r>
        <w:t>period.</w:t>
      </w:r>
      <w:r>
        <w:rPr>
          <w:spacing w:val="-3"/>
        </w:rPr>
        <w:t xml:space="preserve"> </w:t>
      </w:r>
      <w:r>
        <w:t>An</w:t>
      </w:r>
      <w:r>
        <w:rPr>
          <w:spacing w:val="-1"/>
        </w:rPr>
        <w:t xml:space="preserve"> </w:t>
      </w:r>
      <w:r>
        <w:t>example</w:t>
      </w:r>
      <w:r>
        <w:rPr>
          <w:spacing w:val="-4"/>
        </w:rPr>
        <w:t xml:space="preserve"> </w:t>
      </w:r>
      <w:r>
        <w:t>of</w:t>
      </w:r>
      <w:r>
        <w:rPr>
          <w:spacing w:val="-3"/>
        </w:rPr>
        <w:t xml:space="preserve"> </w:t>
      </w:r>
      <w:r>
        <w:t>the</w:t>
      </w:r>
      <w:r>
        <w:rPr>
          <w:spacing w:val="-4"/>
        </w:rPr>
        <w:t xml:space="preserve"> </w:t>
      </w:r>
      <w:r>
        <w:t>use</w:t>
      </w:r>
      <w:r>
        <w:rPr>
          <w:spacing w:val="-4"/>
        </w:rPr>
        <w:t xml:space="preserve"> </w:t>
      </w:r>
      <w:r>
        <w:t>of</w:t>
      </w:r>
      <w:r>
        <w:rPr>
          <w:spacing w:val="-2"/>
        </w:rPr>
        <w:t xml:space="preserve"> </w:t>
      </w:r>
      <w:r>
        <w:t>this</w:t>
      </w:r>
      <w:r>
        <w:rPr>
          <w:spacing w:val="-4"/>
        </w:rPr>
        <w:t xml:space="preserve"> </w:t>
      </w:r>
      <w:r>
        <w:t>factor is</w:t>
      </w:r>
      <w:r>
        <w:rPr>
          <w:spacing w:val="-3"/>
        </w:rPr>
        <w:t xml:space="preserve"> </w:t>
      </w:r>
      <w:r>
        <w:t>to</w:t>
      </w:r>
      <w:r>
        <w:rPr>
          <w:spacing w:val="-3"/>
        </w:rPr>
        <w:t xml:space="preserve"> </w:t>
      </w:r>
      <w:r>
        <w:t>remove the base period experience for certain membership (such as members affected by a service area reduction) in order for the projected experience rate calculated in Worksheet 2 to be based on actual experience of base period membership continuing in the bid for the contract year. Entering 1.000 would indicate 0 percent change. Do not leave this field blank. Do not enter zero (0).</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m</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Utilization</w:t>
      </w:r>
      <w:r>
        <w:rPr>
          <w:rFonts w:ascii="Arial" w:hAnsi="Arial"/>
          <w:b/>
          <w:spacing w:val="-7"/>
          <w:sz w:val="21"/>
        </w:rPr>
        <w:t xml:space="preserve"> </w:t>
      </w:r>
      <w:r>
        <w:rPr>
          <w:rFonts w:ascii="Arial" w:hAnsi="Arial"/>
          <w:b/>
          <w:sz w:val="21"/>
        </w:rPr>
        <w:t>Adjustment</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Other</w:t>
      </w:r>
      <w:r>
        <w:rPr>
          <w:rFonts w:ascii="Arial" w:hAnsi="Arial"/>
          <w:b/>
          <w:spacing w:val="-5"/>
          <w:sz w:val="21"/>
        </w:rPr>
        <w:t xml:space="preserve"> </w:t>
      </w:r>
      <w:r>
        <w:rPr>
          <w:rFonts w:ascii="Arial" w:hAnsi="Arial"/>
          <w:b/>
          <w:spacing w:val="-2"/>
          <w:sz w:val="21"/>
        </w:rPr>
        <w:t>Factor</w:t>
      </w:r>
    </w:p>
    <w:p>
      <w:pPr>
        <w:pStyle w:val="BodyText"/>
        <w:spacing w:before="118"/>
        <w:ind w:left="1224" w:right="1451"/>
      </w:pPr>
      <w:r>
        <w:t>Enter any other utilization factor adjustments by service category. An example of the use of this factor is to reflect the impact on utilization of a change in the service area from</w:t>
      </w:r>
      <w:r>
        <w:rPr>
          <w:spacing w:val="-3"/>
        </w:rPr>
        <w:t xml:space="preserve"> </w:t>
      </w:r>
      <w:r>
        <w:t>the</w:t>
      </w:r>
      <w:r>
        <w:rPr>
          <w:spacing w:val="-4"/>
        </w:rPr>
        <w:t xml:space="preserve"> </w:t>
      </w:r>
      <w:r>
        <w:t>base</w:t>
      </w:r>
      <w:r>
        <w:rPr>
          <w:spacing w:val="-4"/>
        </w:rPr>
        <w:t xml:space="preserve"> </w:t>
      </w:r>
      <w:r>
        <w:t>period</w:t>
      </w:r>
      <w:r>
        <w:rPr>
          <w:spacing w:val="-3"/>
        </w:rPr>
        <w:t xml:space="preserve"> </w:t>
      </w:r>
      <w:r>
        <w:t>to</w:t>
      </w:r>
      <w:r>
        <w:rPr>
          <w:spacing w:val="-3"/>
        </w:rPr>
        <w:t xml:space="preserve"> </w:t>
      </w:r>
      <w:r>
        <w:t>the</w:t>
      </w:r>
      <w:r>
        <w:rPr>
          <w:spacing w:val="-4"/>
        </w:rPr>
        <w:t xml:space="preserve"> </w:t>
      </w:r>
      <w:r>
        <w:t>contract</w:t>
      </w:r>
      <w:r>
        <w:rPr>
          <w:spacing w:val="-3"/>
        </w:rPr>
        <w:t xml:space="preserve"> </w:t>
      </w:r>
      <w:r>
        <w:t>year</w:t>
      </w:r>
      <w:r>
        <w:rPr>
          <w:spacing w:val="-3"/>
        </w:rPr>
        <w:t xml:space="preserve"> </w:t>
      </w:r>
      <w:r>
        <w:t>that</w:t>
      </w:r>
      <w:r>
        <w:rPr>
          <w:spacing w:val="-3"/>
        </w:rPr>
        <w:t xml:space="preserve"> </w:t>
      </w:r>
      <w:r>
        <w:t>does</w:t>
      </w:r>
      <w:r>
        <w:rPr>
          <w:spacing w:val="-1"/>
        </w:rPr>
        <w:t xml:space="preserve"> </w:t>
      </w:r>
      <w:r>
        <w:t>not</w:t>
      </w:r>
      <w:r>
        <w:rPr>
          <w:spacing w:val="-3"/>
        </w:rPr>
        <w:t xml:space="preserve"> </w:t>
      </w:r>
      <w:r>
        <w:t>change</w:t>
      </w:r>
      <w:r>
        <w:rPr>
          <w:spacing w:val="-4"/>
        </w:rPr>
        <w:t xml:space="preserve"> </w:t>
      </w:r>
      <w:r>
        <w:t>the</w:t>
      </w:r>
      <w:r>
        <w:rPr>
          <w:spacing w:val="-2"/>
        </w:rPr>
        <w:t xml:space="preserve"> </w:t>
      </w:r>
      <w:r>
        <w:t>expected</w:t>
      </w:r>
      <w:r>
        <w:rPr>
          <w:spacing w:val="-1"/>
        </w:rPr>
        <w:t xml:space="preserve"> </w:t>
      </w:r>
      <w:r>
        <w:t>demographic or morbidity characteristics of the base period population. Entering 1.000 would</w:t>
      </w:r>
      <w:r>
        <w:rPr>
          <w:spacing w:val="40"/>
        </w:rPr>
        <w:t xml:space="preserve"> </w:t>
      </w:r>
      <w:r>
        <w:t>indicate 0 percent adjustment. Do not leave this field blank. Do not enter zero (0).</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n</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Unit</w:t>
      </w:r>
      <w:r>
        <w:rPr>
          <w:rFonts w:ascii="Arial" w:hAnsi="Arial"/>
          <w:b/>
          <w:spacing w:val="-5"/>
          <w:sz w:val="21"/>
        </w:rPr>
        <w:t xml:space="preserve"> </w:t>
      </w:r>
      <w:r>
        <w:rPr>
          <w:rFonts w:ascii="Arial" w:hAnsi="Arial"/>
          <w:b/>
          <w:sz w:val="21"/>
        </w:rPr>
        <w:t>Cost</w:t>
      </w:r>
      <w:r>
        <w:rPr>
          <w:rFonts w:ascii="Arial" w:hAnsi="Arial"/>
          <w:b/>
          <w:spacing w:val="-4"/>
          <w:sz w:val="21"/>
        </w:rPr>
        <w:t xml:space="preserve"> </w:t>
      </w:r>
      <w:r>
        <w:rPr>
          <w:rFonts w:ascii="Arial" w:hAnsi="Arial"/>
          <w:b/>
          <w:sz w:val="21"/>
        </w:rPr>
        <w:t>Adjustment</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Provider</w:t>
      </w:r>
      <w:r>
        <w:rPr>
          <w:rFonts w:ascii="Arial" w:hAnsi="Arial"/>
          <w:b/>
          <w:spacing w:val="-5"/>
          <w:sz w:val="21"/>
        </w:rPr>
        <w:t xml:space="preserve"> </w:t>
      </w:r>
      <w:r>
        <w:rPr>
          <w:rFonts w:ascii="Arial" w:hAnsi="Arial"/>
          <w:b/>
          <w:sz w:val="21"/>
        </w:rPr>
        <w:t>Payment</w:t>
      </w:r>
      <w:r>
        <w:rPr>
          <w:rFonts w:ascii="Arial" w:hAnsi="Arial"/>
          <w:b/>
          <w:spacing w:val="-7"/>
          <w:sz w:val="21"/>
        </w:rPr>
        <w:t xml:space="preserve"> </w:t>
      </w:r>
      <w:r>
        <w:rPr>
          <w:rFonts w:ascii="Arial" w:hAnsi="Arial"/>
          <w:b/>
          <w:spacing w:val="-2"/>
          <w:sz w:val="21"/>
        </w:rPr>
        <w:t>Change</w:t>
      </w:r>
    </w:p>
    <w:p>
      <w:pPr>
        <w:pStyle w:val="BodyText"/>
        <w:spacing w:before="120"/>
        <w:ind w:left="1224" w:right="1481"/>
      </w:pPr>
      <w:r>
        <w:t>Enter the unit cost adjustments by service category for expected changes in provider payments from the base period to the contract period aside from those attributable to changes in utilization or benefit changes. Examples of this type of change include changes in provider reimbursement due to: (i) inflation; sequestration; an indexing provision in provider contracts; or changes in capitation, global-capitation or risk-sharing</w:t>
      </w:r>
      <w:r>
        <w:rPr>
          <w:spacing w:val="-3"/>
        </w:rPr>
        <w:t xml:space="preserve"> </w:t>
      </w:r>
      <w:r>
        <w:t>arrangements</w:t>
      </w:r>
      <w:r>
        <w:rPr>
          <w:spacing w:val="-3"/>
        </w:rPr>
        <w:t xml:space="preserve"> </w:t>
      </w:r>
      <w:r>
        <w:t>aside</w:t>
      </w:r>
      <w:r>
        <w:rPr>
          <w:spacing w:val="-4"/>
        </w:rPr>
        <w:t xml:space="preserve"> </w:t>
      </w:r>
      <w:r>
        <w:t>from</w:t>
      </w:r>
      <w:r>
        <w:rPr>
          <w:spacing w:val="-3"/>
        </w:rPr>
        <w:t xml:space="preserve"> </w:t>
      </w:r>
      <w:r>
        <w:t>those</w:t>
      </w:r>
      <w:r>
        <w:rPr>
          <w:spacing w:val="-4"/>
        </w:rPr>
        <w:t xml:space="preserve"> </w:t>
      </w:r>
      <w:r>
        <w:t>attributable</w:t>
      </w:r>
      <w:r>
        <w:rPr>
          <w:spacing w:val="-4"/>
        </w:rPr>
        <w:t xml:space="preserve"> </w:t>
      </w:r>
      <w:r>
        <w:t>to</w:t>
      </w:r>
      <w:r>
        <w:rPr>
          <w:spacing w:val="-3"/>
        </w:rPr>
        <w:t xml:space="preserve"> </w:t>
      </w:r>
      <w:r>
        <w:t>changes</w:t>
      </w:r>
      <w:r>
        <w:rPr>
          <w:spacing w:val="-4"/>
        </w:rPr>
        <w:t xml:space="preserve"> </w:t>
      </w:r>
      <w:r>
        <w:t>in</w:t>
      </w:r>
      <w:r>
        <w:rPr>
          <w:spacing w:val="-3"/>
        </w:rPr>
        <w:t xml:space="preserve"> </w:t>
      </w:r>
      <w:r>
        <w:t>utilization</w:t>
      </w:r>
      <w:r>
        <w:rPr>
          <w:spacing w:val="-3"/>
        </w:rPr>
        <w:t xml:space="preserve"> </w:t>
      </w:r>
      <w:r>
        <w:t>or</w:t>
      </w:r>
      <w:r>
        <w:rPr>
          <w:spacing w:val="-3"/>
        </w:rPr>
        <w:t xml:space="preserve"> </w:t>
      </w:r>
      <w:r>
        <w:t>benefits. Entering “1.000” would indicate 0 percent trend. Do not leave this field blank. Do not enter zero (0).</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o</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Unit</w:t>
      </w:r>
      <w:r>
        <w:rPr>
          <w:rFonts w:ascii="Arial" w:hAnsi="Arial"/>
          <w:b/>
          <w:spacing w:val="-4"/>
          <w:sz w:val="21"/>
        </w:rPr>
        <w:t xml:space="preserve"> </w:t>
      </w:r>
      <w:r>
        <w:rPr>
          <w:rFonts w:ascii="Arial" w:hAnsi="Arial"/>
          <w:b/>
          <w:sz w:val="21"/>
        </w:rPr>
        <w:t>Cost</w:t>
      </w:r>
      <w:r>
        <w:rPr>
          <w:rFonts w:ascii="Arial" w:hAnsi="Arial"/>
          <w:b/>
          <w:spacing w:val="-5"/>
          <w:sz w:val="21"/>
        </w:rPr>
        <w:t xml:space="preserve"> </w:t>
      </w:r>
      <w:r>
        <w:rPr>
          <w:rFonts w:ascii="Arial" w:hAnsi="Arial"/>
          <w:b/>
          <w:sz w:val="21"/>
        </w:rPr>
        <w:t>Adjustment</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Other</w:t>
      </w:r>
      <w:r>
        <w:rPr>
          <w:rFonts w:ascii="Arial" w:hAnsi="Arial"/>
          <w:b/>
          <w:spacing w:val="-4"/>
          <w:sz w:val="21"/>
        </w:rPr>
        <w:t xml:space="preserve"> </w:t>
      </w:r>
      <w:r>
        <w:rPr>
          <w:rFonts w:ascii="Arial" w:hAnsi="Arial"/>
          <w:b/>
          <w:spacing w:val="-2"/>
          <w:sz w:val="21"/>
        </w:rPr>
        <w:t>Factor</w:t>
      </w:r>
    </w:p>
    <w:p>
      <w:pPr>
        <w:pStyle w:val="BodyText"/>
        <w:spacing w:before="118"/>
        <w:ind w:left="1224" w:right="1481"/>
      </w:pPr>
      <w:r>
        <w:t>Enter</w:t>
      </w:r>
      <w:r>
        <w:rPr>
          <w:spacing w:val="-3"/>
        </w:rPr>
        <w:t xml:space="preserve"> </w:t>
      </w:r>
      <w:r>
        <w:t>any</w:t>
      </w:r>
      <w:r>
        <w:rPr>
          <w:spacing w:val="-3"/>
        </w:rPr>
        <w:t xml:space="preserve"> </w:t>
      </w:r>
      <w:r>
        <w:t>other</w:t>
      </w:r>
      <w:r>
        <w:rPr>
          <w:spacing w:val="-2"/>
        </w:rPr>
        <w:t xml:space="preserve"> </w:t>
      </w:r>
      <w:r>
        <w:t>factors</w:t>
      </w:r>
      <w:r>
        <w:rPr>
          <w:spacing w:val="-4"/>
        </w:rPr>
        <w:t xml:space="preserve"> </w:t>
      </w:r>
      <w:r>
        <w:t>for</w:t>
      </w:r>
      <w:r>
        <w:rPr>
          <w:spacing w:val="-4"/>
        </w:rPr>
        <w:t xml:space="preserve"> </w:t>
      </w:r>
      <w:r>
        <w:t>unit</w:t>
      </w:r>
      <w:r>
        <w:rPr>
          <w:spacing w:val="-3"/>
        </w:rPr>
        <w:t xml:space="preserve"> </w:t>
      </w:r>
      <w:r>
        <w:t>cost</w:t>
      </w:r>
      <w:r>
        <w:rPr>
          <w:spacing w:val="-3"/>
        </w:rPr>
        <w:t xml:space="preserve"> </w:t>
      </w:r>
      <w:r>
        <w:t>adjustments</w:t>
      </w:r>
      <w:r>
        <w:rPr>
          <w:spacing w:val="-4"/>
        </w:rPr>
        <w:t xml:space="preserve"> </w:t>
      </w:r>
      <w:r>
        <w:t>by</w:t>
      </w:r>
      <w:r>
        <w:rPr>
          <w:spacing w:val="-3"/>
        </w:rPr>
        <w:t xml:space="preserve"> </w:t>
      </w:r>
      <w:r>
        <w:t>service</w:t>
      </w:r>
      <w:r>
        <w:rPr>
          <w:spacing w:val="-3"/>
        </w:rPr>
        <w:t xml:space="preserve"> </w:t>
      </w:r>
      <w:r>
        <w:t>category.</w:t>
      </w:r>
      <w:r>
        <w:rPr>
          <w:spacing w:val="-1"/>
        </w:rPr>
        <w:t xml:space="preserve"> </w:t>
      </w:r>
      <w:r>
        <w:t>An</w:t>
      </w:r>
      <w:r>
        <w:rPr>
          <w:spacing w:val="-3"/>
        </w:rPr>
        <w:t xml:space="preserve"> </w:t>
      </w:r>
      <w:r>
        <w:t>example</w:t>
      </w:r>
      <w:r>
        <w:rPr>
          <w:spacing w:val="-4"/>
        </w:rPr>
        <w:t xml:space="preserve"> </w:t>
      </w:r>
      <w:r>
        <w:t>is</w:t>
      </w:r>
      <w:r>
        <w:rPr>
          <w:spacing w:val="-4"/>
        </w:rPr>
        <w:t xml:space="preserve"> </w:t>
      </w:r>
      <w:r>
        <w:t>a change in unit cost due to intensity of service trend or the impact on unit costs of the covered population’s change in risk from the base period to the contract period.</w:t>
      </w:r>
    </w:p>
    <w:p>
      <w:pPr>
        <w:pStyle w:val="BodyText"/>
        <w:ind w:left="1224" w:right="1481"/>
      </w:pPr>
      <w:r>
        <w:t>Entering</w:t>
      </w:r>
      <w:r>
        <w:rPr>
          <w:spacing w:val="-3"/>
        </w:rPr>
        <w:t xml:space="preserve"> </w:t>
      </w:r>
      <w:r>
        <w:t>1.000</w:t>
      </w:r>
      <w:r>
        <w:rPr>
          <w:spacing w:val="-3"/>
        </w:rPr>
        <w:t xml:space="preserve"> </w:t>
      </w:r>
      <w:r>
        <w:t>would</w:t>
      </w:r>
      <w:r>
        <w:rPr>
          <w:spacing w:val="-3"/>
        </w:rPr>
        <w:t xml:space="preserve"> </w:t>
      </w:r>
      <w:r>
        <w:t>indicate</w:t>
      </w:r>
      <w:r>
        <w:rPr>
          <w:spacing w:val="-3"/>
        </w:rPr>
        <w:t xml:space="preserve"> </w:t>
      </w:r>
      <w:r>
        <w:t>0</w:t>
      </w:r>
      <w:r>
        <w:rPr>
          <w:spacing w:val="-3"/>
        </w:rPr>
        <w:t xml:space="preserve"> </w:t>
      </w:r>
      <w:r>
        <w:t>percent</w:t>
      </w:r>
      <w:r>
        <w:rPr>
          <w:spacing w:val="-3"/>
        </w:rPr>
        <w:t xml:space="preserve"> </w:t>
      </w:r>
      <w:r>
        <w:t>adjustment.</w:t>
      </w:r>
      <w:r>
        <w:rPr>
          <w:spacing w:val="-3"/>
        </w:rPr>
        <w:t xml:space="preserve"> </w:t>
      </w:r>
      <w:r>
        <w:t>Do</w:t>
      </w:r>
      <w:r>
        <w:rPr>
          <w:spacing w:val="-3"/>
        </w:rPr>
        <w:t xml:space="preserve"> </w:t>
      </w:r>
      <w:r>
        <w:t>not</w:t>
      </w:r>
      <w:r>
        <w:rPr>
          <w:spacing w:val="-3"/>
        </w:rPr>
        <w:t xml:space="preserve"> </w:t>
      </w:r>
      <w:r>
        <w:t>leave</w:t>
      </w:r>
      <w:r>
        <w:rPr>
          <w:spacing w:val="-4"/>
        </w:rPr>
        <w:t xml:space="preserve"> </w:t>
      </w:r>
      <w:r>
        <w:t>this</w:t>
      </w:r>
      <w:r>
        <w:rPr>
          <w:spacing w:val="-4"/>
        </w:rPr>
        <w:t xml:space="preserve"> </w:t>
      </w:r>
      <w:r>
        <w:t>field blank.</w:t>
      </w:r>
      <w:r>
        <w:rPr>
          <w:spacing w:val="-3"/>
        </w:rPr>
        <w:t xml:space="preserve"> </w:t>
      </w:r>
      <w:r>
        <w:t>Do not enter zero (0).</w:t>
      </w:r>
    </w:p>
    <w:p>
      <w:pPr>
        <w:pStyle w:val="BodyText"/>
        <w:spacing w:after="0"/>
        <w:sectPr>
          <w:pgSz w:w="12240" w:h="15840"/>
          <w:pgMar w:top="960" w:right="0" w:bottom="940" w:left="1080" w:header="727" w:footer="747"/>
          <w:cols w:space="720"/>
        </w:sectPr>
      </w:pPr>
    </w:p>
    <w:p>
      <w:pPr>
        <w:pStyle w:val="BodyText"/>
        <w:spacing w:before="225"/>
        <w:ind w:left="0"/>
        <w:rPr>
          <w:sz w:val="21"/>
        </w:rPr>
      </w:pPr>
    </w:p>
    <w:p>
      <w:pPr>
        <w:pStyle w:val="ListParagraph"/>
        <w:numPr>
          <w:ilvl w:val="0"/>
          <w:numId w:val="43"/>
        </w:numPr>
        <w:tabs>
          <w:tab w:val="left" w:pos="1223"/>
        </w:tabs>
        <w:spacing w:before="0" w:after="0" w:line="240" w:lineRule="auto"/>
        <w:ind w:left="1223" w:right="0" w:hanging="359"/>
        <w:jc w:val="left"/>
        <w:rPr>
          <w:rFonts w:ascii="Arial" w:hAnsi="Arial"/>
          <w:b/>
          <w:sz w:val="21"/>
        </w:rPr>
      </w:pPr>
      <w:r>
        <w:rPr>
          <w:rFonts w:ascii="Arial" w:hAnsi="Arial"/>
          <w:b/>
          <w:sz w:val="21"/>
        </w:rPr>
        <w:t>Columns</w:t>
      </w:r>
      <w:r>
        <w:rPr>
          <w:rFonts w:ascii="Arial" w:hAnsi="Arial"/>
          <w:b/>
          <w:spacing w:val="-4"/>
          <w:sz w:val="21"/>
        </w:rPr>
        <w:t xml:space="preserve"> </w:t>
      </w:r>
      <w:r>
        <w:rPr>
          <w:rFonts w:ascii="Arial" w:hAnsi="Arial"/>
          <w:b/>
          <w:sz w:val="21"/>
        </w:rPr>
        <w:t>p</w:t>
      </w:r>
      <w:r>
        <w:rPr>
          <w:rFonts w:ascii="Arial" w:hAnsi="Arial"/>
          <w:b/>
          <w:spacing w:val="-4"/>
          <w:sz w:val="21"/>
        </w:rPr>
        <w:t xml:space="preserve"> </w:t>
      </w:r>
      <w:r>
        <w:rPr>
          <w:rFonts w:ascii="Arial" w:hAnsi="Arial"/>
          <w:b/>
          <w:sz w:val="21"/>
        </w:rPr>
        <w:t>and</w:t>
      </w:r>
      <w:r>
        <w:rPr>
          <w:rFonts w:ascii="Arial" w:hAnsi="Arial"/>
          <w:b/>
          <w:spacing w:val="-2"/>
          <w:sz w:val="21"/>
        </w:rPr>
        <w:t xml:space="preserve"> </w:t>
      </w:r>
      <w:r>
        <w:rPr>
          <w:rFonts w:ascii="Arial" w:hAnsi="Arial"/>
          <w:b/>
          <w:sz w:val="21"/>
        </w:rPr>
        <w:t>q</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Projected</w:t>
      </w:r>
      <w:r>
        <w:rPr>
          <w:rFonts w:ascii="Arial" w:hAnsi="Arial"/>
          <w:b/>
          <w:spacing w:val="-6"/>
          <w:sz w:val="21"/>
        </w:rPr>
        <w:t xml:space="preserve"> </w:t>
      </w:r>
      <w:r>
        <w:rPr>
          <w:rFonts w:ascii="Arial" w:hAnsi="Arial"/>
          <w:b/>
          <w:sz w:val="21"/>
        </w:rPr>
        <w:t>Additive</w:t>
      </w:r>
      <w:r>
        <w:rPr>
          <w:rFonts w:ascii="Arial" w:hAnsi="Arial"/>
          <w:b/>
          <w:spacing w:val="-3"/>
          <w:sz w:val="21"/>
        </w:rPr>
        <w:t xml:space="preserve"> </w:t>
      </w:r>
      <w:r>
        <w:rPr>
          <w:rFonts w:ascii="Arial" w:hAnsi="Arial"/>
          <w:b/>
          <w:spacing w:val="-2"/>
          <w:sz w:val="21"/>
        </w:rPr>
        <w:t>Adjustments</w:t>
      </w:r>
    </w:p>
    <w:p>
      <w:pPr>
        <w:pStyle w:val="BodyText"/>
        <w:spacing w:before="120"/>
        <w:ind w:left="1224" w:right="1481"/>
      </w:pPr>
      <w:r>
        <w:t>Use</w:t>
      </w:r>
      <w:r>
        <w:rPr>
          <w:spacing w:val="-5"/>
        </w:rPr>
        <w:t xml:space="preserve"> </w:t>
      </w:r>
      <w:r>
        <w:t>these</w:t>
      </w:r>
      <w:r>
        <w:rPr>
          <w:spacing w:val="-5"/>
        </w:rPr>
        <w:t xml:space="preserve"> </w:t>
      </w:r>
      <w:r>
        <w:t>columns</w:t>
      </w:r>
      <w:r>
        <w:rPr>
          <w:spacing w:val="-4"/>
        </w:rPr>
        <w:t xml:space="preserve"> </w:t>
      </w:r>
      <w:r>
        <w:t>to</w:t>
      </w:r>
      <w:r>
        <w:rPr>
          <w:spacing w:val="-3"/>
        </w:rPr>
        <w:t xml:space="preserve"> </w:t>
      </w:r>
      <w:r>
        <w:t>reflect</w:t>
      </w:r>
      <w:r>
        <w:rPr>
          <w:spacing w:val="-3"/>
        </w:rPr>
        <w:t xml:space="preserve"> </w:t>
      </w:r>
      <w:r>
        <w:t>adjustments</w:t>
      </w:r>
      <w:r>
        <w:rPr>
          <w:spacing w:val="-4"/>
        </w:rPr>
        <w:t xml:space="preserve"> </w:t>
      </w:r>
      <w:r>
        <w:t>that</w:t>
      </w:r>
      <w:r>
        <w:rPr>
          <w:spacing w:val="-3"/>
        </w:rPr>
        <w:t xml:space="preserve"> </w:t>
      </w:r>
      <w:r>
        <w:t>are</w:t>
      </w:r>
      <w:r>
        <w:rPr>
          <w:spacing w:val="-2"/>
        </w:rPr>
        <w:t xml:space="preserve"> </w:t>
      </w:r>
      <w:r>
        <w:t>additive;</w:t>
      </w:r>
      <w:r>
        <w:rPr>
          <w:spacing w:val="-3"/>
        </w:rPr>
        <w:t xml:space="preserve"> </w:t>
      </w:r>
      <w:r>
        <w:t>adjustments</w:t>
      </w:r>
      <w:r>
        <w:rPr>
          <w:spacing w:val="-4"/>
        </w:rPr>
        <w:t xml:space="preserve"> </w:t>
      </w:r>
      <w:r>
        <w:t>in</w:t>
      </w:r>
      <w:r>
        <w:rPr>
          <w:spacing w:val="-3"/>
        </w:rPr>
        <w:t xml:space="preserve"> </w:t>
      </w:r>
      <w:r>
        <w:t>columns</w:t>
      </w:r>
      <w:r>
        <w:rPr>
          <w:spacing w:val="-2"/>
        </w:rPr>
        <w:t xml:space="preserve"> </w:t>
      </w:r>
      <w:r>
        <w:t>j through o are multiplicative factors.</w:t>
      </w:r>
    </w:p>
    <w:p>
      <w:pPr>
        <w:pStyle w:val="BodyText"/>
        <w:spacing w:before="121"/>
        <w:ind w:left="1224"/>
      </w:pPr>
      <w:r>
        <w:t>This</w:t>
      </w:r>
      <w:r>
        <w:rPr>
          <w:spacing w:val="-2"/>
        </w:rPr>
        <w:t xml:space="preserve"> </w:t>
      </w:r>
      <w:r>
        <w:t>section</w:t>
      </w:r>
      <w:r>
        <w:rPr>
          <w:spacing w:val="-1"/>
        </w:rPr>
        <w:t xml:space="preserve"> </w:t>
      </w:r>
      <w:r>
        <w:t>may</w:t>
      </w:r>
      <w:r>
        <w:rPr>
          <w:spacing w:val="-1"/>
        </w:rPr>
        <w:t xml:space="preserve"> </w:t>
      </w:r>
      <w:r>
        <w:t>be</w:t>
      </w:r>
      <w:r>
        <w:rPr>
          <w:spacing w:val="-3"/>
        </w:rPr>
        <w:t xml:space="preserve"> </w:t>
      </w:r>
      <w:r>
        <w:t>used for</w:t>
      </w:r>
      <w:r>
        <w:rPr>
          <w:spacing w:val="-2"/>
        </w:rPr>
        <w:t xml:space="preserve"> </w:t>
      </w:r>
      <w:r>
        <w:t>new</w:t>
      </w:r>
      <w:r>
        <w:rPr>
          <w:spacing w:val="-2"/>
        </w:rPr>
        <w:t xml:space="preserve"> </w:t>
      </w:r>
      <w:r>
        <w:t>or</w:t>
      </w:r>
      <w:r>
        <w:rPr>
          <w:spacing w:val="-1"/>
        </w:rPr>
        <w:t xml:space="preserve"> </w:t>
      </w:r>
      <w:r>
        <w:t>removed</w:t>
      </w:r>
      <w:r>
        <w:rPr>
          <w:spacing w:val="-1"/>
        </w:rPr>
        <w:t xml:space="preserve"> </w:t>
      </w:r>
      <w:r>
        <w:rPr>
          <w:spacing w:val="-2"/>
        </w:rPr>
        <w:t>benefits.</w:t>
      </w:r>
    </w:p>
    <w:p>
      <w:pPr>
        <w:pStyle w:val="ListParagraph"/>
        <w:numPr>
          <w:ilvl w:val="1"/>
          <w:numId w:val="43"/>
        </w:numPr>
        <w:tabs>
          <w:tab w:val="left" w:pos="1584"/>
        </w:tabs>
        <w:spacing w:before="120" w:after="0" w:line="240" w:lineRule="auto"/>
        <w:ind w:left="1584" w:right="1509" w:hanging="360"/>
        <w:jc w:val="left"/>
        <w:rPr>
          <w:sz w:val="24"/>
        </w:rPr>
      </w:pPr>
      <w:r>
        <w:rPr>
          <w:sz w:val="24"/>
        </w:rPr>
        <w:t>For a benefit that is no longer being offered, but is included in the base period data, enter</w:t>
      </w:r>
      <w:r>
        <w:rPr>
          <w:spacing w:val="-5"/>
          <w:sz w:val="24"/>
        </w:rPr>
        <w:t xml:space="preserve"> </w:t>
      </w:r>
      <w:r>
        <w:rPr>
          <w:sz w:val="24"/>
        </w:rPr>
        <w:t>the</w:t>
      </w:r>
      <w:r>
        <w:rPr>
          <w:spacing w:val="-4"/>
          <w:sz w:val="24"/>
        </w:rPr>
        <w:t xml:space="preserve"> </w:t>
      </w:r>
      <w:r>
        <w:rPr>
          <w:sz w:val="24"/>
        </w:rPr>
        <w:t>projected</w:t>
      </w:r>
      <w:r>
        <w:rPr>
          <w:spacing w:val="-3"/>
          <w:sz w:val="24"/>
        </w:rPr>
        <w:t xml:space="preserve"> </w:t>
      </w:r>
      <w:r>
        <w:rPr>
          <w:sz w:val="24"/>
        </w:rPr>
        <w:t>value</w:t>
      </w:r>
      <w:r>
        <w:rPr>
          <w:spacing w:val="-2"/>
          <w:sz w:val="24"/>
        </w:rPr>
        <w:t xml:space="preserve"> </w:t>
      </w:r>
      <w:r>
        <w:rPr>
          <w:sz w:val="24"/>
        </w:rPr>
        <w:t>of</w:t>
      </w:r>
      <w:r>
        <w:rPr>
          <w:spacing w:val="-3"/>
          <w:sz w:val="24"/>
        </w:rPr>
        <w:t xml:space="preserve"> </w:t>
      </w:r>
      <w:r>
        <w:rPr>
          <w:sz w:val="24"/>
        </w:rPr>
        <w:t>such</w:t>
      </w:r>
      <w:r>
        <w:rPr>
          <w:spacing w:val="-3"/>
          <w:sz w:val="24"/>
        </w:rPr>
        <w:t xml:space="preserve"> </w:t>
      </w:r>
      <w:r>
        <w:rPr>
          <w:sz w:val="24"/>
        </w:rPr>
        <w:t>benefit</w:t>
      </w:r>
      <w:r>
        <w:rPr>
          <w:spacing w:val="-2"/>
          <w:sz w:val="24"/>
        </w:rPr>
        <w:t xml:space="preserve"> </w:t>
      </w:r>
      <w:r>
        <w:rPr>
          <w:sz w:val="24"/>
        </w:rPr>
        <w:t>as</w:t>
      </w:r>
      <w:r>
        <w:rPr>
          <w:spacing w:val="-4"/>
          <w:sz w:val="24"/>
        </w:rPr>
        <w:t xml:space="preserve"> </w:t>
      </w:r>
      <w:r>
        <w:rPr>
          <w:sz w:val="24"/>
        </w:rPr>
        <w:t>a</w:t>
      </w:r>
      <w:r>
        <w:rPr>
          <w:spacing w:val="-4"/>
          <w:sz w:val="24"/>
        </w:rPr>
        <w:t xml:space="preserve"> </w:t>
      </w:r>
      <w:r>
        <w:rPr>
          <w:sz w:val="24"/>
        </w:rPr>
        <w:t>negative</w:t>
      </w:r>
      <w:r>
        <w:rPr>
          <w:spacing w:val="-3"/>
          <w:sz w:val="24"/>
        </w:rPr>
        <w:t xml:space="preserve"> </w:t>
      </w:r>
      <w:r>
        <w:rPr>
          <w:sz w:val="24"/>
        </w:rPr>
        <w:t>number</w:t>
      </w:r>
      <w:r>
        <w:rPr>
          <w:spacing w:val="-3"/>
          <w:sz w:val="24"/>
        </w:rPr>
        <w:t xml:space="preserve"> </w:t>
      </w:r>
      <w:r>
        <w:rPr>
          <w:sz w:val="24"/>
        </w:rPr>
        <w:t>in</w:t>
      </w:r>
      <w:r>
        <w:rPr>
          <w:spacing w:val="-3"/>
          <w:sz w:val="24"/>
        </w:rPr>
        <w:t xml:space="preserve"> </w:t>
      </w:r>
      <w:r>
        <w:rPr>
          <w:sz w:val="24"/>
        </w:rPr>
        <w:t>column</w:t>
      </w:r>
      <w:r>
        <w:rPr>
          <w:spacing w:val="-2"/>
          <w:sz w:val="24"/>
        </w:rPr>
        <w:t xml:space="preserve"> </w:t>
      </w:r>
      <w:r>
        <w:rPr>
          <w:sz w:val="24"/>
        </w:rPr>
        <w:t>p</w:t>
      </w:r>
      <w:r>
        <w:rPr>
          <w:spacing w:val="-3"/>
          <w:sz w:val="24"/>
        </w:rPr>
        <w:t xml:space="preserve"> </w:t>
      </w:r>
      <w:r>
        <w:rPr>
          <w:sz w:val="24"/>
        </w:rPr>
        <w:t>and/or</w:t>
      </w:r>
      <w:r>
        <w:rPr>
          <w:spacing w:val="-4"/>
          <w:sz w:val="24"/>
        </w:rPr>
        <w:t xml:space="preserve"> </w:t>
      </w:r>
      <w:r>
        <w:rPr>
          <w:sz w:val="24"/>
        </w:rPr>
        <w:t>q.</w:t>
      </w:r>
    </w:p>
    <w:p>
      <w:pPr>
        <w:pStyle w:val="ListParagraph"/>
        <w:numPr>
          <w:ilvl w:val="1"/>
          <w:numId w:val="43"/>
        </w:numPr>
        <w:tabs>
          <w:tab w:val="left" w:pos="1584"/>
        </w:tabs>
        <w:spacing w:before="0" w:after="0" w:line="240" w:lineRule="auto"/>
        <w:ind w:left="1584" w:right="1640" w:hanging="360"/>
        <w:jc w:val="left"/>
        <w:rPr>
          <w:sz w:val="24"/>
        </w:rPr>
      </w:pPr>
      <w:r>
        <w:rPr>
          <w:sz w:val="24"/>
        </w:rPr>
        <w:t>The</w:t>
      </w:r>
      <w:r>
        <w:rPr>
          <w:spacing w:val="-5"/>
          <w:sz w:val="24"/>
        </w:rPr>
        <w:t xml:space="preserve"> </w:t>
      </w:r>
      <w:r>
        <w:rPr>
          <w:sz w:val="24"/>
        </w:rPr>
        <w:t>adjustment</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new</w:t>
      </w:r>
      <w:r>
        <w:rPr>
          <w:spacing w:val="-1"/>
          <w:sz w:val="24"/>
        </w:rPr>
        <w:t xml:space="preserve"> </w:t>
      </w:r>
      <w:r>
        <w:rPr>
          <w:sz w:val="24"/>
        </w:rPr>
        <w:t>benefit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contract</w:t>
      </w:r>
      <w:r>
        <w:rPr>
          <w:spacing w:val="-3"/>
          <w:sz w:val="24"/>
        </w:rPr>
        <w:t xml:space="preserve"> </w:t>
      </w:r>
      <w:r>
        <w:rPr>
          <w:sz w:val="24"/>
        </w:rPr>
        <w:t>year</w:t>
      </w:r>
      <w:r>
        <w:rPr>
          <w:spacing w:val="-3"/>
          <w:sz w:val="24"/>
        </w:rPr>
        <w:t xml:space="preserve"> </w:t>
      </w:r>
      <w:r>
        <w:rPr>
          <w:sz w:val="24"/>
        </w:rPr>
        <w:t>depends</w:t>
      </w:r>
      <w:r>
        <w:rPr>
          <w:spacing w:val="-4"/>
          <w:sz w:val="24"/>
        </w:rPr>
        <w:t xml:space="preserve"> </w:t>
      </w:r>
      <w:r>
        <w:rPr>
          <w:sz w:val="24"/>
        </w:rPr>
        <w:t>upon</w:t>
      </w:r>
      <w:r>
        <w:rPr>
          <w:spacing w:val="-1"/>
          <w:sz w:val="24"/>
        </w:rPr>
        <w:t xml:space="preserve"> </w:t>
      </w:r>
      <w:r>
        <w:rPr>
          <w:sz w:val="24"/>
        </w:rPr>
        <w:t>whether</w:t>
      </w:r>
      <w:r>
        <w:rPr>
          <w:spacing w:val="-1"/>
          <w:sz w:val="24"/>
        </w:rPr>
        <w:t xml:space="preserve"> </w:t>
      </w:r>
      <w:r>
        <w:rPr>
          <w:sz w:val="24"/>
        </w:rPr>
        <w:t>or</w:t>
      </w:r>
      <w:r>
        <w:rPr>
          <w:spacing w:val="-3"/>
          <w:sz w:val="24"/>
        </w:rPr>
        <w:t xml:space="preserve"> </w:t>
      </w:r>
      <w:r>
        <w:rPr>
          <w:sz w:val="24"/>
        </w:rPr>
        <w:t>not there is base period experience for other benefits in the same service category.</w:t>
      </w:r>
    </w:p>
    <w:p>
      <w:pPr>
        <w:pStyle w:val="ListParagraph"/>
        <w:numPr>
          <w:ilvl w:val="2"/>
          <w:numId w:val="43"/>
        </w:numPr>
        <w:tabs>
          <w:tab w:val="left" w:pos="1944"/>
        </w:tabs>
        <w:spacing w:before="0" w:after="0" w:line="240" w:lineRule="auto"/>
        <w:ind w:left="1944" w:right="2134" w:hanging="360"/>
        <w:jc w:val="left"/>
        <w:rPr>
          <w:sz w:val="24"/>
        </w:rPr>
      </w:pPr>
      <w:r>
        <w:rPr>
          <w:sz w:val="24"/>
        </w:rPr>
        <w:t>If</w:t>
      </w:r>
      <w:r>
        <w:rPr>
          <w:spacing w:val="-5"/>
          <w:sz w:val="24"/>
        </w:rPr>
        <w:t xml:space="preserve"> </w:t>
      </w:r>
      <w:r>
        <w:rPr>
          <w:sz w:val="24"/>
        </w:rPr>
        <w:t>there</w:t>
      </w:r>
      <w:r>
        <w:rPr>
          <w:spacing w:val="-4"/>
          <w:sz w:val="24"/>
        </w:rPr>
        <w:t xml:space="preserve"> </w:t>
      </w:r>
      <w:r>
        <w:rPr>
          <w:sz w:val="24"/>
        </w:rPr>
        <w:t>is</w:t>
      </w:r>
      <w:r>
        <w:rPr>
          <w:spacing w:val="-4"/>
          <w:sz w:val="24"/>
        </w:rPr>
        <w:t xml:space="preserve"> </w:t>
      </w:r>
      <w:r>
        <w:rPr>
          <w:sz w:val="24"/>
        </w:rPr>
        <w:t>no</w:t>
      </w:r>
      <w:r>
        <w:rPr>
          <w:spacing w:val="-3"/>
          <w:sz w:val="24"/>
        </w:rPr>
        <w:t xml:space="preserve"> </w:t>
      </w:r>
      <w:r>
        <w:rPr>
          <w:sz w:val="24"/>
        </w:rPr>
        <w:t>base</w:t>
      </w:r>
      <w:r>
        <w:rPr>
          <w:spacing w:val="-4"/>
          <w:sz w:val="24"/>
        </w:rPr>
        <w:t xml:space="preserve"> </w:t>
      </w:r>
      <w:r>
        <w:rPr>
          <w:sz w:val="24"/>
        </w:rPr>
        <w:t>period</w:t>
      </w:r>
      <w:r>
        <w:rPr>
          <w:spacing w:val="-3"/>
          <w:sz w:val="24"/>
        </w:rPr>
        <w:t xml:space="preserve"> </w:t>
      </w:r>
      <w:r>
        <w:rPr>
          <w:sz w:val="24"/>
        </w:rPr>
        <w:t>experience</w:t>
      </w:r>
      <w:r>
        <w:rPr>
          <w:spacing w:val="-4"/>
          <w:sz w:val="24"/>
        </w:rPr>
        <w:t xml:space="preserve"> </w:t>
      </w:r>
      <w:r>
        <w:rPr>
          <w:sz w:val="24"/>
        </w:rPr>
        <w:t>for</w:t>
      </w:r>
      <w:r>
        <w:rPr>
          <w:spacing w:val="-3"/>
          <w:sz w:val="24"/>
        </w:rPr>
        <w:t xml:space="preserve"> </w:t>
      </w:r>
      <w:r>
        <w:rPr>
          <w:sz w:val="24"/>
        </w:rPr>
        <w:t>other</w:t>
      </w:r>
      <w:r>
        <w:rPr>
          <w:spacing w:val="-3"/>
          <w:sz w:val="24"/>
        </w:rPr>
        <w:t xml:space="preserve"> </w:t>
      </w:r>
      <w:r>
        <w:rPr>
          <w:sz w:val="24"/>
        </w:rPr>
        <w:t>benefits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service category, then enter the projected value of the new benefit as—</w:t>
      </w:r>
    </w:p>
    <w:p>
      <w:pPr>
        <w:pStyle w:val="ListParagraph"/>
        <w:numPr>
          <w:ilvl w:val="3"/>
          <w:numId w:val="43"/>
        </w:numPr>
        <w:tabs>
          <w:tab w:val="left" w:pos="2664"/>
        </w:tabs>
        <w:spacing w:before="0" w:after="0" w:line="240" w:lineRule="auto"/>
        <w:ind w:left="2664" w:right="0" w:hanging="360"/>
        <w:jc w:val="left"/>
        <w:rPr>
          <w:sz w:val="24"/>
        </w:rPr>
      </w:pPr>
      <w:r>
        <w:rPr>
          <w:sz w:val="24"/>
        </w:rPr>
        <w:t>A</w:t>
      </w:r>
      <w:r>
        <w:rPr>
          <w:spacing w:val="-3"/>
          <w:sz w:val="24"/>
        </w:rPr>
        <w:t xml:space="preserve"> </w:t>
      </w:r>
      <w:r>
        <w:rPr>
          <w:sz w:val="24"/>
        </w:rPr>
        <w:t>positive number</w:t>
      </w:r>
      <w:r>
        <w:rPr>
          <w:spacing w:val="-1"/>
          <w:sz w:val="24"/>
        </w:rPr>
        <w:t xml:space="preserve"> </w:t>
      </w:r>
      <w:r>
        <w:rPr>
          <w:sz w:val="24"/>
        </w:rPr>
        <w:t>in Worksheet</w:t>
      </w:r>
      <w:r>
        <w:rPr>
          <w:spacing w:val="1"/>
          <w:sz w:val="24"/>
        </w:rPr>
        <w:t xml:space="preserve"> </w:t>
      </w:r>
      <w:r>
        <w:rPr>
          <w:sz w:val="24"/>
        </w:rPr>
        <w:t>1,</w:t>
      </w:r>
      <w:r>
        <w:rPr>
          <w:spacing w:val="-1"/>
          <w:sz w:val="24"/>
        </w:rPr>
        <w:t xml:space="preserve"> </w:t>
      </w:r>
      <w:r>
        <w:rPr>
          <w:sz w:val="24"/>
        </w:rPr>
        <w:t>column p and/or</w:t>
      </w:r>
      <w:r>
        <w:rPr>
          <w:spacing w:val="-2"/>
          <w:sz w:val="24"/>
        </w:rPr>
        <w:t xml:space="preserve"> </w:t>
      </w:r>
      <w:r>
        <w:rPr>
          <w:sz w:val="24"/>
        </w:rPr>
        <w:t xml:space="preserve">column q, </w:t>
      </w:r>
      <w:r>
        <w:rPr>
          <w:spacing w:val="-5"/>
          <w:sz w:val="24"/>
        </w:rPr>
        <w:t>or</w:t>
      </w:r>
    </w:p>
    <w:p>
      <w:pPr>
        <w:pStyle w:val="ListParagraph"/>
        <w:numPr>
          <w:ilvl w:val="3"/>
          <w:numId w:val="43"/>
        </w:numPr>
        <w:tabs>
          <w:tab w:val="left" w:pos="2664"/>
        </w:tabs>
        <w:spacing w:before="0" w:after="0" w:line="275" w:lineRule="exact"/>
        <w:ind w:left="2664" w:right="0" w:hanging="360"/>
        <w:jc w:val="left"/>
        <w:rPr>
          <w:sz w:val="24"/>
        </w:rPr>
      </w:pPr>
      <w:r>
        <w:rPr>
          <w:sz w:val="24"/>
        </w:rPr>
        <w:t>A</w:t>
      </w:r>
      <w:r>
        <w:rPr>
          <w:spacing w:val="-2"/>
          <w:sz w:val="24"/>
        </w:rPr>
        <w:t xml:space="preserve"> </w:t>
      </w:r>
      <w:r>
        <w:rPr>
          <w:sz w:val="24"/>
        </w:rPr>
        <w:t>manual</w:t>
      </w:r>
      <w:r>
        <w:rPr>
          <w:spacing w:val="-1"/>
          <w:sz w:val="24"/>
        </w:rPr>
        <w:t xml:space="preserve"> </w:t>
      </w:r>
      <w:r>
        <w:rPr>
          <w:sz w:val="24"/>
        </w:rPr>
        <w:t>rate</w:t>
      </w:r>
      <w:r>
        <w:rPr>
          <w:spacing w:val="-1"/>
          <w:sz w:val="24"/>
        </w:rPr>
        <w:t xml:space="preserve"> </w:t>
      </w:r>
      <w:r>
        <w:rPr>
          <w:sz w:val="24"/>
        </w:rPr>
        <w:t>in</w:t>
      </w:r>
      <w:r>
        <w:rPr>
          <w:spacing w:val="1"/>
          <w:sz w:val="24"/>
        </w:rPr>
        <w:t xml:space="preserve"> </w:t>
      </w:r>
      <w:r>
        <w:rPr>
          <w:sz w:val="24"/>
        </w:rPr>
        <w:t>Worksheet</w:t>
      </w:r>
      <w:r>
        <w:rPr>
          <w:spacing w:val="-1"/>
          <w:sz w:val="24"/>
        </w:rPr>
        <w:t xml:space="preserve"> </w:t>
      </w:r>
      <w:r>
        <w:rPr>
          <w:spacing w:val="-5"/>
          <w:sz w:val="24"/>
        </w:rPr>
        <w:t>2.</w:t>
      </w:r>
    </w:p>
    <w:p>
      <w:pPr>
        <w:pStyle w:val="ListParagraph"/>
        <w:numPr>
          <w:ilvl w:val="2"/>
          <w:numId w:val="43"/>
        </w:numPr>
        <w:tabs>
          <w:tab w:val="left" w:pos="1944"/>
        </w:tabs>
        <w:spacing w:before="0" w:after="0" w:line="240" w:lineRule="auto"/>
        <w:ind w:left="1944" w:right="1729" w:hanging="360"/>
        <w:jc w:val="left"/>
        <w:rPr>
          <w:sz w:val="24"/>
        </w:rPr>
      </w:pPr>
      <w:r>
        <w:rPr>
          <w:sz w:val="24"/>
        </w:rPr>
        <w:t>If</w:t>
      </w:r>
      <w:r>
        <w:rPr>
          <w:spacing w:val="-5"/>
          <w:sz w:val="24"/>
        </w:rPr>
        <w:t xml:space="preserve"> </w:t>
      </w:r>
      <w:r>
        <w:rPr>
          <w:sz w:val="24"/>
        </w:rPr>
        <w:t>the</w:t>
      </w:r>
      <w:r>
        <w:rPr>
          <w:spacing w:val="-4"/>
          <w:sz w:val="24"/>
        </w:rPr>
        <w:t xml:space="preserve"> </w:t>
      </w:r>
      <w:r>
        <w:rPr>
          <w:sz w:val="24"/>
        </w:rPr>
        <w:t>base</w:t>
      </w:r>
      <w:r>
        <w:rPr>
          <w:spacing w:val="-4"/>
          <w:sz w:val="24"/>
        </w:rPr>
        <w:t xml:space="preserve"> </w:t>
      </w:r>
      <w:r>
        <w:rPr>
          <w:sz w:val="24"/>
        </w:rPr>
        <w:t>period</w:t>
      </w:r>
      <w:r>
        <w:rPr>
          <w:spacing w:val="-3"/>
          <w:sz w:val="24"/>
        </w:rPr>
        <w:t xml:space="preserve"> </w:t>
      </w:r>
      <w:r>
        <w:rPr>
          <w:sz w:val="24"/>
        </w:rPr>
        <w:t>experience</w:t>
      </w:r>
      <w:r>
        <w:rPr>
          <w:spacing w:val="-4"/>
          <w:sz w:val="24"/>
        </w:rPr>
        <w:t xml:space="preserve"> </w:t>
      </w:r>
      <w:r>
        <w:rPr>
          <w:sz w:val="24"/>
        </w:rPr>
        <w:t>for</w:t>
      </w:r>
      <w:r>
        <w:rPr>
          <w:spacing w:val="-5"/>
          <w:sz w:val="24"/>
        </w:rPr>
        <w:t xml:space="preserve"> </w:t>
      </w:r>
      <w:r>
        <w:rPr>
          <w:sz w:val="24"/>
        </w:rPr>
        <w:t>other</w:t>
      </w:r>
      <w:r>
        <w:rPr>
          <w:spacing w:val="-3"/>
          <w:sz w:val="24"/>
        </w:rPr>
        <w:t xml:space="preserve"> </w:t>
      </w:r>
      <w:r>
        <w:rPr>
          <w:sz w:val="24"/>
        </w:rPr>
        <w:t>benefits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service</w:t>
      </w:r>
      <w:r>
        <w:rPr>
          <w:spacing w:val="-4"/>
          <w:sz w:val="24"/>
        </w:rPr>
        <w:t xml:space="preserve"> </w:t>
      </w:r>
      <w:r>
        <w:rPr>
          <w:sz w:val="24"/>
        </w:rPr>
        <w:t>category is 100 percent credible, then—</w:t>
      </w:r>
    </w:p>
    <w:p>
      <w:pPr>
        <w:pStyle w:val="ListParagraph"/>
        <w:numPr>
          <w:ilvl w:val="3"/>
          <w:numId w:val="43"/>
        </w:numPr>
        <w:tabs>
          <w:tab w:val="left" w:pos="2664"/>
        </w:tabs>
        <w:spacing w:before="0" w:after="0" w:line="240" w:lineRule="auto"/>
        <w:ind w:left="2664" w:right="2003" w:hanging="360"/>
        <w:jc w:val="left"/>
        <w:rPr>
          <w:sz w:val="24"/>
        </w:rPr>
      </w:pPr>
      <w:r>
        <w:rPr>
          <w:sz w:val="24"/>
        </w:rPr>
        <w:t>Enter</w:t>
      </w:r>
      <w:r>
        <w:rPr>
          <w:spacing w:val="-5"/>
          <w:sz w:val="24"/>
        </w:rPr>
        <w:t xml:space="preserve"> </w:t>
      </w:r>
      <w:r>
        <w:rPr>
          <w:sz w:val="24"/>
        </w:rPr>
        <w:t>the</w:t>
      </w:r>
      <w:r>
        <w:rPr>
          <w:spacing w:val="-3"/>
          <w:sz w:val="24"/>
        </w:rPr>
        <w:t xml:space="preserve"> </w:t>
      </w:r>
      <w:r>
        <w:rPr>
          <w:sz w:val="24"/>
        </w:rPr>
        <w:t>projected</w:t>
      </w:r>
      <w:r>
        <w:rPr>
          <w:spacing w:val="-3"/>
          <w:sz w:val="24"/>
        </w:rPr>
        <w:t xml:space="preserve"> </w:t>
      </w:r>
      <w:r>
        <w:rPr>
          <w:sz w:val="24"/>
        </w:rPr>
        <w:t>value</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new</w:t>
      </w:r>
      <w:r>
        <w:rPr>
          <w:spacing w:val="-4"/>
          <w:sz w:val="24"/>
        </w:rPr>
        <w:t xml:space="preserve"> </w:t>
      </w:r>
      <w:r>
        <w:rPr>
          <w:sz w:val="24"/>
        </w:rPr>
        <w:t>benefit</w:t>
      </w:r>
      <w:r>
        <w:rPr>
          <w:spacing w:val="-3"/>
          <w:sz w:val="24"/>
        </w:rPr>
        <w:t xml:space="preserve"> </w:t>
      </w:r>
      <w:r>
        <w:rPr>
          <w:sz w:val="24"/>
        </w:rPr>
        <w:t>as</w:t>
      </w:r>
      <w:r>
        <w:rPr>
          <w:spacing w:val="-4"/>
          <w:sz w:val="24"/>
        </w:rPr>
        <w:t xml:space="preserve"> </w:t>
      </w:r>
      <w:r>
        <w:rPr>
          <w:sz w:val="24"/>
        </w:rPr>
        <w:t>a</w:t>
      </w:r>
      <w:r>
        <w:rPr>
          <w:spacing w:val="-4"/>
          <w:sz w:val="24"/>
        </w:rPr>
        <w:t xml:space="preserve"> </w:t>
      </w:r>
      <w:r>
        <w:rPr>
          <w:sz w:val="24"/>
        </w:rPr>
        <w:t>positive</w:t>
      </w:r>
      <w:r>
        <w:rPr>
          <w:spacing w:val="-3"/>
          <w:sz w:val="24"/>
        </w:rPr>
        <w:t xml:space="preserve"> </w:t>
      </w:r>
      <w:r>
        <w:rPr>
          <w:sz w:val="24"/>
        </w:rPr>
        <w:t>number</w:t>
      </w:r>
      <w:r>
        <w:rPr>
          <w:spacing w:val="-3"/>
          <w:sz w:val="24"/>
        </w:rPr>
        <w:t xml:space="preserve"> </w:t>
      </w:r>
      <w:r>
        <w:rPr>
          <w:sz w:val="24"/>
        </w:rPr>
        <w:t>in Worksheet 1, column p and/or column q.</w:t>
      </w:r>
    </w:p>
    <w:p>
      <w:pPr>
        <w:pStyle w:val="ListParagraph"/>
        <w:numPr>
          <w:ilvl w:val="3"/>
          <w:numId w:val="43"/>
        </w:numPr>
        <w:tabs>
          <w:tab w:val="left" w:pos="2664"/>
        </w:tabs>
        <w:spacing w:before="0" w:after="0" w:line="240" w:lineRule="auto"/>
        <w:ind w:left="2664" w:right="1963" w:hanging="360"/>
        <w:jc w:val="left"/>
        <w:rPr>
          <w:sz w:val="24"/>
        </w:rPr>
      </w:pPr>
      <w:r>
        <w:rPr>
          <w:sz w:val="24"/>
        </w:rPr>
        <w:t>Do</w:t>
      </w:r>
      <w:r>
        <w:rPr>
          <w:spacing w:val="-3"/>
          <w:sz w:val="24"/>
        </w:rPr>
        <w:t xml:space="preserve"> </w:t>
      </w:r>
      <w:r>
        <w:rPr>
          <w:sz w:val="24"/>
        </w:rPr>
        <w:t>not</w:t>
      </w:r>
      <w:r>
        <w:rPr>
          <w:spacing w:val="-3"/>
          <w:sz w:val="24"/>
        </w:rPr>
        <w:t xml:space="preserve"> </w:t>
      </w:r>
      <w:r>
        <w:rPr>
          <w:sz w:val="24"/>
        </w:rPr>
        <w:t>change</w:t>
      </w:r>
      <w:r>
        <w:rPr>
          <w:spacing w:val="-4"/>
          <w:sz w:val="24"/>
        </w:rPr>
        <w:t xml:space="preserve"> </w:t>
      </w:r>
      <w:r>
        <w:rPr>
          <w:sz w:val="24"/>
        </w:rPr>
        <w:t>the</w:t>
      </w:r>
      <w:r>
        <w:rPr>
          <w:spacing w:val="-3"/>
          <w:sz w:val="24"/>
        </w:rPr>
        <w:t xml:space="preserve"> </w:t>
      </w:r>
      <w:r>
        <w:rPr>
          <w:sz w:val="24"/>
        </w:rPr>
        <w:t>credibility</w:t>
      </w:r>
      <w:r>
        <w:rPr>
          <w:spacing w:val="-3"/>
          <w:sz w:val="24"/>
        </w:rPr>
        <w:t xml:space="preserve"> </w:t>
      </w:r>
      <w:r>
        <w:rPr>
          <w:sz w:val="24"/>
        </w:rPr>
        <w:t>percentage</w:t>
      </w:r>
      <w:r>
        <w:rPr>
          <w:spacing w:val="-5"/>
          <w:sz w:val="24"/>
        </w:rPr>
        <w:t xml:space="preserve"> </w:t>
      </w:r>
      <w:r>
        <w:rPr>
          <w:sz w:val="24"/>
        </w:rPr>
        <w:t>to</w:t>
      </w:r>
      <w:r>
        <w:rPr>
          <w:spacing w:val="-3"/>
          <w:sz w:val="24"/>
        </w:rPr>
        <w:t xml:space="preserve"> </w:t>
      </w:r>
      <w:r>
        <w:rPr>
          <w:sz w:val="24"/>
        </w:rPr>
        <w:t>0</w:t>
      </w:r>
      <w:r>
        <w:rPr>
          <w:spacing w:val="-2"/>
          <w:sz w:val="24"/>
        </w:rPr>
        <w:t xml:space="preserve"> </w:t>
      </w:r>
      <w:r>
        <w:rPr>
          <w:sz w:val="24"/>
        </w:rPr>
        <w:t>percent;</w:t>
      </w:r>
      <w:r>
        <w:rPr>
          <w:spacing w:val="-3"/>
          <w:sz w:val="24"/>
        </w:rPr>
        <w:t xml:space="preserve"> </w:t>
      </w:r>
      <w:r>
        <w:rPr>
          <w:sz w:val="24"/>
        </w:rPr>
        <w:t>do</w:t>
      </w:r>
      <w:r>
        <w:rPr>
          <w:spacing w:val="-3"/>
          <w:sz w:val="24"/>
        </w:rPr>
        <w:t xml:space="preserve"> </w:t>
      </w:r>
      <w:r>
        <w:rPr>
          <w:sz w:val="24"/>
        </w:rPr>
        <w:t>not</w:t>
      </w:r>
      <w:r>
        <w:rPr>
          <w:spacing w:val="-4"/>
          <w:sz w:val="24"/>
        </w:rPr>
        <w:t xml:space="preserve"> </w:t>
      </w:r>
      <w:r>
        <w:rPr>
          <w:sz w:val="24"/>
        </w:rPr>
        <w:t>enter</w:t>
      </w:r>
      <w:r>
        <w:rPr>
          <w:spacing w:val="-5"/>
          <w:sz w:val="24"/>
        </w:rPr>
        <w:t xml:space="preserve"> </w:t>
      </w:r>
      <w:r>
        <w:rPr>
          <w:sz w:val="24"/>
        </w:rPr>
        <w:t>a manual rate.</w:t>
      </w:r>
    </w:p>
    <w:p>
      <w:pPr>
        <w:pStyle w:val="ListParagraph"/>
        <w:numPr>
          <w:ilvl w:val="2"/>
          <w:numId w:val="43"/>
        </w:numPr>
        <w:tabs>
          <w:tab w:val="left" w:pos="1944"/>
        </w:tabs>
        <w:spacing w:before="0" w:after="0" w:line="240" w:lineRule="auto"/>
        <w:ind w:left="1944" w:right="1733" w:hanging="360"/>
        <w:jc w:val="left"/>
        <w:rPr>
          <w:sz w:val="24"/>
        </w:rPr>
      </w:pPr>
      <w:r>
        <w:rPr>
          <w:sz w:val="24"/>
        </w:rPr>
        <w:t>If</w:t>
      </w:r>
      <w:r>
        <w:rPr>
          <w:spacing w:val="-5"/>
          <w:sz w:val="24"/>
        </w:rPr>
        <w:t xml:space="preserve"> </w:t>
      </w:r>
      <w:r>
        <w:rPr>
          <w:sz w:val="24"/>
        </w:rPr>
        <w:t>the</w:t>
      </w:r>
      <w:r>
        <w:rPr>
          <w:spacing w:val="-3"/>
          <w:sz w:val="24"/>
        </w:rPr>
        <w:t xml:space="preserve"> </w:t>
      </w:r>
      <w:r>
        <w:rPr>
          <w:sz w:val="24"/>
        </w:rPr>
        <w:t>base</w:t>
      </w:r>
      <w:r>
        <w:rPr>
          <w:spacing w:val="-4"/>
          <w:sz w:val="24"/>
        </w:rPr>
        <w:t xml:space="preserve"> </w:t>
      </w:r>
      <w:r>
        <w:rPr>
          <w:sz w:val="24"/>
        </w:rPr>
        <w:t>period</w:t>
      </w:r>
      <w:r>
        <w:rPr>
          <w:spacing w:val="-3"/>
          <w:sz w:val="24"/>
        </w:rPr>
        <w:t xml:space="preserve"> </w:t>
      </w:r>
      <w:r>
        <w:rPr>
          <w:sz w:val="24"/>
        </w:rPr>
        <w:t>experience</w:t>
      </w:r>
      <w:r>
        <w:rPr>
          <w:spacing w:val="-4"/>
          <w:sz w:val="24"/>
        </w:rPr>
        <w:t xml:space="preserve"> </w:t>
      </w:r>
      <w:r>
        <w:rPr>
          <w:sz w:val="24"/>
        </w:rPr>
        <w:t>for</w:t>
      </w:r>
      <w:r>
        <w:rPr>
          <w:spacing w:val="-5"/>
          <w:sz w:val="24"/>
        </w:rPr>
        <w:t xml:space="preserve"> </w:t>
      </w:r>
      <w:r>
        <w:rPr>
          <w:sz w:val="24"/>
        </w:rPr>
        <w:t>other</w:t>
      </w:r>
      <w:r>
        <w:rPr>
          <w:spacing w:val="-3"/>
          <w:sz w:val="24"/>
        </w:rPr>
        <w:t xml:space="preserve"> </w:t>
      </w:r>
      <w:r>
        <w:rPr>
          <w:sz w:val="24"/>
        </w:rPr>
        <w:t>benefits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service</w:t>
      </w:r>
      <w:r>
        <w:rPr>
          <w:spacing w:val="-4"/>
          <w:sz w:val="24"/>
        </w:rPr>
        <w:t xml:space="preserve"> </w:t>
      </w:r>
      <w:r>
        <w:rPr>
          <w:sz w:val="24"/>
        </w:rPr>
        <w:t>category</w:t>
      </w:r>
      <w:r>
        <w:rPr>
          <w:spacing w:val="-1"/>
          <w:sz w:val="24"/>
        </w:rPr>
        <w:t xml:space="preserve"> </w:t>
      </w:r>
      <w:r>
        <w:rPr>
          <w:sz w:val="24"/>
        </w:rPr>
        <w:t>is less than 100 percent credible, then—</w:t>
      </w:r>
    </w:p>
    <w:p>
      <w:pPr>
        <w:pStyle w:val="ListParagraph"/>
        <w:numPr>
          <w:ilvl w:val="3"/>
          <w:numId w:val="43"/>
        </w:numPr>
        <w:tabs>
          <w:tab w:val="left" w:pos="2664"/>
        </w:tabs>
        <w:spacing w:before="0" w:after="0" w:line="240" w:lineRule="auto"/>
        <w:ind w:left="2664" w:right="2004" w:hanging="360"/>
        <w:jc w:val="left"/>
        <w:rPr>
          <w:sz w:val="24"/>
        </w:rPr>
      </w:pPr>
      <w:r>
        <w:rPr>
          <w:sz w:val="24"/>
        </w:rPr>
        <w:t>Enter</w:t>
      </w:r>
      <w:r>
        <w:rPr>
          <w:spacing w:val="-3"/>
          <w:sz w:val="24"/>
        </w:rPr>
        <w:t xml:space="preserve"> </w:t>
      </w:r>
      <w:r>
        <w:rPr>
          <w:sz w:val="24"/>
        </w:rPr>
        <w:t>the</w:t>
      </w:r>
      <w:r>
        <w:rPr>
          <w:spacing w:val="-5"/>
          <w:sz w:val="24"/>
        </w:rPr>
        <w:t xml:space="preserve"> </w:t>
      </w:r>
      <w:r>
        <w:rPr>
          <w:sz w:val="24"/>
        </w:rPr>
        <w:t>projected</w:t>
      </w:r>
      <w:r>
        <w:rPr>
          <w:spacing w:val="-3"/>
          <w:sz w:val="24"/>
        </w:rPr>
        <w:t xml:space="preserve"> </w:t>
      </w:r>
      <w:r>
        <w:rPr>
          <w:sz w:val="24"/>
        </w:rPr>
        <w:t>value</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new</w:t>
      </w:r>
      <w:r>
        <w:rPr>
          <w:spacing w:val="-4"/>
          <w:sz w:val="24"/>
        </w:rPr>
        <w:t xml:space="preserve"> </w:t>
      </w:r>
      <w:r>
        <w:rPr>
          <w:sz w:val="24"/>
        </w:rPr>
        <w:t>benefit</w:t>
      </w:r>
      <w:r>
        <w:rPr>
          <w:spacing w:val="-3"/>
          <w:sz w:val="24"/>
        </w:rPr>
        <w:t xml:space="preserve"> </w:t>
      </w:r>
      <w:r>
        <w:rPr>
          <w:sz w:val="24"/>
        </w:rPr>
        <w:t>as</w:t>
      </w:r>
      <w:r>
        <w:rPr>
          <w:spacing w:val="-4"/>
          <w:sz w:val="24"/>
        </w:rPr>
        <w:t xml:space="preserve"> </w:t>
      </w:r>
      <w:r>
        <w:rPr>
          <w:sz w:val="24"/>
        </w:rPr>
        <w:t>a</w:t>
      </w:r>
      <w:r>
        <w:rPr>
          <w:spacing w:val="-4"/>
          <w:sz w:val="24"/>
        </w:rPr>
        <w:t xml:space="preserve"> </w:t>
      </w:r>
      <w:r>
        <w:rPr>
          <w:sz w:val="24"/>
        </w:rPr>
        <w:t>positive</w:t>
      </w:r>
      <w:r>
        <w:rPr>
          <w:spacing w:val="-3"/>
          <w:sz w:val="24"/>
        </w:rPr>
        <w:t xml:space="preserve"> </w:t>
      </w:r>
      <w:r>
        <w:rPr>
          <w:sz w:val="24"/>
        </w:rPr>
        <w:t>number</w:t>
      </w:r>
      <w:r>
        <w:rPr>
          <w:spacing w:val="-3"/>
          <w:sz w:val="24"/>
        </w:rPr>
        <w:t xml:space="preserve"> </w:t>
      </w:r>
      <w:r>
        <w:rPr>
          <w:sz w:val="24"/>
        </w:rPr>
        <w:t>in Worksheet 1, column p and/or column q.</w:t>
      </w:r>
    </w:p>
    <w:p>
      <w:pPr>
        <w:pStyle w:val="ListParagraph"/>
        <w:numPr>
          <w:ilvl w:val="3"/>
          <w:numId w:val="43"/>
        </w:numPr>
        <w:tabs>
          <w:tab w:val="left" w:pos="2664"/>
        </w:tabs>
        <w:spacing w:before="0" w:after="0" w:line="240" w:lineRule="auto"/>
        <w:ind w:left="2664" w:right="1460" w:hanging="360"/>
        <w:jc w:val="left"/>
        <w:rPr>
          <w:sz w:val="24"/>
        </w:rPr>
      </w:pPr>
      <w:r>
        <w:rPr>
          <w:sz w:val="24"/>
        </w:rPr>
        <w:t>Enter</w:t>
      </w:r>
      <w:r>
        <w:rPr>
          <w:spacing w:val="-4"/>
          <w:sz w:val="24"/>
        </w:rPr>
        <w:t xml:space="preserve"> </w:t>
      </w:r>
      <w:r>
        <w:rPr>
          <w:sz w:val="24"/>
        </w:rPr>
        <w:t>the</w:t>
      </w:r>
      <w:r>
        <w:rPr>
          <w:spacing w:val="-6"/>
          <w:sz w:val="24"/>
        </w:rPr>
        <w:t xml:space="preserve"> </w:t>
      </w:r>
      <w:r>
        <w:rPr>
          <w:sz w:val="24"/>
        </w:rPr>
        <w:t>appropriate</w:t>
      </w:r>
      <w:r>
        <w:rPr>
          <w:spacing w:val="-4"/>
          <w:sz w:val="24"/>
        </w:rPr>
        <w:t xml:space="preserve"> </w:t>
      </w:r>
      <w:r>
        <w:rPr>
          <w:sz w:val="24"/>
        </w:rPr>
        <w:t>credibility</w:t>
      </w:r>
      <w:r>
        <w:rPr>
          <w:spacing w:val="-4"/>
          <w:sz w:val="24"/>
        </w:rPr>
        <w:t xml:space="preserve"> </w:t>
      </w:r>
      <w:r>
        <w:rPr>
          <w:sz w:val="24"/>
        </w:rPr>
        <w:t>percentage</w:t>
      </w:r>
      <w:r>
        <w:rPr>
          <w:spacing w:val="-6"/>
          <w:sz w:val="24"/>
        </w:rPr>
        <w:t xml:space="preserve"> </w:t>
      </w:r>
      <w:r>
        <w:rPr>
          <w:sz w:val="24"/>
        </w:rPr>
        <w:t>for</w:t>
      </w:r>
      <w:r>
        <w:rPr>
          <w:spacing w:val="-4"/>
          <w:sz w:val="24"/>
        </w:rPr>
        <w:t xml:space="preserve"> </w:t>
      </w:r>
      <w:r>
        <w:rPr>
          <w:sz w:val="24"/>
        </w:rPr>
        <w:t>other</w:t>
      </w:r>
      <w:r>
        <w:rPr>
          <w:spacing w:val="-4"/>
          <w:sz w:val="24"/>
        </w:rPr>
        <w:t xml:space="preserve"> </w:t>
      </w:r>
      <w:r>
        <w:rPr>
          <w:sz w:val="24"/>
        </w:rPr>
        <w:t>benefits</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same service category in Worksheet 2; do not change the credibility</w:t>
      </w:r>
      <w:r>
        <w:rPr>
          <w:spacing w:val="40"/>
          <w:sz w:val="24"/>
        </w:rPr>
        <w:t xml:space="preserve"> </w:t>
      </w:r>
      <w:r>
        <w:rPr>
          <w:sz w:val="24"/>
        </w:rPr>
        <w:t>percentage to 0 percent.</w:t>
      </w:r>
    </w:p>
    <w:p>
      <w:pPr>
        <w:pStyle w:val="ListParagraph"/>
        <w:numPr>
          <w:ilvl w:val="3"/>
          <w:numId w:val="43"/>
        </w:numPr>
        <w:tabs>
          <w:tab w:val="left" w:pos="2664"/>
        </w:tabs>
        <w:spacing w:before="0" w:after="0" w:line="240" w:lineRule="auto"/>
        <w:ind w:left="2664" w:right="1461" w:hanging="360"/>
        <w:jc w:val="left"/>
        <w:rPr>
          <w:sz w:val="24"/>
        </w:rPr>
      </w:pPr>
      <w:r>
        <w:rPr>
          <w:sz w:val="24"/>
        </w:rPr>
        <w:t>Enter</w:t>
      </w:r>
      <w:r>
        <w:rPr>
          <w:spacing w:val="-4"/>
          <w:sz w:val="24"/>
        </w:rPr>
        <w:t xml:space="preserve"> </w:t>
      </w:r>
      <w:r>
        <w:rPr>
          <w:sz w:val="24"/>
        </w:rPr>
        <w:t>the</w:t>
      </w:r>
      <w:r>
        <w:rPr>
          <w:spacing w:val="-6"/>
          <w:sz w:val="24"/>
        </w:rPr>
        <w:t xml:space="preserve"> </w:t>
      </w:r>
      <w:r>
        <w:rPr>
          <w:sz w:val="24"/>
        </w:rPr>
        <w:t>projected</w:t>
      </w:r>
      <w:r>
        <w:rPr>
          <w:spacing w:val="-4"/>
          <w:sz w:val="24"/>
        </w:rPr>
        <w:t xml:space="preserve"> </w:t>
      </w:r>
      <w:r>
        <w:rPr>
          <w:sz w:val="24"/>
        </w:rPr>
        <w:t>value</w:t>
      </w:r>
      <w:r>
        <w:rPr>
          <w:spacing w:val="-3"/>
          <w:sz w:val="24"/>
        </w:rPr>
        <w:t xml:space="preserve"> </w:t>
      </w:r>
      <w:r>
        <w:rPr>
          <w:sz w:val="24"/>
        </w:rPr>
        <w:t>of</w:t>
      </w:r>
      <w:r>
        <w:rPr>
          <w:spacing w:val="-4"/>
          <w:sz w:val="24"/>
        </w:rPr>
        <w:t xml:space="preserve"> </w:t>
      </w:r>
      <w:r>
        <w:rPr>
          <w:sz w:val="24"/>
        </w:rPr>
        <w:t>all</w:t>
      </w:r>
      <w:r>
        <w:rPr>
          <w:spacing w:val="-4"/>
          <w:sz w:val="24"/>
        </w:rPr>
        <w:t xml:space="preserve"> </w:t>
      </w:r>
      <w:r>
        <w:rPr>
          <w:sz w:val="24"/>
        </w:rPr>
        <w:t>benefits</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service</w:t>
      </w:r>
      <w:r>
        <w:rPr>
          <w:spacing w:val="-6"/>
          <w:sz w:val="24"/>
        </w:rPr>
        <w:t xml:space="preserve"> </w:t>
      </w:r>
      <w:r>
        <w:rPr>
          <w:sz w:val="24"/>
        </w:rPr>
        <w:t>category,</w:t>
      </w:r>
      <w:r>
        <w:rPr>
          <w:spacing w:val="-5"/>
          <w:sz w:val="24"/>
        </w:rPr>
        <w:t xml:space="preserve"> </w:t>
      </w:r>
      <w:r>
        <w:rPr>
          <w:sz w:val="24"/>
        </w:rPr>
        <w:t>including the new benefit, as a manual rate in Worksheet 2.</w:t>
      </w:r>
    </w:p>
    <w:p>
      <w:pPr>
        <w:pStyle w:val="BodyText"/>
        <w:spacing w:before="45"/>
        <w:ind w:left="0"/>
      </w:pPr>
    </w:p>
    <w:p>
      <w:pPr>
        <w:pStyle w:val="Heading2"/>
        <w:ind w:right="1481"/>
      </w:pPr>
      <w:bookmarkStart w:id="153" w:name="Section V – Base Period Summary for 1/1/"/>
      <w:bookmarkEnd w:id="153"/>
      <w:bookmarkStart w:id="154" w:name="_bookmark47"/>
      <w:bookmarkEnd w:id="154"/>
      <w:r>
        <w:rPr>
          <w:smallCaps/>
        </w:rPr>
        <w:t>Section V</w:t>
      </w:r>
      <w:r>
        <w:rPr>
          <w:smallCaps/>
          <w:spacing w:val="-12"/>
        </w:rPr>
        <w:t xml:space="preserve"> </w:t>
      </w:r>
      <w:r>
        <w:rPr>
          <w:smallCaps/>
        </w:rPr>
        <w:t>–</w:t>
      </w:r>
      <w:r>
        <w:rPr>
          <w:smallCaps/>
          <w:spacing w:val="-12"/>
        </w:rPr>
        <w:t xml:space="preserve"> </w:t>
      </w:r>
      <w:r>
        <w:rPr>
          <w:smallCaps/>
        </w:rPr>
        <w:t>Base Period Summary for 1/1/2025</w:t>
      </w:r>
      <w:r>
        <w:rPr>
          <w:smallCaps/>
          <w:spacing w:val="-10"/>
        </w:rPr>
        <w:t xml:space="preserve"> </w:t>
      </w:r>
      <w:r>
        <w:rPr>
          <w:smallCaps/>
        </w:rPr>
        <w:t>–</w:t>
      </w:r>
      <w:r>
        <w:rPr>
          <w:smallCaps/>
          <w:spacing w:val="-10"/>
        </w:rPr>
        <w:t xml:space="preserve"> </w:t>
      </w:r>
      <w:r>
        <w:rPr>
          <w:smallCaps/>
        </w:rPr>
        <w:t>12/31/2025</w:t>
      </w:r>
      <w:r>
        <w:rPr>
          <w:smallCaps/>
          <w:spacing w:val="-10"/>
        </w:rPr>
        <w:t xml:space="preserve"> </w:t>
      </w:r>
      <w:r>
        <w:rPr>
          <w:smallCaps/>
        </w:rPr>
        <w:t>(excludes Optional Supplemental)</w:t>
      </w:r>
    </w:p>
    <w:p>
      <w:pPr>
        <w:pStyle w:val="BodyText"/>
        <w:spacing w:before="180"/>
        <w:ind w:right="1481"/>
      </w:pPr>
      <w:r>
        <w:t>Section V contains a summary of the actual bid-level base period revenue and expenses. This section</w:t>
      </w:r>
      <w:r>
        <w:rPr>
          <w:spacing w:val="-3"/>
        </w:rPr>
        <w:t xml:space="preserve"> </w:t>
      </w:r>
      <w:r>
        <w:t>must</w:t>
      </w:r>
      <w:r>
        <w:rPr>
          <w:spacing w:val="-3"/>
        </w:rPr>
        <w:t xml:space="preserve"> </w:t>
      </w:r>
      <w:r>
        <w:t>be</w:t>
      </w:r>
      <w:r>
        <w:rPr>
          <w:spacing w:val="-3"/>
        </w:rPr>
        <w:t xml:space="preserve"> </w:t>
      </w:r>
      <w:r>
        <w:t>completed</w:t>
      </w:r>
      <w:r>
        <w:rPr>
          <w:spacing w:val="-3"/>
        </w:rPr>
        <w:t xml:space="preserve"> </w:t>
      </w:r>
      <w:r>
        <w:t>consistently</w:t>
      </w:r>
      <w:r>
        <w:rPr>
          <w:spacing w:val="-3"/>
        </w:rPr>
        <w:t xml:space="preserve"> </w:t>
      </w:r>
      <w:r>
        <w:t>with</w:t>
      </w:r>
      <w:r>
        <w:rPr>
          <w:spacing w:val="-1"/>
        </w:rPr>
        <w:t xml:space="preserve"> </w:t>
      </w:r>
      <w:r>
        <w:t>both</w:t>
      </w:r>
      <w:r>
        <w:rPr>
          <w:spacing w:val="-3"/>
        </w:rPr>
        <w:t xml:space="preserve"> </w:t>
      </w:r>
      <w:r>
        <w:t>the</w:t>
      </w:r>
      <w:r>
        <w:rPr>
          <w:spacing w:val="-4"/>
        </w:rPr>
        <w:t xml:space="preserve"> </w:t>
      </w:r>
      <w:r>
        <w:t>“Bids</w:t>
      </w:r>
      <w:r>
        <w:rPr>
          <w:spacing w:val="-2"/>
        </w:rPr>
        <w:t xml:space="preserve"> </w:t>
      </w:r>
      <w:r>
        <w:t>in</w:t>
      </w:r>
      <w:r>
        <w:rPr>
          <w:spacing w:val="-3"/>
        </w:rPr>
        <w:t xml:space="preserve"> </w:t>
      </w:r>
      <w:r>
        <w:t>Base”</w:t>
      </w:r>
      <w:r>
        <w:rPr>
          <w:spacing w:val="-4"/>
        </w:rPr>
        <w:t xml:space="preserve"> </w:t>
      </w:r>
      <w:r>
        <w:t>bid</w:t>
      </w:r>
      <w:r>
        <w:rPr>
          <w:spacing w:val="-3"/>
        </w:rPr>
        <w:t xml:space="preserve"> </w:t>
      </w:r>
      <w:r>
        <w:t>information</w:t>
      </w:r>
      <w:r>
        <w:rPr>
          <w:spacing w:val="-2"/>
        </w:rPr>
        <w:t xml:space="preserve"> </w:t>
      </w:r>
      <w:r>
        <w:t>(reported in Section II line 6) and the information reported in Section III. See the “Base Period Experience” pricing consideration for more information on reporting base period data.</w:t>
      </w:r>
    </w:p>
    <w:p>
      <w:pPr>
        <w:pStyle w:val="BodyText"/>
        <w:spacing w:before="121"/>
        <w:ind w:right="1481"/>
      </w:pPr>
      <w:r>
        <w:t>Note</w:t>
      </w:r>
      <w:r>
        <w:rPr>
          <w:spacing w:val="-3"/>
        </w:rPr>
        <w:t xml:space="preserve"> </w:t>
      </w:r>
      <w:r>
        <w:t>that</w:t>
      </w:r>
      <w:r>
        <w:rPr>
          <w:spacing w:val="-3"/>
        </w:rPr>
        <w:t xml:space="preserve"> </w:t>
      </w:r>
      <w:r>
        <w:t>Section</w:t>
      </w:r>
      <w:r>
        <w:rPr>
          <w:spacing w:val="-3"/>
        </w:rPr>
        <w:t xml:space="preserve"> </w:t>
      </w:r>
      <w:r>
        <w:t>V</w:t>
      </w:r>
      <w:r>
        <w:rPr>
          <w:spacing w:val="-4"/>
        </w:rPr>
        <w:t xml:space="preserve"> </w:t>
      </w:r>
      <w:r>
        <w:t>must</w:t>
      </w:r>
      <w:r>
        <w:rPr>
          <w:spacing w:val="-3"/>
        </w:rPr>
        <w:t xml:space="preserve"> </w:t>
      </w:r>
      <w:r>
        <w:t>be</w:t>
      </w:r>
      <w:r>
        <w:rPr>
          <w:spacing w:val="-3"/>
        </w:rPr>
        <w:t xml:space="preserve"> </w:t>
      </w:r>
      <w:r>
        <w:t>completed</w:t>
      </w:r>
      <w:r>
        <w:rPr>
          <w:spacing w:val="-3"/>
        </w:rPr>
        <w:t xml:space="preserve"> </w:t>
      </w:r>
      <w:r>
        <w:t>in</w:t>
      </w:r>
      <w:r>
        <w:rPr>
          <w:spacing w:val="-3"/>
        </w:rPr>
        <w:t xml:space="preserve"> </w:t>
      </w:r>
      <w:r>
        <w:t>total</w:t>
      </w:r>
      <w:r>
        <w:rPr>
          <w:spacing w:val="-3"/>
        </w:rPr>
        <w:t xml:space="preserve"> </w:t>
      </w:r>
      <w:r>
        <w:t>dollars,</w:t>
      </w:r>
      <w:r>
        <w:rPr>
          <w:spacing w:val="-3"/>
        </w:rPr>
        <w:t xml:space="preserve"> </w:t>
      </w:r>
      <w:r>
        <w:t>and</w:t>
      </w:r>
      <w:r>
        <w:rPr>
          <w:spacing w:val="-3"/>
        </w:rPr>
        <w:t xml:space="preserve"> </w:t>
      </w:r>
      <w:r>
        <w:t>it</w:t>
      </w:r>
      <w:r>
        <w:rPr>
          <w:spacing w:val="-3"/>
        </w:rPr>
        <w:t xml:space="preserve"> </w:t>
      </w:r>
      <w:r>
        <w:t>must</w:t>
      </w:r>
      <w:r>
        <w:rPr>
          <w:spacing w:val="-2"/>
        </w:rPr>
        <w:t xml:space="preserve"> </w:t>
      </w:r>
      <w:r>
        <w:t>include</w:t>
      </w:r>
      <w:r>
        <w:rPr>
          <w:spacing w:val="-4"/>
        </w:rPr>
        <w:t xml:space="preserve"> </w:t>
      </w:r>
      <w:r>
        <w:t>all</w:t>
      </w:r>
      <w:r>
        <w:rPr>
          <w:spacing w:val="-3"/>
        </w:rPr>
        <w:t xml:space="preserve"> </w:t>
      </w:r>
      <w:r>
        <w:t>beneficiaries—(that is, it must include ESRD and hospice and out-of-area and all other enrollees).</w:t>
      </w:r>
    </w:p>
    <w:p>
      <w:pPr>
        <w:pStyle w:val="BodyText"/>
        <w:spacing w:before="120"/>
        <w:ind w:right="1481"/>
      </w:pPr>
      <w:r>
        <w:t>Section</w:t>
      </w:r>
      <w:r>
        <w:rPr>
          <w:spacing w:val="-3"/>
        </w:rPr>
        <w:t xml:space="preserve"> </w:t>
      </w:r>
      <w:r>
        <w:t>V</w:t>
      </w:r>
      <w:r>
        <w:rPr>
          <w:spacing w:val="-4"/>
        </w:rPr>
        <w:t xml:space="preserve"> </w:t>
      </w:r>
      <w:r>
        <w:t>must</w:t>
      </w:r>
      <w:r>
        <w:rPr>
          <w:spacing w:val="-2"/>
        </w:rPr>
        <w:t xml:space="preserve"> </w:t>
      </w:r>
      <w:r>
        <w:t>not</w:t>
      </w:r>
      <w:r>
        <w:rPr>
          <w:spacing w:val="-3"/>
        </w:rPr>
        <w:t xml:space="preserve"> </w:t>
      </w:r>
      <w:r>
        <w:t>include</w:t>
      </w:r>
      <w:r>
        <w:rPr>
          <w:spacing w:val="-4"/>
        </w:rPr>
        <w:t xml:space="preserve"> </w:t>
      </w:r>
      <w:r>
        <w:t>amounts</w:t>
      </w:r>
      <w:r>
        <w:rPr>
          <w:spacing w:val="-4"/>
        </w:rPr>
        <w:t xml:space="preserve"> </w:t>
      </w:r>
      <w:r>
        <w:t>that</w:t>
      </w:r>
      <w:r>
        <w:rPr>
          <w:spacing w:val="-3"/>
        </w:rPr>
        <w:t xml:space="preserve"> </w:t>
      </w:r>
      <w:r>
        <w:t>are</w:t>
      </w:r>
      <w:r>
        <w:rPr>
          <w:spacing w:val="-3"/>
        </w:rPr>
        <w:t xml:space="preserve"> </w:t>
      </w:r>
      <w:r>
        <w:t>entered</w:t>
      </w:r>
      <w:r>
        <w:rPr>
          <w:spacing w:val="-3"/>
        </w:rPr>
        <w:t xml:space="preserve"> </w:t>
      </w:r>
      <w:r>
        <w:t>in</w:t>
      </w:r>
      <w:r>
        <w:rPr>
          <w:spacing w:val="-3"/>
        </w:rPr>
        <w:t xml:space="preserve"> </w:t>
      </w:r>
      <w:r>
        <w:t>Worksheet</w:t>
      </w:r>
      <w:r>
        <w:rPr>
          <w:spacing w:val="-3"/>
        </w:rPr>
        <w:t xml:space="preserve"> </w:t>
      </w:r>
      <w:r>
        <w:t>1</w:t>
      </w:r>
      <w:r>
        <w:rPr>
          <w:spacing w:val="-3"/>
        </w:rPr>
        <w:t xml:space="preserve"> </w:t>
      </w:r>
      <w:r>
        <w:t>of</w:t>
      </w:r>
      <w:r>
        <w:rPr>
          <w:spacing w:val="-3"/>
        </w:rPr>
        <w:t xml:space="preserve"> </w:t>
      </w:r>
      <w:r>
        <w:t>the Part</w:t>
      </w:r>
      <w:r>
        <w:rPr>
          <w:spacing w:val="-3"/>
        </w:rPr>
        <w:t xml:space="preserve"> </w:t>
      </w:r>
      <w:r>
        <w:t>D</w:t>
      </w:r>
      <w:r>
        <w:rPr>
          <w:spacing w:val="-4"/>
        </w:rPr>
        <w:t xml:space="preserve"> </w:t>
      </w:r>
      <w:r>
        <w:t>BPT.</w:t>
      </w:r>
      <w:r>
        <w:rPr>
          <w:spacing w:val="-3"/>
        </w:rPr>
        <w:t xml:space="preserve"> </w:t>
      </w:r>
      <w:r>
        <w:t>(For example, do not include MA rebates applied to Part D premiums.)</w:t>
      </w:r>
    </w:p>
    <w:p>
      <w:pPr>
        <w:pStyle w:val="BodyText"/>
        <w:spacing w:before="120"/>
      </w:pPr>
      <w:r>
        <w:t>Section</w:t>
      </w:r>
      <w:r>
        <w:rPr>
          <w:spacing w:val="-1"/>
        </w:rPr>
        <w:t xml:space="preserve"> </w:t>
      </w:r>
      <w:r>
        <w:t>V</w:t>
      </w:r>
      <w:r>
        <w:rPr>
          <w:spacing w:val="-2"/>
        </w:rPr>
        <w:t xml:space="preserve"> </w:t>
      </w:r>
      <w:r>
        <w:t>must</w:t>
      </w:r>
      <w:r>
        <w:rPr>
          <w:spacing w:val="-1"/>
        </w:rPr>
        <w:t xml:space="preserve"> </w:t>
      </w:r>
      <w:r>
        <w:t>not</w:t>
      </w:r>
      <w:r>
        <w:rPr>
          <w:spacing w:val="-1"/>
        </w:rPr>
        <w:t xml:space="preserve"> </w:t>
      </w:r>
      <w:r>
        <w:t>include</w:t>
      </w:r>
      <w:r>
        <w:rPr>
          <w:spacing w:val="-1"/>
        </w:rPr>
        <w:t xml:space="preserve"> </w:t>
      </w:r>
      <w:r>
        <w:t>optional</w:t>
      </w:r>
      <w:r>
        <w:rPr>
          <w:spacing w:val="-1"/>
        </w:rPr>
        <w:t xml:space="preserve"> </w:t>
      </w:r>
      <w:r>
        <w:t>supplemental</w:t>
      </w:r>
      <w:r>
        <w:rPr>
          <w:spacing w:val="-1"/>
        </w:rPr>
        <w:t xml:space="preserve"> </w:t>
      </w:r>
      <w:r>
        <w:rPr>
          <w:spacing w:val="-2"/>
        </w:rPr>
        <w:t>benefits.</w:t>
      </w:r>
    </w:p>
    <w:p>
      <w:pPr>
        <w:pStyle w:val="BodyText"/>
        <w:spacing w:before="120"/>
        <w:ind w:right="1443"/>
      </w:pPr>
      <w:r>
        <w:t>The</w:t>
      </w:r>
      <w:r>
        <w:rPr>
          <w:spacing w:val="-5"/>
        </w:rPr>
        <w:t xml:space="preserve"> </w:t>
      </w:r>
      <w:r>
        <w:t>values</w:t>
      </w:r>
      <w:r>
        <w:rPr>
          <w:spacing w:val="-4"/>
        </w:rPr>
        <w:t xml:space="preserve"> </w:t>
      </w:r>
      <w:r>
        <w:t>in</w:t>
      </w:r>
      <w:r>
        <w:rPr>
          <w:spacing w:val="-3"/>
        </w:rPr>
        <w:t xml:space="preserve"> </w:t>
      </w:r>
      <w:r>
        <w:t>the</w:t>
      </w:r>
      <w:r>
        <w:rPr>
          <w:spacing w:val="-4"/>
        </w:rPr>
        <w:t xml:space="preserve"> </w:t>
      </w:r>
      <w:r>
        <w:t>hospice</w:t>
      </w:r>
      <w:r>
        <w:rPr>
          <w:spacing w:val="-2"/>
        </w:rPr>
        <w:t xml:space="preserve"> </w:t>
      </w:r>
      <w:r>
        <w:t>category</w:t>
      </w:r>
      <w:r>
        <w:rPr>
          <w:spacing w:val="-3"/>
        </w:rPr>
        <w:t xml:space="preserve"> </w:t>
      </w:r>
      <w:r>
        <w:t>should</w:t>
      </w:r>
      <w:r>
        <w:rPr>
          <w:spacing w:val="-3"/>
        </w:rPr>
        <w:t xml:space="preserve"> </w:t>
      </w:r>
      <w:r>
        <w:t>reflect</w:t>
      </w:r>
      <w:r>
        <w:rPr>
          <w:spacing w:val="-3"/>
        </w:rPr>
        <w:t xml:space="preserve"> </w:t>
      </w:r>
      <w:r>
        <w:t>only</w:t>
      </w:r>
      <w:r>
        <w:rPr>
          <w:spacing w:val="-3"/>
        </w:rPr>
        <w:t xml:space="preserve"> </w:t>
      </w:r>
      <w:r>
        <w:t>the</w:t>
      </w:r>
      <w:r>
        <w:rPr>
          <w:spacing w:val="-3"/>
        </w:rPr>
        <w:t xml:space="preserve"> </w:t>
      </w:r>
      <w:r>
        <w:t>experience</w:t>
      </w:r>
      <w:r>
        <w:rPr>
          <w:spacing w:val="-4"/>
        </w:rPr>
        <w:t xml:space="preserve"> </w:t>
      </w:r>
      <w:r>
        <w:t>incurred</w:t>
      </w:r>
      <w:r>
        <w:rPr>
          <w:spacing w:val="-3"/>
        </w:rPr>
        <w:t xml:space="preserve"> </w:t>
      </w:r>
      <w:r>
        <w:t>during</w:t>
      </w:r>
      <w:r>
        <w:rPr>
          <w:spacing w:val="-3"/>
        </w:rPr>
        <w:t xml:space="preserve"> </w:t>
      </w:r>
      <w:r>
        <w:t>the</w:t>
      </w:r>
      <w:r>
        <w:rPr>
          <w:spacing w:val="-4"/>
        </w:rPr>
        <w:t xml:space="preserve"> </w:t>
      </w:r>
      <w:r>
        <w:t>period enrollees are in hospice status.</w:t>
      </w:r>
    </w:p>
    <w:p>
      <w:pPr>
        <w:pStyle w:val="BodyText"/>
        <w:spacing w:before="120"/>
      </w:pPr>
      <w:r>
        <w:t>This</w:t>
      </w:r>
      <w:r>
        <w:rPr>
          <w:spacing w:val="-3"/>
        </w:rPr>
        <w:t xml:space="preserve"> </w:t>
      </w:r>
      <w:r>
        <w:t>section</w:t>
      </w:r>
      <w:r>
        <w:rPr>
          <w:spacing w:val="-1"/>
        </w:rPr>
        <w:t xml:space="preserve"> </w:t>
      </w:r>
      <w:r>
        <w:t>must</w:t>
      </w:r>
      <w:r>
        <w:rPr>
          <w:spacing w:val="-2"/>
        </w:rPr>
        <w:t xml:space="preserve"> </w:t>
      </w:r>
      <w:r>
        <w:t>not</w:t>
      </w:r>
      <w:r>
        <w:rPr>
          <w:spacing w:val="-1"/>
        </w:rPr>
        <w:t xml:space="preserve"> </w:t>
      </w:r>
      <w:r>
        <w:t>be</w:t>
      </w:r>
      <w:r>
        <w:rPr>
          <w:spacing w:val="-3"/>
        </w:rPr>
        <w:t xml:space="preserve"> </w:t>
      </w:r>
      <w:r>
        <w:t>left</w:t>
      </w:r>
      <w:r>
        <w:rPr>
          <w:spacing w:val="-1"/>
        </w:rPr>
        <w:t xml:space="preserve"> </w:t>
      </w:r>
      <w:r>
        <w:rPr>
          <w:spacing w:val="-2"/>
        </w:rPr>
        <w:t>blank.</w:t>
      </w:r>
    </w:p>
    <w:p>
      <w:pPr>
        <w:pStyle w:val="BodyText"/>
        <w:spacing w:after="0"/>
        <w:sectPr>
          <w:pgSz w:w="12240" w:h="15840"/>
          <w:pgMar w:top="960" w:right="0" w:bottom="940" w:left="1080" w:header="727" w:footer="747"/>
          <w:cols w:space="720"/>
        </w:sectPr>
      </w:pPr>
    </w:p>
    <w:p>
      <w:pPr>
        <w:pStyle w:val="BodyText"/>
        <w:spacing w:before="225"/>
        <w:ind w:left="0"/>
        <w:rPr>
          <w:sz w:val="21"/>
        </w:rPr>
      </w:pPr>
    </w:p>
    <w:p>
      <w:pPr>
        <w:spacing w:before="0"/>
        <w:ind w:left="504" w:right="0" w:firstLine="0"/>
        <w:jc w:val="left"/>
        <w:rPr>
          <w:rFonts w:ascii="Arial" w:hAnsi="Arial"/>
          <w:b/>
          <w:sz w:val="21"/>
        </w:rPr>
      </w:pPr>
      <w:bookmarkStart w:id="155" w:name="Line 1 – CMS Revenue"/>
      <w:bookmarkEnd w:id="155"/>
      <w:r>
        <w:rPr>
          <w:rFonts w:ascii="Arial" w:hAnsi="Arial"/>
          <w:b/>
          <w:sz w:val="21"/>
        </w:rPr>
        <w:t>Line</w:t>
      </w:r>
      <w:r>
        <w:rPr>
          <w:rFonts w:ascii="Arial" w:hAnsi="Arial"/>
          <w:b/>
          <w:spacing w:val="-3"/>
          <w:sz w:val="21"/>
        </w:rPr>
        <w:t xml:space="preserve"> </w:t>
      </w:r>
      <w:r>
        <w:rPr>
          <w:rFonts w:ascii="Arial" w:hAnsi="Arial"/>
          <w:b/>
          <w:sz w:val="21"/>
        </w:rPr>
        <w:t>1</w:t>
      </w:r>
      <w:r>
        <w:rPr>
          <w:rFonts w:ascii="Arial" w:hAnsi="Arial"/>
          <w:b/>
          <w:spacing w:val="-2"/>
          <w:sz w:val="21"/>
        </w:rPr>
        <w:t xml:space="preserve"> </w:t>
      </w:r>
      <w:r>
        <w:rPr>
          <w:rFonts w:ascii="Arial" w:hAnsi="Arial"/>
          <w:b/>
          <w:sz w:val="21"/>
        </w:rPr>
        <w:t>–</w:t>
      </w:r>
      <w:r>
        <w:rPr>
          <w:rFonts w:ascii="Arial" w:hAnsi="Arial"/>
          <w:b/>
          <w:spacing w:val="-4"/>
          <w:sz w:val="21"/>
        </w:rPr>
        <w:t xml:space="preserve"> </w:t>
      </w:r>
      <w:r>
        <w:rPr>
          <w:rFonts w:ascii="Arial" w:hAnsi="Arial"/>
          <w:b/>
          <w:sz w:val="21"/>
        </w:rPr>
        <w:t>CMS</w:t>
      </w:r>
      <w:r>
        <w:rPr>
          <w:rFonts w:ascii="Arial" w:hAnsi="Arial"/>
          <w:b/>
          <w:spacing w:val="-3"/>
          <w:sz w:val="21"/>
        </w:rPr>
        <w:t xml:space="preserve"> </w:t>
      </w:r>
      <w:r>
        <w:rPr>
          <w:rFonts w:ascii="Arial" w:hAnsi="Arial"/>
          <w:b/>
          <w:spacing w:val="-2"/>
          <w:sz w:val="21"/>
        </w:rPr>
        <w:t>Revenue</w:t>
      </w:r>
    </w:p>
    <w:p>
      <w:pPr>
        <w:pStyle w:val="BodyText"/>
        <w:spacing w:before="120"/>
        <w:ind w:right="1960"/>
      </w:pPr>
      <w:r>
        <w:t>This</w:t>
      </w:r>
      <w:r>
        <w:rPr>
          <w:spacing w:val="-4"/>
        </w:rPr>
        <w:t xml:space="preserve"> </w:t>
      </w:r>
      <w:r>
        <w:t>field</w:t>
      </w:r>
      <w:r>
        <w:rPr>
          <w:spacing w:val="-3"/>
        </w:rPr>
        <w:t xml:space="preserve"> </w:t>
      </w:r>
      <w:r>
        <w:t>captures</w:t>
      </w:r>
      <w:r>
        <w:rPr>
          <w:spacing w:val="-3"/>
        </w:rPr>
        <w:t xml:space="preserve"> </w:t>
      </w:r>
      <w:r>
        <w:t>MA</w:t>
      </w:r>
      <w:r>
        <w:rPr>
          <w:spacing w:val="-2"/>
        </w:rPr>
        <w:t xml:space="preserve"> </w:t>
      </w:r>
      <w:r>
        <w:t>revenue</w:t>
      </w:r>
      <w:r>
        <w:rPr>
          <w:spacing w:val="-3"/>
        </w:rPr>
        <w:t xml:space="preserve"> </w:t>
      </w:r>
      <w:r>
        <w:t>from</w:t>
      </w:r>
      <w:r>
        <w:rPr>
          <w:spacing w:val="-4"/>
        </w:rPr>
        <w:t xml:space="preserve"> </w:t>
      </w:r>
      <w:r>
        <w:t>CMS</w:t>
      </w:r>
      <w:r>
        <w:rPr>
          <w:spacing w:val="-2"/>
        </w:rPr>
        <w:t xml:space="preserve"> </w:t>
      </w:r>
      <w:r>
        <w:t>earned</w:t>
      </w:r>
      <w:r>
        <w:rPr>
          <w:spacing w:val="-3"/>
        </w:rPr>
        <w:t xml:space="preserve"> </w:t>
      </w:r>
      <w:r>
        <w:t>in</w:t>
      </w:r>
      <w:r>
        <w:rPr>
          <w:spacing w:val="-2"/>
        </w:rPr>
        <w:t xml:space="preserve"> </w:t>
      </w:r>
      <w:r>
        <w:t>the</w:t>
      </w:r>
      <w:r>
        <w:rPr>
          <w:spacing w:val="-3"/>
        </w:rPr>
        <w:t xml:space="preserve"> </w:t>
      </w:r>
      <w:r>
        <w:t>base</w:t>
      </w:r>
      <w:r>
        <w:rPr>
          <w:spacing w:val="-4"/>
        </w:rPr>
        <w:t xml:space="preserve"> </w:t>
      </w:r>
      <w:r>
        <w:t>period</w:t>
      </w:r>
      <w:r>
        <w:rPr>
          <w:spacing w:val="-4"/>
        </w:rPr>
        <w:t xml:space="preserve"> </w:t>
      </w:r>
      <w:r>
        <w:t>in</w:t>
      </w:r>
      <w:r>
        <w:rPr>
          <w:spacing w:val="-3"/>
        </w:rPr>
        <w:t xml:space="preserve"> </w:t>
      </w:r>
      <w:r>
        <w:t>total</w:t>
      </w:r>
      <w:r>
        <w:rPr>
          <w:spacing w:val="-3"/>
        </w:rPr>
        <w:t xml:space="preserve"> </w:t>
      </w:r>
      <w:r>
        <w:t>dollars.</w:t>
      </w:r>
      <w:r>
        <w:rPr>
          <w:spacing w:val="-3"/>
        </w:rPr>
        <w:t xml:space="preserve"> </w:t>
      </w:r>
      <w:r>
        <w:t>Enter bid-based MA payments and accruals from CMS.</w:t>
      </w:r>
    </w:p>
    <w:p>
      <w:pPr>
        <w:pStyle w:val="ListParagraph"/>
        <w:numPr>
          <w:ilvl w:val="1"/>
          <w:numId w:val="43"/>
        </w:numPr>
        <w:tabs>
          <w:tab w:val="left" w:pos="1584"/>
        </w:tabs>
        <w:spacing w:before="121" w:after="0" w:line="240" w:lineRule="auto"/>
        <w:ind w:left="1584" w:right="2017" w:hanging="360"/>
        <w:jc w:val="left"/>
        <w:rPr>
          <w:sz w:val="24"/>
        </w:rPr>
      </w:pPr>
      <w:r>
        <w:rPr>
          <w:sz w:val="24"/>
        </w:rPr>
        <w:t>Include</w:t>
      </w:r>
      <w:r>
        <w:rPr>
          <w:spacing w:val="-4"/>
          <w:sz w:val="24"/>
        </w:rPr>
        <w:t xml:space="preserve"> </w:t>
      </w:r>
      <w:r>
        <w:rPr>
          <w:sz w:val="24"/>
        </w:rPr>
        <w:t>rebates</w:t>
      </w:r>
      <w:r>
        <w:rPr>
          <w:spacing w:val="-4"/>
          <w:sz w:val="24"/>
        </w:rPr>
        <w:t xml:space="preserve"> </w:t>
      </w:r>
      <w:r>
        <w:rPr>
          <w:sz w:val="24"/>
        </w:rPr>
        <w:t>for</w:t>
      </w:r>
      <w:r>
        <w:rPr>
          <w:spacing w:val="-3"/>
          <w:sz w:val="24"/>
        </w:rPr>
        <w:t xml:space="preserve"> </w:t>
      </w:r>
      <w:r>
        <w:rPr>
          <w:sz w:val="24"/>
        </w:rPr>
        <w:t>the</w:t>
      </w:r>
      <w:r>
        <w:rPr>
          <w:spacing w:val="-5"/>
          <w:sz w:val="24"/>
        </w:rPr>
        <w:t xml:space="preserve"> </w:t>
      </w:r>
      <w:r>
        <w:rPr>
          <w:sz w:val="24"/>
        </w:rPr>
        <w:t>reduction</w:t>
      </w:r>
      <w:r>
        <w:rPr>
          <w:spacing w:val="-3"/>
          <w:sz w:val="24"/>
        </w:rPr>
        <w:t xml:space="preserve"> </w:t>
      </w:r>
      <w:r>
        <w:rPr>
          <w:sz w:val="24"/>
        </w:rPr>
        <w:t>of</w:t>
      </w:r>
      <w:r>
        <w:rPr>
          <w:spacing w:val="-4"/>
          <w:sz w:val="24"/>
        </w:rPr>
        <w:t xml:space="preserve"> </w:t>
      </w:r>
      <w:r>
        <w:rPr>
          <w:sz w:val="24"/>
        </w:rPr>
        <w:t>A/B</w:t>
      </w:r>
      <w:r>
        <w:rPr>
          <w:spacing w:val="-3"/>
          <w:sz w:val="24"/>
        </w:rPr>
        <w:t xml:space="preserve"> </w:t>
      </w:r>
      <w:r>
        <w:rPr>
          <w:sz w:val="24"/>
        </w:rPr>
        <w:t>cost</w:t>
      </w:r>
      <w:r>
        <w:rPr>
          <w:spacing w:val="-3"/>
          <w:sz w:val="24"/>
        </w:rPr>
        <w:t xml:space="preserve"> </w:t>
      </w:r>
      <w:r>
        <w:rPr>
          <w:sz w:val="24"/>
        </w:rPr>
        <w:t>sharing</w:t>
      </w:r>
      <w:r>
        <w:rPr>
          <w:spacing w:val="-3"/>
          <w:sz w:val="24"/>
        </w:rPr>
        <w:t xml:space="preserve"> </w:t>
      </w:r>
      <w:r>
        <w:rPr>
          <w:sz w:val="24"/>
        </w:rPr>
        <w:t>and</w:t>
      </w:r>
      <w:r>
        <w:rPr>
          <w:spacing w:val="-3"/>
          <w:sz w:val="24"/>
        </w:rPr>
        <w:t xml:space="preserve"> </w:t>
      </w:r>
      <w:r>
        <w:rPr>
          <w:sz w:val="24"/>
        </w:rPr>
        <w:t>other</w:t>
      </w:r>
      <w:r>
        <w:rPr>
          <w:spacing w:val="-5"/>
          <w:sz w:val="24"/>
        </w:rPr>
        <w:t xml:space="preserve"> </w:t>
      </w:r>
      <w:r>
        <w:rPr>
          <w:sz w:val="24"/>
        </w:rPr>
        <w:t>A/B</w:t>
      </w:r>
      <w:r>
        <w:rPr>
          <w:spacing w:val="-3"/>
          <w:sz w:val="24"/>
        </w:rPr>
        <w:t xml:space="preserve"> </w:t>
      </w:r>
      <w:r>
        <w:rPr>
          <w:sz w:val="24"/>
        </w:rPr>
        <w:t>mandatory supplemental benefits.</w:t>
      </w:r>
    </w:p>
    <w:p>
      <w:pPr>
        <w:pStyle w:val="ListParagraph"/>
        <w:numPr>
          <w:ilvl w:val="1"/>
          <w:numId w:val="43"/>
        </w:numPr>
        <w:tabs>
          <w:tab w:val="left" w:pos="1584"/>
        </w:tabs>
        <w:spacing w:before="0" w:after="0" w:line="240" w:lineRule="auto"/>
        <w:ind w:left="1584" w:right="1498" w:hanging="360"/>
        <w:jc w:val="left"/>
        <w:rPr>
          <w:sz w:val="24"/>
        </w:rPr>
      </w:pPr>
      <w:r>
        <w:rPr>
          <w:sz w:val="24"/>
        </w:rPr>
        <w:t>Include</w:t>
      </w:r>
      <w:r>
        <w:rPr>
          <w:spacing w:val="-4"/>
          <w:sz w:val="24"/>
        </w:rPr>
        <w:t xml:space="preserve"> </w:t>
      </w:r>
      <w:r>
        <w:rPr>
          <w:sz w:val="24"/>
        </w:rPr>
        <w:t>an</w:t>
      </w:r>
      <w:r>
        <w:rPr>
          <w:spacing w:val="-2"/>
          <w:sz w:val="24"/>
        </w:rPr>
        <w:t xml:space="preserve"> </w:t>
      </w:r>
      <w:r>
        <w:rPr>
          <w:sz w:val="24"/>
        </w:rPr>
        <w:t>estimate</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final</w:t>
      </w:r>
      <w:r>
        <w:rPr>
          <w:spacing w:val="-4"/>
          <w:sz w:val="24"/>
        </w:rPr>
        <w:t xml:space="preserve"> </w:t>
      </w:r>
      <w:r>
        <w:rPr>
          <w:sz w:val="24"/>
        </w:rPr>
        <w:t>risk-adjustment</w:t>
      </w:r>
      <w:r>
        <w:rPr>
          <w:spacing w:val="-4"/>
          <w:sz w:val="24"/>
        </w:rPr>
        <w:t xml:space="preserve"> </w:t>
      </w:r>
      <w:r>
        <w:rPr>
          <w:sz w:val="24"/>
        </w:rPr>
        <w:t>reconciliation</w:t>
      </w:r>
      <w:r>
        <w:rPr>
          <w:spacing w:val="-4"/>
          <w:sz w:val="24"/>
        </w:rPr>
        <w:t xml:space="preserve"> </w:t>
      </w:r>
      <w:r>
        <w:rPr>
          <w:sz w:val="24"/>
        </w:rPr>
        <w:t>payment</w:t>
      </w:r>
      <w:r>
        <w:rPr>
          <w:spacing w:val="-4"/>
          <w:sz w:val="24"/>
        </w:rPr>
        <w:t xml:space="preserve"> </w:t>
      </w:r>
      <w:r>
        <w:rPr>
          <w:sz w:val="24"/>
        </w:rPr>
        <w:t>for</w:t>
      </w:r>
      <w:r>
        <w:rPr>
          <w:spacing w:val="-1"/>
          <w:sz w:val="24"/>
        </w:rPr>
        <w:t xml:space="preserve"> </w:t>
      </w:r>
      <w:r>
        <w:rPr>
          <w:sz w:val="24"/>
        </w:rPr>
        <w:t>CY2025, which will be received in 2026.</w:t>
      </w:r>
    </w:p>
    <w:p>
      <w:pPr>
        <w:pStyle w:val="ListParagraph"/>
        <w:numPr>
          <w:ilvl w:val="1"/>
          <w:numId w:val="43"/>
        </w:numPr>
        <w:tabs>
          <w:tab w:val="left" w:pos="1584"/>
        </w:tabs>
        <w:spacing w:before="0" w:after="0" w:line="240" w:lineRule="auto"/>
        <w:ind w:left="1584" w:right="0" w:hanging="360"/>
        <w:jc w:val="left"/>
        <w:rPr>
          <w:sz w:val="24"/>
        </w:rPr>
      </w:pPr>
      <w:r>
        <w:rPr>
          <w:sz w:val="24"/>
        </w:rPr>
        <w:t>Do</w:t>
      </w:r>
      <w:r>
        <w:rPr>
          <w:spacing w:val="-1"/>
          <w:sz w:val="24"/>
        </w:rPr>
        <w:t xml:space="preserve"> </w:t>
      </w:r>
      <w:r>
        <w:rPr>
          <w:sz w:val="24"/>
        </w:rPr>
        <w:t>not</w:t>
      </w:r>
      <w:r>
        <w:rPr>
          <w:spacing w:val="-1"/>
          <w:sz w:val="24"/>
        </w:rPr>
        <w:t xml:space="preserve"> </w:t>
      </w:r>
      <w:r>
        <w:rPr>
          <w:sz w:val="24"/>
        </w:rPr>
        <w:t>include</w:t>
      </w:r>
      <w:r>
        <w:rPr>
          <w:spacing w:val="-2"/>
          <w:sz w:val="24"/>
        </w:rPr>
        <w:t xml:space="preserve"> </w:t>
      </w:r>
      <w:r>
        <w:rPr>
          <w:sz w:val="24"/>
        </w:rPr>
        <w:t>rebates</w:t>
      </w:r>
      <w:r>
        <w:rPr>
          <w:spacing w:val="-1"/>
          <w:sz w:val="24"/>
        </w:rPr>
        <w:t xml:space="preserve"> </w:t>
      </w:r>
      <w:r>
        <w:rPr>
          <w:sz w:val="24"/>
        </w:rPr>
        <w:t>applied</w:t>
      </w:r>
      <w:r>
        <w:rPr>
          <w:spacing w:val="-1"/>
          <w:sz w:val="24"/>
        </w:rPr>
        <w:t xml:space="preserve"> </w:t>
      </w:r>
      <w:r>
        <w:rPr>
          <w:sz w:val="24"/>
        </w:rPr>
        <w:t>to</w:t>
      </w:r>
      <w:r>
        <w:rPr>
          <w:spacing w:val="-1"/>
          <w:sz w:val="24"/>
        </w:rPr>
        <w:t xml:space="preserve"> </w:t>
      </w:r>
      <w:r>
        <w:rPr>
          <w:sz w:val="24"/>
        </w:rPr>
        <w:t>Parts</w:t>
      </w:r>
      <w:r>
        <w:rPr>
          <w:spacing w:val="-2"/>
          <w:sz w:val="24"/>
        </w:rPr>
        <w:t xml:space="preserve"> </w:t>
      </w:r>
      <w:r>
        <w:rPr>
          <w:sz w:val="24"/>
        </w:rPr>
        <w:t>B and</w:t>
      </w:r>
      <w:r>
        <w:rPr>
          <w:spacing w:val="-1"/>
          <w:sz w:val="24"/>
        </w:rPr>
        <w:t xml:space="preserve"> </w:t>
      </w:r>
      <w:r>
        <w:rPr>
          <w:sz w:val="24"/>
        </w:rPr>
        <w:t>D</w:t>
      </w:r>
      <w:r>
        <w:rPr>
          <w:spacing w:val="-2"/>
          <w:sz w:val="24"/>
        </w:rPr>
        <w:t xml:space="preserve"> </w:t>
      </w:r>
      <w:r>
        <w:rPr>
          <w:sz w:val="24"/>
        </w:rPr>
        <w:t xml:space="preserve">premium </w:t>
      </w:r>
      <w:r>
        <w:rPr>
          <w:spacing w:val="-2"/>
          <w:sz w:val="24"/>
        </w:rPr>
        <w:t>buydowns.</w:t>
      </w:r>
    </w:p>
    <w:p>
      <w:pPr>
        <w:pStyle w:val="ListParagraph"/>
        <w:numPr>
          <w:ilvl w:val="1"/>
          <w:numId w:val="43"/>
        </w:numPr>
        <w:tabs>
          <w:tab w:val="left" w:pos="1584"/>
        </w:tabs>
        <w:spacing w:before="0" w:after="0" w:line="240" w:lineRule="auto"/>
        <w:ind w:left="1584" w:right="2041" w:hanging="360"/>
        <w:jc w:val="left"/>
        <w:rPr>
          <w:sz w:val="24"/>
        </w:rPr>
      </w:pPr>
      <w:r>
        <w:rPr>
          <w:sz w:val="24"/>
        </w:rPr>
        <w:t>Report</w:t>
      </w:r>
      <w:r>
        <w:rPr>
          <w:spacing w:val="-3"/>
          <w:sz w:val="24"/>
        </w:rPr>
        <w:t xml:space="preserve"> </w:t>
      </w:r>
      <w:r>
        <w:rPr>
          <w:sz w:val="24"/>
        </w:rPr>
        <w:t>the</w:t>
      </w:r>
      <w:r>
        <w:rPr>
          <w:spacing w:val="-3"/>
          <w:sz w:val="24"/>
        </w:rPr>
        <w:t xml:space="preserve"> </w:t>
      </w:r>
      <w:r>
        <w:rPr>
          <w:sz w:val="24"/>
        </w:rPr>
        <w:t>CMS</w:t>
      </w:r>
      <w:r>
        <w:rPr>
          <w:spacing w:val="-3"/>
          <w:sz w:val="24"/>
        </w:rPr>
        <w:t xml:space="preserve"> </w:t>
      </w:r>
      <w:r>
        <w:rPr>
          <w:sz w:val="24"/>
        </w:rPr>
        <w:t>revenues</w:t>
      </w:r>
      <w:r>
        <w:rPr>
          <w:spacing w:val="-4"/>
          <w:sz w:val="24"/>
        </w:rPr>
        <w:t xml:space="preserve"> </w:t>
      </w:r>
      <w:r>
        <w:rPr>
          <w:sz w:val="24"/>
        </w:rPr>
        <w:t>gross</w:t>
      </w:r>
      <w:r>
        <w:rPr>
          <w:spacing w:val="-4"/>
          <w:sz w:val="24"/>
        </w:rPr>
        <w:t xml:space="preserve"> </w:t>
      </w:r>
      <w:r>
        <w:rPr>
          <w:sz w:val="24"/>
        </w:rPr>
        <w:t>of</w:t>
      </w:r>
      <w:r>
        <w:rPr>
          <w:spacing w:val="-3"/>
          <w:sz w:val="24"/>
        </w:rPr>
        <w:t xml:space="preserve"> </w:t>
      </w:r>
      <w:r>
        <w:rPr>
          <w:sz w:val="24"/>
        </w:rPr>
        <w:t>user</w:t>
      </w:r>
      <w:r>
        <w:rPr>
          <w:spacing w:val="-3"/>
          <w:sz w:val="24"/>
        </w:rPr>
        <w:t xml:space="preserve"> </w:t>
      </w:r>
      <w:r>
        <w:rPr>
          <w:sz w:val="24"/>
        </w:rPr>
        <w:t>fee</w:t>
      </w:r>
      <w:r>
        <w:rPr>
          <w:spacing w:val="-4"/>
          <w:sz w:val="24"/>
        </w:rPr>
        <w:t xml:space="preserve"> </w:t>
      </w:r>
      <w:r>
        <w:rPr>
          <w:sz w:val="24"/>
        </w:rPr>
        <w:t>reductions</w:t>
      </w:r>
      <w:r>
        <w:rPr>
          <w:spacing w:val="-2"/>
          <w:sz w:val="24"/>
        </w:rPr>
        <w:t xml:space="preserve"> </w:t>
      </w:r>
      <w:r>
        <w:rPr>
          <w:sz w:val="24"/>
        </w:rPr>
        <w:t>and</w:t>
      </w:r>
      <w:r>
        <w:rPr>
          <w:spacing w:val="-3"/>
          <w:sz w:val="24"/>
        </w:rPr>
        <w:t xml:space="preserve"> </w:t>
      </w:r>
      <w:r>
        <w:rPr>
          <w:sz w:val="24"/>
        </w:rPr>
        <w:t>net</w:t>
      </w:r>
      <w:r>
        <w:rPr>
          <w:spacing w:val="-3"/>
          <w:sz w:val="24"/>
        </w:rPr>
        <w:t xml:space="preserve"> </w:t>
      </w:r>
      <w:r>
        <w:rPr>
          <w:sz w:val="24"/>
        </w:rPr>
        <w:t>of</w:t>
      </w:r>
      <w:r>
        <w:rPr>
          <w:spacing w:val="-3"/>
          <w:sz w:val="24"/>
        </w:rPr>
        <w:t xml:space="preserve"> </w:t>
      </w:r>
      <w:r>
        <w:rPr>
          <w:sz w:val="24"/>
        </w:rPr>
        <w:t xml:space="preserve">sequestration </w:t>
      </w:r>
      <w:r>
        <w:rPr>
          <w:spacing w:val="-2"/>
          <w:sz w:val="24"/>
        </w:rPr>
        <w:t>reductions.</w:t>
      </w:r>
    </w:p>
    <w:p>
      <w:pPr>
        <w:pStyle w:val="BodyText"/>
        <w:spacing w:before="120"/>
        <w:ind w:right="1481"/>
      </w:pPr>
      <w:r>
        <w:t>In the first column, enter the amount applicable for ESRD enrollees. In the second column, enter the amount applicable for hospice enrollees. In the third column, enter the amount applicable</w:t>
      </w:r>
      <w:r>
        <w:rPr>
          <w:spacing w:val="-3"/>
        </w:rPr>
        <w:t xml:space="preserve"> </w:t>
      </w:r>
      <w:r>
        <w:t>to</w:t>
      </w:r>
      <w:r>
        <w:rPr>
          <w:spacing w:val="-3"/>
        </w:rPr>
        <w:t xml:space="preserve"> </w:t>
      </w:r>
      <w:r>
        <w:t>all</w:t>
      </w:r>
      <w:r>
        <w:rPr>
          <w:spacing w:val="-3"/>
        </w:rPr>
        <w:t xml:space="preserve"> </w:t>
      </w:r>
      <w:r>
        <w:t>other</w:t>
      </w:r>
      <w:r>
        <w:rPr>
          <w:spacing w:val="-3"/>
        </w:rPr>
        <w:t xml:space="preserve"> </w:t>
      </w:r>
      <w:r>
        <w:t>enrollees</w:t>
      </w:r>
      <w:r>
        <w:rPr>
          <w:spacing w:val="-2"/>
        </w:rPr>
        <w:t xml:space="preserve"> </w:t>
      </w:r>
      <w:r>
        <w:t>(including</w:t>
      </w:r>
      <w:r>
        <w:rPr>
          <w:spacing w:val="-3"/>
        </w:rPr>
        <w:t xml:space="preserve"> </w:t>
      </w:r>
      <w:r>
        <w:t>out-of-area</w:t>
      </w:r>
      <w:r>
        <w:rPr>
          <w:spacing w:val="-4"/>
        </w:rPr>
        <w:t xml:space="preserve"> </w:t>
      </w:r>
      <w:r>
        <w:t>members).</w:t>
      </w:r>
      <w:r>
        <w:rPr>
          <w:spacing w:val="-3"/>
        </w:rPr>
        <w:t xml:space="preserve"> </w:t>
      </w:r>
      <w:r>
        <w:t>The</w:t>
      </w:r>
      <w:r>
        <w:rPr>
          <w:spacing w:val="-4"/>
        </w:rPr>
        <w:t xml:space="preserve"> </w:t>
      </w:r>
      <w:r>
        <w:t>sum</w:t>
      </w:r>
      <w:r>
        <w:rPr>
          <w:spacing w:val="-3"/>
        </w:rPr>
        <w:t xml:space="preserve"> </w:t>
      </w:r>
      <w:r>
        <w:t>total</w:t>
      </w:r>
      <w:r>
        <w:rPr>
          <w:spacing w:val="-3"/>
        </w:rPr>
        <w:t xml:space="preserve"> </w:t>
      </w:r>
      <w:r>
        <w:t>is</w:t>
      </w:r>
      <w:r>
        <w:rPr>
          <w:spacing w:val="-3"/>
        </w:rPr>
        <w:t xml:space="preserve"> </w:t>
      </w:r>
      <w:r>
        <w:t>displayed</w:t>
      </w:r>
      <w:r>
        <w:rPr>
          <w:spacing w:val="-3"/>
        </w:rPr>
        <w:t xml:space="preserve"> </w:t>
      </w:r>
      <w:r>
        <w:t>in the fourth column. Values must be greater than or equal to zero.</w:t>
      </w:r>
    </w:p>
    <w:p>
      <w:pPr>
        <w:spacing w:before="239"/>
        <w:ind w:left="504" w:right="0" w:firstLine="0"/>
        <w:jc w:val="left"/>
        <w:rPr>
          <w:rFonts w:ascii="Arial" w:hAnsi="Arial"/>
          <w:b/>
          <w:sz w:val="21"/>
        </w:rPr>
      </w:pPr>
      <w:bookmarkStart w:id="156" w:name="Line 2 – Premium Revenue"/>
      <w:bookmarkEnd w:id="156"/>
      <w:r>
        <w:rPr>
          <w:rFonts w:ascii="Arial" w:hAnsi="Arial"/>
          <w:b/>
          <w:sz w:val="21"/>
        </w:rPr>
        <w:t>Line</w:t>
      </w:r>
      <w:r>
        <w:rPr>
          <w:rFonts w:ascii="Arial" w:hAnsi="Arial"/>
          <w:b/>
          <w:spacing w:val="-4"/>
          <w:sz w:val="21"/>
        </w:rPr>
        <w:t xml:space="preserve"> </w:t>
      </w:r>
      <w:r>
        <w:rPr>
          <w:rFonts w:ascii="Arial" w:hAnsi="Arial"/>
          <w:b/>
          <w:sz w:val="21"/>
        </w:rPr>
        <w:t>2</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Premium</w:t>
      </w:r>
      <w:r>
        <w:rPr>
          <w:rFonts w:ascii="Arial" w:hAnsi="Arial"/>
          <w:b/>
          <w:spacing w:val="-6"/>
          <w:sz w:val="21"/>
        </w:rPr>
        <w:t xml:space="preserve"> </w:t>
      </w:r>
      <w:r>
        <w:rPr>
          <w:rFonts w:ascii="Arial" w:hAnsi="Arial"/>
          <w:b/>
          <w:spacing w:val="-2"/>
          <w:sz w:val="21"/>
        </w:rPr>
        <w:t>Revenue</w:t>
      </w:r>
    </w:p>
    <w:p>
      <w:pPr>
        <w:pStyle w:val="BodyText"/>
        <w:spacing w:before="120"/>
        <w:ind w:right="1481"/>
      </w:pPr>
      <w:r>
        <w:t>Enter the revenue from earned MA premiums for the base period in total dollars. Include premiums</w:t>
      </w:r>
      <w:r>
        <w:rPr>
          <w:spacing w:val="-5"/>
        </w:rPr>
        <w:t xml:space="preserve"> </w:t>
      </w:r>
      <w:r>
        <w:t>associated</w:t>
      </w:r>
      <w:r>
        <w:rPr>
          <w:spacing w:val="-4"/>
        </w:rPr>
        <w:t xml:space="preserve"> </w:t>
      </w:r>
      <w:r>
        <w:t>with</w:t>
      </w:r>
      <w:r>
        <w:rPr>
          <w:spacing w:val="-4"/>
        </w:rPr>
        <w:t xml:space="preserve"> </w:t>
      </w:r>
      <w:r>
        <w:t>Medicare-covered</w:t>
      </w:r>
      <w:r>
        <w:rPr>
          <w:spacing w:val="-3"/>
        </w:rPr>
        <w:t xml:space="preserve"> </w:t>
      </w:r>
      <w:r>
        <w:t>and</w:t>
      </w:r>
      <w:r>
        <w:rPr>
          <w:spacing w:val="-3"/>
        </w:rPr>
        <w:t xml:space="preserve"> </w:t>
      </w:r>
      <w:r>
        <w:t>all</w:t>
      </w:r>
      <w:r>
        <w:rPr>
          <w:spacing w:val="-3"/>
        </w:rPr>
        <w:t xml:space="preserve"> </w:t>
      </w:r>
      <w:r>
        <w:t>A/B</w:t>
      </w:r>
      <w:r>
        <w:rPr>
          <w:spacing w:val="-4"/>
        </w:rPr>
        <w:t xml:space="preserve"> </w:t>
      </w:r>
      <w:r>
        <w:t>mandatory</w:t>
      </w:r>
      <w:r>
        <w:rPr>
          <w:spacing w:val="-4"/>
        </w:rPr>
        <w:t xml:space="preserve"> </w:t>
      </w:r>
      <w:r>
        <w:t>supplemental</w:t>
      </w:r>
      <w:r>
        <w:rPr>
          <w:spacing w:val="-4"/>
        </w:rPr>
        <w:t xml:space="preserve"> </w:t>
      </w:r>
      <w:r>
        <w:t>benefits.</w:t>
      </w:r>
      <w:r>
        <w:rPr>
          <w:spacing w:val="-4"/>
        </w:rPr>
        <w:t xml:space="preserve"> </w:t>
      </w:r>
      <w:r>
        <w:t>Do not include premiums for optional supplemental benefits. Do not include Part D premiums.</w:t>
      </w:r>
    </w:p>
    <w:p>
      <w:pPr>
        <w:pStyle w:val="BodyText"/>
        <w:spacing w:before="120"/>
        <w:ind w:right="1481"/>
      </w:pPr>
      <w:r>
        <w:t>In the first column, enter the amount applicable for ESRD enrollees. In the second column, enter the amount applicable for hospice enrollees. In the third column, enter the amount applicable</w:t>
      </w:r>
      <w:r>
        <w:rPr>
          <w:spacing w:val="-3"/>
        </w:rPr>
        <w:t xml:space="preserve"> </w:t>
      </w:r>
      <w:r>
        <w:t>to</w:t>
      </w:r>
      <w:r>
        <w:rPr>
          <w:spacing w:val="-3"/>
        </w:rPr>
        <w:t xml:space="preserve"> </w:t>
      </w:r>
      <w:r>
        <w:t>all</w:t>
      </w:r>
      <w:r>
        <w:rPr>
          <w:spacing w:val="-3"/>
        </w:rPr>
        <w:t xml:space="preserve"> </w:t>
      </w:r>
      <w:r>
        <w:t>other</w:t>
      </w:r>
      <w:r>
        <w:rPr>
          <w:spacing w:val="-3"/>
        </w:rPr>
        <w:t xml:space="preserve"> </w:t>
      </w:r>
      <w:r>
        <w:t>enrollees</w:t>
      </w:r>
      <w:r>
        <w:rPr>
          <w:spacing w:val="-2"/>
        </w:rPr>
        <w:t xml:space="preserve"> </w:t>
      </w:r>
      <w:r>
        <w:t>(including</w:t>
      </w:r>
      <w:r>
        <w:rPr>
          <w:spacing w:val="-3"/>
        </w:rPr>
        <w:t xml:space="preserve"> </w:t>
      </w:r>
      <w:r>
        <w:t>out-of-area</w:t>
      </w:r>
      <w:r>
        <w:rPr>
          <w:spacing w:val="-4"/>
        </w:rPr>
        <w:t xml:space="preserve"> </w:t>
      </w:r>
      <w:r>
        <w:t>members).</w:t>
      </w:r>
      <w:r>
        <w:rPr>
          <w:spacing w:val="-3"/>
        </w:rPr>
        <w:t xml:space="preserve"> </w:t>
      </w:r>
      <w:r>
        <w:t>The</w:t>
      </w:r>
      <w:r>
        <w:rPr>
          <w:spacing w:val="-4"/>
        </w:rPr>
        <w:t xml:space="preserve"> </w:t>
      </w:r>
      <w:r>
        <w:t>sum</w:t>
      </w:r>
      <w:r>
        <w:rPr>
          <w:spacing w:val="-3"/>
        </w:rPr>
        <w:t xml:space="preserve"> </w:t>
      </w:r>
      <w:r>
        <w:t>total</w:t>
      </w:r>
      <w:r>
        <w:rPr>
          <w:spacing w:val="-3"/>
        </w:rPr>
        <w:t xml:space="preserve"> </w:t>
      </w:r>
      <w:r>
        <w:t>is</w:t>
      </w:r>
      <w:r>
        <w:rPr>
          <w:spacing w:val="-3"/>
        </w:rPr>
        <w:t xml:space="preserve"> </w:t>
      </w:r>
      <w:r>
        <w:t>displayed</w:t>
      </w:r>
      <w:r>
        <w:rPr>
          <w:spacing w:val="-3"/>
        </w:rPr>
        <w:t xml:space="preserve"> </w:t>
      </w:r>
      <w:r>
        <w:t>in the fourth column. Values must be greater than or equal to zero.</w:t>
      </w:r>
    </w:p>
    <w:p>
      <w:pPr>
        <w:spacing w:before="241"/>
        <w:ind w:left="504" w:right="0" w:firstLine="0"/>
        <w:jc w:val="left"/>
        <w:rPr>
          <w:rFonts w:ascii="Arial" w:hAnsi="Arial"/>
          <w:b/>
          <w:sz w:val="21"/>
        </w:rPr>
      </w:pPr>
      <w:bookmarkStart w:id="157" w:name="Line 3 – Total Revenue"/>
      <w:bookmarkEnd w:id="157"/>
      <w:r>
        <w:rPr>
          <w:rFonts w:ascii="Arial" w:hAnsi="Arial"/>
          <w:b/>
          <w:sz w:val="21"/>
        </w:rPr>
        <w:t>Line</w:t>
      </w:r>
      <w:r>
        <w:rPr>
          <w:rFonts w:ascii="Arial" w:hAnsi="Arial"/>
          <w:b/>
          <w:spacing w:val="-3"/>
          <w:sz w:val="21"/>
        </w:rPr>
        <w:t xml:space="preserve"> </w:t>
      </w:r>
      <w:r>
        <w:rPr>
          <w:rFonts w:ascii="Arial" w:hAnsi="Arial"/>
          <w:b/>
          <w:sz w:val="21"/>
        </w:rPr>
        <w:t>3</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z w:val="21"/>
        </w:rPr>
        <w:t>Total</w:t>
      </w:r>
      <w:r>
        <w:rPr>
          <w:rFonts w:ascii="Arial" w:hAnsi="Arial"/>
          <w:b/>
          <w:spacing w:val="-3"/>
          <w:sz w:val="21"/>
        </w:rPr>
        <w:t xml:space="preserve"> </w:t>
      </w:r>
      <w:r>
        <w:rPr>
          <w:rFonts w:ascii="Arial" w:hAnsi="Arial"/>
          <w:b/>
          <w:spacing w:val="-2"/>
          <w:sz w:val="21"/>
        </w:rPr>
        <w:t>Revenue</w:t>
      </w:r>
    </w:p>
    <w:p>
      <w:pPr>
        <w:pStyle w:val="BodyText"/>
        <w:spacing w:before="120"/>
        <w:ind w:right="1481"/>
      </w:pPr>
      <w:r>
        <w:t>This</w:t>
      </w:r>
      <w:r>
        <w:rPr>
          <w:spacing w:val="-3"/>
        </w:rPr>
        <w:t xml:space="preserve"> </w:t>
      </w:r>
      <w:r>
        <w:t>line</w:t>
      </w:r>
      <w:r>
        <w:rPr>
          <w:spacing w:val="-2"/>
        </w:rPr>
        <w:t xml:space="preserve"> </w:t>
      </w:r>
      <w:r>
        <w:t>is</w:t>
      </w:r>
      <w:r>
        <w:rPr>
          <w:spacing w:val="-3"/>
        </w:rPr>
        <w:t xml:space="preserve"> </w:t>
      </w:r>
      <w:r>
        <w:t>calculated</w:t>
      </w:r>
      <w:r>
        <w:rPr>
          <w:spacing w:val="-2"/>
        </w:rPr>
        <w:t xml:space="preserve"> </w:t>
      </w:r>
      <w:r>
        <w:t>as</w:t>
      </w:r>
      <w:r>
        <w:rPr>
          <w:spacing w:val="-1"/>
        </w:rPr>
        <w:t xml:space="preserve"> </w:t>
      </w:r>
      <w:r>
        <w:t>the</w:t>
      </w:r>
      <w:r>
        <w:rPr>
          <w:spacing w:val="-2"/>
        </w:rPr>
        <w:t xml:space="preserve"> </w:t>
      </w:r>
      <w:r>
        <w:t>sum</w:t>
      </w:r>
      <w:r>
        <w:rPr>
          <w:spacing w:val="-2"/>
        </w:rPr>
        <w:t xml:space="preserve"> </w:t>
      </w:r>
      <w:r>
        <w:t>of</w:t>
      </w:r>
      <w:r>
        <w:rPr>
          <w:spacing w:val="-2"/>
        </w:rPr>
        <w:t xml:space="preserve"> </w:t>
      </w:r>
      <w:r>
        <w:t>lines</w:t>
      </w:r>
      <w:r>
        <w:rPr>
          <w:spacing w:val="-3"/>
        </w:rPr>
        <w:t xml:space="preserve"> </w:t>
      </w:r>
      <w:r>
        <w:t>1</w:t>
      </w:r>
      <w:r>
        <w:rPr>
          <w:spacing w:val="-2"/>
        </w:rPr>
        <w:t xml:space="preserve"> </w:t>
      </w:r>
      <w:r>
        <w:t>and</w:t>
      </w:r>
      <w:r>
        <w:rPr>
          <w:spacing w:val="-2"/>
        </w:rPr>
        <w:t xml:space="preserve"> </w:t>
      </w:r>
      <w:r>
        <w:t>2.</w:t>
      </w:r>
      <w:r>
        <w:rPr>
          <w:spacing w:val="-2"/>
        </w:rPr>
        <w:t xml:space="preserve"> </w:t>
      </w:r>
      <w:r>
        <w:t>If</w:t>
      </w:r>
      <w:r>
        <w:rPr>
          <w:spacing w:val="-2"/>
        </w:rPr>
        <w:t xml:space="preserve"> </w:t>
      </w:r>
      <w:r>
        <w:t>base</w:t>
      </w:r>
      <w:r>
        <w:rPr>
          <w:spacing w:val="-3"/>
        </w:rPr>
        <w:t xml:space="preserve"> </w:t>
      </w:r>
      <w:r>
        <w:t>period</w:t>
      </w:r>
      <w:r>
        <w:rPr>
          <w:spacing w:val="-2"/>
        </w:rPr>
        <w:t xml:space="preserve"> </w:t>
      </w:r>
      <w:r>
        <w:t>data</w:t>
      </w:r>
      <w:r>
        <w:rPr>
          <w:spacing w:val="-1"/>
        </w:rPr>
        <w:t xml:space="preserve"> </w:t>
      </w:r>
      <w:r>
        <w:t>are</w:t>
      </w:r>
      <w:r>
        <w:rPr>
          <w:spacing w:val="-2"/>
        </w:rPr>
        <w:t xml:space="preserve"> </w:t>
      </w:r>
      <w:r>
        <w:t>entered</w:t>
      </w:r>
      <w:r>
        <w:rPr>
          <w:spacing w:val="-2"/>
        </w:rPr>
        <w:t xml:space="preserve"> </w:t>
      </w:r>
      <w:r>
        <w:t>in</w:t>
      </w:r>
      <w:r>
        <w:rPr>
          <w:spacing w:val="-2"/>
        </w:rPr>
        <w:t xml:space="preserve"> </w:t>
      </w:r>
      <w:r>
        <w:t>Section</w:t>
      </w:r>
      <w:r>
        <w:rPr>
          <w:spacing w:val="-1"/>
        </w:rPr>
        <w:t xml:space="preserve"> </w:t>
      </w:r>
      <w:r>
        <w:t>III, then this line total must be completed (that is, must be greater than zero).</w:t>
      </w:r>
    </w:p>
    <w:p>
      <w:pPr>
        <w:spacing w:before="241"/>
        <w:ind w:left="504" w:right="0" w:firstLine="0"/>
        <w:jc w:val="left"/>
        <w:rPr>
          <w:rFonts w:ascii="Arial" w:hAnsi="Arial"/>
          <w:b/>
          <w:sz w:val="21"/>
        </w:rPr>
      </w:pPr>
      <w:bookmarkStart w:id="158" w:name="Line 4 – Net Medical Expenses"/>
      <w:bookmarkEnd w:id="158"/>
      <w:r>
        <w:rPr>
          <w:rFonts w:ascii="Arial" w:hAnsi="Arial"/>
          <w:b/>
          <w:sz w:val="21"/>
        </w:rPr>
        <w:t>Line</w:t>
      </w:r>
      <w:r>
        <w:rPr>
          <w:rFonts w:ascii="Arial" w:hAnsi="Arial"/>
          <w:b/>
          <w:spacing w:val="-3"/>
          <w:sz w:val="21"/>
        </w:rPr>
        <w:t xml:space="preserve"> </w:t>
      </w:r>
      <w:r>
        <w:rPr>
          <w:rFonts w:ascii="Arial" w:hAnsi="Arial"/>
          <w:b/>
          <w:sz w:val="21"/>
        </w:rPr>
        <w:t>4</w:t>
      </w:r>
      <w:r>
        <w:rPr>
          <w:rFonts w:ascii="Arial" w:hAnsi="Arial"/>
          <w:b/>
          <w:spacing w:val="-2"/>
          <w:sz w:val="21"/>
        </w:rPr>
        <w:t xml:space="preserve"> </w:t>
      </w:r>
      <w:r>
        <w:rPr>
          <w:rFonts w:ascii="Arial" w:hAnsi="Arial"/>
          <w:b/>
          <w:sz w:val="21"/>
        </w:rPr>
        <w:t>–</w:t>
      </w:r>
      <w:r>
        <w:rPr>
          <w:rFonts w:ascii="Arial" w:hAnsi="Arial"/>
          <w:b/>
          <w:spacing w:val="-5"/>
          <w:sz w:val="21"/>
        </w:rPr>
        <w:t xml:space="preserve"> </w:t>
      </w:r>
      <w:r>
        <w:rPr>
          <w:rFonts w:ascii="Arial" w:hAnsi="Arial"/>
          <w:b/>
          <w:sz w:val="21"/>
        </w:rPr>
        <w:t>Net</w:t>
      </w:r>
      <w:r>
        <w:rPr>
          <w:rFonts w:ascii="Arial" w:hAnsi="Arial"/>
          <w:b/>
          <w:spacing w:val="-3"/>
          <w:sz w:val="21"/>
        </w:rPr>
        <w:t xml:space="preserve"> </w:t>
      </w:r>
      <w:r>
        <w:rPr>
          <w:rFonts w:ascii="Arial" w:hAnsi="Arial"/>
          <w:b/>
          <w:sz w:val="21"/>
        </w:rPr>
        <w:t>Medical</w:t>
      </w:r>
      <w:r>
        <w:rPr>
          <w:rFonts w:ascii="Arial" w:hAnsi="Arial"/>
          <w:b/>
          <w:spacing w:val="-3"/>
          <w:sz w:val="21"/>
        </w:rPr>
        <w:t xml:space="preserve"> </w:t>
      </w:r>
      <w:r>
        <w:rPr>
          <w:rFonts w:ascii="Arial" w:hAnsi="Arial"/>
          <w:b/>
          <w:spacing w:val="-2"/>
          <w:sz w:val="21"/>
        </w:rPr>
        <w:t>Expenses</w:t>
      </w:r>
    </w:p>
    <w:p>
      <w:pPr>
        <w:pStyle w:val="BodyText"/>
        <w:spacing w:before="118"/>
        <w:ind w:right="1443"/>
      </w:pPr>
      <w:r>
        <w:t>Enter</w:t>
      </w:r>
      <w:r>
        <w:rPr>
          <w:spacing w:val="-3"/>
        </w:rPr>
        <w:t xml:space="preserve"> </w:t>
      </w:r>
      <w:r>
        <w:t>the</w:t>
      </w:r>
      <w:r>
        <w:rPr>
          <w:spacing w:val="-5"/>
        </w:rPr>
        <w:t xml:space="preserve"> </w:t>
      </w:r>
      <w:r>
        <w:t>net</w:t>
      </w:r>
      <w:r>
        <w:rPr>
          <w:spacing w:val="-3"/>
        </w:rPr>
        <w:t xml:space="preserve"> </w:t>
      </w:r>
      <w:r>
        <w:t>medical</w:t>
      </w:r>
      <w:r>
        <w:rPr>
          <w:spacing w:val="-3"/>
        </w:rPr>
        <w:t xml:space="preserve"> </w:t>
      </w:r>
      <w:r>
        <w:t>expenses</w:t>
      </w:r>
      <w:r>
        <w:rPr>
          <w:spacing w:val="-4"/>
        </w:rPr>
        <w:t xml:space="preserve"> </w:t>
      </w:r>
      <w:r>
        <w:t>for</w:t>
      </w:r>
      <w:r>
        <w:rPr>
          <w:spacing w:val="-5"/>
        </w:rPr>
        <w:t xml:space="preserve"> </w:t>
      </w:r>
      <w:r>
        <w:t>the</w:t>
      </w:r>
      <w:r>
        <w:rPr>
          <w:spacing w:val="-3"/>
        </w:rPr>
        <w:t xml:space="preserve"> </w:t>
      </w:r>
      <w:r>
        <w:t>base</w:t>
      </w:r>
      <w:r>
        <w:rPr>
          <w:spacing w:val="-4"/>
        </w:rPr>
        <w:t xml:space="preserve"> </w:t>
      </w:r>
      <w:r>
        <w:t>period in</w:t>
      </w:r>
      <w:r>
        <w:rPr>
          <w:spacing w:val="-3"/>
        </w:rPr>
        <w:t xml:space="preserve"> </w:t>
      </w:r>
      <w:r>
        <w:t>total</w:t>
      </w:r>
      <w:r>
        <w:rPr>
          <w:spacing w:val="-3"/>
        </w:rPr>
        <w:t xml:space="preserve"> </w:t>
      </w:r>
      <w:r>
        <w:t>dollars.</w:t>
      </w:r>
      <w:r>
        <w:rPr>
          <w:spacing w:val="-3"/>
        </w:rPr>
        <w:t xml:space="preserve"> </w:t>
      </w:r>
      <w:r>
        <w:t>Include</w:t>
      </w:r>
      <w:r>
        <w:rPr>
          <w:spacing w:val="-4"/>
        </w:rPr>
        <w:t xml:space="preserve"> </w:t>
      </w:r>
      <w:r>
        <w:t>net</w:t>
      </w:r>
      <w:r>
        <w:rPr>
          <w:spacing w:val="-3"/>
        </w:rPr>
        <w:t xml:space="preserve"> </w:t>
      </w:r>
      <w:r>
        <w:t>medical</w:t>
      </w:r>
      <w:r>
        <w:rPr>
          <w:spacing w:val="-3"/>
        </w:rPr>
        <w:t xml:space="preserve"> </w:t>
      </w:r>
      <w:r>
        <w:t>expenses associated with Medicare-covered and all A/B mandatory supplemental benefits, and COB/Subrogation offsets to medical costs. Do not include expenses for optional supplemental benefits, and do not include expenses for Part D benefits.</w:t>
      </w:r>
    </w:p>
    <w:p>
      <w:pPr>
        <w:pStyle w:val="BodyText"/>
        <w:spacing w:before="120"/>
        <w:ind w:right="1841"/>
      </w:pPr>
      <w:r>
        <w:t>In</w:t>
      </w:r>
      <w:r>
        <w:rPr>
          <w:spacing w:val="-4"/>
        </w:rPr>
        <w:t xml:space="preserve"> </w:t>
      </w:r>
      <w:r>
        <w:t>the</w:t>
      </w:r>
      <w:r>
        <w:rPr>
          <w:spacing w:val="-3"/>
        </w:rPr>
        <w:t xml:space="preserve"> </w:t>
      </w:r>
      <w:r>
        <w:t>first</w:t>
      </w:r>
      <w:r>
        <w:rPr>
          <w:spacing w:val="-4"/>
        </w:rPr>
        <w:t xml:space="preserve"> </w:t>
      </w:r>
      <w:r>
        <w:t>column,</w:t>
      </w:r>
      <w:r>
        <w:rPr>
          <w:spacing w:val="-4"/>
        </w:rPr>
        <w:t xml:space="preserve"> </w:t>
      </w:r>
      <w:r>
        <w:t>enter</w:t>
      </w:r>
      <w:r>
        <w:rPr>
          <w:spacing w:val="-4"/>
        </w:rPr>
        <w:t xml:space="preserve"> </w:t>
      </w:r>
      <w:r>
        <w:t>the</w:t>
      </w:r>
      <w:r>
        <w:rPr>
          <w:spacing w:val="-4"/>
        </w:rPr>
        <w:t xml:space="preserve"> </w:t>
      </w:r>
      <w:r>
        <w:t>amount</w:t>
      </w:r>
      <w:r>
        <w:rPr>
          <w:spacing w:val="-4"/>
        </w:rPr>
        <w:t xml:space="preserve"> </w:t>
      </w:r>
      <w:r>
        <w:t>applicable</w:t>
      </w:r>
      <w:r>
        <w:rPr>
          <w:spacing w:val="-4"/>
        </w:rPr>
        <w:t xml:space="preserve"> </w:t>
      </w:r>
      <w:r>
        <w:t>for</w:t>
      </w:r>
      <w:r>
        <w:rPr>
          <w:spacing w:val="-4"/>
        </w:rPr>
        <w:t xml:space="preserve"> </w:t>
      </w:r>
      <w:r>
        <w:t>ESRD</w:t>
      </w:r>
      <w:r>
        <w:rPr>
          <w:spacing w:val="-5"/>
        </w:rPr>
        <w:t xml:space="preserve"> </w:t>
      </w:r>
      <w:r>
        <w:t>enrollees.</w:t>
      </w:r>
      <w:r>
        <w:rPr>
          <w:spacing w:val="-2"/>
        </w:rPr>
        <w:t xml:space="preserve"> </w:t>
      </w:r>
      <w:r>
        <w:t>In</w:t>
      </w:r>
      <w:r>
        <w:rPr>
          <w:spacing w:val="-4"/>
        </w:rPr>
        <w:t xml:space="preserve"> </w:t>
      </w:r>
      <w:r>
        <w:t>the</w:t>
      </w:r>
      <w:r>
        <w:rPr>
          <w:spacing w:val="-3"/>
        </w:rPr>
        <w:t xml:space="preserve"> </w:t>
      </w:r>
      <w:r>
        <w:t>second</w:t>
      </w:r>
      <w:r>
        <w:rPr>
          <w:spacing w:val="-4"/>
        </w:rPr>
        <w:t xml:space="preserve"> </w:t>
      </w:r>
      <w:r>
        <w:t>column, enter the amount applicable for hospice enrollees. In the third column, enter the amount applicable to all other enrollees (including out-of-area members).</w:t>
      </w:r>
    </w:p>
    <w:p>
      <w:pPr>
        <w:pStyle w:val="BodyText"/>
        <w:spacing w:before="121"/>
        <w:ind w:right="1481"/>
      </w:pPr>
      <w:r>
        <w:t>The</w:t>
      </w:r>
      <w:r>
        <w:rPr>
          <w:spacing w:val="-5"/>
        </w:rPr>
        <w:t xml:space="preserve"> </w:t>
      </w:r>
      <w:r>
        <w:t>net</w:t>
      </w:r>
      <w:r>
        <w:rPr>
          <w:spacing w:val="-3"/>
        </w:rPr>
        <w:t xml:space="preserve"> </w:t>
      </w:r>
      <w:r>
        <w:t>medical</w:t>
      </w:r>
      <w:r>
        <w:rPr>
          <w:spacing w:val="-2"/>
        </w:rPr>
        <w:t xml:space="preserve"> </w:t>
      </w:r>
      <w:r>
        <w:t>expenses</w:t>
      </w:r>
      <w:r>
        <w:rPr>
          <w:spacing w:val="-4"/>
        </w:rPr>
        <w:t xml:space="preserve"> </w:t>
      </w:r>
      <w:r>
        <w:t>for</w:t>
      </w:r>
      <w:r>
        <w:rPr>
          <w:spacing w:val="-5"/>
        </w:rPr>
        <w:t xml:space="preserve"> </w:t>
      </w:r>
      <w:r>
        <w:t>hospice</w:t>
      </w:r>
      <w:r>
        <w:rPr>
          <w:spacing w:val="-4"/>
        </w:rPr>
        <w:t xml:space="preserve"> </w:t>
      </w:r>
      <w:r>
        <w:t>enrollees</w:t>
      </w:r>
      <w:r>
        <w:rPr>
          <w:spacing w:val="-4"/>
        </w:rPr>
        <w:t xml:space="preserve"> </w:t>
      </w:r>
      <w:r>
        <w:t>must</w:t>
      </w:r>
      <w:r>
        <w:rPr>
          <w:spacing w:val="-3"/>
        </w:rPr>
        <w:t xml:space="preserve"> </w:t>
      </w:r>
      <w:r>
        <w:t>reflect</w:t>
      </w:r>
      <w:r>
        <w:rPr>
          <w:spacing w:val="-3"/>
        </w:rPr>
        <w:t xml:space="preserve"> </w:t>
      </w:r>
      <w:r>
        <w:t>anticipated</w:t>
      </w:r>
      <w:r>
        <w:rPr>
          <w:spacing w:val="-3"/>
        </w:rPr>
        <w:t xml:space="preserve"> </w:t>
      </w:r>
      <w:r>
        <w:t>recoveries</w:t>
      </w:r>
      <w:r>
        <w:rPr>
          <w:spacing w:val="-4"/>
        </w:rPr>
        <w:t xml:space="preserve"> </w:t>
      </w:r>
      <w:r>
        <w:t>from</w:t>
      </w:r>
      <w:r>
        <w:rPr>
          <w:spacing w:val="-3"/>
        </w:rPr>
        <w:t xml:space="preserve"> </w:t>
      </w:r>
      <w:r>
        <w:t>the Medicare FFS program for payment of Medicare Part A and Part B claims that are not the responsibility of the MAO.</w:t>
      </w:r>
    </w:p>
    <w:p>
      <w:pPr>
        <w:pStyle w:val="BodyText"/>
        <w:spacing w:before="139"/>
        <w:ind w:right="1443"/>
      </w:pPr>
      <w:r>
        <w:t>The</w:t>
      </w:r>
      <w:r>
        <w:rPr>
          <w:spacing w:val="-4"/>
        </w:rPr>
        <w:t xml:space="preserve"> </w:t>
      </w:r>
      <w:r>
        <w:t>sum</w:t>
      </w:r>
      <w:r>
        <w:rPr>
          <w:spacing w:val="-2"/>
        </w:rPr>
        <w:t xml:space="preserve"> </w:t>
      </w:r>
      <w:r>
        <w:t>total</w:t>
      </w:r>
      <w:r>
        <w:rPr>
          <w:spacing w:val="-2"/>
        </w:rPr>
        <w:t xml:space="preserve"> </w:t>
      </w:r>
      <w:r>
        <w:t>is</w:t>
      </w:r>
      <w:r>
        <w:rPr>
          <w:spacing w:val="-3"/>
        </w:rPr>
        <w:t xml:space="preserve"> </w:t>
      </w:r>
      <w:r>
        <w:t>displayed</w:t>
      </w:r>
      <w:r>
        <w:rPr>
          <w:spacing w:val="-2"/>
        </w:rPr>
        <w:t xml:space="preserve"> </w:t>
      </w:r>
      <w:r>
        <w:t>in</w:t>
      </w:r>
      <w:r>
        <w:rPr>
          <w:spacing w:val="-2"/>
        </w:rPr>
        <w:t xml:space="preserve"> </w:t>
      </w:r>
      <w:r>
        <w:t>the</w:t>
      </w:r>
      <w:r>
        <w:rPr>
          <w:spacing w:val="-3"/>
        </w:rPr>
        <w:t xml:space="preserve"> </w:t>
      </w:r>
      <w:r>
        <w:t>fourth</w:t>
      </w:r>
      <w:r>
        <w:rPr>
          <w:spacing w:val="-2"/>
        </w:rPr>
        <w:t xml:space="preserve"> </w:t>
      </w:r>
      <w:r>
        <w:t>column.</w:t>
      </w:r>
      <w:r>
        <w:rPr>
          <w:spacing w:val="-2"/>
        </w:rPr>
        <w:t xml:space="preserve"> </w:t>
      </w:r>
      <w:r>
        <w:t>Values</w:t>
      </w:r>
      <w:r>
        <w:rPr>
          <w:spacing w:val="-3"/>
        </w:rPr>
        <w:t xml:space="preserve"> </w:t>
      </w:r>
      <w:r>
        <w:t>must</w:t>
      </w:r>
      <w:r>
        <w:rPr>
          <w:spacing w:val="-2"/>
        </w:rPr>
        <w:t xml:space="preserve"> </w:t>
      </w:r>
      <w:r>
        <w:t>be</w:t>
      </w:r>
      <w:r>
        <w:rPr>
          <w:spacing w:val="-3"/>
        </w:rPr>
        <w:t xml:space="preserve"> </w:t>
      </w:r>
      <w:r>
        <w:t>greater</w:t>
      </w:r>
      <w:r>
        <w:rPr>
          <w:spacing w:val="-2"/>
        </w:rPr>
        <w:t xml:space="preserve"> </w:t>
      </w:r>
      <w:r>
        <w:t>than</w:t>
      </w:r>
      <w:r>
        <w:rPr>
          <w:spacing w:val="-2"/>
        </w:rPr>
        <w:t xml:space="preserve"> </w:t>
      </w:r>
      <w:r>
        <w:t>or</w:t>
      </w:r>
      <w:r>
        <w:rPr>
          <w:spacing w:val="-2"/>
        </w:rPr>
        <w:t xml:space="preserve"> </w:t>
      </w:r>
      <w:r>
        <w:t>equal</w:t>
      </w:r>
      <w:r>
        <w:rPr>
          <w:spacing w:val="-2"/>
        </w:rPr>
        <w:t xml:space="preserve"> </w:t>
      </w:r>
      <w:r>
        <w:t>to</w:t>
      </w:r>
      <w:r>
        <w:rPr>
          <w:spacing w:val="-2"/>
        </w:rPr>
        <w:t xml:space="preserve"> </w:t>
      </w:r>
      <w:r>
        <w:t>zero. If base period data are entered in Section III, then this line total must be completed—that is, it must be greater than zero.</w:t>
      </w:r>
    </w:p>
    <w:p>
      <w:pPr>
        <w:pStyle w:val="BodyText"/>
        <w:spacing w:after="0"/>
        <w:sectPr>
          <w:pgSz w:w="12240" w:h="15840"/>
          <w:pgMar w:top="960" w:right="0" w:bottom="940" w:left="1080" w:header="727" w:footer="747"/>
          <w:cols w:space="720"/>
        </w:sectPr>
      </w:pPr>
    </w:p>
    <w:p>
      <w:pPr>
        <w:pStyle w:val="BodyText"/>
        <w:spacing w:before="225"/>
        <w:ind w:left="0"/>
        <w:rPr>
          <w:sz w:val="21"/>
        </w:rPr>
      </w:pPr>
    </w:p>
    <w:p>
      <w:pPr>
        <w:spacing w:before="0"/>
        <w:ind w:left="504" w:right="0" w:firstLine="0"/>
        <w:jc w:val="left"/>
        <w:rPr>
          <w:rFonts w:ascii="Arial" w:hAnsi="Arial"/>
          <w:b/>
          <w:sz w:val="21"/>
        </w:rPr>
      </w:pPr>
      <w:bookmarkStart w:id="159" w:name="Line 5 – Member Months"/>
      <w:bookmarkEnd w:id="159"/>
      <w:r>
        <w:rPr>
          <w:rFonts w:ascii="Arial" w:hAnsi="Arial"/>
          <w:b/>
          <w:sz w:val="21"/>
        </w:rPr>
        <w:t>Line</w:t>
      </w:r>
      <w:r>
        <w:rPr>
          <w:rFonts w:ascii="Arial" w:hAnsi="Arial"/>
          <w:b/>
          <w:spacing w:val="-4"/>
          <w:sz w:val="21"/>
        </w:rPr>
        <w:t xml:space="preserve"> </w:t>
      </w:r>
      <w:r>
        <w:rPr>
          <w:rFonts w:ascii="Arial" w:hAnsi="Arial"/>
          <w:b/>
          <w:sz w:val="21"/>
        </w:rPr>
        <w:t>5</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Member</w:t>
      </w:r>
      <w:r>
        <w:rPr>
          <w:rFonts w:ascii="Arial" w:hAnsi="Arial"/>
          <w:b/>
          <w:spacing w:val="-4"/>
          <w:sz w:val="21"/>
        </w:rPr>
        <w:t xml:space="preserve"> </w:t>
      </w:r>
      <w:r>
        <w:rPr>
          <w:rFonts w:ascii="Arial" w:hAnsi="Arial"/>
          <w:b/>
          <w:spacing w:val="-2"/>
          <w:sz w:val="21"/>
        </w:rPr>
        <w:t>Months</w:t>
      </w:r>
    </w:p>
    <w:p>
      <w:pPr>
        <w:pStyle w:val="BodyText"/>
        <w:spacing w:before="120"/>
      </w:pPr>
      <w:r>
        <w:t>Enter the</w:t>
      </w:r>
      <w:r>
        <w:rPr>
          <w:spacing w:val="-2"/>
        </w:rPr>
        <w:t xml:space="preserve"> </w:t>
      </w:r>
      <w:r>
        <w:t>base</w:t>
      </w:r>
      <w:r>
        <w:rPr>
          <w:spacing w:val="-1"/>
        </w:rPr>
        <w:t xml:space="preserve"> </w:t>
      </w:r>
      <w:r>
        <w:t>period member</w:t>
      </w:r>
      <w:r>
        <w:rPr>
          <w:spacing w:val="-2"/>
        </w:rPr>
        <w:t xml:space="preserve"> months.</w:t>
      </w:r>
    </w:p>
    <w:p>
      <w:pPr>
        <w:pStyle w:val="BodyText"/>
        <w:spacing w:before="121"/>
        <w:ind w:right="1481"/>
      </w:pPr>
      <w:r>
        <w:t>In the first column, enter the amount applicable for ESRD enrollees. In the second column, enter the amount applicable for hospice enrollees. The third column displays the amount applicable</w:t>
      </w:r>
      <w:r>
        <w:rPr>
          <w:spacing w:val="-3"/>
        </w:rPr>
        <w:t xml:space="preserve"> </w:t>
      </w:r>
      <w:r>
        <w:t>to</w:t>
      </w:r>
      <w:r>
        <w:rPr>
          <w:spacing w:val="-3"/>
        </w:rPr>
        <w:t xml:space="preserve"> </w:t>
      </w:r>
      <w:r>
        <w:t>all</w:t>
      </w:r>
      <w:r>
        <w:rPr>
          <w:spacing w:val="-3"/>
        </w:rPr>
        <w:t xml:space="preserve"> </w:t>
      </w:r>
      <w:r>
        <w:t>other</w:t>
      </w:r>
      <w:r>
        <w:rPr>
          <w:spacing w:val="-3"/>
        </w:rPr>
        <w:t xml:space="preserve"> </w:t>
      </w:r>
      <w:r>
        <w:t>enrollees</w:t>
      </w:r>
      <w:r>
        <w:rPr>
          <w:spacing w:val="-3"/>
        </w:rPr>
        <w:t xml:space="preserve"> </w:t>
      </w:r>
      <w:r>
        <w:t>(including</w:t>
      </w:r>
      <w:r>
        <w:rPr>
          <w:spacing w:val="-3"/>
        </w:rPr>
        <w:t xml:space="preserve"> </w:t>
      </w:r>
      <w:r>
        <w:t>out-of-area),</w:t>
      </w:r>
      <w:r>
        <w:rPr>
          <w:spacing w:val="-2"/>
        </w:rPr>
        <w:t xml:space="preserve"> </w:t>
      </w:r>
      <w:r>
        <w:t>which</w:t>
      </w:r>
      <w:r>
        <w:rPr>
          <w:spacing w:val="-3"/>
        </w:rPr>
        <w:t xml:space="preserve"> </w:t>
      </w:r>
      <w:r>
        <w:t>is</w:t>
      </w:r>
      <w:r>
        <w:rPr>
          <w:spacing w:val="-3"/>
        </w:rPr>
        <w:t xml:space="preserve"> </w:t>
      </w:r>
      <w:r>
        <w:t>equal</w:t>
      </w:r>
      <w:r>
        <w:rPr>
          <w:spacing w:val="-3"/>
        </w:rPr>
        <w:t xml:space="preserve"> </w:t>
      </w:r>
      <w:r>
        <w:t>to</w:t>
      </w:r>
      <w:r>
        <w:rPr>
          <w:spacing w:val="-3"/>
        </w:rPr>
        <w:t xml:space="preserve"> </w:t>
      </w:r>
      <w:r>
        <w:t>the</w:t>
      </w:r>
      <w:r>
        <w:rPr>
          <w:spacing w:val="-4"/>
        </w:rPr>
        <w:t xml:space="preserve"> </w:t>
      </w:r>
      <w:r>
        <w:t>member</w:t>
      </w:r>
      <w:r>
        <w:rPr>
          <w:spacing w:val="-3"/>
        </w:rPr>
        <w:t xml:space="preserve"> </w:t>
      </w:r>
      <w:r>
        <w:t>months entered in Section II. The sum total is displayed in the fourth column.</w:t>
      </w:r>
    </w:p>
    <w:p>
      <w:pPr>
        <w:pStyle w:val="ListParagraph"/>
        <w:numPr>
          <w:ilvl w:val="1"/>
          <w:numId w:val="43"/>
        </w:numPr>
        <w:tabs>
          <w:tab w:val="left" w:pos="1584"/>
        </w:tabs>
        <w:spacing w:before="120" w:after="0" w:line="240" w:lineRule="auto"/>
        <w:ind w:left="1584" w:right="0" w:hanging="360"/>
        <w:jc w:val="left"/>
        <w:rPr>
          <w:sz w:val="24"/>
        </w:rPr>
      </w:pPr>
      <w:r>
        <w:rPr>
          <w:sz w:val="24"/>
        </w:rPr>
        <w:t>Member</w:t>
      </w:r>
      <w:r>
        <w:rPr>
          <w:spacing w:val="-5"/>
          <w:sz w:val="24"/>
        </w:rPr>
        <w:t xml:space="preserve"> </w:t>
      </w:r>
      <w:r>
        <w:rPr>
          <w:sz w:val="24"/>
        </w:rPr>
        <w:t>months are</w:t>
      </w:r>
      <w:r>
        <w:rPr>
          <w:spacing w:val="-3"/>
          <w:sz w:val="24"/>
        </w:rPr>
        <w:t xml:space="preserve"> </w:t>
      </w:r>
      <w:r>
        <w:rPr>
          <w:sz w:val="24"/>
        </w:rPr>
        <w:t>to</w:t>
      </w:r>
      <w:r>
        <w:rPr>
          <w:spacing w:val="-1"/>
          <w:sz w:val="24"/>
        </w:rPr>
        <w:t xml:space="preserve"> </w:t>
      </w:r>
      <w:r>
        <w:rPr>
          <w:sz w:val="24"/>
        </w:rPr>
        <w:t>be</w:t>
      </w:r>
      <w:r>
        <w:rPr>
          <w:spacing w:val="-2"/>
          <w:sz w:val="24"/>
        </w:rPr>
        <w:t xml:space="preserve"> </w:t>
      </w:r>
      <w:r>
        <w:rPr>
          <w:sz w:val="24"/>
        </w:rPr>
        <w:t>assigned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hospice or</w:t>
      </w:r>
      <w:r>
        <w:rPr>
          <w:spacing w:val="-1"/>
          <w:sz w:val="24"/>
        </w:rPr>
        <w:t xml:space="preserve"> </w:t>
      </w:r>
      <w:r>
        <w:rPr>
          <w:sz w:val="24"/>
        </w:rPr>
        <w:t>non-hospice category</w:t>
      </w:r>
      <w:r>
        <w:rPr>
          <w:spacing w:val="1"/>
          <w:sz w:val="24"/>
        </w:rPr>
        <w:t xml:space="preserve"> </w:t>
      </w:r>
      <w:r>
        <w:rPr>
          <w:sz w:val="24"/>
        </w:rPr>
        <w:t xml:space="preserve">based </w:t>
      </w:r>
      <w:r>
        <w:rPr>
          <w:spacing w:val="-5"/>
          <w:sz w:val="24"/>
        </w:rPr>
        <w:t>on</w:t>
      </w:r>
    </w:p>
    <w:p>
      <w:pPr>
        <w:pStyle w:val="BodyText"/>
        <w:ind w:left="1584"/>
      </w:pPr>
      <w:r>
        <w:t>the</w:t>
      </w:r>
      <w:r>
        <w:rPr>
          <w:spacing w:val="-1"/>
        </w:rPr>
        <w:t xml:space="preserve"> </w:t>
      </w:r>
      <w:r>
        <w:t>enrollee’s</w:t>
      </w:r>
      <w:r>
        <w:rPr>
          <w:spacing w:val="-2"/>
        </w:rPr>
        <w:t xml:space="preserve"> </w:t>
      </w:r>
      <w:r>
        <w:t>status</w:t>
      </w:r>
      <w:r>
        <w:rPr>
          <w:spacing w:val="-2"/>
        </w:rPr>
        <w:t xml:space="preserve"> </w:t>
      </w:r>
      <w:r>
        <w:t>as</w:t>
      </w:r>
      <w:r>
        <w:rPr>
          <w:spacing w:val="-2"/>
        </w:rPr>
        <w:t xml:space="preserve"> </w:t>
      </w:r>
      <w:r>
        <w:t>of the</w:t>
      </w:r>
      <w:r>
        <w:rPr>
          <w:spacing w:val="-1"/>
        </w:rPr>
        <w:t xml:space="preserve"> </w:t>
      </w:r>
      <w:r>
        <w:t>beginning</w:t>
      </w:r>
      <w:r>
        <w:rPr>
          <w:spacing w:val="-1"/>
        </w:rPr>
        <w:t xml:space="preserve"> </w:t>
      </w:r>
      <w:r>
        <w:t>of</w:t>
      </w:r>
      <w:r>
        <w:rPr>
          <w:spacing w:val="-2"/>
        </w:rPr>
        <w:t xml:space="preserve"> </w:t>
      </w:r>
      <w:r>
        <w:t>the</w:t>
      </w:r>
      <w:r>
        <w:rPr>
          <w:spacing w:val="-1"/>
        </w:rPr>
        <w:t xml:space="preserve"> </w:t>
      </w:r>
      <w:r>
        <w:rPr>
          <w:spacing w:val="-2"/>
        </w:rPr>
        <w:t>month.</w:t>
      </w:r>
    </w:p>
    <w:p>
      <w:pPr>
        <w:spacing w:before="240"/>
        <w:ind w:left="504" w:right="0" w:firstLine="0"/>
        <w:jc w:val="left"/>
        <w:rPr>
          <w:rFonts w:ascii="Arial" w:hAnsi="Arial"/>
          <w:b/>
          <w:sz w:val="21"/>
        </w:rPr>
      </w:pPr>
      <w:bookmarkStart w:id="160" w:name="Line 6 – PMPMs"/>
      <w:bookmarkEnd w:id="160"/>
      <w:r>
        <w:rPr>
          <w:rFonts w:ascii="Arial" w:hAnsi="Arial"/>
          <w:b/>
          <w:sz w:val="21"/>
        </w:rPr>
        <w:t>Line</w:t>
      </w:r>
      <w:r>
        <w:rPr>
          <w:rFonts w:ascii="Arial" w:hAnsi="Arial"/>
          <w:b/>
          <w:spacing w:val="-2"/>
          <w:sz w:val="21"/>
        </w:rPr>
        <w:t xml:space="preserve"> </w:t>
      </w:r>
      <w:r>
        <w:rPr>
          <w:rFonts w:ascii="Arial" w:hAnsi="Arial"/>
          <w:b/>
          <w:sz w:val="21"/>
        </w:rPr>
        <w:t>6</w:t>
      </w:r>
      <w:r>
        <w:rPr>
          <w:rFonts w:ascii="Arial" w:hAnsi="Arial"/>
          <w:b/>
          <w:spacing w:val="-2"/>
          <w:sz w:val="21"/>
        </w:rPr>
        <w:t xml:space="preserve"> </w:t>
      </w:r>
      <w:r>
        <w:rPr>
          <w:rFonts w:ascii="Arial" w:hAnsi="Arial"/>
          <w:b/>
          <w:sz w:val="21"/>
        </w:rPr>
        <w:t>–</w:t>
      </w:r>
      <w:r>
        <w:rPr>
          <w:rFonts w:ascii="Arial" w:hAnsi="Arial"/>
          <w:b/>
          <w:spacing w:val="-2"/>
          <w:sz w:val="21"/>
        </w:rPr>
        <w:t xml:space="preserve"> </w:t>
      </w:r>
      <w:r>
        <w:rPr>
          <w:rFonts w:ascii="Arial" w:hAnsi="Arial"/>
          <w:b/>
          <w:spacing w:val="-4"/>
          <w:sz w:val="21"/>
        </w:rPr>
        <w:t>PMPMs</w:t>
      </w:r>
    </w:p>
    <w:p>
      <w:pPr>
        <w:pStyle w:val="BodyText"/>
        <w:spacing w:before="118"/>
        <w:ind w:right="1877"/>
      </w:pPr>
      <w:r>
        <w:t>Lines</w:t>
      </w:r>
      <w:r>
        <w:rPr>
          <w:spacing w:val="-4"/>
        </w:rPr>
        <w:t xml:space="preserve"> </w:t>
      </w:r>
      <w:r>
        <w:t>6a</w:t>
      </w:r>
      <w:r>
        <w:rPr>
          <w:spacing w:val="-4"/>
        </w:rPr>
        <w:t xml:space="preserve"> </w:t>
      </w:r>
      <w:r>
        <w:t>through</w:t>
      </w:r>
      <w:r>
        <w:rPr>
          <w:spacing w:val="-3"/>
        </w:rPr>
        <w:t xml:space="preserve"> </w:t>
      </w:r>
      <w:r>
        <w:t>6d</w:t>
      </w:r>
      <w:r>
        <w:rPr>
          <w:spacing w:val="-3"/>
        </w:rPr>
        <w:t xml:space="preserve"> </w:t>
      </w:r>
      <w:r>
        <w:t>compute</w:t>
      </w:r>
      <w:r>
        <w:rPr>
          <w:spacing w:val="-3"/>
        </w:rPr>
        <w:t xml:space="preserve"> </w:t>
      </w:r>
      <w:r>
        <w:t>base</w:t>
      </w:r>
      <w:r>
        <w:rPr>
          <w:spacing w:val="-4"/>
        </w:rPr>
        <w:t xml:space="preserve"> </w:t>
      </w:r>
      <w:r>
        <w:t>period</w:t>
      </w:r>
      <w:r>
        <w:rPr>
          <w:spacing w:val="-3"/>
        </w:rPr>
        <w:t xml:space="preserve"> </w:t>
      </w:r>
      <w:r>
        <w:t>PMPM</w:t>
      </w:r>
      <w:r>
        <w:rPr>
          <w:spacing w:val="-5"/>
        </w:rPr>
        <w:t xml:space="preserve"> </w:t>
      </w:r>
      <w:r>
        <w:t>values</w:t>
      </w:r>
      <w:r>
        <w:rPr>
          <w:spacing w:val="-4"/>
        </w:rPr>
        <w:t xml:space="preserve"> </w:t>
      </w:r>
      <w:r>
        <w:t>for</w:t>
      </w:r>
      <w:r>
        <w:rPr>
          <w:spacing w:val="-3"/>
        </w:rPr>
        <w:t xml:space="preserve"> </w:t>
      </w:r>
      <w:r>
        <w:t>revenue,</w:t>
      </w:r>
      <w:r>
        <w:rPr>
          <w:spacing w:val="-3"/>
        </w:rPr>
        <w:t xml:space="preserve"> </w:t>
      </w:r>
      <w:r>
        <w:t>net</w:t>
      </w:r>
      <w:r>
        <w:rPr>
          <w:spacing w:val="-3"/>
        </w:rPr>
        <w:t xml:space="preserve"> </w:t>
      </w:r>
      <w:r>
        <w:t>medical</w:t>
      </w:r>
      <w:r>
        <w:rPr>
          <w:spacing w:val="-3"/>
        </w:rPr>
        <w:t xml:space="preserve"> </w:t>
      </w:r>
      <w:r>
        <w:t>expenses, non-benefit expenses, and gain/loss margin, respectively.</w:t>
      </w:r>
    </w:p>
    <w:p>
      <w:pPr>
        <w:spacing w:before="242"/>
        <w:ind w:left="504" w:right="0" w:firstLine="0"/>
        <w:jc w:val="left"/>
        <w:rPr>
          <w:rFonts w:ascii="Arial" w:hAnsi="Arial"/>
          <w:b/>
          <w:sz w:val="21"/>
        </w:rPr>
      </w:pPr>
      <w:bookmarkStart w:id="161" w:name="Line 7 – Non-Benefit Expenses"/>
      <w:bookmarkEnd w:id="161"/>
      <w:r>
        <w:rPr>
          <w:rFonts w:ascii="Arial" w:hAnsi="Arial"/>
          <w:b/>
          <w:sz w:val="21"/>
        </w:rPr>
        <w:t>Line</w:t>
      </w:r>
      <w:r>
        <w:rPr>
          <w:rFonts w:ascii="Arial" w:hAnsi="Arial"/>
          <w:b/>
          <w:spacing w:val="-5"/>
          <w:sz w:val="21"/>
        </w:rPr>
        <w:t xml:space="preserve"> </w:t>
      </w:r>
      <w:r>
        <w:rPr>
          <w:rFonts w:ascii="Arial" w:hAnsi="Arial"/>
          <w:b/>
          <w:sz w:val="21"/>
        </w:rPr>
        <w:t>7</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Non-Benefit</w:t>
      </w:r>
      <w:r>
        <w:rPr>
          <w:rFonts w:ascii="Arial" w:hAnsi="Arial"/>
          <w:b/>
          <w:spacing w:val="-4"/>
          <w:sz w:val="21"/>
        </w:rPr>
        <w:t xml:space="preserve"> </w:t>
      </w:r>
      <w:r>
        <w:rPr>
          <w:rFonts w:ascii="Arial" w:hAnsi="Arial"/>
          <w:b/>
          <w:spacing w:val="-2"/>
          <w:sz w:val="21"/>
        </w:rPr>
        <w:t>Expenses</w:t>
      </w:r>
    </w:p>
    <w:p>
      <w:pPr>
        <w:pStyle w:val="BodyText"/>
        <w:spacing w:before="120"/>
        <w:ind w:right="1748"/>
        <w:jc w:val="both"/>
      </w:pPr>
      <w:r>
        <w:t>Enter</w:t>
      </w:r>
      <w:r>
        <w:rPr>
          <w:spacing w:val="-2"/>
        </w:rPr>
        <w:t xml:space="preserve"> </w:t>
      </w:r>
      <w:r>
        <w:t>the</w:t>
      </w:r>
      <w:r>
        <w:rPr>
          <w:spacing w:val="-4"/>
        </w:rPr>
        <w:t xml:space="preserve"> </w:t>
      </w:r>
      <w:r>
        <w:t>MA</w:t>
      </w:r>
      <w:r>
        <w:rPr>
          <w:spacing w:val="-3"/>
        </w:rPr>
        <w:t xml:space="preserve"> </w:t>
      </w:r>
      <w:r>
        <w:t>non-benefit</w:t>
      </w:r>
      <w:r>
        <w:rPr>
          <w:spacing w:val="-2"/>
        </w:rPr>
        <w:t xml:space="preserve"> </w:t>
      </w:r>
      <w:r>
        <w:t>expenses</w:t>
      </w:r>
      <w:r>
        <w:rPr>
          <w:spacing w:val="-3"/>
        </w:rPr>
        <w:t xml:space="preserve"> </w:t>
      </w:r>
      <w:r>
        <w:t>for</w:t>
      </w:r>
      <w:r>
        <w:rPr>
          <w:spacing w:val="-4"/>
        </w:rPr>
        <w:t xml:space="preserve"> </w:t>
      </w:r>
      <w:r>
        <w:t>the</w:t>
      </w:r>
      <w:r>
        <w:rPr>
          <w:spacing w:val="-3"/>
        </w:rPr>
        <w:t xml:space="preserve"> </w:t>
      </w:r>
      <w:r>
        <w:t>base</w:t>
      </w:r>
      <w:r>
        <w:rPr>
          <w:spacing w:val="-3"/>
        </w:rPr>
        <w:t xml:space="preserve"> </w:t>
      </w:r>
      <w:r>
        <w:t>period</w:t>
      </w:r>
      <w:r>
        <w:rPr>
          <w:spacing w:val="-1"/>
        </w:rPr>
        <w:t xml:space="preserve"> </w:t>
      </w:r>
      <w:r>
        <w:t>in</w:t>
      </w:r>
      <w:r>
        <w:rPr>
          <w:spacing w:val="-2"/>
        </w:rPr>
        <w:t xml:space="preserve"> </w:t>
      </w:r>
      <w:r>
        <w:t>total</w:t>
      </w:r>
      <w:r>
        <w:rPr>
          <w:spacing w:val="-2"/>
        </w:rPr>
        <w:t xml:space="preserve"> </w:t>
      </w:r>
      <w:r>
        <w:t>dollars</w:t>
      </w:r>
      <w:r>
        <w:rPr>
          <w:spacing w:val="-3"/>
        </w:rPr>
        <w:t xml:space="preserve"> </w:t>
      </w:r>
      <w:r>
        <w:t>by</w:t>
      </w:r>
      <w:r>
        <w:rPr>
          <w:spacing w:val="-2"/>
        </w:rPr>
        <w:t xml:space="preserve"> </w:t>
      </w:r>
      <w:r>
        <w:t>category.</w:t>
      </w:r>
      <w:r>
        <w:rPr>
          <w:spacing w:val="-2"/>
        </w:rPr>
        <w:t xml:space="preserve"> </w:t>
      </w:r>
      <w:r>
        <w:t>A</w:t>
      </w:r>
      <w:r>
        <w:rPr>
          <w:spacing w:val="-3"/>
        </w:rPr>
        <w:t xml:space="preserve"> </w:t>
      </w:r>
      <w:r>
        <w:t>total</w:t>
      </w:r>
      <w:r>
        <w:rPr>
          <w:spacing w:val="-2"/>
        </w:rPr>
        <w:t xml:space="preserve"> </w:t>
      </w:r>
      <w:r>
        <w:t>is computed.</w:t>
      </w:r>
      <w:r>
        <w:rPr>
          <w:spacing w:val="-3"/>
        </w:rPr>
        <w:t xml:space="preserve"> </w:t>
      </w:r>
      <w:r>
        <w:t>Values</w:t>
      </w:r>
      <w:r>
        <w:rPr>
          <w:spacing w:val="-4"/>
        </w:rPr>
        <w:t xml:space="preserve"> </w:t>
      </w:r>
      <w:r>
        <w:t>in</w:t>
      </w:r>
      <w:r>
        <w:rPr>
          <w:spacing w:val="-3"/>
        </w:rPr>
        <w:t xml:space="preserve"> </w:t>
      </w:r>
      <w:r>
        <w:t>lines</w:t>
      </w:r>
      <w:r>
        <w:rPr>
          <w:spacing w:val="-4"/>
        </w:rPr>
        <w:t xml:space="preserve"> </w:t>
      </w:r>
      <w:r>
        <w:t>7a,</w:t>
      </w:r>
      <w:r>
        <w:rPr>
          <w:spacing w:val="-3"/>
        </w:rPr>
        <w:t xml:space="preserve"> </w:t>
      </w:r>
      <w:r>
        <w:t>7b,</w:t>
      </w:r>
      <w:r>
        <w:rPr>
          <w:spacing w:val="-2"/>
        </w:rPr>
        <w:t xml:space="preserve"> </w:t>
      </w:r>
      <w:r>
        <w:t>and</w:t>
      </w:r>
      <w:r>
        <w:rPr>
          <w:spacing w:val="-3"/>
        </w:rPr>
        <w:t xml:space="preserve"> </w:t>
      </w:r>
      <w:r>
        <w:t>7c</w:t>
      </w:r>
      <w:r>
        <w:rPr>
          <w:spacing w:val="-4"/>
        </w:rPr>
        <w:t xml:space="preserve"> </w:t>
      </w:r>
      <w:r>
        <w:t>must</w:t>
      </w:r>
      <w:r>
        <w:rPr>
          <w:spacing w:val="-2"/>
        </w:rPr>
        <w:t xml:space="preserve"> </w:t>
      </w:r>
      <w:r>
        <w:t>be</w:t>
      </w:r>
      <w:r>
        <w:rPr>
          <w:spacing w:val="-2"/>
        </w:rPr>
        <w:t xml:space="preserve"> </w:t>
      </w:r>
      <w:r>
        <w:t>greater</w:t>
      </w:r>
      <w:r>
        <w:rPr>
          <w:spacing w:val="-3"/>
        </w:rPr>
        <w:t xml:space="preserve"> </w:t>
      </w:r>
      <w:r>
        <w:t>than</w:t>
      </w:r>
      <w:r>
        <w:rPr>
          <w:spacing w:val="-3"/>
        </w:rPr>
        <w:t xml:space="preserve"> </w:t>
      </w:r>
      <w:r>
        <w:t>or</w:t>
      </w:r>
      <w:r>
        <w:rPr>
          <w:spacing w:val="-3"/>
        </w:rPr>
        <w:t xml:space="preserve"> </w:t>
      </w:r>
      <w:r>
        <w:t>equal</w:t>
      </w:r>
      <w:r>
        <w:rPr>
          <w:spacing w:val="-3"/>
        </w:rPr>
        <w:t xml:space="preserve"> </w:t>
      </w:r>
      <w:r>
        <w:t>to</w:t>
      </w:r>
      <w:r>
        <w:rPr>
          <w:spacing w:val="-3"/>
        </w:rPr>
        <w:t xml:space="preserve"> </w:t>
      </w:r>
      <w:r>
        <w:t>zero.</w:t>
      </w:r>
      <w:r>
        <w:rPr>
          <w:spacing w:val="-1"/>
        </w:rPr>
        <w:t xml:space="preserve"> </w:t>
      </w:r>
      <w:r>
        <w:t>If</w:t>
      </w:r>
      <w:r>
        <w:rPr>
          <w:spacing w:val="-3"/>
        </w:rPr>
        <w:t xml:space="preserve"> </w:t>
      </w:r>
      <w:r>
        <w:t>base</w:t>
      </w:r>
      <w:r>
        <w:rPr>
          <w:spacing w:val="-4"/>
        </w:rPr>
        <w:t xml:space="preserve"> </w:t>
      </w:r>
      <w:r>
        <w:t>period data</w:t>
      </w:r>
      <w:r>
        <w:rPr>
          <w:spacing w:val="-2"/>
        </w:rPr>
        <w:t xml:space="preserve"> </w:t>
      </w:r>
      <w:r>
        <w:t>are</w:t>
      </w:r>
      <w:r>
        <w:rPr>
          <w:spacing w:val="-2"/>
        </w:rPr>
        <w:t xml:space="preserve"> </w:t>
      </w:r>
      <w:r>
        <w:t>entered</w:t>
      </w:r>
      <w:r>
        <w:rPr>
          <w:spacing w:val="-1"/>
        </w:rPr>
        <w:t xml:space="preserve"> </w:t>
      </w:r>
      <w:r>
        <w:t>in</w:t>
      </w:r>
      <w:r>
        <w:rPr>
          <w:spacing w:val="-1"/>
        </w:rPr>
        <w:t xml:space="preserve"> </w:t>
      </w:r>
      <w:r>
        <w:t>Section</w:t>
      </w:r>
      <w:r>
        <w:rPr>
          <w:spacing w:val="-1"/>
        </w:rPr>
        <w:t xml:space="preserve"> </w:t>
      </w:r>
      <w:r>
        <w:t>III,</w:t>
      </w:r>
      <w:r>
        <w:rPr>
          <w:spacing w:val="-1"/>
        </w:rPr>
        <w:t xml:space="preserve"> </w:t>
      </w:r>
      <w:r>
        <w:t>then</w:t>
      </w:r>
      <w:r>
        <w:rPr>
          <w:spacing w:val="-1"/>
        </w:rPr>
        <w:t xml:space="preserve"> </w:t>
      </w:r>
      <w:r>
        <w:t>this</w:t>
      </w:r>
      <w:r>
        <w:rPr>
          <w:spacing w:val="-2"/>
        </w:rPr>
        <w:t xml:space="preserve"> </w:t>
      </w:r>
      <w:r>
        <w:t>line</w:t>
      </w:r>
      <w:r>
        <w:rPr>
          <w:spacing w:val="-1"/>
        </w:rPr>
        <w:t xml:space="preserve"> </w:t>
      </w:r>
      <w:r>
        <w:t>total</w:t>
      </w:r>
      <w:r>
        <w:rPr>
          <w:spacing w:val="-1"/>
        </w:rPr>
        <w:t xml:space="preserve"> </w:t>
      </w:r>
      <w:r>
        <w:t>must be</w:t>
      </w:r>
      <w:r>
        <w:rPr>
          <w:spacing w:val="-2"/>
        </w:rPr>
        <w:t xml:space="preserve"> </w:t>
      </w:r>
      <w:r>
        <w:t>completed</w:t>
      </w:r>
      <w:r>
        <w:rPr>
          <w:spacing w:val="-1"/>
        </w:rPr>
        <w:t xml:space="preserve"> </w:t>
      </w:r>
      <w:r>
        <w:t>(that</w:t>
      </w:r>
      <w:r>
        <w:rPr>
          <w:spacing w:val="-1"/>
        </w:rPr>
        <w:t xml:space="preserve"> </w:t>
      </w:r>
      <w:r>
        <w:t>is,</w:t>
      </w:r>
      <w:r>
        <w:rPr>
          <w:spacing w:val="-1"/>
        </w:rPr>
        <w:t xml:space="preserve"> </w:t>
      </w:r>
      <w:r>
        <w:t>must</w:t>
      </w:r>
      <w:r>
        <w:rPr>
          <w:spacing w:val="-1"/>
        </w:rPr>
        <w:t xml:space="preserve"> </w:t>
      </w:r>
      <w:r>
        <w:t>be</w:t>
      </w:r>
      <w:r>
        <w:rPr>
          <w:spacing w:val="-1"/>
        </w:rPr>
        <w:t xml:space="preserve"> </w:t>
      </w:r>
      <w:r>
        <w:t>greater than zero).</w:t>
      </w:r>
    </w:p>
    <w:p>
      <w:pPr>
        <w:pStyle w:val="BodyText"/>
        <w:spacing w:before="120"/>
        <w:jc w:val="both"/>
      </w:pPr>
      <w:r>
        <w:t>Uncollected</w:t>
      </w:r>
      <w:r>
        <w:rPr>
          <w:spacing w:val="-4"/>
        </w:rPr>
        <w:t xml:space="preserve"> </w:t>
      </w:r>
      <w:r>
        <w:t>premiums</w:t>
      </w:r>
      <w:r>
        <w:rPr>
          <w:spacing w:val="-2"/>
        </w:rPr>
        <w:t xml:space="preserve"> </w:t>
      </w:r>
      <w:r>
        <w:t>must</w:t>
      </w:r>
      <w:r>
        <w:rPr>
          <w:spacing w:val="-1"/>
        </w:rPr>
        <w:t xml:space="preserve"> </w:t>
      </w:r>
      <w:r>
        <w:t>be</w:t>
      </w:r>
      <w:r>
        <w:rPr>
          <w:spacing w:val="-1"/>
        </w:rPr>
        <w:t xml:space="preserve"> </w:t>
      </w:r>
      <w:r>
        <w:t>included</w:t>
      </w:r>
      <w:r>
        <w:rPr>
          <w:spacing w:val="-1"/>
        </w:rPr>
        <w:t xml:space="preserve"> </w:t>
      </w:r>
      <w:r>
        <w:t>in line</w:t>
      </w:r>
      <w:r>
        <w:rPr>
          <w:spacing w:val="-2"/>
        </w:rPr>
        <w:t xml:space="preserve"> </w:t>
      </w:r>
      <w:r>
        <w:t>7b</w:t>
      </w:r>
      <w:r>
        <w:rPr>
          <w:spacing w:val="-1"/>
        </w:rPr>
        <w:t xml:space="preserve"> </w:t>
      </w:r>
      <w:r>
        <w:t>(“Direct</w:t>
      </w:r>
      <w:r>
        <w:rPr>
          <w:spacing w:val="-1"/>
        </w:rPr>
        <w:t xml:space="preserve"> </w:t>
      </w:r>
      <w:r>
        <w:rPr>
          <w:spacing w:val="-2"/>
        </w:rPr>
        <w:t>Administration”).</w:t>
      </w:r>
    </w:p>
    <w:p>
      <w:pPr>
        <w:spacing w:before="241"/>
        <w:ind w:left="504" w:right="0" w:firstLine="0"/>
        <w:jc w:val="left"/>
        <w:rPr>
          <w:rFonts w:ascii="Arial" w:hAnsi="Arial"/>
          <w:b/>
          <w:sz w:val="21"/>
        </w:rPr>
      </w:pPr>
      <w:bookmarkStart w:id="162" w:name="Line 8 – Gain/Loss Margin"/>
      <w:bookmarkEnd w:id="162"/>
      <w:r>
        <w:rPr>
          <w:rFonts w:ascii="Arial" w:hAnsi="Arial"/>
          <w:b/>
          <w:sz w:val="21"/>
        </w:rPr>
        <w:t>Line</w:t>
      </w:r>
      <w:r>
        <w:rPr>
          <w:rFonts w:ascii="Arial" w:hAnsi="Arial"/>
          <w:b/>
          <w:spacing w:val="-4"/>
          <w:sz w:val="21"/>
        </w:rPr>
        <w:t xml:space="preserve"> </w:t>
      </w:r>
      <w:r>
        <w:rPr>
          <w:rFonts w:ascii="Arial" w:hAnsi="Arial"/>
          <w:b/>
          <w:sz w:val="21"/>
        </w:rPr>
        <w:t>8</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Gain/Loss</w:t>
      </w:r>
      <w:r>
        <w:rPr>
          <w:rFonts w:ascii="Arial" w:hAnsi="Arial"/>
          <w:b/>
          <w:spacing w:val="-4"/>
          <w:sz w:val="21"/>
        </w:rPr>
        <w:t xml:space="preserve"> </w:t>
      </w:r>
      <w:r>
        <w:rPr>
          <w:rFonts w:ascii="Arial" w:hAnsi="Arial"/>
          <w:b/>
          <w:spacing w:val="-2"/>
          <w:sz w:val="21"/>
        </w:rPr>
        <w:t>Margin</w:t>
      </w:r>
    </w:p>
    <w:p>
      <w:pPr>
        <w:pStyle w:val="BodyText"/>
        <w:spacing w:before="117"/>
        <w:ind w:right="1481"/>
      </w:pPr>
      <w:r>
        <w:t>Calculated</w:t>
      </w:r>
      <w:r>
        <w:rPr>
          <w:spacing w:val="-2"/>
        </w:rPr>
        <w:t xml:space="preserve"> </w:t>
      </w:r>
      <w:r>
        <w:t>as</w:t>
      </w:r>
      <w:r>
        <w:rPr>
          <w:spacing w:val="-3"/>
        </w:rPr>
        <w:t xml:space="preserve"> </w:t>
      </w:r>
      <w:r>
        <w:t>MA</w:t>
      </w:r>
      <w:r>
        <w:rPr>
          <w:spacing w:val="-3"/>
        </w:rPr>
        <w:t xml:space="preserve"> </w:t>
      </w:r>
      <w:r>
        <w:t>revenue</w:t>
      </w:r>
      <w:r>
        <w:rPr>
          <w:spacing w:val="-3"/>
        </w:rPr>
        <w:t xml:space="preserve"> </w:t>
      </w:r>
      <w:r>
        <w:t>(line</w:t>
      </w:r>
      <w:r>
        <w:rPr>
          <w:spacing w:val="-3"/>
        </w:rPr>
        <w:t xml:space="preserve"> </w:t>
      </w:r>
      <w:r>
        <w:t>3)</w:t>
      </w:r>
      <w:r>
        <w:rPr>
          <w:spacing w:val="-2"/>
        </w:rPr>
        <w:t xml:space="preserve"> </w:t>
      </w:r>
      <w:r>
        <w:t>less</w:t>
      </w:r>
      <w:r>
        <w:rPr>
          <w:spacing w:val="-3"/>
        </w:rPr>
        <w:t xml:space="preserve"> </w:t>
      </w:r>
      <w:r>
        <w:t>net</w:t>
      </w:r>
      <w:r>
        <w:rPr>
          <w:spacing w:val="-2"/>
        </w:rPr>
        <w:t xml:space="preserve"> </w:t>
      </w:r>
      <w:r>
        <w:t>medical</w:t>
      </w:r>
      <w:r>
        <w:rPr>
          <w:spacing w:val="-2"/>
        </w:rPr>
        <w:t xml:space="preserve"> </w:t>
      </w:r>
      <w:r>
        <w:t>expenses</w:t>
      </w:r>
      <w:r>
        <w:rPr>
          <w:spacing w:val="-3"/>
        </w:rPr>
        <w:t xml:space="preserve"> </w:t>
      </w:r>
      <w:r>
        <w:t>(line</w:t>
      </w:r>
      <w:r>
        <w:rPr>
          <w:spacing w:val="-2"/>
        </w:rPr>
        <w:t xml:space="preserve"> </w:t>
      </w:r>
      <w:r>
        <w:t>4)</w:t>
      </w:r>
      <w:r>
        <w:rPr>
          <w:spacing w:val="-4"/>
        </w:rPr>
        <w:t xml:space="preserve"> </w:t>
      </w:r>
      <w:r>
        <w:t>less</w:t>
      </w:r>
      <w:r>
        <w:rPr>
          <w:spacing w:val="-3"/>
        </w:rPr>
        <w:t xml:space="preserve"> </w:t>
      </w:r>
      <w:r>
        <w:t>MA</w:t>
      </w:r>
      <w:r>
        <w:rPr>
          <w:spacing w:val="-3"/>
        </w:rPr>
        <w:t xml:space="preserve"> </w:t>
      </w:r>
      <w:r>
        <w:t>non-benefit expenses (line 7).</w:t>
      </w:r>
    </w:p>
    <w:p>
      <w:pPr>
        <w:spacing w:before="242"/>
        <w:ind w:left="504" w:right="0" w:firstLine="0"/>
        <w:jc w:val="left"/>
        <w:rPr>
          <w:rFonts w:ascii="Arial" w:hAnsi="Arial"/>
          <w:b/>
          <w:sz w:val="21"/>
        </w:rPr>
      </w:pPr>
      <w:bookmarkStart w:id="163" w:name="Line 9 – Percentage of Revenue"/>
      <w:bookmarkEnd w:id="163"/>
      <w:r>
        <w:rPr>
          <w:rFonts w:ascii="Arial" w:hAnsi="Arial"/>
          <w:b/>
          <w:sz w:val="21"/>
        </w:rPr>
        <w:t>Line</w:t>
      </w:r>
      <w:r>
        <w:rPr>
          <w:rFonts w:ascii="Arial" w:hAnsi="Arial"/>
          <w:b/>
          <w:spacing w:val="-5"/>
          <w:sz w:val="21"/>
        </w:rPr>
        <w:t xml:space="preserve"> </w:t>
      </w:r>
      <w:r>
        <w:rPr>
          <w:rFonts w:ascii="Arial" w:hAnsi="Arial"/>
          <w:b/>
          <w:sz w:val="21"/>
        </w:rPr>
        <w:t>9</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Percentage</w:t>
      </w:r>
      <w:r>
        <w:rPr>
          <w:rFonts w:ascii="Arial" w:hAnsi="Arial"/>
          <w:b/>
          <w:spacing w:val="-3"/>
          <w:sz w:val="21"/>
        </w:rPr>
        <w:t xml:space="preserve"> </w:t>
      </w:r>
      <w:r>
        <w:rPr>
          <w:rFonts w:ascii="Arial" w:hAnsi="Arial"/>
          <w:b/>
          <w:sz w:val="21"/>
        </w:rPr>
        <w:t>of</w:t>
      </w:r>
      <w:r>
        <w:rPr>
          <w:rFonts w:ascii="Arial" w:hAnsi="Arial"/>
          <w:b/>
          <w:spacing w:val="-7"/>
          <w:sz w:val="21"/>
        </w:rPr>
        <w:t xml:space="preserve"> </w:t>
      </w:r>
      <w:r>
        <w:rPr>
          <w:rFonts w:ascii="Arial" w:hAnsi="Arial"/>
          <w:b/>
          <w:spacing w:val="-2"/>
          <w:sz w:val="21"/>
        </w:rPr>
        <w:t>Revenue</w:t>
      </w:r>
    </w:p>
    <w:p>
      <w:pPr>
        <w:pStyle w:val="BodyText"/>
        <w:spacing w:before="120"/>
        <w:ind w:right="2356"/>
      </w:pPr>
      <w:r>
        <w:t>Lines</w:t>
      </w:r>
      <w:r>
        <w:rPr>
          <w:spacing w:val="-3"/>
        </w:rPr>
        <w:t xml:space="preserve"> </w:t>
      </w:r>
      <w:r>
        <w:t>9a,</w:t>
      </w:r>
      <w:r>
        <w:rPr>
          <w:spacing w:val="-3"/>
        </w:rPr>
        <w:t xml:space="preserve"> </w:t>
      </w:r>
      <w:r>
        <w:t>9b,</w:t>
      </w:r>
      <w:r>
        <w:rPr>
          <w:spacing w:val="-3"/>
        </w:rPr>
        <w:t xml:space="preserve"> </w:t>
      </w:r>
      <w:r>
        <w:t>and</w:t>
      </w:r>
      <w:r>
        <w:rPr>
          <w:spacing w:val="-3"/>
        </w:rPr>
        <w:t xml:space="preserve"> </w:t>
      </w:r>
      <w:r>
        <w:t>9c</w:t>
      </w:r>
      <w:r>
        <w:rPr>
          <w:spacing w:val="-2"/>
        </w:rPr>
        <w:t xml:space="preserve"> </w:t>
      </w:r>
      <w:r>
        <w:t>compute</w:t>
      </w:r>
      <w:r>
        <w:rPr>
          <w:spacing w:val="-3"/>
        </w:rPr>
        <w:t xml:space="preserve"> </w:t>
      </w:r>
      <w:r>
        <w:t>the</w:t>
      </w:r>
      <w:r>
        <w:rPr>
          <w:spacing w:val="-4"/>
        </w:rPr>
        <w:t xml:space="preserve"> </w:t>
      </w:r>
      <w:r>
        <w:t>percentage</w:t>
      </w:r>
      <w:r>
        <w:rPr>
          <w:spacing w:val="-4"/>
        </w:rPr>
        <w:t xml:space="preserve"> </w:t>
      </w:r>
      <w:r>
        <w:t>of</w:t>
      </w:r>
      <w:r>
        <w:rPr>
          <w:spacing w:val="-4"/>
        </w:rPr>
        <w:t xml:space="preserve"> </w:t>
      </w:r>
      <w:r>
        <w:t>MA</w:t>
      </w:r>
      <w:r>
        <w:rPr>
          <w:spacing w:val="-3"/>
        </w:rPr>
        <w:t xml:space="preserve"> </w:t>
      </w:r>
      <w:r>
        <w:t>revenue</w:t>
      </w:r>
      <w:r>
        <w:rPr>
          <w:spacing w:val="-4"/>
        </w:rPr>
        <w:t xml:space="preserve"> </w:t>
      </w:r>
      <w:r>
        <w:t>for</w:t>
      </w:r>
      <w:r>
        <w:rPr>
          <w:spacing w:val="-5"/>
        </w:rPr>
        <w:t xml:space="preserve"> </w:t>
      </w:r>
      <w:r>
        <w:t>net</w:t>
      </w:r>
      <w:r>
        <w:rPr>
          <w:spacing w:val="-3"/>
        </w:rPr>
        <w:t xml:space="preserve"> </w:t>
      </w:r>
      <w:r>
        <w:t>medical</w:t>
      </w:r>
      <w:r>
        <w:rPr>
          <w:spacing w:val="-3"/>
        </w:rPr>
        <w:t xml:space="preserve"> </w:t>
      </w:r>
      <w:r>
        <w:t>expenses, non-benefit expenses, and gain/loss margin for the base period.</w:t>
      </w:r>
    </w:p>
    <w:p>
      <w:pPr>
        <w:spacing w:before="240"/>
        <w:ind w:left="504" w:right="0" w:firstLine="0"/>
        <w:jc w:val="left"/>
        <w:rPr>
          <w:rFonts w:ascii="Arial" w:hAnsi="Arial"/>
          <w:b/>
          <w:sz w:val="21"/>
        </w:rPr>
      </w:pPr>
      <w:bookmarkStart w:id="164" w:name="Lines 10a and 10b – Medicaid Revenue and"/>
      <w:bookmarkEnd w:id="164"/>
      <w:r>
        <w:rPr>
          <w:rFonts w:ascii="Arial" w:hAnsi="Arial"/>
          <w:b/>
          <w:sz w:val="21"/>
        </w:rPr>
        <w:t>Lines</w:t>
      </w:r>
      <w:r>
        <w:rPr>
          <w:rFonts w:ascii="Arial" w:hAnsi="Arial"/>
          <w:b/>
          <w:spacing w:val="-8"/>
          <w:sz w:val="21"/>
        </w:rPr>
        <w:t xml:space="preserve"> </w:t>
      </w:r>
      <w:r>
        <w:rPr>
          <w:rFonts w:ascii="Arial" w:hAnsi="Arial"/>
          <w:b/>
          <w:sz w:val="21"/>
        </w:rPr>
        <w:t>10a</w:t>
      </w:r>
      <w:r>
        <w:rPr>
          <w:rFonts w:ascii="Arial" w:hAnsi="Arial"/>
          <w:b/>
          <w:spacing w:val="-5"/>
          <w:sz w:val="21"/>
        </w:rPr>
        <w:t xml:space="preserve"> </w:t>
      </w:r>
      <w:r>
        <w:rPr>
          <w:rFonts w:ascii="Arial" w:hAnsi="Arial"/>
          <w:b/>
          <w:sz w:val="21"/>
        </w:rPr>
        <w:t>and</w:t>
      </w:r>
      <w:r>
        <w:rPr>
          <w:rFonts w:ascii="Arial" w:hAnsi="Arial"/>
          <w:b/>
          <w:spacing w:val="-4"/>
          <w:sz w:val="21"/>
        </w:rPr>
        <w:t xml:space="preserve"> </w:t>
      </w:r>
      <w:r>
        <w:rPr>
          <w:rFonts w:ascii="Arial" w:hAnsi="Arial"/>
          <w:b/>
          <w:sz w:val="21"/>
        </w:rPr>
        <w:t>10b</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Medicaid</w:t>
      </w:r>
      <w:r>
        <w:rPr>
          <w:rFonts w:ascii="Arial" w:hAnsi="Arial"/>
          <w:b/>
          <w:spacing w:val="-7"/>
          <w:sz w:val="21"/>
        </w:rPr>
        <w:t xml:space="preserve"> </w:t>
      </w:r>
      <w:r>
        <w:rPr>
          <w:rFonts w:ascii="Arial" w:hAnsi="Arial"/>
          <w:b/>
          <w:sz w:val="21"/>
        </w:rPr>
        <w:t>Revenue</w:t>
      </w:r>
      <w:r>
        <w:rPr>
          <w:rFonts w:ascii="Arial" w:hAnsi="Arial"/>
          <w:b/>
          <w:spacing w:val="-5"/>
          <w:sz w:val="21"/>
        </w:rPr>
        <w:t xml:space="preserve"> </w:t>
      </w:r>
      <w:r>
        <w:rPr>
          <w:rFonts w:ascii="Arial" w:hAnsi="Arial"/>
          <w:b/>
          <w:sz w:val="21"/>
        </w:rPr>
        <w:t>and</w:t>
      </w:r>
      <w:r>
        <w:rPr>
          <w:rFonts w:ascii="Arial" w:hAnsi="Arial"/>
          <w:b/>
          <w:spacing w:val="-4"/>
          <w:sz w:val="21"/>
        </w:rPr>
        <w:t xml:space="preserve"> </w:t>
      </w:r>
      <w:r>
        <w:rPr>
          <w:rFonts w:ascii="Arial" w:hAnsi="Arial"/>
          <w:b/>
          <w:sz w:val="21"/>
        </w:rPr>
        <w:t>Medicaid</w:t>
      </w:r>
      <w:r>
        <w:rPr>
          <w:rFonts w:ascii="Arial" w:hAnsi="Arial"/>
          <w:b/>
          <w:spacing w:val="-4"/>
          <w:sz w:val="21"/>
        </w:rPr>
        <w:t xml:space="preserve"> Cost</w:t>
      </w:r>
    </w:p>
    <w:p>
      <w:pPr>
        <w:pStyle w:val="BodyText"/>
        <w:spacing w:before="121"/>
        <w:ind w:right="1481"/>
      </w:pPr>
      <w:r>
        <w:t>See</w:t>
      </w:r>
      <w:r>
        <w:rPr>
          <w:spacing w:val="-5"/>
        </w:rPr>
        <w:t xml:space="preserve"> </w:t>
      </w:r>
      <w:r>
        <w:t>the</w:t>
      </w:r>
      <w:r>
        <w:rPr>
          <w:spacing w:val="-4"/>
        </w:rPr>
        <w:t xml:space="preserve"> </w:t>
      </w:r>
      <w:r>
        <w:t>“Dual-Eligible</w:t>
      </w:r>
      <w:r>
        <w:rPr>
          <w:spacing w:val="-4"/>
        </w:rPr>
        <w:t xml:space="preserve"> </w:t>
      </w:r>
      <w:r>
        <w:t>Beneficiaries”</w:t>
      </w:r>
      <w:r>
        <w:rPr>
          <w:spacing w:val="-5"/>
        </w:rPr>
        <w:t xml:space="preserve"> </w:t>
      </w:r>
      <w:r>
        <w:t>pricing</w:t>
      </w:r>
      <w:r>
        <w:rPr>
          <w:spacing w:val="-4"/>
        </w:rPr>
        <w:t xml:space="preserve"> </w:t>
      </w:r>
      <w:r>
        <w:t>consideration</w:t>
      </w:r>
      <w:r>
        <w:rPr>
          <w:spacing w:val="-3"/>
        </w:rPr>
        <w:t xml:space="preserve"> </w:t>
      </w:r>
      <w:r>
        <w:t>for</w:t>
      </w:r>
      <w:r>
        <w:rPr>
          <w:spacing w:val="-6"/>
        </w:rPr>
        <w:t xml:space="preserve"> </w:t>
      </w:r>
      <w:r>
        <w:t>more</w:t>
      </w:r>
      <w:r>
        <w:rPr>
          <w:spacing w:val="-5"/>
        </w:rPr>
        <w:t xml:space="preserve"> </w:t>
      </w:r>
      <w:r>
        <w:t>information</w:t>
      </w:r>
      <w:r>
        <w:rPr>
          <w:spacing w:val="-4"/>
        </w:rPr>
        <w:t xml:space="preserve"> </w:t>
      </w:r>
      <w:r>
        <w:t>about Medicaid data.</w:t>
      </w:r>
    </w:p>
    <w:p>
      <w:pPr>
        <w:pStyle w:val="BodyText"/>
        <w:spacing w:before="120"/>
      </w:pPr>
      <w:r>
        <w:t>The</w:t>
      </w:r>
      <w:r>
        <w:rPr>
          <w:spacing w:val="-5"/>
        </w:rPr>
        <w:t xml:space="preserve"> </w:t>
      </w:r>
      <w:r>
        <w:t>amounts</w:t>
      </w:r>
      <w:r>
        <w:rPr>
          <w:spacing w:val="-2"/>
        </w:rPr>
        <w:t xml:space="preserve"> </w:t>
      </w:r>
      <w:r>
        <w:t>in</w:t>
      </w:r>
      <w:r>
        <w:rPr>
          <w:spacing w:val="-1"/>
        </w:rPr>
        <w:t xml:space="preserve"> </w:t>
      </w:r>
      <w:r>
        <w:t>lines 10a,</w:t>
      </w:r>
      <w:r>
        <w:rPr>
          <w:spacing w:val="-1"/>
        </w:rPr>
        <w:t xml:space="preserve"> </w:t>
      </w:r>
      <w:r>
        <w:t>10b,</w:t>
      </w:r>
      <w:r>
        <w:rPr>
          <w:spacing w:val="-1"/>
        </w:rPr>
        <w:t xml:space="preserve"> </w:t>
      </w:r>
      <w:r>
        <w:t>10b1, and10b2</w:t>
      </w:r>
      <w:r>
        <w:rPr>
          <w:spacing w:val="-1"/>
        </w:rPr>
        <w:t xml:space="preserve"> </w:t>
      </w:r>
      <w:r>
        <w:t>are in total</w:t>
      </w:r>
      <w:r>
        <w:rPr>
          <w:spacing w:val="-1"/>
        </w:rPr>
        <w:t xml:space="preserve"> </w:t>
      </w:r>
      <w:r>
        <w:t>dollars</w:t>
      </w:r>
      <w:r>
        <w:rPr>
          <w:spacing w:val="-2"/>
        </w:rPr>
        <w:t xml:space="preserve"> </w:t>
      </w:r>
      <w:r>
        <w:t xml:space="preserve">(not </w:t>
      </w:r>
      <w:r>
        <w:rPr>
          <w:spacing w:val="-2"/>
        </w:rPr>
        <w:t>PMPMs).</w:t>
      </w:r>
    </w:p>
    <w:p>
      <w:pPr>
        <w:pStyle w:val="BodyText"/>
        <w:spacing w:before="117"/>
        <w:ind w:right="1841"/>
      </w:pPr>
      <w:r>
        <w:t>Line</w:t>
      </w:r>
      <w:r>
        <w:rPr>
          <w:spacing w:val="-5"/>
        </w:rPr>
        <w:t xml:space="preserve"> </w:t>
      </w:r>
      <w:r>
        <w:t>10b</w:t>
      </w:r>
      <w:r>
        <w:rPr>
          <w:spacing w:val="-4"/>
        </w:rPr>
        <w:t xml:space="preserve"> </w:t>
      </w:r>
      <w:r>
        <w:t>computes</w:t>
      </w:r>
      <w:r>
        <w:rPr>
          <w:spacing w:val="-5"/>
        </w:rPr>
        <w:t xml:space="preserve"> </w:t>
      </w:r>
      <w:r>
        <w:t>the</w:t>
      </w:r>
      <w:r>
        <w:rPr>
          <w:spacing w:val="-3"/>
        </w:rPr>
        <w:t xml:space="preserve"> </w:t>
      </w:r>
      <w:r>
        <w:t>Medicaid</w:t>
      </w:r>
      <w:r>
        <w:rPr>
          <w:spacing w:val="-4"/>
        </w:rPr>
        <w:t xml:space="preserve"> </w:t>
      </w:r>
      <w:r>
        <w:t>cost</w:t>
      </w:r>
      <w:r>
        <w:rPr>
          <w:spacing w:val="-4"/>
        </w:rPr>
        <w:t xml:space="preserve"> </w:t>
      </w:r>
      <w:r>
        <w:t>from</w:t>
      </w:r>
      <w:r>
        <w:rPr>
          <w:spacing w:val="-4"/>
        </w:rPr>
        <w:t xml:space="preserve"> </w:t>
      </w:r>
      <w:r>
        <w:t>Medicaid</w:t>
      </w:r>
      <w:r>
        <w:rPr>
          <w:spacing w:val="-4"/>
        </w:rPr>
        <w:t xml:space="preserve"> </w:t>
      </w:r>
      <w:r>
        <w:t>benefit</w:t>
      </w:r>
      <w:r>
        <w:rPr>
          <w:spacing w:val="-4"/>
        </w:rPr>
        <w:t xml:space="preserve"> </w:t>
      </w:r>
      <w:r>
        <w:t>expenses</w:t>
      </w:r>
      <w:r>
        <w:rPr>
          <w:spacing w:val="-2"/>
        </w:rPr>
        <w:t xml:space="preserve"> </w:t>
      </w:r>
      <w:r>
        <w:t>(line</w:t>
      </w:r>
      <w:r>
        <w:rPr>
          <w:spacing w:val="-5"/>
        </w:rPr>
        <w:t xml:space="preserve"> </w:t>
      </w:r>
      <w:r>
        <w:t>10b1)</w:t>
      </w:r>
      <w:r>
        <w:rPr>
          <w:spacing w:val="-5"/>
        </w:rPr>
        <w:t xml:space="preserve"> </w:t>
      </w:r>
      <w:r>
        <w:t>and Medicaid non-benefit expenses (line 10b2).</w:t>
      </w:r>
    </w:p>
    <w:p>
      <w:pPr>
        <w:pStyle w:val="BodyText"/>
        <w:spacing w:before="46"/>
        <w:ind w:left="0"/>
      </w:pPr>
    </w:p>
    <w:p>
      <w:pPr>
        <w:pStyle w:val="Heading2"/>
        <w:jc w:val="both"/>
      </w:pPr>
      <w:bookmarkStart w:id="165" w:name="Section VI – Base Period Risk-Sharing Pa"/>
      <w:bookmarkEnd w:id="165"/>
      <w:bookmarkStart w:id="166" w:name="_bookmark48"/>
      <w:bookmarkEnd w:id="166"/>
      <w:r>
        <w:rPr>
          <w:smallCaps/>
        </w:rPr>
        <w:t>Section</w:t>
      </w:r>
      <w:r>
        <w:rPr>
          <w:smallCaps/>
          <w:spacing w:val="-15"/>
        </w:rPr>
        <w:t xml:space="preserve"> </w:t>
      </w:r>
      <w:r>
        <w:rPr>
          <w:smallCaps/>
        </w:rPr>
        <w:t>VI</w:t>
      </w:r>
      <w:r>
        <w:rPr>
          <w:smallCaps/>
          <w:spacing w:val="-15"/>
        </w:rPr>
        <w:t xml:space="preserve"> </w:t>
      </w:r>
      <w:r>
        <w:rPr>
          <w:smallCaps/>
        </w:rPr>
        <w:t>–</w:t>
      </w:r>
      <w:r>
        <w:rPr>
          <w:smallCaps/>
          <w:spacing w:val="-15"/>
        </w:rPr>
        <w:t xml:space="preserve"> </w:t>
      </w:r>
      <w:r>
        <w:rPr>
          <w:smallCaps/>
        </w:rPr>
        <w:t>Base</w:t>
      </w:r>
      <w:r>
        <w:rPr>
          <w:smallCaps/>
          <w:spacing w:val="-11"/>
        </w:rPr>
        <w:t xml:space="preserve"> </w:t>
      </w:r>
      <w:r>
        <w:rPr>
          <w:smallCaps/>
        </w:rPr>
        <w:t>Period</w:t>
      </w:r>
      <w:r>
        <w:rPr>
          <w:smallCaps/>
          <w:spacing w:val="-7"/>
        </w:rPr>
        <w:t xml:space="preserve"> </w:t>
      </w:r>
      <w:r>
        <w:rPr>
          <w:smallCaps/>
        </w:rPr>
        <w:t>Risk-Sharing</w:t>
      </w:r>
      <w:r>
        <w:rPr>
          <w:smallCaps/>
          <w:spacing w:val="-11"/>
        </w:rPr>
        <w:t xml:space="preserve"> </w:t>
      </w:r>
      <w:r>
        <w:rPr>
          <w:smallCaps/>
          <w:spacing w:val="-2"/>
        </w:rPr>
        <w:t>Payments</w:t>
      </w:r>
    </w:p>
    <w:p>
      <w:pPr>
        <w:pStyle w:val="BodyText"/>
        <w:spacing w:before="179"/>
        <w:ind w:right="1481"/>
      </w:pPr>
      <w:r>
        <w:t>Section</w:t>
      </w:r>
      <w:r>
        <w:rPr>
          <w:spacing w:val="-3"/>
        </w:rPr>
        <w:t xml:space="preserve"> </w:t>
      </w:r>
      <w:r>
        <w:t>VI</w:t>
      </w:r>
      <w:r>
        <w:rPr>
          <w:spacing w:val="-6"/>
        </w:rPr>
        <w:t xml:space="preserve"> </w:t>
      </w:r>
      <w:r>
        <w:t>summarizes</w:t>
      </w:r>
      <w:r>
        <w:rPr>
          <w:spacing w:val="-4"/>
        </w:rPr>
        <w:t xml:space="preserve"> </w:t>
      </w:r>
      <w:r>
        <w:t>the</w:t>
      </w:r>
      <w:r>
        <w:rPr>
          <w:spacing w:val="-4"/>
        </w:rPr>
        <w:t xml:space="preserve"> </w:t>
      </w:r>
      <w:r>
        <w:t>base</w:t>
      </w:r>
      <w:r>
        <w:rPr>
          <w:spacing w:val="-4"/>
        </w:rPr>
        <w:t xml:space="preserve"> </w:t>
      </w:r>
      <w:r>
        <w:t>period</w:t>
      </w:r>
      <w:r>
        <w:rPr>
          <w:spacing w:val="-3"/>
        </w:rPr>
        <w:t xml:space="preserve"> </w:t>
      </w:r>
      <w:r>
        <w:t>risk-sharing</w:t>
      </w:r>
      <w:r>
        <w:rPr>
          <w:spacing w:val="-3"/>
        </w:rPr>
        <w:t xml:space="preserve"> </w:t>
      </w:r>
      <w:r>
        <w:t>arrangement</w:t>
      </w:r>
      <w:r>
        <w:rPr>
          <w:spacing w:val="-3"/>
        </w:rPr>
        <w:t xml:space="preserve"> </w:t>
      </w:r>
      <w:r>
        <w:t>payments</w:t>
      </w:r>
      <w:r>
        <w:rPr>
          <w:spacing w:val="-4"/>
        </w:rPr>
        <w:t xml:space="preserve"> </w:t>
      </w:r>
      <w:r>
        <w:t>net</w:t>
      </w:r>
      <w:r>
        <w:rPr>
          <w:spacing w:val="-3"/>
        </w:rPr>
        <w:t xml:space="preserve"> </w:t>
      </w:r>
      <w:r>
        <w:t>PMPM</w:t>
      </w:r>
      <w:r>
        <w:rPr>
          <w:spacing w:val="-4"/>
        </w:rPr>
        <w:t xml:space="preserve"> </w:t>
      </w:r>
      <w:r>
        <w:t>amount by service category.</w:t>
      </w:r>
    </w:p>
    <w:p>
      <w:pPr>
        <w:pStyle w:val="BodyText"/>
        <w:spacing w:after="0"/>
        <w:sectPr>
          <w:pgSz w:w="12240" w:h="15840"/>
          <w:pgMar w:top="960" w:right="0" w:bottom="940" w:left="1080" w:header="727" w:footer="747"/>
          <w:cols w:space="720"/>
        </w:sectPr>
      </w:pPr>
    </w:p>
    <w:p>
      <w:pPr>
        <w:pStyle w:val="BodyText"/>
        <w:spacing w:before="225"/>
        <w:ind w:left="0"/>
        <w:rPr>
          <w:sz w:val="21"/>
        </w:rPr>
      </w:pPr>
    </w:p>
    <w:p>
      <w:pPr>
        <w:spacing w:before="0"/>
        <w:ind w:left="504" w:right="0" w:firstLine="0"/>
        <w:jc w:val="left"/>
        <w:rPr>
          <w:rFonts w:ascii="Arial"/>
          <w:b/>
          <w:sz w:val="21"/>
        </w:rPr>
      </w:pPr>
      <w:r>
        <w:rPr>
          <w:rFonts w:ascii="Arial"/>
          <w:b/>
          <w:sz w:val="21"/>
        </w:rPr>
        <w:t>In</w:t>
      </w:r>
      <w:r>
        <w:rPr>
          <w:rFonts w:ascii="Arial"/>
          <w:b/>
          <w:spacing w:val="-4"/>
          <w:sz w:val="21"/>
        </w:rPr>
        <w:t xml:space="preserve"> </w:t>
      </w:r>
      <w:r>
        <w:rPr>
          <w:rFonts w:ascii="Arial"/>
          <w:b/>
          <w:sz w:val="21"/>
        </w:rPr>
        <w:t>lines</w:t>
      </w:r>
      <w:r>
        <w:rPr>
          <w:rFonts w:ascii="Arial"/>
          <w:b/>
          <w:spacing w:val="-3"/>
          <w:sz w:val="21"/>
        </w:rPr>
        <w:t xml:space="preserve"> </w:t>
      </w:r>
      <w:r>
        <w:rPr>
          <w:rFonts w:ascii="Arial"/>
          <w:b/>
          <w:sz w:val="21"/>
        </w:rPr>
        <w:t>a</w:t>
      </w:r>
      <w:r>
        <w:rPr>
          <w:rFonts w:ascii="Arial"/>
          <w:b/>
          <w:spacing w:val="-4"/>
          <w:sz w:val="21"/>
        </w:rPr>
        <w:t xml:space="preserve"> </w:t>
      </w:r>
      <w:r>
        <w:rPr>
          <w:rFonts w:ascii="Arial"/>
          <w:b/>
          <w:sz w:val="21"/>
        </w:rPr>
        <w:t>through</w:t>
      </w:r>
      <w:r>
        <w:rPr>
          <w:rFonts w:ascii="Arial"/>
          <w:b/>
          <w:spacing w:val="-3"/>
          <w:sz w:val="21"/>
        </w:rPr>
        <w:t xml:space="preserve"> </w:t>
      </w:r>
      <w:r>
        <w:rPr>
          <w:rFonts w:ascii="Arial"/>
          <w:b/>
          <w:spacing w:val="-5"/>
          <w:sz w:val="21"/>
        </w:rPr>
        <w:t>q:</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v</w:t>
      </w:r>
      <w:r>
        <w:rPr>
          <w:rFonts w:ascii="Arial" w:hAnsi="Arial"/>
          <w:b/>
          <w:spacing w:val="-2"/>
          <w:sz w:val="21"/>
        </w:rPr>
        <w:t xml:space="preserve"> </w:t>
      </w:r>
      <w:r>
        <w:rPr>
          <w:rFonts w:ascii="Arial" w:hAnsi="Arial"/>
          <w:b/>
          <w:sz w:val="21"/>
        </w:rPr>
        <w:t>–</w:t>
      </w:r>
      <w:r>
        <w:rPr>
          <w:rFonts w:ascii="Arial" w:hAnsi="Arial"/>
          <w:b/>
          <w:spacing w:val="-4"/>
          <w:sz w:val="21"/>
        </w:rPr>
        <w:t xml:space="preserve"> </w:t>
      </w:r>
      <w:r>
        <w:rPr>
          <w:rFonts w:ascii="Arial" w:hAnsi="Arial"/>
          <w:b/>
          <w:sz w:val="21"/>
        </w:rPr>
        <w:t>Net</w:t>
      </w:r>
      <w:r>
        <w:rPr>
          <w:rFonts w:ascii="Arial" w:hAnsi="Arial"/>
          <w:b/>
          <w:spacing w:val="-1"/>
          <w:sz w:val="21"/>
        </w:rPr>
        <w:t xml:space="preserve"> </w:t>
      </w:r>
      <w:r>
        <w:rPr>
          <w:rFonts w:ascii="Arial" w:hAnsi="Arial"/>
          <w:b/>
          <w:spacing w:val="-4"/>
          <w:sz w:val="21"/>
        </w:rPr>
        <w:t>PMPM</w:t>
      </w:r>
    </w:p>
    <w:p>
      <w:pPr>
        <w:pStyle w:val="BodyText"/>
        <w:spacing w:before="118"/>
        <w:ind w:left="1224" w:right="1481"/>
      </w:pPr>
      <w:r>
        <w:t>Enter the net PMPM for base period risk-sharing arrangement payments by service category. The amount entered in this column is a subset of the net PMPMs entered in Section</w:t>
      </w:r>
      <w:r>
        <w:rPr>
          <w:spacing w:val="-3"/>
        </w:rPr>
        <w:t xml:space="preserve"> </w:t>
      </w:r>
      <w:r>
        <w:t>III,</w:t>
      </w:r>
      <w:r>
        <w:rPr>
          <w:spacing w:val="-3"/>
        </w:rPr>
        <w:t xml:space="preserve"> </w:t>
      </w:r>
      <w:r>
        <w:t>column</w:t>
      </w:r>
      <w:r>
        <w:rPr>
          <w:spacing w:val="-3"/>
        </w:rPr>
        <w:t xml:space="preserve"> </w:t>
      </w:r>
      <w:r>
        <w:t>d,</w:t>
      </w:r>
      <w:r>
        <w:rPr>
          <w:spacing w:val="-3"/>
        </w:rPr>
        <w:t xml:space="preserve"> </w:t>
      </w:r>
      <w:r>
        <w:t>and</w:t>
      </w:r>
      <w:r>
        <w:rPr>
          <w:spacing w:val="-3"/>
        </w:rPr>
        <w:t xml:space="preserve"> </w:t>
      </w:r>
      <w:r>
        <w:t>may</w:t>
      </w:r>
      <w:r>
        <w:rPr>
          <w:spacing w:val="-3"/>
        </w:rPr>
        <w:t xml:space="preserve"> </w:t>
      </w:r>
      <w:r>
        <w:t>be</w:t>
      </w:r>
      <w:r>
        <w:rPr>
          <w:spacing w:val="-5"/>
        </w:rPr>
        <w:t xml:space="preserve"> </w:t>
      </w:r>
      <w:r>
        <w:t>positive</w:t>
      </w:r>
      <w:r>
        <w:rPr>
          <w:spacing w:val="-4"/>
        </w:rPr>
        <w:t xml:space="preserve"> </w:t>
      </w:r>
      <w:r>
        <w:t>or</w:t>
      </w:r>
      <w:r>
        <w:rPr>
          <w:spacing w:val="-3"/>
        </w:rPr>
        <w:t xml:space="preserve"> </w:t>
      </w:r>
      <w:r>
        <w:t>negative</w:t>
      </w:r>
      <w:r>
        <w:rPr>
          <w:spacing w:val="-4"/>
        </w:rPr>
        <w:t xml:space="preserve"> </w:t>
      </w:r>
      <w:r>
        <w:t>depending</w:t>
      </w:r>
      <w:r>
        <w:rPr>
          <w:spacing w:val="-3"/>
        </w:rPr>
        <w:t xml:space="preserve"> </w:t>
      </w:r>
      <w:r>
        <w:t>on</w:t>
      </w:r>
      <w:r>
        <w:rPr>
          <w:spacing w:val="-3"/>
        </w:rPr>
        <w:t xml:space="preserve"> </w:t>
      </w:r>
      <w:r>
        <w:t>the</w:t>
      </w:r>
      <w:r>
        <w:rPr>
          <w:spacing w:val="-4"/>
        </w:rPr>
        <w:t xml:space="preserve"> </w:t>
      </w:r>
      <w:r>
        <w:t>direction</w:t>
      </w:r>
      <w:r>
        <w:rPr>
          <w:spacing w:val="-3"/>
        </w:rPr>
        <w:t xml:space="preserve"> </w:t>
      </w:r>
      <w:r>
        <w:t>of</w:t>
      </w:r>
      <w:r>
        <w:rPr>
          <w:spacing w:val="-4"/>
        </w:rPr>
        <w:t xml:space="preserve"> </w:t>
      </w:r>
      <w:r>
        <w:t>the payment. For example, if the payment was made from the plan sponsor to the provider the amount would be positive, whereas if the payment was made from the provider to the plan sponsor the amount would be negative. Do not include salaries, fee-for-service payments, capitations, or returned withholds in column v.</w:t>
      </w:r>
    </w:p>
    <w:p>
      <w:pPr>
        <w:spacing w:before="241"/>
        <w:ind w:left="504" w:right="0" w:firstLine="0"/>
        <w:jc w:val="left"/>
        <w:rPr>
          <w:rFonts w:ascii="Arial" w:hAnsi="Arial"/>
          <w:b/>
          <w:sz w:val="21"/>
        </w:rPr>
      </w:pPr>
      <w:r>
        <w:rPr>
          <w:rFonts w:ascii="Arial" w:hAnsi="Arial"/>
          <w:b/>
          <w:sz w:val="21"/>
        </w:rPr>
        <w:t>Line</w:t>
      </w:r>
      <w:r>
        <w:rPr>
          <w:rFonts w:ascii="Arial" w:hAnsi="Arial"/>
          <w:b/>
          <w:spacing w:val="-7"/>
          <w:sz w:val="21"/>
        </w:rPr>
        <w:t xml:space="preserve"> </w:t>
      </w:r>
      <w:r>
        <w:rPr>
          <w:rFonts w:ascii="Arial" w:hAnsi="Arial"/>
          <w:b/>
          <w:sz w:val="21"/>
        </w:rPr>
        <w:t>r</w:t>
      </w:r>
      <w:r>
        <w:rPr>
          <w:rFonts w:ascii="Arial" w:hAnsi="Arial"/>
          <w:b/>
          <w:spacing w:val="-7"/>
          <w:sz w:val="21"/>
        </w:rPr>
        <w:t xml:space="preserve"> </w:t>
      </w:r>
      <w:r>
        <w:rPr>
          <w:rFonts w:ascii="Arial" w:hAnsi="Arial"/>
          <w:b/>
          <w:sz w:val="21"/>
        </w:rPr>
        <w:t>–</w:t>
      </w:r>
      <w:r>
        <w:rPr>
          <w:rFonts w:ascii="Arial" w:hAnsi="Arial"/>
          <w:b/>
          <w:spacing w:val="-6"/>
          <w:sz w:val="21"/>
        </w:rPr>
        <w:t xml:space="preserve"> </w:t>
      </w:r>
      <w:r>
        <w:rPr>
          <w:rFonts w:ascii="Arial" w:hAnsi="Arial"/>
          <w:b/>
          <w:sz w:val="21"/>
        </w:rPr>
        <w:t>COB/Subrogation</w:t>
      </w:r>
      <w:r>
        <w:rPr>
          <w:rFonts w:ascii="Arial" w:hAnsi="Arial"/>
          <w:b/>
          <w:spacing w:val="-5"/>
          <w:sz w:val="21"/>
        </w:rPr>
        <w:t xml:space="preserve"> </w:t>
      </w:r>
      <w:r>
        <w:rPr>
          <w:rFonts w:ascii="Arial" w:hAnsi="Arial"/>
          <w:b/>
          <w:sz w:val="21"/>
        </w:rPr>
        <w:t>(outside</w:t>
      </w:r>
      <w:r>
        <w:rPr>
          <w:rFonts w:ascii="Arial" w:hAnsi="Arial"/>
          <w:b/>
          <w:spacing w:val="-6"/>
          <w:sz w:val="21"/>
        </w:rPr>
        <w:t xml:space="preserve"> </w:t>
      </w:r>
      <w:r>
        <w:rPr>
          <w:rFonts w:ascii="Arial" w:hAnsi="Arial"/>
          <w:b/>
          <w:sz w:val="21"/>
        </w:rPr>
        <w:t>claims</w:t>
      </w:r>
      <w:r>
        <w:rPr>
          <w:rFonts w:ascii="Arial" w:hAnsi="Arial"/>
          <w:b/>
          <w:spacing w:val="-7"/>
          <w:sz w:val="21"/>
        </w:rPr>
        <w:t xml:space="preserve"> </w:t>
      </w:r>
      <w:r>
        <w:rPr>
          <w:rFonts w:ascii="Arial" w:hAnsi="Arial"/>
          <w:b/>
          <w:spacing w:val="-2"/>
          <w:sz w:val="21"/>
        </w:rPr>
        <w:t>system):</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v</w:t>
      </w:r>
      <w:r>
        <w:rPr>
          <w:rFonts w:ascii="Arial" w:hAnsi="Arial"/>
          <w:b/>
          <w:spacing w:val="-2"/>
          <w:sz w:val="21"/>
        </w:rPr>
        <w:t xml:space="preserve"> </w:t>
      </w:r>
      <w:r>
        <w:rPr>
          <w:rFonts w:ascii="Arial" w:hAnsi="Arial"/>
          <w:b/>
          <w:sz w:val="21"/>
        </w:rPr>
        <w:t>–</w:t>
      </w:r>
      <w:r>
        <w:rPr>
          <w:rFonts w:ascii="Arial" w:hAnsi="Arial"/>
          <w:b/>
          <w:spacing w:val="-4"/>
          <w:sz w:val="21"/>
        </w:rPr>
        <w:t xml:space="preserve"> </w:t>
      </w:r>
      <w:r>
        <w:rPr>
          <w:rFonts w:ascii="Arial" w:hAnsi="Arial"/>
          <w:b/>
          <w:sz w:val="21"/>
        </w:rPr>
        <w:t>Net</w:t>
      </w:r>
      <w:r>
        <w:rPr>
          <w:rFonts w:ascii="Arial" w:hAnsi="Arial"/>
          <w:b/>
          <w:spacing w:val="-1"/>
          <w:sz w:val="21"/>
        </w:rPr>
        <w:t xml:space="preserve"> </w:t>
      </w:r>
      <w:r>
        <w:rPr>
          <w:rFonts w:ascii="Arial" w:hAnsi="Arial"/>
          <w:b/>
          <w:spacing w:val="-4"/>
          <w:sz w:val="21"/>
        </w:rPr>
        <w:t>PMPM</w:t>
      </w:r>
    </w:p>
    <w:p>
      <w:pPr>
        <w:pStyle w:val="BodyText"/>
        <w:spacing w:before="118"/>
        <w:ind w:left="1224"/>
      </w:pPr>
      <w:r>
        <w:t>Line</w:t>
      </w:r>
      <w:r>
        <w:rPr>
          <w:spacing w:val="-2"/>
        </w:rPr>
        <w:t xml:space="preserve"> </w:t>
      </w:r>
      <w:r>
        <w:t>r</w:t>
      </w:r>
      <w:r>
        <w:rPr>
          <w:spacing w:val="-1"/>
        </w:rPr>
        <w:t xml:space="preserve"> </w:t>
      </w:r>
      <w:r>
        <w:t>is</w:t>
      </w:r>
      <w:r>
        <w:rPr>
          <w:spacing w:val="-1"/>
        </w:rPr>
        <w:t xml:space="preserve"> </w:t>
      </w:r>
      <w:r>
        <w:t>set</w:t>
      </w:r>
      <w:r>
        <w:rPr>
          <w:spacing w:val="-1"/>
        </w:rPr>
        <w:t xml:space="preserve"> </w:t>
      </w:r>
      <w:r>
        <w:t>equal</w:t>
      </w:r>
      <w:r>
        <w:rPr>
          <w:spacing w:val="-1"/>
        </w:rPr>
        <w:t xml:space="preserve"> </w:t>
      </w:r>
      <w:r>
        <w:t xml:space="preserve">to </w:t>
      </w:r>
      <w:r>
        <w:rPr>
          <w:spacing w:val="-4"/>
        </w:rPr>
        <w:t>zero.</w:t>
      </w:r>
    </w:p>
    <w:p>
      <w:pPr>
        <w:pStyle w:val="BodyText"/>
        <w:spacing w:after="0"/>
        <w:sectPr>
          <w:pgSz w:w="12240" w:h="15840"/>
          <w:pgMar w:top="960" w:right="0" w:bottom="940" w:left="1080" w:header="727" w:footer="747"/>
          <w:cols w:space="720"/>
        </w:sectPr>
      </w:pPr>
    </w:p>
    <w:p>
      <w:pPr>
        <w:pStyle w:val="BodyText"/>
        <w:spacing w:before="264"/>
        <w:ind w:left="0"/>
        <w:rPr>
          <w:sz w:val="28"/>
        </w:rPr>
      </w:pPr>
    </w:p>
    <w:p>
      <w:pPr>
        <w:pStyle w:val="Heading1"/>
        <w:tabs>
          <w:tab w:val="left" w:pos="9750"/>
        </w:tabs>
        <w:rPr>
          <w:u w:val="none"/>
        </w:rPr>
      </w:pPr>
      <w:bookmarkStart w:id="167" w:name="MA Worksheet 2 – MA Projected Allowed Co"/>
      <w:bookmarkEnd w:id="167"/>
      <w:bookmarkStart w:id="168" w:name="_bookmark49"/>
      <w:bookmarkEnd w:id="168"/>
      <w:r>
        <w:rPr>
          <w:spacing w:val="-50"/>
          <w:u w:val="single"/>
        </w:rPr>
        <w:t xml:space="preserve"> </w:t>
      </w:r>
      <w:r>
        <w:rPr>
          <w:u w:val="single"/>
        </w:rPr>
        <w:t>MA</w:t>
      </w:r>
      <w:r>
        <w:rPr>
          <w:spacing w:val="-6"/>
          <w:u w:val="single"/>
        </w:rPr>
        <w:t xml:space="preserve"> </w:t>
      </w:r>
      <w:r>
        <w:rPr>
          <w:u w:val="single"/>
        </w:rPr>
        <w:t>WORKSHEET</w:t>
      </w:r>
      <w:r>
        <w:rPr>
          <w:spacing w:val="-2"/>
          <w:u w:val="single"/>
        </w:rPr>
        <w:t xml:space="preserve"> </w:t>
      </w:r>
      <w:r>
        <w:rPr>
          <w:u w:val="single"/>
        </w:rPr>
        <w:t>2</w:t>
      </w:r>
      <w:r>
        <w:rPr>
          <w:spacing w:val="-3"/>
          <w:u w:val="single"/>
        </w:rPr>
        <w:t xml:space="preserve"> </w:t>
      </w:r>
      <w:r>
        <w:rPr>
          <w:u w:val="single"/>
        </w:rPr>
        <w:t>–</w:t>
      </w:r>
      <w:r>
        <w:rPr>
          <w:spacing w:val="-6"/>
          <w:u w:val="single"/>
        </w:rPr>
        <w:t xml:space="preserve"> </w:t>
      </w:r>
      <w:r>
        <w:rPr>
          <w:u w:val="single"/>
        </w:rPr>
        <w:t>MA</w:t>
      </w:r>
      <w:r>
        <w:rPr>
          <w:spacing w:val="-6"/>
          <w:u w:val="single"/>
        </w:rPr>
        <w:t xml:space="preserve"> </w:t>
      </w:r>
      <w:r>
        <w:rPr>
          <w:u w:val="single"/>
        </w:rPr>
        <w:t>PROJECTED</w:t>
      </w:r>
      <w:r>
        <w:rPr>
          <w:spacing w:val="-3"/>
          <w:u w:val="single"/>
        </w:rPr>
        <w:t xml:space="preserve"> </w:t>
      </w:r>
      <w:r>
        <w:rPr>
          <w:u w:val="single"/>
        </w:rPr>
        <w:t>ALLOWED</w:t>
      </w:r>
      <w:r>
        <w:rPr>
          <w:spacing w:val="-4"/>
          <w:u w:val="single"/>
        </w:rPr>
        <w:t xml:space="preserve"> </w:t>
      </w:r>
      <w:r>
        <w:rPr>
          <w:u w:val="single"/>
        </w:rPr>
        <w:t>COSTS</w:t>
      </w:r>
      <w:r>
        <w:rPr>
          <w:spacing w:val="-4"/>
          <w:u w:val="single"/>
        </w:rPr>
        <w:t xml:space="preserve"> PMPM</w:t>
      </w:r>
      <w:r>
        <w:rPr>
          <w:u w:val="single"/>
        </w:rPr>
        <w:tab/>
      </w:r>
    </w:p>
    <w:p>
      <w:pPr>
        <w:pStyle w:val="BodyText"/>
        <w:spacing w:before="271"/>
        <w:ind w:right="1481"/>
      </w:pPr>
      <w:r>
        <w:t>This</w:t>
      </w:r>
      <w:r>
        <w:rPr>
          <w:spacing w:val="-4"/>
        </w:rPr>
        <w:t xml:space="preserve"> </w:t>
      </w:r>
      <w:r>
        <w:t>worksheet</w:t>
      </w:r>
      <w:r>
        <w:rPr>
          <w:spacing w:val="-3"/>
        </w:rPr>
        <w:t xml:space="preserve"> </w:t>
      </w:r>
      <w:r>
        <w:t>calculates</w:t>
      </w:r>
      <w:r>
        <w:rPr>
          <w:spacing w:val="-4"/>
        </w:rPr>
        <w:t xml:space="preserve"> </w:t>
      </w:r>
      <w:r>
        <w:t>the</w:t>
      </w:r>
      <w:r>
        <w:rPr>
          <w:spacing w:val="-3"/>
        </w:rPr>
        <w:t xml:space="preserve"> </w:t>
      </w:r>
      <w:r>
        <w:t>projected</w:t>
      </w:r>
      <w:r>
        <w:rPr>
          <w:spacing w:val="-2"/>
        </w:rPr>
        <w:t xml:space="preserve"> </w:t>
      </w:r>
      <w:r>
        <w:t>allowed</w:t>
      </w:r>
      <w:r>
        <w:rPr>
          <w:spacing w:val="-3"/>
        </w:rPr>
        <w:t xml:space="preserve"> </w:t>
      </w:r>
      <w:r>
        <w:t>costs</w:t>
      </w:r>
      <w:r>
        <w:rPr>
          <w:spacing w:val="-3"/>
        </w:rPr>
        <w:t xml:space="preserve"> </w:t>
      </w:r>
      <w:r>
        <w:t>for</w:t>
      </w:r>
      <w:r>
        <w:rPr>
          <w:spacing w:val="-5"/>
        </w:rPr>
        <w:t xml:space="preserve"> </w:t>
      </w:r>
      <w:r>
        <w:t>the</w:t>
      </w:r>
      <w:r>
        <w:rPr>
          <w:spacing w:val="-3"/>
        </w:rPr>
        <w:t xml:space="preserve"> </w:t>
      </w:r>
      <w:r>
        <w:t>contract</w:t>
      </w:r>
      <w:r>
        <w:rPr>
          <w:spacing w:val="-3"/>
        </w:rPr>
        <w:t xml:space="preserve"> </w:t>
      </w:r>
      <w:r>
        <w:t>year.</w:t>
      </w:r>
      <w:r>
        <w:rPr>
          <w:spacing w:val="-1"/>
        </w:rPr>
        <w:t xml:space="preserve"> </w:t>
      </w:r>
      <w:r>
        <w:t>For</w:t>
      </w:r>
      <w:r>
        <w:rPr>
          <w:spacing w:val="-4"/>
        </w:rPr>
        <w:t xml:space="preserve"> </w:t>
      </w:r>
      <w:r>
        <w:t>bids</w:t>
      </w:r>
      <w:r>
        <w:rPr>
          <w:spacing w:val="-4"/>
        </w:rPr>
        <w:t xml:space="preserve"> </w:t>
      </w:r>
      <w:r>
        <w:t>without fully credible experience, it will be necessary to input manual rate information. The service category lines are the same as those on Worksheet 1.</w:t>
      </w:r>
    </w:p>
    <w:p>
      <w:pPr>
        <w:pStyle w:val="BodyText"/>
        <w:spacing w:before="45"/>
        <w:ind w:left="0"/>
      </w:pPr>
    </w:p>
    <w:p>
      <w:pPr>
        <w:pStyle w:val="Heading2"/>
      </w:pPr>
      <w:bookmarkStart w:id="169" w:name="_bookmark50"/>
      <w:bookmarkEnd w:id="169"/>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79"/>
      </w:pPr>
      <w:r>
        <w:t>This</w:t>
      </w:r>
      <w:r>
        <w:rPr>
          <w:spacing w:val="-3"/>
        </w:rPr>
        <w:t xml:space="preserve"> </w:t>
      </w:r>
      <w:r>
        <w:t>section</w:t>
      </w:r>
      <w:r>
        <w:rPr>
          <w:spacing w:val="-2"/>
        </w:rPr>
        <w:t xml:space="preserve"> </w:t>
      </w:r>
      <w:r>
        <w:t>displays</w:t>
      </w:r>
      <w:r>
        <w:rPr>
          <w:spacing w:val="-3"/>
        </w:rPr>
        <w:t xml:space="preserve"> </w:t>
      </w:r>
      <w:r>
        <w:t>the</w:t>
      </w:r>
      <w:r>
        <w:rPr>
          <w:spacing w:val="-3"/>
        </w:rPr>
        <w:t xml:space="preserve"> </w:t>
      </w:r>
      <w:r>
        <w:t>information</w:t>
      </w:r>
      <w:r>
        <w:rPr>
          <w:spacing w:val="-2"/>
        </w:rPr>
        <w:t xml:space="preserve"> </w:t>
      </w:r>
      <w:r>
        <w:t>entered</w:t>
      </w:r>
      <w:r>
        <w:rPr>
          <w:spacing w:val="-2"/>
        </w:rPr>
        <w:t xml:space="preserve"> </w:t>
      </w:r>
      <w:r>
        <w:t>on</w:t>
      </w:r>
      <w:r>
        <w:rPr>
          <w:spacing w:val="2"/>
        </w:rPr>
        <w:t xml:space="preserve"> </w:t>
      </w:r>
      <w:r>
        <w:t>Worksheet</w:t>
      </w:r>
      <w:r>
        <w:rPr>
          <w:spacing w:val="-2"/>
        </w:rPr>
        <w:t xml:space="preserve"> </w:t>
      </w:r>
      <w:r>
        <w:t>1,</w:t>
      </w:r>
      <w:r>
        <w:rPr>
          <w:spacing w:val="-2"/>
        </w:rPr>
        <w:t xml:space="preserve"> </w:t>
      </w:r>
      <w:r>
        <w:t>Section</w:t>
      </w:r>
      <w:r>
        <w:rPr>
          <w:spacing w:val="-1"/>
        </w:rPr>
        <w:t xml:space="preserve"> </w:t>
      </w:r>
      <w:r>
        <w:rPr>
          <w:spacing w:val="-5"/>
        </w:rPr>
        <w:t>I.</w:t>
      </w:r>
    </w:p>
    <w:p>
      <w:pPr>
        <w:pStyle w:val="BodyText"/>
        <w:spacing w:before="45"/>
        <w:ind w:left="0"/>
      </w:pPr>
    </w:p>
    <w:p>
      <w:pPr>
        <w:pStyle w:val="Heading2"/>
      </w:pPr>
      <w:bookmarkStart w:id="170" w:name="Section II – Projected Allowed Costs"/>
      <w:bookmarkEnd w:id="170"/>
      <w:bookmarkStart w:id="171" w:name="_bookmark51"/>
      <w:bookmarkEnd w:id="171"/>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Projected</w:t>
      </w:r>
      <w:r>
        <w:rPr>
          <w:smallCaps/>
          <w:spacing w:val="-10"/>
        </w:rPr>
        <w:t xml:space="preserve"> </w:t>
      </w:r>
      <w:r>
        <w:rPr>
          <w:smallCaps/>
        </w:rPr>
        <w:t>Allowed</w:t>
      </w:r>
      <w:r>
        <w:rPr>
          <w:smallCaps/>
          <w:spacing w:val="-8"/>
        </w:rPr>
        <w:t xml:space="preserve"> </w:t>
      </w:r>
      <w:r>
        <w:rPr>
          <w:smallCaps/>
          <w:spacing w:val="-4"/>
        </w:rPr>
        <w:t>Costs</w:t>
      </w:r>
    </w:p>
    <w:p>
      <w:pPr>
        <w:spacing w:before="238"/>
        <w:ind w:left="504" w:right="0" w:firstLine="0"/>
        <w:jc w:val="left"/>
        <w:rPr>
          <w:rFonts w:ascii="Arial" w:hAnsi="Arial"/>
          <w:b/>
          <w:sz w:val="21"/>
        </w:rPr>
      </w:pPr>
      <w:bookmarkStart w:id="172" w:name="Lines 1 and 2 – Projected Member Months "/>
      <w:bookmarkEnd w:id="172"/>
      <w:r>
        <w:rPr>
          <w:rFonts w:ascii="Arial" w:hAnsi="Arial"/>
          <w:b/>
          <w:sz w:val="21"/>
        </w:rPr>
        <w:t>Lines</w:t>
      </w:r>
      <w:r>
        <w:rPr>
          <w:rFonts w:ascii="Arial" w:hAnsi="Arial"/>
          <w:b/>
          <w:spacing w:val="-6"/>
          <w:sz w:val="21"/>
        </w:rPr>
        <w:t xml:space="preserve"> </w:t>
      </w:r>
      <w:r>
        <w:rPr>
          <w:rFonts w:ascii="Arial" w:hAnsi="Arial"/>
          <w:b/>
          <w:sz w:val="21"/>
        </w:rPr>
        <w:t>1</w:t>
      </w:r>
      <w:r>
        <w:rPr>
          <w:rFonts w:ascii="Arial" w:hAnsi="Arial"/>
          <w:b/>
          <w:spacing w:val="-5"/>
          <w:sz w:val="21"/>
        </w:rPr>
        <w:t xml:space="preserve"> </w:t>
      </w:r>
      <w:r>
        <w:rPr>
          <w:rFonts w:ascii="Arial" w:hAnsi="Arial"/>
          <w:b/>
          <w:sz w:val="21"/>
        </w:rPr>
        <w:t>and</w:t>
      </w:r>
      <w:r>
        <w:rPr>
          <w:rFonts w:ascii="Arial" w:hAnsi="Arial"/>
          <w:b/>
          <w:spacing w:val="-4"/>
          <w:sz w:val="21"/>
        </w:rPr>
        <w:t xml:space="preserve"> </w:t>
      </w:r>
      <w:r>
        <w:rPr>
          <w:rFonts w:ascii="Arial" w:hAnsi="Arial"/>
          <w:b/>
          <w:sz w:val="21"/>
        </w:rPr>
        <w:t>2</w:t>
      </w:r>
      <w:r>
        <w:rPr>
          <w:rFonts w:ascii="Arial" w:hAnsi="Arial"/>
          <w:b/>
          <w:spacing w:val="-6"/>
          <w:sz w:val="21"/>
        </w:rPr>
        <w:t xml:space="preserve"> </w:t>
      </w:r>
      <w:r>
        <w:rPr>
          <w:rFonts w:ascii="Arial" w:hAnsi="Arial"/>
          <w:b/>
          <w:sz w:val="21"/>
        </w:rPr>
        <w:t>–</w:t>
      </w:r>
      <w:r>
        <w:rPr>
          <w:rFonts w:ascii="Arial" w:hAnsi="Arial"/>
          <w:b/>
          <w:spacing w:val="-5"/>
          <w:sz w:val="21"/>
        </w:rPr>
        <w:t xml:space="preserve"> </w:t>
      </w:r>
      <w:r>
        <w:rPr>
          <w:rFonts w:ascii="Arial" w:hAnsi="Arial"/>
          <w:b/>
          <w:sz w:val="21"/>
        </w:rPr>
        <w:t>Projected</w:t>
      </w:r>
      <w:r>
        <w:rPr>
          <w:rFonts w:ascii="Arial" w:hAnsi="Arial"/>
          <w:b/>
          <w:spacing w:val="-4"/>
          <w:sz w:val="21"/>
        </w:rPr>
        <w:t xml:space="preserve"> </w:t>
      </w:r>
      <w:r>
        <w:rPr>
          <w:rFonts w:ascii="Arial" w:hAnsi="Arial"/>
          <w:b/>
          <w:sz w:val="21"/>
        </w:rPr>
        <w:t>Member</w:t>
      </w:r>
      <w:r>
        <w:rPr>
          <w:rFonts w:ascii="Arial" w:hAnsi="Arial"/>
          <w:b/>
          <w:spacing w:val="-7"/>
          <w:sz w:val="21"/>
        </w:rPr>
        <w:t xml:space="preserve"> </w:t>
      </w:r>
      <w:r>
        <w:rPr>
          <w:rFonts w:ascii="Arial" w:hAnsi="Arial"/>
          <w:b/>
          <w:sz w:val="21"/>
        </w:rPr>
        <w:t>Months</w:t>
      </w:r>
      <w:r>
        <w:rPr>
          <w:rFonts w:ascii="Arial" w:hAnsi="Arial"/>
          <w:b/>
          <w:spacing w:val="-4"/>
          <w:sz w:val="21"/>
        </w:rPr>
        <w:t xml:space="preserve"> </w:t>
      </w:r>
      <w:r>
        <w:rPr>
          <w:rFonts w:ascii="Arial" w:hAnsi="Arial"/>
          <w:b/>
          <w:sz w:val="21"/>
        </w:rPr>
        <w:t>and</w:t>
      </w:r>
      <w:r>
        <w:rPr>
          <w:rFonts w:ascii="Arial" w:hAnsi="Arial"/>
          <w:b/>
          <w:spacing w:val="-7"/>
          <w:sz w:val="21"/>
        </w:rPr>
        <w:t xml:space="preserve"> </w:t>
      </w:r>
      <w:r>
        <w:rPr>
          <w:rFonts w:ascii="Arial" w:hAnsi="Arial"/>
          <w:b/>
          <w:sz w:val="21"/>
        </w:rPr>
        <w:t>Projected</w:t>
      </w:r>
      <w:r>
        <w:rPr>
          <w:rFonts w:ascii="Arial" w:hAnsi="Arial"/>
          <w:b/>
          <w:spacing w:val="-4"/>
          <w:sz w:val="21"/>
        </w:rPr>
        <w:t xml:space="preserve"> </w:t>
      </w:r>
      <w:r>
        <w:rPr>
          <w:rFonts w:ascii="Arial" w:hAnsi="Arial"/>
          <w:b/>
          <w:sz w:val="21"/>
        </w:rPr>
        <w:t>Risk</w:t>
      </w:r>
      <w:r>
        <w:rPr>
          <w:rFonts w:ascii="Arial" w:hAnsi="Arial"/>
          <w:b/>
          <w:spacing w:val="-8"/>
          <w:sz w:val="21"/>
        </w:rPr>
        <w:t xml:space="preserve"> </w:t>
      </w:r>
      <w:r>
        <w:rPr>
          <w:rFonts w:ascii="Arial" w:hAnsi="Arial"/>
          <w:b/>
          <w:spacing w:val="-2"/>
          <w:sz w:val="21"/>
        </w:rPr>
        <w:t>Factor</w:t>
      </w:r>
    </w:p>
    <w:p>
      <w:pPr>
        <w:pStyle w:val="BodyText"/>
        <w:spacing w:before="121"/>
        <w:ind w:right="1481"/>
      </w:pPr>
      <w:r>
        <w:t>The</w:t>
      </w:r>
      <w:r>
        <w:rPr>
          <w:spacing w:val="-5"/>
        </w:rPr>
        <w:t xml:space="preserve"> </w:t>
      </w:r>
      <w:r>
        <w:t>projected</w:t>
      </w:r>
      <w:r>
        <w:rPr>
          <w:spacing w:val="-3"/>
        </w:rPr>
        <w:t xml:space="preserve"> </w:t>
      </w:r>
      <w:r>
        <w:t>member</w:t>
      </w:r>
      <w:r>
        <w:rPr>
          <w:spacing w:val="-3"/>
        </w:rPr>
        <w:t xml:space="preserve"> </w:t>
      </w:r>
      <w:r>
        <w:t>months</w:t>
      </w:r>
      <w:r>
        <w:rPr>
          <w:spacing w:val="-3"/>
        </w:rPr>
        <w:t xml:space="preserve"> </w:t>
      </w:r>
      <w:r>
        <w:t>and</w:t>
      </w:r>
      <w:r>
        <w:rPr>
          <w:spacing w:val="-3"/>
        </w:rPr>
        <w:t xml:space="preserve"> </w:t>
      </w:r>
      <w:r>
        <w:t>projected</w:t>
      </w:r>
      <w:r>
        <w:rPr>
          <w:spacing w:val="-4"/>
        </w:rPr>
        <w:t xml:space="preserve"> </w:t>
      </w:r>
      <w:r>
        <w:t>risk</w:t>
      </w:r>
      <w:r>
        <w:rPr>
          <w:spacing w:val="-3"/>
        </w:rPr>
        <w:t xml:space="preserve"> </w:t>
      </w:r>
      <w:r>
        <w:t>factors</w:t>
      </w:r>
      <w:r>
        <w:rPr>
          <w:spacing w:val="-3"/>
        </w:rPr>
        <w:t xml:space="preserve"> </w:t>
      </w:r>
      <w:r>
        <w:t>are</w:t>
      </w:r>
      <w:r>
        <w:rPr>
          <w:spacing w:val="-4"/>
        </w:rPr>
        <w:t xml:space="preserve"> </w:t>
      </w:r>
      <w:r>
        <w:t>obtained</w:t>
      </w:r>
      <w:r>
        <w:rPr>
          <w:spacing w:val="-2"/>
        </w:rPr>
        <w:t xml:space="preserve"> </w:t>
      </w:r>
      <w:r>
        <w:t>from</w:t>
      </w:r>
      <w:r>
        <w:rPr>
          <w:spacing w:val="-1"/>
        </w:rPr>
        <w:t xml:space="preserve"> </w:t>
      </w:r>
      <w:r>
        <w:t>Worksheet</w:t>
      </w:r>
      <w:r>
        <w:rPr>
          <w:spacing w:val="-3"/>
        </w:rPr>
        <w:t xml:space="preserve"> </w:t>
      </w:r>
      <w:r>
        <w:t>5</w:t>
      </w:r>
      <w:r>
        <w:rPr>
          <w:spacing w:val="-3"/>
        </w:rPr>
        <w:t xml:space="preserve"> </w:t>
      </w:r>
      <w:r>
        <w:t>for total (non-DE# plus DE#), non-DE#, and DE# members.</w:t>
      </w:r>
    </w:p>
    <w:p>
      <w:pPr>
        <w:spacing w:before="240"/>
        <w:ind w:left="504" w:right="0" w:firstLine="0"/>
        <w:jc w:val="left"/>
        <w:rPr>
          <w:rFonts w:ascii="Arial"/>
          <w:b/>
          <w:sz w:val="21"/>
        </w:rPr>
      </w:pPr>
      <w:r>
        <w:rPr>
          <w:rFonts w:ascii="Arial"/>
          <w:b/>
          <w:sz w:val="21"/>
        </w:rPr>
        <w:t>In</w:t>
      </w:r>
      <w:r>
        <w:rPr>
          <w:rFonts w:ascii="Arial"/>
          <w:b/>
          <w:spacing w:val="-4"/>
          <w:sz w:val="21"/>
        </w:rPr>
        <w:t xml:space="preserve"> </w:t>
      </w:r>
      <w:r>
        <w:rPr>
          <w:rFonts w:ascii="Arial"/>
          <w:b/>
          <w:sz w:val="21"/>
        </w:rPr>
        <w:t>lines</w:t>
      </w:r>
      <w:r>
        <w:rPr>
          <w:rFonts w:ascii="Arial"/>
          <w:b/>
          <w:spacing w:val="-4"/>
          <w:sz w:val="21"/>
        </w:rPr>
        <w:t xml:space="preserve"> </w:t>
      </w:r>
      <w:r>
        <w:rPr>
          <w:rFonts w:ascii="Arial"/>
          <w:b/>
          <w:sz w:val="21"/>
        </w:rPr>
        <w:t>a</w:t>
      </w:r>
      <w:r>
        <w:rPr>
          <w:rFonts w:ascii="Arial"/>
          <w:b/>
          <w:spacing w:val="-4"/>
          <w:sz w:val="21"/>
        </w:rPr>
        <w:t xml:space="preserve"> </w:t>
      </w:r>
      <w:r>
        <w:rPr>
          <w:rFonts w:ascii="Arial"/>
          <w:b/>
          <w:sz w:val="21"/>
        </w:rPr>
        <w:t>through</w:t>
      </w:r>
      <w:r>
        <w:rPr>
          <w:rFonts w:ascii="Arial"/>
          <w:b/>
          <w:spacing w:val="-3"/>
          <w:sz w:val="21"/>
        </w:rPr>
        <w:t xml:space="preserve"> </w:t>
      </w:r>
      <w:r>
        <w:rPr>
          <w:rFonts w:ascii="Arial"/>
          <w:b/>
          <w:spacing w:val="-5"/>
          <w:sz w:val="21"/>
        </w:rPr>
        <w:t>q:</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e</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Utilization</w:t>
      </w:r>
      <w:r>
        <w:rPr>
          <w:rFonts w:ascii="Arial" w:hAnsi="Arial"/>
          <w:b/>
          <w:spacing w:val="-5"/>
          <w:sz w:val="21"/>
        </w:rPr>
        <w:t xml:space="preserve"> </w:t>
      </w:r>
      <w:r>
        <w:rPr>
          <w:rFonts w:ascii="Arial" w:hAnsi="Arial"/>
          <w:b/>
          <w:spacing w:val="-4"/>
          <w:sz w:val="21"/>
        </w:rPr>
        <w:t>Type</w:t>
      </w:r>
    </w:p>
    <w:p>
      <w:pPr>
        <w:pStyle w:val="BodyText"/>
        <w:spacing w:before="118"/>
        <w:ind w:left="1224" w:right="1582"/>
        <w:jc w:val="both"/>
      </w:pPr>
      <w:r>
        <w:t>Enter</w:t>
      </w:r>
      <w:r>
        <w:rPr>
          <w:spacing w:val="-2"/>
        </w:rPr>
        <w:t xml:space="preserve"> </w:t>
      </w:r>
      <w:r>
        <w:t>the type</w:t>
      </w:r>
      <w:r>
        <w:rPr>
          <w:spacing w:val="-1"/>
        </w:rPr>
        <w:t xml:space="preserve"> </w:t>
      </w:r>
      <w:r>
        <w:t>of utilization in column e for each benefit category</w:t>
      </w:r>
      <w:r>
        <w:rPr>
          <w:spacing w:val="-1"/>
        </w:rPr>
        <w:t xml:space="preserve"> </w:t>
      </w:r>
      <w:r>
        <w:t>that contains</w:t>
      </w:r>
      <w:r>
        <w:rPr>
          <w:spacing w:val="-1"/>
        </w:rPr>
        <w:t xml:space="preserve"> </w:t>
      </w:r>
      <w:r>
        <w:t>PMPM costs</w:t>
      </w:r>
      <w:r>
        <w:rPr>
          <w:spacing w:val="-3"/>
        </w:rPr>
        <w:t xml:space="preserve"> </w:t>
      </w:r>
      <w:r>
        <w:t>in</w:t>
      </w:r>
      <w:r>
        <w:rPr>
          <w:spacing w:val="-3"/>
        </w:rPr>
        <w:t xml:space="preserve"> </w:t>
      </w:r>
      <w:r>
        <w:t>column</w:t>
      </w:r>
      <w:r>
        <w:rPr>
          <w:spacing w:val="-3"/>
        </w:rPr>
        <w:t xml:space="preserve"> </w:t>
      </w:r>
      <w:r>
        <w:t>o.</w:t>
      </w:r>
      <w:r>
        <w:rPr>
          <w:spacing w:val="-3"/>
        </w:rPr>
        <w:t xml:space="preserve"> </w:t>
      </w:r>
      <w:r>
        <w:t>Do</w:t>
      </w:r>
      <w:r>
        <w:rPr>
          <w:spacing w:val="-3"/>
        </w:rPr>
        <w:t xml:space="preserve"> </w:t>
      </w:r>
      <w:r>
        <w:t>not</w:t>
      </w:r>
      <w:r>
        <w:rPr>
          <w:spacing w:val="-3"/>
        </w:rPr>
        <w:t xml:space="preserve"> </w:t>
      </w:r>
      <w:r>
        <w:t>leave</w:t>
      </w:r>
      <w:r>
        <w:rPr>
          <w:spacing w:val="-4"/>
        </w:rPr>
        <w:t xml:space="preserve"> </w:t>
      </w:r>
      <w:r>
        <w:t>this</w:t>
      </w:r>
      <w:r>
        <w:rPr>
          <w:spacing w:val="-4"/>
        </w:rPr>
        <w:t xml:space="preserve"> </w:t>
      </w:r>
      <w:r>
        <w:t>column</w:t>
      </w:r>
      <w:r>
        <w:rPr>
          <w:spacing w:val="-3"/>
        </w:rPr>
        <w:t xml:space="preserve"> </w:t>
      </w:r>
      <w:r>
        <w:t>blank.</w:t>
      </w:r>
      <w:r>
        <w:rPr>
          <w:spacing w:val="-3"/>
        </w:rPr>
        <w:t xml:space="preserve"> </w:t>
      </w:r>
      <w:r>
        <w:t>If</w:t>
      </w:r>
      <w:r>
        <w:rPr>
          <w:spacing w:val="-3"/>
        </w:rPr>
        <w:t xml:space="preserve"> </w:t>
      </w:r>
      <w:r>
        <w:t>manual</w:t>
      </w:r>
      <w:r>
        <w:rPr>
          <w:spacing w:val="-3"/>
        </w:rPr>
        <w:t xml:space="preserve"> </w:t>
      </w:r>
      <w:r>
        <w:t>rates</w:t>
      </w:r>
      <w:r>
        <w:rPr>
          <w:spacing w:val="-3"/>
        </w:rPr>
        <w:t xml:space="preserve"> </w:t>
      </w:r>
      <w:r>
        <w:t>are</w:t>
      </w:r>
      <w:r>
        <w:rPr>
          <w:spacing w:val="-4"/>
        </w:rPr>
        <w:t xml:space="preserve"> </w:t>
      </w:r>
      <w:r>
        <w:t>not</w:t>
      </w:r>
      <w:r>
        <w:rPr>
          <w:spacing w:val="-1"/>
        </w:rPr>
        <w:t xml:space="preserve"> </w:t>
      </w:r>
      <w:r>
        <w:t>used,</w:t>
      </w:r>
      <w:r>
        <w:rPr>
          <w:spacing w:val="-3"/>
        </w:rPr>
        <w:t xml:space="preserve"> </w:t>
      </w:r>
      <w:r>
        <w:t>entries in this column are still required and are displayed on Worksheet 1.</w:t>
      </w:r>
    </w:p>
    <w:p>
      <w:pPr>
        <w:pStyle w:val="BodyText"/>
        <w:spacing w:before="120"/>
        <w:ind w:left="1224" w:right="1481"/>
      </w:pPr>
      <w:r>
        <w:t>For each service category line, enter the appropriate utilization type that reflects the annualized utilization/1000 enrollees entered in columns f and i. The valid utilization types</w:t>
      </w:r>
      <w:r>
        <w:rPr>
          <w:spacing w:val="-4"/>
        </w:rPr>
        <w:t xml:space="preserve"> </w:t>
      </w:r>
      <w:r>
        <w:t>are</w:t>
      </w:r>
      <w:r>
        <w:rPr>
          <w:spacing w:val="-5"/>
        </w:rPr>
        <w:t xml:space="preserve"> </w:t>
      </w:r>
      <w:r>
        <w:t>listed</w:t>
      </w:r>
      <w:r>
        <w:rPr>
          <w:spacing w:val="-3"/>
        </w:rPr>
        <w:t xml:space="preserve"> </w:t>
      </w:r>
      <w:r>
        <w:t>below.</w:t>
      </w:r>
      <w:r>
        <w:rPr>
          <w:spacing w:val="-3"/>
        </w:rPr>
        <w:t xml:space="preserve"> </w:t>
      </w:r>
      <w:r>
        <w:t>Note</w:t>
      </w:r>
      <w:r>
        <w:rPr>
          <w:spacing w:val="-3"/>
        </w:rPr>
        <w:t xml:space="preserve"> </w:t>
      </w:r>
      <w:r>
        <w:t>that</w:t>
      </w:r>
      <w:r>
        <w:rPr>
          <w:spacing w:val="-3"/>
        </w:rPr>
        <w:t xml:space="preserve"> </w:t>
      </w:r>
      <w:r>
        <w:t>the</w:t>
      </w:r>
      <w:r>
        <w:rPr>
          <w:spacing w:val="-4"/>
        </w:rPr>
        <w:t xml:space="preserve"> </w:t>
      </w:r>
      <w:r>
        <w:t>valid</w:t>
      </w:r>
      <w:r>
        <w:rPr>
          <w:spacing w:val="-3"/>
        </w:rPr>
        <w:t xml:space="preserve"> </w:t>
      </w:r>
      <w:r>
        <w:t>utilization</w:t>
      </w:r>
      <w:r>
        <w:rPr>
          <w:spacing w:val="-3"/>
        </w:rPr>
        <w:t xml:space="preserve"> </w:t>
      </w:r>
      <w:r>
        <w:t>types</w:t>
      </w:r>
      <w:r>
        <w:rPr>
          <w:spacing w:val="-4"/>
        </w:rPr>
        <w:t xml:space="preserve"> </w:t>
      </w:r>
      <w:r>
        <w:t>vary</w:t>
      </w:r>
      <w:r>
        <w:rPr>
          <w:spacing w:val="-3"/>
        </w:rPr>
        <w:t xml:space="preserve"> </w:t>
      </w:r>
      <w:r>
        <w:t>by</w:t>
      </w:r>
      <w:r>
        <w:rPr>
          <w:spacing w:val="-4"/>
        </w:rPr>
        <w:t xml:space="preserve"> </w:t>
      </w:r>
      <w:r>
        <w:t>service</w:t>
      </w:r>
      <w:r>
        <w:rPr>
          <w:spacing w:val="-2"/>
        </w:rPr>
        <w:t xml:space="preserve"> </w:t>
      </w:r>
      <w:r>
        <w:t>category,</w:t>
      </w:r>
      <w:r>
        <w:rPr>
          <w:spacing w:val="-1"/>
        </w:rPr>
        <w:t xml:space="preserve"> </w:t>
      </w:r>
      <w:r>
        <w:t>as indicated in the BPT cell labels.</w:t>
      </w:r>
    </w:p>
    <w:p>
      <w:pPr>
        <w:pStyle w:val="BodyText"/>
        <w:tabs>
          <w:tab w:val="left" w:pos="2004"/>
        </w:tabs>
        <w:spacing w:before="121"/>
        <w:ind w:left="1584" w:right="8265"/>
      </w:pPr>
      <w:r>
        <w:rPr>
          <w:spacing w:val="-10"/>
        </w:rPr>
        <w:t>A</w:t>
      </w:r>
      <w:r>
        <w:tab/>
        <w:t>–</w:t>
      </w:r>
      <w:r>
        <w:rPr>
          <w:spacing w:val="-15"/>
        </w:rPr>
        <w:t xml:space="preserve"> </w:t>
      </w:r>
      <w:r>
        <w:t xml:space="preserve">Admits </w:t>
      </w:r>
      <w:r>
        <w:rPr>
          <w:spacing w:val="-10"/>
        </w:rPr>
        <w:t>D</w:t>
      </w:r>
      <w:r>
        <w:tab/>
        <w:t>– Days</w:t>
      </w:r>
    </w:p>
    <w:p>
      <w:pPr>
        <w:pStyle w:val="BodyText"/>
        <w:ind w:left="1584"/>
      </w:pPr>
      <w:r>
        <w:t>BP</w:t>
      </w:r>
      <w:r>
        <w:rPr>
          <w:spacing w:val="63"/>
        </w:rPr>
        <w:t xml:space="preserve"> </w:t>
      </w:r>
      <w:r>
        <w:t xml:space="preserve">– Benefit </w:t>
      </w:r>
      <w:r>
        <w:rPr>
          <w:spacing w:val="-2"/>
        </w:rPr>
        <w:t>Period</w:t>
      </w:r>
    </w:p>
    <w:p>
      <w:pPr>
        <w:pStyle w:val="BodyText"/>
        <w:tabs>
          <w:tab w:val="left" w:pos="2004"/>
        </w:tabs>
        <w:ind w:left="1584"/>
      </w:pPr>
      <w:r>
        <w:rPr>
          <w:spacing w:val="-10"/>
        </w:rPr>
        <w:t>V</w:t>
      </w:r>
      <w:r>
        <w:tab/>
        <w:t xml:space="preserve">– </w:t>
      </w:r>
      <w:r>
        <w:rPr>
          <w:spacing w:val="-2"/>
        </w:rPr>
        <w:t>Visits</w:t>
      </w:r>
    </w:p>
    <w:p>
      <w:pPr>
        <w:pStyle w:val="BodyText"/>
        <w:tabs>
          <w:tab w:val="left" w:pos="2004"/>
        </w:tabs>
        <w:ind w:left="1584" w:right="7910"/>
      </w:pPr>
      <w:r>
        <w:rPr>
          <w:spacing w:val="-10"/>
        </w:rPr>
        <w:t>P</w:t>
      </w:r>
      <w:r>
        <w:tab/>
        <w:t>–</w:t>
      </w:r>
      <w:r>
        <w:rPr>
          <w:spacing w:val="-15"/>
        </w:rPr>
        <w:t xml:space="preserve"> </w:t>
      </w:r>
      <w:r>
        <w:t>Procedure</w:t>
      </w:r>
      <w:r>
        <w:t xml:space="preserve">s </w:t>
      </w:r>
      <w:r>
        <w:rPr>
          <w:spacing w:val="-10"/>
        </w:rPr>
        <w:t>T</w:t>
      </w:r>
      <w:r>
        <w:tab/>
        <w:t>– Trips</w:t>
      </w:r>
    </w:p>
    <w:p>
      <w:pPr>
        <w:pStyle w:val="BodyText"/>
        <w:tabs>
          <w:tab w:val="left" w:pos="2004"/>
        </w:tabs>
        <w:ind w:left="1584"/>
      </w:pPr>
      <w:r>
        <w:rPr>
          <w:spacing w:val="-10"/>
        </w:rPr>
        <w:t>S</w:t>
      </w:r>
      <w:r>
        <w:tab/>
        <w:t xml:space="preserve">– </w:t>
      </w:r>
      <w:r>
        <w:rPr>
          <w:spacing w:val="-2"/>
        </w:rPr>
        <w:t>Scripts</w:t>
      </w:r>
    </w:p>
    <w:p>
      <w:pPr>
        <w:pStyle w:val="BodyText"/>
        <w:tabs>
          <w:tab w:val="left" w:pos="2004"/>
        </w:tabs>
        <w:ind w:left="1584"/>
      </w:pPr>
      <w:r>
        <w:rPr>
          <w:spacing w:val="-10"/>
        </w:rPr>
        <w:t>O</w:t>
      </w:r>
      <w:r>
        <w:tab/>
        <w:t xml:space="preserve">– </w:t>
      </w:r>
      <w:r>
        <w:rPr>
          <w:spacing w:val="-2"/>
        </w:rPr>
        <w:t>Other</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Columns</w:t>
      </w:r>
      <w:r>
        <w:rPr>
          <w:rFonts w:ascii="Arial" w:hAnsi="Arial"/>
          <w:b/>
          <w:spacing w:val="-6"/>
          <w:sz w:val="21"/>
        </w:rPr>
        <w:t xml:space="preserve"> </w:t>
      </w:r>
      <w:r>
        <w:rPr>
          <w:rFonts w:ascii="Arial" w:hAnsi="Arial"/>
          <w:b/>
          <w:sz w:val="21"/>
        </w:rPr>
        <w:t>f</w:t>
      </w:r>
      <w:r>
        <w:rPr>
          <w:rFonts w:ascii="Arial" w:hAnsi="Arial"/>
          <w:b/>
          <w:spacing w:val="-6"/>
          <w:sz w:val="21"/>
        </w:rPr>
        <w:t xml:space="preserve"> </w:t>
      </w:r>
      <w:r>
        <w:rPr>
          <w:rFonts w:ascii="Arial" w:hAnsi="Arial"/>
          <w:b/>
          <w:sz w:val="21"/>
        </w:rPr>
        <w:t>through</w:t>
      </w:r>
      <w:r>
        <w:rPr>
          <w:rFonts w:ascii="Arial" w:hAnsi="Arial"/>
          <w:b/>
          <w:spacing w:val="-6"/>
          <w:sz w:val="21"/>
        </w:rPr>
        <w:t xml:space="preserve"> </w:t>
      </w:r>
      <w:r>
        <w:rPr>
          <w:rFonts w:ascii="Arial" w:hAnsi="Arial"/>
          <w:b/>
          <w:sz w:val="21"/>
        </w:rPr>
        <w:t>h</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Projected</w:t>
      </w:r>
      <w:r>
        <w:rPr>
          <w:rFonts w:ascii="Arial" w:hAnsi="Arial"/>
          <w:b/>
          <w:spacing w:val="-5"/>
          <w:sz w:val="21"/>
        </w:rPr>
        <w:t xml:space="preserve"> </w:t>
      </w:r>
      <w:r>
        <w:rPr>
          <w:rFonts w:ascii="Arial" w:hAnsi="Arial"/>
          <w:b/>
          <w:sz w:val="21"/>
        </w:rPr>
        <w:t>Experience</w:t>
      </w:r>
      <w:r>
        <w:rPr>
          <w:rFonts w:ascii="Arial" w:hAnsi="Arial"/>
          <w:b/>
          <w:spacing w:val="-7"/>
          <w:sz w:val="21"/>
        </w:rPr>
        <w:t xml:space="preserve"> </w:t>
      </w:r>
      <w:r>
        <w:rPr>
          <w:rFonts w:ascii="Arial" w:hAnsi="Arial"/>
          <w:b/>
          <w:spacing w:val="-4"/>
          <w:sz w:val="21"/>
        </w:rPr>
        <w:t>Rate</w:t>
      </w:r>
    </w:p>
    <w:p>
      <w:pPr>
        <w:pStyle w:val="BodyText"/>
        <w:spacing w:before="120"/>
        <w:ind w:left="1224" w:right="1481"/>
      </w:pPr>
      <w:r>
        <w:t>Columns f through h are calculated automatically using the information provided in Sections</w:t>
      </w:r>
      <w:r>
        <w:rPr>
          <w:spacing w:val="-4"/>
        </w:rPr>
        <w:t xml:space="preserve"> </w:t>
      </w:r>
      <w:r>
        <w:t>III</w:t>
      </w:r>
      <w:r>
        <w:rPr>
          <w:spacing w:val="-5"/>
        </w:rPr>
        <w:t xml:space="preserve"> </w:t>
      </w:r>
      <w:r>
        <w:t>and</w:t>
      </w:r>
      <w:r>
        <w:rPr>
          <w:spacing w:val="-1"/>
        </w:rPr>
        <w:t xml:space="preserve"> </w:t>
      </w:r>
      <w:r>
        <w:t>IV</w:t>
      </w:r>
      <w:r>
        <w:rPr>
          <w:spacing w:val="-5"/>
        </w:rPr>
        <w:t xml:space="preserve"> </w:t>
      </w:r>
      <w:r>
        <w:t>on</w:t>
      </w:r>
      <w:r>
        <w:rPr>
          <w:spacing w:val="-3"/>
        </w:rPr>
        <w:t xml:space="preserve"> </w:t>
      </w:r>
      <w:r>
        <w:t>Worksheet</w:t>
      </w:r>
      <w:r>
        <w:rPr>
          <w:spacing w:val="-3"/>
        </w:rPr>
        <w:t xml:space="preserve"> </w:t>
      </w:r>
      <w:r>
        <w:t>1.</w:t>
      </w:r>
      <w:r>
        <w:rPr>
          <w:spacing w:val="-3"/>
        </w:rPr>
        <w:t xml:space="preserve"> </w:t>
      </w:r>
      <w:r>
        <w:t>No</w:t>
      </w:r>
      <w:r>
        <w:rPr>
          <w:spacing w:val="-3"/>
        </w:rPr>
        <w:t xml:space="preserve"> </w:t>
      </w:r>
      <w:r>
        <w:t>user</w:t>
      </w:r>
      <w:r>
        <w:rPr>
          <w:spacing w:val="-3"/>
        </w:rPr>
        <w:t xml:space="preserve"> </w:t>
      </w:r>
      <w:r>
        <w:t>inputs</w:t>
      </w:r>
      <w:r>
        <w:rPr>
          <w:spacing w:val="-4"/>
        </w:rPr>
        <w:t xml:space="preserve"> </w:t>
      </w:r>
      <w:r>
        <w:t>are</w:t>
      </w:r>
      <w:r>
        <w:rPr>
          <w:spacing w:val="-4"/>
        </w:rPr>
        <w:t xml:space="preserve"> </w:t>
      </w:r>
      <w:r>
        <w:t>needed.</w:t>
      </w:r>
      <w:r>
        <w:rPr>
          <w:spacing w:val="-3"/>
        </w:rPr>
        <w:t xml:space="preserve"> </w:t>
      </w:r>
      <w:r>
        <w:t>Column</w:t>
      </w:r>
      <w:r>
        <w:rPr>
          <w:spacing w:val="-3"/>
        </w:rPr>
        <w:t xml:space="preserve"> </w:t>
      </w:r>
      <w:r>
        <w:t>f</w:t>
      </w:r>
      <w:r>
        <w:rPr>
          <w:spacing w:val="-3"/>
        </w:rPr>
        <w:t xml:space="preserve"> </w:t>
      </w:r>
      <w:r>
        <w:t>calculates</w:t>
      </w:r>
      <w:r>
        <w:rPr>
          <w:spacing w:val="-4"/>
        </w:rPr>
        <w:t xml:space="preserve"> </w:t>
      </w:r>
      <w:r>
        <w:t>the projected utilization, column g calculates the expected average cost, and column h calculates the allowed PMPM for the contract period, projected based on base period experience data.</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Columns</w:t>
      </w:r>
      <w:r>
        <w:rPr>
          <w:rFonts w:ascii="Arial" w:hAnsi="Arial"/>
          <w:b/>
          <w:spacing w:val="-4"/>
          <w:sz w:val="21"/>
        </w:rPr>
        <w:t xml:space="preserve"> </w:t>
      </w:r>
      <w:r>
        <w:rPr>
          <w:rFonts w:ascii="Arial" w:hAnsi="Arial"/>
          <w:b/>
          <w:sz w:val="21"/>
        </w:rPr>
        <w:t>i</w:t>
      </w:r>
      <w:r>
        <w:rPr>
          <w:rFonts w:ascii="Arial" w:hAnsi="Arial"/>
          <w:b/>
          <w:spacing w:val="-4"/>
          <w:sz w:val="21"/>
        </w:rPr>
        <w:t xml:space="preserve"> </w:t>
      </w:r>
      <w:r>
        <w:rPr>
          <w:rFonts w:ascii="Arial" w:hAnsi="Arial"/>
          <w:b/>
          <w:sz w:val="21"/>
        </w:rPr>
        <w:t>through</w:t>
      </w:r>
      <w:r>
        <w:rPr>
          <w:rFonts w:ascii="Arial" w:hAnsi="Arial"/>
          <w:b/>
          <w:spacing w:val="-2"/>
          <w:sz w:val="21"/>
        </w:rPr>
        <w:t xml:space="preserve"> </w:t>
      </w:r>
      <w:r>
        <w:rPr>
          <w:rFonts w:ascii="Arial" w:hAnsi="Arial"/>
          <w:b/>
          <w:sz w:val="21"/>
        </w:rPr>
        <w:t>k</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Manual</w:t>
      </w:r>
      <w:r>
        <w:rPr>
          <w:rFonts w:ascii="Arial" w:hAnsi="Arial"/>
          <w:b/>
          <w:spacing w:val="-4"/>
          <w:sz w:val="21"/>
        </w:rPr>
        <w:t xml:space="preserve"> Rate</w:t>
      </w:r>
    </w:p>
    <w:p>
      <w:pPr>
        <w:pStyle w:val="BodyText"/>
        <w:spacing w:before="118"/>
        <w:ind w:left="1224" w:right="1481"/>
      </w:pPr>
      <w:r>
        <w:t>For</w:t>
      </w:r>
      <w:r>
        <w:rPr>
          <w:spacing w:val="-3"/>
        </w:rPr>
        <w:t xml:space="preserve"> </w:t>
      </w:r>
      <w:r>
        <w:t>a</w:t>
      </w:r>
      <w:r>
        <w:rPr>
          <w:spacing w:val="-5"/>
        </w:rPr>
        <w:t xml:space="preserve"> </w:t>
      </w:r>
      <w:r>
        <w:t>bid</w:t>
      </w:r>
      <w:r>
        <w:rPr>
          <w:spacing w:val="-3"/>
        </w:rPr>
        <w:t xml:space="preserve"> </w:t>
      </w:r>
      <w:r>
        <w:t>with</w:t>
      </w:r>
      <w:r>
        <w:rPr>
          <w:spacing w:val="-3"/>
        </w:rPr>
        <w:t xml:space="preserve"> </w:t>
      </w:r>
      <w:r>
        <w:t>less</w:t>
      </w:r>
      <w:r>
        <w:rPr>
          <w:spacing w:val="-4"/>
        </w:rPr>
        <w:t xml:space="preserve"> </w:t>
      </w:r>
      <w:r>
        <w:t>than</w:t>
      </w:r>
      <w:r>
        <w:rPr>
          <w:spacing w:val="-3"/>
        </w:rPr>
        <w:t xml:space="preserve"> </w:t>
      </w:r>
      <w:r>
        <w:t>fully</w:t>
      </w:r>
      <w:r>
        <w:rPr>
          <w:spacing w:val="-3"/>
        </w:rPr>
        <w:t xml:space="preserve"> </w:t>
      </w:r>
      <w:r>
        <w:t>credible</w:t>
      </w:r>
      <w:r>
        <w:rPr>
          <w:spacing w:val="-4"/>
        </w:rPr>
        <w:t xml:space="preserve"> </w:t>
      </w:r>
      <w:r>
        <w:t>experience</w:t>
      </w:r>
      <w:r>
        <w:rPr>
          <w:spacing w:val="-2"/>
        </w:rPr>
        <w:t xml:space="preserve"> </w:t>
      </w:r>
      <w:r>
        <w:t>or</w:t>
      </w:r>
      <w:r>
        <w:rPr>
          <w:spacing w:val="-3"/>
        </w:rPr>
        <w:t xml:space="preserve"> </w:t>
      </w:r>
      <w:r>
        <w:t>no</w:t>
      </w:r>
      <w:r>
        <w:rPr>
          <w:spacing w:val="-4"/>
        </w:rPr>
        <w:t xml:space="preserve"> </w:t>
      </w:r>
      <w:r>
        <w:t>experience,</w:t>
      </w:r>
      <w:r>
        <w:rPr>
          <w:spacing w:val="-1"/>
        </w:rPr>
        <w:t xml:space="preserve"> </w:t>
      </w:r>
      <w:r>
        <w:t>enter</w:t>
      </w:r>
      <w:r>
        <w:rPr>
          <w:spacing w:val="-5"/>
        </w:rPr>
        <w:t xml:space="preserve"> </w:t>
      </w:r>
      <w:r>
        <w:t>manual</w:t>
      </w:r>
      <w:r>
        <w:rPr>
          <w:spacing w:val="-3"/>
        </w:rPr>
        <w:t xml:space="preserve"> </w:t>
      </w:r>
      <w:r>
        <w:t>rate information for the contract period.</w:t>
      </w:r>
    </w:p>
    <w:p>
      <w:pPr>
        <w:pStyle w:val="BodyText"/>
        <w:spacing w:after="0"/>
        <w:sectPr>
          <w:headerReference w:type="default" r:id="rId29"/>
          <w:footerReference w:type="default" r:id="rId30"/>
          <w:pgSz w:w="12240" w:h="15840"/>
          <w:pgMar w:top="960" w:right="0" w:bottom="940" w:left="1080" w:header="727" w:footer="747"/>
          <w:cols w:space="720"/>
        </w:sectPr>
      </w:pPr>
    </w:p>
    <w:p>
      <w:pPr>
        <w:pStyle w:val="BodyText"/>
        <w:spacing w:before="225"/>
        <w:ind w:left="0"/>
        <w:rPr>
          <w:sz w:val="21"/>
        </w:rPr>
      </w:pPr>
    </w:p>
    <w:p>
      <w:pPr>
        <w:spacing w:before="0"/>
        <w:ind w:left="1224" w:right="0" w:firstLine="0"/>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i</w:t>
      </w:r>
      <w:r>
        <w:rPr>
          <w:rFonts w:ascii="Arial" w:hAnsi="Arial"/>
          <w:b/>
          <w:spacing w:val="-4"/>
          <w:sz w:val="21"/>
        </w:rPr>
        <w:t xml:space="preserve"> </w:t>
      </w:r>
      <w:r>
        <w:rPr>
          <w:rFonts w:ascii="Arial" w:hAnsi="Arial"/>
          <w:b/>
          <w:sz w:val="21"/>
        </w:rPr>
        <w:t>–</w:t>
      </w:r>
      <w:r>
        <w:rPr>
          <w:rFonts w:ascii="Arial" w:hAnsi="Arial"/>
          <w:b/>
          <w:spacing w:val="-3"/>
          <w:sz w:val="21"/>
        </w:rPr>
        <w:t xml:space="preserve"> </w:t>
      </w:r>
      <w:r>
        <w:rPr>
          <w:rFonts w:ascii="Arial" w:hAnsi="Arial"/>
          <w:b/>
          <w:sz w:val="21"/>
        </w:rPr>
        <w:t>Annual</w:t>
      </w:r>
      <w:r>
        <w:rPr>
          <w:rFonts w:ascii="Arial" w:hAnsi="Arial"/>
          <w:b/>
          <w:spacing w:val="-3"/>
          <w:sz w:val="21"/>
        </w:rPr>
        <w:t xml:space="preserve"> </w:t>
      </w:r>
      <w:r>
        <w:rPr>
          <w:rFonts w:ascii="Arial" w:hAnsi="Arial"/>
          <w:b/>
          <w:spacing w:val="-2"/>
          <w:sz w:val="21"/>
        </w:rPr>
        <w:t>Utilization/1,000</w:t>
      </w:r>
    </w:p>
    <w:p>
      <w:pPr>
        <w:pStyle w:val="BodyText"/>
        <w:spacing w:before="120"/>
        <w:ind w:left="1224" w:right="1481"/>
      </w:pPr>
      <w:r>
        <w:t>Enter</w:t>
      </w:r>
      <w:r>
        <w:rPr>
          <w:spacing w:val="-4"/>
        </w:rPr>
        <w:t xml:space="preserve"> </w:t>
      </w:r>
      <w:r>
        <w:t>utilization/1000</w:t>
      </w:r>
      <w:r>
        <w:rPr>
          <w:spacing w:val="-3"/>
        </w:rPr>
        <w:t xml:space="preserve"> </w:t>
      </w:r>
      <w:r>
        <w:t>assumptions</w:t>
      </w:r>
      <w:r>
        <w:rPr>
          <w:spacing w:val="-4"/>
        </w:rPr>
        <w:t xml:space="preserve"> </w:t>
      </w:r>
      <w:r>
        <w:t>by</w:t>
      </w:r>
      <w:r>
        <w:rPr>
          <w:spacing w:val="-3"/>
        </w:rPr>
        <w:t xml:space="preserve"> </w:t>
      </w:r>
      <w:r>
        <w:t>service</w:t>
      </w:r>
      <w:r>
        <w:rPr>
          <w:spacing w:val="-4"/>
        </w:rPr>
        <w:t xml:space="preserve"> </w:t>
      </w:r>
      <w:r>
        <w:t>category</w:t>
      </w:r>
      <w:r>
        <w:rPr>
          <w:spacing w:val="-4"/>
        </w:rPr>
        <w:t xml:space="preserve"> </w:t>
      </w:r>
      <w:r>
        <w:t>in</w:t>
      </w:r>
      <w:r>
        <w:rPr>
          <w:spacing w:val="-3"/>
        </w:rPr>
        <w:t xml:space="preserve"> </w:t>
      </w:r>
      <w:r>
        <w:t>column</w:t>
      </w:r>
      <w:r>
        <w:rPr>
          <w:spacing w:val="-3"/>
        </w:rPr>
        <w:t xml:space="preserve"> </w:t>
      </w:r>
      <w:r>
        <w:t>i.</w:t>
      </w:r>
      <w:r>
        <w:rPr>
          <w:spacing w:val="-3"/>
        </w:rPr>
        <w:t xml:space="preserve"> </w:t>
      </w:r>
      <w:r>
        <w:t>Do</w:t>
      </w:r>
      <w:r>
        <w:rPr>
          <w:spacing w:val="-3"/>
        </w:rPr>
        <w:t xml:space="preserve"> </w:t>
      </w:r>
      <w:r>
        <w:t>not</w:t>
      </w:r>
      <w:r>
        <w:rPr>
          <w:spacing w:val="-3"/>
        </w:rPr>
        <w:t xml:space="preserve"> </w:t>
      </w:r>
      <w:r>
        <w:t>leave</w:t>
      </w:r>
      <w:r>
        <w:rPr>
          <w:spacing w:val="-4"/>
        </w:rPr>
        <w:t xml:space="preserve"> </w:t>
      </w:r>
      <w:r>
        <w:t>the utilization type (column e) blank.</w:t>
      </w:r>
    </w:p>
    <w:p>
      <w:pPr>
        <w:spacing w:before="119"/>
        <w:ind w:left="1224" w:right="0" w:firstLine="0"/>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j</w:t>
      </w:r>
      <w:r>
        <w:rPr>
          <w:rFonts w:ascii="Arial" w:hAnsi="Arial"/>
          <w:b/>
          <w:spacing w:val="-6"/>
          <w:sz w:val="21"/>
        </w:rPr>
        <w:t xml:space="preserve"> </w:t>
      </w:r>
      <w:r>
        <w:rPr>
          <w:rFonts w:ascii="Arial" w:hAnsi="Arial"/>
          <w:b/>
          <w:sz w:val="21"/>
        </w:rPr>
        <w:t>–</w:t>
      </w:r>
      <w:r>
        <w:rPr>
          <w:rFonts w:ascii="Arial" w:hAnsi="Arial"/>
          <w:b/>
          <w:spacing w:val="-4"/>
          <w:sz w:val="21"/>
        </w:rPr>
        <w:t xml:space="preserve"> </w:t>
      </w:r>
      <w:r>
        <w:rPr>
          <w:rFonts w:ascii="Arial" w:hAnsi="Arial"/>
          <w:b/>
          <w:sz w:val="21"/>
        </w:rPr>
        <w:t>Average</w:t>
      </w:r>
      <w:r>
        <w:rPr>
          <w:rFonts w:ascii="Arial" w:hAnsi="Arial"/>
          <w:b/>
          <w:spacing w:val="-5"/>
          <w:sz w:val="21"/>
        </w:rPr>
        <w:t xml:space="preserve"> </w:t>
      </w:r>
      <w:r>
        <w:rPr>
          <w:rFonts w:ascii="Arial" w:hAnsi="Arial"/>
          <w:b/>
          <w:spacing w:val="-4"/>
          <w:sz w:val="21"/>
        </w:rPr>
        <w:t>Cost</w:t>
      </w:r>
    </w:p>
    <w:p>
      <w:pPr>
        <w:pStyle w:val="BodyText"/>
        <w:spacing w:before="120"/>
        <w:ind w:left="1224"/>
      </w:pPr>
      <w:r>
        <w:t>Average</w:t>
      </w:r>
      <w:r>
        <w:rPr>
          <w:spacing w:val="-2"/>
        </w:rPr>
        <w:t xml:space="preserve"> </w:t>
      </w:r>
      <w:r>
        <w:t>cost</w:t>
      </w:r>
      <w:r>
        <w:rPr>
          <w:spacing w:val="-1"/>
        </w:rPr>
        <w:t xml:space="preserve"> </w:t>
      </w:r>
      <w:r>
        <w:t>will be</w:t>
      </w:r>
      <w:r>
        <w:rPr>
          <w:spacing w:val="-2"/>
        </w:rPr>
        <w:t xml:space="preserve"> </w:t>
      </w:r>
      <w:r>
        <w:t>calculated</w:t>
      </w:r>
      <w:r>
        <w:rPr>
          <w:spacing w:val="-1"/>
        </w:rPr>
        <w:t xml:space="preserve"> </w:t>
      </w:r>
      <w:r>
        <w:t>automatically based</w:t>
      </w:r>
      <w:r>
        <w:rPr>
          <w:spacing w:val="-1"/>
        </w:rPr>
        <w:t xml:space="preserve"> </w:t>
      </w:r>
      <w:r>
        <w:t>on</w:t>
      </w:r>
      <w:r>
        <w:rPr>
          <w:spacing w:val="-1"/>
        </w:rPr>
        <w:t xml:space="preserve"> </w:t>
      </w:r>
      <w:r>
        <w:t>the entries</w:t>
      </w:r>
      <w:r>
        <w:rPr>
          <w:spacing w:val="-2"/>
        </w:rPr>
        <w:t xml:space="preserve"> </w:t>
      </w:r>
      <w:r>
        <w:t>in</w:t>
      </w:r>
      <w:r>
        <w:rPr>
          <w:spacing w:val="-1"/>
        </w:rPr>
        <w:t xml:space="preserve"> </w:t>
      </w:r>
      <w:r>
        <w:t>columns</w:t>
      </w:r>
      <w:r>
        <w:rPr>
          <w:spacing w:val="3"/>
        </w:rPr>
        <w:t xml:space="preserve"> </w:t>
      </w:r>
      <w:r>
        <w:t>i</w:t>
      </w:r>
      <w:r>
        <w:rPr>
          <w:spacing w:val="-1"/>
        </w:rPr>
        <w:t xml:space="preserve"> </w:t>
      </w:r>
      <w:r>
        <w:t>and</w:t>
      </w:r>
      <w:r>
        <w:rPr>
          <w:spacing w:val="-1"/>
        </w:rPr>
        <w:t xml:space="preserve"> </w:t>
      </w:r>
      <w:r>
        <w:rPr>
          <w:spacing w:val="-5"/>
        </w:rPr>
        <w:t>k.</w:t>
      </w:r>
    </w:p>
    <w:p>
      <w:pPr>
        <w:spacing w:before="121"/>
        <w:ind w:left="1224" w:right="0" w:firstLine="0"/>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k</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Allowed</w:t>
      </w:r>
      <w:r>
        <w:rPr>
          <w:rFonts w:ascii="Arial" w:hAnsi="Arial"/>
          <w:b/>
          <w:spacing w:val="-2"/>
          <w:sz w:val="21"/>
        </w:rPr>
        <w:t xml:space="preserve"> </w:t>
      </w:r>
      <w:r>
        <w:rPr>
          <w:rFonts w:ascii="Arial" w:hAnsi="Arial"/>
          <w:b/>
          <w:spacing w:val="-4"/>
          <w:sz w:val="21"/>
        </w:rPr>
        <w:t>PMPM</w:t>
      </w:r>
    </w:p>
    <w:p>
      <w:pPr>
        <w:pStyle w:val="BodyText"/>
        <w:spacing w:before="120"/>
        <w:ind w:left="1224"/>
      </w:pPr>
      <w:r>
        <w:t>Enter</w:t>
      </w:r>
      <w:r>
        <w:rPr>
          <w:spacing w:val="-1"/>
        </w:rPr>
        <w:t xml:space="preserve"> </w:t>
      </w:r>
      <w:r>
        <w:t>PMPM</w:t>
      </w:r>
      <w:r>
        <w:rPr>
          <w:spacing w:val="-2"/>
        </w:rPr>
        <w:t xml:space="preserve"> </w:t>
      </w:r>
      <w:r>
        <w:t>amounts</w:t>
      </w:r>
      <w:r>
        <w:rPr>
          <w:spacing w:val="-2"/>
        </w:rPr>
        <w:t xml:space="preserve"> </w:t>
      </w:r>
      <w:r>
        <w:t>in</w:t>
      </w:r>
      <w:r>
        <w:rPr>
          <w:spacing w:val="-3"/>
        </w:rPr>
        <w:t xml:space="preserve"> </w:t>
      </w:r>
      <w:r>
        <w:t>column</w:t>
      </w:r>
      <w:r>
        <w:rPr>
          <w:spacing w:val="1"/>
        </w:rPr>
        <w:t xml:space="preserve"> </w:t>
      </w:r>
      <w:r>
        <w:rPr>
          <w:spacing w:val="-5"/>
        </w:rPr>
        <w:t>k.</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l</w:t>
      </w:r>
      <w:r>
        <w:rPr>
          <w:rFonts w:ascii="Arial" w:hAnsi="Arial"/>
          <w:b/>
          <w:spacing w:val="-6"/>
          <w:sz w:val="21"/>
        </w:rPr>
        <w:t xml:space="preserve"> </w:t>
      </w:r>
      <w:r>
        <w:rPr>
          <w:rFonts w:ascii="Arial" w:hAnsi="Arial"/>
          <w:b/>
          <w:sz w:val="21"/>
        </w:rPr>
        <w:t>–</w:t>
      </w:r>
      <w:r>
        <w:rPr>
          <w:rFonts w:ascii="Arial" w:hAnsi="Arial"/>
          <w:b/>
          <w:spacing w:val="-5"/>
          <w:sz w:val="21"/>
        </w:rPr>
        <w:t xml:space="preserve"> </w:t>
      </w:r>
      <w:r>
        <w:rPr>
          <w:rFonts w:ascii="Arial" w:hAnsi="Arial"/>
          <w:b/>
          <w:sz w:val="21"/>
        </w:rPr>
        <w:t>Credibility</w:t>
      </w:r>
      <w:r>
        <w:rPr>
          <w:rFonts w:ascii="Arial" w:hAnsi="Arial"/>
          <w:b/>
          <w:spacing w:val="-4"/>
          <w:sz w:val="21"/>
        </w:rPr>
        <w:t xml:space="preserve"> </w:t>
      </w:r>
      <w:r>
        <w:rPr>
          <w:rFonts w:ascii="Arial" w:hAnsi="Arial"/>
          <w:b/>
          <w:spacing w:val="-2"/>
          <w:sz w:val="21"/>
        </w:rPr>
        <w:t>Percentage</w:t>
      </w:r>
    </w:p>
    <w:p>
      <w:pPr>
        <w:pStyle w:val="BodyText"/>
        <w:spacing w:before="118"/>
        <w:ind w:left="1224"/>
      </w:pPr>
      <w:r>
        <w:t>Enter</w:t>
      </w:r>
      <w:r>
        <w:rPr>
          <w:spacing w:val="-1"/>
        </w:rPr>
        <w:t xml:space="preserve"> </w:t>
      </w:r>
      <w:r>
        <w:t>the</w:t>
      </w:r>
      <w:r>
        <w:rPr>
          <w:spacing w:val="-3"/>
        </w:rPr>
        <w:t xml:space="preserve"> </w:t>
      </w:r>
      <w:r>
        <w:t>credibility</w:t>
      </w:r>
      <w:r>
        <w:rPr>
          <w:spacing w:val="-1"/>
        </w:rPr>
        <w:t xml:space="preserve"> </w:t>
      </w:r>
      <w:r>
        <w:t>percentage</w:t>
      </w:r>
      <w:r>
        <w:rPr>
          <w:spacing w:val="-3"/>
        </w:rPr>
        <w:t xml:space="preserve"> </w:t>
      </w:r>
      <w:r>
        <w:t>by service category</w:t>
      </w:r>
      <w:r>
        <w:rPr>
          <w:spacing w:val="-1"/>
        </w:rPr>
        <w:t xml:space="preserve"> </w:t>
      </w:r>
      <w:r>
        <w:t>in</w:t>
      </w:r>
      <w:r>
        <w:rPr>
          <w:spacing w:val="-1"/>
        </w:rPr>
        <w:t xml:space="preserve"> </w:t>
      </w:r>
      <w:r>
        <w:t xml:space="preserve">column </w:t>
      </w:r>
      <w:r>
        <w:rPr>
          <w:spacing w:val="-5"/>
        </w:rPr>
        <w:t>l.</w:t>
      </w:r>
    </w:p>
    <w:p>
      <w:pPr>
        <w:pStyle w:val="BodyText"/>
        <w:spacing w:before="120"/>
        <w:ind w:left="1224" w:right="1481"/>
      </w:pPr>
      <w:r>
        <w:t>The percentage entered must be between 0 percent and 100 percent. This percentage must be between 0 percent and 99 percent if the bid is using a manual rate in the projection.</w:t>
      </w:r>
      <w:r>
        <w:rPr>
          <w:spacing w:val="-3"/>
        </w:rPr>
        <w:t xml:space="preserve"> </w:t>
      </w:r>
      <w:r>
        <w:t>The</w:t>
      </w:r>
      <w:r>
        <w:rPr>
          <w:spacing w:val="-4"/>
        </w:rPr>
        <w:t xml:space="preserve"> </w:t>
      </w:r>
      <w:r>
        <w:t>percentage</w:t>
      </w:r>
      <w:r>
        <w:rPr>
          <w:spacing w:val="-4"/>
        </w:rPr>
        <w:t xml:space="preserve"> </w:t>
      </w:r>
      <w:r>
        <w:t>must</w:t>
      </w:r>
      <w:r>
        <w:rPr>
          <w:spacing w:val="-2"/>
        </w:rPr>
        <w:t xml:space="preserve"> </w:t>
      </w:r>
      <w:r>
        <w:t>equal</w:t>
      </w:r>
      <w:r>
        <w:rPr>
          <w:spacing w:val="-3"/>
        </w:rPr>
        <w:t xml:space="preserve"> </w:t>
      </w:r>
      <w:r>
        <w:t>100</w:t>
      </w:r>
      <w:r>
        <w:rPr>
          <w:spacing w:val="-1"/>
        </w:rPr>
        <w:t xml:space="preserve"> </w:t>
      </w:r>
      <w:r>
        <w:t>percent</w:t>
      </w:r>
      <w:r>
        <w:rPr>
          <w:spacing w:val="-3"/>
        </w:rPr>
        <w:t xml:space="preserve"> </w:t>
      </w:r>
      <w:r>
        <w:t>if</w:t>
      </w:r>
      <w:r>
        <w:rPr>
          <w:spacing w:val="-3"/>
        </w:rPr>
        <w:t xml:space="preserve"> </w:t>
      </w:r>
      <w:r>
        <w:t>a</w:t>
      </w:r>
      <w:r>
        <w:rPr>
          <w:spacing w:val="-5"/>
        </w:rPr>
        <w:t xml:space="preserve"> </w:t>
      </w:r>
      <w:r>
        <w:t>manual</w:t>
      </w:r>
      <w:r>
        <w:rPr>
          <w:spacing w:val="-3"/>
        </w:rPr>
        <w:t xml:space="preserve"> </w:t>
      </w:r>
      <w:r>
        <w:t>rate</w:t>
      </w:r>
      <w:r>
        <w:rPr>
          <w:spacing w:val="-3"/>
        </w:rPr>
        <w:t xml:space="preserve"> </w:t>
      </w:r>
      <w:r>
        <w:t>is</w:t>
      </w:r>
      <w:r>
        <w:rPr>
          <w:spacing w:val="-4"/>
        </w:rPr>
        <w:t xml:space="preserve"> </w:t>
      </w:r>
      <w:r>
        <w:t>not</w:t>
      </w:r>
      <w:r>
        <w:rPr>
          <w:spacing w:val="-3"/>
        </w:rPr>
        <w:t xml:space="preserve"> </w:t>
      </w:r>
      <w:r>
        <w:t>being</w:t>
      </w:r>
      <w:r>
        <w:rPr>
          <w:spacing w:val="-3"/>
        </w:rPr>
        <w:t xml:space="preserve"> </w:t>
      </w:r>
      <w:r>
        <w:t>used</w:t>
      </w:r>
      <w:r>
        <w:rPr>
          <w:spacing w:val="-3"/>
        </w:rPr>
        <w:t xml:space="preserve"> </w:t>
      </w:r>
      <w:r>
        <w:t>in the projection.</w:t>
      </w:r>
    </w:p>
    <w:p>
      <w:pPr>
        <w:pStyle w:val="BodyText"/>
        <w:spacing w:before="120"/>
        <w:ind w:left="1224" w:right="1481"/>
      </w:pPr>
      <w:r>
        <w:t>Between</w:t>
      </w:r>
      <w:r>
        <w:rPr>
          <w:spacing w:val="-3"/>
        </w:rPr>
        <w:t xml:space="preserve"> </w:t>
      </w:r>
      <w:r>
        <w:t>lines</w:t>
      </w:r>
      <w:r>
        <w:rPr>
          <w:spacing w:val="-4"/>
        </w:rPr>
        <w:t xml:space="preserve"> </w:t>
      </w:r>
      <w:r>
        <w:t>s</w:t>
      </w:r>
      <w:r>
        <w:rPr>
          <w:spacing w:val="-4"/>
        </w:rPr>
        <w:t xml:space="preserve"> </w:t>
      </w:r>
      <w:r>
        <w:t>and</w:t>
      </w:r>
      <w:r>
        <w:rPr>
          <w:spacing w:val="-3"/>
        </w:rPr>
        <w:t xml:space="preserve"> </w:t>
      </w:r>
      <w:r>
        <w:t>t</w:t>
      </w:r>
      <w:r>
        <w:rPr>
          <w:spacing w:val="-3"/>
        </w:rPr>
        <w:t xml:space="preserve"> </w:t>
      </w:r>
      <w:r>
        <w:t>of</w:t>
      </w:r>
      <w:r>
        <w:rPr>
          <w:spacing w:val="-2"/>
        </w:rPr>
        <w:t xml:space="preserve"> </w:t>
      </w:r>
      <w:r>
        <w:t>column</w:t>
      </w:r>
      <w:r>
        <w:rPr>
          <w:spacing w:val="-3"/>
        </w:rPr>
        <w:t xml:space="preserve"> </w:t>
      </w:r>
      <w:r>
        <w:t>l,</w:t>
      </w:r>
      <w:r>
        <w:rPr>
          <w:spacing w:val="-3"/>
        </w:rPr>
        <w:t xml:space="preserve"> </w:t>
      </w:r>
      <w:r>
        <w:t>the</w:t>
      </w:r>
      <w:r>
        <w:rPr>
          <w:spacing w:val="-4"/>
        </w:rPr>
        <w:t xml:space="preserve"> </w:t>
      </w:r>
      <w:r>
        <w:t>BPT</w:t>
      </w:r>
      <w:r>
        <w:rPr>
          <w:spacing w:val="-3"/>
        </w:rPr>
        <w:t xml:space="preserve"> </w:t>
      </w:r>
      <w:r>
        <w:t>displays</w:t>
      </w:r>
      <w:r>
        <w:rPr>
          <w:spacing w:val="-4"/>
        </w:rPr>
        <w:t xml:space="preserve"> </w:t>
      </w:r>
      <w:r>
        <w:t>the</w:t>
      </w:r>
      <w:r>
        <w:rPr>
          <w:spacing w:val="-4"/>
        </w:rPr>
        <w:t xml:space="preserve"> </w:t>
      </w:r>
      <w:r>
        <w:t>credibility</w:t>
      </w:r>
      <w:r>
        <w:rPr>
          <w:spacing w:val="-3"/>
        </w:rPr>
        <w:t xml:space="preserve"> </w:t>
      </w:r>
      <w:r>
        <w:t>percentage</w:t>
      </w:r>
      <w:r>
        <w:rPr>
          <w:spacing w:val="-5"/>
        </w:rPr>
        <w:t xml:space="preserve"> </w:t>
      </w:r>
      <w:r>
        <w:t>that</w:t>
      </w:r>
      <w:r>
        <w:rPr>
          <w:spacing w:val="-3"/>
        </w:rPr>
        <w:t xml:space="preserve"> </w:t>
      </w:r>
      <w:r>
        <w:t>is calculated based on CMS guidance and the base period member months entered on Worksheet 1.</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Columns</w:t>
      </w:r>
      <w:r>
        <w:rPr>
          <w:rFonts w:ascii="Arial" w:hAnsi="Arial"/>
          <w:b/>
          <w:spacing w:val="-4"/>
          <w:sz w:val="21"/>
        </w:rPr>
        <w:t xml:space="preserve"> </w:t>
      </w:r>
      <w:r>
        <w:rPr>
          <w:rFonts w:ascii="Arial" w:hAnsi="Arial"/>
          <w:b/>
          <w:sz w:val="21"/>
        </w:rPr>
        <w:t>m</w:t>
      </w:r>
      <w:r>
        <w:rPr>
          <w:rFonts w:ascii="Arial" w:hAnsi="Arial"/>
          <w:b/>
          <w:spacing w:val="-5"/>
          <w:sz w:val="21"/>
        </w:rPr>
        <w:t xml:space="preserve"> </w:t>
      </w:r>
      <w:r>
        <w:rPr>
          <w:rFonts w:ascii="Arial" w:hAnsi="Arial"/>
          <w:b/>
          <w:sz w:val="21"/>
        </w:rPr>
        <w:t>through</w:t>
      </w:r>
      <w:r>
        <w:rPr>
          <w:rFonts w:ascii="Arial" w:hAnsi="Arial"/>
          <w:b/>
          <w:spacing w:val="-3"/>
          <w:sz w:val="21"/>
        </w:rPr>
        <w:t xml:space="preserve"> </w:t>
      </w:r>
      <w:r>
        <w:rPr>
          <w:rFonts w:ascii="Arial" w:hAnsi="Arial"/>
          <w:b/>
          <w:sz w:val="21"/>
        </w:rPr>
        <w:t>o</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Blended</w:t>
      </w:r>
      <w:r>
        <w:rPr>
          <w:rFonts w:ascii="Arial" w:hAnsi="Arial"/>
          <w:b/>
          <w:spacing w:val="-2"/>
          <w:sz w:val="21"/>
        </w:rPr>
        <w:t xml:space="preserve"> </w:t>
      </w:r>
      <w:r>
        <w:rPr>
          <w:rFonts w:ascii="Arial" w:hAnsi="Arial"/>
          <w:b/>
          <w:spacing w:val="-4"/>
          <w:sz w:val="21"/>
        </w:rPr>
        <w:t>Rate</w:t>
      </w:r>
    </w:p>
    <w:p>
      <w:pPr>
        <w:pStyle w:val="BodyText"/>
        <w:spacing w:before="120"/>
        <w:ind w:left="1224" w:right="1481"/>
      </w:pPr>
      <w:r>
        <w:t>Columns</w:t>
      </w:r>
      <w:r>
        <w:rPr>
          <w:spacing w:val="-5"/>
        </w:rPr>
        <w:t xml:space="preserve"> </w:t>
      </w:r>
      <w:r>
        <w:t>m</w:t>
      </w:r>
      <w:r>
        <w:rPr>
          <w:spacing w:val="-4"/>
        </w:rPr>
        <w:t xml:space="preserve"> </w:t>
      </w:r>
      <w:r>
        <w:t>through</w:t>
      </w:r>
      <w:r>
        <w:rPr>
          <w:spacing w:val="-4"/>
        </w:rPr>
        <w:t xml:space="preserve"> </w:t>
      </w:r>
      <w:r>
        <w:t>o</w:t>
      </w:r>
      <w:r>
        <w:rPr>
          <w:spacing w:val="-4"/>
        </w:rPr>
        <w:t xml:space="preserve"> </w:t>
      </w:r>
      <w:r>
        <w:t>calculate</w:t>
      </w:r>
      <w:r>
        <w:rPr>
          <w:spacing w:val="-4"/>
        </w:rPr>
        <w:t xml:space="preserve"> </w:t>
      </w:r>
      <w:r>
        <w:t>the</w:t>
      </w:r>
      <w:r>
        <w:rPr>
          <w:spacing w:val="-5"/>
        </w:rPr>
        <w:t xml:space="preserve"> </w:t>
      </w:r>
      <w:r>
        <w:t>blended</w:t>
      </w:r>
      <w:r>
        <w:rPr>
          <w:spacing w:val="-2"/>
        </w:rPr>
        <w:t xml:space="preserve"> </w:t>
      </w:r>
      <w:r>
        <w:t>contract</w:t>
      </w:r>
      <w:r>
        <w:rPr>
          <w:spacing w:val="-4"/>
        </w:rPr>
        <w:t xml:space="preserve"> </w:t>
      </w:r>
      <w:r>
        <w:t>year</w:t>
      </w:r>
      <w:r>
        <w:rPr>
          <w:spacing w:val="-3"/>
        </w:rPr>
        <w:t xml:space="preserve"> </w:t>
      </w:r>
      <w:r>
        <w:t>rate,</w:t>
      </w:r>
      <w:r>
        <w:rPr>
          <w:spacing w:val="-4"/>
        </w:rPr>
        <w:t xml:space="preserve"> </w:t>
      </w:r>
      <w:r>
        <w:t>based</w:t>
      </w:r>
      <w:r>
        <w:rPr>
          <w:spacing w:val="-4"/>
        </w:rPr>
        <w:t xml:space="preserve"> </w:t>
      </w:r>
      <w:r>
        <w:t>on</w:t>
      </w:r>
      <w:r>
        <w:rPr>
          <w:spacing w:val="-4"/>
        </w:rPr>
        <w:t xml:space="preserve"> </w:t>
      </w:r>
      <w:r>
        <w:t>the</w:t>
      </w:r>
      <w:r>
        <w:rPr>
          <w:spacing w:val="-3"/>
        </w:rPr>
        <w:t xml:space="preserve"> </w:t>
      </w:r>
      <w:r>
        <w:t>projected experience rate, the manual rate, and the credibility percentage.</w:t>
      </w:r>
    </w:p>
    <w:p>
      <w:pPr>
        <w:pStyle w:val="BodyText"/>
        <w:spacing w:before="120"/>
        <w:ind w:left="1224" w:right="1632"/>
      </w:pPr>
      <w:r>
        <w:t>Note</w:t>
      </w:r>
      <w:r>
        <w:rPr>
          <w:spacing w:val="-4"/>
        </w:rPr>
        <w:t xml:space="preserve"> </w:t>
      </w:r>
      <w:r>
        <w:t>that,</w:t>
      </w:r>
      <w:r>
        <w:rPr>
          <w:spacing w:val="-3"/>
        </w:rPr>
        <w:t xml:space="preserve"> </w:t>
      </w:r>
      <w:r>
        <w:t>in</w:t>
      </w:r>
      <w:r>
        <w:rPr>
          <w:spacing w:val="-3"/>
        </w:rPr>
        <w:t xml:space="preserve"> </w:t>
      </w:r>
      <w:r>
        <w:t>column</w:t>
      </w:r>
      <w:r>
        <w:rPr>
          <w:spacing w:val="-3"/>
        </w:rPr>
        <w:t xml:space="preserve"> </w:t>
      </w:r>
      <w:r>
        <w:t>o,</w:t>
      </w:r>
      <w:r>
        <w:rPr>
          <w:spacing w:val="-3"/>
        </w:rPr>
        <w:t xml:space="preserve"> </w:t>
      </w:r>
      <w:r>
        <w:t>if</w:t>
      </w:r>
      <w:r>
        <w:rPr>
          <w:spacing w:val="-3"/>
        </w:rPr>
        <w:t xml:space="preserve"> </w:t>
      </w:r>
      <w:r>
        <w:t>the</w:t>
      </w:r>
      <w:r>
        <w:rPr>
          <w:spacing w:val="-5"/>
        </w:rPr>
        <w:t xml:space="preserve"> </w:t>
      </w:r>
      <w:r>
        <w:t>allowed</w:t>
      </w:r>
      <w:r>
        <w:rPr>
          <w:spacing w:val="-3"/>
        </w:rPr>
        <w:t xml:space="preserve"> </w:t>
      </w:r>
      <w:r>
        <w:t>PMPM</w:t>
      </w:r>
      <w:r>
        <w:rPr>
          <w:spacing w:val="-4"/>
        </w:rPr>
        <w:t xml:space="preserve"> </w:t>
      </w:r>
      <w:r>
        <w:t>is</w:t>
      </w:r>
      <w:r>
        <w:rPr>
          <w:spacing w:val="-3"/>
        </w:rPr>
        <w:t xml:space="preserve"> </w:t>
      </w:r>
      <w:r>
        <w:t>greater</w:t>
      </w:r>
      <w:r>
        <w:rPr>
          <w:spacing w:val="-5"/>
        </w:rPr>
        <w:t xml:space="preserve"> </w:t>
      </w:r>
      <w:r>
        <w:t>than</w:t>
      </w:r>
      <w:r>
        <w:rPr>
          <w:spacing w:val="-2"/>
        </w:rPr>
        <w:t xml:space="preserve"> </w:t>
      </w:r>
      <w:r>
        <w:t>zero</w:t>
      </w:r>
      <w:r>
        <w:rPr>
          <w:spacing w:val="-3"/>
        </w:rPr>
        <w:t xml:space="preserve"> </w:t>
      </w:r>
      <w:r>
        <w:t>and</w:t>
      </w:r>
      <w:r>
        <w:rPr>
          <w:spacing w:val="-3"/>
        </w:rPr>
        <w:t xml:space="preserve"> </w:t>
      </w:r>
      <w:r>
        <w:t>a</w:t>
      </w:r>
      <w:r>
        <w:rPr>
          <w:spacing w:val="-4"/>
        </w:rPr>
        <w:t xml:space="preserve"> </w:t>
      </w:r>
      <w:r>
        <w:t>utilization</w:t>
      </w:r>
      <w:r>
        <w:rPr>
          <w:spacing w:val="-3"/>
        </w:rPr>
        <w:t xml:space="preserve"> </w:t>
      </w:r>
      <w:r>
        <w:t>type is not entered, the BPT results in an error. A utilization type must be entered in column e for all service categories in which allowed PMPMs are projected.</w:t>
      </w:r>
    </w:p>
    <w:p>
      <w:pPr>
        <w:pStyle w:val="BodyText"/>
        <w:spacing w:before="121"/>
        <w:ind w:left="1224"/>
      </w:pPr>
      <w:r>
        <w:t>PMPM</w:t>
      </w:r>
      <w:r>
        <w:rPr>
          <w:spacing w:val="-3"/>
        </w:rPr>
        <w:t xml:space="preserve"> </w:t>
      </w:r>
      <w:r>
        <w:t>values</w:t>
      </w:r>
      <w:r>
        <w:rPr>
          <w:spacing w:val="-2"/>
        </w:rPr>
        <w:t xml:space="preserve"> </w:t>
      </w:r>
      <w:r>
        <w:t>in</w:t>
      </w:r>
      <w:r>
        <w:rPr>
          <w:spacing w:val="-1"/>
        </w:rPr>
        <w:t xml:space="preserve"> </w:t>
      </w:r>
      <w:r>
        <w:t>column</w:t>
      </w:r>
      <w:r>
        <w:rPr>
          <w:spacing w:val="-4"/>
        </w:rPr>
        <w:t xml:space="preserve"> </w:t>
      </w:r>
      <w:r>
        <w:t>o</w:t>
      </w:r>
      <w:r>
        <w:rPr>
          <w:spacing w:val="-1"/>
        </w:rPr>
        <w:t xml:space="preserve"> </w:t>
      </w:r>
      <w:r>
        <w:t>must</w:t>
      </w:r>
      <w:r>
        <w:rPr>
          <w:spacing w:val="-1"/>
        </w:rPr>
        <w:t xml:space="preserve"> </w:t>
      </w:r>
      <w:r>
        <w:t>be</w:t>
      </w:r>
      <w:r>
        <w:rPr>
          <w:spacing w:val="-1"/>
        </w:rPr>
        <w:t xml:space="preserve"> </w:t>
      </w:r>
      <w:r>
        <w:t>greater</w:t>
      </w:r>
      <w:r>
        <w:rPr>
          <w:spacing w:val="-3"/>
        </w:rPr>
        <w:t xml:space="preserve"> </w:t>
      </w:r>
      <w:r>
        <w:t>than</w:t>
      </w:r>
      <w:r>
        <w:rPr>
          <w:spacing w:val="-1"/>
        </w:rPr>
        <w:t xml:space="preserve"> </w:t>
      </w:r>
      <w:r>
        <w:t>or equal</w:t>
      </w:r>
      <w:r>
        <w:rPr>
          <w:spacing w:val="-1"/>
        </w:rPr>
        <w:t xml:space="preserve"> </w:t>
      </w:r>
      <w:r>
        <w:t>to</w:t>
      </w:r>
      <w:r>
        <w:rPr>
          <w:spacing w:val="-1"/>
        </w:rPr>
        <w:t xml:space="preserve"> </w:t>
      </w:r>
      <w:r>
        <w:rPr>
          <w:spacing w:val="-2"/>
        </w:rPr>
        <w:t>zero.</w:t>
      </w:r>
    </w:p>
    <w:p>
      <w:pPr>
        <w:pStyle w:val="ListParagraph"/>
        <w:numPr>
          <w:ilvl w:val="0"/>
          <w:numId w:val="43"/>
        </w:numPr>
        <w:tabs>
          <w:tab w:val="left" w:pos="1223"/>
        </w:tabs>
        <w:spacing w:before="120" w:after="0" w:line="240" w:lineRule="auto"/>
        <w:ind w:left="1223" w:right="0" w:hanging="359"/>
        <w:jc w:val="left"/>
        <w:rPr>
          <w:rFonts w:ascii="Arial" w:hAnsi="Arial"/>
          <w:b/>
          <w:sz w:val="21"/>
        </w:rPr>
      </w:pPr>
      <w:r>
        <w:rPr>
          <w:rFonts w:ascii="Arial" w:hAnsi="Arial"/>
          <w:b/>
          <w:sz w:val="21"/>
        </w:rPr>
        <w:t>Columns</w:t>
      </w:r>
      <w:r>
        <w:rPr>
          <w:rFonts w:ascii="Arial" w:hAnsi="Arial"/>
          <w:b/>
          <w:spacing w:val="-4"/>
          <w:sz w:val="21"/>
        </w:rPr>
        <w:t xml:space="preserve"> </w:t>
      </w:r>
      <w:r>
        <w:rPr>
          <w:rFonts w:ascii="Arial" w:hAnsi="Arial"/>
          <w:b/>
          <w:sz w:val="21"/>
        </w:rPr>
        <w:t>p</w:t>
      </w:r>
      <w:r>
        <w:rPr>
          <w:rFonts w:ascii="Arial" w:hAnsi="Arial"/>
          <w:b/>
          <w:spacing w:val="-4"/>
          <w:sz w:val="21"/>
        </w:rPr>
        <w:t xml:space="preserve"> </w:t>
      </w:r>
      <w:r>
        <w:rPr>
          <w:rFonts w:ascii="Arial" w:hAnsi="Arial"/>
          <w:b/>
          <w:sz w:val="21"/>
        </w:rPr>
        <w:t>and</w:t>
      </w:r>
      <w:r>
        <w:rPr>
          <w:rFonts w:ascii="Arial" w:hAnsi="Arial"/>
          <w:b/>
          <w:spacing w:val="-3"/>
          <w:sz w:val="21"/>
        </w:rPr>
        <w:t xml:space="preserve"> </w:t>
      </w:r>
      <w:r>
        <w:rPr>
          <w:rFonts w:ascii="Arial" w:hAnsi="Arial"/>
          <w:b/>
          <w:sz w:val="21"/>
        </w:rPr>
        <w:t>q</w:t>
      </w:r>
      <w:r>
        <w:rPr>
          <w:rFonts w:ascii="Arial" w:hAnsi="Arial"/>
          <w:b/>
          <w:spacing w:val="-3"/>
          <w:sz w:val="21"/>
        </w:rPr>
        <w:t xml:space="preserve"> </w:t>
      </w:r>
      <w:r>
        <w:rPr>
          <w:rFonts w:ascii="Arial" w:hAnsi="Arial"/>
          <w:b/>
          <w:sz w:val="21"/>
        </w:rPr>
        <w:t>–</w:t>
      </w:r>
      <w:r>
        <w:rPr>
          <w:rFonts w:ascii="Arial" w:hAnsi="Arial"/>
          <w:b/>
          <w:spacing w:val="-6"/>
          <w:sz w:val="21"/>
        </w:rPr>
        <w:t xml:space="preserve"> </w:t>
      </w:r>
      <w:r>
        <w:rPr>
          <w:rFonts w:ascii="Arial" w:hAnsi="Arial"/>
          <w:b/>
          <w:sz w:val="21"/>
        </w:rPr>
        <w:t>Non-DE#</w:t>
      </w:r>
      <w:r>
        <w:rPr>
          <w:rFonts w:ascii="Arial" w:hAnsi="Arial"/>
          <w:b/>
          <w:spacing w:val="-4"/>
          <w:sz w:val="21"/>
        </w:rPr>
        <w:t xml:space="preserve"> </w:t>
      </w:r>
      <w:r>
        <w:rPr>
          <w:rFonts w:ascii="Arial" w:hAnsi="Arial"/>
          <w:b/>
          <w:sz w:val="21"/>
        </w:rPr>
        <w:t>and</w:t>
      </w:r>
      <w:r>
        <w:rPr>
          <w:rFonts w:ascii="Arial" w:hAnsi="Arial"/>
          <w:b/>
          <w:spacing w:val="-3"/>
          <w:sz w:val="21"/>
        </w:rPr>
        <w:t xml:space="preserve"> </w:t>
      </w:r>
      <w:r>
        <w:rPr>
          <w:rFonts w:ascii="Arial" w:hAnsi="Arial"/>
          <w:b/>
          <w:sz w:val="21"/>
        </w:rPr>
        <w:t>DE#</w:t>
      </w:r>
      <w:r>
        <w:rPr>
          <w:rFonts w:ascii="Arial" w:hAnsi="Arial"/>
          <w:b/>
          <w:spacing w:val="-5"/>
          <w:sz w:val="21"/>
        </w:rPr>
        <w:t xml:space="preserve"> </w:t>
      </w:r>
      <w:r>
        <w:rPr>
          <w:rFonts w:ascii="Arial" w:hAnsi="Arial"/>
          <w:b/>
          <w:sz w:val="21"/>
        </w:rPr>
        <w:t>Allowed</w:t>
      </w:r>
      <w:r>
        <w:rPr>
          <w:rFonts w:ascii="Arial" w:hAnsi="Arial"/>
          <w:b/>
          <w:spacing w:val="-3"/>
          <w:sz w:val="21"/>
        </w:rPr>
        <w:t xml:space="preserve"> </w:t>
      </w:r>
      <w:r>
        <w:rPr>
          <w:rFonts w:ascii="Arial" w:hAnsi="Arial"/>
          <w:b/>
          <w:spacing w:val="-2"/>
          <w:sz w:val="21"/>
        </w:rPr>
        <w:t>PMPMs</w:t>
      </w:r>
    </w:p>
    <w:p>
      <w:pPr>
        <w:pStyle w:val="BodyText"/>
        <w:spacing w:before="121"/>
        <w:ind w:left="1224"/>
      </w:pPr>
      <w:r>
        <w:t>Columns</w:t>
      </w:r>
      <w:r>
        <w:rPr>
          <w:spacing w:val="-2"/>
        </w:rPr>
        <w:t xml:space="preserve"> </w:t>
      </w:r>
      <w:r>
        <w:t>p</w:t>
      </w:r>
      <w:r>
        <w:rPr>
          <w:spacing w:val="-1"/>
        </w:rPr>
        <w:t xml:space="preserve"> </w:t>
      </w:r>
      <w:r>
        <w:t>and</w:t>
      </w:r>
      <w:r>
        <w:rPr>
          <w:spacing w:val="-1"/>
        </w:rPr>
        <w:t xml:space="preserve"> </w:t>
      </w:r>
      <w:r>
        <w:t>q</w:t>
      </w:r>
      <w:r>
        <w:rPr>
          <w:spacing w:val="-1"/>
        </w:rPr>
        <w:t xml:space="preserve"> </w:t>
      </w:r>
      <w:r>
        <w:t>capture the</w:t>
      </w:r>
      <w:r>
        <w:rPr>
          <w:spacing w:val="-2"/>
        </w:rPr>
        <w:t xml:space="preserve"> </w:t>
      </w:r>
      <w:r>
        <w:t>separate</w:t>
      </w:r>
      <w:r>
        <w:rPr>
          <w:spacing w:val="-1"/>
        </w:rPr>
        <w:t xml:space="preserve"> </w:t>
      </w:r>
      <w:r>
        <w:t>allowed</w:t>
      </w:r>
      <w:r>
        <w:rPr>
          <w:spacing w:val="-1"/>
        </w:rPr>
        <w:t xml:space="preserve"> </w:t>
      </w:r>
      <w:r>
        <w:t>PMPM</w:t>
      </w:r>
      <w:r>
        <w:rPr>
          <w:spacing w:val="-2"/>
        </w:rPr>
        <w:t xml:space="preserve"> </w:t>
      </w:r>
      <w:r>
        <w:t>costs</w:t>
      </w:r>
      <w:r>
        <w:rPr>
          <w:spacing w:val="-1"/>
        </w:rPr>
        <w:t xml:space="preserve"> </w:t>
      </w:r>
      <w:r>
        <w:t>for</w:t>
      </w:r>
      <w:r>
        <w:rPr>
          <w:spacing w:val="-3"/>
        </w:rPr>
        <w:t xml:space="preserve"> </w:t>
      </w:r>
      <w:r>
        <w:t>non-DE#</w:t>
      </w:r>
      <w:r>
        <w:rPr>
          <w:spacing w:val="-1"/>
        </w:rPr>
        <w:t xml:space="preserve"> </w:t>
      </w:r>
      <w:r>
        <w:rPr>
          <w:spacing w:val="-5"/>
        </w:rPr>
        <w:t>and</w:t>
      </w:r>
    </w:p>
    <w:p>
      <w:pPr>
        <w:pStyle w:val="BodyText"/>
        <w:ind w:left="1224" w:right="1443"/>
      </w:pPr>
      <w:r>
        <w:t>DE#</w:t>
      </w:r>
      <w:r>
        <w:rPr>
          <w:spacing w:val="-4"/>
        </w:rPr>
        <w:t xml:space="preserve"> </w:t>
      </w:r>
      <w:r>
        <w:t>enrollees.</w:t>
      </w:r>
      <w:r>
        <w:rPr>
          <w:spacing w:val="-3"/>
        </w:rPr>
        <w:t xml:space="preserve"> </w:t>
      </w:r>
      <w:r>
        <w:t>Column</w:t>
      </w:r>
      <w:r>
        <w:rPr>
          <w:spacing w:val="-3"/>
        </w:rPr>
        <w:t xml:space="preserve"> </w:t>
      </w:r>
      <w:r>
        <w:t>p</w:t>
      </w:r>
      <w:r>
        <w:rPr>
          <w:spacing w:val="-1"/>
        </w:rPr>
        <w:t xml:space="preserve"> </w:t>
      </w:r>
      <w:r>
        <w:t>must</w:t>
      </w:r>
      <w:r>
        <w:rPr>
          <w:spacing w:val="-2"/>
        </w:rPr>
        <w:t xml:space="preserve"> </w:t>
      </w:r>
      <w:r>
        <w:t>be</w:t>
      </w:r>
      <w:r>
        <w:rPr>
          <w:spacing w:val="-4"/>
        </w:rPr>
        <w:t xml:space="preserve"> </w:t>
      </w:r>
      <w:r>
        <w:t>entered</w:t>
      </w:r>
      <w:r>
        <w:rPr>
          <w:spacing w:val="-3"/>
        </w:rPr>
        <w:t xml:space="preserve"> </w:t>
      </w:r>
      <w:r>
        <w:t>on</w:t>
      </w:r>
      <w:r>
        <w:rPr>
          <w:spacing w:val="-1"/>
        </w:rPr>
        <w:t xml:space="preserve"> </w:t>
      </w:r>
      <w:r>
        <w:t>a</w:t>
      </w:r>
      <w:r>
        <w:rPr>
          <w:spacing w:val="-4"/>
        </w:rPr>
        <w:t xml:space="preserve"> </w:t>
      </w:r>
      <w:r>
        <w:t>“per</w:t>
      </w:r>
      <w:r>
        <w:rPr>
          <w:spacing w:val="-3"/>
        </w:rPr>
        <w:t xml:space="preserve"> </w:t>
      </w:r>
      <w:r>
        <w:t>non-DE#</w:t>
      </w:r>
      <w:r>
        <w:rPr>
          <w:spacing w:val="-4"/>
        </w:rPr>
        <w:t xml:space="preserve"> </w:t>
      </w:r>
      <w:r>
        <w:t>member</w:t>
      </w:r>
      <w:r>
        <w:rPr>
          <w:spacing w:val="-3"/>
        </w:rPr>
        <w:t xml:space="preserve"> </w:t>
      </w:r>
      <w:r>
        <w:t>per</w:t>
      </w:r>
      <w:r>
        <w:rPr>
          <w:spacing w:val="-2"/>
        </w:rPr>
        <w:t xml:space="preserve"> </w:t>
      </w:r>
      <w:r>
        <w:t>month”</w:t>
      </w:r>
      <w:r>
        <w:rPr>
          <w:spacing w:val="-4"/>
        </w:rPr>
        <w:t xml:space="preserve"> </w:t>
      </w:r>
      <w:r>
        <w:t>basis, and column q must be entered on a “per DE# member per month” basis. The amounts entered in columns p and q are used on Worksheet 4.</w:t>
      </w:r>
    </w:p>
    <w:p>
      <w:pPr>
        <w:pStyle w:val="BodyText"/>
        <w:spacing w:before="117"/>
        <w:ind w:left="1224" w:right="1481"/>
      </w:pPr>
      <w:r>
        <w:t>The</w:t>
      </w:r>
      <w:r>
        <w:rPr>
          <w:spacing w:val="-5"/>
        </w:rPr>
        <w:t xml:space="preserve"> </w:t>
      </w:r>
      <w:r>
        <w:t>BPT</w:t>
      </w:r>
      <w:r>
        <w:rPr>
          <w:spacing w:val="-3"/>
        </w:rPr>
        <w:t xml:space="preserve"> </w:t>
      </w:r>
      <w:r>
        <w:t>contains</w:t>
      </w:r>
      <w:r>
        <w:rPr>
          <w:spacing w:val="-4"/>
        </w:rPr>
        <w:t xml:space="preserve"> </w:t>
      </w:r>
      <w:r>
        <w:t>validations</w:t>
      </w:r>
      <w:r>
        <w:rPr>
          <w:spacing w:val="-4"/>
        </w:rPr>
        <w:t xml:space="preserve"> </w:t>
      </w:r>
      <w:r>
        <w:t>such</w:t>
      </w:r>
      <w:r>
        <w:rPr>
          <w:spacing w:val="-3"/>
        </w:rPr>
        <w:t xml:space="preserve"> </w:t>
      </w:r>
      <w:r>
        <w:t>that</w:t>
      </w:r>
      <w:r>
        <w:rPr>
          <w:spacing w:val="-3"/>
        </w:rPr>
        <w:t xml:space="preserve"> </w:t>
      </w:r>
      <w:r>
        <w:t>the</w:t>
      </w:r>
      <w:r>
        <w:rPr>
          <w:spacing w:val="-4"/>
        </w:rPr>
        <w:t xml:space="preserve"> </w:t>
      </w:r>
      <w:r>
        <w:t>total</w:t>
      </w:r>
      <w:r>
        <w:rPr>
          <w:spacing w:val="-3"/>
        </w:rPr>
        <w:t xml:space="preserve"> </w:t>
      </w:r>
      <w:r>
        <w:t>allowed</w:t>
      </w:r>
      <w:r>
        <w:rPr>
          <w:spacing w:val="-3"/>
        </w:rPr>
        <w:t xml:space="preserve"> </w:t>
      </w:r>
      <w:r>
        <w:t>PMPM</w:t>
      </w:r>
      <w:r>
        <w:rPr>
          <w:spacing w:val="-4"/>
        </w:rPr>
        <w:t xml:space="preserve"> </w:t>
      </w:r>
      <w:r>
        <w:t>in</w:t>
      </w:r>
      <w:r>
        <w:rPr>
          <w:spacing w:val="-3"/>
        </w:rPr>
        <w:t xml:space="preserve"> </w:t>
      </w:r>
      <w:r>
        <w:t>column</w:t>
      </w:r>
      <w:r>
        <w:rPr>
          <w:spacing w:val="-2"/>
        </w:rPr>
        <w:t xml:space="preserve"> </w:t>
      </w:r>
      <w:r>
        <w:t>o</w:t>
      </w:r>
      <w:r>
        <w:rPr>
          <w:spacing w:val="-3"/>
        </w:rPr>
        <w:t xml:space="preserve"> </w:t>
      </w:r>
      <w:r>
        <w:t>must</w:t>
      </w:r>
      <w:r>
        <w:rPr>
          <w:spacing w:val="-2"/>
        </w:rPr>
        <w:t xml:space="preserve"> </w:t>
      </w:r>
      <w:r>
        <w:t>be approximately equal to the weighted average of the non-DE# and DE# PMPMs.</w:t>
      </w:r>
    </w:p>
    <w:p>
      <w:pPr>
        <w:pStyle w:val="ListParagraph"/>
        <w:numPr>
          <w:ilvl w:val="1"/>
          <w:numId w:val="43"/>
        </w:numPr>
        <w:tabs>
          <w:tab w:val="left" w:pos="1584"/>
        </w:tabs>
        <w:spacing w:before="121" w:after="0" w:line="240" w:lineRule="auto"/>
        <w:ind w:left="1584" w:right="0" w:hanging="360"/>
        <w:jc w:val="left"/>
        <w:rPr>
          <w:sz w:val="24"/>
        </w:rPr>
      </w:pPr>
      <w:r>
        <w:rPr>
          <w:sz w:val="24"/>
        </w:rPr>
        <w:t>For</w:t>
      </w:r>
      <w:r>
        <w:rPr>
          <w:spacing w:val="-2"/>
          <w:sz w:val="24"/>
        </w:rPr>
        <w:t xml:space="preserve"> </w:t>
      </w:r>
      <w:r>
        <w:rPr>
          <w:sz w:val="24"/>
        </w:rPr>
        <w:t>each</w:t>
      </w:r>
      <w:r>
        <w:rPr>
          <w:spacing w:val="-1"/>
          <w:sz w:val="24"/>
        </w:rPr>
        <w:t xml:space="preserve"> </w:t>
      </w:r>
      <w:r>
        <w:rPr>
          <w:sz w:val="24"/>
        </w:rPr>
        <w:t>service category,</w:t>
      </w:r>
      <w:r>
        <w:rPr>
          <w:spacing w:val="-1"/>
          <w:sz w:val="24"/>
        </w:rPr>
        <w:t xml:space="preserve"> </w:t>
      </w:r>
      <w:r>
        <w:rPr>
          <w:sz w:val="24"/>
        </w:rPr>
        <w:t>the</w:t>
      </w:r>
      <w:r>
        <w:rPr>
          <w:spacing w:val="-1"/>
          <w:sz w:val="24"/>
        </w:rPr>
        <w:t xml:space="preserve"> </w:t>
      </w:r>
      <w:r>
        <w:rPr>
          <w:sz w:val="24"/>
        </w:rPr>
        <w:t>PMPM</w:t>
      </w:r>
      <w:r>
        <w:rPr>
          <w:spacing w:val="-2"/>
          <w:sz w:val="24"/>
        </w:rPr>
        <w:t xml:space="preserve"> </w:t>
      </w:r>
      <w:r>
        <w:rPr>
          <w:sz w:val="24"/>
        </w:rPr>
        <w:t>value</w:t>
      </w:r>
      <w:r>
        <w:rPr>
          <w:spacing w:val="-2"/>
          <w:sz w:val="24"/>
        </w:rPr>
        <w:t xml:space="preserve"> </w:t>
      </w:r>
      <w:r>
        <w:rPr>
          <w:sz w:val="24"/>
        </w:rPr>
        <w:t>for</w:t>
      </w:r>
      <w:r>
        <w:rPr>
          <w:spacing w:val="-1"/>
          <w:sz w:val="24"/>
        </w:rPr>
        <w:t xml:space="preserve"> </w:t>
      </w:r>
      <w:r>
        <w:rPr>
          <w:sz w:val="24"/>
        </w:rPr>
        <w:t>the</w:t>
      </w:r>
      <w:r>
        <w:rPr>
          <w:spacing w:val="-3"/>
          <w:sz w:val="24"/>
        </w:rPr>
        <w:t xml:space="preserve"> </w:t>
      </w:r>
      <w:r>
        <w:rPr>
          <w:sz w:val="24"/>
        </w:rPr>
        <w:t>total</w:t>
      </w:r>
      <w:r>
        <w:rPr>
          <w:spacing w:val="-1"/>
          <w:sz w:val="24"/>
        </w:rPr>
        <w:t xml:space="preserve"> </w:t>
      </w:r>
      <w:r>
        <w:rPr>
          <w:sz w:val="24"/>
        </w:rPr>
        <w:t>population</w:t>
      </w:r>
      <w:r>
        <w:rPr>
          <w:spacing w:val="-1"/>
          <w:sz w:val="24"/>
        </w:rPr>
        <w:t xml:space="preserve"> </w:t>
      </w:r>
      <w:r>
        <w:rPr>
          <w:sz w:val="24"/>
        </w:rPr>
        <w:t>must</w:t>
      </w:r>
      <w:r>
        <w:rPr>
          <w:spacing w:val="-1"/>
          <w:sz w:val="24"/>
        </w:rPr>
        <w:t xml:space="preserve"> </w:t>
      </w:r>
      <w:r>
        <w:rPr>
          <w:sz w:val="24"/>
        </w:rPr>
        <w:t>be</w:t>
      </w:r>
      <w:r>
        <w:rPr>
          <w:spacing w:val="-2"/>
          <w:sz w:val="24"/>
        </w:rPr>
        <w:t xml:space="preserve"> within</w:t>
      </w:r>
    </w:p>
    <w:p>
      <w:pPr>
        <w:pStyle w:val="BodyText"/>
        <w:ind w:left="1584"/>
      </w:pPr>
      <w:r>
        <w:t>$0.05</w:t>
      </w:r>
      <w:r>
        <w:rPr>
          <w:spacing w:val="-3"/>
        </w:rPr>
        <w:t xml:space="preserve"> </w:t>
      </w:r>
      <w:r>
        <w:t>(5 cents) of</w:t>
      </w:r>
      <w:r>
        <w:rPr>
          <w:spacing w:val="-2"/>
        </w:rPr>
        <w:t xml:space="preserve"> </w:t>
      </w:r>
      <w:r>
        <w:t>the</w:t>
      </w:r>
      <w:r>
        <w:rPr>
          <w:spacing w:val="-1"/>
        </w:rPr>
        <w:t xml:space="preserve"> </w:t>
      </w:r>
      <w:r>
        <w:t>weighted average</w:t>
      </w:r>
      <w:r>
        <w:rPr>
          <w:spacing w:val="-2"/>
        </w:rPr>
        <w:t xml:space="preserve"> </w:t>
      </w:r>
      <w:r>
        <w:t>of the</w:t>
      </w:r>
      <w:r>
        <w:rPr>
          <w:spacing w:val="-1"/>
        </w:rPr>
        <w:t xml:space="preserve"> </w:t>
      </w:r>
      <w:r>
        <w:t>non-DE#</w:t>
      </w:r>
      <w:r>
        <w:rPr>
          <w:spacing w:val="-1"/>
        </w:rPr>
        <w:t xml:space="preserve"> </w:t>
      </w:r>
      <w:r>
        <w:t xml:space="preserve">and DE# </w:t>
      </w:r>
      <w:r>
        <w:rPr>
          <w:spacing w:val="-2"/>
        </w:rPr>
        <w:t>PMPMs.</w:t>
      </w:r>
    </w:p>
    <w:p>
      <w:pPr>
        <w:pStyle w:val="ListParagraph"/>
        <w:numPr>
          <w:ilvl w:val="1"/>
          <w:numId w:val="43"/>
        </w:numPr>
        <w:tabs>
          <w:tab w:val="left" w:pos="1584"/>
        </w:tabs>
        <w:spacing w:before="0" w:after="0" w:line="240" w:lineRule="auto"/>
        <w:ind w:left="1584" w:right="0" w:hanging="360"/>
        <w:jc w:val="left"/>
        <w:rPr>
          <w:sz w:val="24"/>
        </w:rPr>
      </w:pPr>
      <w:r>
        <w:rPr>
          <w:sz w:val="24"/>
        </w:rPr>
        <w:t>The</w:t>
      </w:r>
      <w:r>
        <w:rPr>
          <w:spacing w:val="-5"/>
          <w:sz w:val="24"/>
        </w:rPr>
        <w:t xml:space="preserve"> </w:t>
      </w:r>
      <w:r>
        <w:rPr>
          <w:sz w:val="24"/>
        </w:rPr>
        <w:t>BPT</w:t>
      </w:r>
      <w:r>
        <w:rPr>
          <w:spacing w:val="-1"/>
          <w:sz w:val="24"/>
        </w:rPr>
        <w:t xml:space="preserve"> </w:t>
      </w:r>
      <w:r>
        <w:rPr>
          <w:sz w:val="24"/>
        </w:rPr>
        <w:t>will finalize</w:t>
      </w:r>
      <w:r>
        <w:rPr>
          <w:spacing w:val="-2"/>
          <w:sz w:val="24"/>
        </w:rPr>
        <w:t xml:space="preserve"> </w:t>
      </w:r>
      <w:r>
        <w:rPr>
          <w:sz w:val="24"/>
        </w:rPr>
        <w:t>only</w:t>
      </w:r>
      <w:r>
        <w:rPr>
          <w:spacing w:val="-1"/>
          <w:sz w:val="24"/>
        </w:rPr>
        <w:t xml:space="preserve"> </w:t>
      </w:r>
      <w:r>
        <w:rPr>
          <w:sz w:val="24"/>
        </w:rPr>
        <w:t>if the</w:t>
      </w:r>
      <w:r>
        <w:rPr>
          <w:spacing w:val="-3"/>
          <w:sz w:val="24"/>
        </w:rPr>
        <w:t xml:space="preserve"> </w:t>
      </w:r>
      <w:r>
        <w:rPr>
          <w:sz w:val="24"/>
        </w:rPr>
        <w:t>total PMPM</w:t>
      </w:r>
      <w:r>
        <w:rPr>
          <w:spacing w:val="-2"/>
          <w:sz w:val="24"/>
        </w:rPr>
        <w:t xml:space="preserve"> </w:t>
      </w:r>
      <w:r>
        <w:rPr>
          <w:sz w:val="24"/>
        </w:rPr>
        <w:t>for</w:t>
      </w:r>
      <w:r>
        <w:rPr>
          <w:spacing w:val="-1"/>
          <w:sz w:val="24"/>
        </w:rPr>
        <w:t xml:space="preserve"> </w:t>
      </w:r>
      <w:r>
        <w:rPr>
          <w:sz w:val="24"/>
        </w:rPr>
        <w:t>all enrollees</w:t>
      </w:r>
      <w:r>
        <w:rPr>
          <w:spacing w:val="-2"/>
          <w:sz w:val="24"/>
        </w:rPr>
        <w:t xml:space="preserve"> </w:t>
      </w:r>
      <w:r>
        <w:rPr>
          <w:sz w:val="24"/>
        </w:rPr>
        <w:t xml:space="preserve">is </w:t>
      </w:r>
      <w:r>
        <w:rPr>
          <w:spacing w:val="-2"/>
          <w:sz w:val="24"/>
        </w:rPr>
        <w:t>within</w:t>
      </w:r>
    </w:p>
    <w:p>
      <w:pPr>
        <w:pStyle w:val="BodyText"/>
        <w:ind w:left="1584"/>
      </w:pPr>
      <w:r>
        <w:t>$0.50</w:t>
      </w:r>
      <w:r>
        <w:rPr>
          <w:spacing w:val="-3"/>
        </w:rPr>
        <w:t xml:space="preserve"> </w:t>
      </w:r>
      <w:r>
        <w:t>(50</w:t>
      </w:r>
      <w:r>
        <w:rPr>
          <w:spacing w:val="-1"/>
        </w:rPr>
        <w:t xml:space="preserve"> </w:t>
      </w:r>
      <w:r>
        <w:t>cents) of</w:t>
      </w:r>
      <w:r>
        <w:rPr>
          <w:spacing w:val="-1"/>
        </w:rPr>
        <w:t xml:space="preserve"> </w:t>
      </w:r>
      <w:r>
        <w:t>the</w:t>
      </w:r>
      <w:r>
        <w:rPr>
          <w:spacing w:val="-1"/>
        </w:rPr>
        <w:t xml:space="preserve"> </w:t>
      </w:r>
      <w:r>
        <w:t>weighted average</w:t>
      </w:r>
      <w:r>
        <w:rPr>
          <w:spacing w:val="-1"/>
        </w:rPr>
        <w:t xml:space="preserve"> </w:t>
      </w:r>
      <w:r>
        <w:t>of the</w:t>
      </w:r>
      <w:r>
        <w:rPr>
          <w:spacing w:val="-2"/>
        </w:rPr>
        <w:t xml:space="preserve"> </w:t>
      </w:r>
      <w:r>
        <w:t>non-DE#</w:t>
      </w:r>
      <w:r>
        <w:rPr>
          <w:spacing w:val="-1"/>
        </w:rPr>
        <w:t xml:space="preserve"> </w:t>
      </w:r>
      <w:r>
        <w:t xml:space="preserve">and DE# </w:t>
      </w:r>
      <w:r>
        <w:rPr>
          <w:spacing w:val="-2"/>
        </w:rPr>
        <w:t>PMPMs.</w:t>
      </w:r>
    </w:p>
    <w:p>
      <w:pPr>
        <w:pStyle w:val="BodyText"/>
        <w:spacing w:before="120"/>
        <w:ind w:left="1224" w:right="1481"/>
      </w:pPr>
      <w:r>
        <w:t>See</w:t>
      </w:r>
      <w:r>
        <w:rPr>
          <w:spacing w:val="-5"/>
        </w:rPr>
        <w:t xml:space="preserve"> </w:t>
      </w:r>
      <w:r>
        <w:t>the</w:t>
      </w:r>
      <w:r>
        <w:rPr>
          <w:spacing w:val="-5"/>
        </w:rPr>
        <w:t xml:space="preserve"> </w:t>
      </w:r>
      <w:r>
        <w:t>“Dual-Eligible</w:t>
      </w:r>
      <w:r>
        <w:rPr>
          <w:spacing w:val="-5"/>
        </w:rPr>
        <w:t xml:space="preserve"> </w:t>
      </w:r>
      <w:r>
        <w:t>Beneficiaries”</w:t>
      </w:r>
      <w:r>
        <w:rPr>
          <w:spacing w:val="-5"/>
        </w:rPr>
        <w:t xml:space="preserve"> </w:t>
      </w:r>
      <w:r>
        <w:t>pricing</w:t>
      </w:r>
      <w:r>
        <w:rPr>
          <w:spacing w:val="-4"/>
        </w:rPr>
        <w:t xml:space="preserve"> </w:t>
      </w:r>
      <w:r>
        <w:t>consideration</w:t>
      </w:r>
      <w:r>
        <w:rPr>
          <w:spacing w:val="-4"/>
        </w:rPr>
        <w:t xml:space="preserve"> </w:t>
      </w:r>
      <w:r>
        <w:t>for</w:t>
      </w:r>
      <w:r>
        <w:rPr>
          <w:spacing w:val="-6"/>
        </w:rPr>
        <w:t xml:space="preserve"> </w:t>
      </w:r>
      <w:r>
        <w:t>more</w:t>
      </w:r>
      <w:r>
        <w:rPr>
          <w:spacing w:val="-5"/>
        </w:rPr>
        <w:t xml:space="preserve"> </w:t>
      </w:r>
      <w:r>
        <w:t>information</w:t>
      </w:r>
      <w:r>
        <w:rPr>
          <w:spacing w:val="-3"/>
        </w:rPr>
        <w:t xml:space="preserve"> </w:t>
      </w:r>
      <w:r>
        <w:t>about the reporting requirements of DE# pricing.</w:t>
      </w:r>
    </w:p>
    <w:p>
      <w:pPr>
        <w:pStyle w:val="BodyText"/>
        <w:spacing w:before="120"/>
        <w:ind w:left="1224"/>
      </w:pPr>
      <w:r>
        <w:t>PMPM</w:t>
      </w:r>
      <w:r>
        <w:rPr>
          <w:spacing w:val="-3"/>
        </w:rPr>
        <w:t xml:space="preserve"> </w:t>
      </w:r>
      <w:r>
        <w:t>values</w:t>
      </w:r>
      <w:r>
        <w:rPr>
          <w:spacing w:val="-2"/>
        </w:rPr>
        <w:t xml:space="preserve"> </w:t>
      </w:r>
      <w:r>
        <w:t>entered</w:t>
      </w:r>
      <w:r>
        <w:rPr>
          <w:spacing w:val="-2"/>
        </w:rPr>
        <w:t xml:space="preserve"> </w:t>
      </w:r>
      <w:r>
        <w:t>in</w:t>
      </w:r>
      <w:r>
        <w:rPr>
          <w:spacing w:val="1"/>
        </w:rPr>
        <w:t xml:space="preserve"> </w:t>
      </w:r>
      <w:r>
        <w:t>columns</w:t>
      </w:r>
      <w:r>
        <w:rPr>
          <w:spacing w:val="-2"/>
        </w:rPr>
        <w:t xml:space="preserve"> </w:t>
      </w:r>
      <w:r>
        <w:t>p</w:t>
      </w:r>
      <w:r>
        <w:rPr>
          <w:spacing w:val="-2"/>
        </w:rPr>
        <w:t xml:space="preserve"> </w:t>
      </w:r>
      <w:r>
        <w:t>and</w:t>
      </w:r>
      <w:r>
        <w:rPr>
          <w:spacing w:val="-1"/>
        </w:rPr>
        <w:t xml:space="preserve"> </w:t>
      </w:r>
      <w:r>
        <w:t>q</w:t>
      </w:r>
      <w:r>
        <w:rPr>
          <w:spacing w:val="-2"/>
        </w:rPr>
        <w:t xml:space="preserve"> </w:t>
      </w:r>
      <w:r>
        <w:t>must</w:t>
      </w:r>
      <w:r>
        <w:rPr>
          <w:spacing w:val="-1"/>
        </w:rPr>
        <w:t xml:space="preserve"> </w:t>
      </w:r>
      <w:r>
        <w:t>be</w:t>
      </w:r>
      <w:r>
        <w:rPr>
          <w:spacing w:val="-1"/>
        </w:rPr>
        <w:t xml:space="preserve"> </w:t>
      </w:r>
      <w:r>
        <w:t>greater</w:t>
      </w:r>
      <w:r>
        <w:rPr>
          <w:spacing w:val="-2"/>
        </w:rPr>
        <w:t xml:space="preserve"> </w:t>
      </w:r>
      <w:r>
        <w:t>than</w:t>
      </w:r>
      <w:r>
        <w:rPr>
          <w:spacing w:val="-1"/>
        </w:rPr>
        <w:t xml:space="preserve"> </w:t>
      </w:r>
      <w:r>
        <w:t>or</w:t>
      </w:r>
      <w:r>
        <w:rPr>
          <w:spacing w:val="-2"/>
        </w:rPr>
        <w:t xml:space="preserve"> </w:t>
      </w:r>
      <w:r>
        <w:t>equal</w:t>
      </w:r>
      <w:r>
        <w:rPr>
          <w:spacing w:val="-1"/>
        </w:rPr>
        <w:t xml:space="preserve"> </w:t>
      </w:r>
      <w:r>
        <w:t>to</w:t>
      </w:r>
      <w:r>
        <w:rPr>
          <w:spacing w:val="-1"/>
        </w:rPr>
        <w:t xml:space="preserve"> </w:t>
      </w:r>
      <w:r>
        <w:rPr>
          <w:spacing w:val="-2"/>
        </w:rPr>
        <w:t>zero.</w:t>
      </w:r>
    </w:p>
    <w:p>
      <w:pPr>
        <w:pStyle w:val="BodyText"/>
        <w:spacing w:after="0"/>
        <w:sectPr>
          <w:pgSz w:w="12240" w:h="15840"/>
          <w:pgMar w:top="960" w:right="0" w:bottom="940" w:left="1080" w:header="727" w:footer="747"/>
          <w:cols w:space="720"/>
        </w:sectPr>
      </w:pPr>
    </w:p>
    <w:p>
      <w:pPr>
        <w:pStyle w:val="BodyText"/>
        <w:spacing w:before="225"/>
        <w:ind w:left="0"/>
        <w:rPr>
          <w:sz w:val="21"/>
        </w:rPr>
      </w:pPr>
    </w:p>
    <w:p>
      <w:pPr>
        <w:pStyle w:val="ListParagraph"/>
        <w:numPr>
          <w:ilvl w:val="0"/>
          <w:numId w:val="43"/>
        </w:numPr>
        <w:tabs>
          <w:tab w:val="left" w:pos="1223"/>
        </w:tabs>
        <w:spacing w:before="0" w:after="0" w:line="240" w:lineRule="auto"/>
        <w:ind w:left="1223" w:right="0" w:hanging="359"/>
        <w:jc w:val="left"/>
        <w:rPr>
          <w:rFonts w:ascii="Arial" w:hAnsi="Arial"/>
          <w:b/>
          <w:sz w:val="21"/>
        </w:rPr>
      </w:pPr>
      <w:r>
        <w:rPr>
          <w:rFonts w:ascii="Arial" w:hAnsi="Arial"/>
          <w:b/>
          <w:sz w:val="21"/>
        </w:rPr>
        <w:t>Column</w:t>
      </w:r>
      <w:r>
        <w:rPr>
          <w:rFonts w:ascii="Arial" w:hAnsi="Arial"/>
          <w:b/>
          <w:spacing w:val="-8"/>
          <w:sz w:val="21"/>
        </w:rPr>
        <w:t xml:space="preserve"> </w:t>
      </w:r>
      <w:r>
        <w:rPr>
          <w:rFonts w:ascii="Arial" w:hAnsi="Arial"/>
          <w:b/>
          <w:sz w:val="21"/>
        </w:rPr>
        <w:t>r</w:t>
      </w:r>
      <w:r>
        <w:rPr>
          <w:rFonts w:ascii="Arial" w:hAnsi="Arial"/>
          <w:b/>
          <w:spacing w:val="-7"/>
          <w:sz w:val="21"/>
        </w:rPr>
        <w:t xml:space="preserve"> </w:t>
      </w:r>
      <w:r>
        <w:rPr>
          <w:rFonts w:ascii="Arial" w:hAnsi="Arial"/>
          <w:b/>
          <w:sz w:val="21"/>
        </w:rPr>
        <w:t>–</w:t>
      </w:r>
      <w:r>
        <w:rPr>
          <w:rFonts w:ascii="Arial" w:hAnsi="Arial"/>
          <w:b/>
          <w:spacing w:val="-6"/>
          <w:sz w:val="21"/>
        </w:rPr>
        <w:t xml:space="preserve"> </w:t>
      </w:r>
      <w:r>
        <w:rPr>
          <w:rFonts w:ascii="Arial" w:hAnsi="Arial"/>
          <w:b/>
          <w:sz w:val="21"/>
        </w:rPr>
        <w:t>Percentage</w:t>
      </w:r>
      <w:r>
        <w:rPr>
          <w:rFonts w:ascii="Arial" w:hAnsi="Arial"/>
          <w:b/>
          <w:spacing w:val="-9"/>
          <w:sz w:val="21"/>
        </w:rPr>
        <w:t xml:space="preserve"> </w:t>
      </w:r>
      <w:r>
        <w:rPr>
          <w:rFonts w:ascii="Arial" w:hAnsi="Arial"/>
          <w:b/>
          <w:sz w:val="21"/>
        </w:rPr>
        <w:t>of</w:t>
      </w:r>
      <w:r>
        <w:rPr>
          <w:rFonts w:ascii="Arial" w:hAnsi="Arial"/>
          <w:b/>
          <w:spacing w:val="-6"/>
          <w:sz w:val="21"/>
        </w:rPr>
        <w:t xml:space="preserve"> </w:t>
      </w:r>
      <w:r>
        <w:rPr>
          <w:rFonts w:ascii="Arial" w:hAnsi="Arial"/>
          <w:b/>
          <w:sz w:val="21"/>
        </w:rPr>
        <w:t>Services</w:t>
      </w:r>
      <w:r>
        <w:rPr>
          <w:rFonts w:ascii="Arial" w:hAnsi="Arial"/>
          <w:b/>
          <w:spacing w:val="-6"/>
          <w:sz w:val="21"/>
        </w:rPr>
        <w:t xml:space="preserve"> </w:t>
      </w:r>
      <w:r>
        <w:rPr>
          <w:rFonts w:ascii="Arial" w:hAnsi="Arial"/>
          <w:b/>
          <w:sz w:val="21"/>
        </w:rPr>
        <w:t>Provided</w:t>
      </w:r>
      <w:r>
        <w:rPr>
          <w:rFonts w:ascii="Arial" w:hAnsi="Arial"/>
          <w:b/>
          <w:spacing w:val="-6"/>
          <w:sz w:val="21"/>
        </w:rPr>
        <w:t xml:space="preserve"> </w:t>
      </w:r>
      <w:r>
        <w:rPr>
          <w:rFonts w:ascii="Arial" w:hAnsi="Arial"/>
          <w:b/>
          <w:sz w:val="21"/>
        </w:rPr>
        <w:t>Out-of-</w:t>
      </w:r>
      <w:r>
        <w:rPr>
          <w:rFonts w:ascii="Arial" w:hAnsi="Arial"/>
          <w:b/>
          <w:spacing w:val="-2"/>
          <w:sz w:val="21"/>
        </w:rPr>
        <w:t>Network</w:t>
      </w:r>
    </w:p>
    <w:p>
      <w:pPr>
        <w:pStyle w:val="BodyText"/>
        <w:spacing w:before="120"/>
        <w:ind w:left="1224"/>
        <w:jc w:val="both"/>
      </w:pPr>
      <w:r>
        <w:t>Enter</w:t>
      </w:r>
      <w:r>
        <w:rPr>
          <w:spacing w:val="-1"/>
        </w:rPr>
        <w:t xml:space="preserve"> </w:t>
      </w:r>
      <w:r>
        <w:t>the</w:t>
      </w:r>
      <w:r>
        <w:rPr>
          <w:spacing w:val="-3"/>
        </w:rPr>
        <w:t xml:space="preserve"> </w:t>
      </w:r>
      <w:r>
        <w:t>percentage</w:t>
      </w:r>
      <w:r>
        <w:rPr>
          <w:spacing w:val="-2"/>
        </w:rPr>
        <w:t xml:space="preserve"> </w:t>
      </w:r>
      <w:r>
        <w:t>of total</w:t>
      </w:r>
      <w:r>
        <w:rPr>
          <w:spacing w:val="-1"/>
        </w:rPr>
        <w:t xml:space="preserve"> </w:t>
      </w:r>
      <w:r>
        <w:t>allowed</w:t>
      </w:r>
      <w:r>
        <w:rPr>
          <w:spacing w:val="-1"/>
        </w:rPr>
        <w:t xml:space="preserve"> </w:t>
      </w:r>
      <w:r>
        <w:t>costs</w:t>
      </w:r>
      <w:r>
        <w:rPr>
          <w:spacing w:val="-1"/>
        </w:rPr>
        <w:t xml:space="preserve"> </w:t>
      </w:r>
      <w:r>
        <w:t>that are</w:t>
      </w:r>
      <w:r>
        <w:rPr>
          <w:spacing w:val="-2"/>
        </w:rPr>
        <w:t xml:space="preserve"> </w:t>
      </w:r>
      <w:r>
        <w:t>expected</w:t>
      </w:r>
      <w:r>
        <w:rPr>
          <w:spacing w:val="-1"/>
        </w:rPr>
        <w:t xml:space="preserve"> </w:t>
      </w:r>
      <w:r>
        <w:t>to</w:t>
      </w:r>
      <w:r>
        <w:rPr>
          <w:spacing w:val="-1"/>
        </w:rPr>
        <w:t xml:space="preserve"> </w:t>
      </w:r>
      <w:r>
        <w:t>be</w:t>
      </w:r>
      <w:r>
        <w:rPr>
          <w:spacing w:val="-1"/>
        </w:rPr>
        <w:t xml:space="preserve"> </w:t>
      </w:r>
      <w:r>
        <w:rPr>
          <w:spacing w:val="-2"/>
        </w:rPr>
        <w:t>provided</w:t>
      </w:r>
    </w:p>
    <w:p>
      <w:pPr>
        <w:pStyle w:val="BodyText"/>
        <w:spacing w:before="1"/>
        <w:ind w:left="1224" w:right="1503"/>
        <w:jc w:val="both"/>
      </w:pPr>
      <w:r>
        <w:t>out-of-network for</w:t>
      </w:r>
      <w:r>
        <w:rPr>
          <w:spacing w:val="-1"/>
        </w:rPr>
        <w:t xml:space="preserve"> </w:t>
      </w:r>
      <w:r>
        <w:t>each service line. Enter a</w:t>
      </w:r>
      <w:r>
        <w:rPr>
          <w:spacing w:val="-1"/>
        </w:rPr>
        <w:t xml:space="preserve"> </w:t>
      </w:r>
      <w:r>
        <w:t>0 if 0 percent is expected; do not leave the field</w:t>
      </w:r>
      <w:r>
        <w:rPr>
          <w:spacing w:val="-4"/>
        </w:rPr>
        <w:t xml:space="preserve"> </w:t>
      </w:r>
      <w:r>
        <w:t>blank</w:t>
      </w:r>
      <w:r>
        <w:rPr>
          <w:spacing w:val="-4"/>
        </w:rPr>
        <w:t xml:space="preserve"> </w:t>
      </w:r>
      <w:r>
        <w:t>to</w:t>
      </w:r>
      <w:r>
        <w:rPr>
          <w:spacing w:val="-4"/>
        </w:rPr>
        <w:t xml:space="preserve"> </w:t>
      </w:r>
      <w:r>
        <w:t>indicate</w:t>
      </w:r>
      <w:r>
        <w:rPr>
          <w:spacing w:val="-4"/>
        </w:rPr>
        <w:t xml:space="preserve"> </w:t>
      </w:r>
      <w:r>
        <w:t>0</w:t>
      </w:r>
      <w:r>
        <w:rPr>
          <w:spacing w:val="-2"/>
        </w:rPr>
        <w:t xml:space="preserve"> </w:t>
      </w:r>
      <w:r>
        <w:t>percent.</w:t>
      </w:r>
      <w:r>
        <w:rPr>
          <w:spacing w:val="-4"/>
        </w:rPr>
        <w:t xml:space="preserve"> </w:t>
      </w:r>
      <w:r>
        <w:t>The</w:t>
      </w:r>
      <w:r>
        <w:rPr>
          <w:spacing w:val="-5"/>
        </w:rPr>
        <w:t xml:space="preserve"> </w:t>
      </w:r>
      <w:r>
        <w:t>percentage</w:t>
      </w:r>
      <w:r>
        <w:rPr>
          <w:spacing w:val="-3"/>
        </w:rPr>
        <w:t xml:space="preserve"> </w:t>
      </w:r>
      <w:r>
        <w:t>entered</w:t>
      </w:r>
      <w:r>
        <w:rPr>
          <w:spacing w:val="-4"/>
        </w:rPr>
        <w:t xml:space="preserve"> </w:t>
      </w:r>
      <w:r>
        <w:t>must</w:t>
      </w:r>
      <w:r>
        <w:rPr>
          <w:spacing w:val="-4"/>
        </w:rPr>
        <w:t xml:space="preserve"> </w:t>
      </w:r>
      <w:r>
        <w:t>be</w:t>
      </w:r>
      <w:r>
        <w:rPr>
          <w:spacing w:val="-4"/>
        </w:rPr>
        <w:t xml:space="preserve"> </w:t>
      </w:r>
      <w:r>
        <w:t>between</w:t>
      </w:r>
      <w:r>
        <w:rPr>
          <w:spacing w:val="-2"/>
        </w:rPr>
        <w:t xml:space="preserve"> </w:t>
      </w:r>
      <w:r>
        <w:t>0</w:t>
      </w:r>
      <w:r>
        <w:rPr>
          <w:spacing w:val="-2"/>
        </w:rPr>
        <w:t xml:space="preserve"> </w:t>
      </w:r>
      <w:r>
        <w:t>percent</w:t>
      </w:r>
      <w:r>
        <w:rPr>
          <w:spacing w:val="-2"/>
        </w:rPr>
        <w:t xml:space="preserve"> </w:t>
      </w:r>
      <w:r>
        <w:t>and 100 percent.</w:t>
      </w:r>
    </w:p>
    <w:p>
      <w:pPr>
        <w:pStyle w:val="BodyText"/>
        <w:spacing w:before="120"/>
        <w:ind w:left="1224" w:right="1481"/>
      </w:pPr>
      <w:r>
        <w:t>If</w:t>
      </w:r>
      <w:r>
        <w:rPr>
          <w:spacing w:val="-4"/>
        </w:rPr>
        <w:t xml:space="preserve"> </w:t>
      </w:r>
      <w:r>
        <w:t>the</w:t>
      </w:r>
      <w:r>
        <w:rPr>
          <w:spacing w:val="-3"/>
        </w:rPr>
        <w:t xml:space="preserve"> </w:t>
      </w:r>
      <w:r>
        <w:t>bid</w:t>
      </w:r>
      <w:r>
        <w:rPr>
          <w:spacing w:val="-2"/>
        </w:rPr>
        <w:t xml:space="preserve"> </w:t>
      </w:r>
      <w:r>
        <w:t>has</w:t>
      </w:r>
      <w:r>
        <w:rPr>
          <w:spacing w:val="-3"/>
        </w:rPr>
        <w:t xml:space="preserve"> </w:t>
      </w:r>
      <w:r>
        <w:t>OON</w:t>
      </w:r>
      <w:r>
        <w:rPr>
          <w:spacing w:val="-3"/>
        </w:rPr>
        <w:t xml:space="preserve"> </w:t>
      </w:r>
      <w:r>
        <w:t>cost</w:t>
      </w:r>
      <w:r>
        <w:rPr>
          <w:spacing w:val="-2"/>
        </w:rPr>
        <w:t xml:space="preserve"> </w:t>
      </w:r>
      <w:r>
        <w:t>sharing</w:t>
      </w:r>
      <w:r>
        <w:rPr>
          <w:spacing w:val="-2"/>
        </w:rPr>
        <w:t xml:space="preserve"> </w:t>
      </w:r>
      <w:r>
        <w:t>PMPM</w:t>
      </w:r>
      <w:r>
        <w:rPr>
          <w:spacing w:val="-3"/>
        </w:rPr>
        <w:t xml:space="preserve"> </w:t>
      </w:r>
      <w:r>
        <w:t>on Worksheet</w:t>
      </w:r>
      <w:r>
        <w:rPr>
          <w:spacing w:val="-2"/>
        </w:rPr>
        <w:t xml:space="preserve"> </w:t>
      </w:r>
      <w:r>
        <w:t>3,</w:t>
      </w:r>
      <w:r>
        <w:rPr>
          <w:spacing w:val="-2"/>
        </w:rPr>
        <w:t xml:space="preserve"> </w:t>
      </w:r>
      <w:r>
        <w:t>or</w:t>
      </w:r>
      <w:r>
        <w:rPr>
          <w:spacing w:val="-2"/>
        </w:rPr>
        <w:t xml:space="preserve"> </w:t>
      </w:r>
      <w:r>
        <w:t>is</w:t>
      </w:r>
      <w:r>
        <w:rPr>
          <w:spacing w:val="-3"/>
        </w:rPr>
        <w:t xml:space="preserve"> </w:t>
      </w:r>
      <w:r>
        <w:t>a</w:t>
      </w:r>
      <w:r>
        <w:rPr>
          <w:spacing w:val="-3"/>
        </w:rPr>
        <w:t xml:space="preserve"> </w:t>
      </w:r>
      <w:r>
        <w:t>regional</w:t>
      </w:r>
      <w:r>
        <w:rPr>
          <w:spacing w:val="-2"/>
        </w:rPr>
        <w:t xml:space="preserve"> </w:t>
      </w:r>
      <w:r>
        <w:t>PPO</w:t>
      </w:r>
      <w:r>
        <w:rPr>
          <w:spacing w:val="-3"/>
        </w:rPr>
        <w:t xml:space="preserve"> </w:t>
      </w:r>
      <w:r>
        <w:t>plan,</w:t>
      </w:r>
      <w:r>
        <w:rPr>
          <w:spacing w:val="-2"/>
        </w:rPr>
        <w:t xml:space="preserve"> </w:t>
      </w:r>
      <w:r>
        <w:t>then it is expected that the percentage of services provided out-of-network on Worksheet 2 will be greater than 0 percent.</w:t>
      </w:r>
    </w:p>
    <w:p>
      <w:pPr>
        <w:spacing w:before="240"/>
        <w:ind w:left="504" w:right="0" w:firstLine="0"/>
        <w:jc w:val="left"/>
        <w:rPr>
          <w:rFonts w:ascii="Arial" w:hAnsi="Arial"/>
          <w:b/>
          <w:sz w:val="21"/>
        </w:rPr>
      </w:pPr>
      <w:bookmarkStart w:id="173" w:name="Line r – COB/Subrogation (outside claim "/>
      <w:bookmarkEnd w:id="173"/>
      <w:r>
        <w:rPr>
          <w:rFonts w:ascii="Arial" w:hAnsi="Arial"/>
          <w:b/>
          <w:sz w:val="21"/>
        </w:rPr>
        <w:t>Line</w:t>
      </w:r>
      <w:r>
        <w:rPr>
          <w:rFonts w:ascii="Arial" w:hAnsi="Arial"/>
          <w:b/>
          <w:spacing w:val="-7"/>
          <w:sz w:val="21"/>
        </w:rPr>
        <w:t xml:space="preserve"> </w:t>
      </w:r>
      <w:r>
        <w:rPr>
          <w:rFonts w:ascii="Arial" w:hAnsi="Arial"/>
          <w:b/>
          <w:sz w:val="21"/>
        </w:rPr>
        <w:t>r</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COB/Subrogation</w:t>
      </w:r>
      <w:r>
        <w:rPr>
          <w:rFonts w:ascii="Arial" w:hAnsi="Arial"/>
          <w:b/>
          <w:spacing w:val="-6"/>
          <w:sz w:val="21"/>
        </w:rPr>
        <w:t xml:space="preserve"> </w:t>
      </w:r>
      <w:r>
        <w:rPr>
          <w:rFonts w:ascii="Arial" w:hAnsi="Arial"/>
          <w:b/>
          <w:sz w:val="21"/>
        </w:rPr>
        <w:t>(outside</w:t>
      </w:r>
      <w:r>
        <w:rPr>
          <w:rFonts w:ascii="Arial" w:hAnsi="Arial"/>
          <w:b/>
          <w:spacing w:val="-6"/>
          <w:sz w:val="21"/>
        </w:rPr>
        <w:t xml:space="preserve"> </w:t>
      </w:r>
      <w:r>
        <w:rPr>
          <w:rFonts w:ascii="Arial" w:hAnsi="Arial"/>
          <w:b/>
          <w:sz w:val="21"/>
        </w:rPr>
        <w:t>claim</w:t>
      </w:r>
      <w:r>
        <w:rPr>
          <w:rFonts w:ascii="Arial" w:hAnsi="Arial"/>
          <w:b/>
          <w:spacing w:val="-6"/>
          <w:sz w:val="21"/>
        </w:rPr>
        <w:t xml:space="preserve"> </w:t>
      </w:r>
      <w:r>
        <w:rPr>
          <w:rFonts w:ascii="Arial" w:hAnsi="Arial"/>
          <w:b/>
          <w:spacing w:val="-2"/>
          <w:sz w:val="21"/>
        </w:rPr>
        <w:t>system)</w:t>
      </w:r>
    </w:p>
    <w:p>
      <w:pPr>
        <w:pStyle w:val="BodyText"/>
        <w:spacing w:before="118"/>
        <w:ind w:right="1481"/>
      </w:pPr>
      <w:r>
        <w:t>Enter</w:t>
      </w:r>
      <w:r>
        <w:rPr>
          <w:spacing w:val="-3"/>
        </w:rPr>
        <w:t xml:space="preserve"> </w:t>
      </w:r>
      <w:r>
        <w:t>any</w:t>
      </w:r>
      <w:r>
        <w:rPr>
          <w:spacing w:val="-3"/>
        </w:rPr>
        <w:t xml:space="preserve"> </w:t>
      </w:r>
      <w:r>
        <w:t>COB/Subrogation</w:t>
      </w:r>
      <w:r>
        <w:rPr>
          <w:spacing w:val="-3"/>
        </w:rPr>
        <w:t xml:space="preserve"> </w:t>
      </w:r>
      <w:r>
        <w:t>offsets</w:t>
      </w:r>
      <w:r>
        <w:rPr>
          <w:spacing w:val="-4"/>
        </w:rPr>
        <w:t xml:space="preserve"> </w:t>
      </w:r>
      <w:r>
        <w:t>to</w:t>
      </w:r>
      <w:r>
        <w:rPr>
          <w:spacing w:val="-3"/>
        </w:rPr>
        <w:t xml:space="preserve"> </w:t>
      </w:r>
      <w:r>
        <w:t>costs</w:t>
      </w:r>
      <w:r>
        <w:rPr>
          <w:spacing w:val="-3"/>
        </w:rPr>
        <w:t xml:space="preserve"> </w:t>
      </w:r>
      <w:r>
        <w:t>as</w:t>
      </w:r>
      <w:r>
        <w:rPr>
          <w:spacing w:val="-4"/>
        </w:rPr>
        <w:t xml:space="preserve"> </w:t>
      </w:r>
      <w:r>
        <w:t>a</w:t>
      </w:r>
      <w:r>
        <w:rPr>
          <w:spacing w:val="-4"/>
        </w:rPr>
        <w:t xml:space="preserve"> </w:t>
      </w:r>
      <w:r>
        <w:t>negative</w:t>
      </w:r>
      <w:r>
        <w:rPr>
          <w:spacing w:val="-4"/>
        </w:rPr>
        <w:t xml:space="preserve"> </w:t>
      </w:r>
      <w:r>
        <w:t>number,</w:t>
      </w:r>
      <w:r>
        <w:rPr>
          <w:spacing w:val="-3"/>
        </w:rPr>
        <w:t xml:space="preserve"> </w:t>
      </w:r>
      <w:r>
        <w:t>since</w:t>
      </w:r>
      <w:r>
        <w:rPr>
          <w:spacing w:val="-4"/>
        </w:rPr>
        <w:t xml:space="preserve"> </w:t>
      </w:r>
      <w:r>
        <w:t>line</w:t>
      </w:r>
      <w:r>
        <w:rPr>
          <w:spacing w:val="-4"/>
        </w:rPr>
        <w:t xml:space="preserve"> </w:t>
      </w:r>
      <w:r>
        <w:t>r</w:t>
      </w:r>
      <w:r>
        <w:rPr>
          <w:spacing w:val="-3"/>
        </w:rPr>
        <w:t xml:space="preserve"> </w:t>
      </w:r>
      <w:r>
        <w:t>will</w:t>
      </w:r>
      <w:r>
        <w:rPr>
          <w:spacing w:val="-3"/>
        </w:rPr>
        <w:t xml:space="preserve"> </w:t>
      </w:r>
      <w:r>
        <w:t>be</w:t>
      </w:r>
      <w:r>
        <w:rPr>
          <w:spacing w:val="-3"/>
        </w:rPr>
        <w:t xml:space="preserve"> </w:t>
      </w:r>
      <w:r>
        <w:t>added</w:t>
      </w:r>
      <w:r>
        <w:rPr>
          <w:spacing w:val="-3"/>
        </w:rPr>
        <w:t xml:space="preserve"> </w:t>
      </w:r>
      <w:r>
        <w:t>to total medical expenses.</w:t>
      </w:r>
    </w:p>
    <w:p>
      <w:pPr>
        <w:pStyle w:val="ListParagraph"/>
        <w:numPr>
          <w:ilvl w:val="0"/>
          <w:numId w:val="43"/>
        </w:numPr>
        <w:tabs>
          <w:tab w:val="left" w:pos="1223"/>
        </w:tabs>
        <w:spacing w:before="122" w:after="0" w:line="240" w:lineRule="auto"/>
        <w:ind w:left="1223"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k</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Manual</w:t>
      </w:r>
      <w:r>
        <w:rPr>
          <w:rFonts w:ascii="Arial" w:hAnsi="Arial"/>
          <w:b/>
          <w:spacing w:val="-3"/>
          <w:sz w:val="21"/>
        </w:rPr>
        <w:t xml:space="preserve"> </w:t>
      </w:r>
      <w:r>
        <w:rPr>
          <w:rFonts w:ascii="Arial" w:hAnsi="Arial"/>
          <w:b/>
          <w:sz w:val="21"/>
        </w:rPr>
        <w:t>Rate</w:t>
      </w:r>
      <w:r>
        <w:rPr>
          <w:rFonts w:ascii="Arial" w:hAnsi="Arial"/>
          <w:b/>
          <w:spacing w:val="-6"/>
          <w:sz w:val="21"/>
        </w:rPr>
        <w:t xml:space="preserve"> </w:t>
      </w:r>
      <w:r>
        <w:rPr>
          <w:rFonts w:ascii="Arial" w:hAnsi="Arial"/>
          <w:b/>
          <w:sz w:val="21"/>
        </w:rPr>
        <w:t>–</w:t>
      </w:r>
      <w:r>
        <w:rPr>
          <w:rFonts w:ascii="Arial" w:hAnsi="Arial"/>
          <w:b/>
          <w:spacing w:val="-3"/>
          <w:sz w:val="21"/>
        </w:rPr>
        <w:t xml:space="preserve"> </w:t>
      </w:r>
      <w:r>
        <w:rPr>
          <w:rFonts w:ascii="Arial" w:hAnsi="Arial"/>
          <w:b/>
          <w:sz w:val="21"/>
        </w:rPr>
        <w:t>Allowed</w:t>
      </w:r>
      <w:r>
        <w:rPr>
          <w:rFonts w:ascii="Arial" w:hAnsi="Arial"/>
          <w:b/>
          <w:spacing w:val="-5"/>
          <w:sz w:val="21"/>
        </w:rPr>
        <w:t xml:space="preserve"> </w:t>
      </w:r>
      <w:r>
        <w:rPr>
          <w:rFonts w:ascii="Arial" w:hAnsi="Arial"/>
          <w:b/>
          <w:spacing w:val="-4"/>
          <w:sz w:val="21"/>
        </w:rPr>
        <w:t>PMPM</w:t>
      </w:r>
    </w:p>
    <w:p>
      <w:pPr>
        <w:pStyle w:val="BodyText"/>
        <w:spacing w:before="120"/>
        <w:ind w:left="1224"/>
      </w:pPr>
      <w:r>
        <w:t>Enter</w:t>
      </w:r>
      <w:r>
        <w:rPr>
          <w:spacing w:val="-3"/>
        </w:rPr>
        <w:t xml:space="preserve"> </w:t>
      </w:r>
      <w:r>
        <w:t>any</w:t>
      </w:r>
      <w:r>
        <w:rPr>
          <w:spacing w:val="-2"/>
        </w:rPr>
        <w:t xml:space="preserve"> </w:t>
      </w:r>
      <w:r>
        <w:t>PMPM</w:t>
      </w:r>
      <w:r>
        <w:rPr>
          <w:spacing w:val="-1"/>
        </w:rPr>
        <w:t xml:space="preserve"> </w:t>
      </w:r>
      <w:r>
        <w:t>COB/Subrogation</w:t>
      </w:r>
      <w:r>
        <w:rPr>
          <w:spacing w:val="-1"/>
        </w:rPr>
        <w:t xml:space="preserve"> </w:t>
      </w:r>
      <w:r>
        <w:t>offsets</w:t>
      </w:r>
      <w:r>
        <w:rPr>
          <w:spacing w:val="-3"/>
        </w:rPr>
        <w:t xml:space="preserve"> </w:t>
      </w:r>
      <w:r>
        <w:t>to</w:t>
      </w:r>
      <w:r>
        <w:rPr>
          <w:spacing w:val="-1"/>
        </w:rPr>
        <w:t xml:space="preserve"> </w:t>
      </w:r>
      <w:r>
        <w:rPr>
          <w:spacing w:val="-2"/>
        </w:rPr>
        <w:t>costs.</w:t>
      </w:r>
    </w:p>
    <w:p>
      <w:pPr>
        <w:pStyle w:val="ListParagraph"/>
        <w:numPr>
          <w:ilvl w:val="0"/>
          <w:numId w:val="43"/>
        </w:numPr>
        <w:tabs>
          <w:tab w:val="left" w:pos="1223"/>
        </w:tabs>
        <w:spacing w:before="120" w:after="0" w:line="240" w:lineRule="auto"/>
        <w:ind w:left="12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l</w:t>
      </w:r>
      <w:r>
        <w:rPr>
          <w:rFonts w:ascii="Arial" w:hAnsi="Arial"/>
          <w:b/>
          <w:spacing w:val="-7"/>
          <w:sz w:val="21"/>
        </w:rPr>
        <w:t xml:space="preserve"> </w:t>
      </w:r>
      <w:r>
        <w:rPr>
          <w:rFonts w:ascii="Arial" w:hAnsi="Arial"/>
          <w:b/>
          <w:sz w:val="21"/>
        </w:rPr>
        <w:t>–Credibility</w:t>
      </w:r>
      <w:r>
        <w:rPr>
          <w:rFonts w:ascii="Arial" w:hAnsi="Arial"/>
          <w:b/>
          <w:spacing w:val="-6"/>
          <w:sz w:val="21"/>
        </w:rPr>
        <w:t xml:space="preserve"> </w:t>
      </w:r>
      <w:r>
        <w:rPr>
          <w:rFonts w:ascii="Arial" w:hAnsi="Arial"/>
          <w:b/>
          <w:spacing w:val="-2"/>
          <w:sz w:val="21"/>
        </w:rPr>
        <w:t>Percentage</w:t>
      </w:r>
    </w:p>
    <w:p>
      <w:pPr>
        <w:pStyle w:val="BodyText"/>
        <w:spacing w:before="118"/>
        <w:ind w:left="1224" w:right="1481"/>
      </w:pPr>
      <w:r>
        <w:t>For</w:t>
      </w:r>
      <w:r>
        <w:rPr>
          <w:spacing w:val="-3"/>
        </w:rPr>
        <w:t xml:space="preserve"> </w:t>
      </w:r>
      <w:r>
        <w:t>a</w:t>
      </w:r>
      <w:r>
        <w:rPr>
          <w:spacing w:val="-5"/>
        </w:rPr>
        <w:t xml:space="preserve"> </w:t>
      </w:r>
      <w:r>
        <w:t>bid</w:t>
      </w:r>
      <w:r>
        <w:rPr>
          <w:spacing w:val="-3"/>
        </w:rPr>
        <w:t xml:space="preserve"> </w:t>
      </w:r>
      <w:r>
        <w:t>with</w:t>
      </w:r>
      <w:r>
        <w:rPr>
          <w:spacing w:val="-3"/>
        </w:rPr>
        <w:t xml:space="preserve"> </w:t>
      </w:r>
      <w:r>
        <w:t>less</w:t>
      </w:r>
      <w:r>
        <w:rPr>
          <w:spacing w:val="-4"/>
        </w:rPr>
        <w:t xml:space="preserve"> </w:t>
      </w:r>
      <w:r>
        <w:t>than</w:t>
      </w:r>
      <w:r>
        <w:rPr>
          <w:spacing w:val="-3"/>
        </w:rPr>
        <w:t xml:space="preserve"> </w:t>
      </w:r>
      <w:r>
        <w:t>fully</w:t>
      </w:r>
      <w:r>
        <w:rPr>
          <w:spacing w:val="-3"/>
        </w:rPr>
        <w:t xml:space="preserve"> </w:t>
      </w:r>
      <w:r>
        <w:t>credible</w:t>
      </w:r>
      <w:r>
        <w:rPr>
          <w:spacing w:val="-4"/>
        </w:rPr>
        <w:t xml:space="preserve"> </w:t>
      </w:r>
      <w:r>
        <w:t>experience</w:t>
      </w:r>
      <w:r>
        <w:rPr>
          <w:spacing w:val="-2"/>
        </w:rPr>
        <w:t xml:space="preserve"> </w:t>
      </w:r>
      <w:r>
        <w:t>or</w:t>
      </w:r>
      <w:r>
        <w:rPr>
          <w:spacing w:val="-3"/>
        </w:rPr>
        <w:t xml:space="preserve"> </w:t>
      </w:r>
      <w:r>
        <w:t>no</w:t>
      </w:r>
      <w:r>
        <w:rPr>
          <w:spacing w:val="-4"/>
        </w:rPr>
        <w:t xml:space="preserve"> </w:t>
      </w:r>
      <w:r>
        <w:t>experience,</w:t>
      </w:r>
      <w:r>
        <w:rPr>
          <w:spacing w:val="-1"/>
        </w:rPr>
        <w:t xml:space="preserve"> </w:t>
      </w:r>
      <w:r>
        <w:t>enter</w:t>
      </w:r>
      <w:r>
        <w:rPr>
          <w:spacing w:val="-1"/>
        </w:rPr>
        <w:t xml:space="preserve"> </w:t>
      </w:r>
      <w:r>
        <w:t>the</w:t>
      </w:r>
      <w:r>
        <w:rPr>
          <w:spacing w:val="-4"/>
        </w:rPr>
        <w:t xml:space="preserve"> </w:t>
      </w:r>
      <w:r>
        <w:t>credibility percentage subject to the conditions described above for lines a through q, column l.</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8"/>
          <w:sz w:val="21"/>
        </w:rPr>
        <w:t xml:space="preserve"> </w:t>
      </w:r>
      <w:r>
        <w:rPr>
          <w:rFonts w:ascii="Arial" w:hAnsi="Arial"/>
          <w:b/>
          <w:sz w:val="21"/>
        </w:rPr>
        <w:t>o</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Blended</w:t>
      </w:r>
      <w:r>
        <w:rPr>
          <w:rFonts w:ascii="Arial" w:hAnsi="Arial"/>
          <w:b/>
          <w:spacing w:val="-5"/>
          <w:sz w:val="21"/>
        </w:rPr>
        <w:t xml:space="preserve"> </w:t>
      </w:r>
      <w:r>
        <w:rPr>
          <w:rFonts w:ascii="Arial" w:hAnsi="Arial"/>
          <w:b/>
          <w:spacing w:val="-4"/>
          <w:sz w:val="21"/>
        </w:rPr>
        <w:t>Rate</w:t>
      </w:r>
    </w:p>
    <w:p>
      <w:pPr>
        <w:pStyle w:val="BodyText"/>
        <w:spacing w:before="120"/>
        <w:ind w:left="1224" w:right="1524"/>
      </w:pPr>
      <w:r>
        <w:t>Calculated</w:t>
      </w:r>
      <w:r>
        <w:rPr>
          <w:spacing w:val="-4"/>
        </w:rPr>
        <w:t xml:space="preserve"> </w:t>
      </w:r>
      <w:r>
        <w:t>automatically</w:t>
      </w:r>
      <w:r>
        <w:rPr>
          <w:spacing w:val="-1"/>
        </w:rPr>
        <w:t xml:space="preserve"> </w:t>
      </w:r>
      <w:r>
        <w:t>based</w:t>
      </w:r>
      <w:r>
        <w:rPr>
          <w:spacing w:val="-4"/>
        </w:rPr>
        <w:t xml:space="preserve"> </w:t>
      </w:r>
      <w:r>
        <w:t>on</w:t>
      </w:r>
      <w:r>
        <w:rPr>
          <w:spacing w:val="-5"/>
        </w:rPr>
        <w:t xml:space="preserve"> </w:t>
      </w:r>
      <w:r>
        <w:t>the</w:t>
      </w:r>
      <w:r>
        <w:rPr>
          <w:spacing w:val="-4"/>
        </w:rPr>
        <w:t xml:space="preserve"> </w:t>
      </w:r>
      <w:r>
        <w:t>projected</w:t>
      </w:r>
      <w:r>
        <w:rPr>
          <w:spacing w:val="-4"/>
        </w:rPr>
        <w:t xml:space="preserve"> </w:t>
      </w:r>
      <w:r>
        <w:t>experience</w:t>
      </w:r>
      <w:r>
        <w:rPr>
          <w:spacing w:val="-5"/>
        </w:rPr>
        <w:t xml:space="preserve"> </w:t>
      </w:r>
      <w:r>
        <w:t>rate,</w:t>
      </w:r>
      <w:r>
        <w:rPr>
          <w:spacing w:val="-4"/>
        </w:rPr>
        <w:t xml:space="preserve"> </w:t>
      </w:r>
      <w:r>
        <w:t>the</w:t>
      </w:r>
      <w:r>
        <w:rPr>
          <w:spacing w:val="-4"/>
        </w:rPr>
        <w:t xml:space="preserve"> </w:t>
      </w:r>
      <w:r>
        <w:t>manual</w:t>
      </w:r>
      <w:r>
        <w:rPr>
          <w:spacing w:val="-2"/>
        </w:rPr>
        <w:t xml:space="preserve"> </w:t>
      </w:r>
      <w:r>
        <w:t>rate,</w:t>
      </w:r>
      <w:r>
        <w:rPr>
          <w:spacing w:val="-4"/>
        </w:rPr>
        <w:t xml:space="preserve"> </w:t>
      </w:r>
      <w:r>
        <w:t>and the credibility percentage.</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Columns</w:t>
      </w:r>
      <w:r>
        <w:rPr>
          <w:rFonts w:ascii="Arial" w:hAnsi="Arial"/>
          <w:b/>
          <w:spacing w:val="-5"/>
          <w:sz w:val="21"/>
        </w:rPr>
        <w:t xml:space="preserve"> </w:t>
      </w:r>
      <w:r>
        <w:rPr>
          <w:rFonts w:ascii="Arial" w:hAnsi="Arial"/>
          <w:b/>
          <w:sz w:val="21"/>
        </w:rPr>
        <w:t>p</w:t>
      </w:r>
      <w:r>
        <w:rPr>
          <w:rFonts w:ascii="Arial" w:hAnsi="Arial"/>
          <w:b/>
          <w:spacing w:val="-3"/>
          <w:sz w:val="21"/>
        </w:rPr>
        <w:t xml:space="preserve"> </w:t>
      </w:r>
      <w:r>
        <w:rPr>
          <w:rFonts w:ascii="Arial" w:hAnsi="Arial"/>
          <w:b/>
          <w:sz w:val="21"/>
        </w:rPr>
        <w:t>and</w:t>
      </w:r>
      <w:r>
        <w:rPr>
          <w:rFonts w:ascii="Arial" w:hAnsi="Arial"/>
          <w:b/>
          <w:spacing w:val="-3"/>
          <w:sz w:val="21"/>
        </w:rPr>
        <w:t xml:space="preserve"> </w:t>
      </w:r>
      <w:r>
        <w:rPr>
          <w:rFonts w:ascii="Arial" w:hAnsi="Arial"/>
          <w:b/>
          <w:sz w:val="21"/>
        </w:rPr>
        <w:t>q</w:t>
      </w:r>
      <w:r>
        <w:rPr>
          <w:rFonts w:ascii="Arial" w:hAnsi="Arial"/>
          <w:b/>
          <w:spacing w:val="-3"/>
          <w:sz w:val="21"/>
        </w:rPr>
        <w:t xml:space="preserve"> </w:t>
      </w:r>
      <w:r>
        <w:rPr>
          <w:rFonts w:ascii="Arial" w:hAnsi="Arial"/>
          <w:b/>
          <w:sz w:val="21"/>
        </w:rPr>
        <w:t>–</w:t>
      </w:r>
      <w:r>
        <w:rPr>
          <w:rFonts w:ascii="Arial" w:hAnsi="Arial"/>
          <w:b/>
          <w:spacing w:val="-6"/>
          <w:sz w:val="21"/>
        </w:rPr>
        <w:t xml:space="preserve"> </w:t>
      </w:r>
      <w:r>
        <w:rPr>
          <w:rFonts w:ascii="Arial" w:hAnsi="Arial"/>
          <w:b/>
          <w:sz w:val="21"/>
        </w:rPr>
        <w:t>Non-DE#</w:t>
      </w:r>
      <w:r>
        <w:rPr>
          <w:rFonts w:ascii="Arial" w:hAnsi="Arial"/>
          <w:b/>
          <w:spacing w:val="-4"/>
          <w:sz w:val="21"/>
        </w:rPr>
        <w:t xml:space="preserve"> </w:t>
      </w:r>
      <w:r>
        <w:rPr>
          <w:rFonts w:ascii="Arial" w:hAnsi="Arial"/>
          <w:b/>
          <w:sz w:val="21"/>
        </w:rPr>
        <w:t>and</w:t>
      </w:r>
      <w:r>
        <w:rPr>
          <w:rFonts w:ascii="Arial" w:hAnsi="Arial"/>
          <w:b/>
          <w:spacing w:val="-3"/>
          <w:sz w:val="21"/>
        </w:rPr>
        <w:t xml:space="preserve"> </w:t>
      </w:r>
      <w:r>
        <w:rPr>
          <w:rFonts w:ascii="Arial" w:hAnsi="Arial"/>
          <w:b/>
          <w:sz w:val="21"/>
        </w:rPr>
        <w:t>DE#</w:t>
      </w:r>
      <w:r>
        <w:rPr>
          <w:rFonts w:ascii="Arial" w:hAnsi="Arial"/>
          <w:b/>
          <w:spacing w:val="-7"/>
          <w:sz w:val="21"/>
        </w:rPr>
        <w:t xml:space="preserve"> </w:t>
      </w:r>
      <w:r>
        <w:rPr>
          <w:rFonts w:ascii="Arial" w:hAnsi="Arial"/>
          <w:b/>
          <w:sz w:val="21"/>
        </w:rPr>
        <w:t>Allowed</w:t>
      </w:r>
      <w:r>
        <w:rPr>
          <w:rFonts w:ascii="Arial" w:hAnsi="Arial"/>
          <w:b/>
          <w:spacing w:val="-3"/>
          <w:sz w:val="21"/>
        </w:rPr>
        <w:t xml:space="preserve"> </w:t>
      </w:r>
      <w:r>
        <w:rPr>
          <w:rFonts w:ascii="Arial" w:hAnsi="Arial"/>
          <w:b/>
          <w:spacing w:val="-2"/>
          <w:sz w:val="21"/>
        </w:rPr>
        <w:t>PMPMs</w:t>
      </w:r>
    </w:p>
    <w:p>
      <w:pPr>
        <w:pStyle w:val="BodyText"/>
        <w:spacing w:before="121"/>
        <w:ind w:left="1224"/>
      </w:pPr>
      <w:r>
        <w:t>Enter</w:t>
      </w:r>
      <w:r>
        <w:rPr>
          <w:spacing w:val="-1"/>
        </w:rPr>
        <w:t xml:space="preserve"> </w:t>
      </w:r>
      <w:r>
        <w:t>in</w:t>
      </w:r>
      <w:r>
        <w:rPr>
          <w:spacing w:val="-1"/>
        </w:rPr>
        <w:t xml:space="preserve"> </w:t>
      </w:r>
      <w:r>
        <w:t>columns</w:t>
      </w:r>
      <w:r>
        <w:rPr>
          <w:spacing w:val="-2"/>
        </w:rPr>
        <w:t xml:space="preserve"> </w:t>
      </w:r>
      <w:r>
        <w:t>p</w:t>
      </w:r>
      <w:r>
        <w:rPr>
          <w:spacing w:val="-1"/>
        </w:rPr>
        <w:t xml:space="preserve"> </w:t>
      </w:r>
      <w:r>
        <w:t>and</w:t>
      </w:r>
      <w:r>
        <w:rPr>
          <w:spacing w:val="-1"/>
        </w:rPr>
        <w:t xml:space="preserve"> </w:t>
      </w:r>
      <w:r>
        <w:t>q, the</w:t>
      </w:r>
      <w:r>
        <w:rPr>
          <w:spacing w:val="-1"/>
        </w:rPr>
        <w:t xml:space="preserve"> </w:t>
      </w:r>
      <w:r>
        <w:t>separate</w:t>
      </w:r>
      <w:r>
        <w:rPr>
          <w:spacing w:val="-1"/>
        </w:rPr>
        <w:t xml:space="preserve"> </w:t>
      </w:r>
      <w:r>
        <w:t>allowed</w:t>
      </w:r>
      <w:r>
        <w:rPr>
          <w:spacing w:val="-2"/>
        </w:rPr>
        <w:t xml:space="preserve"> </w:t>
      </w:r>
      <w:r>
        <w:t>PMPM</w:t>
      </w:r>
      <w:r>
        <w:rPr>
          <w:spacing w:val="-1"/>
        </w:rPr>
        <w:t xml:space="preserve"> </w:t>
      </w:r>
      <w:r>
        <w:t>costs</w:t>
      </w:r>
      <w:r>
        <w:rPr>
          <w:spacing w:val="-1"/>
        </w:rPr>
        <w:t xml:space="preserve"> </w:t>
      </w:r>
      <w:r>
        <w:t>for</w:t>
      </w:r>
      <w:r>
        <w:rPr>
          <w:spacing w:val="-3"/>
        </w:rPr>
        <w:t xml:space="preserve"> </w:t>
      </w:r>
      <w:r>
        <w:t>non-DE#</w:t>
      </w:r>
      <w:r>
        <w:rPr>
          <w:spacing w:val="1"/>
        </w:rPr>
        <w:t xml:space="preserve"> </w:t>
      </w:r>
      <w:r>
        <w:t>(on</w:t>
      </w:r>
      <w:r>
        <w:rPr>
          <w:spacing w:val="-1"/>
        </w:rPr>
        <w:t xml:space="preserve"> </w:t>
      </w:r>
      <w:r>
        <w:rPr>
          <w:spacing w:val="-10"/>
        </w:rPr>
        <w:t>a</w:t>
      </w:r>
    </w:p>
    <w:p>
      <w:pPr>
        <w:pStyle w:val="BodyText"/>
        <w:ind w:left="1224" w:right="1481"/>
      </w:pPr>
      <w:r>
        <w:t>“per</w:t>
      </w:r>
      <w:r>
        <w:rPr>
          <w:spacing w:val="-4"/>
        </w:rPr>
        <w:t xml:space="preserve"> </w:t>
      </w:r>
      <w:r>
        <w:t>non-DE#</w:t>
      </w:r>
      <w:r>
        <w:rPr>
          <w:spacing w:val="-3"/>
        </w:rPr>
        <w:t xml:space="preserve"> </w:t>
      </w:r>
      <w:r>
        <w:t>member</w:t>
      </w:r>
      <w:r>
        <w:rPr>
          <w:spacing w:val="-3"/>
        </w:rPr>
        <w:t xml:space="preserve"> </w:t>
      </w:r>
      <w:r>
        <w:t>per</w:t>
      </w:r>
      <w:r>
        <w:rPr>
          <w:spacing w:val="-3"/>
        </w:rPr>
        <w:t xml:space="preserve"> </w:t>
      </w:r>
      <w:r>
        <w:t>month”</w:t>
      </w:r>
      <w:r>
        <w:rPr>
          <w:spacing w:val="-3"/>
        </w:rPr>
        <w:t xml:space="preserve"> </w:t>
      </w:r>
      <w:r>
        <w:t>basis)</w:t>
      </w:r>
      <w:r>
        <w:rPr>
          <w:spacing w:val="-4"/>
        </w:rPr>
        <w:t xml:space="preserve"> </w:t>
      </w:r>
      <w:r>
        <w:t>and</w:t>
      </w:r>
      <w:r>
        <w:rPr>
          <w:spacing w:val="-1"/>
        </w:rPr>
        <w:t xml:space="preserve"> </w:t>
      </w:r>
      <w:r>
        <w:t>DE#</w:t>
      </w:r>
      <w:r>
        <w:rPr>
          <w:spacing w:val="-3"/>
        </w:rPr>
        <w:t xml:space="preserve"> </w:t>
      </w:r>
      <w:r>
        <w:t>(on</w:t>
      </w:r>
      <w:r>
        <w:rPr>
          <w:spacing w:val="-3"/>
        </w:rPr>
        <w:t xml:space="preserve"> </w:t>
      </w:r>
      <w:r>
        <w:t>a</w:t>
      </w:r>
      <w:r>
        <w:rPr>
          <w:spacing w:val="-4"/>
        </w:rPr>
        <w:t xml:space="preserve"> </w:t>
      </w:r>
      <w:r>
        <w:t>“per</w:t>
      </w:r>
      <w:r>
        <w:rPr>
          <w:spacing w:val="-3"/>
        </w:rPr>
        <w:t xml:space="preserve"> </w:t>
      </w:r>
      <w:r>
        <w:t>DE#</w:t>
      </w:r>
      <w:r>
        <w:rPr>
          <w:spacing w:val="-3"/>
        </w:rPr>
        <w:t xml:space="preserve"> </w:t>
      </w:r>
      <w:r>
        <w:t>member</w:t>
      </w:r>
      <w:r>
        <w:rPr>
          <w:spacing w:val="-3"/>
        </w:rPr>
        <w:t xml:space="preserve"> </w:t>
      </w:r>
      <w:r>
        <w:t>per</w:t>
      </w:r>
      <w:r>
        <w:rPr>
          <w:spacing w:val="-3"/>
        </w:rPr>
        <w:t xml:space="preserve"> </w:t>
      </w:r>
      <w:r>
        <w:t>month” basis), respectively, subject to the conditions described above for lines a through q, columns p and q.</w:t>
      </w:r>
    </w:p>
    <w:p>
      <w:pPr>
        <w:pStyle w:val="ListParagraph"/>
        <w:numPr>
          <w:ilvl w:val="0"/>
          <w:numId w:val="43"/>
        </w:numPr>
        <w:tabs>
          <w:tab w:val="left" w:pos="1223"/>
        </w:tabs>
        <w:spacing w:before="120" w:after="0" w:line="240" w:lineRule="auto"/>
        <w:ind w:left="1223" w:right="0" w:hanging="359"/>
        <w:jc w:val="left"/>
        <w:rPr>
          <w:rFonts w:ascii="Arial" w:hAnsi="Arial"/>
          <w:b/>
          <w:sz w:val="21"/>
        </w:rPr>
      </w:pPr>
      <w:r>
        <w:rPr>
          <w:rFonts w:ascii="Arial" w:hAnsi="Arial"/>
          <w:b/>
          <w:sz w:val="21"/>
        </w:rPr>
        <w:t>Column</w:t>
      </w:r>
      <w:r>
        <w:rPr>
          <w:rFonts w:ascii="Arial" w:hAnsi="Arial"/>
          <w:b/>
          <w:spacing w:val="-8"/>
          <w:sz w:val="21"/>
        </w:rPr>
        <w:t xml:space="preserve"> </w:t>
      </w:r>
      <w:r>
        <w:rPr>
          <w:rFonts w:ascii="Arial" w:hAnsi="Arial"/>
          <w:b/>
          <w:sz w:val="21"/>
        </w:rPr>
        <w:t>r</w:t>
      </w:r>
      <w:r>
        <w:rPr>
          <w:rFonts w:ascii="Arial" w:hAnsi="Arial"/>
          <w:b/>
          <w:spacing w:val="-7"/>
          <w:sz w:val="21"/>
        </w:rPr>
        <w:t xml:space="preserve"> </w:t>
      </w:r>
      <w:r>
        <w:rPr>
          <w:rFonts w:ascii="Arial" w:hAnsi="Arial"/>
          <w:b/>
          <w:sz w:val="21"/>
        </w:rPr>
        <w:t>–</w:t>
      </w:r>
      <w:r>
        <w:rPr>
          <w:rFonts w:ascii="Arial" w:hAnsi="Arial"/>
          <w:b/>
          <w:spacing w:val="-6"/>
          <w:sz w:val="21"/>
        </w:rPr>
        <w:t xml:space="preserve"> </w:t>
      </w:r>
      <w:r>
        <w:rPr>
          <w:rFonts w:ascii="Arial" w:hAnsi="Arial"/>
          <w:b/>
          <w:sz w:val="21"/>
        </w:rPr>
        <w:t>Percentage</w:t>
      </w:r>
      <w:r>
        <w:rPr>
          <w:rFonts w:ascii="Arial" w:hAnsi="Arial"/>
          <w:b/>
          <w:spacing w:val="-9"/>
          <w:sz w:val="21"/>
        </w:rPr>
        <w:t xml:space="preserve"> </w:t>
      </w:r>
      <w:r>
        <w:rPr>
          <w:rFonts w:ascii="Arial" w:hAnsi="Arial"/>
          <w:b/>
          <w:sz w:val="21"/>
        </w:rPr>
        <w:t>of</w:t>
      </w:r>
      <w:r>
        <w:rPr>
          <w:rFonts w:ascii="Arial" w:hAnsi="Arial"/>
          <w:b/>
          <w:spacing w:val="-6"/>
          <w:sz w:val="21"/>
        </w:rPr>
        <w:t xml:space="preserve"> </w:t>
      </w:r>
      <w:r>
        <w:rPr>
          <w:rFonts w:ascii="Arial" w:hAnsi="Arial"/>
          <w:b/>
          <w:sz w:val="21"/>
        </w:rPr>
        <w:t>Services</w:t>
      </w:r>
      <w:r>
        <w:rPr>
          <w:rFonts w:ascii="Arial" w:hAnsi="Arial"/>
          <w:b/>
          <w:spacing w:val="-6"/>
          <w:sz w:val="21"/>
        </w:rPr>
        <w:t xml:space="preserve"> </w:t>
      </w:r>
      <w:r>
        <w:rPr>
          <w:rFonts w:ascii="Arial" w:hAnsi="Arial"/>
          <w:b/>
          <w:sz w:val="21"/>
        </w:rPr>
        <w:t>Provided</w:t>
      </w:r>
      <w:r>
        <w:rPr>
          <w:rFonts w:ascii="Arial" w:hAnsi="Arial"/>
          <w:b/>
          <w:spacing w:val="-6"/>
          <w:sz w:val="21"/>
        </w:rPr>
        <w:t xml:space="preserve"> </w:t>
      </w:r>
      <w:r>
        <w:rPr>
          <w:rFonts w:ascii="Arial" w:hAnsi="Arial"/>
          <w:b/>
          <w:sz w:val="21"/>
        </w:rPr>
        <w:t>Out-of-</w:t>
      </w:r>
      <w:r>
        <w:rPr>
          <w:rFonts w:ascii="Arial" w:hAnsi="Arial"/>
          <w:b/>
          <w:spacing w:val="-2"/>
          <w:sz w:val="21"/>
        </w:rPr>
        <w:t>Network</w:t>
      </w:r>
    </w:p>
    <w:p>
      <w:pPr>
        <w:pStyle w:val="BodyText"/>
        <w:spacing w:before="118"/>
        <w:ind w:left="1224" w:right="1481"/>
      </w:pPr>
      <w:r>
        <w:t>Enter the percentage of COB/Subrogation offsets to costs that are expected to be provided</w:t>
      </w:r>
      <w:r>
        <w:rPr>
          <w:spacing w:val="-4"/>
        </w:rPr>
        <w:t xml:space="preserve"> </w:t>
      </w:r>
      <w:r>
        <w:t>out-of-network</w:t>
      </w:r>
      <w:r>
        <w:rPr>
          <w:spacing w:val="-3"/>
        </w:rPr>
        <w:t xml:space="preserve"> </w:t>
      </w:r>
      <w:r>
        <w:t>subject</w:t>
      </w:r>
      <w:r>
        <w:rPr>
          <w:spacing w:val="-4"/>
        </w:rPr>
        <w:t xml:space="preserve"> </w:t>
      </w:r>
      <w:r>
        <w:t>to</w:t>
      </w:r>
      <w:r>
        <w:rPr>
          <w:spacing w:val="-4"/>
        </w:rPr>
        <w:t xml:space="preserve"> </w:t>
      </w:r>
      <w:r>
        <w:t>the</w:t>
      </w:r>
      <w:r>
        <w:rPr>
          <w:spacing w:val="-4"/>
        </w:rPr>
        <w:t xml:space="preserve"> </w:t>
      </w:r>
      <w:r>
        <w:t>conditions</w:t>
      </w:r>
      <w:r>
        <w:rPr>
          <w:spacing w:val="-5"/>
        </w:rPr>
        <w:t xml:space="preserve"> </w:t>
      </w:r>
      <w:r>
        <w:t>described</w:t>
      </w:r>
      <w:r>
        <w:rPr>
          <w:spacing w:val="-2"/>
        </w:rPr>
        <w:t xml:space="preserve"> </w:t>
      </w:r>
      <w:r>
        <w:t>above</w:t>
      </w:r>
      <w:r>
        <w:rPr>
          <w:spacing w:val="-5"/>
        </w:rPr>
        <w:t xml:space="preserve"> </w:t>
      </w:r>
      <w:r>
        <w:t>for</w:t>
      </w:r>
      <w:r>
        <w:rPr>
          <w:spacing w:val="-4"/>
        </w:rPr>
        <w:t xml:space="preserve"> </w:t>
      </w:r>
      <w:r>
        <w:t>lines</w:t>
      </w:r>
      <w:r>
        <w:rPr>
          <w:spacing w:val="-5"/>
        </w:rPr>
        <w:t xml:space="preserve"> </w:t>
      </w:r>
      <w:r>
        <w:t>a</w:t>
      </w:r>
      <w:r>
        <w:rPr>
          <w:spacing w:val="-5"/>
        </w:rPr>
        <w:t xml:space="preserve"> </w:t>
      </w:r>
      <w:r>
        <w:t>through</w:t>
      </w:r>
      <w:r>
        <w:rPr>
          <w:spacing w:val="-4"/>
        </w:rPr>
        <w:t xml:space="preserve"> </w:t>
      </w:r>
      <w:r>
        <w:t>q, column r.</w:t>
      </w:r>
    </w:p>
    <w:p>
      <w:pPr>
        <w:spacing w:before="241"/>
        <w:ind w:left="504" w:right="0" w:firstLine="0"/>
        <w:jc w:val="left"/>
        <w:rPr>
          <w:rFonts w:ascii="Arial" w:hAnsi="Arial"/>
          <w:b/>
          <w:sz w:val="21"/>
        </w:rPr>
      </w:pPr>
      <w:r>
        <w:rPr>
          <w:rFonts w:ascii="Arial" w:hAnsi="Arial"/>
          <w:b/>
          <w:sz w:val="21"/>
        </w:rPr>
        <w:t>Line</w:t>
      </w:r>
      <w:r>
        <w:rPr>
          <w:rFonts w:ascii="Arial" w:hAnsi="Arial"/>
          <w:b/>
          <w:spacing w:val="-3"/>
          <w:sz w:val="21"/>
        </w:rPr>
        <w:t xml:space="preserve"> </w:t>
      </w:r>
      <w:r>
        <w:rPr>
          <w:rFonts w:ascii="Arial" w:hAnsi="Arial"/>
          <w:b/>
          <w:sz w:val="21"/>
        </w:rPr>
        <w:t>s</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4"/>
          <w:sz w:val="21"/>
        </w:rPr>
        <w:t xml:space="preserve"> </w:t>
      </w:r>
      <w:r>
        <w:rPr>
          <w:rFonts w:ascii="Arial" w:hAnsi="Arial"/>
          <w:b/>
          <w:sz w:val="21"/>
        </w:rPr>
        <w:t>Medical</w:t>
      </w:r>
      <w:r>
        <w:rPr>
          <w:rFonts w:ascii="Arial" w:hAnsi="Arial"/>
          <w:b/>
          <w:spacing w:val="-3"/>
          <w:sz w:val="21"/>
        </w:rPr>
        <w:t xml:space="preserve"> </w:t>
      </w:r>
      <w:r>
        <w:rPr>
          <w:rFonts w:ascii="Arial" w:hAnsi="Arial"/>
          <w:b/>
          <w:spacing w:val="-2"/>
          <w:sz w:val="21"/>
        </w:rPr>
        <w:t>Expenses</w:t>
      </w:r>
    </w:p>
    <w:p>
      <w:pPr>
        <w:pStyle w:val="BodyText"/>
        <w:spacing w:before="120"/>
        <w:ind w:right="1619"/>
      </w:pPr>
      <w:r>
        <w:t>Calculated</w:t>
      </w:r>
      <w:r>
        <w:rPr>
          <w:spacing w:val="-3"/>
        </w:rPr>
        <w:t xml:space="preserve"> </w:t>
      </w:r>
      <w:r>
        <w:t>automatically</w:t>
      </w:r>
      <w:r>
        <w:rPr>
          <w:spacing w:val="-1"/>
        </w:rPr>
        <w:t xml:space="preserve"> </w:t>
      </w:r>
      <w:r>
        <w:t>as</w:t>
      </w:r>
      <w:r>
        <w:rPr>
          <w:spacing w:val="-4"/>
        </w:rPr>
        <w:t xml:space="preserve"> </w:t>
      </w:r>
      <w:r>
        <w:t>the</w:t>
      </w:r>
      <w:r>
        <w:rPr>
          <w:spacing w:val="-3"/>
        </w:rPr>
        <w:t xml:space="preserve"> </w:t>
      </w:r>
      <w:r>
        <w:t>sum</w:t>
      </w:r>
      <w:r>
        <w:rPr>
          <w:spacing w:val="-3"/>
        </w:rPr>
        <w:t xml:space="preserve"> </w:t>
      </w:r>
      <w:r>
        <w:t>of</w:t>
      </w:r>
      <w:r>
        <w:rPr>
          <w:spacing w:val="-3"/>
        </w:rPr>
        <w:t xml:space="preserve"> </w:t>
      </w:r>
      <w:r>
        <w:t>lines</w:t>
      </w:r>
      <w:r>
        <w:rPr>
          <w:spacing w:val="-4"/>
        </w:rPr>
        <w:t xml:space="preserve"> </w:t>
      </w:r>
      <w:r>
        <w:t>a</w:t>
      </w:r>
      <w:r>
        <w:rPr>
          <w:spacing w:val="-4"/>
        </w:rPr>
        <w:t xml:space="preserve"> </w:t>
      </w:r>
      <w:r>
        <w:t>through</w:t>
      </w:r>
      <w:r>
        <w:rPr>
          <w:spacing w:val="-3"/>
        </w:rPr>
        <w:t xml:space="preserve"> </w:t>
      </w:r>
      <w:r>
        <w:t>r.</w:t>
      </w:r>
      <w:r>
        <w:rPr>
          <w:spacing w:val="-3"/>
        </w:rPr>
        <w:t xml:space="preserve"> </w:t>
      </w:r>
      <w:r>
        <w:t>Values</w:t>
      </w:r>
      <w:r>
        <w:rPr>
          <w:spacing w:val="-4"/>
        </w:rPr>
        <w:t xml:space="preserve"> </w:t>
      </w:r>
      <w:r>
        <w:t>must</w:t>
      </w:r>
      <w:r>
        <w:rPr>
          <w:spacing w:val="-3"/>
        </w:rPr>
        <w:t xml:space="preserve"> </w:t>
      </w:r>
      <w:r>
        <w:t>be</w:t>
      </w:r>
      <w:r>
        <w:rPr>
          <w:spacing w:val="-4"/>
        </w:rPr>
        <w:t xml:space="preserve"> </w:t>
      </w:r>
      <w:r>
        <w:t>greater</w:t>
      </w:r>
      <w:r>
        <w:rPr>
          <w:spacing w:val="-4"/>
        </w:rPr>
        <w:t xml:space="preserve"> </w:t>
      </w:r>
      <w:r>
        <w:t>than</w:t>
      </w:r>
      <w:r>
        <w:rPr>
          <w:spacing w:val="-3"/>
        </w:rPr>
        <w:t xml:space="preserve"> </w:t>
      </w:r>
      <w:r>
        <w:t>or</w:t>
      </w:r>
      <w:r>
        <w:rPr>
          <w:spacing w:val="-3"/>
        </w:rPr>
        <w:t xml:space="preserve"> </w:t>
      </w:r>
      <w:r>
        <w:t>equal to zero.</w:t>
      </w:r>
    </w:p>
    <w:p>
      <w:pPr>
        <w:spacing w:before="242"/>
        <w:ind w:left="504" w:right="0" w:firstLine="0"/>
        <w:jc w:val="left"/>
        <w:rPr>
          <w:rFonts w:ascii="Arial" w:hAnsi="Arial"/>
          <w:b/>
          <w:sz w:val="21"/>
        </w:rPr>
      </w:pPr>
      <w:r>
        <w:rPr>
          <w:rFonts w:ascii="Arial" w:hAnsi="Arial"/>
          <w:b/>
          <w:sz w:val="21"/>
        </w:rPr>
        <w:t>Line</w:t>
      </w:r>
      <w:r>
        <w:rPr>
          <w:rFonts w:ascii="Arial" w:hAnsi="Arial"/>
          <w:b/>
          <w:spacing w:val="-7"/>
          <w:sz w:val="21"/>
        </w:rPr>
        <w:t xml:space="preserve"> </w:t>
      </w:r>
      <w:r>
        <w:rPr>
          <w:rFonts w:ascii="Arial" w:hAnsi="Arial"/>
          <w:b/>
          <w:sz w:val="21"/>
        </w:rPr>
        <w:t>t</w:t>
      </w:r>
      <w:r>
        <w:rPr>
          <w:rFonts w:ascii="Arial" w:hAnsi="Arial"/>
          <w:b/>
          <w:spacing w:val="-7"/>
          <w:sz w:val="21"/>
        </w:rPr>
        <w:t xml:space="preserve"> </w:t>
      </w:r>
      <w:r>
        <w:rPr>
          <w:rFonts w:ascii="Arial" w:hAnsi="Arial"/>
          <w:b/>
          <w:sz w:val="21"/>
        </w:rPr>
        <w:t>–</w:t>
      </w:r>
      <w:r>
        <w:rPr>
          <w:rFonts w:ascii="Arial" w:hAnsi="Arial"/>
          <w:b/>
          <w:spacing w:val="-7"/>
          <w:sz w:val="21"/>
        </w:rPr>
        <w:t xml:space="preserve"> </w:t>
      </w:r>
      <w:r>
        <w:rPr>
          <w:rFonts w:ascii="Arial" w:hAnsi="Arial"/>
          <w:b/>
          <w:sz w:val="21"/>
        </w:rPr>
        <w:t>Subtotal</w:t>
      </w:r>
      <w:r>
        <w:rPr>
          <w:rFonts w:ascii="Arial" w:hAnsi="Arial"/>
          <w:b/>
          <w:spacing w:val="-7"/>
          <w:sz w:val="21"/>
        </w:rPr>
        <w:t xml:space="preserve"> </w:t>
      </w:r>
      <w:r>
        <w:rPr>
          <w:rFonts w:ascii="Arial" w:hAnsi="Arial"/>
          <w:b/>
          <w:sz w:val="21"/>
        </w:rPr>
        <w:t>Medicare-Covered</w:t>
      </w:r>
      <w:r>
        <w:rPr>
          <w:rFonts w:ascii="Arial" w:hAnsi="Arial"/>
          <w:b/>
          <w:spacing w:val="-5"/>
          <w:sz w:val="21"/>
        </w:rPr>
        <w:t xml:space="preserve"> </w:t>
      </w:r>
      <w:r>
        <w:rPr>
          <w:rFonts w:ascii="Arial" w:hAnsi="Arial"/>
          <w:b/>
          <w:sz w:val="21"/>
        </w:rPr>
        <w:t>Service</w:t>
      </w:r>
      <w:r>
        <w:rPr>
          <w:rFonts w:ascii="Arial" w:hAnsi="Arial"/>
          <w:b/>
          <w:spacing w:val="-8"/>
          <w:sz w:val="21"/>
        </w:rPr>
        <w:t xml:space="preserve"> </w:t>
      </w:r>
      <w:r>
        <w:rPr>
          <w:rFonts w:ascii="Arial" w:hAnsi="Arial"/>
          <w:b/>
          <w:spacing w:val="-2"/>
          <w:sz w:val="21"/>
        </w:rPr>
        <w:t>Categories</w:t>
      </w:r>
    </w:p>
    <w:p>
      <w:pPr>
        <w:pStyle w:val="BodyText"/>
        <w:spacing w:before="117"/>
        <w:ind w:right="1524"/>
      </w:pPr>
      <w:r>
        <w:t>Calculated</w:t>
      </w:r>
      <w:r>
        <w:rPr>
          <w:spacing w:val="-3"/>
        </w:rPr>
        <w:t xml:space="preserve"> </w:t>
      </w:r>
      <w:r>
        <w:t>automatically</w:t>
      </w:r>
      <w:r>
        <w:rPr>
          <w:spacing w:val="-1"/>
        </w:rPr>
        <w:t xml:space="preserve"> </w:t>
      </w:r>
      <w:r>
        <w:t>as</w:t>
      </w:r>
      <w:r>
        <w:rPr>
          <w:spacing w:val="-4"/>
        </w:rPr>
        <w:t xml:space="preserve"> </w:t>
      </w:r>
      <w:r>
        <w:t>the</w:t>
      </w:r>
      <w:r>
        <w:rPr>
          <w:spacing w:val="-3"/>
        </w:rPr>
        <w:t xml:space="preserve"> </w:t>
      </w:r>
      <w:r>
        <w:t>sum</w:t>
      </w:r>
      <w:r>
        <w:rPr>
          <w:spacing w:val="-3"/>
        </w:rPr>
        <w:t xml:space="preserve"> </w:t>
      </w:r>
      <w:r>
        <w:t>of</w:t>
      </w:r>
      <w:r>
        <w:rPr>
          <w:spacing w:val="-3"/>
        </w:rPr>
        <w:t xml:space="preserve"> </w:t>
      </w:r>
      <w:r>
        <w:t>lines</w:t>
      </w:r>
      <w:r>
        <w:rPr>
          <w:spacing w:val="-4"/>
        </w:rPr>
        <w:t xml:space="preserve"> </w:t>
      </w:r>
      <w:r>
        <w:t>a</w:t>
      </w:r>
      <w:r>
        <w:rPr>
          <w:spacing w:val="-4"/>
        </w:rPr>
        <w:t xml:space="preserve"> </w:t>
      </w:r>
      <w:r>
        <w:t>through</w:t>
      </w:r>
      <w:r>
        <w:rPr>
          <w:spacing w:val="-3"/>
        </w:rPr>
        <w:t xml:space="preserve"> </w:t>
      </w:r>
      <w:r>
        <w:t>k.</w:t>
      </w:r>
      <w:r>
        <w:rPr>
          <w:spacing w:val="-3"/>
        </w:rPr>
        <w:t xml:space="preserve"> </w:t>
      </w:r>
      <w:r>
        <w:t>Values</w:t>
      </w:r>
      <w:r>
        <w:rPr>
          <w:spacing w:val="-4"/>
        </w:rPr>
        <w:t xml:space="preserve"> </w:t>
      </w:r>
      <w:r>
        <w:t>must</w:t>
      </w:r>
      <w:r>
        <w:rPr>
          <w:spacing w:val="-3"/>
        </w:rPr>
        <w:t xml:space="preserve"> </w:t>
      </w:r>
      <w:r>
        <w:t>be</w:t>
      </w:r>
      <w:r>
        <w:rPr>
          <w:spacing w:val="-4"/>
        </w:rPr>
        <w:t xml:space="preserve"> </w:t>
      </w:r>
      <w:r>
        <w:t>greater</w:t>
      </w:r>
      <w:r>
        <w:rPr>
          <w:spacing w:val="-4"/>
        </w:rPr>
        <w:t xml:space="preserve"> </w:t>
      </w:r>
      <w:r>
        <w:t>than</w:t>
      </w:r>
      <w:r>
        <w:rPr>
          <w:spacing w:val="-3"/>
        </w:rPr>
        <w:t xml:space="preserve"> </w:t>
      </w:r>
      <w:r>
        <w:t>or</w:t>
      </w:r>
      <w:r>
        <w:rPr>
          <w:spacing w:val="-3"/>
        </w:rPr>
        <w:t xml:space="preserve"> </w:t>
      </w:r>
      <w:r>
        <w:t>equal to zero.</w:t>
      </w:r>
    </w:p>
    <w:p>
      <w:pPr>
        <w:pStyle w:val="BodyText"/>
        <w:spacing w:after="0"/>
        <w:sectPr>
          <w:pgSz w:w="12240" w:h="15840"/>
          <w:pgMar w:top="960" w:right="0" w:bottom="940" w:left="1080" w:header="727" w:footer="747"/>
          <w:cols w:space="720"/>
        </w:sectPr>
      </w:pPr>
    </w:p>
    <w:p>
      <w:pPr>
        <w:pStyle w:val="BodyText"/>
        <w:spacing w:before="144"/>
        <w:ind w:left="0"/>
        <w:rPr>
          <w:sz w:val="28"/>
        </w:rPr>
      </w:pPr>
    </w:p>
    <w:p>
      <w:pPr>
        <w:pStyle w:val="Heading1"/>
        <w:tabs>
          <w:tab w:val="left" w:pos="9750"/>
        </w:tabs>
        <w:rPr>
          <w:u w:val="none"/>
        </w:rPr>
      </w:pPr>
      <w:bookmarkStart w:id="174" w:name="MA Worksheet 3 – MA Projected Cost Shari"/>
      <w:bookmarkEnd w:id="174"/>
      <w:bookmarkStart w:id="175" w:name="_bookmark52"/>
      <w:bookmarkEnd w:id="175"/>
      <w:r>
        <w:rPr>
          <w:spacing w:val="-50"/>
          <w:u w:val="single"/>
        </w:rPr>
        <w:t xml:space="preserve"> </w:t>
      </w:r>
      <w:r>
        <w:rPr>
          <w:u w:val="single"/>
        </w:rPr>
        <w:t>MA</w:t>
      </w:r>
      <w:r>
        <w:rPr>
          <w:spacing w:val="-6"/>
          <w:u w:val="single"/>
        </w:rPr>
        <w:t xml:space="preserve"> </w:t>
      </w:r>
      <w:r>
        <w:rPr>
          <w:u w:val="single"/>
        </w:rPr>
        <w:t>WORKSHEET</w:t>
      </w:r>
      <w:r>
        <w:rPr>
          <w:spacing w:val="-3"/>
          <w:u w:val="single"/>
        </w:rPr>
        <w:t xml:space="preserve"> </w:t>
      </w:r>
      <w:r>
        <w:rPr>
          <w:u w:val="single"/>
        </w:rPr>
        <w:t>3</w:t>
      </w:r>
      <w:r>
        <w:rPr>
          <w:spacing w:val="-3"/>
          <w:u w:val="single"/>
        </w:rPr>
        <w:t xml:space="preserve"> </w:t>
      </w:r>
      <w:r>
        <w:rPr>
          <w:u w:val="single"/>
        </w:rPr>
        <w:t>–</w:t>
      </w:r>
      <w:r>
        <w:rPr>
          <w:spacing w:val="-6"/>
          <w:u w:val="single"/>
        </w:rPr>
        <w:t xml:space="preserve"> </w:t>
      </w:r>
      <w:r>
        <w:rPr>
          <w:u w:val="single"/>
        </w:rPr>
        <w:t>MA</w:t>
      </w:r>
      <w:r>
        <w:rPr>
          <w:spacing w:val="-6"/>
          <w:u w:val="single"/>
        </w:rPr>
        <w:t xml:space="preserve"> </w:t>
      </w:r>
      <w:r>
        <w:rPr>
          <w:u w:val="single"/>
        </w:rPr>
        <w:t>PROJECTED</w:t>
      </w:r>
      <w:r>
        <w:rPr>
          <w:spacing w:val="-3"/>
          <w:u w:val="single"/>
        </w:rPr>
        <w:t xml:space="preserve"> </w:t>
      </w:r>
      <w:r>
        <w:rPr>
          <w:u w:val="single"/>
        </w:rPr>
        <w:t>COST</w:t>
      </w:r>
      <w:r>
        <w:rPr>
          <w:spacing w:val="-4"/>
          <w:u w:val="single"/>
        </w:rPr>
        <w:t xml:space="preserve"> </w:t>
      </w:r>
      <w:r>
        <w:rPr>
          <w:u w:val="single"/>
        </w:rPr>
        <w:t>SHARING</w:t>
      </w:r>
      <w:r>
        <w:rPr>
          <w:spacing w:val="-2"/>
          <w:u w:val="single"/>
        </w:rPr>
        <w:t xml:space="preserve"> </w:t>
      </w:r>
      <w:r>
        <w:rPr>
          <w:spacing w:val="-4"/>
          <w:u w:val="single"/>
        </w:rPr>
        <w:t>PMPM</w:t>
      </w:r>
      <w:r>
        <w:rPr>
          <w:u w:val="single"/>
        </w:rPr>
        <w:tab/>
      </w:r>
    </w:p>
    <w:p>
      <w:pPr>
        <w:pStyle w:val="BodyText"/>
        <w:spacing w:before="271"/>
        <w:ind w:right="1512"/>
      </w:pPr>
      <w:r>
        <w:t>Worksheet</w:t>
      </w:r>
      <w:r>
        <w:rPr>
          <w:spacing w:val="-3"/>
        </w:rPr>
        <w:t xml:space="preserve"> </w:t>
      </w:r>
      <w:r>
        <w:t>3</w:t>
      </w:r>
      <w:r>
        <w:rPr>
          <w:spacing w:val="-3"/>
        </w:rPr>
        <w:t xml:space="preserve"> </w:t>
      </w:r>
      <w:r>
        <w:t>summarizes</w:t>
      </w:r>
      <w:r>
        <w:rPr>
          <w:spacing w:val="-2"/>
        </w:rPr>
        <w:t xml:space="preserve"> </w:t>
      </w:r>
      <w:r>
        <w:t>the</w:t>
      </w:r>
      <w:r>
        <w:rPr>
          <w:spacing w:val="-3"/>
        </w:rPr>
        <w:t xml:space="preserve"> </w:t>
      </w:r>
      <w:r>
        <w:t>projected</w:t>
      </w:r>
      <w:r>
        <w:rPr>
          <w:spacing w:val="-4"/>
        </w:rPr>
        <w:t xml:space="preserve"> </w:t>
      </w:r>
      <w:r>
        <w:t>MA</w:t>
      </w:r>
      <w:r>
        <w:rPr>
          <w:spacing w:val="-3"/>
        </w:rPr>
        <w:t xml:space="preserve"> </w:t>
      </w:r>
      <w:r>
        <w:t>cost</w:t>
      </w:r>
      <w:r>
        <w:rPr>
          <w:spacing w:val="-3"/>
        </w:rPr>
        <w:t xml:space="preserve"> </w:t>
      </w:r>
      <w:r>
        <w:t>sharing</w:t>
      </w:r>
      <w:r>
        <w:rPr>
          <w:spacing w:val="-3"/>
        </w:rPr>
        <w:t xml:space="preserve"> </w:t>
      </w:r>
      <w:r>
        <w:t>for</w:t>
      </w:r>
      <w:r>
        <w:rPr>
          <w:spacing w:val="-3"/>
        </w:rPr>
        <w:t xml:space="preserve"> </w:t>
      </w:r>
      <w:r>
        <w:t>the</w:t>
      </w:r>
      <w:r>
        <w:rPr>
          <w:spacing w:val="-3"/>
        </w:rPr>
        <w:t xml:space="preserve"> </w:t>
      </w:r>
      <w:r>
        <w:t>contract</w:t>
      </w:r>
      <w:r>
        <w:rPr>
          <w:spacing w:val="-3"/>
        </w:rPr>
        <w:t xml:space="preserve"> </w:t>
      </w:r>
      <w:r>
        <w:t>year</w:t>
      </w:r>
      <w:r>
        <w:rPr>
          <w:spacing w:val="-3"/>
        </w:rPr>
        <w:t xml:space="preserve"> </w:t>
      </w:r>
      <w:r>
        <w:t>and</w:t>
      </w:r>
      <w:r>
        <w:rPr>
          <w:spacing w:val="-3"/>
        </w:rPr>
        <w:t xml:space="preserve"> </w:t>
      </w:r>
      <w:r>
        <w:t>includes</w:t>
      </w:r>
      <w:r>
        <w:rPr>
          <w:spacing w:val="-4"/>
        </w:rPr>
        <w:t xml:space="preserve"> </w:t>
      </w:r>
      <w:r>
        <w:t>both in-network and out-of-network cost sharing.</w:t>
      </w:r>
    </w:p>
    <w:p>
      <w:pPr>
        <w:pStyle w:val="BodyText"/>
        <w:spacing w:before="120"/>
        <w:ind w:right="1481"/>
      </w:pPr>
      <w:r>
        <w:t>See</w:t>
      </w:r>
      <w:r>
        <w:rPr>
          <w:spacing w:val="-4"/>
        </w:rPr>
        <w:t xml:space="preserve"> </w:t>
      </w:r>
      <w:r>
        <w:t>the</w:t>
      </w:r>
      <w:r>
        <w:rPr>
          <w:spacing w:val="-4"/>
        </w:rPr>
        <w:t xml:space="preserve"> </w:t>
      </w:r>
      <w:r>
        <w:t>“Cost</w:t>
      </w:r>
      <w:r>
        <w:rPr>
          <w:spacing w:val="-3"/>
        </w:rPr>
        <w:t xml:space="preserve"> </w:t>
      </w:r>
      <w:r>
        <w:t>Sharing”</w:t>
      </w:r>
      <w:r>
        <w:rPr>
          <w:spacing w:val="-4"/>
        </w:rPr>
        <w:t xml:space="preserve"> </w:t>
      </w:r>
      <w:r>
        <w:t>and</w:t>
      </w:r>
      <w:r>
        <w:rPr>
          <w:spacing w:val="-3"/>
        </w:rPr>
        <w:t xml:space="preserve"> </w:t>
      </w:r>
      <w:r>
        <w:t>“Dual-Eligible</w:t>
      </w:r>
      <w:r>
        <w:rPr>
          <w:spacing w:val="-4"/>
        </w:rPr>
        <w:t xml:space="preserve"> </w:t>
      </w:r>
      <w:r>
        <w:t>Beneficiaries”</w:t>
      </w:r>
      <w:r>
        <w:rPr>
          <w:spacing w:val="-4"/>
        </w:rPr>
        <w:t xml:space="preserve"> </w:t>
      </w:r>
      <w:r>
        <w:t>pricing</w:t>
      </w:r>
      <w:r>
        <w:rPr>
          <w:spacing w:val="-3"/>
        </w:rPr>
        <w:t xml:space="preserve"> </w:t>
      </w:r>
      <w:r>
        <w:t>considerations</w:t>
      </w:r>
      <w:r>
        <w:rPr>
          <w:spacing w:val="-3"/>
        </w:rPr>
        <w:t xml:space="preserve"> </w:t>
      </w:r>
      <w:r>
        <w:t>for</w:t>
      </w:r>
      <w:r>
        <w:rPr>
          <w:spacing w:val="-5"/>
        </w:rPr>
        <w:t xml:space="preserve"> </w:t>
      </w:r>
      <w:r>
        <w:t>more information on cost sharing, in general, and on cost sharing for DE# beneficiaries.</w:t>
      </w:r>
    </w:p>
    <w:p>
      <w:pPr>
        <w:pStyle w:val="BodyText"/>
        <w:spacing w:before="120"/>
        <w:ind w:right="1465"/>
      </w:pPr>
      <w:r>
        <w:t>All PBP benefits must be reflected on Worksheet 3 as though the beneficiary were paying the cost</w:t>
      </w:r>
      <w:r>
        <w:rPr>
          <w:spacing w:val="-3"/>
        </w:rPr>
        <w:t xml:space="preserve"> </w:t>
      </w:r>
      <w:r>
        <w:t>sharing.</w:t>
      </w:r>
      <w:r>
        <w:rPr>
          <w:spacing w:val="-1"/>
        </w:rPr>
        <w:t xml:space="preserve"> </w:t>
      </w:r>
      <w:r>
        <w:t>If</w:t>
      </w:r>
      <w:r>
        <w:rPr>
          <w:spacing w:val="-3"/>
        </w:rPr>
        <w:t xml:space="preserve"> </w:t>
      </w:r>
      <w:r>
        <w:t>the</w:t>
      </w:r>
      <w:r>
        <w:rPr>
          <w:spacing w:val="-4"/>
        </w:rPr>
        <w:t xml:space="preserve"> </w:t>
      </w:r>
      <w:r>
        <w:t>PBP</w:t>
      </w:r>
      <w:r>
        <w:rPr>
          <w:spacing w:val="-3"/>
        </w:rPr>
        <w:t xml:space="preserve"> </w:t>
      </w:r>
      <w:r>
        <w:t>cost</w:t>
      </w:r>
      <w:r>
        <w:rPr>
          <w:spacing w:val="-3"/>
        </w:rPr>
        <w:t xml:space="preserve"> </w:t>
      </w:r>
      <w:r>
        <w:t>sharing</w:t>
      </w:r>
      <w:r>
        <w:rPr>
          <w:spacing w:val="-3"/>
        </w:rPr>
        <w:t xml:space="preserve"> </w:t>
      </w:r>
      <w:r>
        <w:t>is</w:t>
      </w:r>
      <w:r>
        <w:rPr>
          <w:spacing w:val="-3"/>
        </w:rPr>
        <w:t xml:space="preserve"> </w:t>
      </w:r>
      <w:r>
        <w:t>zero,</w:t>
      </w:r>
      <w:r>
        <w:rPr>
          <w:spacing w:val="-3"/>
        </w:rPr>
        <w:t xml:space="preserve"> </w:t>
      </w:r>
      <w:r>
        <w:t>the</w:t>
      </w:r>
      <w:r>
        <w:rPr>
          <w:spacing w:val="-3"/>
        </w:rPr>
        <w:t xml:space="preserve"> </w:t>
      </w:r>
      <w:r>
        <w:t>utilization</w:t>
      </w:r>
      <w:r>
        <w:rPr>
          <w:spacing w:val="-2"/>
        </w:rPr>
        <w:t xml:space="preserve"> </w:t>
      </w:r>
      <w:r>
        <w:t>for</w:t>
      </w:r>
      <w:r>
        <w:rPr>
          <w:spacing w:val="-4"/>
        </w:rPr>
        <w:t xml:space="preserve"> </w:t>
      </w:r>
      <w:r>
        <w:t>the</w:t>
      </w:r>
      <w:r>
        <w:rPr>
          <w:spacing w:val="-3"/>
        </w:rPr>
        <w:t xml:space="preserve"> </w:t>
      </w:r>
      <w:r>
        <w:t>service</w:t>
      </w:r>
      <w:r>
        <w:rPr>
          <w:spacing w:val="-2"/>
        </w:rPr>
        <w:t xml:space="preserve"> </w:t>
      </w:r>
      <w:r>
        <w:t>must</w:t>
      </w:r>
      <w:r>
        <w:rPr>
          <w:spacing w:val="-2"/>
        </w:rPr>
        <w:t xml:space="preserve"> </w:t>
      </w:r>
      <w:r>
        <w:t>still</w:t>
      </w:r>
      <w:r>
        <w:rPr>
          <w:spacing w:val="-3"/>
        </w:rPr>
        <w:t xml:space="preserve"> </w:t>
      </w:r>
      <w:r>
        <w:t>be</w:t>
      </w:r>
      <w:r>
        <w:rPr>
          <w:spacing w:val="-3"/>
        </w:rPr>
        <w:t xml:space="preserve"> </w:t>
      </w:r>
      <w:r>
        <w:t>reflected on Worksheet 3. However, utilization for beneficiaries who do not pay cost sharing, for example DE# beneficiaries, is not to be included on Worksheet 3 unless the DE# enrollees make up less than 10 percent or more than 90 percent of the total bid enrollees. Worksheet 3 must be consistent with how the non-DE# and DE# Allowed PMPM columns on Worksheet 2 are completed and the guidance specified in Appendix G must be followed.</w:t>
      </w:r>
    </w:p>
    <w:p>
      <w:pPr>
        <w:pStyle w:val="BodyText"/>
        <w:spacing w:before="46"/>
        <w:ind w:left="0"/>
      </w:pPr>
    </w:p>
    <w:p>
      <w:pPr>
        <w:pStyle w:val="Heading2"/>
      </w:pPr>
      <w:bookmarkStart w:id="176" w:name="_bookmark53"/>
      <w:bookmarkEnd w:id="176"/>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77"/>
      </w:pPr>
      <w:r>
        <w:t>This</w:t>
      </w:r>
      <w:r>
        <w:rPr>
          <w:spacing w:val="-3"/>
        </w:rPr>
        <w:t xml:space="preserve"> </w:t>
      </w:r>
      <w:r>
        <w:t>section</w:t>
      </w:r>
      <w:r>
        <w:rPr>
          <w:spacing w:val="-2"/>
        </w:rPr>
        <w:t xml:space="preserve"> </w:t>
      </w:r>
      <w:r>
        <w:t>displays</w:t>
      </w:r>
      <w:r>
        <w:rPr>
          <w:spacing w:val="-3"/>
        </w:rPr>
        <w:t xml:space="preserve"> </w:t>
      </w:r>
      <w:r>
        <w:t>the</w:t>
      </w:r>
      <w:r>
        <w:rPr>
          <w:spacing w:val="-3"/>
        </w:rPr>
        <w:t xml:space="preserve"> </w:t>
      </w:r>
      <w:r>
        <w:t>information</w:t>
      </w:r>
      <w:r>
        <w:rPr>
          <w:spacing w:val="-2"/>
        </w:rPr>
        <w:t xml:space="preserve"> </w:t>
      </w:r>
      <w:r>
        <w:t>entered</w:t>
      </w:r>
      <w:r>
        <w:rPr>
          <w:spacing w:val="-2"/>
        </w:rPr>
        <w:t xml:space="preserve"> </w:t>
      </w:r>
      <w:r>
        <w:t>on</w:t>
      </w:r>
      <w:r>
        <w:rPr>
          <w:spacing w:val="2"/>
        </w:rPr>
        <w:t xml:space="preserve"> </w:t>
      </w:r>
      <w:r>
        <w:t>Worksheet</w:t>
      </w:r>
      <w:r>
        <w:rPr>
          <w:spacing w:val="-2"/>
        </w:rPr>
        <w:t xml:space="preserve"> </w:t>
      </w:r>
      <w:r>
        <w:t>1,</w:t>
      </w:r>
      <w:r>
        <w:rPr>
          <w:spacing w:val="-2"/>
        </w:rPr>
        <w:t xml:space="preserve"> </w:t>
      </w:r>
      <w:r>
        <w:t>Section</w:t>
      </w:r>
      <w:r>
        <w:rPr>
          <w:spacing w:val="-1"/>
        </w:rPr>
        <w:t xml:space="preserve"> </w:t>
      </w:r>
      <w:r>
        <w:rPr>
          <w:spacing w:val="-5"/>
        </w:rPr>
        <w:t>I.</w:t>
      </w:r>
    </w:p>
    <w:p>
      <w:pPr>
        <w:pStyle w:val="BodyText"/>
        <w:spacing w:before="44"/>
        <w:ind w:left="0"/>
      </w:pPr>
    </w:p>
    <w:p>
      <w:pPr>
        <w:pStyle w:val="Heading2"/>
        <w:spacing w:before="1"/>
      </w:pPr>
      <w:bookmarkStart w:id="177" w:name="Section II – Maximum Cost Sharing Per Me"/>
      <w:bookmarkEnd w:id="177"/>
      <w:bookmarkStart w:id="178" w:name="_bookmark54"/>
      <w:bookmarkEnd w:id="178"/>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Maximum</w:t>
      </w:r>
      <w:r>
        <w:rPr>
          <w:smallCaps/>
          <w:spacing w:val="-8"/>
        </w:rPr>
        <w:t xml:space="preserve"> </w:t>
      </w:r>
      <w:r>
        <w:rPr>
          <w:smallCaps/>
        </w:rPr>
        <w:t>Cost</w:t>
      </w:r>
      <w:r>
        <w:rPr>
          <w:smallCaps/>
          <w:spacing w:val="-4"/>
        </w:rPr>
        <w:t xml:space="preserve"> </w:t>
      </w:r>
      <w:r>
        <w:rPr>
          <w:smallCaps/>
        </w:rPr>
        <w:t>Sharing</w:t>
      </w:r>
      <w:r>
        <w:rPr>
          <w:smallCaps/>
          <w:spacing w:val="-8"/>
        </w:rPr>
        <w:t xml:space="preserve"> </w:t>
      </w:r>
      <w:r>
        <w:rPr>
          <w:smallCaps/>
        </w:rPr>
        <w:t>Per</w:t>
      </w:r>
      <w:r>
        <w:rPr>
          <w:smallCaps/>
          <w:spacing w:val="-8"/>
        </w:rPr>
        <w:t xml:space="preserve"> </w:t>
      </w:r>
      <w:r>
        <w:rPr>
          <w:smallCaps/>
        </w:rPr>
        <w:t>Member</w:t>
      </w:r>
      <w:r>
        <w:rPr>
          <w:smallCaps/>
          <w:spacing w:val="-6"/>
        </w:rPr>
        <w:t xml:space="preserve"> </w:t>
      </w:r>
      <w:r>
        <w:rPr>
          <w:smallCaps/>
        </w:rPr>
        <w:t>Per</w:t>
      </w:r>
      <w:r>
        <w:rPr>
          <w:smallCaps/>
          <w:spacing w:val="-7"/>
        </w:rPr>
        <w:t xml:space="preserve"> </w:t>
      </w:r>
      <w:r>
        <w:rPr>
          <w:smallCaps/>
          <w:spacing w:val="-4"/>
        </w:rPr>
        <w:t>Year</w:t>
      </w:r>
    </w:p>
    <w:p>
      <w:pPr>
        <w:spacing w:before="240"/>
        <w:ind w:left="504" w:right="0" w:firstLine="0"/>
        <w:jc w:val="left"/>
        <w:rPr>
          <w:rFonts w:ascii="Arial" w:hAnsi="Arial"/>
          <w:b/>
          <w:sz w:val="21"/>
        </w:rPr>
      </w:pPr>
      <w:bookmarkStart w:id="179" w:name="Lines 1 through 3 – Plan-Level Out-of-po"/>
      <w:bookmarkEnd w:id="179"/>
      <w:r>
        <w:rPr>
          <w:rFonts w:ascii="Arial" w:hAnsi="Arial"/>
          <w:b/>
          <w:sz w:val="21"/>
        </w:rPr>
        <w:t>Lines</w:t>
      </w:r>
      <w:r>
        <w:rPr>
          <w:rFonts w:ascii="Arial" w:hAnsi="Arial"/>
          <w:b/>
          <w:spacing w:val="-6"/>
          <w:sz w:val="21"/>
        </w:rPr>
        <w:t xml:space="preserve"> </w:t>
      </w:r>
      <w:r>
        <w:rPr>
          <w:rFonts w:ascii="Arial" w:hAnsi="Arial"/>
          <w:b/>
          <w:sz w:val="21"/>
        </w:rPr>
        <w:t>1</w:t>
      </w:r>
      <w:r>
        <w:rPr>
          <w:rFonts w:ascii="Arial" w:hAnsi="Arial"/>
          <w:b/>
          <w:spacing w:val="-5"/>
          <w:sz w:val="21"/>
        </w:rPr>
        <w:t xml:space="preserve"> </w:t>
      </w:r>
      <w:r>
        <w:rPr>
          <w:rFonts w:ascii="Arial" w:hAnsi="Arial"/>
          <w:b/>
          <w:sz w:val="21"/>
        </w:rPr>
        <w:t>through</w:t>
      </w:r>
      <w:r>
        <w:rPr>
          <w:rFonts w:ascii="Arial" w:hAnsi="Arial"/>
          <w:b/>
          <w:spacing w:val="-4"/>
          <w:sz w:val="21"/>
        </w:rPr>
        <w:t xml:space="preserve"> </w:t>
      </w:r>
      <w:r>
        <w:rPr>
          <w:rFonts w:ascii="Arial" w:hAnsi="Arial"/>
          <w:b/>
          <w:sz w:val="21"/>
        </w:rPr>
        <w:t>3</w:t>
      </w:r>
      <w:r>
        <w:rPr>
          <w:rFonts w:ascii="Arial" w:hAnsi="Arial"/>
          <w:b/>
          <w:spacing w:val="-7"/>
          <w:sz w:val="21"/>
        </w:rPr>
        <w:t xml:space="preserve"> </w:t>
      </w:r>
      <w:r>
        <w:rPr>
          <w:rFonts w:ascii="Arial" w:hAnsi="Arial"/>
          <w:b/>
          <w:sz w:val="21"/>
        </w:rPr>
        <w:t>–</w:t>
      </w:r>
      <w:r>
        <w:rPr>
          <w:rFonts w:ascii="Arial" w:hAnsi="Arial"/>
          <w:b/>
          <w:spacing w:val="-5"/>
          <w:sz w:val="21"/>
        </w:rPr>
        <w:t xml:space="preserve"> </w:t>
      </w:r>
      <w:r>
        <w:rPr>
          <w:rFonts w:ascii="Arial" w:hAnsi="Arial"/>
          <w:b/>
          <w:sz w:val="21"/>
        </w:rPr>
        <w:t>Plan-Level</w:t>
      </w:r>
      <w:r>
        <w:rPr>
          <w:rFonts w:ascii="Arial" w:hAnsi="Arial"/>
          <w:b/>
          <w:spacing w:val="-6"/>
          <w:sz w:val="21"/>
        </w:rPr>
        <w:t xml:space="preserve"> </w:t>
      </w:r>
      <w:r>
        <w:rPr>
          <w:rFonts w:ascii="Arial" w:hAnsi="Arial"/>
          <w:b/>
          <w:sz w:val="21"/>
        </w:rPr>
        <w:t>Out-of-pocket</w:t>
      </w:r>
      <w:r>
        <w:rPr>
          <w:rFonts w:ascii="Arial" w:hAnsi="Arial"/>
          <w:b/>
          <w:spacing w:val="-6"/>
          <w:sz w:val="21"/>
        </w:rPr>
        <w:t xml:space="preserve"> </w:t>
      </w:r>
      <w:r>
        <w:rPr>
          <w:rFonts w:ascii="Arial" w:hAnsi="Arial"/>
          <w:b/>
          <w:spacing w:val="-2"/>
          <w:sz w:val="21"/>
        </w:rPr>
        <w:t>Maximums</w:t>
      </w:r>
    </w:p>
    <w:p>
      <w:pPr>
        <w:pStyle w:val="BodyText"/>
        <w:spacing w:before="120"/>
        <w:ind w:right="1619"/>
      </w:pPr>
      <w:r>
        <w:t>The</w:t>
      </w:r>
      <w:r>
        <w:rPr>
          <w:spacing w:val="-6"/>
        </w:rPr>
        <w:t xml:space="preserve"> </w:t>
      </w:r>
      <w:r>
        <w:t>responses</w:t>
      </w:r>
      <w:r>
        <w:rPr>
          <w:spacing w:val="-5"/>
        </w:rPr>
        <w:t xml:space="preserve"> </w:t>
      </w:r>
      <w:r>
        <w:t>to</w:t>
      </w:r>
      <w:r>
        <w:rPr>
          <w:spacing w:val="-4"/>
        </w:rPr>
        <w:t xml:space="preserve"> </w:t>
      </w:r>
      <w:r>
        <w:t>the</w:t>
      </w:r>
      <w:r>
        <w:rPr>
          <w:spacing w:val="-5"/>
        </w:rPr>
        <w:t xml:space="preserve"> </w:t>
      </w:r>
      <w:r>
        <w:t>plan-level</w:t>
      </w:r>
      <w:r>
        <w:rPr>
          <w:spacing w:val="-4"/>
        </w:rPr>
        <w:t xml:space="preserve"> </w:t>
      </w:r>
      <w:r>
        <w:t>(out-of-pocket)</w:t>
      </w:r>
      <w:r>
        <w:rPr>
          <w:spacing w:val="-4"/>
        </w:rPr>
        <w:t xml:space="preserve"> </w:t>
      </w:r>
      <w:r>
        <w:t>OOP</w:t>
      </w:r>
      <w:r>
        <w:rPr>
          <w:spacing w:val="-5"/>
        </w:rPr>
        <w:t xml:space="preserve"> </w:t>
      </w:r>
      <w:r>
        <w:t>maximum</w:t>
      </w:r>
      <w:r>
        <w:rPr>
          <w:spacing w:val="-4"/>
        </w:rPr>
        <w:t xml:space="preserve"> </w:t>
      </w:r>
      <w:r>
        <w:t>drop-down</w:t>
      </w:r>
      <w:r>
        <w:rPr>
          <w:spacing w:val="-4"/>
        </w:rPr>
        <w:t xml:space="preserve"> </w:t>
      </w:r>
      <w:r>
        <w:t>questions</w:t>
      </w:r>
      <w:r>
        <w:rPr>
          <w:spacing w:val="-5"/>
        </w:rPr>
        <w:t xml:space="preserve"> </w:t>
      </w:r>
      <w:r>
        <w:t>depend on how the Plan Level Cost Sharing Section of the PBP is completed and must be—</w:t>
      </w:r>
    </w:p>
    <w:p>
      <w:pPr>
        <w:pStyle w:val="ListParagraph"/>
        <w:numPr>
          <w:ilvl w:val="1"/>
          <w:numId w:val="43"/>
        </w:numPr>
        <w:tabs>
          <w:tab w:val="left" w:pos="1584"/>
        </w:tabs>
        <w:spacing w:before="120" w:after="0" w:line="240" w:lineRule="auto"/>
        <w:ind w:left="1584" w:right="2043" w:hanging="360"/>
        <w:jc w:val="left"/>
        <w:rPr>
          <w:sz w:val="24"/>
        </w:rPr>
      </w:pPr>
      <w:r>
        <w:rPr>
          <w:sz w:val="24"/>
        </w:rPr>
        <w:t>“No”</w:t>
      </w:r>
      <w:r>
        <w:rPr>
          <w:spacing w:val="-7"/>
          <w:sz w:val="24"/>
        </w:rPr>
        <w:t xml:space="preserve"> </w:t>
      </w:r>
      <w:r>
        <w:rPr>
          <w:sz w:val="24"/>
        </w:rPr>
        <w:t>if</w:t>
      </w:r>
      <w:r>
        <w:rPr>
          <w:spacing w:val="-5"/>
          <w:sz w:val="24"/>
        </w:rPr>
        <w:t xml:space="preserve"> </w:t>
      </w:r>
      <w:r>
        <w:rPr>
          <w:sz w:val="24"/>
        </w:rPr>
        <w:t>the</w:t>
      </w:r>
      <w:r>
        <w:rPr>
          <w:spacing w:val="-4"/>
          <w:sz w:val="24"/>
        </w:rPr>
        <w:t xml:space="preserve"> </w:t>
      </w:r>
      <w:r>
        <w:rPr>
          <w:sz w:val="24"/>
        </w:rPr>
        <w:t>corresponding</w:t>
      </w:r>
      <w:r>
        <w:rPr>
          <w:spacing w:val="-5"/>
          <w:sz w:val="24"/>
        </w:rPr>
        <w:t xml:space="preserve"> </w:t>
      </w:r>
      <w:r>
        <w:rPr>
          <w:sz w:val="24"/>
        </w:rPr>
        <w:t>in-network,</w:t>
      </w:r>
      <w:r>
        <w:rPr>
          <w:spacing w:val="-5"/>
          <w:sz w:val="24"/>
        </w:rPr>
        <w:t xml:space="preserve"> </w:t>
      </w:r>
      <w:r>
        <w:rPr>
          <w:sz w:val="24"/>
        </w:rPr>
        <w:t>out-of-network,</w:t>
      </w:r>
      <w:r>
        <w:rPr>
          <w:spacing w:val="-5"/>
          <w:sz w:val="24"/>
        </w:rPr>
        <w:t xml:space="preserve"> </w:t>
      </w:r>
      <w:r>
        <w:rPr>
          <w:sz w:val="24"/>
        </w:rPr>
        <w:t>or</w:t>
      </w:r>
      <w:r>
        <w:rPr>
          <w:spacing w:val="-5"/>
          <w:sz w:val="24"/>
        </w:rPr>
        <w:t xml:space="preserve"> </w:t>
      </w:r>
      <w:r>
        <w:rPr>
          <w:sz w:val="24"/>
        </w:rPr>
        <w:t>combined</w:t>
      </w:r>
      <w:r>
        <w:rPr>
          <w:spacing w:val="-5"/>
          <w:sz w:val="24"/>
        </w:rPr>
        <w:t xml:space="preserve"> </w:t>
      </w:r>
      <w:r>
        <w:rPr>
          <w:sz w:val="24"/>
        </w:rPr>
        <w:t xml:space="preserve">plan-level maximum enrollee OOP cost is blank in the PBP or if the PBP field is not </w:t>
      </w:r>
      <w:r>
        <w:rPr>
          <w:spacing w:val="-2"/>
          <w:sz w:val="24"/>
        </w:rPr>
        <w:t>applicable.</w:t>
      </w:r>
    </w:p>
    <w:p>
      <w:pPr>
        <w:pStyle w:val="ListParagraph"/>
        <w:numPr>
          <w:ilvl w:val="1"/>
          <w:numId w:val="43"/>
        </w:numPr>
        <w:tabs>
          <w:tab w:val="left" w:pos="1584"/>
        </w:tabs>
        <w:spacing w:before="0" w:after="0" w:line="240" w:lineRule="auto"/>
        <w:ind w:left="1584" w:right="1660" w:hanging="360"/>
        <w:jc w:val="left"/>
        <w:rPr>
          <w:sz w:val="24"/>
        </w:rPr>
      </w:pPr>
      <w:r>
        <w:rPr>
          <w:sz w:val="24"/>
        </w:rPr>
        <w:t>“Yes” if the corresponding in-network, out-of-network, or combined plan-level maximum enrollee OOP cost is entered in the PBP, including a zero maximum enrollee</w:t>
      </w:r>
      <w:r>
        <w:rPr>
          <w:spacing w:val="-4"/>
          <w:sz w:val="24"/>
        </w:rPr>
        <w:t xml:space="preserve"> </w:t>
      </w:r>
      <w:r>
        <w:rPr>
          <w:sz w:val="24"/>
        </w:rPr>
        <w:t>OOP</w:t>
      </w:r>
      <w:r>
        <w:rPr>
          <w:spacing w:val="-2"/>
          <w:sz w:val="24"/>
        </w:rPr>
        <w:t xml:space="preserve"> </w:t>
      </w:r>
      <w:r>
        <w:rPr>
          <w:sz w:val="24"/>
        </w:rPr>
        <w:t>cost.</w:t>
      </w:r>
      <w:r>
        <w:rPr>
          <w:spacing w:val="-3"/>
          <w:sz w:val="24"/>
        </w:rPr>
        <w:t xml:space="preserve"> </w:t>
      </w:r>
      <w:r>
        <w:rPr>
          <w:sz w:val="24"/>
        </w:rPr>
        <w:t>The</w:t>
      </w:r>
      <w:r>
        <w:rPr>
          <w:spacing w:val="-4"/>
          <w:sz w:val="24"/>
        </w:rPr>
        <w:t xml:space="preserve"> </w:t>
      </w:r>
      <w:r>
        <w:rPr>
          <w:sz w:val="24"/>
        </w:rPr>
        <w:t>PBP</w:t>
      </w:r>
      <w:r>
        <w:rPr>
          <w:spacing w:val="-3"/>
          <w:sz w:val="24"/>
        </w:rPr>
        <w:t xml:space="preserve"> </w:t>
      </w:r>
      <w:r>
        <w:rPr>
          <w:sz w:val="24"/>
        </w:rPr>
        <w:t>amount</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entered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corresponding</w:t>
      </w:r>
      <w:r>
        <w:rPr>
          <w:spacing w:val="-3"/>
          <w:sz w:val="24"/>
        </w:rPr>
        <w:t xml:space="preserve"> </w:t>
      </w:r>
      <w:r>
        <w:rPr>
          <w:sz w:val="24"/>
        </w:rPr>
        <w:t>amount field on the BPT.</w:t>
      </w:r>
    </w:p>
    <w:p>
      <w:pPr>
        <w:pStyle w:val="BodyText"/>
        <w:spacing w:before="120"/>
        <w:ind w:right="1481"/>
      </w:pPr>
      <w:r>
        <w:t>Note</w:t>
      </w:r>
      <w:r>
        <w:rPr>
          <w:spacing w:val="-4"/>
        </w:rPr>
        <w:t xml:space="preserve"> </w:t>
      </w:r>
      <w:r>
        <w:t>that</w:t>
      </w:r>
      <w:r>
        <w:rPr>
          <w:spacing w:val="-3"/>
        </w:rPr>
        <w:t xml:space="preserve"> </w:t>
      </w:r>
      <w:r>
        <w:t>the</w:t>
      </w:r>
      <w:r>
        <w:rPr>
          <w:spacing w:val="-4"/>
        </w:rPr>
        <w:t xml:space="preserve"> </w:t>
      </w:r>
      <w:r>
        <w:t>question</w:t>
      </w:r>
      <w:r>
        <w:rPr>
          <w:spacing w:val="-3"/>
        </w:rPr>
        <w:t xml:space="preserve"> </w:t>
      </w:r>
      <w:r>
        <w:t>in</w:t>
      </w:r>
      <w:r>
        <w:rPr>
          <w:spacing w:val="-3"/>
        </w:rPr>
        <w:t xml:space="preserve"> </w:t>
      </w:r>
      <w:r>
        <w:t>line</w:t>
      </w:r>
      <w:r>
        <w:rPr>
          <w:spacing w:val="-3"/>
        </w:rPr>
        <w:t xml:space="preserve"> </w:t>
      </w:r>
      <w:r>
        <w:t>3</w:t>
      </w:r>
      <w:r>
        <w:rPr>
          <w:spacing w:val="-3"/>
        </w:rPr>
        <w:t xml:space="preserve"> </w:t>
      </w:r>
      <w:r>
        <w:t>regarding</w:t>
      </w:r>
      <w:r>
        <w:rPr>
          <w:spacing w:val="-2"/>
        </w:rPr>
        <w:t xml:space="preserve"> </w:t>
      </w:r>
      <w:r>
        <w:t>a</w:t>
      </w:r>
      <w:r>
        <w:rPr>
          <w:spacing w:val="-4"/>
        </w:rPr>
        <w:t xml:space="preserve"> </w:t>
      </w:r>
      <w:r>
        <w:t>combined</w:t>
      </w:r>
      <w:r>
        <w:rPr>
          <w:spacing w:val="-3"/>
        </w:rPr>
        <w:t xml:space="preserve"> </w:t>
      </w:r>
      <w:r>
        <w:t>plan-level</w:t>
      </w:r>
      <w:r>
        <w:rPr>
          <w:spacing w:val="-3"/>
        </w:rPr>
        <w:t xml:space="preserve"> </w:t>
      </w:r>
      <w:r>
        <w:t>maximum enrollee</w:t>
      </w:r>
      <w:r>
        <w:rPr>
          <w:spacing w:val="-4"/>
        </w:rPr>
        <w:t xml:space="preserve"> </w:t>
      </w:r>
      <w:r>
        <w:t>OOP</w:t>
      </w:r>
      <w:r>
        <w:rPr>
          <w:spacing w:val="-1"/>
        </w:rPr>
        <w:t xml:space="preserve"> </w:t>
      </w:r>
      <w:r>
        <w:t>cost applies to a non-network PFFS maximum enrollee out-of-pocket cost amount.</w:t>
      </w:r>
    </w:p>
    <w:p>
      <w:pPr>
        <w:pStyle w:val="BodyText"/>
        <w:spacing w:before="120"/>
        <w:ind w:right="1481"/>
      </w:pPr>
      <w:r>
        <w:t>When</w:t>
      </w:r>
      <w:r>
        <w:rPr>
          <w:spacing w:val="-3"/>
        </w:rPr>
        <w:t xml:space="preserve"> </w:t>
      </w:r>
      <w:r>
        <w:t>the</w:t>
      </w:r>
      <w:r>
        <w:rPr>
          <w:spacing w:val="-3"/>
        </w:rPr>
        <w:t xml:space="preserve"> </w:t>
      </w:r>
      <w:r>
        <w:t>response</w:t>
      </w:r>
      <w:r>
        <w:rPr>
          <w:spacing w:val="-3"/>
        </w:rPr>
        <w:t xml:space="preserve"> </w:t>
      </w:r>
      <w:r>
        <w:t>to</w:t>
      </w:r>
      <w:r>
        <w:rPr>
          <w:spacing w:val="-3"/>
        </w:rPr>
        <w:t xml:space="preserve"> </w:t>
      </w:r>
      <w:r>
        <w:t>the</w:t>
      </w:r>
      <w:r>
        <w:rPr>
          <w:spacing w:val="-2"/>
        </w:rPr>
        <w:t xml:space="preserve"> </w:t>
      </w:r>
      <w:r>
        <w:t>OOP</w:t>
      </w:r>
      <w:r>
        <w:rPr>
          <w:spacing w:val="-3"/>
        </w:rPr>
        <w:t xml:space="preserve"> </w:t>
      </w:r>
      <w:r>
        <w:t>maximum</w:t>
      </w:r>
      <w:r>
        <w:rPr>
          <w:spacing w:val="-3"/>
        </w:rPr>
        <w:t xml:space="preserve"> </w:t>
      </w:r>
      <w:r>
        <w:t>drop-down</w:t>
      </w:r>
      <w:r>
        <w:rPr>
          <w:spacing w:val="-3"/>
        </w:rPr>
        <w:t xml:space="preserve"> </w:t>
      </w:r>
      <w:r>
        <w:t>question</w:t>
      </w:r>
      <w:r>
        <w:rPr>
          <w:spacing w:val="-3"/>
        </w:rPr>
        <w:t xml:space="preserve"> </w:t>
      </w:r>
      <w:r>
        <w:t>is</w:t>
      </w:r>
      <w:r>
        <w:rPr>
          <w:spacing w:val="-3"/>
        </w:rPr>
        <w:t xml:space="preserve"> </w:t>
      </w:r>
      <w:r>
        <w:t>“Yes,”</w:t>
      </w:r>
      <w:r>
        <w:rPr>
          <w:spacing w:val="-4"/>
        </w:rPr>
        <w:t xml:space="preserve"> </w:t>
      </w:r>
      <w:r>
        <w:t>the</w:t>
      </w:r>
      <w:r>
        <w:rPr>
          <w:spacing w:val="-2"/>
        </w:rPr>
        <w:t xml:space="preserve"> </w:t>
      </w:r>
      <w:r>
        <w:t>entry</w:t>
      </w:r>
      <w:r>
        <w:rPr>
          <w:spacing w:val="-3"/>
        </w:rPr>
        <w:t xml:space="preserve"> </w:t>
      </w:r>
      <w:r>
        <w:t>in</w:t>
      </w:r>
      <w:r>
        <w:rPr>
          <w:spacing w:val="-3"/>
        </w:rPr>
        <w:t xml:space="preserve"> </w:t>
      </w:r>
      <w:r>
        <w:t>the</w:t>
      </w:r>
      <w:r>
        <w:rPr>
          <w:spacing w:val="-4"/>
        </w:rPr>
        <w:t xml:space="preserve"> </w:t>
      </w:r>
      <w:r>
        <w:t>OOP maximum amount field must be numeric and greater than or equal to zero.</w:t>
      </w:r>
    </w:p>
    <w:p>
      <w:pPr>
        <w:pStyle w:val="BodyText"/>
        <w:spacing w:before="121"/>
        <w:ind w:right="1481"/>
      </w:pPr>
      <w:r>
        <w:t>The</w:t>
      </w:r>
      <w:r>
        <w:rPr>
          <w:spacing w:val="-5"/>
        </w:rPr>
        <w:t xml:space="preserve"> </w:t>
      </w:r>
      <w:r>
        <w:t>responses</w:t>
      </w:r>
      <w:r>
        <w:rPr>
          <w:spacing w:val="-3"/>
        </w:rPr>
        <w:t xml:space="preserve"> </w:t>
      </w:r>
      <w:r>
        <w:t>to</w:t>
      </w:r>
      <w:r>
        <w:rPr>
          <w:spacing w:val="-3"/>
        </w:rPr>
        <w:t xml:space="preserve"> </w:t>
      </w:r>
      <w:r>
        <w:t>the</w:t>
      </w:r>
      <w:r>
        <w:rPr>
          <w:spacing w:val="-4"/>
        </w:rPr>
        <w:t xml:space="preserve"> </w:t>
      </w:r>
      <w:r>
        <w:t>plan-level</w:t>
      </w:r>
      <w:r>
        <w:rPr>
          <w:spacing w:val="-3"/>
        </w:rPr>
        <w:t xml:space="preserve"> </w:t>
      </w:r>
      <w:r>
        <w:t>OOP</w:t>
      </w:r>
      <w:r>
        <w:rPr>
          <w:spacing w:val="-3"/>
        </w:rPr>
        <w:t xml:space="preserve"> </w:t>
      </w:r>
      <w:r>
        <w:t>maximum</w:t>
      </w:r>
      <w:r>
        <w:rPr>
          <w:spacing w:val="-3"/>
        </w:rPr>
        <w:t xml:space="preserve"> </w:t>
      </w:r>
      <w:r>
        <w:t>drop-down</w:t>
      </w:r>
      <w:r>
        <w:rPr>
          <w:spacing w:val="-3"/>
        </w:rPr>
        <w:t xml:space="preserve"> </w:t>
      </w:r>
      <w:r>
        <w:t>questions</w:t>
      </w:r>
      <w:r>
        <w:rPr>
          <w:spacing w:val="-4"/>
        </w:rPr>
        <w:t xml:space="preserve"> </w:t>
      </w:r>
      <w:r>
        <w:t>are</w:t>
      </w:r>
      <w:r>
        <w:rPr>
          <w:spacing w:val="-5"/>
        </w:rPr>
        <w:t xml:space="preserve"> </w:t>
      </w:r>
      <w:r>
        <w:t>summarized</w:t>
      </w:r>
      <w:r>
        <w:rPr>
          <w:spacing w:val="-3"/>
        </w:rPr>
        <w:t xml:space="preserve"> </w:t>
      </w:r>
      <w:r>
        <w:t>below</w:t>
      </w:r>
      <w:r>
        <w:rPr>
          <w:spacing w:val="-4"/>
        </w:rPr>
        <w:t xml:space="preserve"> </w:t>
      </w:r>
      <w:r>
        <w:t>by type of plan:</w:t>
      </w:r>
    </w:p>
    <w:p>
      <w:pPr>
        <w:pStyle w:val="ListParagraph"/>
        <w:numPr>
          <w:ilvl w:val="1"/>
          <w:numId w:val="43"/>
        </w:numPr>
        <w:tabs>
          <w:tab w:val="left" w:pos="1584"/>
        </w:tabs>
        <w:spacing w:before="120" w:after="0" w:line="240" w:lineRule="auto"/>
        <w:ind w:left="1584" w:right="0" w:hanging="360"/>
        <w:jc w:val="left"/>
        <w:rPr>
          <w:sz w:val="24"/>
        </w:rPr>
      </w:pPr>
      <w:r>
        <w:rPr>
          <w:sz w:val="24"/>
        </w:rPr>
        <w:t>For</w:t>
      </w:r>
      <w:r>
        <w:rPr>
          <w:spacing w:val="-4"/>
          <w:sz w:val="24"/>
        </w:rPr>
        <w:t xml:space="preserve"> </w:t>
      </w:r>
      <w:r>
        <w:rPr>
          <w:sz w:val="24"/>
        </w:rPr>
        <w:t>HMO</w:t>
      </w:r>
      <w:r>
        <w:rPr>
          <w:spacing w:val="-3"/>
          <w:sz w:val="24"/>
        </w:rPr>
        <w:t xml:space="preserve"> </w:t>
      </w:r>
      <w:r>
        <w:rPr>
          <w:sz w:val="24"/>
        </w:rPr>
        <w:t>plans</w:t>
      </w:r>
      <w:r>
        <w:rPr>
          <w:spacing w:val="1"/>
          <w:sz w:val="24"/>
        </w:rPr>
        <w:t xml:space="preserve"> </w:t>
      </w:r>
      <w:r>
        <w:rPr>
          <w:sz w:val="24"/>
        </w:rPr>
        <w:t>and</w:t>
      </w:r>
      <w:r>
        <w:rPr>
          <w:spacing w:val="-2"/>
          <w:sz w:val="24"/>
        </w:rPr>
        <w:t xml:space="preserve"> </w:t>
      </w:r>
      <w:r>
        <w:rPr>
          <w:sz w:val="24"/>
        </w:rPr>
        <w:t>HMO</w:t>
      </w:r>
      <w:r>
        <w:rPr>
          <w:spacing w:val="-2"/>
          <w:sz w:val="24"/>
        </w:rPr>
        <w:t xml:space="preserve"> </w:t>
      </w:r>
      <w:r>
        <w:rPr>
          <w:sz w:val="24"/>
        </w:rPr>
        <w:t>with</w:t>
      </w:r>
      <w:r>
        <w:rPr>
          <w:spacing w:val="-2"/>
          <w:sz w:val="24"/>
        </w:rPr>
        <w:t xml:space="preserve"> </w:t>
      </w:r>
      <w:r>
        <w:rPr>
          <w:sz w:val="24"/>
        </w:rPr>
        <w:t>optional</w:t>
      </w:r>
      <w:r>
        <w:rPr>
          <w:spacing w:val="-2"/>
          <w:sz w:val="24"/>
        </w:rPr>
        <w:t xml:space="preserve"> </w:t>
      </w:r>
      <w:r>
        <w:rPr>
          <w:sz w:val="24"/>
        </w:rPr>
        <w:t>supplemental</w:t>
      </w:r>
      <w:r>
        <w:rPr>
          <w:spacing w:val="-1"/>
          <w:sz w:val="24"/>
        </w:rPr>
        <w:t xml:space="preserve"> </w:t>
      </w:r>
      <w:r>
        <w:rPr>
          <w:sz w:val="24"/>
        </w:rPr>
        <w:t>POS</w:t>
      </w:r>
      <w:r>
        <w:rPr>
          <w:spacing w:val="-3"/>
          <w:sz w:val="24"/>
        </w:rPr>
        <w:t xml:space="preserve"> </w:t>
      </w:r>
      <w:r>
        <w:rPr>
          <w:sz w:val="24"/>
        </w:rPr>
        <w:t>plans</w:t>
      </w:r>
      <w:r>
        <w:rPr>
          <w:spacing w:val="1"/>
          <w:sz w:val="24"/>
        </w:rPr>
        <w:t xml:space="preserve"> </w:t>
      </w:r>
      <w:r>
        <w:rPr>
          <w:spacing w:val="-2"/>
          <w:sz w:val="24"/>
        </w:rPr>
        <w:t>enter—</w:t>
      </w:r>
    </w:p>
    <w:p>
      <w:pPr>
        <w:pStyle w:val="ListParagraph"/>
        <w:numPr>
          <w:ilvl w:val="2"/>
          <w:numId w:val="43"/>
        </w:numPr>
        <w:tabs>
          <w:tab w:val="left" w:pos="1944"/>
        </w:tabs>
        <w:spacing w:before="0" w:after="0" w:line="240" w:lineRule="auto"/>
        <w:ind w:left="1944" w:right="0" w:hanging="360"/>
        <w:jc w:val="left"/>
        <w:rPr>
          <w:sz w:val="24"/>
        </w:rPr>
      </w:pPr>
      <w:r>
        <w:rPr>
          <w:sz w:val="24"/>
        </w:rPr>
        <w:t>“Yes” for</w:t>
      </w:r>
      <w:r>
        <w:rPr>
          <w:spacing w:val="-3"/>
          <w:sz w:val="24"/>
        </w:rPr>
        <w:t xml:space="preserve"> </w:t>
      </w:r>
      <w:r>
        <w:rPr>
          <w:sz w:val="24"/>
        </w:rPr>
        <w:t>the</w:t>
      </w:r>
      <w:r>
        <w:rPr>
          <w:spacing w:val="-1"/>
          <w:sz w:val="24"/>
        </w:rPr>
        <w:t xml:space="preserve"> </w:t>
      </w:r>
      <w:r>
        <w:rPr>
          <w:sz w:val="24"/>
        </w:rPr>
        <w:t>plan-level</w:t>
      </w:r>
      <w:r>
        <w:rPr>
          <w:spacing w:val="-1"/>
          <w:sz w:val="24"/>
        </w:rPr>
        <w:t xml:space="preserve"> </w:t>
      </w:r>
      <w:r>
        <w:rPr>
          <w:sz w:val="24"/>
        </w:rPr>
        <w:t>in-network</w:t>
      </w:r>
      <w:r>
        <w:rPr>
          <w:spacing w:val="-2"/>
          <w:sz w:val="24"/>
        </w:rPr>
        <w:t xml:space="preserve"> </w:t>
      </w:r>
      <w:r>
        <w:rPr>
          <w:sz w:val="24"/>
        </w:rPr>
        <w:t xml:space="preserve">OOP </w:t>
      </w:r>
      <w:r>
        <w:rPr>
          <w:spacing w:val="-2"/>
          <w:sz w:val="24"/>
        </w:rPr>
        <w:t>maximum.</w:t>
      </w:r>
    </w:p>
    <w:p>
      <w:pPr>
        <w:pStyle w:val="ListParagraph"/>
        <w:numPr>
          <w:ilvl w:val="2"/>
          <w:numId w:val="43"/>
        </w:numPr>
        <w:tabs>
          <w:tab w:val="left" w:pos="1944"/>
        </w:tabs>
        <w:spacing w:before="0" w:after="0" w:line="240" w:lineRule="auto"/>
        <w:ind w:left="1944" w:right="1453" w:hanging="360"/>
        <w:jc w:val="left"/>
        <w:rPr>
          <w:sz w:val="24"/>
        </w:rPr>
      </w:pPr>
      <w:r>
        <w:rPr>
          <w:sz w:val="24"/>
        </w:rPr>
        <w:t>“No” for the plan-level out-of-network and combined OOP maximum, even if the</w:t>
      </w:r>
      <w:r>
        <w:rPr>
          <w:spacing w:val="-2"/>
          <w:sz w:val="24"/>
        </w:rPr>
        <w:t xml:space="preserve"> </w:t>
      </w:r>
      <w:r>
        <w:rPr>
          <w:sz w:val="24"/>
        </w:rPr>
        <w:t>PBP</w:t>
      </w:r>
      <w:r>
        <w:rPr>
          <w:spacing w:val="-2"/>
          <w:sz w:val="24"/>
        </w:rPr>
        <w:t xml:space="preserve"> </w:t>
      </w:r>
      <w:r>
        <w:rPr>
          <w:sz w:val="24"/>
        </w:rPr>
        <w:t>includes,</w:t>
      </w:r>
      <w:r>
        <w:rPr>
          <w:spacing w:val="-2"/>
          <w:sz w:val="24"/>
        </w:rPr>
        <w:t xml:space="preserve"> </w:t>
      </w:r>
      <w:r>
        <w:rPr>
          <w:sz w:val="24"/>
        </w:rPr>
        <w:t>in</w:t>
      </w:r>
      <w:r>
        <w:rPr>
          <w:spacing w:val="-2"/>
          <w:sz w:val="24"/>
        </w:rPr>
        <w:t xml:space="preserve"> </w:t>
      </w:r>
      <w:r>
        <w:rPr>
          <w:sz w:val="24"/>
        </w:rPr>
        <w:t>the</w:t>
      </w:r>
      <w:r>
        <w:rPr>
          <w:spacing w:val="-5"/>
          <w:sz w:val="24"/>
        </w:rPr>
        <w:t xml:space="preserve"> </w:t>
      </w:r>
      <w:r>
        <w:rPr>
          <w:sz w:val="24"/>
        </w:rPr>
        <w:t>Cost</w:t>
      </w:r>
      <w:r>
        <w:rPr>
          <w:spacing w:val="-2"/>
          <w:sz w:val="24"/>
        </w:rPr>
        <w:t xml:space="preserve"> </w:t>
      </w:r>
      <w:r>
        <w:rPr>
          <w:sz w:val="24"/>
        </w:rPr>
        <w:t>Share</w:t>
      </w:r>
      <w:r>
        <w:rPr>
          <w:spacing w:val="-4"/>
          <w:sz w:val="24"/>
        </w:rPr>
        <w:t xml:space="preserve"> </w:t>
      </w:r>
      <w:r>
        <w:rPr>
          <w:sz w:val="24"/>
        </w:rPr>
        <w:t>Groups</w:t>
      </w:r>
      <w:r>
        <w:rPr>
          <w:spacing w:val="-3"/>
          <w:sz w:val="24"/>
        </w:rPr>
        <w:t xml:space="preserve"> </w:t>
      </w:r>
      <w:r>
        <w:rPr>
          <w:sz w:val="24"/>
        </w:rPr>
        <w:t>Section,</w:t>
      </w:r>
      <w:r>
        <w:rPr>
          <w:spacing w:val="-2"/>
          <w:sz w:val="24"/>
        </w:rPr>
        <w:t xml:space="preserve"> </w:t>
      </w:r>
      <w:r>
        <w:rPr>
          <w:sz w:val="24"/>
        </w:rPr>
        <w:t>a</w:t>
      </w:r>
      <w:r>
        <w:rPr>
          <w:spacing w:val="-3"/>
          <w:sz w:val="24"/>
        </w:rPr>
        <w:t xml:space="preserve"> </w:t>
      </w:r>
      <w:r>
        <w:rPr>
          <w:sz w:val="24"/>
        </w:rPr>
        <w:t>POS</w:t>
      </w:r>
      <w:r>
        <w:rPr>
          <w:spacing w:val="-3"/>
          <w:sz w:val="24"/>
        </w:rPr>
        <w:t xml:space="preserve"> </w:t>
      </w:r>
      <w:r>
        <w:rPr>
          <w:sz w:val="24"/>
        </w:rPr>
        <w:t>OOP</w:t>
      </w:r>
      <w:r>
        <w:rPr>
          <w:spacing w:val="-3"/>
          <w:sz w:val="24"/>
        </w:rPr>
        <w:t xml:space="preserve"> </w:t>
      </w:r>
      <w:r>
        <w:rPr>
          <w:sz w:val="24"/>
        </w:rPr>
        <w:t>maximum</w:t>
      </w:r>
      <w:r>
        <w:rPr>
          <w:spacing w:val="-2"/>
          <w:sz w:val="24"/>
        </w:rPr>
        <w:t xml:space="preserve"> </w:t>
      </w:r>
      <w:r>
        <w:rPr>
          <w:sz w:val="24"/>
        </w:rPr>
        <w:t>for</w:t>
      </w:r>
      <w:r>
        <w:rPr>
          <w:spacing w:val="-3"/>
          <w:sz w:val="24"/>
        </w:rPr>
        <w:t xml:space="preserve"> </w:t>
      </w:r>
      <w:r>
        <w:rPr>
          <w:sz w:val="24"/>
        </w:rPr>
        <w:t>a subset of service categories.</w:t>
      </w:r>
    </w:p>
    <w:p>
      <w:pPr>
        <w:pStyle w:val="ListParagraph"/>
        <w:numPr>
          <w:ilvl w:val="1"/>
          <w:numId w:val="43"/>
        </w:numPr>
        <w:tabs>
          <w:tab w:val="left" w:pos="1584"/>
        </w:tabs>
        <w:spacing w:before="0" w:after="0" w:line="240" w:lineRule="auto"/>
        <w:ind w:left="1584" w:right="0" w:hanging="360"/>
        <w:jc w:val="left"/>
        <w:rPr>
          <w:sz w:val="24"/>
        </w:rPr>
      </w:pPr>
      <w:r>
        <w:rPr>
          <w:sz w:val="24"/>
        </w:rPr>
        <w:t>For</w:t>
      </w:r>
      <w:r>
        <w:rPr>
          <w:spacing w:val="-4"/>
          <w:sz w:val="24"/>
        </w:rPr>
        <w:t xml:space="preserve"> </w:t>
      </w:r>
      <w:r>
        <w:rPr>
          <w:sz w:val="24"/>
        </w:rPr>
        <w:t>HMO with</w:t>
      </w:r>
      <w:r>
        <w:rPr>
          <w:spacing w:val="-2"/>
          <w:sz w:val="24"/>
        </w:rPr>
        <w:t xml:space="preserve"> </w:t>
      </w:r>
      <w:r>
        <w:rPr>
          <w:sz w:val="24"/>
        </w:rPr>
        <w:t>mandatory</w:t>
      </w:r>
      <w:r>
        <w:rPr>
          <w:spacing w:val="-2"/>
          <w:sz w:val="24"/>
        </w:rPr>
        <w:t xml:space="preserve"> </w:t>
      </w:r>
      <w:r>
        <w:rPr>
          <w:sz w:val="24"/>
        </w:rPr>
        <w:t>supplemental POS</w:t>
      </w:r>
      <w:r>
        <w:rPr>
          <w:spacing w:val="-2"/>
          <w:sz w:val="24"/>
        </w:rPr>
        <w:t xml:space="preserve"> </w:t>
      </w:r>
      <w:r>
        <w:rPr>
          <w:sz w:val="24"/>
        </w:rPr>
        <w:t>plans</w:t>
      </w:r>
      <w:r>
        <w:rPr>
          <w:spacing w:val="-2"/>
          <w:sz w:val="24"/>
        </w:rPr>
        <w:t xml:space="preserve"> enter—</w:t>
      </w:r>
    </w:p>
    <w:p>
      <w:pPr>
        <w:pStyle w:val="ListParagraph"/>
        <w:spacing w:after="0" w:line="240" w:lineRule="auto"/>
        <w:jc w:val="left"/>
        <w:rPr>
          <w:sz w:val="24"/>
        </w:rPr>
        <w:sectPr>
          <w:headerReference w:type="default" r:id="rId31"/>
          <w:footerReference w:type="default" r:id="rId32"/>
          <w:pgSz w:w="12240" w:h="15840"/>
          <w:pgMar w:top="960" w:right="0" w:bottom="940" w:left="1080" w:header="727" w:footer="747"/>
          <w:cols w:space="720"/>
        </w:sectPr>
      </w:pPr>
    </w:p>
    <w:p>
      <w:pPr>
        <w:pStyle w:val="BodyText"/>
        <w:spacing w:before="190"/>
        <w:ind w:left="0"/>
      </w:pPr>
    </w:p>
    <w:p>
      <w:pPr>
        <w:pStyle w:val="ListParagraph"/>
        <w:numPr>
          <w:ilvl w:val="2"/>
          <w:numId w:val="43"/>
        </w:numPr>
        <w:tabs>
          <w:tab w:val="left" w:pos="1944"/>
        </w:tabs>
        <w:spacing w:before="0" w:after="0" w:line="240" w:lineRule="auto"/>
        <w:ind w:left="1944" w:right="2032" w:hanging="360"/>
        <w:jc w:val="left"/>
        <w:rPr>
          <w:sz w:val="24"/>
        </w:rPr>
      </w:pPr>
      <w:r>
        <w:rPr>
          <w:sz w:val="24"/>
        </w:rPr>
        <w:t>“Yes”</w:t>
      </w:r>
      <w:r>
        <w:rPr>
          <w:spacing w:val="-3"/>
          <w:sz w:val="24"/>
        </w:rPr>
        <w:t xml:space="preserve"> </w:t>
      </w:r>
      <w:r>
        <w:rPr>
          <w:sz w:val="24"/>
        </w:rPr>
        <w:t>for</w:t>
      </w:r>
      <w:r>
        <w:rPr>
          <w:spacing w:val="-5"/>
          <w:sz w:val="24"/>
        </w:rPr>
        <w:t xml:space="preserve"> </w:t>
      </w:r>
      <w:r>
        <w:rPr>
          <w:sz w:val="24"/>
        </w:rPr>
        <w:t>the</w:t>
      </w:r>
      <w:r>
        <w:rPr>
          <w:spacing w:val="-4"/>
          <w:sz w:val="24"/>
        </w:rPr>
        <w:t xml:space="preserve"> </w:t>
      </w:r>
      <w:r>
        <w:rPr>
          <w:sz w:val="24"/>
        </w:rPr>
        <w:t>plan-level</w:t>
      </w:r>
      <w:r>
        <w:rPr>
          <w:spacing w:val="-4"/>
          <w:sz w:val="24"/>
        </w:rPr>
        <w:t xml:space="preserve"> </w:t>
      </w:r>
      <w:r>
        <w:rPr>
          <w:sz w:val="24"/>
        </w:rPr>
        <w:t>in-network</w:t>
      </w:r>
      <w:r>
        <w:rPr>
          <w:spacing w:val="-4"/>
          <w:sz w:val="24"/>
        </w:rPr>
        <w:t xml:space="preserve"> </w:t>
      </w:r>
      <w:r>
        <w:rPr>
          <w:sz w:val="24"/>
        </w:rPr>
        <w:t>OOP</w:t>
      </w:r>
      <w:r>
        <w:rPr>
          <w:spacing w:val="-4"/>
          <w:sz w:val="24"/>
        </w:rPr>
        <w:t xml:space="preserve"> </w:t>
      </w:r>
      <w:r>
        <w:rPr>
          <w:sz w:val="24"/>
        </w:rPr>
        <w:t>maximum</w:t>
      </w:r>
      <w:r>
        <w:rPr>
          <w:spacing w:val="-3"/>
          <w:sz w:val="24"/>
        </w:rPr>
        <w:t xml:space="preserve"> </w:t>
      </w:r>
      <w:r>
        <w:rPr>
          <w:sz w:val="24"/>
        </w:rPr>
        <w:t>in</w:t>
      </w:r>
      <w:r>
        <w:rPr>
          <w:spacing w:val="-4"/>
          <w:sz w:val="24"/>
        </w:rPr>
        <w:t xml:space="preserve"> </w:t>
      </w:r>
      <w:r>
        <w:rPr>
          <w:sz w:val="24"/>
        </w:rPr>
        <w:t>the</w:t>
      </w:r>
      <w:r>
        <w:rPr>
          <w:spacing w:val="-4"/>
          <w:sz w:val="24"/>
        </w:rPr>
        <w:t xml:space="preserve"> </w:t>
      </w:r>
      <w:r>
        <w:rPr>
          <w:sz w:val="24"/>
        </w:rPr>
        <w:t>Plan</w:t>
      </w:r>
      <w:r>
        <w:rPr>
          <w:spacing w:val="-4"/>
          <w:sz w:val="24"/>
        </w:rPr>
        <w:t xml:space="preserve"> </w:t>
      </w:r>
      <w:r>
        <w:rPr>
          <w:sz w:val="24"/>
        </w:rPr>
        <w:t>Level</w:t>
      </w:r>
      <w:r>
        <w:rPr>
          <w:spacing w:val="-4"/>
          <w:sz w:val="24"/>
        </w:rPr>
        <w:t xml:space="preserve"> </w:t>
      </w:r>
      <w:r>
        <w:rPr>
          <w:sz w:val="24"/>
        </w:rPr>
        <w:t>Cost Sharing Section of the PBP.</w:t>
      </w:r>
    </w:p>
    <w:p>
      <w:pPr>
        <w:pStyle w:val="ListParagraph"/>
        <w:numPr>
          <w:ilvl w:val="2"/>
          <w:numId w:val="43"/>
        </w:numPr>
        <w:tabs>
          <w:tab w:val="left" w:pos="1944"/>
        </w:tabs>
        <w:spacing w:before="0" w:after="0" w:line="240" w:lineRule="auto"/>
        <w:ind w:left="1944" w:right="1915" w:hanging="360"/>
        <w:jc w:val="left"/>
        <w:rPr>
          <w:sz w:val="24"/>
        </w:rPr>
      </w:pPr>
      <w:r>
        <w:rPr>
          <w:sz w:val="24"/>
        </w:rPr>
        <w:t>“Yes”</w:t>
      </w:r>
      <w:r>
        <w:rPr>
          <w:spacing w:val="-5"/>
          <w:sz w:val="24"/>
        </w:rPr>
        <w:t xml:space="preserve"> </w:t>
      </w:r>
      <w:r>
        <w:rPr>
          <w:sz w:val="24"/>
        </w:rPr>
        <w:t>or</w:t>
      </w:r>
      <w:r>
        <w:rPr>
          <w:spacing w:val="-4"/>
          <w:sz w:val="24"/>
        </w:rPr>
        <w:t xml:space="preserve"> </w:t>
      </w:r>
      <w:r>
        <w:rPr>
          <w:sz w:val="24"/>
        </w:rPr>
        <w:t>“No”</w:t>
      </w:r>
      <w:r>
        <w:rPr>
          <w:spacing w:val="-5"/>
          <w:sz w:val="24"/>
        </w:rPr>
        <w:t xml:space="preserve"> </w:t>
      </w:r>
      <w:r>
        <w:rPr>
          <w:sz w:val="24"/>
        </w:rPr>
        <w:t>for</w:t>
      </w:r>
      <w:r>
        <w:rPr>
          <w:spacing w:val="-6"/>
          <w:sz w:val="24"/>
        </w:rPr>
        <w:t xml:space="preserve"> </w:t>
      </w:r>
      <w:r>
        <w:rPr>
          <w:sz w:val="24"/>
        </w:rPr>
        <w:t>the</w:t>
      </w:r>
      <w:r>
        <w:rPr>
          <w:spacing w:val="-4"/>
          <w:sz w:val="24"/>
        </w:rPr>
        <w:t xml:space="preserve"> </w:t>
      </w:r>
      <w:r>
        <w:rPr>
          <w:sz w:val="24"/>
        </w:rPr>
        <w:t>plan-level</w:t>
      </w:r>
      <w:r>
        <w:rPr>
          <w:spacing w:val="-4"/>
          <w:sz w:val="24"/>
        </w:rPr>
        <w:t xml:space="preserve"> </w:t>
      </w:r>
      <w:r>
        <w:rPr>
          <w:sz w:val="24"/>
        </w:rPr>
        <w:t>out-of-network</w:t>
      </w:r>
      <w:r>
        <w:rPr>
          <w:spacing w:val="-3"/>
          <w:sz w:val="24"/>
        </w:rPr>
        <w:t xml:space="preserve"> </w:t>
      </w:r>
      <w:r>
        <w:rPr>
          <w:sz w:val="24"/>
        </w:rPr>
        <w:t>OOP</w:t>
      </w:r>
      <w:r>
        <w:rPr>
          <w:spacing w:val="-4"/>
          <w:sz w:val="24"/>
        </w:rPr>
        <w:t xml:space="preserve"> </w:t>
      </w:r>
      <w:r>
        <w:rPr>
          <w:sz w:val="24"/>
        </w:rPr>
        <w:t>maximum</w:t>
      </w:r>
      <w:r>
        <w:rPr>
          <w:spacing w:val="-3"/>
          <w:sz w:val="24"/>
        </w:rPr>
        <w:t xml:space="preserve"> </w:t>
      </w:r>
      <w:r>
        <w:rPr>
          <w:sz w:val="24"/>
        </w:rPr>
        <w:t>in</w:t>
      </w:r>
      <w:r>
        <w:rPr>
          <w:spacing w:val="-4"/>
          <w:sz w:val="24"/>
        </w:rPr>
        <w:t xml:space="preserve"> </w:t>
      </w:r>
      <w:r>
        <w:rPr>
          <w:sz w:val="24"/>
        </w:rPr>
        <w:t>the</w:t>
      </w:r>
      <w:r>
        <w:rPr>
          <w:spacing w:val="-4"/>
          <w:sz w:val="24"/>
        </w:rPr>
        <w:t xml:space="preserve"> </w:t>
      </w:r>
      <w:r>
        <w:rPr>
          <w:sz w:val="24"/>
        </w:rPr>
        <w:t>Plan Level Cost Sharing Section of the PBP, consistent with the PBP.</w:t>
      </w:r>
    </w:p>
    <w:p>
      <w:pPr>
        <w:pStyle w:val="ListParagraph"/>
        <w:numPr>
          <w:ilvl w:val="2"/>
          <w:numId w:val="43"/>
        </w:numPr>
        <w:tabs>
          <w:tab w:val="left" w:pos="1944"/>
        </w:tabs>
        <w:spacing w:before="0" w:after="0" w:line="240" w:lineRule="auto"/>
        <w:ind w:left="1944" w:right="1590" w:hanging="360"/>
        <w:jc w:val="left"/>
        <w:rPr>
          <w:sz w:val="24"/>
        </w:rPr>
      </w:pPr>
      <w:r>
        <w:rPr>
          <w:sz w:val="24"/>
        </w:rPr>
        <w:t>“Yes”</w:t>
      </w:r>
      <w:r>
        <w:rPr>
          <w:spacing w:val="-5"/>
          <w:sz w:val="24"/>
        </w:rPr>
        <w:t xml:space="preserve"> </w:t>
      </w:r>
      <w:r>
        <w:rPr>
          <w:sz w:val="24"/>
        </w:rPr>
        <w:t>or</w:t>
      </w:r>
      <w:r>
        <w:rPr>
          <w:spacing w:val="-4"/>
          <w:sz w:val="24"/>
        </w:rPr>
        <w:t xml:space="preserve"> </w:t>
      </w:r>
      <w:r>
        <w:rPr>
          <w:sz w:val="24"/>
        </w:rPr>
        <w:t>“No”</w:t>
      </w:r>
      <w:r>
        <w:rPr>
          <w:spacing w:val="-5"/>
          <w:sz w:val="24"/>
        </w:rPr>
        <w:t xml:space="preserve"> </w:t>
      </w:r>
      <w:r>
        <w:rPr>
          <w:sz w:val="24"/>
        </w:rPr>
        <w:t>for</w:t>
      </w:r>
      <w:r>
        <w:rPr>
          <w:spacing w:val="-6"/>
          <w:sz w:val="24"/>
        </w:rPr>
        <w:t xml:space="preserve"> </w:t>
      </w:r>
      <w:r>
        <w:rPr>
          <w:sz w:val="24"/>
        </w:rPr>
        <w:t>the</w:t>
      </w:r>
      <w:r>
        <w:rPr>
          <w:spacing w:val="-4"/>
          <w:sz w:val="24"/>
        </w:rPr>
        <w:t xml:space="preserve"> </w:t>
      </w:r>
      <w:r>
        <w:rPr>
          <w:sz w:val="24"/>
        </w:rPr>
        <w:t>plan-level</w:t>
      </w:r>
      <w:r>
        <w:rPr>
          <w:spacing w:val="-4"/>
          <w:sz w:val="24"/>
        </w:rPr>
        <w:t xml:space="preserve"> </w:t>
      </w:r>
      <w:r>
        <w:rPr>
          <w:sz w:val="24"/>
        </w:rPr>
        <w:t>combined</w:t>
      </w:r>
      <w:r>
        <w:rPr>
          <w:spacing w:val="-3"/>
          <w:sz w:val="24"/>
        </w:rPr>
        <w:t xml:space="preserve"> </w:t>
      </w:r>
      <w:r>
        <w:rPr>
          <w:sz w:val="24"/>
        </w:rPr>
        <w:t>OOP</w:t>
      </w:r>
      <w:r>
        <w:rPr>
          <w:spacing w:val="-4"/>
          <w:sz w:val="24"/>
        </w:rPr>
        <w:t xml:space="preserve"> </w:t>
      </w:r>
      <w:r>
        <w:rPr>
          <w:sz w:val="24"/>
        </w:rPr>
        <w:t>maximum,</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 xml:space="preserve">the </w:t>
      </w:r>
      <w:r>
        <w:rPr>
          <w:spacing w:val="-4"/>
          <w:sz w:val="24"/>
        </w:rPr>
        <w:t>PBP.</w:t>
      </w:r>
    </w:p>
    <w:p>
      <w:pPr>
        <w:pStyle w:val="ListParagraph"/>
        <w:numPr>
          <w:ilvl w:val="1"/>
          <w:numId w:val="43"/>
        </w:numPr>
        <w:tabs>
          <w:tab w:val="left" w:pos="1584"/>
        </w:tabs>
        <w:spacing w:before="0" w:after="0" w:line="240" w:lineRule="auto"/>
        <w:ind w:left="1584" w:right="0" w:hanging="360"/>
        <w:jc w:val="left"/>
        <w:rPr>
          <w:sz w:val="24"/>
        </w:rPr>
      </w:pPr>
      <w:r>
        <w:rPr>
          <w:sz w:val="24"/>
        </w:rPr>
        <w:t>For</w:t>
      </w:r>
      <w:r>
        <w:rPr>
          <w:spacing w:val="-1"/>
          <w:sz w:val="24"/>
        </w:rPr>
        <w:t xml:space="preserve"> </w:t>
      </w:r>
      <w:r>
        <w:rPr>
          <w:sz w:val="24"/>
        </w:rPr>
        <w:t>local</w:t>
      </w:r>
      <w:r>
        <w:rPr>
          <w:spacing w:val="-1"/>
          <w:sz w:val="24"/>
        </w:rPr>
        <w:t xml:space="preserve"> </w:t>
      </w:r>
      <w:r>
        <w:rPr>
          <w:sz w:val="24"/>
        </w:rPr>
        <w:t>PPO</w:t>
      </w:r>
      <w:r>
        <w:rPr>
          <w:spacing w:val="-2"/>
          <w:sz w:val="24"/>
        </w:rPr>
        <w:t xml:space="preserve"> </w:t>
      </w:r>
      <w:r>
        <w:rPr>
          <w:sz w:val="24"/>
        </w:rPr>
        <w:t>and</w:t>
      </w:r>
      <w:r>
        <w:rPr>
          <w:spacing w:val="-1"/>
          <w:sz w:val="24"/>
        </w:rPr>
        <w:t xml:space="preserve"> </w:t>
      </w:r>
      <w:r>
        <w:rPr>
          <w:sz w:val="24"/>
        </w:rPr>
        <w:t>regional</w:t>
      </w:r>
      <w:r>
        <w:rPr>
          <w:spacing w:val="-1"/>
          <w:sz w:val="24"/>
        </w:rPr>
        <w:t xml:space="preserve"> </w:t>
      </w:r>
      <w:r>
        <w:rPr>
          <w:sz w:val="24"/>
        </w:rPr>
        <w:t>PPO</w:t>
      </w:r>
      <w:r>
        <w:rPr>
          <w:spacing w:val="-2"/>
          <w:sz w:val="24"/>
        </w:rPr>
        <w:t xml:space="preserve"> </w:t>
      </w:r>
      <w:r>
        <w:rPr>
          <w:sz w:val="24"/>
        </w:rPr>
        <w:t>plans</w:t>
      </w:r>
      <w:r>
        <w:rPr>
          <w:spacing w:val="-1"/>
          <w:sz w:val="24"/>
        </w:rPr>
        <w:t xml:space="preserve"> </w:t>
      </w:r>
      <w:r>
        <w:rPr>
          <w:spacing w:val="-2"/>
          <w:sz w:val="24"/>
        </w:rPr>
        <w:t>enter—</w:t>
      </w:r>
    </w:p>
    <w:p>
      <w:pPr>
        <w:pStyle w:val="ListParagraph"/>
        <w:numPr>
          <w:ilvl w:val="2"/>
          <w:numId w:val="43"/>
        </w:numPr>
        <w:tabs>
          <w:tab w:val="left" w:pos="1944"/>
        </w:tabs>
        <w:spacing w:before="0" w:after="0" w:line="240" w:lineRule="auto"/>
        <w:ind w:left="1944" w:right="0" w:hanging="360"/>
        <w:jc w:val="left"/>
        <w:rPr>
          <w:sz w:val="24"/>
        </w:rPr>
      </w:pPr>
      <w:r>
        <w:rPr>
          <w:sz w:val="24"/>
        </w:rPr>
        <w:t>“Yes” for</w:t>
      </w:r>
      <w:r>
        <w:rPr>
          <w:spacing w:val="-3"/>
          <w:sz w:val="24"/>
        </w:rPr>
        <w:t xml:space="preserve"> </w:t>
      </w:r>
      <w:r>
        <w:rPr>
          <w:sz w:val="24"/>
        </w:rPr>
        <w:t>the</w:t>
      </w:r>
      <w:r>
        <w:rPr>
          <w:spacing w:val="-1"/>
          <w:sz w:val="24"/>
        </w:rPr>
        <w:t xml:space="preserve"> </w:t>
      </w:r>
      <w:r>
        <w:rPr>
          <w:sz w:val="24"/>
        </w:rPr>
        <w:t>plan-level</w:t>
      </w:r>
      <w:r>
        <w:rPr>
          <w:spacing w:val="-1"/>
          <w:sz w:val="24"/>
        </w:rPr>
        <w:t xml:space="preserve"> </w:t>
      </w:r>
      <w:r>
        <w:rPr>
          <w:sz w:val="24"/>
        </w:rPr>
        <w:t>in-network</w:t>
      </w:r>
      <w:r>
        <w:rPr>
          <w:spacing w:val="-2"/>
          <w:sz w:val="24"/>
        </w:rPr>
        <w:t xml:space="preserve"> </w:t>
      </w:r>
      <w:r>
        <w:rPr>
          <w:sz w:val="24"/>
        </w:rPr>
        <w:t xml:space="preserve">OOP </w:t>
      </w:r>
      <w:r>
        <w:rPr>
          <w:spacing w:val="-2"/>
          <w:sz w:val="24"/>
        </w:rPr>
        <w:t>maximum.</w:t>
      </w:r>
    </w:p>
    <w:p>
      <w:pPr>
        <w:pStyle w:val="ListParagraph"/>
        <w:numPr>
          <w:ilvl w:val="2"/>
          <w:numId w:val="43"/>
        </w:numPr>
        <w:tabs>
          <w:tab w:val="left" w:pos="1944"/>
        </w:tabs>
        <w:spacing w:before="0" w:after="0" w:line="240" w:lineRule="auto"/>
        <w:ind w:left="1944" w:right="1922" w:hanging="360"/>
        <w:jc w:val="left"/>
        <w:rPr>
          <w:sz w:val="24"/>
        </w:rPr>
      </w:pPr>
      <w:r>
        <w:rPr>
          <w:sz w:val="24"/>
        </w:rPr>
        <w:t>“Yes”</w:t>
      </w:r>
      <w:r>
        <w:rPr>
          <w:spacing w:val="-5"/>
          <w:sz w:val="24"/>
        </w:rPr>
        <w:t xml:space="preserve"> </w:t>
      </w:r>
      <w:r>
        <w:rPr>
          <w:sz w:val="24"/>
        </w:rPr>
        <w:t>or</w:t>
      </w:r>
      <w:r>
        <w:rPr>
          <w:spacing w:val="-4"/>
          <w:sz w:val="24"/>
        </w:rPr>
        <w:t xml:space="preserve"> </w:t>
      </w:r>
      <w:r>
        <w:rPr>
          <w:sz w:val="24"/>
        </w:rPr>
        <w:t>“No”</w:t>
      </w:r>
      <w:r>
        <w:rPr>
          <w:spacing w:val="-5"/>
          <w:sz w:val="24"/>
        </w:rPr>
        <w:t xml:space="preserve"> </w:t>
      </w:r>
      <w:r>
        <w:rPr>
          <w:sz w:val="24"/>
        </w:rPr>
        <w:t>for</w:t>
      </w:r>
      <w:r>
        <w:rPr>
          <w:spacing w:val="-6"/>
          <w:sz w:val="24"/>
        </w:rPr>
        <w:t xml:space="preserve"> </w:t>
      </w:r>
      <w:r>
        <w:rPr>
          <w:sz w:val="24"/>
        </w:rPr>
        <w:t>the</w:t>
      </w:r>
      <w:r>
        <w:rPr>
          <w:spacing w:val="-4"/>
          <w:sz w:val="24"/>
        </w:rPr>
        <w:t xml:space="preserve"> </w:t>
      </w:r>
      <w:r>
        <w:rPr>
          <w:sz w:val="24"/>
        </w:rPr>
        <w:t>plan-level</w:t>
      </w:r>
      <w:r>
        <w:rPr>
          <w:spacing w:val="-4"/>
          <w:sz w:val="24"/>
        </w:rPr>
        <w:t xml:space="preserve"> </w:t>
      </w:r>
      <w:r>
        <w:rPr>
          <w:sz w:val="24"/>
        </w:rPr>
        <w:t>out-of-network</w:t>
      </w:r>
      <w:r>
        <w:rPr>
          <w:spacing w:val="-3"/>
          <w:sz w:val="24"/>
        </w:rPr>
        <w:t xml:space="preserve"> </w:t>
      </w:r>
      <w:r>
        <w:rPr>
          <w:sz w:val="24"/>
        </w:rPr>
        <w:t>OOP</w:t>
      </w:r>
      <w:r>
        <w:rPr>
          <w:spacing w:val="-4"/>
          <w:sz w:val="24"/>
        </w:rPr>
        <w:t xml:space="preserve"> </w:t>
      </w:r>
      <w:r>
        <w:rPr>
          <w:sz w:val="24"/>
        </w:rPr>
        <w:t>maximum,</w:t>
      </w:r>
      <w:r>
        <w:rPr>
          <w:spacing w:val="-4"/>
          <w:sz w:val="24"/>
        </w:rPr>
        <w:t xml:space="preserve"> </w:t>
      </w:r>
      <w:r>
        <w:rPr>
          <w:sz w:val="24"/>
        </w:rPr>
        <w:t>consistent with the PBP.</w:t>
      </w:r>
    </w:p>
    <w:p>
      <w:pPr>
        <w:pStyle w:val="ListParagraph"/>
        <w:numPr>
          <w:ilvl w:val="2"/>
          <w:numId w:val="43"/>
        </w:numPr>
        <w:tabs>
          <w:tab w:val="left" w:pos="1944"/>
        </w:tabs>
        <w:spacing w:before="0" w:after="0" w:line="240" w:lineRule="auto"/>
        <w:ind w:left="1944" w:right="0" w:hanging="360"/>
        <w:jc w:val="left"/>
        <w:rPr>
          <w:sz w:val="24"/>
        </w:rPr>
      </w:pPr>
      <w:r>
        <w:rPr>
          <w:sz w:val="24"/>
        </w:rPr>
        <w:t>“Yes”</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plan-level combined</w:t>
      </w:r>
      <w:r>
        <w:rPr>
          <w:spacing w:val="-1"/>
          <w:sz w:val="24"/>
        </w:rPr>
        <w:t xml:space="preserve"> </w:t>
      </w:r>
      <w:r>
        <w:rPr>
          <w:sz w:val="24"/>
        </w:rPr>
        <w:t>OOP</w:t>
      </w:r>
      <w:r>
        <w:rPr>
          <w:spacing w:val="-1"/>
          <w:sz w:val="24"/>
        </w:rPr>
        <w:t xml:space="preserve"> </w:t>
      </w:r>
      <w:r>
        <w:rPr>
          <w:spacing w:val="-2"/>
          <w:sz w:val="24"/>
        </w:rPr>
        <w:t>maximum.</w:t>
      </w:r>
    </w:p>
    <w:p>
      <w:pPr>
        <w:pStyle w:val="ListParagraph"/>
        <w:numPr>
          <w:ilvl w:val="1"/>
          <w:numId w:val="43"/>
        </w:numPr>
        <w:tabs>
          <w:tab w:val="left" w:pos="1584"/>
        </w:tabs>
        <w:spacing w:before="0" w:after="0" w:line="240" w:lineRule="auto"/>
        <w:ind w:left="1584" w:right="0" w:hanging="360"/>
        <w:jc w:val="left"/>
        <w:rPr>
          <w:sz w:val="24"/>
        </w:rPr>
      </w:pPr>
      <w:r>
        <w:rPr>
          <w:sz w:val="24"/>
        </w:rPr>
        <w:t>For</w:t>
      </w:r>
      <w:r>
        <w:rPr>
          <w:spacing w:val="-4"/>
          <w:sz w:val="24"/>
        </w:rPr>
        <w:t xml:space="preserve"> </w:t>
      </w:r>
      <w:r>
        <w:rPr>
          <w:sz w:val="24"/>
        </w:rPr>
        <w:t>full</w:t>
      </w:r>
      <w:r>
        <w:rPr>
          <w:spacing w:val="-2"/>
          <w:sz w:val="24"/>
        </w:rPr>
        <w:t xml:space="preserve"> </w:t>
      </w:r>
      <w:r>
        <w:rPr>
          <w:sz w:val="24"/>
        </w:rPr>
        <w:t>network</w:t>
      </w:r>
      <w:r>
        <w:rPr>
          <w:spacing w:val="-1"/>
          <w:sz w:val="24"/>
        </w:rPr>
        <w:t xml:space="preserve"> </w:t>
      </w:r>
      <w:r>
        <w:rPr>
          <w:sz w:val="24"/>
        </w:rPr>
        <w:t>PFFS</w:t>
      </w:r>
      <w:r>
        <w:rPr>
          <w:spacing w:val="-2"/>
          <w:sz w:val="24"/>
        </w:rPr>
        <w:t xml:space="preserve"> </w:t>
      </w:r>
      <w:r>
        <w:rPr>
          <w:sz w:val="24"/>
        </w:rPr>
        <w:t>and</w:t>
      </w:r>
      <w:r>
        <w:rPr>
          <w:spacing w:val="-1"/>
          <w:sz w:val="24"/>
        </w:rPr>
        <w:t xml:space="preserve"> </w:t>
      </w:r>
      <w:r>
        <w:rPr>
          <w:sz w:val="24"/>
        </w:rPr>
        <w:t>partial</w:t>
      </w:r>
      <w:r>
        <w:rPr>
          <w:spacing w:val="-2"/>
          <w:sz w:val="24"/>
        </w:rPr>
        <w:t xml:space="preserve"> </w:t>
      </w:r>
      <w:r>
        <w:rPr>
          <w:sz w:val="24"/>
        </w:rPr>
        <w:t>network</w:t>
      </w:r>
      <w:r>
        <w:rPr>
          <w:spacing w:val="-1"/>
          <w:sz w:val="24"/>
        </w:rPr>
        <w:t xml:space="preserve"> </w:t>
      </w:r>
      <w:r>
        <w:rPr>
          <w:sz w:val="24"/>
        </w:rPr>
        <w:t>PFFS</w:t>
      </w:r>
      <w:r>
        <w:rPr>
          <w:spacing w:val="-2"/>
          <w:sz w:val="24"/>
        </w:rPr>
        <w:t xml:space="preserve"> </w:t>
      </w:r>
      <w:r>
        <w:rPr>
          <w:sz w:val="24"/>
        </w:rPr>
        <w:t>plans</w:t>
      </w:r>
      <w:r>
        <w:rPr>
          <w:spacing w:val="-2"/>
          <w:sz w:val="24"/>
        </w:rPr>
        <w:t xml:space="preserve"> enter—</w:t>
      </w:r>
    </w:p>
    <w:p>
      <w:pPr>
        <w:pStyle w:val="ListParagraph"/>
        <w:numPr>
          <w:ilvl w:val="2"/>
          <w:numId w:val="43"/>
        </w:numPr>
        <w:tabs>
          <w:tab w:val="left" w:pos="1944"/>
        </w:tabs>
        <w:spacing w:before="1" w:after="0" w:line="240" w:lineRule="auto"/>
        <w:ind w:left="1944" w:right="2516" w:hanging="360"/>
        <w:jc w:val="left"/>
        <w:rPr>
          <w:sz w:val="24"/>
        </w:rPr>
      </w:pPr>
      <w:r>
        <w:rPr>
          <w:sz w:val="24"/>
        </w:rPr>
        <w:t>“Yes”</w:t>
      </w:r>
      <w:r>
        <w:rPr>
          <w:spacing w:val="-5"/>
          <w:sz w:val="24"/>
        </w:rPr>
        <w:t xml:space="preserve"> </w:t>
      </w:r>
      <w:r>
        <w:rPr>
          <w:sz w:val="24"/>
        </w:rPr>
        <w:t>or</w:t>
      </w:r>
      <w:r>
        <w:rPr>
          <w:spacing w:val="-5"/>
          <w:sz w:val="24"/>
        </w:rPr>
        <w:t xml:space="preserve"> </w:t>
      </w:r>
      <w:r>
        <w:rPr>
          <w:sz w:val="24"/>
        </w:rPr>
        <w:t>“No”</w:t>
      </w:r>
      <w:r>
        <w:rPr>
          <w:spacing w:val="-5"/>
          <w:sz w:val="24"/>
        </w:rPr>
        <w:t xml:space="preserve"> </w:t>
      </w:r>
      <w:r>
        <w:rPr>
          <w:sz w:val="24"/>
        </w:rPr>
        <w:t>for</w:t>
      </w:r>
      <w:r>
        <w:rPr>
          <w:spacing w:val="-6"/>
          <w:sz w:val="24"/>
        </w:rPr>
        <w:t xml:space="preserve"> </w:t>
      </w:r>
      <w:r>
        <w:rPr>
          <w:sz w:val="24"/>
        </w:rPr>
        <w:t>the</w:t>
      </w:r>
      <w:r>
        <w:rPr>
          <w:spacing w:val="-4"/>
          <w:sz w:val="24"/>
        </w:rPr>
        <w:t xml:space="preserve"> </w:t>
      </w:r>
      <w:r>
        <w:rPr>
          <w:sz w:val="24"/>
        </w:rPr>
        <w:t>plan-level</w:t>
      </w:r>
      <w:r>
        <w:rPr>
          <w:spacing w:val="-5"/>
          <w:sz w:val="24"/>
        </w:rPr>
        <w:t xml:space="preserve"> </w:t>
      </w:r>
      <w:r>
        <w:rPr>
          <w:sz w:val="24"/>
        </w:rPr>
        <w:t>in-network</w:t>
      </w:r>
      <w:r>
        <w:rPr>
          <w:spacing w:val="-5"/>
          <w:sz w:val="24"/>
        </w:rPr>
        <w:t xml:space="preserve"> </w:t>
      </w:r>
      <w:r>
        <w:rPr>
          <w:sz w:val="24"/>
        </w:rPr>
        <w:t>and</w:t>
      </w:r>
      <w:r>
        <w:rPr>
          <w:spacing w:val="-3"/>
          <w:sz w:val="24"/>
        </w:rPr>
        <w:t xml:space="preserve"> </w:t>
      </w:r>
      <w:r>
        <w:rPr>
          <w:sz w:val="24"/>
        </w:rPr>
        <w:t>out-of-network</w:t>
      </w:r>
      <w:r>
        <w:rPr>
          <w:spacing w:val="-3"/>
          <w:sz w:val="24"/>
        </w:rPr>
        <w:t xml:space="preserve"> </w:t>
      </w:r>
      <w:r>
        <w:rPr>
          <w:sz w:val="24"/>
        </w:rPr>
        <w:t>OOP maximums, consistent with the PBP.</w:t>
      </w:r>
    </w:p>
    <w:p>
      <w:pPr>
        <w:pStyle w:val="ListParagraph"/>
        <w:numPr>
          <w:ilvl w:val="2"/>
          <w:numId w:val="43"/>
        </w:numPr>
        <w:tabs>
          <w:tab w:val="left" w:pos="1944"/>
        </w:tabs>
        <w:spacing w:before="0" w:after="0" w:line="240" w:lineRule="auto"/>
        <w:ind w:left="1944" w:right="0" w:hanging="360"/>
        <w:jc w:val="left"/>
        <w:rPr>
          <w:sz w:val="24"/>
        </w:rPr>
      </w:pPr>
      <w:r>
        <w:rPr>
          <w:sz w:val="24"/>
        </w:rPr>
        <w:t>“Yes”</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plan-level combined</w:t>
      </w:r>
      <w:r>
        <w:rPr>
          <w:spacing w:val="-1"/>
          <w:sz w:val="24"/>
        </w:rPr>
        <w:t xml:space="preserve"> </w:t>
      </w:r>
      <w:r>
        <w:rPr>
          <w:sz w:val="24"/>
        </w:rPr>
        <w:t>OOP</w:t>
      </w:r>
      <w:r>
        <w:rPr>
          <w:spacing w:val="-1"/>
          <w:sz w:val="24"/>
        </w:rPr>
        <w:t xml:space="preserve"> </w:t>
      </w:r>
      <w:r>
        <w:rPr>
          <w:spacing w:val="-2"/>
          <w:sz w:val="24"/>
        </w:rPr>
        <w:t>maximum.</w:t>
      </w:r>
    </w:p>
    <w:p>
      <w:pPr>
        <w:pStyle w:val="ListParagraph"/>
        <w:numPr>
          <w:ilvl w:val="1"/>
          <w:numId w:val="43"/>
        </w:numPr>
        <w:tabs>
          <w:tab w:val="left" w:pos="1584"/>
        </w:tabs>
        <w:spacing w:before="0" w:after="0" w:line="240" w:lineRule="auto"/>
        <w:ind w:left="1584" w:right="0" w:hanging="360"/>
        <w:jc w:val="left"/>
        <w:rPr>
          <w:sz w:val="24"/>
        </w:rPr>
      </w:pPr>
      <w:r>
        <w:rPr>
          <w:sz w:val="24"/>
        </w:rPr>
        <w:t>For</w:t>
      </w:r>
      <w:r>
        <w:rPr>
          <w:spacing w:val="-3"/>
          <w:sz w:val="24"/>
        </w:rPr>
        <w:t xml:space="preserve"> </w:t>
      </w:r>
      <w:r>
        <w:rPr>
          <w:sz w:val="24"/>
        </w:rPr>
        <w:t>non-network</w:t>
      </w:r>
      <w:r>
        <w:rPr>
          <w:spacing w:val="-3"/>
          <w:sz w:val="24"/>
        </w:rPr>
        <w:t xml:space="preserve"> </w:t>
      </w:r>
      <w:r>
        <w:rPr>
          <w:sz w:val="24"/>
        </w:rPr>
        <w:t>PFFS</w:t>
      </w:r>
      <w:r>
        <w:rPr>
          <w:spacing w:val="-2"/>
          <w:sz w:val="24"/>
        </w:rPr>
        <w:t xml:space="preserve"> </w:t>
      </w:r>
      <w:r>
        <w:rPr>
          <w:sz w:val="24"/>
        </w:rPr>
        <w:t>plans</w:t>
      </w:r>
      <w:r>
        <w:rPr>
          <w:spacing w:val="-3"/>
          <w:sz w:val="24"/>
        </w:rPr>
        <w:t xml:space="preserve"> </w:t>
      </w:r>
      <w:r>
        <w:rPr>
          <w:spacing w:val="-2"/>
          <w:sz w:val="24"/>
        </w:rPr>
        <w:t>enter—</w:t>
      </w:r>
    </w:p>
    <w:p>
      <w:pPr>
        <w:pStyle w:val="ListParagraph"/>
        <w:numPr>
          <w:ilvl w:val="2"/>
          <w:numId w:val="43"/>
        </w:numPr>
        <w:tabs>
          <w:tab w:val="left" w:pos="1944"/>
        </w:tabs>
        <w:spacing w:before="0" w:after="0" w:line="240" w:lineRule="auto"/>
        <w:ind w:left="1944" w:right="2404" w:hanging="360"/>
        <w:jc w:val="left"/>
        <w:rPr>
          <w:sz w:val="24"/>
        </w:rPr>
      </w:pPr>
      <w:r>
        <w:rPr>
          <w:sz w:val="24"/>
        </w:rPr>
        <w:t>“No”</w:t>
      </w:r>
      <w:r>
        <w:rPr>
          <w:spacing w:val="-7"/>
          <w:sz w:val="24"/>
        </w:rPr>
        <w:t xml:space="preserve"> </w:t>
      </w:r>
      <w:r>
        <w:rPr>
          <w:sz w:val="24"/>
        </w:rPr>
        <w:t>for</w:t>
      </w:r>
      <w:r>
        <w:rPr>
          <w:spacing w:val="-5"/>
          <w:sz w:val="24"/>
        </w:rPr>
        <w:t xml:space="preserve"> </w:t>
      </w:r>
      <w:r>
        <w:rPr>
          <w:sz w:val="24"/>
        </w:rPr>
        <w:t>the</w:t>
      </w:r>
      <w:r>
        <w:rPr>
          <w:spacing w:val="-7"/>
          <w:sz w:val="24"/>
        </w:rPr>
        <w:t xml:space="preserve"> </w:t>
      </w:r>
      <w:r>
        <w:rPr>
          <w:sz w:val="24"/>
        </w:rPr>
        <w:t>plan-level</w:t>
      </w:r>
      <w:r>
        <w:rPr>
          <w:spacing w:val="-5"/>
          <w:sz w:val="24"/>
        </w:rPr>
        <w:t xml:space="preserve"> </w:t>
      </w:r>
      <w:r>
        <w:rPr>
          <w:sz w:val="24"/>
        </w:rPr>
        <w:t>in-network</w:t>
      </w:r>
      <w:r>
        <w:rPr>
          <w:spacing w:val="-6"/>
          <w:sz w:val="24"/>
        </w:rPr>
        <w:t xml:space="preserve"> </w:t>
      </w:r>
      <w:r>
        <w:rPr>
          <w:sz w:val="24"/>
        </w:rPr>
        <w:t>and</w:t>
      </w:r>
      <w:r>
        <w:rPr>
          <w:spacing w:val="-5"/>
          <w:sz w:val="24"/>
        </w:rPr>
        <w:t xml:space="preserve"> </w:t>
      </w:r>
      <w:r>
        <w:rPr>
          <w:sz w:val="24"/>
        </w:rPr>
        <w:t>out-of-network</w:t>
      </w:r>
      <w:r>
        <w:rPr>
          <w:spacing w:val="-6"/>
          <w:sz w:val="24"/>
        </w:rPr>
        <w:t xml:space="preserve"> </w:t>
      </w:r>
      <w:r>
        <w:rPr>
          <w:sz w:val="24"/>
        </w:rPr>
        <w:t>plan-level</w:t>
      </w:r>
      <w:r>
        <w:rPr>
          <w:spacing w:val="-5"/>
          <w:sz w:val="24"/>
        </w:rPr>
        <w:t xml:space="preserve"> </w:t>
      </w:r>
      <w:r>
        <w:rPr>
          <w:sz w:val="24"/>
        </w:rPr>
        <w:t xml:space="preserve">OOP </w:t>
      </w:r>
      <w:r>
        <w:rPr>
          <w:spacing w:val="-2"/>
          <w:sz w:val="24"/>
        </w:rPr>
        <w:t>maximums.</w:t>
      </w:r>
    </w:p>
    <w:p>
      <w:pPr>
        <w:pStyle w:val="ListParagraph"/>
        <w:numPr>
          <w:ilvl w:val="2"/>
          <w:numId w:val="43"/>
        </w:numPr>
        <w:tabs>
          <w:tab w:val="left" w:pos="1944"/>
        </w:tabs>
        <w:spacing w:before="0" w:after="0" w:line="240" w:lineRule="auto"/>
        <w:ind w:left="1944" w:right="0" w:hanging="360"/>
        <w:jc w:val="left"/>
        <w:rPr>
          <w:sz w:val="24"/>
        </w:rPr>
      </w:pPr>
      <w:r>
        <w:rPr>
          <w:sz w:val="24"/>
        </w:rPr>
        <w:t>“Yes”</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plan-level combined</w:t>
      </w:r>
      <w:r>
        <w:rPr>
          <w:spacing w:val="-1"/>
          <w:sz w:val="24"/>
        </w:rPr>
        <w:t xml:space="preserve"> </w:t>
      </w:r>
      <w:r>
        <w:rPr>
          <w:sz w:val="24"/>
        </w:rPr>
        <w:t>OOP</w:t>
      </w:r>
      <w:r>
        <w:rPr>
          <w:spacing w:val="-1"/>
          <w:sz w:val="24"/>
        </w:rPr>
        <w:t xml:space="preserve"> </w:t>
      </w:r>
      <w:r>
        <w:rPr>
          <w:spacing w:val="-2"/>
          <w:sz w:val="24"/>
        </w:rPr>
        <w:t>maximum.</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Line</w:t>
      </w:r>
      <w:r>
        <w:rPr>
          <w:rFonts w:ascii="Arial" w:hAnsi="Arial"/>
          <w:b/>
          <w:spacing w:val="-4"/>
          <w:sz w:val="21"/>
        </w:rPr>
        <w:t xml:space="preserve"> </w:t>
      </w:r>
      <w:r>
        <w:rPr>
          <w:rFonts w:ascii="Arial" w:hAnsi="Arial"/>
          <w:b/>
          <w:sz w:val="21"/>
        </w:rPr>
        <w:t>1</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In-</w:t>
      </w:r>
      <w:r>
        <w:rPr>
          <w:rFonts w:ascii="Arial" w:hAnsi="Arial"/>
          <w:b/>
          <w:spacing w:val="-2"/>
          <w:sz w:val="21"/>
        </w:rPr>
        <w:t>Network</w:t>
      </w:r>
    </w:p>
    <w:p>
      <w:pPr>
        <w:pStyle w:val="BodyText"/>
        <w:spacing w:before="118"/>
        <w:ind w:left="1224" w:right="1481"/>
      </w:pPr>
      <w:r>
        <w:t>In the first field, select “Yes” or “No” to the question “Is there a plan-level in-network OOP maximum?” If the answer is “Yes,” then enter in the second field the maximum total</w:t>
      </w:r>
      <w:r>
        <w:rPr>
          <w:spacing w:val="-3"/>
        </w:rPr>
        <w:t xml:space="preserve"> </w:t>
      </w:r>
      <w:r>
        <w:t>dollar</w:t>
      </w:r>
      <w:r>
        <w:rPr>
          <w:spacing w:val="-5"/>
        </w:rPr>
        <w:t xml:space="preserve"> </w:t>
      </w:r>
      <w:r>
        <w:t>amount</w:t>
      </w:r>
      <w:r>
        <w:rPr>
          <w:spacing w:val="-3"/>
        </w:rPr>
        <w:t xml:space="preserve"> </w:t>
      </w:r>
      <w:r>
        <w:t>that</w:t>
      </w:r>
      <w:r>
        <w:rPr>
          <w:spacing w:val="-3"/>
        </w:rPr>
        <w:t xml:space="preserve"> </w:t>
      </w:r>
      <w:r>
        <w:t>a</w:t>
      </w:r>
      <w:r>
        <w:rPr>
          <w:spacing w:val="-4"/>
        </w:rPr>
        <w:t xml:space="preserve"> </w:t>
      </w:r>
      <w:r>
        <w:t>member</w:t>
      </w:r>
      <w:r>
        <w:rPr>
          <w:spacing w:val="-3"/>
        </w:rPr>
        <w:t xml:space="preserve"> </w:t>
      </w:r>
      <w:r>
        <w:t>could</w:t>
      </w:r>
      <w:r>
        <w:rPr>
          <w:spacing w:val="-3"/>
        </w:rPr>
        <w:t xml:space="preserve"> </w:t>
      </w:r>
      <w:r>
        <w:t>pay</w:t>
      </w:r>
      <w:r>
        <w:rPr>
          <w:spacing w:val="-2"/>
        </w:rPr>
        <w:t xml:space="preserve"> </w:t>
      </w:r>
      <w:r>
        <w:t>for</w:t>
      </w:r>
      <w:r>
        <w:rPr>
          <w:spacing w:val="-5"/>
        </w:rPr>
        <w:t xml:space="preserve"> </w:t>
      </w:r>
      <w:r>
        <w:t>in-network</w:t>
      </w:r>
      <w:r>
        <w:rPr>
          <w:spacing w:val="-4"/>
        </w:rPr>
        <w:t xml:space="preserve"> </w:t>
      </w:r>
      <w:r>
        <w:t>cost</w:t>
      </w:r>
      <w:r>
        <w:rPr>
          <w:spacing w:val="-3"/>
        </w:rPr>
        <w:t xml:space="preserve"> </w:t>
      </w:r>
      <w:r>
        <w:t>sharing</w:t>
      </w:r>
      <w:r>
        <w:rPr>
          <w:spacing w:val="-3"/>
        </w:rPr>
        <w:t xml:space="preserve"> </w:t>
      </w:r>
      <w:r>
        <w:t>for</w:t>
      </w:r>
      <w:r>
        <w:rPr>
          <w:spacing w:val="-2"/>
        </w:rPr>
        <w:t xml:space="preserve"> </w:t>
      </w:r>
      <w:r>
        <w:t>the</w:t>
      </w:r>
      <w:r>
        <w:rPr>
          <w:spacing w:val="-3"/>
        </w:rPr>
        <w:t xml:space="preserve"> </w:t>
      </w:r>
      <w:r>
        <w:t>contract year. This dollar amount must match the dollar amount entered in the in-network maximum enrollee OOP cost field in the Plan Level Cost Sharing Section of the PBP.</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Line</w:t>
      </w:r>
      <w:r>
        <w:rPr>
          <w:rFonts w:ascii="Arial" w:hAnsi="Arial"/>
          <w:b/>
          <w:spacing w:val="-5"/>
          <w:sz w:val="21"/>
        </w:rPr>
        <w:t xml:space="preserve"> </w:t>
      </w:r>
      <w:r>
        <w:rPr>
          <w:rFonts w:ascii="Arial" w:hAnsi="Arial"/>
          <w:b/>
          <w:sz w:val="21"/>
        </w:rPr>
        <w:t>2</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Out-of-</w:t>
      </w:r>
      <w:r>
        <w:rPr>
          <w:rFonts w:ascii="Arial" w:hAnsi="Arial"/>
          <w:b/>
          <w:spacing w:val="-2"/>
          <w:sz w:val="21"/>
        </w:rPr>
        <w:t>Network</w:t>
      </w:r>
    </w:p>
    <w:p>
      <w:pPr>
        <w:pStyle w:val="BodyText"/>
        <w:spacing w:before="120"/>
        <w:ind w:left="1224" w:right="1573"/>
      </w:pPr>
      <w:r>
        <w:t>In the first field, select “Yes” or “No” to the question “Is there a plan-level out-of-network OOP maximum?” If the answer is “Yes,” then enter in the second field the maximum</w:t>
      </w:r>
      <w:r>
        <w:rPr>
          <w:spacing w:val="-3"/>
        </w:rPr>
        <w:t xml:space="preserve"> </w:t>
      </w:r>
      <w:r>
        <w:t>total</w:t>
      </w:r>
      <w:r>
        <w:rPr>
          <w:spacing w:val="-3"/>
        </w:rPr>
        <w:t xml:space="preserve"> </w:t>
      </w:r>
      <w:r>
        <w:t>dollar</w:t>
      </w:r>
      <w:r>
        <w:rPr>
          <w:spacing w:val="-5"/>
        </w:rPr>
        <w:t xml:space="preserve"> </w:t>
      </w:r>
      <w:r>
        <w:t>amount</w:t>
      </w:r>
      <w:r>
        <w:rPr>
          <w:spacing w:val="-3"/>
        </w:rPr>
        <w:t xml:space="preserve"> </w:t>
      </w:r>
      <w:r>
        <w:t>that</w:t>
      </w:r>
      <w:r>
        <w:rPr>
          <w:spacing w:val="-3"/>
        </w:rPr>
        <w:t xml:space="preserve"> </w:t>
      </w:r>
      <w:r>
        <w:t>a</w:t>
      </w:r>
      <w:r>
        <w:rPr>
          <w:spacing w:val="-4"/>
        </w:rPr>
        <w:t xml:space="preserve"> </w:t>
      </w:r>
      <w:r>
        <w:t>member</w:t>
      </w:r>
      <w:r>
        <w:rPr>
          <w:spacing w:val="-3"/>
        </w:rPr>
        <w:t xml:space="preserve"> </w:t>
      </w:r>
      <w:r>
        <w:t>could</w:t>
      </w:r>
      <w:r>
        <w:rPr>
          <w:spacing w:val="-1"/>
        </w:rPr>
        <w:t xml:space="preserve"> </w:t>
      </w:r>
      <w:r>
        <w:t>pay</w:t>
      </w:r>
      <w:r>
        <w:rPr>
          <w:spacing w:val="-3"/>
        </w:rPr>
        <w:t xml:space="preserve"> </w:t>
      </w:r>
      <w:r>
        <w:t>for</w:t>
      </w:r>
      <w:r>
        <w:rPr>
          <w:spacing w:val="-5"/>
        </w:rPr>
        <w:t xml:space="preserve"> </w:t>
      </w:r>
      <w:r>
        <w:t>out-of-network</w:t>
      </w:r>
      <w:r>
        <w:rPr>
          <w:spacing w:val="-2"/>
        </w:rPr>
        <w:t xml:space="preserve"> </w:t>
      </w:r>
      <w:r>
        <w:t>cost</w:t>
      </w:r>
      <w:r>
        <w:rPr>
          <w:spacing w:val="-3"/>
        </w:rPr>
        <w:t xml:space="preserve"> </w:t>
      </w:r>
      <w:r>
        <w:t>sharing for the contract year. This dollar amount must match the dollar amount entered in the out-of-network maximum enrollee out-of-pocket cost field in the Plan Level Cost Sharing Section of the PBP.</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Line</w:t>
      </w:r>
      <w:r>
        <w:rPr>
          <w:rFonts w:ascii="Arial" w:hAnsi="Arial"/>
          <w:b/>
          <w:spacing w:val="-3"/>
          <w:sz w:val="21"/>
        </w:rPr>
        <w:t xml:space="preserve"> </w:t>
      </w:r>
      <w:r>
        <w:rPr>
          <w:rFonts w:ascii="Arial" w:hAnsi="Arial"/>
          <w:b/>
          <w:sz w:val="21"/>
        </w:rPr>
        <w:t>3</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pacing w:val="-2"/>
          <w:sz w:val="21"/>
        </w:rPr>
        <w:t>Combined</w:t>
      </w:r>
    </w:p>
    <w:p>
      <w:pPr>
        <w:pStyle w:val="BodyText"/>
        <w:spacing w:before="120"/>
        <w:ind w:left="1224" w:right="1481"/>
      </w:pPr>
      <w:r>
        <w:t>In</w:t>
      </w:r>
      <w:r>
        <w:rPr>
          <w:spacing w:val="-3"/>
        </w:rPr>
        <w:t xml:space="preserve"> </w:t>
      </w:r>
      <w:r>
        <w:t>the</w:t>
      </w:r>
      <w:r>
        <w:rPr>
          <w:spacing w:val="-2"/>
        </w:rPr>
        <w:t xml:space="preserve"> </w:t>
      </w:r>
      <w:r>
        <w:t>first</w:t>
      </w:r>
      <w:r>
        <w:rPr>
          <w:spacing w:val="-3"/>
        </w:rPr>
        <w:t xml:space="preserve"> </w:t>
      </w:r>
      <w:r>
        <w:t>field,</w:t>
      </w:r>
      <w:r>
        <w:rPr>
          <w:spacing w:val="-3"/>
        </w:rPr>
        <w:t xml:space="preserve"> </w:t>
      </w:r>
      <w:r>
        <w:t>select</w:t>
      </w:r>
      <w:r>
        <w:rPr>
          <w:spacing w:val="-2"/>
        </w:rPr>
        <w:t xml:space="preserve"> </w:t>
      </w:r>
      <w:r>
        <w:t>“Yes”</w:t>
      </w:r>
      <w:r>
        <w:rPr>
          <w:spacing w:val="-4"/>
        </w:rPr>
        <w:t xml:space="preserve"> </w:t>
      </w:r>
      <w:r>
        <w:t>or</w:t>
      </w:r>
      <w:r>
        <w:rPr>
          <w:spacing w:val="-2"/>
        </w:rPr>
        <w:t xml:space="preserve"> </w:t>
      </w:r>
      <w:r>
        <w:t>“No”</w:t>
      </w:r>
      <w:r>
        <w:rPr>
          <w:spacing w:val="-4"/>
        </w:rPr>
        <w:t xml:space="preserve"> </w:t>
      </w:r>
      <w:r>
        <w:t>to</w:t>
      </w:r>
      <w:r>
        <w:rPr>
          <w:spacing w:val="-3"/>
        </w:rPr>
        <w:t xml:space="preserve"> </w:t>
      </w:r>
      <w:r>
        <w:t>the</w:t>
      </w:r>
      <w:r>
        <w:rPr>
          <w:spacing w:val="-4"/>
        </w:rPr>
        <w:t xml:space="preserve"> </w:t>
      </w:r>
      <w:r>
        <w:t>question</w:t>
      </w:r>
      <w:r>
        <w:rPr>
          <w:spacing w:val="-3"/>
        </w:rPr>
        <w:t xml:space="preserve"> </w:t>
      </w:r>
      <w:r>
        <w:t>“Is</w:t>
      </w:r>
      <w:r>
        <w:rPr>
          <w:spacing w:val="-4"/>
        </w:rPr>
        <w:t xml:space="preserve"> </w:t>
      </w:r>
      <w:r>
        <w:t>there</w:t>
      </w:r>
      <w:r>
        <w:rPr>
          <w:spacing w:val="-4"/>
        </w:rPr>
        <w:t xml:space="preserve"> </w:t>
      </w:r>
      <w:r>
        <w:t>a</w:t>
      </w:r>
      <w:r>
        <w:rPr>
          <w:spacing w:val="-4"/>
        </w:rPr>
        <w:t xml:space="preserve"> </w:t>
      </w:r>
      <w:r>
        <w:t>plan-level</w:t>
      </w:r>
      <w:r>
        <w:rPr>
          <w:spacing w:val="-3"/>
        </w:rPr>
        <w:t xml:space="preserve"> </w:t>
      </w:r>
      <w:r>
        <w:t>combined OOP maximum?” If the answer is “Yes,” then enter in the second field one of the following amounts:</w:t>
      </w:r>
    </w:p>
    <w:p>
      <w:pPr>
        <w:pStyle w:val="ListParagraph"/>
        <w:numPr>
          <w:ilvl w:val="1"/>
          <w:numId w:val="43"/>
        </w:numPr>
        <w:tabs>
          <w:tab w:val="left" w:pos="1584"/>
        </w:tabs>
        <w:spacing w:before="121" w:after="0" w:line="240" w:lineRule="auto"/>
        <w:ind w:left="1584" w:right="1700" w:hanging="360"/>
        <w:jc w:val="left"/>
        <w:rPr>
          <w:sz w:val="24"/>
        </w:rPr>
      </w:pPr>
      <w:r>
        <w:rPr>
          <w:sz w:val="24"/>
        </w:rPr>
        <w:t>For non-network PFFS plans, the maximum total dollar amount that a member could</w:t>
      </w:r>
      <w:r>
        <w:rPr>
          <w:spacing w:val="-3"/>
          <w:sz w:val="24"/>
        </w:rPr>
        <w:t xml:space="preserve"> </w:t>
      </w:r>
      <w:r>
        <w:rPr>
          <w:sz w:val="24"/>
        </w:rPr>
        <w:t>pay</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contract</w:t>
      </w:r>
      <w:r>
        <w:rPr>
          <w:spacing w:val="-1"/>
          <w:sz w:val="24"/>
        </w:rPr>
        <w:t xml:space="preserve"> </w:t>
      </w:r>
      <w:r>
        <w:rPr>
          <w:sz w:val="24"/>
        </w:rPr>
        <w:t>year</w:t>
      </w:r>
      <w:r>
        <w:rPr>
          <w:spacing w:val="-3"/>
          <w:sz w:val="24"/>
        </w:rPr>
        <w:t xml:space="preserve"> </w:t>
      </w:r>
      <w:r>
        <w:rPr>
          <w:sz w:val="24"/>
        </w:rPr>
        <w:t>for</w:t>
      </w:r>
      <w:r>
        <w:rPr>
          <w:spacing w:val="-3"/>
          <w:sz w:val="24"/>
        </w:rPr>
        <w:t xml:space="preserve"> </w:t>
      </w:r>
      <w:r>
        <w:rPr>
          <w:sz w:val="24"/>
        </w:rPr>
        <w:t>cost</w:t>
      </w:r>
      <w:r>
        <w:rPr>
          <w:spacing w:val="-3"/>
          <w:sz w:val="24"/>
        </w:rPr>
        <w:t xml:space="preserve"> </w:t>
      </w:r>
      <w:r>
        <w:rPr>
          <w:sz w:val="24"/>
        </w:rPr>
        <w:t>sharing.</w:t>
      </w:r>
      <w:r>
        <w:rPr>
          <w:spacing w:val="-3"/>
          <w:sz w:val="24"/>
        </w:rPr>
        <w:t xml:space="preserve"> </w:t>
      </w:r>
      <w:r>
        <w:rPr>
          <w:sz w:val="24"/>
        </w:rPr>
        <w:t>This</w:t>
      </w:r>
      <w:r>
        <w:rPr>
          <w:spacing w:val="-4"/>
          <w:sz w:val="24"/>
        </w:rPr>
        <w:t xml:space="preserve"> </w:t>
      </w:r>
      <w:r>
        <w:rPr>
          <w:sz w:val="24"/>
        </w:rPr>
        <w:t>dollar</w:t>
      </w:r>
      <w:r>
        <w:rPr>
          <w:spacing w:val="-5"/>
          <w:sz w:val="24"/>
        </w:rPr>
        <w:t xml:space="preserve"> </w:t>
      </w:r>
      <w:r>
        <w:rPr>
          <w:sz w:val="24"/>
        </w:rPr>
        <w:t>amount</w:t>
      </w:r>
      <w:r>
        <w:rPr>
          <w:spacing w:val="-3"/>
          <w:sz w:val="24"/>
        </w:rPr>
        <w:t xml:space="preserve"> </w:t>
      </w:r>
      <w:r>
        <w:rPr>
          <w:sz w:val="24"/>
        </w:rPr>
        <w:t>must</w:t>
      </w:r>
      <w:r>
        <w:rPr>
          <w:spacing w:val="-2"/>
          <w:sz w:val="24"/>
        </w:rPr>
        <w:t xml:space="preserve"> </w:t>
      </w:r>
      <w:r>
        <w:rPr>
          <w:sz w:val="24"/>
        </w:rPr>
        <w:t>match</w:t>
      </w:r>
      <w:r>
        <w:rPr>
          <w:spacing w:val="-3"/>
          <w:sz w:val="24"/>
        </w:rPr>
        <w:t xml:space="preserve"> </w:t>
      </w:r>
      <w:r>
        <w:rPr>
          <w:sz w:val="24"/>
        </w:rPr>
        <w:t>the dollar amount entered in the non-network maximum enrollee out-of-pocket cost field in the Plan Level Cost Sharing Section of the PBP.</w:t>
      </w:r>
    </w:p>
    <w:p>
      <w:pPr>
        <w:pStyle w:val="ListParagraph"/>
        <w:numPr>
          <w:ilvl w:val="1"/>
          <w:numId w:val="43"/>
        </w:numPr>
        <w:tabs>
          <w:tab w:val="left" w:pos="1584"/>
        </w:tabs>
        <w:spacing w:before="0" w:after="0" w:line="240" w:lineRule="auto"/>
        <w:ind w:left="1584" w:right="1567" w:hanging="360"/>
        <w:jc w:val="left"/>
        <w:rPr>
          <w:sz w:val="24"/>
        </w:rPr>
      </w:pPr>
      <w:r>
        <w:rPr>
          <w:sz w:val="24"/>
        </w:rPr>
        <w:t>For other plans, the maximum total dollar amount that a member could pay in the contract</w:t>
      </w:r>
      <w:r>
        <w:rPr>
          <w:spacing w:val="-3"/>
          <w:sz w:val="24"/>
        </w:rPr>
        <w:t xml:space="preserve"> </w:t>
      </w:r>
      <w:r>
        <w:rPr>
          <w:sz w:val="24"/>
        </w:rPr>
        <w:t>year</w:t>
      </w:r>
      <w:r>
        <w:rPr>
          <w:spacing w:val="-3"/>
          <w:sz w:val="24"/>
        </w:rPr>
        <w:t xml:space="preserve"> </w:t>
      </w:r>
      <w:r>
        <w:rPr>
          <w:sz w:val="24"/>
        </w:rPr>
        <w:t>for</w:t>
      </w:r>
      <w:r>
        <w:rPr>
          <w:spacing w:val="-3"/>
          <w:sz w:val="24"/>
        </w:rPr>
        <w:t xml:space="preserve"> </w:t>
      </w:r>
      <w:r>
        <w:rPr>
          <w:sz w:val="24"/>
        </w:rPr>
        <w:t>cost</w:t>
      </w:r>
      <w:r>
        <w:rPr>
          <w:spacing w:val="-3"/>
          <w:sz w:val="24"/>
        </w:rPr>
        <w:t xml:space="preserve"> </w:t>
      </w:r>
      <w:r>
        <w:rPr>
          <w:sz w:val="24"/>
        </w:rPr>
        <w:t>sharing</w:t>
      </w:r>
      <w:r>
        <w:rPr>
          <w:spacing w:val="-3"/>
          <w:sz w:val="24"/>
        </w:rPr>
        <w:t xml:space="preserve"> </w:t>
      </w:r>
      <w:r>
        <w:rPr>
          <w:sz w:val="24"/>
        </w:rPr>
        <w:t>both</w:t>
      </w:r>
      <w:r>
        <w:rPr>
          <w:spacing w:val="-3"/>
          <w:sz w:val="24"/>
        </w:rPr>
        <w:t xml:space="preserve"> </w:t>
      </w:r>
      <w:r>
        <w:rPr>
          <w:sz w:val="24"/>
        </w:rPr>
        <w:t>in-</w:t>
      </w:r>
      <w:r>
        <w:rPr>
          <w:spacing w:val="-4"/>
          <w:sz w:val="24"/>
        </w:rPr>
        <w:t xml:space="preserve"> </w:t>
      </w:r>
      <w:r>
        <w:rPr>
          <w:sz w:val="24"/>
        </w:rPr>
        <w:t>and</w:t>
      </w:r>
      <w:r>
        <w:rPr>
          <w:spacing w:val="-3"/>
          <w:sz w:val="24"/>
        </w:rPr>
        <w:t xml:space="preserve"> </w:t>
      </w:r>
      <w:r>
        <w:rPr>
          <w:sz w:val="24"/>
        </w:rPr>
        <w:t>out-of-network.</w:t>
      </w:r>
      <w:r>
        <w:rPr>
          <w:spacing w:val="-3"/>
          <w:sz w:val="24"/>
        </w:rPr>
        <w:t xml:space="preserve"> </w:t>
      </w:r>
      <w:r>
        <w:rPr>
          <w:sz w:val="24"/>
        </w:rPr>
        <w:t>This</w:t>
      </w:r>
      <w:r>
        <w:rPr>
          <w:spacing w:val="-4"/>
          <w:sz w:val="24"/>
        </w:rPr>
        <w:t xml:space="preserve"> </w:t>
      </w:r>
      <w:r>
        <w:rPr>
          <w:sz w:val="24"/>
        </w:rPr>
        <w:t>dollar</w:t>
      </w:r>
      <w:r>
        <w:rPr>
          <w:spacing w:val="-3"/>
          <w:sz w:val="24"/>
        </w:rPr>
        <w:t xml:space="preserve"> </w:t>
      </w:r>
      <w:r>
        <w:rPr>
          <w:sz w:val="24"/>
        </w:rPr>
        <w:t>amount</w:t>
      </w:r>
      <w:r>
        <w:rPr>
          <w:spacing w:val="-3"/>
          <w:sz w:val="24"/>
        </w:rPr>
        <w:t xml:space="preserve"> </w:t>
      </w:r>
      <w:r>
        <w:rPr>
          <w:sz w:val="24"/>
        </w:rPr>
        <w:t>must match the dollar amount entered in the combined (in-network and out-of-network)</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BodyText"/>
        <w:ind w:left="1584" w:right="1619"/>
      </w:pPr>
      <w:r>
        <w:t>maximum</w:t>
      </w:r>
      <w:r>
        <w:rPr>
          <w:spacing w:val="-4"/>
        </w:rPr>
        <w:t xml:space="preserve"> </w:t>
      </w:r>
      <w:r>
        <w:t>enrollee</w:t>
      </w:r>
      <w:r>
        <w:rPr>
          <w:spacing w:val="-5"/>
        </w:rPr>
        <w:t xml:space="preserve"> </w:t>
      </w:r>
      <w:r>
        <w:t>out-of-pocket</w:t>
      </w:r>
      <w:r>
        <w:rPr>
          <w:spacing w:val="-4"/>
        </w:rPr>
        <w:t xml:space="preserve"> </w:t>
      </w:r>
      <w:r>
        <w:t>cost</w:t>
      </w:r>
      <w:r>
        <w:rPr>
          <w:spacing w:val="-4"/>
        </w:rPr>
        <w:t xml:space="preserve"> </w:t>
      </w:r>
      <w:r>
        <w:t>field</w:t>
      </w:r>
      <w:r>
        <w:rPr>
          <w:spacing w:val="-4"/>
        </w:rPr>
        <w:t xml:space="preserve"> </w:t>
      </w:r>
      <w:r>
        <w:t>in</w:t>
      </w:r>
      <w:r>
        <w:rPr>
          <w:spacing w:val="-4"/>
        </w:rPr>
        <w:t xml:space="preserve"> </w:t>
      </w:r>
      <w:r>
        <w:t>the</w:t>
      </w:r>
      <w:r>
        <w:rPr>
          <w:spacing w:val="-3"/>
        </w:rPr>
        <w:t xml:space="preserve"> </w:t>
      </w:r>
      <w:r>
        <w:t>Plan</w:t>
      </w:r>
      <w:r>
        <w:rPr>
          <w:spacing w:val="-4"/>
        </w:rPr>
        <w:t xml:space="preserve"> </w:t>
      </w:r>
      <w:r>
        <w:t>Level</w:t>
      </w:r>
      <w:r>
        <w:rPr>
          <w:spacing w:val="-4"/>
        </w:rPr>
        <w:t xml:space="preserve"> </w:t>
      </w:r>
      <w:r>
        <w:t>Cost</w:t>
      </w:r>
      <w:r>
        <w:rPr>
          <w:spacing w:val="-4"/>
        </w:rPr>
        <w:t xml:space="preserve"> </w:t>
      </w:r>
      <w:r>
        <w:t>Sharing</w:t>
      </w:r>
      <w:r>
        <w:rPr>
          <w:spacing w:val="-4"/>
        </w:rPr>
        <w:t xml:space="preserve"> </w:t>
      </w:r>
      <w:r>
        <w:t>Section of</w:t>
      </w:r>
      <w:r>
        <w:rPr>
          <w:spacing w:val="-3"/>
        </w:rPr>
        <w:t xml:space="preserve"> </w:t>
      </w:r>
      <w:r>
        <w:t>the</w:t>
      </w:r>
      <w:r>
        <w:rPr>
          <w:spacing w:val="-3"/>
        </w:rPr>
        <w:t xml:space="preserve"> </w:t>
      </w:r>
      <w:r>
        <w:t>PBP.</w:t>
      </w:r>
      <w:r>
        <w:rPr>
          <w:spacing w:val="-1"/>
        </w:rPr>
        <w:t xml:space="preserve"> </w:t>
      </w:r>
      <w:r>
        <w:t>Do</w:t>
      </w:r>
      <w:r>
        <w:rPr>
          <w:spacing w:val="-1"/>
        </w:rPr>
        <w:t xml:space="preserve"> </w:t>
      </w:r>
      <w:r>
        <w:t>not</w:t>
      </w:r>
      <w:r>
        <w:rPr>
          <w:spacing w:val="-1"/>
        </w:rPr>
        <w:t xml:space="preserve"> </w:t>
      </w:r>
      <w:r>
        <w:t>sum separate</w:t>
      </w:r>
      <w:r>
        <w:rPr>
          <w:spacing w:val="-2"/>
        </w:rPr>
        <w:t xml:space="preserve"> </w:t>
      </w:r>
      <w:r>
        <w:t>in-network and</w:t>
      </w:r>
      <w:r>
        <w:rPr>
          <w:spacing w:val="-1"/>
        </w:rPr>
        <w:t xml:space="preserve"> </w:t>
      </w:r>
      <w:r>
        <w:t xml:space="preserve">out-of-network OOP </w:t>
      </w:r>
      <w:r>
        <w:rPr>
          <w:spacing w:val="-2"/>
        </w:rPr>
        <w:t>maximums.</w:t>
      </w:r>
    </w:p>
    <w:p>
      <w:pPr>
        <w:pStyle w:val="BodyText"/>
        <w:spacing w:before="45"/>
        <w:ind w:left="0"/>
      </w:pPr>
    </w:p>
    <w:p>
      <w:pPr>
        <w:pStyle w:val="Heading2"/>
        <w:ind w:right="1481"/>
      </w:pPr>
      <w:bookmarkStart w:id="180" w:name="Section III – Development of Contract Ye"/>
      <w:bookmarkEnd w:id="180"/>
      <w:bookmarkStart w:id="181" w:name="_bookmark55"/>
      <w:bookmarkEnd w:id="181"/>
      <w:r>
        <w:rPr>
          <w:smallCaps/>
        </w:rPr>
        <w:t>Section III</w:t>
      </w:r>
      <w:r>
        <w:rPr>
          <w:smallCaps/>
          <w:spacing w:val="-15"/>
        </w:rPr>
        <w:t xml:space="preserve"> </w:t>
      </w:r>
      <w:r>
        <w:rPr>
          <w:smallCaps/>
        </w:rPr>
        <w:t>–</w:t>
      </w:r>
      <w:r>
        <w:rPr>
          <w:smallCaps/>
          <w:spacing w:val="-15"/>
        </w:rPr>
        <w:t xml:space="preserve"> </w:t>
      </w:r>
      <w:r>
        <w:rPr>
          <w:smallCaps/>
        </w:rPr>
        <w:t>Development of Contract Year Cost Sharing</w:t>
      </w:r>
      <w:r>
        <w:rPr>
          <w:smallCaps/>
          <w:spacing w:val="-1"/>
        </w:rPr>
        <w:t xml:space="preserve"> </w:t>
      </w:r>
      <w:r>
        <w:rPr>
          <w:smallCaps/>
        </w:rPr>
        <w:t>PMPM</w:t>
      </w:r>
      <w:r>
        <w:rPr>
          <w:smallCaps/>
          <w:spacing w:val="-14"/>
        </w:rPr>
        <w:t xml:space="preserve"> </w:t>
      </w:r>
      <w:r>
        <w:rPr>
          <w:smallCaps/>
        </w:rPr>
        <w:t>(Plan’s Risk Factor)</w:t>
      </w:r>
    </w:p>
    <w:p>
      <w:pPr>
        <w:pStyle w:val="BodyText"/>
        <w:spacing w:before="178"/>
      </w:pPr>
      <w:r>
        <w:t>Section</w:t>
      </w:r>
      <w:r>
        <w:rPr>
          <w:spacing w:val="-1"/>
        </w:rPr>
        <w:t xml:space="preserve"> </w:t>
      </w:r>
      <w:r>
        <w:t>III</w:t>
      </w:r>
      <w:r>
        <w:rPr>
          <w:spacing w:val="-3"/>
        </w:rPr>
        <w:t xml:space="preserve"> </w:t>
      </w:r>
      <w:r>
        <w:t>summarizes</w:t>
      </w:r>
      <w:r>
        <w:rPr>
          <w:spacing w:val="-2"/>
        </w:rPr>
        <w:t xml:space="preserve"> </w:t>
      </w:r>
      <w:r>
        <w:t>the</w:t>
      </w:r>
      <w:r>
        <w:rPr>
          <w:spacing w:val="-1"/>
        </w:rPr>
        <w:t xml:space="preserve"> </w:t>
      </w:r>
      <w:r>
        <w:t>cost</w:t>
      </w:r>
      <w:r>
        <w:rPr>
          <w:spacing w:val="-1"/>
        </w:rPr>
        <w:t xml:space="preserve"> </w:t>
      </w:r>
      <w:r>
        <w:t>sharing</w:t>
      </w:r>
      <w:r>
        <w:rPr>
          <w:spacing w:val="-1"/>
        </w:rPr>
        <w:t xml:space="preserve"> </w:t>
      </w:r>
      <w:r>
        <w:t>for</w:t>
      </w:r>
      <w:r>
        <w:rPr>
          <w:spacing w:val="-1"/>
        </w:rPr>
        <w:t xml:space="preserve"> </w:t>
      </w:r>
      <w:r>
        <w:t>all</w:t>
      </w:r>
      <w:r>
        <w:rPr>
          <w:spacing w:val="-1"/>
        </w:rPr>
        <w:t xml:space="preserve"> </w:t>
      </w:r>
      <w:r>
        <w:t>services</w:t>
      </w:r>
      <w:r>
        <w:rPr>
          <w:spacing w:val="-2"/>
        </w:rPr>
        <w:t xml:space="preserve"> </w:t>
      </w:r>
      <w:r>
        <w:t>included</w:t>
      </w:r>
      <w:r>
        <w:rPr>
          <w:spacing w:val="-1"/>
        </w:rPr>
        <w:t xml:space="preserve"> </w:t>
      </w:r>
      <w:r>
        <w:t>in</w:t>
      </w:r>
      <w:r>
        <w:rPr>
          <w:spacing w:val="-1"/>
        </w:rPr>
        <w:t xml:space="preserve"> </w:t>
      </w:r>
      <w:r>
        <w:t xml:space="preserve">the </w:t>
      </w:r>
      <w:r>
        <w:rPr>
          <w:spacing w:val="-4"/>
        </w:rPr>
        <w:t>PBP.</w:t>
      </w:r>
    </w:p>
    <w:p>
      <w:pPr>
        <w:pStyle w:val="BodyText"/>
        <w:spacing w:before="120"/>
      </w:pPr>
      <w:r>
        <w:t>The</w:t>
      </w:r>
      <w:r>
        <w:rPr>
          <w:spacing w:val="-3"/>
        </w:rPr>
        <w:t xml:space="preserve"> </w:t>
      </w:r>
      <w:r>
        <w:t>service</w:t>
      </w:r>
      <w:r>
        <w:rPr>
          <w:spacing w:val="-2"/>
        </w:rPr>
        <w:t xml:space="preserve"> </w:t>
      </w:r>
      <w:r>
        <w:t>categories</w:t>
      </w:r>
      <w:r>
        <w:rPr>
          <w:spacing w:val="-1"/>
        </w:rPr>
        <w:t xml:space="preserve"> </w:t>
      </w:r>
      <w:r>
        <w:t>are</w:t>
      </w:r>
      <w:r>
        <w:rPr>
          <w:spacing w:val="-2"/>
        </w:rPr>
        <w:t xml:space="preserve"> </w:t>
      </w:r>
      <w:r>
        <w:t>the</w:t>
      </w:r>
      <w:r>
        <w:rPr>
          <w:spacing w:val="-1"/>
        </w:rPr>
        <w:t xml:space="preserve"> </w:t>
      </w:r>
      <w:r>
        <w:t>same as</w:t>
      </w:r>
      <w:r>
        <w:rPr>
          <w:spacing w:val="-2"/>
        </w:rPr>
        <w:t xml:space="preserve"> </w:t>
      </w:r>
      <w:r>
        <w:t>presented</w:t>
      </w:r>
      <w:r>
        <w:rPr>
          <w:spacing w:val="-1"/>
        </w:rPr>
        <w:t xml:space="preserve"> </w:t>
      </w:r>
      <w:r>
        <w:t>in previous</w:t>
      </w:r>
      <w:r>
        <w:rPr>
          <w:spacing w:val="-2"/>
        </w:rPr>
        <w:t xml:space="preserve"> </w:t>
      </w:r>
      <w:r>
        <w:t>worksheets,</w:t>
      </w:r>
      <w:r>
        <w:rPr>
          <w:spacing w:val="-1"/>
        </w:rPr>
        <w:t xml:space="preserve"> </w:t>
      </w:r>
      <w:r>
        <w:t xml:space="preserve">except </w:t>
      </w:r>
      <w:r>
        <w:rPr>
          <w:spacing w:val="-4"/>
        </w:rPr>
        <w:t>that</w:t>
      </w:r>
    </w:p>
    <w:p>
      <w:pPr>
        <w:pStyle w:val="BodyText"/>
        <w:ind w:right="1504"/>
      </w:pPr>
      <w:r>
        <w:t>line r (COB) has been omitted. Please note that for some service categories (for example, “Inpatient Facility”), there is more than one cost-sharing line available. A number of lines allow</w:t>
      </w:r>
      <w:r>
        <w:rPr>
          <w:spacing w:val="-1"/>
        </w:rPr>
        <w:t xml:space="preserve"> </w:t>
      </w:r>
      <w:r>
        <w:t>you to enter</w:t>
      </w:r>
      <w:r>
        <w:rPr>
          <w:spacing w:val="-2"/>
        </w:rPr>
        <w:t xml:space="preserve"> </w:t>
      </w:r>
      <w:r>
        <w:t>multiple cost-sharing items</w:t>
      </w:r>
      <w:r>
        <w:rPr>
          <w:spacing w:val="-1"/>
        </w:rPr>
        <w:t xml:space="preserve"> </w:t>
      </w:r>
      <w:r>
        <w:t>in a service category to better match the</w:t>
      </w:r>
      <w:r>
        <w:rPr>
          <w:spacing w:val="-1"/>
        </w:rPr>
        <w:t xml:space="preserve"> </w:t>
      </w:r>
      <w:r>
        <w:t>PBP. In addition</w:t>
      </w:r>
      <w:r>
        <w:rPr>
          <w:spacing w:val="-2"/>
        </w:rPr>
        <w:t xml:space="preserve"> </w:t>
      </w:r>
      <w:r>
        <w:t>to</w:t>
      </w:r>
      <w:r>
        <w:rPr>
          <w:spacing w:val="-2"/>
        </w:rPr>
        <w:t xml:space="preserve"> </w:t>
      </w:r>
      <w:r>
        <w:t>the</w:t>
      </w:r>
      <w:r>
        <w:rPr>
          <w:spacing w:val="-2"/>
        </w:rPr>
        <w:t xml:space="preserve"> </w:t>
      </w:r>
      <w:r>
        <w:t>lines</w:t>
      </w:r>
      <w:r>
        <w:rPr>
          <w:spacing w:val="-3"/>
        </w:rPr>
        <w:t xml:space="preserve"> </w:t>
      </w:r>
      <w:r>
        <w:t>presented,</w:t>
      </w:r>
      <w:r>
        <w:rPr>
          <w:spacing w:val="-2"/>
        </w:rPr>
        <w:t xml:space="preserve"> </w:t>
      </w:r>
      <w:r>
        <w:t>you</w:t>
      </w:r>
      <w:r>
        <w:rPr>
          <w:spacing w:val="-2"/>
        </w:rPr>
        <w:t xml:space="preserve"> </w:t>
      </w:r>
      <w:r>
        <w:t>may</w:t>
      </w:r>
      <w:r>
        <w:rPr>
          <w:spacing w:val="-2"/>
        </w:rPr>
        <w:t xml:space="preserve"> </w:t>
      </w:r>
      <w:r>
        <w:t>also</w:t>
      </w:r>
      <w:r>
        <w:rPr>
          <w:spacing w:val="-2"/>
        </w:rPr>
        <w:t xml:space="preserve"> </w:t>
      </w:r>
      <w:r>
        <w:t>use</w:t>
      </w:r>
      <w:r>
        <w:rPr>
          <w:spacing w:val="-3"/>
        </w:rPr>
        <w:t xml:space="preserve"> </w:t>
      </w:r>
      <w:r>
        <w:t>the</w:t>
      </w:r>
      <w:r>
        <w:rPr>
          <w:spacing w:val="-3"/>
        </w:rPr>
        <w:t xml:space="preserve"> </w:t>
      </w:r>
      <w:r>
        <w:t>ten</w:t>
      </w:r>
      <w:r>
        <w:rPr>
          <w:spacing w:val="-2"/>
        </w:rPr>
        <w:t xml:space="preserve"> </w:t>
      </w:r>
      <w:r>
        <w:t>blank</w:t>
      </w:r>
      <w:r>
        <w:rPr>
          <w:spacing w:val="-2"/>
        </w:rPr>
        <w:t xml:space="preserve"> </w:t>
      </w:r>
      <w:r>
        <w:t>lines</w:t>
      </w:r>
      <w:r>
        <w:rPr>
          <w:spacing w:val="-3"/>
        </w:rPr>
        <w:t xml:space="preserve"> </w:t>
      </w:r>
      <w:r>
        <w:t>at</w:t>
      </w:r>
      <w:r>
        <w:rPr>
          <w:spacing w:val="-2"/>
        </w:rPr>
        <w:t xml:space="preserve"> </w:t>
      </w:r>
      <w:r>
        <w:t>the</w:t>
      </w:r>
      <w:r>
        <w:rPr>
          <w:spacing w:val="-3"/>
        </w:rPr>
        <w:t xml:space="preserve"> </w:t>
      </w:r>
      <w:r>
        <w:t>bottom</w:t>
      </w:r>
      <w:r>
        <w:rPr>
          <w:spacing w:val="-2"/>
        </w:rPr>
        <w:t xml:space="preserve"> </w:t>
      </w:r>
      <w:r>
        <w:t>of</w:t>
      </w:r>
      <w:r>
        <w:rPr>
          <w:spacing w:val="-2"/>
        </w:rPr>
        <w:t xml:space="preserve"> </w:t>
      </w:r>
      <w:r>
        <w:t>the</w:t>
      </w:r>
      <w:r>
        <w:rPr>
          <w:spacing w:val="-3"/>
        </w:rPr>
        <w:t xml:space="preserve"> </w:t>
      </w:r>
      <w:r>
        <w:t>section to include additional cost-sharing items that do not fit into an already defined service category line item. Do not insert any additional rows.</w:t>
      </w:r>
    </w:p>
    <w:p>
      <w:pPr>
        <w:pStyle w:val="BodyText"/>
        <w:spacing w:before="121"/>
        <w:ind w:right="1481"/>
      </w:pPr>
      <w:r>
        <w:t>The</w:t>
      </w:r>
      <w:r>
        <w:rPr>
          <w:spacing w:val="-6"/>
        </w:rPr>
        <w:t xml:space="preserve"> </w:t>
      </w:r>
      <w:r>
        <w:t>BPT</w:t>
      </w:r>
      <w:r>
        <w:rPr>
          <w:spacing w:val="-4"/>
        </w:rPr>
        <w:t xml:space="preserve"> </w:t>
      </w:r>
      <w:r>
        <w:t>allows</w:t>
      </w:r>
      <w:r>
        <w:rPr>
          <w:spacing w:val="-5"/>
        </w:rPr>
        <w:t xml:space="preserve"> </w:t>
      </w:r>
      <w:r>
        <w:t>for</w:t>
      </w:r>
      <w:r>
        <w:rPr>
          <w:spacing w:val="-4"/>
        </w:rPr>
        <w:t xml:space="preserve"> </w:t>
      </w:r>
      <w:r>
        <w:t>flexibility</w:t>
      </w:r>
      <w:r>
        <w:rPr>
          <w:spacing w:val="-4"/>
        </w:rPr>
        <w:t xml:space="preserve"> </w:t>
      </w:r>
      <w:r>
        <w:t>in</w:t>
      </w:r>
      <w:r>
        <w:rPr>
          <w:spacing w:val="-4"/>
        </w:rPr>
        <w:t xml:space="preserve"> </w:t>
      </w:r>
      <w:r>
        <w:t>entering</w:t>
      </w:r>
      <w:r>
        <w:rPr>
          <w:spacing w:val="-4"/>
        </w:rPr>
        <w:t xml:space="preserve"> </w:t>
      </w:r>
      <w:r>
        <w:t>cost-sharing</w:t>
      </w:r>
      <w:r>
        <w:rPr>
          <w:spacing w:val="-4"/>
        </w:rPr>
        <w:t xml:space="preserve"> </w:t>
      </w:r>
      <w:r>
        <w:t>information.</w:t>
      </w:r>
      <w:r>
        <w:rPr>
          <w:spacing w:val="-4"/>
        </w:rPr>
        <w:t xml:space="preserve"> </w:t>
      </w:r>
      <w:r>
        <w:t>Following</w:t>
      </w:r>
      <w:r>
        <w:rPr>
          <w:spacing w:val="-4"/>
        </w:rPr>
        <w:t xml:space="preserve"> </w:t>
      </w:r>
      <w:r>
        <w:t>are</w:t>
      </w:r>
      <w:r>
        <w:rPr>
          <w:spacing w:val="-6"/>
        </w:rPr>
        <w:t xml:space="preserve"> </w:t>
      </w:r>
      <w:r>
        <w:t xml:space="preserve">some </w:t>
      </w:r>
      <w:r>
        <w:rPr>
          <w:spacing w:val="-2"/>
        </w:rPr>
        <w:t>examples:</w:t>
      </w:r>
    </w:p>
    <w:p>
      <w:pPr>
        <w:pStyle w:val="BodyText"/>
        <w:spacing w:before="120"/>
        <w:ind w:left="1224" w:right="1476"/>
      </w:pPr>
      <w:r>
        <w:rPr>
          <w:rFonts w:ascii="Arial"/>
          <w:b/>
          <w:sz w:val="21"/>
        </w:rPr>
        <w:t xml:space="preserve">Example 1: </w:t>
      </w:r>
      <w:r>
        <w:t>The PBP contains in-network inpatient cost sharing of $100 per day for both acute and psychiatric stays with no service-specific cost-sharing maximums. Assume that the total in-network inpatient utilization/1000 is 2,000 days, 1,900 of which are for acute stays and the remaining 100 for psychiatric stays. The projected impact</w:t>
      </w:r>
      <w:r>
        <w:rPr>
          <w:spacing w:val="-3"/>
        </w:rPr>
        <w:t xml:space="preserve"> </w:t>
      </w:r>
      <w:r>
        <w:t>of</w:t>
      </w:r>
      <w:r>
        <w:rPr>
          <w:spacing w:val="-3"/>
        </w:rPr>
        <w:t xml:space="preserve"> </w:t>
      </w:r>
      <w:r>
        <w:t>the</w:t>
      </w:r>
      <w:r>
        <w:rPr>
          <w:spacing w:val="-5"/>
        </w:rPr>
        <w:t xml:space="preserve"> </w:t>
      </w:r>
      <w:r>
        <w:t>plan-level</w:t>
      </w:r>
      <w:r>
        <w:rPr>
          <w:spacing w:val="-3"/>
        </w:rPr>
        <w:t xml:space="preserve"> </w:t>
      </w:r>
      <w:r>
        <w:t>in-network</w:t>
      </w:r>
      <w:r>
        <w:rPr>
          <w:spacing w:val="-4"/>
        </w:rPr>
        <w:t xml:space="preserve"> </w:t>
      </w:r>
      <w:r>
        <w:t>cost</w:t>
      </w:r>
      <w:r>
        <w:rPr>
          <w:spacing w:val="-3"/>
        </w:rPr>
        <w:t xml:space="preserve"> </w:t>
      </w:r>
      <w:r>
        <w:t>sharing</w:t>
      </w:r>
      <w:r>
        <w:rPr>
          <w:spacing w:val="-3"/>
        </w:rPr>
        <w:t xml:space="preserve"> </w:t>
      </w:r>
      <w:r>
        <w:t>maximum</w:t>
      </w:r>
      <w:r>
        <w:rPr>
          <w:spacing w:val="-3"/>
        </w:rPr>
        <w:t xml:space="preserve"> </w:t>
      </w:r>
      <w:r>
        <w:t>is</w:t>
      </w:r>
      <w:r>
        <w:rPr>
          <w:spacing w:val="-4"/>
        </w:rPr>
        <w:t xml:space="preserve"> </w:t>
      </w:r>
      <w:r>
        <w:t>$0.</w:t>
      </w:r>
      <w:r>
        <w:rPr>
          <w:spacing w:val="-3"/>
        </w:rPr>
        <w:t xml:space="preserve"> </w:t>
      </w:r>
      <w:r>
        <w:t>These</w:t>
      </w:r>
      <w:r>
        <w:rPr>
          <w:spacing w:val="-4"/>
        </w:rPr>
        <w:t xml:space="preserve"> </w:t>
      </w:r>
      <w:r>
        <w:t>figures</w:t>
      </w:r>
      <w:r>
        <w:rPr>
          <w:spacing w:val="-4"/>
        </w:rPr>
        <w:t xml:space="preserve"> </w:t>
      </w:r>
      <w:r>
        <w:t>could</w:t>
      </w:r>
      <w:r>
        <w:rPr>
          <w:spacing w:val="-3"/>
        </w:rPr>
        <w:t xml:space="preserve"> </w:t>
      </w:r>
      <w:r>
        <w:t>be reflected in the BPT in either of the following ways:</w:t>
      </w:r>
    </w:p>
    <w:p>
      <w:pPr>
        <w:spacing w:before="121"/>
        <w:ind w:left="1584" w:right="0" w:firstLine="0"/>
        <w:jc w:val="left"/>
        <w:rPr>
          <w:rFonts w:ascii="Arial"/>
          <w:b/>
          <w:i/>
          <w:sz w:val="21"/>
        </w:rPr>
      </w:pPr>
      <w:r>
        <w:rPr>
          <w:rFonts w:ascii="Arial"/>
          <w:b/>
          <w:i/>
          <w:sz w:val="21"/>
        </w:rPr>
        <w:t>Option</w:t>
      </w:r>
      <w:r>
        <w:rPr>
          <w:rFonts w:ascii="Arial"/>
          <w:b/>
          <w:i/>
          <w:spacing w:val="-7"/>
          <w:sz w:val="21"/>
        </w:rPr>
        <w:t xml:space="preserve"> </w:t>
      </w:r>
      <w:r>
        <w:rPr>
          <w:rFonts w:ascii="Arial"/>
          <w:b/>
          <w:i/>
          <w:spacing w:val="-5"/>
          <w:sz w:val="21"/>
        </w:rPr>
        <w:t>A:</w:t>
      </w:r>
    </w:p>
    <w:p>
      <w:pPr>
        <w:pStyle w:val="BodyText"/>
        <w:spacing w:before="9"/>
        <w:ind w:left="0"/>
        <w:rPr>
          <w:rFonts w:ascii="Arial"/>
          <w:b/>
          <w:i/>
          <w:sz w:val="7"/>
        </w:rPr>
      </w:pPr>
    </w:p>
    <w:tbl>
      <w:tblPr>
        <w:tblStyle w:val="TableNormal"/>
        <w:tblW w:w="0" w:type="auto"/>
        <w:jc w:val="left"/>
        <w:tblInd w:w="1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87"/>
        <w:gridCol w:w="1252"/>
        <w:gridCol w:w="1262"/>
        <w:gridCol w:w="1203"/>
      </w:tblGrid>
      <w:tr>
        <w:tblPrEx>
          <w:tblW w:w="0" w:type="auto"/>
          <w:jc w:val="left"/>
          <w:tblInd w:w="1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57"/>
          <w:jc w:val="left"/>
        </w:trPr>
        <w:tc>
          <w:tcPr>
            <w:tcW w:w="2887" w:type="dxa"/>
          </w:tcPr>
          <w:p>
            <w:pPr>
              <w:pStyle w:val="TableParagraph"/>
              <w:spacing w:line="238" w:lineRule="exact"/>
              <w:ind w:left="575"/>
              <w:rPr>
                <w:b/>
                <w:sz w:val="22"/>
              </w:rPr>
            </w:pPr>
            <w:r>
              <w:rPr>
                <w:b/>
                <w:sz w:val="22"/>
                <w:u w:val="single"/>
              </w:rPr>
              <w:t>Column</w:t>
            </w:r>
            <w:r>
              <w:rPr>
                <w:b/>
                <w:spacing w:val="-5"/>
                <w:sz w:val="22"/>
                <w:u w:val="single"/>
              </w:rPr>
              <w:t xml:space="preserve"> </w:t>
            </w:r>
            <w:r>
              <w:rPr>
                <w:b/>
                <w:spacing w:val="-10"/>
                <w:sz w:val="22"/>
                <w:u w:val="single"/>
              </w:rPr>
              <w:t>d</w:t>
            </w:r>
          </w:p>
        </w:tc>
        <w:tc>
          <w:tcPr>
            <w:tcW w:w="1252" w:type="dxa"/>
          </w:tcPr>
          <w:p>
            <w:pPr>
              <w:pStyle w:val="TableParagraph"/>
              <w:spacing w:line="238" w:lineRule="exact"/>
              <w:ind w:left="158"/>
              <w:rPr>
                <w:b/>
                <w:sz w:val="22"/>
              </w:rPr>
            </w:pPr>
            <w:r>
              <w:rPr>
                <w:b/>
                <w:sz w:val="22"/>
                <w:u w:val="single"/>
              </w:rPr>
              <w:t>Column</w:t>
            </w:r>
            <w:r>
              <w:rPr>
                <w:b/>
                <w:spacing w:val="-4"/>
                <w:sz w:val="22"/>
                <w:u w:val="single"/>
              </w:rPr>
              <w:t xml:space="preserve"> </w:t>
            </w:r>
            <w:r>
              <w:rPr>
                <w:b/>
                <w:spacing w:val="-10"/>
                <w:sz w:val="22"/>
                <w:u w:val="single"/>
              </w:rPr>
              <w:t>g</w:t>
            </w:r>
          </w:p>
        </w:tc>
        <w:tc>
          <w:tcPr>
            <w:tcW w:w="1262" w:type="dxa"/>
          </w:tcPr>
          <w:p>
            <w:pPr>
              <w:pStyle w:val="TableParagraph"/>
              <w:spacing w:line="238" w:lineRule="exact"/>
              <w:ind w:left="21" w:right="59"/>
              <w:jc w:val="center"/>
              <w:rPr>
                <w:b/>
                <w:sz w:val="22"/>
              </w:rPr>
            </w:pPr>
            <w:r>
              <w:rPr>
                <w:b/>
                <w:sz w:val="22"/>
                <w:u w:val="single"/>
              </w:rPr>
              <w:t>Column</w:t>
            </w:r>
            <w:r>
              <w:rPr>
                <w:b/>
                <w:spacing w:val="-7"/>
                <w:sz w:val="22"/>
                <w:u w:val="single"/>
              </w:rPr>
              <w:t xml:space="preserve"> </w:t>
            </w:r>
            <w:r>
              <w:rPr>
                <w:b/>
                <w:spacing w:val="-10"/>
                <w:sz w:val="22"/>
                <w:u w:val="single"/>
              </w:rPr>
              <w:t>j</w:t>
            </w:r>
          </w:p>
        </w:tc>
        <w:tc>
          <w:tcPr>
            <w:tcW w:w="1203" w:type="dxa"/>
          </w:tcPr>
          <w:p>
            <w:pPr>
              <w:pStyle w:val="TableParagraph"/>
              <w:spacing w:line="238" w:lineRule="exact"/>
              <w:ind w:left="166"/>
              <w:jc w:val="center"/>
              <w:rPr>
                <w:b/>
                <w:sz w:val="22"/>
              </w:rPr>
            </w:pPr>
            <w:r>
              <w:rPr>
                <w:b/>
                <w:sz w:val="22"/>
                <w:u w:val="single"/>
              </w:rPr>
              <w:t>Column</w:t>
            </w:r>
            <w:r>
              <w:rPr>
                <w:b/>
                <w:spacing w:val="-4"/>
                <w:sz w:val="22"/>
                <w:u w:val="single"/>
              </w:rPr>
              <w:t xml:space="preserve"> </w:t>
            </w:r>
            <w:r>
              <w:rPr>
                <w:b/>
                <w:spacing w:val="-10"/>
                <w:sz w:val="22"/>
                <w:u w:val="single"/>
              </w:rPr>
              <w:t>k</w:t>
            </w:r>
          </w:p>
        </w:tc>
      </w:tr>
      <w:tr>
        <w:tblPrEx>
          <w:tblW w:w="0" w:type="auto"/>
          <w:jc w:val="left"/>
          <w:tblInd w:w="1541" w:type="dxa"/>
          <w:tblLayout w:type="fixed"/>
          <w:tblCellMar>
            <w:top w:w="0" w:type="dxa"/>
            <w:left w:w="0" w:type="dxa"/>
            <w:bottom w:w="0" w:type="dxa"/>
            <w:right w:w="0" w:type="dxa"/>
          </w:tblCellMar>
          <w:tblLook w:val="01E0"/>
        </w:tblPrEx>
        <w:trPr>
          <w:trHeight w:val="261"/>
          <w:jc w:val="left"/>
        </w:trPr>
        <w:tc>
          <w:tcPr>
            <w:tcW w:w="2887" w:type="dxa"/>
          </w:tcPr>
          <w:p>
            <w:pPr>
              <w:pStyle w:val="TableParagraph"/>
              <w:spacing w:before="4" w:line="237" w:lineRule="exact"/>
              <w:ind w:left="575"/>
              <w:rPr>
                <w:sz w:val="22"/>
              </w:rPr>
            </w:pPr>
            <w:r>
              <w:rPr>
                <w:sz w:val="22"/>
              </w:rPr>
              <w:t>Line</w:t>
            </w:r>
            <w:r>
              <w:rPr>
                <w:spacing w:val="-1"/>
                <w:sz w:val="22"/>
              </w:rPr>
              <w:t xml:space="preserve"> </w:t>
            </w:r>
            <w:r>
              <w:rPr>
                <w:sz w:val="22"/>
              </w:rPr>
              <w:t>a1</w:t>
            </w:r>
            <w:r>
              <w:rPr>
                <w:spacing w:val="-1"/>
                <w:sz w:val="22"/>
              </w:rPr>
              <w:t xml:space="preserve"> </w:t>
            </w:r>
            <w:r>
              <w:rPr>
                <w:sz w:val="22"/>
              </w:rPr>
              <w:t xml:space="preserve">– </w:t>
            </w:r>
            <w:r>
              <w:rPr>
                <w:spacing w:val="-2"/>
                <w:sz w:val="22"/>
              </w:rPr>
              <w:t>Acute</w:t>
            </w:r>
          </w:p>
        </w:tc>
        <w:tc>
          <w:tcPr>
            <w:tcW w:w="1252" w:type="dxa"/>
          </w:tcPr>
          <w:p>
            <w:pPr>
              <w:pStyle w:val="TableParagraph"/>
              <w:spacing w:before="4" w:line="237" w:lineRule="exact"/>
              <w:ind w:left="430"/>
              <w:rPr>
                <w:sz w:val="22"/>
              </w:rPr>
            </w:pPr>
            <w:r>
              <w:rPr>
                <w:spacing w:val="-2"/>
                <w:sz w:val="22"/>
              </w:rPr>
              <w:t>1,900</w:t>
            </w:r>
          </w:p>
        </w:tc>
        <w:tc>
          <w:tcPr>
            <w:tcW w:w="1262" w:type="dxa"/>
          </w:tcPr>
          <w:p>
            <w:pPr>
              <w:pStyle w:val="TableParagraph"/>
              <w:spacing w:before="4" w:line="237" w:lineRule="exact"/>
              <w:ind w:right="59"/>
              <w:jc w:val="center"/>
              <w:rPr>
                <w:sz w:val="22"/>
              </w:rPr>
            </w:pPr>
            <w:r>
              <w:rPr>
                <w:spacing w:val="-2"/>
                <w:sz w:val="22"/>
              </w:rPr>
              <w:t>$100.00</w:t>
            </w:r>
          </w:p>
        </w:tc>
        <w:tc>
          <w:tcPr>
            <w:tcW w:w="1203" w:type="dxa"/>
          </w:tcPr>
          <w:p>
            <w:pPr>
              <w:pStyle w:val="TableParagraph"/>
              <w:spacing w:before="4" w:line="237" w:lineRule="exact"/>
              <w:ind w:left="229"/>
              <w:jc w:val="center"/>
              <w:rPr>
                <w:sz w:val="22"/>
              </w:rPr>
            </w:pPr>
            <w:r>
              <w:rPr>
                <w:spacing w:val="-2"/>
                <w:sz w:val="22"/>
              </w:rPr>
              <w:t>$15.83</w:t>
            </w:r>
          </w:p>
        </w:tc>
      </w:tr>
      <w:tr>
        <w:tblPrEx>
          <w:tblW w:w="0" w:type="auto"/>
          <w:jc w:val="left"/>
          <w:tblInd w:w="1541" w:type="dxa"/>
          <w:tblLayout w:type="fixed"/>
          <w:tblCellMar>
            <w:top w:w="0" w:type="dxa"/>
            <w:left w:w="0" w:type="dxa"/>
            <w:bottom w:w="0" w:type="dxa"/>
            <w:right w:w="0" w:type="dxa"/>
          </w:tblCellMar>
          <w:tblLook w:val="01E0"/>
        </w:tblPrEx>
        <w:trPr>
          <w:trHeight w:val="253"/>
          <w:jc w:val="left"/>
        </w:trPr>
        <w:tc>
          <w:tcPr>
            <w:tcW w:w="2887" w:type="dxa"/>
          </w:tcPr>
          <w:p>
            <w:pPr>
              <w:pStyle w:val="TableParagraph"/>
              <w:spacing w:line="233" w:lineRule="exact"/>
              <w:ind w:left="575"/>
              <w:rPr>
                <w:sz w:val="22"/>
              </w:rPr>
            </w:pPr>
            <w:r>
              <w:rPr>
                <w:sz w:val="22"/>
              </w:rPr>
              <w:t>Line</w:t>
            </w:r>
            <w:r>
              <w:rPr>
                <w:spacing w:val="-2"/>
                <w:sz w:val="22"/>
              </w:rPr>
              <w:t xml:space="preserve"> </w:t>
            </w:r>
            <w:r>
              <w:rPr>
                <w:sz w:val="22"/>
              </w:rPr>
              <w:t>a2</w:t>
            </w:r>
            <w:r>
              <w:rPr>
                <w:spacing w:val="-2"/>
                <w:sz w:val="22"/>
              </w:rPr>
              <w:t xml:space="preserve"> </w:t>
            </w:r>
            <w:r>
              <w:rPr>
                <w:sz w:val="22"/>
              </w:rPr>
              <w:t>–</w:t>
            </w:r>
            <w:r>
              <w:rPr>
                <w:spacing w:val="-2"/>
                <w:sz w:val="22"/>
              </w:rPr>
              <w:t xml:space="preserve"> </w:t>
            </w:r>
            <w:r>
              <w:rPr>
                <w:sz w:val="22"/>
              </w:rPr>
              <w:t xml:space="preserve">Mental </w:t>
            </w:r>
            <w:r>
              <w:rPr>
                <w:spacing w:val="-2"/>
                <w:sz w:val="22"/>
              </w:rPr>
              <w:t>Health</w:t>
            </w:r>
          </w:p>
        </w:tc>
        <w:tc>
          <w:tcPr>
            <w:tcW w:w="1252" w:type="dxa"/>
          </w:tcPr>
          <w:p>
            <w:pPr>
              <w:pStyle w:val="TableParagraph"/>
              <w:spacing w:line="233" w:lineRule="exact"/>
              <w:ind w:left="418"/>
              <w:rPr>
                <w:sz w:val="22"/>
              </w:rPr>
            </w:pPr>
            <w:r>
              <w:rPr>
                <w:spacing w:val="72"/>
                <w:w w:val="150"/>
                <w:sz w:val="22"/>
                <w:u w:val="single"/>
              </w:rPr>
              <w:t xml:space="preserve"> </w:t>
            </w:r>
            <w:r>
              <w:rPr>
                <w:spacing w:val="-5"/>
                <w:sz w:val="22"/>
                <w:u w:val="single"/>
              </w:rPr>
              <w:t>100</w:t>
            </w:r>
          </w:p>
        </w:tc>
        <w:tc>
          <w:tcPr>
            <w:tcW w:w="1262" w:type="dxa"/>
          </w:tcPr>
          <w:p>
            <w:pPr>
              <w:pStyle w:val="TableParagraph"/>
              <w:spacing w:line="233" w:lineRule="exact"/>
              <w:ind w:right="59"/>
              <w:jc w:val="center"/>
              <w:rPr>
                <w:sz w:val="22"/>
              </w:rPr>
            </w:pPr>
            <w:r>
              <w:rPr>
                <w:spacing w:val="-2"/>
                <w:sz w:val="22"/>
                <w:u w:val="single"/>
              </w:rPr>
              <w:t>$100.00</w:t>
            </w:r>
          </w:p>
        </w:tc>
        <w:tc>
          <w:tcPr>
            <w:tcW w:w="1203" w:type="dxa"/>
          </w:tcPr>
          <w:p>
            <w:pPr>
              <w:pStyle w:val="TableParagraph"/>
              <w:spacing w:line="233" w:lineRule="exact"/>
              <w:ind w:left="229" w:right="12"/>
              <w:jc w:val="center"/>
              <w:rPr>
                <w:sz w:val="22"/>
              </w:rPr>
            </w:pPr>
            <w:r>
              <w:rPr>
                <w:sz w:val="22"/>
                <w:u w:val="single"/>
              </w:rPr>
              <w:t>$</w:t>
            </w:r>
            <w:r>
              <w:rPr>
                <w:spacing w:val="41"/>
                <w:sz w:val="22"/>
                <w:u w:val="single"/>
              </w:rPr>
              <w:t xml:space="preserve"> </w:t>
            </w:r>
            <w:r>
              <w:rPr>
                <w:spacing w:val="-4"/>
                <w:sz w:val="22"/>
                <w:u w:val="single"/>
              </w:rPr>
              <w:t>0.83</w:t>
            </w:r>
          </w:p>
        </w:tc>
      </w:tr>
      <w:tr>
        <w:tblPrEx>
          <w:tblW w:w="0" w:type="auto"/>
          <w:jc w:val="left"/>
          <w:tblInd w:w="1541" w:type="dxa"/>
          <w:tblLayout w:type="fixed"/>
          <w:tblCellMar>
            <w:top w:w="0" w:type="dxa"/>
            <w:left w:w="0" w:type="dxa"/>
            <w:bottom w:w="0" w:type="dxa"/>
            <w:right w:w="0" w:type="dxa"/>
          </w:tblCellMar>
          <w:tblLook w:val="01E0"/>
        </w:tblPrEx>
        <w:trPr>
          <w:trHeight w:val="302"/>
          <w:jc w:val="left"/>
        </w:trPr>
        <w:tc>
          <w:tcPr>
            <w:tcW w:w="2887" w:type="dxa"/>
          </w:tcPr>
          <w:p>
            <w:pPr>
              <w:pStyle w:val="TableParagraph"/>
              <w:spacing w:line="249" w:lineRule="exact"/>
              <w:ind w:left="575"/>
              <w:rPr>
                <w:sz w:val="22"/>
              </w:rPr>
            </w:pPr>
            <w:r>
              <w:rPr>
                <w:spacing w:val="-2"/>
                <w:sz w:val="22"/>
              </w:rPr>
              <w:t>Total</w:t>
            </w:r>
          </w:p>
        </w:tc>
        <w:tc>
          <w:tcPr>
            <w:tcW w:w="1252" w:type="dxa"/>
          </w:tcPr>
          <w:p>
            <w:pPr>
              <w:pStyle w:val="TableParagraph"/>
              <w:spacing w:line="249" w:lineRule="exact"/>
              <w:ind w:left="430"/>
              <w:rPr>
                <w:sz w:val="22"/>
              </w:rPr>
            </w:pPr>
            <w:r>
              <w:rPr>
                <w:spacing w:val="-2"/>
                <w:sz w:val="22"/>
              </w:rPr>
              <w:t>2,000</w:t>
            </w:r>
          </w:p>
        </w:tc>
        <w:tc>
          <w:tcPr>
            <w:tcW w:w="1262" w:type="dxa"/>
          </w:tcPr>
          <w:p>
            <w:pPr>
              <w:pStyle w:val="TableParagraph"/>
              <w:spacing w:line="249" w:lineRule="exact"/>
              <w:ind w:right="59"/>
              <w:jc w:val="center"/>
              <w:rPr>
                <w:sz w:val="22"/>
              </w:rPr>
            </w:pPr>
            <w:r>
              <w:rPr>
                <w:spacing w:val="-2"/>
                <w:sz w:val="22"/>
              </w:rPr>
              <w:t>$100.00</w:t>
            </w:r>
          </w:p>
        </w:tc>
        <w:tc>
          <w:tcPr>
            <w:tcW w:w="1203" w:type="dxa"/>
          </w:tcPr>
          <w:p>
            <w:pPr>
              <w:pStyle w:val="TableParagraph"/>
              <w:spacing w:line="249" w:lineRule="exact"/>
              <w:ind w:left="229"/>
              <w:jc w:val="center"/>
              <w:rPr>
                <w:sz w:val="22"/>
              </w:rPr>
            </w:pPr>
            <w:r>
              <w:rPr>
                <w:spacing w:val="-2"/>
                <w:sz w:val="22"/>
              </w:rPr>
              <w:t>$16.67</w:t>
            </w:r>
          </w:p>
        </w:tc>
      </w:tr>
      <w:tr>
        <w:tblPrEx>
          <w:tblW w:w="0" w:type="auto"/>
          <w:jc w:val="left"/>
          <w:tblInd w:w="1541" w:type="dxa"/>
          <w:tblLayout w:type="fixed"/>
          <w:tblCellMar>
            <w:top w:w="0" w:type="dxa"/>
            <w:left w:w="0" w:type="dxa"/>
            <w:bottom w:w="0" w:type="dxa"/>
            <w:right w:w="0" w:type="dxa"/>
          </w:tblCellMar>
          <w:tblLook w:val="01E0"/>
        </w:tblPrEx>
        <w:trPr>
          <w:trHeight w:val="334"/>
          <w:jc w:val="left"/>
        </w:trPr>
        <w:tc>
          <w:tcPr>
            <w:tcW w:w="2887" w:type="dxa"/>
          </w:tcPr>
          <w:p>
            <w:pPr>
              <w:pStyle w:val="TableParagraph"/>
              <w:spacing w:before="47"/>
              <w:ind w:left="50"/>
              <w:rPr>
                <w:rFonts w:ascii="Arial"/>
                <w:b/>
                <w:i/>
                <w:sz w:val="21"/>
              </w:rPr>
            </w:pPr>
            <w:r>
              <w:rPr>
                <w:rFonts w:ascii="Arial"/>
                <w:b/>
                <w:i/>
                <w:sz w:val="21"/>
              </w:rPr>
              <w:t>Option</w:t>
            </w:r>
            <w:r>
              <w:rPr>
                <w:rFonts w:ascii="Arial"/>
                <w:b/>
                <w:i/>
                <w:spacing w:val="-7"/>
                <w:sz w:val="21"/>
              </w:rPr>
              <w:t xml:space="preserve"> </w:t>
            </w:r>
            <w:r>
              <w:rPr>
                <w:rFonts w:ascii="Arial"/>
                <w:b/>
                <w:i/>
                <w:spacing w:val="-5"/>
                <w:sz w:val="21"/>
              </w:rPr>
              <w:t>B:</w:t>
            </w:r>
          </w:p>
        </w:tc>
        <w:tc>
          <w:tcPr>
            <w:tcW w:w="1252" w:type="dxa"/>
          </w:tcPr>
          <w:p>
            <w:pPr>
              <w:pStyle w:val="TableParagraph"/>
              <w:rPr>
                <w:sz w:val="22"/>
              </w:rPr>
            </w:pPr>
          </w:p>
        </w:tc>
        <w:tc>
          <w:tcPr>
            <w:tcW w:w="1262" w:type="dxa"/>
          </w:tcPr>
          <w:p>
            <w:pPr>
              <w:pStyle w:val="TableParagraph"/>
              <w:rPr>
                <w:sz w:val="22"/>
              </w:rPr>
            </w:pPr>
          </w:p>
        </w:tc>
        <w:tc>
          <w:tcPr>
            <w:tcW w:w="1203" w:type="dxa"/>
          </w:tcPr>
          <w:p>
            <w:pPr>
              <w:pStyle w:val="TableParagraph"/>
              <w:rPr>
                <w:sz w:val="22"/>
              </w:rPr>
            </w:pPr>
          </w:p>
        </w:tc>
      </w:tr>
      <w:tr>
        <w:tblPrEx>
          <w:tblW w:w="0" w:type="auto"/>
          <w:jc w:val="left"/>
          <w:tblInd w:w="1541" w:type="dxa"/>
          <w:tblLayout w:type="fixed"/>
          <w:tblCellMar>
            <w:top w:w="0" w:type="dxa"/>
            <w:left w:w="0" w:type="dxa"/>
            <w:bottom w:w="0" w:type="dxa"/>
            <w:right w:w="0" w:type="dxa"/>
          </w:tblCellMar>
          <w:tblLook w:val="01E0"/>
        </w:tblPrEx>
        <w:trPr>
          <w:trHeight w:val="302"/>
          <w:jc w:val="left"/>
        </w:trPr>
        <w:tc>
          <w:tcPr>
            <w:tcW w:w="2887" w:type="dxa"/>
          </w:tcPr>
          <w:p>
            <w:pPr>
              <w:pStyle w:val="TableParagraph"/>
              <w:spacing w:before="36" w:line="246" w:lineRule="exact"/>
              <w:ind w:left="582"/>
              <w:rPr>
                <w:b/>
                <w:sz w:val="22"/>
              </w:rPr>
            </w:pPr>
            <w:r>
              <w:rPr>
                <w:b/>
                <w:sz w:val="22"/>
                <w:u w:val="single"/>
              </w:rPr>
              <w:t>Column</w:t>
            </w:r>
            <w:r>
              <w:rPr>
                <w:b/>
                <w:spacing w:val="-5"/>
                <w:sz w:val="22"/>
                <w:u w:val="single"/>
              </w:rPr>
              <w:t xml:space="preserve"> </w:t>
            </w:r>
            <w:r>
              <w:rPr>
                <w:b/>
                <w:spacing w:val="-10"/>
                <w:sz w:val="22"/>
                <w:u w:val="single"/>
              </w:rPr>
              <w:t>d</w:t>
            </w:r>
          </w:p>
        </w:tc>
        <w:tc>
          <w:tcPr>
            <w:tcW w:w="1252" w:type="dxa"/>
          </w:tcPr>
          <w:p>
            <w:pPr>
              <w:pStyle w:val="TableParagraph"/>
              <w:spacing w:before="36" w:line="246" w:lineRule="exact"/>
              <w:ind w:left="158"/>
              <w:rPr>
                <w:b/>
                <w:sz w:val="22"/>
              </w:rPr>
            </w:pPr>
            <w:r>
              <w:rPr>
                <w:b/>
                <w:sz w:val="22"/>
                <w:u w:val="single"/>
              </w:rPr>
              <w:t>Column</w:t>
            </w:r>
            <w:r>
              <w:rPr>
                <w:b/>
                <w:spacing w:val="-4"/>
                <w:sz w:val="22"/>
                <w:u w:val="single"/>
              </w:rPr>
              <w:t xml:space="preserve"> </w:t>
            </w:r>
            <w:r>
              <w:rPr>
                <w:b/>
                <w:spacing w:val="-10"/>
                <w:sz w:val="22"/>
                <w:u w:val="single"/>
              </w:rPr>
              <w:t>g</w:t>
            </w:r>
          </w:p>
        </w:tc>
        <w:tc>
          <w:tcPr>
            <w:tcW w:w="1262" w:type="dxa"/>
          </w:tcPr>
          <w:p>
            <w:pPr>
              <w:pStyle w:val="TableParagraph"/>
              <w:spacing w:before="36" w:line="246" w:lineRule="exact"/>
              <w:ind w:left="21" w:right="59"/>
              <w:jc w:val="center"/>
              <w:rPr>
                <w:b/>
                <w:sz w:val="22"/>
              </w:rPr>
            </w:pPr>
            <w:r>
              <w:rPr>
                <w:b/>
                <w:sz w:val="22"/>
                <w:u w:val="single"/>
              </w:rPr>
              <w:t>Column</w:t>
            </w:r>
            <w:r>
              <w:rPr>
                <w:b/>
                <w:spacing w:val="-7"/>
                <w:sz w:val="22"/>
                <w:u w:val="single"/>
              </w:rPr>
              <w:t xml:space="preserve"> </w:t>
            </w:r>
            <w:r>
              <w:rPr>
                <w:b/>
                <w:spacing w:val="-10"/>
                <w:sz w:val="22"/>
                <w:u w:val="single"/>
              </w:rPr>
              <w:t>j</w:t>
            </w:r>
          </w:p>
        </w:tc>
        <w:tc>
          <w:tcPr>
            <w:tcW w:w="1203" w:type="dxa"/>
          </w:tcPr>
          <w:p>
            <w:pPr>
              <w:pStyle w:val="TableParagraph"/>
              <w:spacing w:before="36" w:line="246" w:lineRule="exact"/>
              <w:ind w:left="152"/>
              <w:jc w:val="center"/>
              <w:rPr>
                <w:b/>
                <w:sz w:val="22"/>
              </w:rPr>
            </w:pPr>
            <w:r>
              <w:rPr>
                <w:b/>
                <w:sz w:val="22"/>
                <w:u w:val="single"/>
              </w:rPr>
              <w:t>Column</w:t>
            </w:r>
            <w:r>
              <w:rPr>
                <w:b/>
                <w:spacing w:val="-4"/>
                <w:sz w:val="22"/>
                <w:u w:val="single"/>
              </w:rPr>
              <w:t xml:space="preserve"> </w:t>
            </w:r>
            <w:r>
              <w:rPr>
                <w:b/>
                <w:spacing w:val="-10"/>
                <w:sz w:val="22"/>
                <w:u w:val="single"/>
              </w:rPr>
              <w:t>k</w:t>
            </w:r>
          </w:p>
        </w:tc>
      </w:tr>
      <w:tr>
        <w:tblPrEx>
          <w:tblW w:w="0" w:type="auto"/>
          <w:jc w:val="left"/>
          <w:tblInd w:w="1541" w:type="dxa"/>
          <w:tblLayout w:type="fixed"/>
          <w:tblCellMar>
            <w:top w:w="0" w:type="dxa"/>
            <w:left w:w="0" w:type="dxa"/>
            <w:bottom w:w="0" w:type="dxa"/>
            <w:right w:w="0" w:type="dxa"/>
          </w:tblCellMar>
          <w:tblLook w:val="01E0"/>
        </w:tblPrEx>
        <w:trPr>
          <w:trHeight w:val="261"/>
          <w:jc w:val="left"/>
        </w:trPr>
        <w:tc>
          <w:tcPr>
            <w:tcW w:w="2887" w:type="dxa"/>
          </w:tcPr>
          <w:p>
            <w:pPr>
              <w:pStyle w:val="TableParagraph"/>
              <w:spacing w:before="4" w:line="237" w:lineRule="exact"/>
              <w:ind w:left="582"/>
              <w:rPr>
                <w:sz w:val="22"/>
              </w:rPr>
            </w:pPr>
            <w:r>
              <w:rPr>
                <w:sz w:val="22"/>
              </w:rPr>
              <w:t>Line</w:t>
            </w:r>
            <w:r>
              <w:rPr>
                <w:spacing w:val="-1"/>
                <w:sz w:val="22"/>
              </w:rPr>
              <w:t xml:space="preserve"> </w:t>
            </w:r>
            <w:r>
              <w:rPr>
                <w:sz w:val="22"/>
              </w:rPr>
              <w:t>a1</w:t>
            </w:r>
            <w:r>
              <w:rPr>
                <w:spacing w:val="-1"/>
                <w:sz w:val="22"/>
              </w:rPr>
              <w:t xml:space="preserve"> </w:t>
            </w:r>
            <w:r>
              <w:rPr>
                <w:sz w:val="22"/>
              </w:rPr>
              <w:t xml:space="preserve">– </w:t>
            </w:r>
            <w:r>
              <w:rPr>
                <w:spacing w:val="-2"/>
                <w:sz w:val="22"/>
              </w:rPr>
              <w:t>Acute</w:t>
            </w:r>
          </w:p>
        </w:tc>
        <w:tc>
          <w:tcPr>
            <w:tcW w:w="1252" w:type="dxa"/>
          </w:tcPr>
          <w:p>
            <w:pPr>
              <w:pStyle w:val="TableParagraph"/>
              <w:spacing w:before="4" w:line="237" w:lineRule="exact"/>
              <w:ind w:left="506"/>
              <w:rPr>
                <w:sz w:val="22"/>
              </w:rPr>
            </w:pPr>
            <w:r>
              <w:rPr>
                <w:spacing w:val="-2"/>
                <w:sz w:val="22"/>
                <w:u w:val="single"/>
              </w:rPr>
              <w:t>2,000</w:t>
            </w:r>
          </w:p>
        </w:tc>
        <w:tc>
          <w:tcPr>
            <w:tcW w:w="1262" w:type="dxa"/>
          </w:tcPr>
          <w:p>
            <w:pPr>
              <w:pStyle w:val="TableParagraph"/>
              <w:spacing w:before="4" w:line="237" w:lineRule="exact"/>
              <w:ind w:right="59"/>
              <w:jc w:val="center"/>
              <w:rPr>
                <w:sz w:val="22"/>
              </w:rPr>
            </w:pPr>
            <w:r>
              <w:rPr>
                <w:spacing w:val="-2"/>
                <w:sz w:val="22"/>
                <w:u w:val="single"/>
              </w:rPr>
              <w:t>$100.00</w:t>
            </w:r>
          </w:p>
        </w:tc>
        <w:tc>
          <w:tcPr>
            <w:tcW w:w="1203" w:type="dxa"/>
          </w:tcPr>
          <w:p>
            <w:pPr>
              <w:pStyle w:val="TableParagraph"/>
              <w:spacing w:before="4" w:line="237" w:lineRule="exact"/>
              <w:ind w:left="229" w:right="15"/>
              <w:jc w:val="center"/>
              <w:rPr>
                <w:sz w:val="22"/>
              </w:rPr>
            </w:pPr>
            <w:r>
              <w:rPr>
                <w:spacing w:val="-2"/>
                <w:sz w:val="22"/>
                <w:u w:val="single"/>
              </w:rPr>
              <w:t>$16.67</w:t>
            </w:r>
          </w:p>
        </w:tc>
      </w:tr>
      <w:tr>
        <w:tblPrEx>
          <w:tblW w:w="0" w:type="auto"/>
          <w:jc w:val="left"/>
          <w:tblInd w:w="1541" w:type="dxa"/>
          <w:tblLayout w:type="fixed"/>
          <w:tblCellMar>
            <w:top w:w="0" w:type="dxa"/>
            <w:left w:w="0" w:type="dxa"/>
            <w:bottom w:w="0" w:type="dxa"/>
            <w:right w:w="0" w:type="dxa"/>
          </w:tblCellMar>
          <w:tblLook w:val="01E0"/>
        </w:tblPrEx>
        <w:trPr>
          <w:trHeight w:val="248"/>
          <w:jc w:val="left"/>
        </w:trPr>
        <w:tc>
          <w:tcPr>
            <w:tcW w:w="2887" w:type="dxa"/>
          </w:tcPr>
          <w:p>
            <w:pPr>
              <w:pStyle w:val="TableParagraph"/>
              <w:spacing w:line="228" w:lineRule="exact"/>
              <w:ind w:left="582"/>
              <w:rPr>
                <w:sz w:val="22"/>
              </w:rPr>
            </w:pPr>
            <w:r>
              <w:rPr>
                <w:spacing w:val="-2"/>
                <w:sz w:val="22"/>
              </w:rPr>
              <w:t>Total</w:t>
            </w:r>
          </w:p>
        </w:tc>
        <w:tc>
          <w:tcPr>
            <w:tcW w:w="1252" w:type="dxa"/>
          </w:tcPr>
          <w:p>
            <w:pPr>
              <w:pStyle w:val="TableParagraph"/>
              <w:spacing w:line="228" w:lineRule="exact"/>
              <w:ind w:left="506"/>
              <w:rPr>
                <w:sz w:val="22"/>
              </w:rPr>
            </w:pPr>
            <w:r>
              <w:rPr>
                <w:spacing w:val="-2"/>
                <w:sz w:val="22"/>
              </w:rPr>
              <w:t>2,000</w:t>
            </w:r>
          </w:p>
        </w:tc>
        <w:tc>
          <w:tcPr>
            <w:tcW w:w="1262" w:type="dxa"/>
          </w:tcPr>
          <w:p>
            <w:pPr>
              <w:pStyle w:val="TableParagraph"/>
              <w:spacing w:line="228" w:lineRule="exact"/>
              <w:ind w:right="59"/>
              <w:jc w:val="center"/>
              <w:rPr>
                <w:sz w:val="22"/>
              </w:rPr>
            </w:pPr>
            <w:r>
              <w:rPr>
                <w:spacing w:val="-2"/>
                <w:sz w:val="22"/>
              </w:rPr>
              <w:t>$100.00</w:t>
            </w:r>
          </w:p>
        </w:tc>
        <w:tc>
          <w:tcPr>
            <w:tcW w:w="1203" w:type="dxa"/>
          </w:tcPr>
          <w:p>
            <w:pPr>
              <w:pStyle w:val="TableParagraph"/>
              <w:spacing w:line="228" w:lineRule="exact"/>
              <w:ind w:left="229" w:right="15"/>
              <w:jc w:val="center"/>
              <w:rPr>
                <w:sz w:val="22"/>
              </w:rPr>
            </w:pPr>
            <w:r>
              <w:rPr>
                <w:spacing w:val="-2"/>
                <w:sz w:val="22"/>
              </w:rPr>
              <w:t>$16.67</w:t>
            </w:r>
          </w:p>
        </w:tc>
      </w:tr>
    </w:tbl>
    <w:p>
      <w:pPr>
        <w:pStyle w:val="BodyText"/>
        <w:spacing w:before="123"/>
        <w:ind w:left="1224" w:right="1498"/>
      </w:pPr>
      <w:r>
        <w:rPr>
          <w:rFonts w:ascii="Arial"/>
          <w:b/>
          <w:sz w:val="21"/>
        </w:rPr>
        <w:t xml:space="preserve">Example 2: </w:t>
      </w:r>
      <w:r>
        <w:t>The PBP has in-network professional copays of $10 for PCP, $20 for specialists</w:t>
      </w:r>
      <w:r>
        <w:rPr>
          <w:spacing w:val="-2"/>
        </w:rPr>
        <w:t xml:space="preserve"> </w:t>
      </w:r>
      <w:r>
        <w:t>excluding</w:t>
      </w:r>
      <w:r>
        <w:rPr>
          <w:spacing w:val="-1"/>
        </w:rPr>
        <w:t xml:space="preserve"> </w:t>
      </w:r>
      <w:r>
        <w:t>mental</w:t>
      </w:r>
      <w:r>
        <w:rPr>
          <w:spacing w:val="-1"/>
        </w:rPr>
        <w:t xml:space="preserve"> </w:t>
      </w:r>
      <w:r>
        <w:t>health</w:t>
      </w:r>
      <w:r>
        <w:rPr>
          <w:spacing w:val="-1"/>
        </w:rPr>
        <w:t xml:space="preserve"> </w:t>
      </w:r>
      <w:r>
        <w:t>(MH)</w:t>
      </w:r>
      <w:r>
        <w:rPr>
          <w:spacing w:val="-1"/>
        </w:rPr>
        <w:t xml:space="preserve"> </w:t>
      </w:r>
      <w:r>
        <w:t>services,</w:t>
      </w:r>
      <w:r>
        <w:rPr>
          <w:spacing w:val="-1"/>
        </w:rPr>
        <w:t xml:space="preserve"> </w:t>
      </w:r>
      <w:r>
        <w:t>$20</w:t>
      </w:r>
      <w:r>
        <w:rPr>
          <w:spacing w:val="-1"/>
        </w:rPr>
        <w:t xml:space="preserve"> </w:t>
      </w:r>
      <w:r>
        <w:t>for</w:t>
      </w:r>
      <w:r>
        <w:rPr>
          <w:spacing w:val="-1"/>
        </w:rPr>
        <w:t xml:space="preserve"> </w:t>
      </w:r>
      <w:r>
        <w:t>MH</w:t>
      </w:r>
      <w:r>
        <w:rPr>
          <w:spacing w:val="-2"/>
        </w:rPr>
        <w:t xml:space="preserve"> </w:t>
      </w:r>
      <w:r>
        <w:t>group</w:t>
      </w:r>
      <w:r>
        <w:rPr>
          <w:spacing w:val="-1"/>
        </w:rPr>
        <w:t xml:space="preserve"> </w:t>
      </w:r>
      <w:r>
        <w:t>sessions,</w:t>
      </w:r>
      <w:r>
        <w:rPr>
          <w:spacing w:val="-1"/>
        </w:rPr>
        <w:t xml:space="preserve"> </w:t>
      </w:r>
      <w:r>
        <w:t>and</w:t>
      </w:r>
      <w:r>
        <w:rPr>
          <w:spacing w:val="-1"/>
        </w:rPr>
        <w:t xml:space="preserve"> </w:t>
      </w:r>
      <w:r>
        <w:t>$40 for individual MH sessions with no service-specific cost sharing maximums. The projected</w:t>
      </w:r>
      <w:r>
        <w:rPr>
          <w:spacing w:val="-4"/>
        </w:rPr>
        <w:t xml:space="preserve"> </w:t>
      </w:r>
      <w:r>
        <w:t>impact</w:t>
      </w:r>
      <w:r>
        <w:rPr>
          <w:spacing w:val="-2"/>
        </w:rPr>
        <w:t xml:space="preserve"> </w:t>
      </w:r>
      <w:r>
        <w:t>of</w:t>
      </w:r>
      <w:r>
        <w:rPr>
          <w:spacing w:val="-3"/>
        </w:rPr>
        <w:t xml:space="preserve"> </w:t>
      </w:r>
      <w:r>
        <w:t>the</w:t>
      </w:r>
      <w:r>
        <w:rPr>
          <w:spacing w:val="-5"/>
        </w:rPr>
        <w:t xml:space="preserve"> </w:t>
      </w:r>
      <w:r>
        <w:t>plan-level</w:t>
      </w:r>
      <w:r>
        <w:rPr>
          <w:spacing w:val="-3"/>
        </w:rPr>
        <w:t xml:space="preserve"> </w:t>
      </w:r>
      <w:r>
        <w:t>in-network</w:t>
      </w:r>
      <w:r>
        <w:rPr>
          <w:spacing w:val="-3"/>
        </w:rPr>
        <w:t xml:space="preserve"> </w:t>
      </w:r>
      <w:r>
        <w:t>cost</w:t>
      </w:r>
      <w:r>
        <w:rPr>
          <w:spacing w:val="-1"/>
        </w:rPr>
        <w:t xml:space="preserve"> </w:t>
      </w:r>
      <w:r>
        <w:t>sharing</w:t>
      </w:r>
      <w:r>
        <w:rPr>
          <w:spacing w:val="-3"/>
        </w:rPr>
        <w:t xml:space="preserve"> </w:t>
      </w:r>
      <w:r>
        <w:t>maximum</w:t>
      </w:r>
      <w:r>
        <w:rPr>
          <w:spacing w:val="-3"/>
        </w:rPr>
        <w:t xml:space="preserve"> </w:t>
      </w:r>
      <w:r>
        <w:t>is</w:t>
      </w:r>
      <w:r>
        <w:rPr>
          <w:spacing w:val="-4"/>
        </w:rPr>
        <w:t xml:space="preserve"> </w:t>
      </w:r>
      <w:r>
        <w:t>$0.</w:t>
      </w:r>
      <w:r>
        <w:rPr>
          <w:spacing w:val="-3"/>
        </w:rPr>
        <w:t xml:space="preserve"> </w:t>
      </w:r>
      <w:r>
        <w:t>Assume</w:t>
      </w:r>
      <w:r>
        <w:rPr>
          <w:spacing w:val="-4"/>
        </w:rPr>
        <w:t xml:space="preserve"> </w:t>
      </w:r>
      <w:r>
        <w:t>that in-network office visit utilization is distributed as follows:</w:t>
      </w:r>
    </w:p>
    <w:p>
      <w:pPr>
        <w:pStyle w:val="BodyText"/>
        <w:spacing w:before="5"/>
        <w:ind w:left="0"/>
        <w:rPr>
          <w:sz w:val="11"/>
        </w:rPr>
      </w:pPr>
    </w:p>
    <w:tbl>
      <w:tblPr>
        <w:tblStyle w:val="TableNormal"/>
        <w:tblW w:w="0" w:type="auto"/>
        <w:jc w:val="left"/>
        <w:tblInd w:w="2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95"/>
        <w:gridCol w:w="1432"/>
      </w:tblGrid>
      <w:tr>
        <w:tblPrEx>
          <w:tblW w:w="0" w:type="auto"/>
          <w:jc w:val="left"/>
          <w:tblInd w:w="2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57"/>
          <w:jc w:val="left"/>
        </w:trPr>
        <w:tc>
          <w:tcPr>
            <w:tcW w:w="2595" w:type="dxa"/>
          </w:tcPr>
          <w:p>
            <w:pPr>
              <w:pStyle w:val="TableParagraph"/>
              <w:spacing w:line="238" w:lineRule="exact"/>
              <w:ind w:left="50"/>
              <w:rPr>
                <w:b/>
                <w:sz w:val="22"/>
              </w:rPr>
            </w:pPr>
            <w:r>
              <w:rPr>
                <w:b/>
                <w:sz w:val="22"/>
                <w:u w:val="single"/>
              </w:rPr>
              <w:t>Type</w:t>
            </w:r>
            <w:r>
              <w:rPr>
                <w:b/>
                <w:spacing w:val="-1"/>
                <w:sz w:val="22"/>
                <w:u w:val="single"/>
              </w:rPr>
              <w:t xml:space="preserve"> </w:t>
            </w:r>
            <w:r>
              <w:rPr>
                <w:b/>
                <w:sz w:val="22"/>
                <w:u w:val="single"/>
              </w:rPr>
              <w:t>of</w:t>
            </w:r>
            <w:r>
              <w:rPr>
                <w:b/>
                <w:spacing w:val="1"/>
                <w:sz w:val="22"/>
                <w:u w:val="single"/>
              </w:rPr>
              <w:t xml:space="preserve"> </w:t>
            </w:r>
            <w:r>
              <w:rPr>
                <w:b/>
                <w:spacing w:val="-2"/>
                <w:sz w:val="22"/>
                <w:u w:val="single"/>
              </w:rPr>
              <w:t>Service</w:t>
            </w:r>
          </w:p>
        </w:tc>
        <w:tc>
          <w:tcPr>
            <w:tcW w:w="1432" w:type="dxa"/>
          </w:tcPr>
          <w:p>
            <w:pPr>
              <w:pStyle w:val="TableParagraph"/>
              <w:spacing w:line="238" w:lineRule="exact"/>
              <w:ind w:left="155"/>
              <w:rPr>
                <w:b/>
                <w:sz w:val="22"/>
              </w:rPr>
            </w:pPr>
            <w:r>
              <w:rPr>
                <w:b/>
                <w:spacing w:val="-2"/>
                <w:sz w:val="22"/>
                <w:u w:val="single"/>
              </w:rPr>
              <w:t>Utilization</w:t>
            </w:r>
          </w:p>
        </w:tc>
      </w:tr>
      <w:tr>
        <w:tblPrEx>
          <w:tblW w:w="0" w:type="auto"/>
          <w:jc w:val="left"/>
          <w:tblInd w:w="2117" w:type="dxa"/>
          <w:tblLayout w:type="fixed"/>
          <w:tblCellMar>
            <w:top w:w="0" w:type="dxa"/>
            <w:left w:w="0" w:type="dxa"/>
            <w:bottom w:w="0" w:type="dxa"/>
            <w:right w:w="0" w:type="dxa"/>
          </w:tblCellMar>
          <w:tblLook w:val="01E0"/>
        </w:tblPrEx>
        <w:trPr>
          <w:trHeight w:val="261"/>
          <w:jc w:val="left"/>
        </w:trPr>
        <w:tc>
          <w:tcPr>
            <w:tcW w:w="2595" w:type="dxa"/>
          </w:tcPr>
          <w:p>
            <w:pPr>
              <w:pStyle w:val="TableParagraph"/>
              <w:spacing w:before="4" w:line="237" w:lineRule="exact"/>
              <w:ind w:left="50"/>
              <w:rPr>
                <w:sz w:val="22"/>
              </w:rPr>
            </w:pPr>
            <w:r>
              <w:rPr>
                <w:spacing w:val="-5"/>
                <w:sz w:val="22"/>
              </w:rPr>
              <w:t>PCP</w:t>
            </w:r>
          </w:p>
        </w:tc>
        <w:tc>
          <w:tcPr>
            <w:tcW w:w="1432" w:type="dxa"/>
          </w:tcPr>
          <w:p>
            <w:pPr>
              <w:pStyle w:val="TableParagraph"/>
              <w:spacing w:before="4" w:line="237" w:lineRule="exact"/>
              <w:ind w:right="47"/>
              <w:jc w:val="right"/>
              <w:rPr>
                <w:sz w:val="22"/>
              </w:rPr>
            </w:pPr>
            <w:r>
              <w:rPr>
                <w:spacing w:val="-2"/>
                <w:sz w:val="22"/>
              </w:rPr>
              <w:t>5,000</w:t>
            </w:r>
          </w:p>
        </w:tc>
      </w:tr>
      <w:tr>
        <w:tblPrEx>
          <w:tblW w:w="0" w:type="auto"/>
          <w:jc w:val="left"/>
          <w:tblInd w:w="2117" w:type="dxa"/>
          <w:tblLayout w:type="fixed"/>
          <w:tblCellMar>
            <w:top w:w="0" w:type="dxa"/>
            <w:left w:w="0" w:type="dxa"/>
            <w:bottom w:w="0" w:type="dxa"/>
            <w:right w:w="0" w:type="dxa"/>
          </w:tblCellMar>
          <w:tblLook w:val="01E0"/>
        </w:tblPrEx>
        <w:trPr>
          <w:trHeight w:val="253"/>
          <w:jc w:val="left"/>
        </w:trPr>
        <w:tc>
          <w:tcPr>
            <w:tcW w:w="2595" w:type="dxa"/>
          </w:tcPr>
          <w:p>
            <w:pPr>
              <w:pStyle w:val="TableParagraph"/>
              <w:spacing w:line="233" w:lineRule="exact"/>
              <w:ind w:left="50"/>
              <w:rPr>
                <w:sz w:val="22"/>
              </w:rPr>
            </w:pPr>
            <w:r>
              <w:rPr>
                <w:sz w:val="22"/>
              </w:rPr>
              <w:t>Mental</w:t>
            </w:r>
            <w:r>
              <w:rPr>
                <w:spacing w:val="-1"/>
                <w:sz w:val="22"/>
              </w:rPr>
              <w:t xml:space="preserve"> </w:t>
            </w:r>
            <w:r>
              <w:rPr>
                <w:sz w:val="22"/>
              </w:rPr>
              <w:t>Health</w:t>
            </w:r>
            <w:r>
              <w:rPr>
                <w:spacing w:val="-3"/>
                <w:sz w:val="22"/>
              </w:rPr>
              <w:t xml:space="preserve"> </w:t>
            </w:r>
            <w:r>
              <w:rPr>
                <w:sz w:val="22"/>
              </w:rPr>
              <w:t>–</w:t>
            </w:r>
            <w:r>
              <w:rPr>
                <w:spacing w:val="-2"/>
                <w:sz w:val="22"/>
              </w:rPr>
              <w:t xml:space="preserve"> Individual</w:t>
            </w:r>
          </w:p>
        </w:tc>
        <w:tc>
          <w:tcPr>
            <w:tcW w:w="1432" w:type="dxa"/>
          </w:tcPr>
          <w:p>
            <w:pPr>
              <w:pStyle w:val="TableParagraph"/>
              <w:spacing w:line="233" w:lineRule="exact"/>
              <w:ind w:right="51"/>
              <w:jc w:val="right"/>
              <w:rPr>
                <w:sz w:val="22"/>
              </w:rPr>
            </w:pPr>
            <w:r>
              <w:rPr>
                <w:spacing w:val="-5"/>
                <w:sz w:val="22"/>
              </w:rPr>
              <w:t>50</w:t>
            </w:r>
          </w:p>
        </w:tc>
      </w:tr>
      <w:tr>
        <w:tblPrEx>
          <w:tblW w:w="0" w:type="auto"/>
          <w:jc w:val="left"/>
          <w:tblInd w:w="2117" w:type="dxa"/>
          <w:tblLayout w:type="fixed"/>
          <w:tblCellMar>
            <w:top w:w="0" w:type="dxa"/>
            <w:left w:w="0" w:type="dxa"/>
            <w:bottom w:w="0" w:type="dxa"/>
            <w:right w:w="0" w:type="dxa"/>
          </w:tblCellMar>
          <w:tblLook w:val="01E0"/>
        </w:tblPrEx>
        <w:trPr>
          <w:trHeight w:val="253"/>
          <w:jc w:val="left"/>
        </w:trPr>
        <w:tc>
          <w:tcPr>
            <w:tcW w:w="2595" w:type="dxa"/>
          </w:tcPr>
          <w:p>
            <w:pPr>
              <w:pStyle w:val="TableParagraph"/>
              <w:spacing w:line="233" w:lineRule="exact"/>
              <w:ind w:left="50"/>
              <w:rPr>
                <w:sz w:val="22"/>
              </w:rPr>
            </w:pPr>
            <w:r>
              <w:rPr>
                <w:sz w:val="22"/>
              </w:rPr>
              <w:t>Mental</w:t>
            </w:r>
            <w:r>
              <w:rPr>
                <w:spacing w:val="-3"/>
                <w:sz w:val="22"/>
              </w:rPr>
              <w:t xml:space="preserve"> </w:t>
            </w:r>
            <w:r>
              <w:rPr>
                <w:sz w:val="22"/>
              </w:rPr>
              <w:t>Health</w:t>
            </w:r>
            <w:r>
              <w:rPr>
                <w:spacing w:val="-3"/>
                <w:sz w:val="22"/>
              </w:rPr>
              <w:t xml:space="preserve"> </w:t>
            </w:r>
            <w:r>
              <w:rPr>
                <w:sz w:val="22"/>
              </w:rPr>
              <w:t>–</w:t>
            </w:r>
            <w:r>
              <w:rPr>
                <w:spacing w:val="-2"/>
                <w:sz w:val="22"/>
              </w:rPr>
              <w:t xml:space="preserve"> Group</w:t>
            </w:r>
          </w:p>
        </w:tc>
        <w:tc>
          <w:tcPr>
            <w:tcW w:w="1432" w:type="dxa"/>
          </w:tcPr>
          <w:p>
            <w:pPr>
              <w:pStyle w:val="TableParagraph"/>
              <w:spacing w:line="233" w:lineRule="exact"/>
              <w:ind w:right="51"/>
              <w:jc w:val="right"/>
              <w:rPr>
                <w:sz w:val="22"/>
              </w:rPr>
            </w:pPr>
            <w:r>
              <w:rPr>
                <w:spacing w:val="-5"/>
                <w:sz w:val="22"/>
              </w:rPr>
              <w:t>50</w:t>
            </w:r>
          </w:p>
        </w:tc>
      </w:tr>
      <w:tr>
        <w:tblPrEx>
          <w:tblW w:w="0" w:type="auto"/>
          <w:jc w:val="left"/>
          <w:tblInd w:w="2117" w:type="dxa"/>
          <w:tblLayout w:type="fixed"/>
          <w:tblCellMar>
            <w:top w:w="0" w:type="dxa"/>
            <w:left w:w="0" w:type="dxa"/>
            <w:bottom w:w="0" w:type="dxa"/>
            <w:right w:w="0" w:type="dxa"/>
          </w:tblCellMar>
          <w:tblLook w:val="01E0"/>
        </w:tblPrEx>
        <w:trPr>
          <w:trHeight w:val="253"/>
          <w:jc w:val="left"/>
        </w:trPr>
        <w:tc>
          <w:tcPr>
            <w:tcW w:w="2595" w:type="dxa"/>
          </w:tcPr>
          <w:p>
            <w:pPr>
              <w:pStyle w:val="TableParagraph"/>
              <w:spacing w:line="233" w:lineRule="exact"/>
              <w:ind w:left="50"/>
              <w:rPr>
                <w:sz w:val="22"/>
              </w:rPr>
            </w:pPr>
            <w:r>
              <w:rPr>
                <w:sz w:val="22"/>
              </w:rPr>
              <w:t>Other</w:t>
            </w:r>
            <w:r>
              <w:rPr>
                <w:spacing w:val="-3"/>
                <w:sz w:val="22"/>
              </w:rPr>
              <w:t xml:space="preserve"> </w:t>
            </w:r>
            <w:r>
              <w:rPr>
                <w:spacing w:val="-4"/>
                <w:sz w:val="22"/>
              </w:rPr>
              <w:t>Spec</w:t>
            </w:r>
          </w:p>
        </w:tc>
        <w:tc>
          <w:tcPr>
            <w:tcW w:w="1432" w:type="dxa"/>
          </w:tcPr>
          <w:p>
            <w:pPr>
              <w:pStyle w:val="TableParagraph"/>
              <w:spacing w:line="233" w:lineRule="exact"/>
              <w:ind w:right="47"/>
              <w:jc w:val="right"/>
              <w:rPr>
                <w:sz w:val="22"/>
              </w:rPr>
            </w:pPr>
            <w:r>
              <w:rPr>
                <w:spacing w:val="-2"/>
                <w:sz w:val="22"/>
                <w:u w:val="single"/>
              </w:rPr>
              <w:t>2,900</w:t>
            </w:r>
          </w:p>
        </w:tc>
      </w:tr>
      <w:tr>
        <w:tblPrEx>
          <w:tblW w:w="0" w:type="auto"/>
          <w:jc w:val="left"/>
          <w:tblInd w:w="2117" w:type="dxa"/>
          <w:tblLayout w:type="fixed"/>
          <w:tblCellMar>
            <w:top w:w="0" w:type="dxa"/>
            <w:left w:w="0" w:type="dxa"/>
            <w:bottom w:w="0" w:type="dxa"/>
            <w:right w:w="0" w:type="dxa"/>
          </w:tblCellMar>
          <w:tblLook w:val="01E0"/>
        </w:tblPrEx>
        <w:trPr>
          <w:trHeight w:val="249"/>
          <w:jc w:val="left"/>
        </w:trPr>
        <w:tc>
          <w:tcPr>
            <w:tcW w:w="2595" w:type="dxa"/>
          </w:tcPr>
          <w:p>
            <w:pPr>
              <w:pStyle w:val="TableParagraph"/>
              <w:spacing w:line="229" w:lineRule="exact"/>
              <w:ind w:left="50"/>
              <w:rPr>
                <w:sz w:val="22"/>
              </w:rPr>
            </w:pPr>
            <w:r>
              <w:rPr>
                <w:spacing w:val="-2"/>
                <w:sz w:val="22"/>
              </w:rPr>
              <w:t>Total</w:t>
            </w:r>
          </w:p>
        </w:tc>
        <w:tc>
          <w:tcPr>
            <w:tcW w:w="1432" w:type="dxa"/>
          </w:tcPr>
          <w:p>
            <w:pPr>
              <w:pStyle w:val="TableParagraph"/>
              <w:spacing w:line="229" w:lineRule="exact"/>
              <w:ind w:right="47"/>
              <w:jc w:val="right"/>
              <w:rPr>
                <w:sz w:val="22"/>
              </w:rPr>
            </w:pPr>
            <w:r>
              <w:rPr>
                <w:spacing w:val="-2"/>
                <w:sz w:val="22"/>
              </w:rPr>
              <w:t>8,000</w:t>
            </w:r>
          </w:p>
        </w:tc>
      </w:tr>
    </w:tbl>
    <w:p>
      <w:pPr>
        <w:pStyle w:val="TableParagraph"/>
        <w:spacing w:after="0" w:line="229" w:lineRule="exact"/>
        <w:jc w:val="right"/>
        <w:rPr>
          <w:sz w:val="22"/>
        </w:rPr>
        <w:sectPr>
          <w:pgSz w:w="12240" w:h="15840"/>
          <w:pgMar w:top="960" w:right="0" w:bottom="940" w:left="1080" w:header="727" w:footer="747"/>
          <w:cols w:space="720"/>
        </w:sectPr>
      </w:pPr>
    </w:p>
    <w:p>
      <w:pPr>
        <w:pStyle w:val="BodyText"/>
        <w:spacing w:before="190"/>
        <w:ind w:left="0"/>
      </w:pPr>
    </w:p>
    <w:p>
      <w:pPr>
        <w:pStyle w:val="BodyText"/>
        <w:ind w:left="1224"/>
      </w:pPr>
      <w:r>
        <w:t>Some</w:t>
      </w:r>
      <w:r>
        <w:rPr>
          <w:spacing w:val="-3"/>
        </w:rPr>
        <w:t xml:space="preserve"> </w:t>
      </w:r>
      <w:r>
        <w:t>of</w:t>
      </w:r>
      <w:r>
        <w:rPr>
          <w:spacing w:val="-2"/>
        </w:rPr>
        <w:t xml:space="preserve"> </w:t>
      </w:r>
      <w:r>
        <w:t>the</w:t>
      </w:r>
      <w:r>
        <w:rPr>
          <w:spacing w:val="-1"/>
        </w:rPr>
        <w:t xml:space="preserve"> </w:t>
      </w:r>
      <w:r>
        <w:t>options</w:t>
      </w:r>
      <w:r>
        <w:rPr>
          <w:spacing w:val="-1"/>
        </w:rPr>
        <w:t xml:space="preserve"> </w:t>
      </w:r>
      <w:r>
        <w:t>that</w:t>
      </w:r>
      <w:r>
        <w:rPr>
          <w:spacing w:val="-1"/>
        </w:rPr>
        <w:t xml:space="preserve"> </w:t>
      </w:r>
      <w:r>
        <w:t>could be</w:t>
      </w:r>
      <w:r>
        <w:rPr>
          <w:spacing w:val="-2"/>
        </w:rPr>
        <w:t xml:space="preserve"> </w:t>
      </w:r>
      <w:r>
        <w:t>used to</w:t>
      </w:r>
      <w:r>
        <w:rPr>
          <w:spacing w:val="-1"/>
        </w:rPr>
        <w:t xml:space="preserve"> </w:t>
      </w:r>
      <w:r>
        <w:t>complete</w:t>
      </w:r>
      <w:r>
        <w:rPr>
          <w:spacing w:val="-1"/>
        </w:rPr>
        <w:t xml:space="preserve"> </w:t>
      </w:r>
      <w:r>
        <w:t>the BPT are</w:t>
      </w:r>
      <w:r>
        <w:rPr>
          <w:spacing w:val="-3"/>
        </w:rPr>
        <w:t xml:space="preserve"> </w:t>
      </w:r>
      <w:r>
        <w:t>as</w:t>
      </w:r>
      <w:r>
        <w:rPr>
          <w:spacing w:val="2"/>
        </w:rPr>
        <w:t xml:space="preserve"> </w:t>
      </w:r>
      <w:r>
        <w:rPr>
          <w:spacing w:val="-2"/>
        </w:rPr>
        <w:t>follows:</w:t>
      </w:r>
    </w:p>
    <w:p>
      <w:pPr>
        <w:pStyle w:val="BodyText"/>
        <w:spacing w:before="120"/>
        <w:ind w:left="1584" w:right="1443"/>
      </w:pPr>
      <w:r>
        <w:rPr>
          <w:rFonts w:ascii="Arial"/>
          <w:b/>
          <w:i/>
          <w:sz w:val="21"/>
        </w:rPr>
        <w:t>Option</w:t>
      </w:r>
      <w:r>
        <w:rPr>
          <w:rFonts w:ascii="Arial"/>
          <w:b/>
          <w:i/>
          <w:spacing w:val="-5"/>
          <w:sz w:val="21"/>
        </w:rPr>
        <w:t xml:space="preserve"> </w:t>
      </w:r>
      <w:r>
        <w:rPr>
          <w:rFonts w:ascii="Arial"/>
          <w:b/>
          <w:i/>
          <w:sz w:val="21"/>
        </w:rPr>
        <w:t>A:</w:t>
      </w:r>
      <w:r>
        <w:rPr>
          <w:rFonts w:ascii="Arial"/>
          <w:b/>
          <w:i/>
          <w:spacing w:val="-1"/>
          <w:sz w:val="21"/>
        </w:rPr>
        <w:t xml:space="preserve"> </w:t>
      </w:r>
      <w:r>
        <w:t>Use</w:t>
      </w:r>
      <w:r>
        <w:rPr>
          <w:spacing w:val="-3"/>
        </w:rPr>
        <w:t xml:space="preserve"> </w:t>
      </w:r>
      <w:r>
        <w:t>the</w:t>
      </w:r>
      <w:r>
        <w:rPr>
          <w:spacing w:val="-3"/>
        </w:rPr>
        <w:t xml:space="preserve"> </w:t>
      </w:r>
      <w:r>
        <w:t>finest</w:t>
      </w:r>
      <w:r>
        <w:rPr>
          <w:spacing w:val="-2"/>
        </w:rPr>
        <w:t xml:space="preserve"> </w:t>
      </w:r>
      <w:r>
        <w:t>level</w:t>
      </w:r>
      <w:r>
        <w:rPr>
          <w:spacing w:val="-2"/>
        </w:rPr>
        <w:t xml:space="preserve"> </w:t>
      </w:r>
      <w:r>
        <w:t>of</w:t>
      </w:r>
      <w:r>
        <w:rPr>
          <w:spacing w:val="-2"/>
        </w:rPr>
        <w:t xml:space="preserve"> </w:t>
      </w:r>
      <w:r>
        <w:t>detail,</w:t>
      </w:r>
      <w:r>
        <w:rPr>
          <w:spacing w:val="-2"/>
        </w:rPr>
        <w:t xml:space="preserve"> </w:t>
      </w:r>
      <w:r>
        <w:t>with</w:t>
      </w:r>
      <w:r>
        <w:rPr>
          <w:spacing w:val="-2"/>
        </w:rPr>
        <w:t xml:space="preserve"> </w:t>
      </w:r>
      <w:r>
        <w:t>individual</w:t>
      </w:r>
      <w:r>
        <w:rPr>
          <w:spacing w:val="-2"/>
        </w:rPr>
        <w:t xml:space="preserve"> </w:t>
      </w:r>
      <w:r>
        <w:t>MH</w:t>
      </w:r>
      <w:r>
        <w:rPr>
          <w:spacing w:val="-3"/>
        </w:rPr>
        <w:t xml:space="preserve"> </w:t>
      </w:r>
      <w:r>
        <w:t>in</w:t>
      </w:r>
      <w:r>
        <w:rPr>
          <w:spacing w:val="-2"/>
        </w:rPr>
        <w:t xml:space="preserve"> </w:t>
      </w:r>
      <w:r>
        <w:t>line</w:t>
      </w:r>
      <w:r>
        <w:rPr>
          <w:spacing w:val="-2"/>
        </w:rPr>
        <w:t xml:space="preserve"> </w:t>
      </w:r>
      <w:r>
        <w:t>i3</w:t>
      </w:r>
      <w:r>
        <w:rPr>
          <w:spacing w:val="-2"/>
        </w:rPr>
        <w:t xml:space="preserve"> </w:t>
      </w:r>
      <w:r>
        <w:t>and</w:t>
      </w:r>
      <w:r>
        <w:rPr>
          <w:spacing w:val="-3"/>
        </w:rPr>
        <w:t xml:space="preserve"> </w:t>
      </w:r>
      <w:r>
        <w:t>group</w:t>
      </w:r>
      <w:r>
        <w:rPr>
          <w:spacing w:val="-3"/>
        </w:rPr>
        <w:t xml:space="preserve"> </w:t>
      </w:r>
      <w:r>
        <w:t>MH in line i6.</w:t>
      </w:r>
    </w:p>
    <w:p>
      <w:pPr>
        <w:pStyle w:val="BodyText"/>
        <w:spacing w:before="4"/>
        <w:ind w:left="0"/>
        <w:rPr>
          <w:sz w:val="11"/>
        </w:rPr>
      </w:pPr>
    </w:p>
    <w:tbl>
      <w:tblPr>
        <w:tblStyle w:val="TableNormal"/>
        <w:tblW w:w="0" w:type="auto"/>
        <w:jc w:val="left"/>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28"/>
        <w:gridCol w:w="1221"/>
        <w:gridCol w:w="1191"/>
        <w:gridCol w:w="1141"/>
      </w:tblGrid>
      <w:tr>
        <w:tblPrEx>
          <w:tblW w:w="0" w:type="auto"/>
          <w:jc w:val="left"/>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57"/>
          <w:jc w:val="left"/>
        </w:trPr>
        <w:tc>
          <w:tcPr>
            <w:tcW w:w="2728" w:type="dxa"/>
          </w:tcPr>
          <w:p>
            <w:pPr>
              <w:pStyle w:val="TableParagraph"/>
              <w:spacing w:line="238" w:lineRule="exact"/>
              <w:ind w:left="50"/>
              <w:rPr>
                <w:b/>
                <w:sz w:val="22"/>
              </w:rPr>
            </w:pPr>
            <w:r>
              <w:rPr>
                <w:b/>
                <w:sz w:val="22"/>
                <w:u w:val="single"/>
              </w:rPr>
              <w:t>Line</w:t>
            </w:r>
            <w:r>
              <w:rPr>
                <w:b/>
                <w:spacing w:val="-1"/>
                <w:sz w:val="22"/>
                <w:u w:val="single"/>
              </w:rPr>
              <w:t xml:space="preserve"> </w:t>
            </w:r>
            <w:r>
              <w:rPr>
                <w:b/>
                <w:sz w:val="22"/>
                <w:u w:val="single"/>
              </w:rPr>
              <w:t xml:space="preserve">– </w:t>
            </w:r>
            <w:r>
              <w:rPr>
                <w:b/>
                <w:spacing w:val="-2"/>
                <w:sz w:val="22"/>
                <w:u w:val="single"/>
              </w:rPr>
              <w:t>Description</w:t>
            </w:r>
          </w:p>
        </w:tc>
        <w:tc>
          <w:tcPr>
            <w:tcW w:w="1221" w:type="dxa"/>
          </w:tcPr>
          <w:p>
            <w:pPr>
              <w:pStyle w:val="TableParagraph"/>
              <w:spacing w:line="238" w:lineRule="exact"/>
              <w:ind w:left="142"/>
              <w:rPr>
                <w:b/>
                <w:sz w:val="22"/>
              </w:rPr>
            </w:pPr>
            <w:r>
              <w:rPr>
                <w:b/>
                <w:sz w:val="22"/>
                <w:u w:val="single"/>
              </w:rPr>
              <w:t>Column</w:t>
            </w:r>
            <w:r>
              <w:rPr>
                <w:b/>
                <w:spacing w:val="-4"/>
                <w:sz w:val="22"/>
                <w:u w:val="single"/>
              </w:rPr>
              <w:t xml:space="preserve"> </w:t>
            </w:r>
            <w:r>
              <w:rPr>
                <w:b/>
                <w:spacing w:val="-10"/>
                <w:sz w:val="22"/>
                <w:u w:val="single"/>
              </w:rPr>
              <w:t>g</w:t>
            </w:r>
          </w:p>
        </w:tc>
        <w:tc>
          <w:tcPr>
            <w:tcW w:w="1191" w:type="dxa"/>
          </w:tcPr>
          <w:p>
            <w:pPr>
              <w:pStyle w:val="TableParagraph"/>
              <w:spacing w:line="238" w:lineRule="exact"/>
              <w:ind w:left="87" w:right="87"/>
              <w:jc w:val="center"/>
              <w:rPr>
                <w:b/>
                <w:sz w:val="22"/>
              </w:rPr>
            </w:pPr>
            <w:r>
              <w:rPr>
                <w:b/>
                <w:sz w:val="22"/>
                <w:u w:val="single"/>
              </w:rPr>
              <w:t>Column</w:t>
            </w:r>
            <w:r>
              <w:rPr>
                <w:b/>
                <w:spacing w:val="-7"/>
                <w:sz w:val="22"/>
                <w:u w:val="single"/>
              </w:rPr>
              <w:t xml:space="preserve"> </w:t>
            </w:r>
            <w:r>
              <w:rPr>
                <w:b/>
                <w:spacing w:val="-10"/>
                <w:sz w:val="22"/>
                <w:u w:val="single"/>
              </w:rPr>
              <w:t>j</w:t>
            </w:r>
          </w:p>
        </w:tc>
        <w:tc>
          <w:tcPr>
            <w:tcW w:w="1141" w:type="dxa"/>
          </w:tcPr>
          <w:p>
            <w:pPr>
              <w:pStyle w:val="TableParagraph"/>
              <w:spacing w:line="238" w:lineRule="exact"/>
              <w:ind w:left="97"/>
              <w:jc w:val="center"/>
              <w:rPr>
                <w:b/>
                <w:sz w:val="22"/>
              </w:rPr>
            </w:pPr>
            <w:r>
              <w:rPr>
                <w:b/>
                <w:sz w:val="22"/>
                <w:u w:val="single"/>
              </w:rPr>
              <w:t>Column</w:t>
            </w:r>
            <w:r>
              <w:rPr>
                <w:b/>
                <w:spacing w:val="-4"/>
                <w:sz w:val="22"/>
                <w:u w:val="single"/>
              </w:rPr>
              <w:t xml:space="preserve"> </w:t>
            </w:r>
            <w:r>
              <w:rPr>
                <w:b/>
                <w:spacing w:val="-10"/>
                <w:sz w:val="22"/>
                <w:u w:val="single"/>
              </w:rPr>
              <w:t>k</w:t>
            </w:r>
          </w:p>
        </w:tc>
      </w:tr>
      <w:tr>
        <w:tblPrEx>
          <w:tblW w:w="0" w:type="auto"/>
          <w:jc w:val="left"/>
          <w:tblInd w:w="1928" w:type="dxa"/>
          <w:tblLayout w:type="fixed"/>
          <w:tblCellMar>
            <w:top w:w="0" w:type="dxa"/>
            <w:left w:w="0" w:type="dxa"/>
            <w:bottom w:w="0" w:type="dxa"/>
            <w:right w:w="0" w:type="dxa"/>
          </w:tblCellMar>
          <w:tblLook w:val="01E0"/>
        </w:tblPrEx>
        <w:trPr>
          <w:trHeight w:val="261"/>
          <w:jc w:val="left"/>
        </w:trPr>
        <w:tc>
          <w:tcPr>
            <w:tcW w:w="2728" w:type="dxa"/>
          </w:tcPr>
          <w:p>
            <w:pPr>
              <w:pStyle w:val="TableParagraph"/>
              <w:spacing w:before="4" w:line="237" w:lineRule="exact"/>
              <w:ind w:left="50"/>
              <w:rPr>
                <w:sz w:val="22"/>
              </w:rPr>
            </w:pPr>
            <w:r>
              <w:rPr>
                <w:sz w:val="22"/>
              </w:rPr>
              <w:t>Line</w:t>
            </w:r>
            <w:r>
              <w:rPr>
                <w:spacing w:val="-2"/>
                <w:sz w:val="22"/>
              </w:rPr>
              <w:t xml:space="preserve"> </w:t>
            </w:r>
            <w:r>
              <w:rPr>
                <w:sz w:val="22"/>
              </w:rPr>
              <w:t xml:space="preserve">i1 – </w:t>
            </w:r>
            <w:r>
              <w:rPr>
                <w:spacing w:val="-5"/>
                <w:sz w:val="22"/>
              </w:rPr>
              <w:t>PCP</w:t>
            </w:r>
          </w:p>
        </w:tc>
        <w:tc>
          <w:tcPr>
            <w:tcW w:w="1221" w:type="dxa"/>
          </w:tcPr>
          <w:p>
            <w:pPr>
              <w:pStyle w:val="TableParagraph"/>
              <w:spacing w:before="4" w:line="237" w:lineRule="exact"/>
              <w:ind w:left="447"/>
              <w:rPr>
                <w:sz w:val="22"/>
              </w:rPr>
            </w:pPr>
            <w:r>
              <w:rPr>
                <w:spacing w:val="-2"/>
                <w:sz w:val="22"/>
              </w:rPr>
              <w:t>5,000</w:t>
            </w:r>
          </w:p>
        </w:tc>
        <w:tc>
          <w:tcPr>
            <w:tcW w:w="1191" w:type="dxa"/>
          </w:tcPr>
          <w:p>
            <w:pPr>
              <w:pStyle w:val="TableParagraph"/>
              <w:spacing w:before="4" w:line="237" w:lineRule="exact"/>
              <w:ind w:left="87"/>
              <w:jc w:val="center"/>
              <w:rPr>
                <w:sz w:val="22"/>
              </w:rPr>
            </w:pPr>
            <w:r>
              <w:rPr>
                <w:spacing w:val="-2"/>
                <w:sz w:val="22"/>
              </w:rPr>
              <w:t>$10.00</w:t>
            </w:r>
          </w:p>
        </w:tc>
        <w:tc>
          <w:tcPr>
            <w:tcW w:w="1141" w:type="dxa"/>
          </w:tcPr>
          <w:p>
            <w:pPr>
              <w:pStyle w:val="TableParagraph"/>
              <w:spacing w:before="4" w:line="237" w:lineRule="exact"/>
              <w:ind w:left="148"/>
              <w:jc w:val="center"/>
              <w:rPr>
                <w:sz w:val="22"/>
              </w:rPr>
            </w:pPr>
            <w:r>
              <w:rPr>
                <w:sz w:val="22"/>
              </w:rPr>
              <w:t>$</w:t>
            </w:r>
            <w:r>
              <w:rPr>
                <w:spacing w:val="41"/>
                <w:sz w:val="22"/>
              </w:rPr>
              <w:t xml:space="preserve"> </w:t>
            </w:r>
            <w:r>
              <w:rPr>
                <w:spacing w:val="-4"/>
                <w:sz w:val="22"/>
              </w:rPr>
              <w:t>4.17</w:t>
            </w:r>
          </w:p>
        </w:tc>
      </w:tr>
      <w:tr>
        <w:tblPrEx>
          <w:tblW w:w="0" w:type="auto"/>
          <w:jc w:val="left"/>
          <w:tblInd w:w="1928" w:type="dxa"/>
          <w:tblLayout w:type="fixed"/>
          <w:tblCellMar>
            <w:top w:w="0" w:type="dxa"/>
            <w:left w:w="0" w:type="dxa"/>
            <w:bottom w:w="0" w:type="dxa"/>
            <w:right w:w="0" w:type="dxa"/>
          </w:tblCellMar>
          <w:tblLook w:val="01E0"/>
        </w:tblPrEx>
        <w:trPr>
          <w:trHeight w:val="253"/>
          <w:jc w:val="left"/>
        </w:trPr>
        <w:tc>
          <w:tcPr>
            <w:tcW w:w="2728" w:type="dxa"/>
          </w:tcPr>
          <w:p>
            <w:pPr>
              <w:pStyle w:val="TableParagraph"/>
              <w:spacing w:line="233" w:lineRule="exact"/>
              <w:ind w:left="50"/>
              <w:rPr>
                <w:sz w:val="22"/>
              </w:rPr>
            </w:pPr>
            <w:r>
              <w:rPr>
                <w:sz w:val="22"/>
              </w:rPr>
              <w:t>Line</w:t>
            </w:r>
            <w:r>
              <w:rPr>
                <w:spacing w:val="-5"/>
                <w:sz w:val="22"/>
              </w:rPr>
              <w:t xml:space="preserve"> </w:t>
            </w:r>
            <w:r>
              <w:rPr>
                <w:sz w:val="22"/>
              </w:rPr>
              <w:t>i2</w:t>
            </w:r>
            <w:r>
              <w:rPr>
                <w:spacing w:val="-2"/>
                <w:sz w:val="22"/>
              </w:rPr>
              <w:t xml:space="preserve"> </w:t>
            </w:r>
            <w:r>
              <w:rPr>
                <w:sz w:val="22"/>
              </w:rPr>
              <w:t>–</w:t>
            </w:r>
            <w:r>
              <w:rPr>
                <w:spacing w:val="-3"/>
                <w:sz w:val="22"/>
              </w:rPr>
              <w:t xml:space="preserve"> </w:t>
            </w:r>
            <w:r>
              <w:rPr>
                <w:sz w:val="22"/>
              </w:rPr>
              <w:t>Specialist</w:t>
            </w:r>
            <w:r>
              <w:rPr>
                <w:spacing w:val="-1"/>
                <w:sz w:val="22"/>
              </w:rPr>
              <w:t xml:space="preserve"> </w:t>
            </w:r>
            <w:r>
              <w:rPr>
                <w:sz w:val="22"/>
              </w:rPr>
              <w:t>excl</w:t>
            </w:r>
            <w:r>
              <w:rPr>
                <w:spacing w:val="-4"/>
                <w:sz w:val="22"/>
              </w:rPr>
              <w:t xml:space="preserve"> </w:t>
            </w:r>
            <w:r>
              <w:rPr>
                <w:spacing w:val="-5"/>
                <w:sz w:val="22"/>
              </w:rPr>
              <w:t>MH</w:t>
            </w:r>
          </w:p>
        </w:tc>
        <w:tc>
          <w:tcPr>
            <w:tcW w:w="1221" w:type="dxa"/>
          </w:tcPr>
          <w:p>
            <w:pPr>
              <w:pStyle w:val="TableParagraph"/>
              <w:spacing w:line="233" w:lineRule="exact"/>
              <w:ind w:left="447"/>
              <w:rPr>
                <w:sz w:val="22"/>
              </w:rPr>
            </w:pPr>
            <w:r>
              <w:rPr>
                <w:spacing w:val="-2"/>
                <w:sz w:val="22"/>
              </w:rPr>
              <w:t>2,900</w:t>
            </w:r>
          </w:p>
        </w:tc>
        <w:tc>
          <w:tcPr>
            <w:tcW w:w="1191" w:type="dxa"/>
          </w:tcPr>
          <w:p>
            <w:pPr>
              <w:pStyle w:val="TableParagraph"/>
              <w:spacing w:line="233" w:lineRule="exact"/>
              <w:ind w:left="87"/>
              <w:jc w:val="center"/>
              <w:rPr>
                <w:sz w:val="22"/>
              </w:rPr>
            </w:pPr>
            <w:r>
              <w:rPr>
                <w:spacing w:val="-2"/>
                <w:sz w:val="22"/>
              </w:rPr>
              <w:t>$20.00</w:t>
            </w:r>
          </w:p>
        </w:tc>
        <w:tc>
          <w:tcPr>
            <w:tcW w:w="1141" w:type="dxa"/>
          </w:tcPr>
          <w:p>
            <w:pPr>
              <w:pStyle w:val="TableParagraph"/>
              <w:spacing w:line="233" w:lineRule="exact"/>
              <w:ind w:left="148"/>
              <w:jc w:val="center"/>
              <w:rPr>
                <w:sz w:val="22"/>
              </w:rPr>
            </w:pPr>
            <w:r>
              <w:rPr>
                <w:sz w:val="22"/>
              </w:rPr>
              <w:t>$</w:t>
            </w:r>
            <w:r>
              <w:rPr>
                <w:spacing w:val="41"/>
                <w:sz w:val="22"/>
              </w:rPr>
              <w:t xml:space="preserve"> </w:t>
            </w:r>
            <w:r>
              <w:rPr>
                <w:spacing w:val="-4"/>
                <w:sz w:val="22"/>
              </w:rPr>
              <w:t>4.83</w:t>
            </w:r>
          </w:p>
        </w:tc>
      </w:tr>
      <w:tr>
        <w:tblPrEx>
          <w:tblW w:w="0" w:type="auto"/>
          <w:jc w:val="left"/>
          <w:tblInd w:w="1928" w:type="dxa"/>
          <w:tblLayout w:type="fixed"/>
          <w:tblCellMar>
            <w:top w:w="0" w:type="dxa"/>
            <w:left w:w="0" w:type="dxa"/>
            <w:bottom w:w="0" w:type="dxa"/>
            <w:right w:w="0" w:type="dxa"/>
          </w:tblCellMar>
          <w:tblLook w:val="01E0"/>
        </w:tblPrEx>
        <w:trPr>
          <w:trHeight w:val="253"/>
          <w:jc w:val="left"/>
        </w:trPr>
        <w:tc>
          <w:tcPr>
            <w:tcW w:w="2728" w:type="dxa"/>
          </w:tcPr>
          <w:p>
            <w:pPr>
              <w:pStyle w:val="TableParagraph"/>
              <w:spacing w:line="233" w:lineRule="exact"/>
              <w:ind w:left="50"/>
              <w:rPr>
                <w:sz w:val="22"/>
              </w:rPr>
            </w:pPr>
            <w:r>
              <w:rPr>
                <w:sz w:val="22"/>
              </w:rPr>
              <w:t>Line</w:t>
            </w:r>
            <w:r>
              <w:rPr>
                <w:spacing w:val="-3"/>
                <w:sz w:val="22"/>
              </w:rPr>
              <w:t xml:space="preserve"> </w:t>
            </w:r>
            <w:r>
              <w:rPr>
                <w:sz w:val="22"/>
              </w:rPr>
              <w:t>i3</w:t>
            </w:r>
            <w:r>
              <w:rPr>
                <w:spacing w:val="-1"/>
                <w:sz w:val="22"/>
              </w:rPr>
              <w:t xml:space="preserve"> </w:t>
            </w:r>
            <w:r>
              <w:rPr>
                <w:sz w:val="22"/>
              </w:rPr>
              <w:t>–</w:t>
            </w:r>
            <w:r>
              <w:rPr>
                <w:spacing w:val="-3"/>
                <w:sz w:val="22"/>
              </w:rPr>
              <w:t xml:space="preserve"> </w:t>
            </w:r>
            <w:r>
              <w:rPr>
                <w:sz w:val="22"/>
              </w:rPr>
              <w:t>Mental</w:t>
            </w:r>
            <w:r>
              <w:rPr>
                <w:spacing w:val="-1"/>
                <w:sz w:val="22"/>
              </w:rPr>
              <w:t xml:space="preserve"> </w:t>
            </w:r>
            <w:r>
              <w:rPr>
                <w:spacing w:val="-2"/>
                <w:sz w:val="22"/>
              </w:rPr>
              <w:t>Health</w:t>
            </w:r>
          </w:p>
        </w:tc>
        <w:tc>
          <w:tcPr>
            <w:tcW w:w="1221" w:type="dxa"/>
          </w:tcPr>
          <w:p>
            <w:pPr>
              <w:pStyle w:val="TableParagraph"/>
              <w:spacing w:line="233" w:lineRule="exact"/>
              <w:ind w:left="687"/>
              <w:rPr>
                <w:sz w:val="22"/>
              </w:rPr>
            </w:pPr>
            <w:r>
              <w:rPr>
                <w:spacing w:val="-5"/>
                <w:sz w:val="22"/>
              </w:rPr>
              <w:t>50</w:t>
            </w:r>
          </w:p>
        </w:tc>
        <w:tc>
          <w:tcPr>
            <w:tcW w:w="1191" w:type="dxa"/>
          </w:tcPr>
          <w:p>
            <w:pPr>
              <w:pStyle w:val="TableParagraph"/>
              <w:spacing w:line="233" w:lineRule="exact"/>
              <w:ind w:left="87"/>
              <w:jc w:val="center"/>
              <w:rPr>
                <w:sz w:val="22"/>
              </w:rPr>
            </w:pPr>
            <w:r>
              <w:rPr>
                <w:spacing w:val="-2"/>
                <w:sz w:val="22"/>
              </w:rPr>
              <w:t>$40.00</w:t>
            </w:r>
          </w:p>
        </w:tc>
        <w:tc>
          <w:tcPr>
            <w:tcW w:w="1141" w:type="dxa"/>
          </w:tcPr>
          <w:p>
            <w:pPr>
              <w:pStyle w:val="TableParagraph"/>
              <w:spacing w:line="233" w:lineRule="exact"/>
              <w:ind w:left="148"/>
              <w:jc w:val="center"/>
              <w:rPr>
                <w:sz w:val="22"/>
              </w:rPr>
            </w:pPr>
            <w:r>
              <w:rPr>
                <w:sz w:val="22"/>
              </w:rPr>
              <w:t>$</w:t>
            </w:r>
            <w:r>
              <w:rPr>
                <w:spacing w:val="41"/>
                <w:sz w:val="22"/>
              </w:rPr>
              <w:t xml:space="preserve"> </w:t>
            </w:r>
            <w:r>
              <w:rPr>
                <w:spacing w:val="-4"/>
                <w:sz w:val="22"/>
              </w:rPr>
              <w:t>0.17</w:t>
            </w:r>
          </w:p>
        </w:tc>
      </w:tr>
      <w:tr>
        <w:tblPrEx>
          <w:tblW w:w="0" w:type="auto"/>
          <w:jc w:val="left"/>
          <w:tblInd w:w="1928" w:type="dxa"/>
          <w:tblLayout w:type="fixed"/>
          <w:tblCellMar>
            <w:top w:w="0" w:type="dxa"/>
            <w:left w:w="0" w:type="dxa"/>
            <w:bottom w:w="0" w:type="dxa"/>
            <w:right w:w="0" w:type="dxa"/>
          </w:tblCellMar>
          <w:tblLook w:val="01E0"/>
        </w:tblPrEx>
        <w:trPr>
          <w:trHeight w:val="252"/>
          <w:jc w:val="left"/>
        </w:trPr>
        <w:tc>
          <w:tcPr>
            <w:tcW w:w="2728" w:type="dxa"/>
          </w:tcPr>
          <w:p>
            <w:pPr>
              <w:pStyle w:val="TableParagraph"/>
              <w:spacing w:line="232" w:lineRule="exact"/>
              <w:ind w:left="50"/>
              <w:rPr>
                <w:sz w:val="22"/>
              </w:rPr>
            </w:pPr>
            <w:r>
              <w:rPr>
                <w:sz w:val="22"/>
              </w:rPr>
              <w:t>Line</w:t>
            </w:r>
            <w:r>
              <w:rPr>
                <w:spacing w:val="-2"/>
                <w:sz w:val="22"/>
              </w:rPr>
              <w:t xml:space="preserve"> </w:t>
            </w:r>
            <w:r>
              <w:rPr>
                <w:sz w:val="22"/>
              </w:rPr>
              <w:t xml:space="preserve">i6 – </w:t>
            </w:r>
            <w:r>
              <w:rPr>
                <w:spacing w:val="-2"/>
                <w:sz w:val="22"/>
              </w:rPr>
              <w:t>Other</w:t>
            </w:r>
          </w:p>
        </w:tc>
        <w:tc>
          <w:tcPr>
            <w:tcW w:w="1221" w:type="dxa"/>
          </w:tcPr>
          <w:p>
            <w:pPr>
              <w:pStyle w:val="TableParagraph"/>
              <w:spacing w:line="232" w:lineRule="exact"/>
              <w:ind w:left="447"/>
              <w:rPr>
                <w:sz w:val="22"/>
              </w:rPr>
            </w:pPr>
            <w:r>
              <w:rPr>
                <w:spacing w:val="65"/>
                <w:sz w:val="22"/>
                <w:u w:val="single"/>
              </w:rPr>
              <w:t xml:space="preserve">  </w:t>
            </w:r>
            <w:r>
              <w:rPr>
                <w:spacing w:val="-5"/>
                <w:sz w:val="22"/>
                <w:u w:val="single"/>
              </w:rPr>
              <w:t>50</w:t>
            </w:r>
          </w:p>
        </w:tc>
        <w:tc>
          <w:tcPr>
            <w:tcW w:w="1191" w:type="dxa"/>
          </w:tcPr>
          <w:p>
            <w:pPr>
              <w:pStyle w:val="TableParagraph"/>
              <w:spacing w:line="232" w:lineRule="exact"/>
              <w:ind w:left="87"/>
              <w:jc w:val="center"/>
              <w:rPr>
                <w:sz w:val="22"/>
              </w:rPr>
            </w:pPr>
            <w:r>
              <w:rPr>
                <w:spacing w:val="-2"/>
                <w:sz w:val="22"/>
                <w:u w:val="single"/>
              </w:rPr>
              <w:t>$20.00</w:t>
            </w:r>
          </w:p>
        </w:tc>
        <w:tc>
          <w:tcPr>
            <w:tcW w:w="1141" w:type="dxa"/>
          </w:tcPr>
          <w:p>
            <w:pPr>
              <w:pStyle w:val="TableParagraph"/>
              <w:spacing w:line="232" w:lineRule="exact"/>
              <w:ind w:left="148"/>
              <w:jc w:val="center"/>
              <w:rPr>
                <w:sz w:val="22"/>
              </w:rPr>
            </w:pPr>
            <w:r>
              <w:rPr>
                <w:sz w:val="22"/>
                <w:u w:val="single"/>
              </w:rPr>
              <w:t>$</w:t>
            </w:r>
            <w:r>
              <w:rPr>
                <w:spacing w:val="41"/>
                <w:sz w:val="22"/>
                <w:u w:val="single"/>
              </w:rPr>
              <w:t xml:space="preserve"> </w:t>
            </w:r>
            <w:r>
              <w:rPr>
                <w:spacing w:val="-4"/>
                <w:sz w:val="22"/>
                <w:u w:val="single"/>
              </w:rPr>
              <w:t>0.08</w:t>
            </w:r>
          </w:p>
        </w:tc>
      </w:tr>
      <w:tr>
        <w:tblPrEx>
          <w:tblW w:w="0" w:type="auto"/>
          <w:jc w:val="left"/>
          <w:tblInd w:w="1928" w:type="dxa"/>
          <w:tblLayout w:type="fixed"/>
          <w:tblCellMar>
            <w:top w:w="0" w:type="dxa"/>
            <w:left w:w="0" w:type="dxa"/>
            <w:bottom w:w="0" w:type="dxa"/>
            <w:right w:w="0" w:type="dxa"/>
          </w:tblCellMar>
          <w:tblLook w:val="01E0"/>
        </w:tblPrEx>
        <w:trPr>
          <w:trHeight w:val="248"/>
          <w:jc w:val="left"/>
        </w:trPr>
        <w:tc>
          <w:tcPr>
            <w:tcW w:w="2728" w:type="dxa"/>
          </w:tcPr>
          <w:p>
            <w:pPr>
              <w:pStyle w:val="TableParagraph"/>
              <w:spacing w:line="228" w:lineRule="exact"/>
              <w:ind w:left="50"/>
              <w:rPr>
                <w:sz w:val="22"/>
              </w:rPr>
            </w:pPr>
            <w:r>
              <w:rPr>
                <w:spacing w:val="-2"/>
                <w:sz w:val="22"/>
              </w:rPr>
              <w:t>Total</w:t>
            </w:r>
          </w:p>
        </w:tc>
        <w:tc>
          <w:tcPr>
            <w:tcW w:w="1221" w:type="dxa"/>
          </w:tcPr>
          <w:p>
            <w:pPr>
              <w:pStyle w:val="TableParagraph"/>
              <w:spacing w:line="228" w:lineRule="exact"/>
              <w:ind w:left="447"/>
              <w:rPr>
                <w:sz w:val="22"/>
              </w:rPr>
            </w:pPr>
            <w:r>
              <w:rPr>
                <w:spacing w:val="-2"/>
                <w:sz w:val="22"/>
              </w:rPr>
              <w:t>8,000</w:t>
            </w:r>
          </w:p>
        </w:tc>
        <w:tc>
          <w:tcPr>
            <w:tcW w:w="1191" w:type="dxa"/>
          </w:tcPr>
          <w:p>
            <w:pPr>
              <w:pStyle w:val="TableParagraph"/>
              <w:spacing w:line="228" w:lineRule="exact"/>
              <w:ind w:left="87"/>
              <w:jc w:val="center"/>
              <w:rPr>
                <w:sz w:val="22"/>
              </w:rPr>
            </w:pPr>
            <w:r>
              <w:rPr>
                <w:spacing w:val="-2"/>
                <w:sz w:val="22"/>
              </w:rPr>
              <w:t>$13.88</w:t>
            </w:r>
          </w:p>
        </w:tc>
        <w:tc>
          <w:tcPr>
            <w:tcW w:w="1141" w:type="dxa"/>
          </w:tcPr>
          <w:p>
            <w:pPr>
              <w:pStyle w:val="TableParagraph"/>
              <w:spacing w:line="228" w:lineRule="exact"/>
              <w:ind w:left="148"/>
              <w:jc w:val="center"/>
              <w:rPr>
                <w:sz w:val="22"/>
              </w:rPr>
            </w:pPr>
            <w:r>
              <w:rPr>
                <w:sz w:val="22"/>
              </w:rPr>
              <w:t>$</w:t>
            </w:r>
            <w:r>
              <w:rPr>
                <w:spacing w:val="41"/>
                <w:sz w:val="22"/>
              </w:rPr>
              <w:t xml:space="preserve"> </w:t>
            </w:r>
            <w:r>
              <w:rPr>
                <w:spacing w:val="-4"/>
                <w:sz w:val="22"/>
              </w:rPr>
              <w:t>9.25</w:t>
            </w:r>
          </w:p>
        </w:tc>
      </w:tr>
    </w:tbl>
    <w:p>
      <w:pPr>
        <w:pStyle w:val="BodyText"/>
        <w:spacing w:before="124"/>
        <w:ind w:left="1584" w:right="1443"/>
      </w:pPr>
      <w:r>
        <w:t>Note</w:t>
      </w:r>
      <w:r>
        <w:rPr>
          <w:spacing w:val="-3"/>
        </w:rPr>
        <w:t xml:space="preserve"> </w:t>
      </w:r>
      <w:r>
        <w:t>that</w:t>
      </w:r>
      <w:r>
        <w:rPr>
          <w:spacing w:val="-2"/>
        </w:rPr>
        <w:t xml:space="preserve"> </w:t>
      </w:r>
      <w:r>
        <w:t>one</w:t>
      </w:r>
      <w:r>
        <w:rPr>
          <w:spacing w:val="-3"/>
        </w:rPr>
        <w:t xml:space="preserve"> </w:t>
      </w:r>
      <w:r>
        <w:t>of</w:t>
      </w:r>
      <w:r>
        <w:rPr>
          <w:spacing w:val="-2"/>
        </w:rPr>
        <w:t xml:space="preserve"> </w:t>
      </w:r>
      <w:r>
        <w:t>the</w:t>
      </w:r>
      <w:r>
        <w:rPr>
          <w:spacing w:val="-4"/>
        </w:rPr>
        <w:t xml:space="preserve"> </w:t>
      </w:r>
      <w:r>
        <w:t>blank</w:t>
      </w:r>
      <w:r>
        <w:rPr>
          <w:spacing w:val="-2"/>
        </w:rPr>
        <w:t xml:space="preserve"> </w:t>
      </w:r>
      <w:r>
        <w:t>rows</w:t>
      </w:r>
      <w:r>
        <w:rPr>
          <w:spacing w:val="-3"/>
        </w:rPr>
        <w:t xml:space="preserve"> </w:t>
      </w:r>
      <w:r>
        <w:t>at</w:t>
      </w:r>
      <w:r>
        <w:rPr>
          <w:spacing w:val="-2"/>
        </w:rPr>
        <w:t xml:space="preserve"> </w:t>
      </w:r>
      <w:r>
        <w:t>the</w:t>
      </w:r>
      <w:r>
        <w:rPr>
          <w:spacing w:val="-3"/>
        </w:rPr>
        <w:t xml:space="preserve"> </w:t>
      </w:r>
      <w:r>
        <w:t>bottom</w:t>
      </w:r>
      <w:r>
        <w:rPr>
          <w:spacing w:val="-2"/>
        </w:rPr>
        <w:t xml:space="preserve"> </w:t>
      </w:r>
      <w:r>
        <w:t>of</w:t>
      </w:r>
      <w:r>
        <w:rPr>
          <w:spacing w:val="-2"/>
        </w:rPr>
        <w:t xml:space="preserve"> </w:t>
      </w:r>
      <w:r>
        <w:t>the</w:t>
      </w:r>
      <w:r>
        <w:rPr>
          <w:spacing w:val="-3"/>
        </w:rPr>
        <w:t xml:space="preserve"> </w:t>
      </w:r>
      <w:r>
        <w:t>form</w:t>
      </w:r>
      <w:r>
        <w:rPr>
          <w:spacing w:val="-2"/>
        </w:rPr>
        <w:t xml:space="preserve"> </w:t>
      </w:r>
      <w:r>
        <w:t>could</w:t>
      </w:r>
      <w:r>
        <w:rPr>
          <w:spacing w:val="-2"/>
        </w:rPr>
        <w:t xml:space="preserve"> </w:t>
      </w:r>
      <w:r>
        <w:t>also</w:t>
      </w:r>
      <w:r>
        <w:rPr>
          <w:spacing w:val="-2"/>
        </w:rPr>
        <w:t xml:space="preserve"> </w:t>
      </w:r>
      <w:r>
        <w:t>be</w:t>
      </w:r>
      <w:r>
        <w:rPr>
          <w:spacing w:val="-2"/>
        </w:rPr>
        <w:t xml:space="preserve"> </w:t>
      </w:r>
      <w:r>
        <w:t>used</w:t>
      </w:r>
      <w:r>
        <w:rPr>
          <w:spacing w:val="-2"/>
        </w:rPr>
        <w:t xml:space="preserve"> </w:t>
      </w:r>
      <w:r>
        <w:t>to</w:t>
      </w:r>
      <w:r>
        <w:rPr>
          <w:spacing w:val="-2"/>
        </w:rPr>
        <w:t xml:space="preserve"> </w:t>
      </w:r>
      <w:r>
        <w:t>enter one of the MH copays.</w:t>
      </w:r>
    </w:p>
    <w:p>
      <w:pPr>
        <w:pStyle w:val="BodyText"/>
        <w:spacing w:before="120"/>
        <w:ind w:left="1584" w:right="1481"/>
      </w:pPr>
      <w:r>
        <w:rPr>
          <w:rFonts w:ascii="Arial"/>
          <w:b/>
          <w:i/>
          <w:sz w:val="21"/>
        </w:rPr>
        <w:t>Option</w:t>
      </w:r>
      <w:r>
        <w:rPr>
          <w:rFonts w:ascii="Arial"/>
          <w:b/>
          <w:i/>
          <w:spacing w:val="-5"/>
          <w:sz w:val="21"/>
        </w:rPr>
        <w:t xml:space="preserve"> </w:t>
      </w:r>
      <w:r>
        <w:rPr>
          <w:rFonts w:ascii="Arial"/>
          <w:b/>
          <w:i/>
          <w:sz w:val="21"/>
        </w:rPr>
        <w:t>B:</w:t>
      </w:r>
      <w:r>
        <w:rPr>
          <w:rFonts w:ascii="Arial"/>
          <w:b/>
          <w:i/>
          <w:spacing w:val="-2"/>
          <w:sz w:val="21"/>
        </w:rPr>
        <w:t xml:space="preserve"> </w:t>
      </w:r>
      <w:r>
        <w:t>Same</w:t>
      </w:r>
      <w:r>
        <w:rPr>
          <w:spacing w:val="-3"/>
        </w:rPr>
        <w:t xml:space="preserve"> </w:t>
      </w:r>
      <w:r>
        <w:t>as</w:t>
      </w:r>
      <w:r>
        <w:rPr>
          <w:spacing w:val="-2"/>
        </w:rPr>
        <w:t xml:space="preserve"> </w:t>
      </w:r>
      <w:r>
        <w:t>Option</w:t>
      </w:r>
      <w:r>
        <w:rPr>
          <w:spacing w:val="-3"/>
        </w:rPr>
        <w:t xml:space="preserve"> </w:t>
      </w:r>
      <w:r>
        <w:t>A</w:t>
      </w:r>
      <w:r>
        <w:rPr>
          <w:spacing w:val="-4"/>
        </w:rPr>
        <w:t xml:space="preserve"> </w:t>
      </w:r>
      <w:r>
        <w:t>but</w:t>
      </w:r>
      <w:r>
        <w:rPr>
          <w:spacing w:val="-3"/>
        </w:rPr>
        <w:t xml:space="preserve"> </w:t>
      </w:r>
      <w:r>
        <w:t>combine</w:t>
      </w:r>
      <w:r>
        <w:rPr>
          <w:spacing w:val="-4"/>
        </w:rPr>
        <w:t xml:space="preserve"> </w:t>
      </w:r>
      <w:r>
        <w:t>the</w:t>
      </w:r>
      <w:r>
        <w:rPr>
          <w:spacing w:val="-4"/>
        </w:rPr>
        <w:t xml:space="preserve"> </w:t>
      </w:r>
      <w:r>
        <w:t>individual</w:t>
      </w:r>
      <w:r>
        <w:rPr>
          <w:spacing w:val="-3"/>
        </w:rPr>
        <w:t xml:space="preserve"> </w:t>
      </w:r>
      <w:r>
        <w:t>and</w:t>
      </w:r>
      <w:r>
        <w:rPr>
          <w:spacing w:val="-3"/>
        </w:rPr>
        <w:t xml:space="preserve"> </w:t>
      </w:r>
      <w:r>
        <w:t>group</w:t>
      </w:r>
      <w:r>
        <w:rPr>
          <w:spacing w:val="-3"/>
        </w:rPr>
        <w:t xml:space="preserve"> </w:t>
      </w:r>
      <w:r>
        <w:t>MH</w:t>
      </w:r>
      <w:r>
        <w:rPr>
          <w:spacing w:val="-4"/>
        </w:rPr>
        <w:t xml:space="preserve"> </w:t>
      </w:r>
      <w:r>
        <w:t>copays</w:t>
      </w:r>
      <w:r>
        <w:rPr>
          <w:spacing w:val="-4"/>
        </w:rPr>
        <w:t xml:space="preserve"> </w:t>
      </w:r>
      <w:r>
        <w:t>onto line i3.</w:t>
      </w:r>
    </w:p>
    <w:p>
      <w:pPr>
        <w:pStyle w:val="BodyText"/>
        <w:spacing w:before="4"/>
        <w:ind w:left="0"/>
        <w:rPr>
          <w:sz w:val="11"/>
        </w:rPr>
      </w:pPr>
    </w:p>
    <w:tbl>
      <w:tblPr>
        <w:tblStyle w:val="TableNormal"/>
        <w:tblW w:w="0" w:type="auto"/>
        <w:jc w:val="left"/>
        <w:tblInd w:w="2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25"/>
        <w:gridCol w:w="835"/>
        <w:gridCol w:w="3116"/>
        <w:gridCol w:w="1022"/>
        <w:gridCol w:w="790"/>
      </w:tblGrid>
      <w:tr>
        <w:tblPrEx>
          <w:tblW w:w="0" w:type="auto"/>
          <w:jc w:val="left"/>
          <w:tblInd w:w="2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56"/>
          <w:jc w:val="left"/>
        </w:trPr>
        <w:tc>
          <w:tcPr>
            <w:tcW w:w="1925" w:type="dxa"/>
          </w:tcPr>
          <w:p>
            <w:pPr>
              <w:pStyle w:val="TableParagraph"/>
              <w:spacing w:line="237" w:lineRule="exact"/>
              <w:ind w:left="50"/>
              <w:rPr>
                <w:b/>
                <w:sz w:val="22"/>
              </w:rPr>
            </w:pPr>
            <w:r>
              <w:rPr>
                <w:b/>
                <w:sz w:val="22"/>
                <w:u w:val="single"/>
              </w:rPr>
              <w:t>Line</w:t>
            </w:r>
            <w:r>
              <w:rPr>
                <w:b/>
                <w:spacing w:val="-1"/>
                <w:sz w:val="22"/>
                <w:u w:val="single"/>
              </w:rPr>
              <w:t xml:space="preserve"> </w:t>
            </w:r>
            <w:r>
              <w:rPr>
                <w:b/>
                <w:sz w:val="22"/>
                <w:u w:val="single"/>
              </w:rPr>
              <w:t xml:space="preserve">– </w:t>
            </w:r>
            <w:r>
              <w:rPr>
                <w:b/>
                <w:spacing w:val="-2"/>
                <w:sz w:val="22"/>
                <w:u w:val="single"/>
              </w:rPr>
              <w:t>Description</w:t>
            </w:r>
          </w:p>
        </w:tc>
        <w:tc>
          <w:tcPr>
            <w:tcW w:w="835" w:type="dxa"/>
          </w:tcPr>
          <w:p>
            <w:pPr>
              <w:pStyle w:val="TableParagraph"/>
              <w:spacing w:line="237" w:lineRule="exact"/>
              <w:ind w:left="136"/>
              <w:rPr>
                <w:b/>
                <w:sz w:val="22"/>
              </w:rPr>
            </w:pPr>
            <w:r>
              <w:rPr>
                <w:b/>
                <w:sz w:val="22"/>
                <w:u w:val="single"/>
              </w:rPr>
              <w:t>Col</w:t>
            </w:r>
            <w:r>
              <w:rPr>
                <w:b/>
                <w:spacing w:val="-1"/>
                <w:sz w:val="22"/>
                <w:u w:val="single"/>
              </w:rPr>
              <w:t xml:space="preserve"> </w:t>
            </w:r>
            <w:r>
              <w:rPr>
                <w:b/>
                <w:spacing w:val="-10"/>
                <w:sz w:val="22"/>
                <w:u w:val="single"/>
              </w:rPr>
              <w:t>g</w:t>
            </w:r>
          </w:p>
        </w:tc>
        <w:tc>
          <w:tcPr>
            <w:tcW w:w="3116" w:type="dxa"/>
          </w:tcPr>
          <w:p>
            <w:pPr>
              <w:pStyle w:val="TableParagraph"/>
              <w:spacing w:line="237" w:lineRule="exact"/>
              <w:ind w:left="112"/>
              <w:rPr>
                <w:b/>
                <w:sz w:val="22"/>
              </w:rPr>
            </w:pPr>
            <w:r>
              <w:rPr>
                <w:b/>
                <w:sz w:val="22"/>
                <w:u w:val="single"/>
              </w:rPr>
              <w:t>Col</w:t>
            </w:r>
            <w:r>
              <w:rPr>
                <w:b/>
                <w:spacing w:val="-1"/>
                <w:sz w:val="22"/>
                <w:u w:val="single"/>
              </w:rPr>
              <w:t xml:space="preserve"> </w:t>
            </w:r>
            <w:r>
              <w:rPr>
                <w:b/>
                <w:sz w:val="22"/>
                <w:u w:val="single"/>
              </w:rPr>
              <w:t>h</w:t>
            </w:r>
            <w:r>
              <w:rPr>
                <w:b/>
                <w:spacing w:val="-2"/>
                <w:sz w:val="22"/>
                <w:u w:val="single"/>
              </w:rPr>
              <w:t xml:space="preserve"> </w:t>
            </w:r>
            <w:r>
              <w:rPr>
                <w:b/>
                <w:sz w:val="22"/>
                <w:u w:val="single"/>
              </w:rPr>
              <w:t>(not</w:t>
            </w:r>
            <w:r>
              <w:rPr>
                <w:b/>
                <w:spacing w:val="-1"/>
                <w:sz w:val="22"/>
                <w:u w:val="single"/>
              </w:rPr>
              <w:t xml:space="preserve"> </w:t>
            </w:r>
            <w:r>
              <w:rPr>
                <w:b/>
                <w:sz w:val="22"/>
                <w:u w:val="single"/>
              </w:rPr>
              <w:t>in</w:t>
            </w:r>
            <w:r>
              <w:rPr>
                <w:b/>
                <w:spacing w:val="-5"/>
                <w:sz w:val="22"/>
                <w:u w:val="single"/>
              </w:rPr>
              <w:t xml:space="preserve"> </w:t>
            </w:r>
            <w:r>
              <w:rPr>
                <w:b/>
                <w:sz w:val="22"/>
                <w:u w:val="single"/>
              </w:rPr>
              <w:t>finalized</w:t>
            </w:r>
            <w:r>
              <w:rPr>
                <w:b/>
                <w:spacing w:val="-1"/>
                <w:sz w:val="22"/>
                <w:u w:val="single"/>
              </w:rPr>
              <w:t xml:space="preserve"> </w:t>
            </w:r>
            <w:r>
              <w:rPr>
                <w:b/>
                <w:spacing w:val="-4"/>
                <w:sz w:val="22"/>
                <w:u w:val="single"/>
              </w:rPr>
              <w:t>BPT)</w:t>
            </w:r>
          </w:p>
        </w:tc>
        <w:tc>
          <w:tcPr>
            <w:tcW w:w="1022" w:type="dxa"/>
          </w:tcPr>
          <w:p>
            <w:pPr>
              <w:pStyle w:val="TableParagraph"/>
              <w:spacing w:line="237" w:lineRule="exact"/>
              <w:ind w:left="168"/>
              <w:rPr>
                <w:b/>
                <w:sz w:val="22"/>
              </w:rPr>
            </w:pPr>
            <w:r>
              <w:rPr>
                <w:b/>
                <w:sz w:val="22"/>
                <w:u w:val="single"/>
              </w:rPr>
              <w:t>Col</w:t>
            </w:r>
            <w:r>
              <w:rPr>
                <w:b/>
                <w:spacing w:val="-1"/>
                <w:sz w:val="22"/>
                <w:u w:val="single"/>
              </w:rPr>
              <w:t xml:space="preserve"> </w:t>
            </w:r>
            <w:r>
              <w:rPr>
                <w:b/>
                <w:spacing w:val="-10"/>
                <w:sz w:val="22"/>
                <w:u w:val="single"/>
              </w:rPr>
              <w:t>j</w:t>
            </w:r>
          </w:p>
        </w:tc>
        <w:tc>
          <w:tcPr>
            <w:tcW w:w="790" w:type="dxa"/>
          </w:tcPr>
          <w:p>
            <w:pPr>
              <w:pStyle w:val="TableParagraph"/>
              <w:spacing w:line="237" w:lineRule="exact"/>
              <w:ind w:right="81"/>
              <w:jc w:val="right"/>
              <w:rPr>
                <w:b/>
                <w:sz w:val="22"/>
              </w:rPr>
            </w:pPr>
            <w:r>
              <w:rPr>
                <w:b/>
                <w:sz w:val="22"/>
                <w:u w:val="single"/>
              </w:rPr>
              <w:t>Col</w:t>
            </w:r>
            <w:r>
              <w:rPr>
                <w:b/>
                <w:spacing w:val="-1"/>
                <w:sz w:val="22"/>
                <w:u w:val="single"/>
              </w:rPr>
              <w:t xml:space="preserve"> </w:t>
            </w:r>
            <w:r>
              <w:rPr>
                <w:b/>
                <w:spacing w:val="-10"/>
                <w:sz w:val="22"/>
                <w:u w:val="single"/>
              </w:rPr>
              <w:t>k</w:t>
            </w:r>
          </w:p>
        </w:tc>
      </w:tr>
      <w:tr>
        <w:tblPrEx>
          <w:tblW w:w="0" w:type="auto"/>
          <w:jc w:val="left"/>
          <w:tblInd w:w="2009" w:type="dxa"/>
          <w:tblLayout w:type="fixed"/>
          <w:tblCellMar>
            <w:top w:w="0" w:type="dxa"/>
            <w:left w:w="0" w:type="dxa"/>
            <w:bottom w:w="0" w:type="dxa"/>
            <w:right w:w="0" w:type="dxa"/>
          </w:tblCellMar>
          <w:tblLook w:val="01E0"/>
        </w:tblPrEx>
        <w:trPr>
          <w:trHeight w:val="261"/>
          <w:jc w:val="left"/>
        </w:trPr>
        <w:tc>
          <w:tcPr>
            <w:tcW w:w="1925" w:type="dxa"/>
          </w:tcPr>
          <w:p>
            <w:pPr>
              <w:pStyle w:val="TableParagraph"/>
              <w:spacing w:before="3" w:line="238" w:lineRule="exact"/>
              <w:ind w:left="50"/>
              <w:rPr>
                <w:sz w:val="22"/>
              </w:rPr>
            </w:pPr>
            <w:r>
              <w:rPr>
                <w:sz w:val="22"/>
              </w:rPr>
              <w:t>Line</w:t>
            </w:r>
            <w:r>
              <w:rPr>
                <w:spacing w:val="-2"/>
                <w:sz w:val="22"/>
              </w:rPr>
              <w:t xml:space="preserve"> </w:t>
            </w:r>
            <w:r>
              <w:rPr>
                <w:sz w:val="22"/>
              </w:rPr>
              <w:t>i1</w:t>
            </w:r>
            <w:r>
              <w:rPr>
                <w:spacing w:val="1"/>
                <w:sz w:val="22"/>
              </w:rPr>
              <w:t xml:space="preserve"> </w:t>
            </w:r>
            <w:r>
              <w:rPr>
                <w:sz w:val="22"/>
              </w:rPr>
              <w:t xml:space="preserve">– </w:t>
            </w:r>
            <w:r>
              <w:rPr>
                <w:spacing w:val="-5"/>
                <w:sz w:val="22"/>
              </w:rPr>
              <w:t>PCP</w:t>
            </w:r>
          </w:p>
        </w:tc>
        <w:tc>
          <w:tcPr>
            <w:tcW w:w="835" w:type="dxa"/>
          </w:tcPr>
          <w:p>
            <w:pPr>
              <w:pStyle w:val="TableParagraph"/>
              <w:spacing w:before="3" w:line="238" w:lineRule="exact"/>
              <w:ind w:right="114"/>
              <w:jc w:val="right"/>
              <w:rPr>
                <w:sz w:val="22"/>
              </w:rPr>
            </w:pPr>
            <w:r>
              <w:rPr>
                <w:spacing w:val="-2"/>
                <w:sz w:val="22"/>
              </w:rPr>
              <w:t>5,000</w:t>
            </w:r>
          </w:p>
        </w:tc>
        <w:tc>
          <w:tcPr>
            <w:tcW w:w="3116" w:type="dxa"/>
          </w:tcPr>
          <w:p>
            <w:pPr>
              <w:pStyle w:val="TableParagraph"/>
              <w:spacing w:before="3" w:line="238" w:lineRule="exact"/>
              <w:ind w:left="112"/>
              <w:rPr>
                <w:sz w:val="22"/>
              </w:rPr>
            </w:pPr>
            <w:r>
              <w:rPr>
                <w:sz w:val="22"/>
              </w:rPr>
              <w:t>$10</w:t>
            </w:r>
            <w:r>
              <w:rPr>
                <w:spacing w:val="-3"/>
                <w:sz w:val="22"/>
              </w:rPr>
              <w:t xml:space="preserve"> </w:t>
            </w:r>
            <w:r>
              <w:rPr>
                <w:sz w:val="22"/>
              </w:rPr>
              <w:t>per</w:t>
            </w:r>
            <w:r>
              <w:rPr>
                <w:spacing w:val="-1"/>
                <w:sz w:val="22"/>
              </w:rPr>
              <w:t xml:space="preserve"> </w:t>
            </w:r>
            <w:r>
              <w:rPr>
                <w:spacing w:val="-2"/>
                <w:sz w:val="22"/>
              </w:rPr>
              <w:t>visit</w:t>
            </w:r>
          </w:p>
        </w:tc>
        <w:tc>
          <w:tcPr>
            <w:tcW w:w="1022" w:type="dxa"/>
          </w:tcPr>
          <w:p>
            <w:pPr>
              <w:pStyle w:val="TableParagraph"/>
              <w:spacing w:before="3" w:line="238" w:lineRule="exact"/>
              <w:ind w:left="213"/>
              <w:rPr>
                <w:sz w:val="22"/>
              </w:rPr>
            </w:pPr>
            <w:r>
              <w:rPr>
                <w:spacing w:val="-2"/>
                <w:sz w:val="22"/>
              </w:rPr>
              <w:t>$10.00</w:t>
            </w:r>
          </w:p>
        </w:tc>
        <w:tc>
          <w:tcPr>
            <w:tcW w:w="790" w:type="dxa"/>
          </w:tcPr>
          <w:p>
            <w:pPr>
              <w:pStyle w:val="TableParagraph"/>
              <w:spacing w:before="3" w:line="238" w:lineRule="exact"/>
              <w:ind w:right="50"/>
              <w:jc w:val="right"/>
              <w:rPr>
                <w:sz w:val="22"/>
              </w:rPr>
            </w:pPr>
            <w:r>
              <w:rPr>
                <w:spacing w:val="-2"/>
                <w:sz w:val="22"/>
              </w:rPr>
              <w:t>$4.17</w:t>
            </w:r>
          </w:p>
        </w:tc>
      </w:tr>
      <w:tr>
        <w:tblPrEx>
          <w:tblW w:w="0" w:type="auto"/>
          <w:jc w:val="left"/>
          <w:tblInd w:w="2009" w:type="dxa"/>
          <w:tblLayout w:type="fixed"/>
          <w:tblCellMar>
            <w:top w:w="0" w:type="dxa"/>
            <w:left w:w="0" w:type="dxa"/>
            <w:bottom w:w="0" w:type="dxa"/>
            <w:right w:w="0" w:type="dxa"/>
          </w:tblCellMar>
          <w:tblLook w:val="01E0"/>
        </w:tblPrEx>
        <w:trPr>
          <w:trHeight w:val="253"/>
          <w:jc w:val="left"/>
        </w:trPr>
        <w:tc>
          <w:tcPr>
            <w:tcW w:w="1925" w:type="dxa"/>
          </w:tcPr>
          <w:p>
            <w:pPr>
              <w:pStyle w:val="TableParagraph"/>
              <w:spacing w:line="233" w:lineRule="exact"/>
              <w:ind w:left="50"/>
              <w:rPr>
                <w:sz w:val="22"/>
              </w:rPr>
            </w:pPr>
            <w:r>
              <w:rPr>
                <w:sz w:val="22"/>
              </w:rPr>
              <w:t>Line</w:t>
            </w:r>
            <w:r>
              <w:rPr>
                <w:spacing w:val="-2"/>
                <w:sz w:val="22"/>
              </w:rPr>
              <w:t xml:space="preserve"> </w:t>
            </w:r>
            <w:r>
              <w:rPr>
                <w:sz w:val="22"/>
              </w:rPr>
              <w:t>i2</w:t>
            </w:r>
            <w:r>
              <w:rPr>
                <w:spacing w:val="1"/>
                <w:sz w:val="22"/>
              </w:rPr>
              <w:t xml:space="preserve"> </w:t>
            </w:r>
            <w:r>
              <w:rPr>
                <w:sz w:val="22"/>
              </w:rPr>
              <w:t xml:space="preserve">– </w:t>
            </w:r>
            <w:r>
              <w:rPr>
                <w:spacing w:val="-2"/>
                <w:sz w:val="22"/>
              </w:rPr>
              <w:t>Specialist</w:t>
            </w:r>
          </w:p>
        </w:tc>
        <w:tc>
          <w:tcPr>
            <w:tcW w:w="835" w:type="dxa"/>
          </w:tcPr>
          <w:p>
            <w:pPr>
              <w:pStyle w:val="TableParagraph"/>
              <w:rPr>
                <w:sz w:val="18"/>
              </w:rPr>
            </w:pPr>
          </w:p>
        </w:tc>
        <w:tc>
          <w:tcPr>
            <w:tcW w:w="3116" w:type="dxa"/>
          </w:tcPr>
          <w:p>
            <w:pPr>
              <w:pStyle w:val="TableParagraph"/>
              <w:rPr>
                <w:sz w:val="18"/>
              </w:rPr>
            </w:pPr>
          </w:p>
        </w:tc>
        <w:tc>
          <w:tcPr>
            <w:tcW w:w="1022" w:type="dxa"/>
          </w:tcPr>
          <w:p>
            <w:pPr>
              <w:pStyle w:val="TableParagraph"/>
              <w:rPr>
                <w:sz w:val="18"/>
              </w:rPr>
            </w:pPr>
          </w:p>
        </w:tc>
        <w:tc>
          <w:tcPr>
            <w:tcW w:w="790" w:type="dxa"/>
          </w:tcPr>
          <w:p>
            <w:pPr>
              <w:pStyle w:val="TableParagraph"/>
              <w:rPr>
                <w:sz w:val="18"/>
              </w:rPr>
            </w:pPr>
          </w:p>
        </w:tc>
      </w:tr>
      <w:tr>
        <w:tblPrEx>
          <w:tblW w:w="0" w:type="auto"/>
          <w:jc w:val="left"/>
          <w:tblInd w:w="2009" w:type="dxa"/>
          <w:tblLayout w:type="fixed"/>
          <w:tblCellMar>
            <w:top w:w="0" w:type="dxa"/>
            <w:left w:w="0" w:type="dxa"/>
            <w:bottom w:w="0" w:type="dxa"/>
            <w:right w:w="0" w:type="dxa"/>
          </w:tblCellMar>
          <w:tblLook w:val="01E0"/>
        </w:tblPrEx>
        <w:trPr>
          <w:trHeight w:val="253"/>
          <w:jc w:val="left"/>
        </w:trPr>
        <w:tc>
          <w:tcPr>
            <w:tcW w:w="1925" w:type="dxa"/>
          </w:tcPr>
          <w:p>
            <w:pPr>
              <w:pStyle w:val="TableParagraph"/>
              <w:spacing w:line="233" w:lineRule="exact"/>
              <w:ind w:left="50"/>
              <w:rPr>
                <w:sz w:val="22"/>
              </w:rPr>
            </w:pPr>
            <w:r>
              <w:rPr>
                <w:sz w:val="22"/>
              </w:rPr>
              <w:t>excl</w:t>
            </w:r>
            <w:r>
              <w:rPr>
                <w:spacing w:val="-1"/>
                <w:sz w:val="22"/>
              </w:rPr>
              <w:t xml:space="preserve"> </w:t>
            </w:r>
            <w:r>
              <w:rPr>
                <w:spacing w:val="-5"/>
                <w:sz w:val="22"/>
              </w:rPr>
              <w:t>MH</w:t>
            </w:r>
          </w:p>
        </w:tc>
        <w:tc>
          <w:tcPr>
            <w:tcW w:w="835" w:type="dxa"/>
          </w:tcPr>
          <w:p>
            <w:pPr>
              <w:pStyle w:val="TableParagraph"/>
              <w:spacing w:line="233" w:lineRule="exact"/>
              <w:ind w:right="114"/>
              <w:jc w:val="right"/>
              <w:rPr>
                <w:sz w:val="22"/>
              </w:rPr>
            </w:pPr>
            <w:r>
              <w:rPr>
                <w:spacing w:val="-2"/>
                <w:sz w:val="22"/>
              </w:rPr>
              <w:t>2,900</w:t>
            </w:r>
          </w:p>
        </w:tc>
        <w:tc>
          <w:tcPr>
            <w:tcW w:w="3116" w:type="dxa"/>
          </w:tcPr>
          <w:p>
            <w:pPr>
              <w:pStyle w:val="TableParagraph"/>
              <w:spacing w:line="233" w:lineRule="exact"/>
              <w:ind w:left="112"/>
              <w:rPr>
                <w:sz w:val="22"/>
              </w:rPr>
            </w:pPr>
            <w:r>
              <w:rPr>
                <w:sz w:val="22"/>
              </w:rPr>
              <w:t>$20</w:t>
            </w:r>
            <w:r>
              <w:rPr>
                <w:spacing w:val="-3"/>
                <w:sz w:val="22"/>
              </w:rPr>
              <w:t xml:space="preserve"> </w:t>
            </w:r>
            <w:r>
              <w:rPr>
                <w:sz w:val="22"/>
              </w:rPr>
              <w:t>per</w:t>
            </w:r>
            <w:r>
              <w:rPr>
                <w:spacing w:val="-1"/>
                <w:sz w:val="22"/>
              </w:rPr>
              <w:t xml:space="preserve"> </w:t>
            </w:r>
            <w:r>
              <w:rPr>
                <w:spacing w:val="-2"/>
                <w:sz w:val="22"/>
              </w:rPr>
              <w:t>visit</w:t>
            </w:r>
          </w:p>
        </w:tc>
        <w:tc>
          <w:tcPr>
            <w:tcW w:w="1022" w:type="dxa"/>
          </w:tcPr>
          <w:p>
            <w:pPr>
              <w:pStyle w:val="TableParagraph"/>
              <w:spacing w:line="233" w:lineRule="exact"/>
              <w:ind w:left="324"/>
              <w:rPr>
                <w:sz w:val="22"/>
              </w:rPr>
            </w:pPr>
            <w:r>
              <w:rPr>
                <w:spacing w:val="-2"/>
                <w:sz w:val="22"/>
              </w:rPr>
              <w:t>20.00</w:t>
            </w:r>
          </w:p>
        </w:tc>
        <w:tc>
          <w:tcPr>
            <w:tcW w:w="790" w:type="dxa"/>
          </w:tcPr>
          <w:p>
            <w:pPr>
              <w:pStyle w:val="TableParagraph"/>
              <w:spacing w:line="233" w:lineRule="exact"/>
              <w:ind w:right="50"/>
              <w:jc w:val="right"/>
              <w:rPr>
                <w:sz w:val="22"/>
              </w:rPr>
            </w:pPr>
            <w:r>
              <w:rPr>
                <w:spacing w:val="-4"/>
                <w:sz w:val="22"/>
              </w:rPr>
              <w:t>4.83</w:t>
            </w:r>
          </w:p>
        </w:tc>
      </w:tr>
      <w:tr>
        <w:tblPrEx>
          <w:tblW w:w="0" w:type="auto"/>
          <w:jc w:val="left"/>
          <w:tblInd w:w="2009" w:type="dxa"/>
          <w:tblLayout w:type="fixed"/>
          <w:tblCellMar>
            <w:top w:w="0" w:type="dxa"/>
            <w:left w:w="0" w:type="dxa"/>
            <w:bottom w:w="0" w:type="dxa"/>
            <w:right w:w="0" w:type="dxa"/>
          </w:tblCellMar>
          <w:tblLook w:val="01E0"/>
        </w:tblPrEx>
        <w:trPr>
          <w:trHeight w:val="253"/>
          <w:jc w:val="left"/>
        </w:trPr>
        <w:tc>
          <w:tcPr>
            <w:tcW w:w="1925" w:type="dxa"/>
          </w:tcPr>
          <w:p>
            <w:pPr>
              <w:pStyle w:val="TableParagraph"/>
              <w:rPr>
                <w:sz w:val="18"/>
              </w:rPr>
            </w:pPr>
          </w:p>
        </w:tc>
        <w:tc>
          <w:tcPr>
            <w:tcW w:w="835" w:type="dxa"/>
          </w:tcPr>
          <w:p>
            <w:pPr>
              <w:pStyle w:val="TableParagraph"/>
              <w:rPr>
                <w:sz w:val="18"/>
              </w:rPr>
            </w:pPr>
          </w:p>
        </w:tc>
        <w:tc>
          <w:tcPr>
            <w:tcW w:w="3116" w:type="dxa"/>
          </w:tcPr>
          <w:p>
            <w:pPr>
              <w:pStyle w:val="TableParagraph"/>
              <w:spacing w:line="233" w:lineRule="exact"/>
              <w:ind w:left="112"/>
              <w:rPr>
                <w:sz w:val="22"/>
              </w:rPr>
            </w:pPr>
            <w:r>
              <w:rPr>
                <w:sz w:val="22"/>
              </w:rPr>
              <w:t>$40/visit</w:t>
            </w:r>
            <w:r>
              <w:rPr>
                <w:spacing w:val="-5"/>
                <w:sz w:val="22"/>
              </w:rPr>
              <w:t xml:space="preserve"> </w:t>
            </w:r>
            <w:r>
              <w:rPr>
                <w:sz w:val="22"/>
              </w:rPr>
              <w:t>for</w:t>
            </w:r>
            <w:r>
              <w:rPr>
                <w:spacing w:val="-4"/>
                <w:sz w:val="22"/>
              </w:rPr>
              <w:t xml:space="preserve"> </w:t>
            </w:r>
            <w:r>
              <w:rPr>
                <w:sz w:val="22"/>
              </w:rPr>
              <w:t>indiv</w:t>
            </w:r>
            <w:r>
              <w:rPr>
                <w:spacing w:val="-3"/>
                <w:sz w:val="22"/>
              </w:rPr>
              <w:t xml:space="preserve"> </w:t>
            </w:r>
            <w:r>
              <w:rPr>
                <w:sz w:val="22"/>
              </w:rPr>
              <w:t>MH</w:t>
            </w:r>
            <w:r>
              <w:rPr>
                <w:spacing w:val="-4"/>
                <w:sz w:val="22"/>
              </w:rPr>
              <w:t xml:space="preserve"> </w:t>
            </w:r>
            <w:r>
              <w:rPr>
                <w:spacing w:val="-2"/>
                <w:sz w:val="22"/>
              </w:rPr>
              <w:t>sessions,</w:t>
            </w:r>
          </w:p>
        </w:tc>
        <w:tc>
          <w:tcPr>
            <w:tcW w:w="1022" w:type="dxa"/>
          </w:tcPr>
          <w:p>
            <w:pPr>
              <w:pStyle w:val="TableParagraph"/>
              <w:rPr>
                <w:sz w:val="18"/>
              </w:rPr>
            </w:pPr>
          </w:p>
        </w:tc>
        <w:tc>
          <w:tcPr>
            <w:tcW w:w="790" w:type="dxa"/>
          </w:tcPr>
          <w:p>
            <w:pPr>
              <w:pStyle w:val="TableParagraph"/>
              <w:rPr>
                <w:sz w:val="18"/>
              </w:rPr>
            </w:pPr>
          </w:p>
        </w:tc>
      </w:tr>
      <w:tr>
        <w:tblPrEx>
          <w:tblW w:w="0" w:type="auto"/>
          <w:jc w:val="left"/>
          <w:tblInd w:w="2009" w:type="dxa"/>
          <w:tblLayout w:type="fixed"/>
          <w:tblCellMar>
            <w:top w:w="0" w:type="dxa"/>
            <w:left w:w="0" w:type="dxa"/>
            <w:bottom w:w="0" w:type="dxa"/>
            <w:right w:w="0" w:type="dxa"/>
          </w:tblCellMar>
          <w:tblLook w:val="01E0"/>
        </w:tblPrEx>
        <w:trPr>
          <w:trHeight w:val="252"/>
          <w:jc w:val="left"/>
        </w:trPr>
        <w:tc>
          <w:tcPr>
            <w:tcW w:w="1925" w:type="dxa"/>
          </w:tcPr>
          <w:p>
            <w:pPr>
              <w:pStyle w:val="TableParagraph"/>
              <w:spacing w:line="232" w:lineRule="exact"/>
              <w:ind w:left="50"/>
              <w:rPr>
                <w:sz w:val="22"/>
              </w:rPr>
            </w:pPr>
            <w:r>
              <w:rPr>
                <w:sz w:val="22"/>
              </w:rPr>
              <w:t>Line</w:t>
            </w:r>
            <w:r>
              <w:rPr>
                <w:spacing w:val="-2"/>
                <w:sz w:val="22"/>
              </w:rPr>
              <w:t xml:space="preserve"> </w:t>
            </w:r>
            <w:r>
              <w:rPr>
                <w:sz w:val="22"/>
              </w:rPr>
              <w:t>i3</w:t>
            </w:r>
            <w:r>
              <w:rPr>
                <w:spacing w:val="1"/>
                <w:sz w:val="22"/>
              </w:rPr>
              <w:t xml:space="preserve"> </w:t>
            </w:r>
            <w:r>
              <w:rPr>
                <w:sz w:val="22"/>
              </w:rPr>
              <w:t>–</w:t>
            </w:r>
            <w:r>
              <w:rPr>
                <w:spacing w:val="-3"/>
                <w:sz w:val="22"/>
              </w:rPr>
              <w:t xml:space="preserve"> </w:t>
            </w:r>
            <w:r>
              <w:rPr>
                <w:spacing w:val="-7"/>
                <w:sz w:val="22"/>
              </w:rPr>
              <w:t>MH</w:t>
            </w:r>
          </w:p>
        </w:tc>
        <w:tc>
          <w:tcPr>
            <w:tcW w:w="835" w:type="dxa"/>
          </w:tcPr>
          <w:p>
            <w:pPr>
              <w:pStyle w:val="TableParagraph"/>
              <w:spacing w:line="232" w:lineRule="exact"/>
              <w:ind w:right="115"/>
              <w:jc w:val="right"/>
              <w:rPr>
                <w:sz w:val="22"/>
              </w:rPr>
            </w:pPr>
            <w:r>
              <w:rPr>
                <w:spacing w:val="37"/>
                <w:sz w:val="22"/>
                <w:u w:val="single"/>
              </w:rPr>
              <w:t xml:space="preserve">  </w:t>
            </w:r>
            <w:r>
              <w:rPr>
                <w:spacing w:val="-5"/>
                <w:sz w:val="22"/>
                <w:u w:val="single"/>
              </w:rPr>
              <w:t>100</w:t>
            </w:r>
          </w:p>
        </w:tc>
        <w:tc>
          <w:tcPr>
            <w:tcW w:w="3116" w:type="dxa"/>
          </w:tcPr>
          <w:p>
            <w:pPr>
              <w:pStyle w:val="TableParagraph"/>
              <w:spacing w:line="232" w:lineRule="exact"/>
              <w:ind w:left="112"/>
              <w:rPr>
                <w:sz w:val="22"/>
              </w:rPr>
            </w:pPr>
            <w:r>
              <w:rPr>
                <w:sz w:val="22"/>
              </w:rPr>
              <w:t>$20/visit</w:t>
            </w:r>
            <w:r>
              <w:rPr>
                <w:spacing w:val="-5"/>
                <w:sz w:val="22"/>
              </w:rPr>
              <w:t xml:space="preserve"> </w:t>
            </w:r>
            <w:r>
              <w:rPr>
                <w:sz w:val="22"/>
              </w:rPr>
              <w:t>for</w:t>
            </w:r>
            <w:r>
              <w:rPr>
                <w:spacing w:val="-4"/>
                <w:sz w:val="22"/>
              </w:rPr>
              <w:t xml:space="preserve"> </w:t>
            </w:r>
            <w:r>
              <w:rPr>
                <w:sz w:val="22"/>
              </w:rPr>
              <w:t>group</w:t>
            </w:r>
            <w:r>
              <w:rPr>
                <w:spacing w:val="-4"/>
                <w:sz w:val="22"/>
              </w:rPr>
              <w:t xml:space="preserve"> </w:t>
            </w:r>
            <w:r>
              <w:rPr>
                <w:spacing w:val="-5"/>
                <w:sz w:val="22"/>
              </w:rPr>
              <w:t>MH</w:t>
            </w:r>
          </w:p>
        </w:tc>
        <w:tc>
          <w:tcPr>
            <w:tcW w:w="1022" w:type="dxa"/>
          </w:tcPr>
          <w:p>
            <w:pPr>
              <w:pStyle w:val="TableParagraph"/>
              <w:spacing w:line="232" w:lineRule="exact"/>
              <w:ind w:left="213"/>
              <w:rPr>
                <w:sz w:val="22"/>
              </w:rPr>
            </w:pPr>
            <w:r>
              <w:rPr>
                <w:spacing w:val="55"/>
                <w:sz w:val="22"/>
                <w:u w:val="single"/>
              </w:rPr>
              <w:t xml:space="preserve"> </w:t>
            </w:r>
            <w:r>
              <w:rPr>
                <w:spacing w:val="-2"/>
                <w:sz w:val="22"/>
                <w:u w:val="single"/>
              </w:rPr>
              <w:t>30.00</w:t>
            </w:r>
          </w:p>
        </w:tc>
        <w:tc>
          <w:tcPr>
            <w:tcW w:w="790" w:type="dxa"/>
          </w:tcPr>
          <w:p>
            <w:pPr>
              <w:pStyle w:val="TableParagraph"/>
              <w:spacing w:line="232" w:lineRule="exact"/>
              <w:ind w:right="50"/>
              <w:jc w:val="right"/>
              <w:rPr>
                <w:sz w:val="22"/>
              </w:rPr>
            </w:pPr>
            <w:r>
              <w:rPr>
                <w:spacing w:val="72"/>
                <w:sz w:val="22"/>
                <w:u w:val="single"/>
              </w:rPr>
              <w:t xml:space="preserve"> </w:t>
            </w:r>
            <w:r>
              <w:rPr>
                <w:spacing w:val="-4"/>
                <w:sz w:val="22"/>
                <w:u w:val="single"/>
              </w:rPr>
              <w:t>0.25</w:t>
            </w:r>
          </w:p>
        </w:tc>
      </w:tr>
      <w:tr>
        <w:tblPrEx>
          <w:tblW w:w="0" w:type="auto"/>
          <w:jc w:val="left"/>
          <w:tblInd w:w="2009" w:type="dxa"/>
          <w:tblLayout w:type="fixed"/>
          <w:tblCellMar>
            <w:top w:w="0" w:type="dxa"/>
            <w:left w:w="0" w:type="dxa"/>
            <w:bottom w:w="0" w:type="dxa"/>
            <w:right w:w="0" w:type="dxa"/>
          </w:tblCellMar>
          <w:tblLook w:val="01E0"/>
        </w:tblPrEx>
        <w:trPr>
          <w:trHeight w:val="248"/>
          <w:jc w:val="left"/>
        </w:trPr>
        <w:tc>
          <w:tcPr>
            <w:tcW w:w="1925" w:type="dxa"/>
          </w:tcPr>
          <w:p>
            <w:pPr>
              <w:pStyle w:val="TableParagraph"/>
              <w:spacing w:line="228" w:lineRule="exact"/>
              <w:ind w:left="50"/>
              <w:rPr>
                <w:sz w:val="22"/>
              </w:rPr>
            </w:pPr>
            <w:r>
              <w:rPr>
                <w:spacing w:val="-2"/>
                <w:sz w:val="22"/>
              </w:rPr>
              <w:t>Total</w:t>
            </w:r>
          </w:p>
        </w:tc>
        <w:tc>
          <w:tcPr>
            <w:tcW w:w="835" w:type="dxa"/>
          </w:tcPr>
          <w:p>
            <w:pPr>
              <w:pStyle w:val="TableParagraph"/>
              <w:spacing w:line="228" w:lineRule="exact"/>
              <w:ind w:right="114"/>
              <w:jc w:val="right"/>
              <w:rPr>
                <w:sz w:val="22"/>
              </w:rPr>
            </w:pPr>
            <w:r>
              <w:rPr>
                <w:spacing w:val="-2"/>
                <w:sz w:val="22"/>
              </w:rPr>
              <w:t>8,000</w:t>
            </w:r>
          </w:p>
        </w:tc>
        <w:tc>
          <w:tcPr>
            <w:tcW w:w="3116" w:type="dxa"/>
          </w:tcPr>
          <w:p>
            <w:pPr>
              <w:pStyle w:val="TableParagraph"/>
              <w:rPr>
                <w:sz w:val="18"/>
              </w:rPr>
            </w:pPr>
          </w:p>
        </w:tc>
        <w:tc>
          <w:tcPr>
            <w:tcW w:w="1022" w:type="dxa"/>
          </w:tcPr>
          <w:p>
            <w:pPr>
              <w:pStyle w:val="TableParagraph"/>
              <w:spacing w:line="228" w:lineRule="exact"/>
              <w:ind w:left="213"/>
              <w:rPr>
                <w:sz w:val="22"/>
              </w:rPr>
            </w:pPr>
            <w:r>
              <w:rPr>
                <w:spacing w:val="-2"/>
                <w:sz w:val="22"/>
              </w:rPr>
              <w:t>$13.88</w:t>
            </w:r>
          </w:p>
        </w:tc>
        <w:tc>
          <w:tcPr>
            <w:tcW w:w="790" w:type="dxa"/>
          </w:tcPr>
          <w:p>
            <w:pPr>
              <w:pStyle w:val="TableParagraph"/>
              <w:spacing w:line="228" w:lineRule="exact"/>
              <w:ind w:right="50"/>
              <w:jc w:val="right"/>
              <w:rPr>
                <w:sz w:val="22"/>
              </w:rPr>
            </w:pPr>
            <w:r>
              <w:rPr>
                <w:spacing w:val="-2"/>
                <w:sz w:val="22"/>
              </w:rPr>
              <w:t>$9.25</w:t>
            </w:r>
          </w:p>
        </w:tc>
      </w:tr>
    </w:tbl>
    <w:p>
      <w:pPr>
        <w:pStyle w:val="BodyText"/>
        <w:spacing w:before="124"/>
        <w:ind w:left="1584"/>
      </w:pPr>
      <w:r>
        <w:rPr>
          <w:rFonts w:ascii="Arial"/>
          <w:b/>
          <w:i/>
          <w:sz w:val="21"/>
        </w:rPr>
        <w:t>Option</w:t>
      </w:r>
      <w:r>
        <w:rPr>
          <w:rFonts w:ascii="Arial"/>
          <w:b/>
          <w:i/>
          <w:spacing w:val="-4"/>
          <w:sz w:val="21"/>
        </w:rPr>
        <w:t xml:space="preserve"> </w:t>
      </w:r>
      <w:r>
        <w:rPr>
          <w:rFonts w:ascii="Arial"/>
          <w:b/>
          <w:i/>
          <w:sz w:val="21"/>
        </w:rPr>
        <w:t xml:space="preserve">C: </w:t>
      </w:r>
      <w:r>
        <w:t>Enter</w:t>
      </w:r>
      <w:r>
        <w:rPr>
          <w:spacing w:val="-1"/>
        </w:rPr>
        <w:t xml:space="preserve"> </w:t>
      </w:r>
      <w:r>
        <w:t>all</w:t>
      </w:r>
      <w:r>
        <w:rPr>
          <w:spacing w:val="-1"/>
        </w:rPr>
        <w:t xml:space="preserve"> </w:t>
      </w:r>
      <w:r>
        <w:t>services</w:t>
      </w:r>
      <w:r>
        <w:rPr>
          <w:spacing w:val="-1"/>
        </w:rPr>
        <w:t xml:space="preserve"> </w:t>
      </w:r>
      <w:r>
        <w:t>on</w:t>
      </w:r>
      <w:r>
        <w:rPr>
          <w:spacing w:val="-1"/>
        </w:rPr>
        <w:t xml:space="preserve"> </w:t>
      </w:r>
      <w:r>
        <w:t>one</w:t>
      </w:r>
      <w:r>
        <w:rPr>
          <w:spacing w:val="-2"/>
        </w:rPr>
        <w:t xml:space="preserve"> </w:t>
      </w:r>
      <w:r>
        <w:t>line</w:t>
      </w:r>
      <w:r>
        <w:rPr>
          <w:spacing w:val="-2"/>
        </w:rPr>
        <w:t xml:space="preserve"> </w:t>
      </w:r>
      <w:r>
        <w:t>(for</w:t>
      </w:r>
      <w:r>
        <w:rPr>
          <w:spacing w:val="-3"/>
        </w:rPr>
        <w:t xml:space="preserve"> </w:t>
      </w:r>
      <w:r>
        <w:t xml:space="preserve">example, </w:t>
      </w:r>
      <w:r>
        <w:rPr>
          <w:spacing w:val="-4"/>
        </w:rPr>
        <w:t>i6).</w:t>
      </w:r>
    </w:p>
    <w:p>
      <w:pPr>
        <w:tabs>
          <w:tab w:val="left" w:pos="4064"/>
          <w:tab w:val="left" w:pos="4875"/>
          <w:tab w:val="left" w:pos="8046"/>
          <w:tab w:val="left" w:pos="9097"/>
        </w:tabs>
        <w:spacing w:before="121"/>
        <w:ind w:left="2006" w:right="0" w:firstLine="0"/>
        <w:jc w:val="left"/>
        <w:rPr>
          <w:b/>
          <w:sz w:val="22"/>
        </w:rPr>
      </w:pPr>
      <w:r>
        <w:rPr>
          <w:b/>
          <w:sz w:val="22"/>
          <w:u w:val="single"/>
        </w:rPr>
        <w:t>Line</w:t>
      </w:r>
      <w:r>
        <w:rPr>
          <w:b/>
          <w:spacing w:val="-1"/>
          <w:sz w:val="22"/>
          <w:u w:val="single"/>
        </w:rPr>
        <w:t xml:space="preserve"> </w:t>
      </w:r>
      <w:r>
        <w:rPr>
          <w:b/>
          <w:sz w:val="22"/>
          <w:u w:val="single"/>
        </w:rPr>
        <w:t xml:space="preserve">– </w:t>
      </w:r>
      <w:r>
        <w:rPr>
          <w:b/>
          <w:spacing w:val="-2"/>
          <w:sz w:val="22"/>
          <w:u w:val="single"/>
        </w:rPr>
        <w:t>Description</w:t>
      </w:r>
      <w:r>
        <w:rPr>
          <w:b/>
          <w:sz w:val="22"/>
          <w:u w:val="none"/>
        </w:rPr>
        <w:tab/>
      </w:r>
      <w:r>
        <w:rPr>
          <w:b/>
          <w:sz w:val="22"/>
          <w:u w:val="single"/>
        </w:rPr>
        <w:t>Col</w:t>
      </w:r>
      <w:r>
        <w:rPr>
          <w:b/>
          <w:spacing w:val="-1"/>
          <w:sz w:val="22"/>
          <w:u w:val="single"/>
        </w:rPr>
        <w:t xml:space="preserve"> </w:t>
      </w:r>
      <w:r>
        <w:rPr>
          <w:b/>
          <w:spacing w:val="-10"/>
          <w:sz w:val="22"/>
          <w:u w:val="single"/>
        </w:rPr>
        <w:t>g</w:t>
      </w:r>
      <w:r>
        <w:rPr>
          <w:b/>
          <w:sz w:val="22"/>
          <w:u w:val="none"/>
        </w:rPr>
        <w:tab/>
      </w:r>
      <w:r>
        <w:rPr>
          <w:b/>
          <w:sz w:val="22"/>
          <w:u w:val="single"/>
        </w:rPr>
        <w:t>Col</w:t>
      </w:r>
      <w:r>
        <w:rPr>
          <w:b/>
          <w:spacing w:val="-1"/>
          <w:sz w:val="22"/>
          <w:u w:val="single"/>
        </w:rPr>
        <w:t xml:space="preserve"> </w:t>
      </w:r>
      <w:r>
        <w:rPr>
          <w:b/>
          <w:sz w:val="22"/>
          <w:u w:val="single"/>
        </w:rPr>
        <w:t>h</w:t>
      </w:r>
      <w:r>
        <w:rPr>
          <w:b/>
          <w:spacing w:val="-2"/>
          <w:sz w:val="22"/>
          <w:u w:val="single"/>
        </w:rPr>
        <w:t xml:space="preserve"> </w:t>
      </w:r>
      <w:r>
        <w:rPr>
          <w:b/>
          <w:sz w:val="22"/>
          <w:u w:val="single"/>
        </w:rPr>
        <w:t>(not</w:t>
      </w:r>
      <w:r>
        <w:rPr>
          <w:b/>
          <w:spacing w:val="-1"/>
          <w:sz w:val="22"/>
          <w:u w:val="single"/>
        </w:rPr>
        <w:t xml:space="preserve"> </w:t>
      </w:r>
      <w:r>
        <w:rPr>
          <w:b/>
          <w:sz w:val="22"/>
          <w:u w:val="single"/>
        </w:rPr>
        <w:t>in</w:t>
      </w:r>
      <w:r>
        <w:rPr>
          <w:b/>
          <w:spacing w:val="-5"/>
          <w:sz w:val="22"/>
          <w:u w:val="single"/>
        </w:rPr>
        <w:t xml:space="preserve"> </w:t>
      </w:r>
      <w:r>
        <w:rPr>
          <w:b/>
          <w:sz w:val="22"/>
          <w:u w:val="single"/>
        </w:rPr>
        <w:t>finalized</w:t>
      </w:r>
      <w:r>
        <w:rPr>
          <w:b/>
          <w:spacing w:val="-1"/>
          <w:sz w:val="22"/>
          <w:u w:val="single"/>
        </w:rPr>
        <w:t xml:space="preserve"> </w:t>
      </w:r>
      <w:r>
        <w:rPr>
          <w:b/>
          <w:spacing w:val="-4"/>
          <w:sz w:val="22"/>
          <w:u w:val="single"/>
        </w:rPr>
        <w:t>BPT)</w:t>
      </w:r>
      <w:r>
        <w:rPr>
          <w:b/>
          <w:sz w:val="22"/>
          <w:u w:val="none"/>
        </w:rPr>
        <w:tab/>
      </w:r>
      <w:r>
        <w:rPr>
          <w:b/>
          <w:sz w:val="22"/>
          <w:u w:val="single"/>
        </w:rPr>
        <w:t>Col</w:t>
      </w:r>
      <w:r>
        <w:rPr>
          <w:b/>
          <w:spacing w:val="-3"/>
          <w:sz w:val="22"/>
          <w:u w:val="single"/>
        </w:rPr>
        <w:t xml:space="preserve"> </w:t>
      </w:r>
      <w:r>
        <w:rPr>
          <w:b/>
          <w:spacing w:val="-10"/>
          <w:sz w:val="22"/>
          <w:u w:val="single"/>
        </w:rPr>
        <w:t>j</w:t>
      </w:r>
      <w:r>
        <w:rPr>
          <w:b/>
          <w:sz w:val="22"/>
          <w:u w:val="none"/>
        </w:rPr>
        <w:tab/>
      </w:r>
      <w:r>
        <w:rPr>
          <w:b/>
          <w:sz w:val="22"/>
          <w:u w:val="single"/>
        </w:rPr>
        <w:t>Col</w:t>
      </w:r>
      <w:r>
        <w:rPr>
          <w:b/>
          <w:spacing w:val="-3"/>
          <w:sz w:val="22"/>
          <w:u w:val="single"/>
        </w:rPr>
        <w:t xml:space="preserve"> </w:t>
      </w:r>
      <w:r>
        <w:rPr>
          <w:b/>
          <w:spacing w:val="-10"/>
          <w:sz w:val="22"/>
          <w:u w:val="single"/>
        </w:rPr>
        <w:t>k</w:t>
      </w:r>
    </w:p>
    <w:p>
      <w:pPr>
        <w:spacing w:before="19" w:line="252" w:lineRule="exact"/>
        <w:ind w:left="4875" w:right="0" w:firstLine="0"/>
        <w:jc w:val="left"/>
        <w:rPr>
          <w:sz w:val="22"/>
        </w:rPr>
      </w:pPr>
      <w:r>
        <w:rPr>
          <w:sz w:val="22"/>
        </w:rPr>
        <w:t>$10/visit</w:t>
      </w:r>
      <w:r>
        <w:rPr>
          <w:spacing w:val="-5"/>
          <w:sz w:val="22"/>
        </w:rPr>
        <w:t xml:space="preserve"> PCP</w:t>
      </w:r>
    </w:p>
    <w:p>
      <w:pPr>
        <w:spacing w:before="0" w:after="8" w:line="252" w:lineRule="exact"/>
        <w:ind w:left="4875" w:right="0" w:firstLine="0"/>
        <w:jc w:val="left"/>
        <w:rPr>
          <w:sz w:val="22"/>
        </w:rPr>
      </w:pPr>
      <w:r>
        <w:rPr>
          <w:sz w:val="22"/>
        </w:rPr>
        <w:t>$20/visit</w:t>
      </w:r>
      <w:r>
        <w:rPr>
          <w:spacing w:val="-6"/>
          <w:sz w:val="22"/>
        </w:rPr>
        <w:t xml:space="preserve"> </w:t>
      </w:r>
      <w:r>
        <w:rPr>
          <w:sz w:val="22"/>
        </w:rPr>
        <w:t>non-MH</w:t>
      </w:r>
      <w:r>
        <w:rPr>
          <w:spacing w:val="-5"/>
          <w:sz w:val="22"/>
        </w:rPr>
        <w:t xml:space="preserve"> </w:t>
      </w:r>
      <w:r>
        <w:rPr>
          <w:spacing w:val="-2"/>
          <w:sz w:val="22"/>
        </w:rPr>
        <w:t>specialist</w:t>
      </w:r>
    </w:p>
    <w:tbl>
      <w:tblPr>
        <w:tblStyle w:val="TableNormal"/>
        <w:tblW w:w="0" w:type="auto"/>
        <w:jc w:val="left"/>
        <w:tblInd w:w="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7"/>
        <w:gridCol w:w="4120"/>
        <w:gridCol w:w="1401"/>
        <w:gridCol w:w="763"/>
      </w:tblGrid>
      <w:tr>
        <w:tblPrEx>
          <w:tblW w:w="0" w:type="auto"/>
          <w:jc w:val="left"/>
          <w:tblInd w:w="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49"/>
          <w:jc w:val="left"/>
        </w:trPr>
        <w:tc>
          <w:tcPr>
            <w:tcW w:w="1437" w:type="dxa"/>
          </w:tcPr>
          <w:p>
            <w:pPr>
              <w:pStyle w:val="TableParagraph"/>
              <w:rPr>
                <w:sz w:val="18"/>
              </w:rPr>
            </w:pPr>
          </w:p>
        </w:tc>
        <w:tc>
          <w:tcPr>
            <w:tcW w:w="4120" w:type="dxa"/>
          </w:tcPr>
          <w:p>
            <w:pPr>
              <w:pStyle w:val="TableParagraph"/>
              <w:spacing w:line="229" w:lineRule="exact"/>
              <w:ind w:left="1481"/>
              <w:rPr>
                <w:sz w:val="22"/>
              </w:rPr>
            </w:pPr>
            <w:r>
              <w:rPr>
                <w:sz w:val="22"/>
              </w:rPr>
              <w:t>$20/visit</w:t>
            </w:r>
            <w:r>
              <w:rPr>
                <w:spacing w:val="-5"/>
                <w:sz w:val="22"/>
              </w:rPr>
              <w:t xml:space="preserve"> </w:t>
            </w:r>
            <w:r>
              <w:rPr>
                <w:sz w:val="22"/>
              </w:rPr>
              <w:t>for</w:t>
            </w:r>
            <w:r>
              <w:rPr>
                <w:spacing w:val="-4"/>
                <w:sz w:val="22"/>
              </w:rPr>
              <w:t xml:space="preserve"> </w:t>
            </w:r>
            <w:r>
              <w:rPr>
                <w:sz w:val="22"/>
              </w:rPr>
              <w:t>group</w:t>
            </w:r>
            <w:r>
              <w:rPr>
                <w:spacing w:val="-4"/>
                <w:sz w:val="22"/>
              </w:rPr>
              <w:t xml:space="preserve"> </w:t>
            </w:r>
            <w:r>
              <w:rPr>
                <w:spacing w:val="-5"/>
                <w:sz w:val="22"/>
              </w:rPr>
              <w:t>MH</w:t>
            </w:r>
          </w:p>
        </w:tc>
        <w:tc>
          <w:tcPr>
            <w:tcW w:w="2164" w:type="dxa"/>
            <w:gridSpan w:val="2"/>
          </w:tcPr>
          <w:p>
            <w:pPr>
              <w:pStyle w:val="TableParagraph"/>
              <w:rPr>
                <w:sz w:val="18"/>
              </w:rPr>
            </w:pPr>
          </w:p>
        </w:tc>
      </w:tr>
      <w:tr>
        <w:tblPrEx>
          <w:tblW w:w="0" w:type="auto"/>
          <w:jc w:val="left"/>
          <w:tblInd w:w="1964" w:type="dxa"/>
          <w:tblLayout w:type="fixed"/>
          <w:tblCellMar>
            <w:top w:w="0" w:type="dxa"/>
            <w:left w:w="0" w:type="dxa"/>
            <w:bottom w:w="0" w:type="dxa"/>
            <w:right w:w="0" w:type="dxa"/>
          </w:tblCellMar>
          <w:tblLook w:val="01E0"/>
        </w:tblPrEx>
        <w:trPr>
          <w:trHeight w:val="253"/>
          <w:jc w:val="left"/>
        </w:trPr>
        <w:tc>
          <w:tcPr>
            <w:tcW w:w="1437" w:type="dxa"/>
          </w:tcPr>
          <w:p>
            <w:pPr>
              <w:pStyle w:val="TableParagraph"/>
              <w:spacing w:line="233" w:lineRule="exact"/>
              <w:ind w:left="50"/>
              <w:rPr>
                <w:sz w:val="22"/>
              </w:rPr>
            </w:pPr>
            <w:r>
              <w:rPr>
                <w:sz w:val="22"/>
              </w:rPr>
              <w:t>Line</w:t>
            </w:r>
            <w:r>
              <w:rPr>
                <w:spacing w:val="-2"/>
                <w:sz w:val="22"/>
              </w:rPr>
              <w:t xml:space="preserve"> </w:t>
            </w:r>
            <w:r>
              <w:rPr>
                <w:spacing w:val="-7"/>
                <w:sz w:val="22"/>
              </w:rPr>
              <w:t>i6</w:t>
            </w:r>
          </w:p>
        </w:tc>
        <w:tc>
          <w:tcPr>
            <w:tcW w:w="4120" w:type="dxa"/>
          </w:tcPr>
          <w:p>
            <w:pPr>
              <w:pStyle w:val="TableParagraph"/>
              <w:tabs>
                <w:tab w:val="left" w:pos="1481"/>
              </w:tabs>
              <w:spacing w:line="233" w:lineRule="exact"/>
              <w:ind w:left="756"/>
              <w:rPr>
                <w:sz w:val="22"/>
              </w:rPr>
            </w:pPr>
            <w:r>
              <w:rPr>
                <w:spacing w:val="-2"/>
                <w:sz w:val="22"/>
                <w:u w:val="single"/>
              </w:rPr>
              <w:t>8,000</w:t>
            </w:r>
            <w:r>
              <w:rPr>
                <w:sz w:val="22"/>
                <w:u w:val="none"/>
              </w:rPr>
              <w:tab/>
              <w:t>$40/visit</w:t>
            </w:r>
            <w:r>
              <w:rPr>
                <w:spacing w:val="-5"/>
                <w:sz w:val="22"/>
                <w:u w:val="none"/>
              </w:rPr>
              <w:t xml:space="preserve"> </w:t>
            </w:r>
            <w:r>
              <w:rPr>
                <w:sz w:val="22"/>
                <w:u w:val="none"/>
              </w:rPr>
              <w:t>for</w:t>
            </w:r>
            <w:r>
              <w:rPr>
                <w:spacing w:val="-5"/>
                <w:sz w:val="22"/>
                <w:u w:val="none"/>
              </w:rPr>
              <w:t xml:space="preserve"> </w:t>
            </w:r>
            <w:r>
              <w:rPr>
                <w:sz w:val="22"/>
                <w:u w:val="none"/>
              </w:rPr>
              <w:t>indiv</w:t>
            </w:r>
            <w:r>
              <w:rPr>
                <w:spacing w:val="-3"/>
                <w:sz w:val="22"/>
                <w:u w:val="none"/>
              </w:rPr>
              <w:t xml:space="preserve"> </w:t>
            </w:r>
            <w:r>
              <w:rPr>
                <w:spacing w:val="-5"/>
                <w:sz w:val="22"/>
                <w:u w:val="none"/>
              </w:rPr>
              <w:t>MH</w:t>
            </w:r>
          </w:p>
        </w:tc>
        <w:tc>
          <w:tcPr>
            <w:tcW w:w="1401" w:type="dxa"/>
          </w:tcPr>
          <w:p>
            <w:pPr>
              <w:pStyle w:val="TableParagraph"/>
              <w:spacing w:line="233" w:lineRule="exact"/>
              <w:ind w:right="213"/>
              <w:jc w:val="right"/>
              <w:rPr>
                <w:sz w:val="22"/>
              </w:rPr>
            </w:pPr>
            <w:r>
              <w:rPr>
                <w:spacing w:val="-2"/>
                <w:sz w:val="22"/>
                <w:u w:val="single"/>
              </w:rPr>
              <w:t>$13.88</w:t>
            </w:r>
          </w:p>
        </w:tc>
        <w:tc>
          <w:tcPr>
            <w:tcW w:w="763" w:type="dxa"/>
          </w:tcPr>
          <w:p>
            <w:pPr>
              <w:pStyle w:val="TableParagraph"/>
              <w:spacing w:line="233" w:lineRule="exact"/>
              <w:ind w:right="47"/>
              <w:jc w:val="right"/>
              <w:rPr>
                <w:sz w:val="22"/>
              </w:rPr>
            </w:pPr>
            <w:r>
              <w:rPr>
                <w:spacing w:val="-2"/>
                <w:sz w:val="22"/>
                <w:u w:val="single"/>
              </w:rPr>
              <w:t>$9.25</w:t>
            </w:r>
          </w:p>
        </w:tc>
      </w:tr>
      <w:tr>
        <w:tblPrEx>
          <w:tblW w:w="0" w:type="auto"/>
          <w:jc w:val="left"/>
          <w:tblInd w:w="1964" w:type="dxa"/>
          <w:tblLayout w:type="fixed"/>
          <w:tblCellMar>
            <w:top w:w="0" w:type="dxa"/>
            <w:left w:w="0" w:type="dxa"/>
            <w:bottom w:w="0" w:type="dxa"/>
            <w:right w:w="0" w:type="dxa"/>
          </w:tblCellMar>
          <w:tblLook w:val="01E0"/>
        </w:tblPrEx>
        <w:trPr>
          <w:trHeight w:val="248"/>
          <w:jc w:val="left"/>
        </w:trPr>
        <w:tc>
          <w:tcPr>
            <w:tcW w:w="1437" w:type="dxa"/>
          </w:tcPr>
          <w:p>
            <w:pPr>
              <w:pStyle w:val="TableParagraph"/>
              <w:spacing w:line="228" w:lineRule="exact"/>
              <w:ind w:left="50"/>
              <w:rPr>
                <w:sz w:val="22"/>
              </w:rPr>
            </w:pPr>
            <w:r>
              <w:rPr>
                <w:spacing w:val="-2"/>
                <w:sz w:val="22"/>
              </w:rPr>
              <w:t>Total</w:t>
            </w:r>
          </w:p>
        </w:tc>
        <w:tc>
          <w:tcPr>
            <w:tcW w:w="4120" w:type="dxa"/>
          </w:tcPr>
          <w:p>
            <w:pPr>
              <w:pStyle w:val="TableParagraph"/>
              <w:spacing w:line="228" w:lineRule="exact"/>
              <w:ind w:left="756"/>
              <w:rPr>
                <w:sz w:val="22"/>
              </w:rPr>
            </w:pPr>
            <w:r>
              <w:rPr>
                <w:spacing w:val="-2"/>
                <w:sz w:val="22"/>
              </w:rPr>
              <w:t>8,000</w:t>
            </w:r>
          </w:p>
        </w:tc>
        <w:tc>
          <w:tcPr>
            <w:tcW w:w="1401" w:type="dxa"/>
          </w:tcPr>
          <w:p>
            <w:pPr>
              <w:pStyle w:val="TableParagraph"/>
              <w:spacing w:line="228" w:lineRule="exact"/>
              <w:ind w:right="213"/>
              <w:jc w:val="right"/>
              <w:rPr>
                <w:sz w:val="22"/>
              </w:rPr>
            </w:pPr>
            <w:r>
              <w:rPr>
                <w:spacing w:val="-2"/>
                <w:sz w:val="22"/>
              </w:rPr>
              <w:t>$13.88</w:t>
            </w:r>
          </w:p>
        </w:tc>
        <w:tc>
          <w:tcPr>
            <w:tcW w:w="763" w:type="dxa"/>
          </w:tcPr>
          <w:p>
            <w:pPr>
              <w:pStyle w:val="TableParagraph"/>
              <w:spacing w:line="228" w:lineRule="exact"/>
              <w:ind w:right="47"/>
              <w:jc w:val="right"/>
              <w:rPr>
                <w:sz w:val="22"/>
              </w:rPr>
            </w:pPr>
            <w:r>
              <w:rPr>
                <w:spacing w:val="-2"/>
                <w:sz w:val="22"/>
              </w:rPr>
              <w:t>$9.25</w:t>
            </w:r>
          </w:p>
        </w:tc>
      </w:tr>
    </w:tbl>
    <w:p>
      <w:pPr>
        <w:spacing w:before="243"/>
        <w:ind w:left="504" w:right="0" w:firstLine="0"/>
        <w:jc w:val="left"/>
        <w:rPr>
          <w:rFonts w:ascii="Arial"/>
          <w:b/>
          <w:sz w:val="21"/>
        </w:rPr>
      </w:pPr>
      <w:bookmarkStart w:id="182" w:name="In lines a1 through q:"/>
      <w:bookmarkEnd w:id="182"/>
      <w:r>
        <w:rPr>
          <w:rFonts w:ascii="Arial"/>
          <w:b/>
          <w:sz w:val="21"/>
        </w:rPr>
        <w:t>In</w:t>
      </w:r>
      <w:r>
        <w:rPr>
          <w:rFonts w:ascii="Arial"/>
          <w:b/>
          <w:spacing w:val="-4"/>
          <w:sz w:val="21"/>
        </w:rPr>
        <w:t xml:space="preserve"> </w:t>
      </w:r>
      <w:r>
        <w:rPr>
          <w:rFonts w:ascii="Arial"/>
          <w:b/>
          <w:sz w:val="21"/>
        </w:rPr>
        <w:t>lines</w:t>
      </w:r>
      <w:r>
        <w:rPr>
          <w:rFonts w:ascii="Arial"/>
          <w:b/>
          <w:spacing w:val="-4"/>
          <w:sz w:val="21"/>
        </w:rPr>
        <w:t xml:space="preserve"> </w:t>
      </w:r>
      <w:r>
        <w:rPr>
          <w:rFonts w:ascii="Arial"/>
          <w:b/>
          <w:sz w:val="21"/>
        </w:rPr>
        <w:t>a1</w:t>
      </w:r>
      <w:r>
        <w:rPr>
          <w:rFonts w:ascii="Arial"/>
          <w:b/>
          <w:spacing w:val="-4"/>
          <w:sz w:val="21"/>
        </w:rPr>
        <w:t xml:space="preserve"> </w:t>
      </w:r>
      <w:r>
        <w:rPr>
          <w:rFonts w:ascii="Arial"/>
          <w:b/>
          <w:sz w:val="21"/>
        </w:rPr>
        <w:t>through</w:t>
      </w:r>
      <w:r>
        <w:rPr>
          <w:rFonts w:ascii="Arial"/>
          <w:b/>
          <w:spacing w:val="-3"/>
          <w:sz w:val="21"/>
        </w:rPr>
        <w:t xml:space="preserve"> </w:t>
      </w:r>
      <w:r>
        <w:rPr>
          <w:rFonts w:ascii="Arial"/>
          <w:b/>
          <w:spacing w:val="-5"/>
          <w:sz w:val="21"/>
        </w:rPr>
        <w:t>q:</w:t>
      </w:r>
    </w:p>
    <w:p>
      <w:pPr>
        <w:pStyle w:val="ListParagraph"/>
        <w:numPr>
          <w:ilvl w:val="0"/>
          <w:numId w:val="43"/>
        </w:numPr>
        <w:tabs>
          <w:tab w:val="left" w:pos="1223"/>
        </w:tabs>
        <w:spacing w:before="119" w:after="0" w:line="240" w:lineRule="auto"/>
        <w:ind w:left="1223"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c</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Service</w:t>
      </w:r>
      <w:r>
        <w:rPr>
          <w:rFonts w:ascii="Arial" w:hAnsi="Arial"/>
          <w:b/>
          <w:spacing w:val="-3"/>
          <w:sz w:val="21"/>
        </w:rPr>
        <w:t xml:space="preserve"> </w:t>
      </w:r>
      <w:r>
        <w:rPr>
          <w:rFonts w:ascii="Arial" w:hAnsi="Arial"/>
          <w:b/>
          <w:spacing w:val="-2"/>
          <w:sz w:val="21"/>
        </w:rPr>
        <w:t>Category</w:t>
      </w:r>
    </w:p>
    <w:p>
      <w:pPr>
        <w:pStyle w:val="BodyText"/>
        <w:spacing w:before="120"/>
        <w:ind w:left="1224"/>
      </w:pPr>
      <w:r>
        <w:t>This</w:t>
      </w:r>
      <w:r>
        <w:rPr>
          <w:spacing w:val="-5"/>
        </w:rPr>
        <w:t xml:space="preserve"> </w:t>
      </w:r>
      <w:r>
        <w:t>column</w:t>
      </w:r>
      <w:r>
        <w:rPr>
          <w:spacing w:val="-1"/>
        </w:rPr>
        <w:t xml:space="preserve"> </w:t>
      </w:r>
      <w:r>
        <w:t>is</w:t>
      </w:r>
      <w:r>
        <w:rPr>
          <w:spacing w:val="-2"/>
        </w:rPr>
        <w:t xml:space="preserve"> </w:t>
      </w:r>
      <w:r>
        <w:t>pre-populated</w:t>
      </w:r>
      <w:r>
        <w:rPr>
          <w:spacing w:val="-2"/>
        </w:rPr>
        <w:t xml:space="preserve"> </w:t>
      </w:r>
      <w:r>
        <w:t>with</w:t>
      </w:r>
      <w:r>
        <w:rPr>
          <w:spacing w:val="-1"/>
        </w:rPr>
        <w:t xml:space="preserve"> </w:t>
      </w:r>
      <w:r>
        <w:t>line</w:t>
      </w:r>
      <w:r>
        <w:rPr>
          <w:spacing w:val="-1"/>
        </w:rPr>
        <w:t xml:space="preserve"> </w:t>
      </w:r>
      <w:r>
        <w:t>numbers</w:t>
      </w:r>
      <w:r>
        <w:rPr>
          <w:spacing w:val="-2"/>
        </w:rPr>
        <w:t xml:space="preserve"> </w:t>
      </w:r>
      <w:r>
        <w:t>and</w:t>
      </w:r>
      <w:r>
        <w:rPr>
          <w:spacing w:val="-1"/>
        </w:rPr>
        <w:t xml:space="preserve"> </w:t>
      </w:r>
      <w:r>
        <w:t>benefit</w:t>
      </w:r>
      <w:r>
        <w:rPr>
          <w:spacing w:val="-1"/>
        </w:rPr>
        <w:t xml:space="preserve"> </w:t>
      </w:r>
      <w:r>
        <w:t>service</w:t>
      </w:r>
      <w:r>
        <w:rPr>
          <w:spacing w:val="-2"/>
        </w:rPr>
        <w:t xml:space="preserve"> categories.</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d</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Service</w:t>
      </w:r>
      <w:r>
        <w:rPr>
          <w:rFonts w:ascii="Arial" w:hAnsi="Arial"/>
          <w:b/>
          <w:spacing w:val="-5"/>
          <w:sz w:val="21"/>
        </w:rPr>
        <w:t xml:space="preserve"> </w:t>
      </w:r>
      <w:r>
        <w:rPr>
          <w:rFonts w:ascii="Arial" w:hAnsi="Arial"/>
          <w:b/>
          <w:sz w:val="21"/>
        </w:rPr>
        <w:t>Category</w:t>
      </w:r>
      <w:r>
        <w:rPr>
          <w:rFonts w:ascii="Arial" w:hAnsi="Arial"/>
          <w:b/>
          <w:spacing w:val="-4"/>
          <w:sz w:val="21"/>
        </w:rPr>
        <w:t xml:space="preserve"> </w:t>
      </w:r>
      <w:r>
        <w:rPr>
          <w:rFonts w:ascii="Arial" w:hAnsi="Arial"/>
          <w:b/>
          <w:spacing w:val="-2"/>
          <w:sz w:val="21"/>
        </w:rPr>
        <w:t>Description</w:t>
      </w:r>
    </w:p>
    <w:p>
      <w:pPr>
        <w:pStyle w:val="BodyText"/>
        <w:spacing w:before="117"/>
        <w:ind w:left="1224" w:right="1443"/>
      </w:pPr>
      <w:r>
        <w:t>This column is pre-populated with a description for many of the fixed-line cost-sharing items.</w:t>
      </w:r>
      <w:r>
        <w:rPr>
          <w:spacing w:val="-4"/>
        </w:rPr>
        <w:t xml:space="preserve"> </w:t>
      </w:r>
      <w:r>
        <w:t>For</w:t>
      </w:r>
      <w:r>
        <w:rPr>
          <w:spacing w:val="-4"/>
        </w:rPr>
        <w:t xml:space="preserve"> </w:t>
      </w:r>
      <w:r>
        <w:t>lines</w:t>
      </w:r>
      <w:r>
        <w:rPr>
          <w:spacing w:val="-5"/>
        </w:rPr>
        <w:t xml:space="preserve"> </w:t>
      </w:r>
      <w:r>
        <w:t>with</w:t>
      </w:r>
      <w:r>
        <w:rPr>
          <w:spacing w:val="-4"/>
        </w:rPr>
        <w:t xml:space="preserve"> </w:t>
      </w:r>
      <w:r>
        <w:t>multiple</w:t>
      </w:r>
      <w:r>
        <w:rPr>
          <w:spacing w:val="-5"/>
        </w:rPr>
        <w:t xml:space="preserve"> </w:t>
      </w:r>
      <w:r>
        <w:t>options</w:t>
      </w:r>
      <w:r>
        <w:rPr>
          <w:spacing w:val="-5"/>
        </w:rPr>
        <w:t xml:space="preserve"> </w:t>
      </w:r>
      <w:r>
        <w:t>(for</w:t>
      </w:r>
      <w:r>
        <w:rPr>
          <w:spacing w:val="-4"/>
        </w:rPr>
        <w:t xml:space="preserve"> </w:t>
      </w:r>
      <w:r>
        <w:t>example,</w:t>
      </w:r>
      <w:r>
        <w:rPr>
          <w:spacing w:val="-2"/>
        </w:rPr>
        <w:t xml:space="preserve"> </w:t>
      </w:r>
      <w:r>
        <w:t>“Inpatient</w:t>
      </w:r>
      <w:r>
        <w:rPr>
          <w:spacing w:val="-2"/>
        </w:rPr>
        <w:t xml:space="preserve"> </w:t>
      </w:r>
      <w:r>
        <w:t>Facility”),</w:t>
      </w:r>
      <w:r>
        <w:rPr>
          <w:spacing w:val="-4"/>
        </w:rPr>
        <w:t xml:space="preserve"> </w:t>
      </w:r>
      <w:r>
        <w:t>the</w:t>
      </w:r>
      <w:r>
        <w:rPr>
          <w:spacing w:val="-6"/>
        </w:rPr>
        <w:t xml:space="preserve"> </w:t>
      </w:r>
      <w:r>
        <w:t>description is intended to help you provide detailed information that can easily be checked against the PBP.</w:t>
      </w:r>
    </w:p>
    <w:p>
      <w:pPr>
        <w:pStyle w:val="ListParagraph"/>
        <w:numPr>
          <w:ilvl w:val="0"/>
          <w:numId w:val="43"/>
        </w:numPr>
        <w:tabs>
          <w:tab w:val="left" w:pos="1223"/>
        </w:tabs>
        <w:spacing w:before="122" w:after="0" w:line="240" w:lineRule="auto"/>
        <w:ind w:left="1223" w:right="0" w:hanging="359"/>
        <w:jc w:val="left"/>
        <w:rPr>
          <w:rFonts w:ascii="Arial" w:hAnsi="Arial"/>
          <w:b/>
          <w:sz w:val="21"/>
        </w:rPr>
      </w:pPr>
      <w:r>
        <w:rPr>
          <w:rFonts w:ascii="Arial" w:hAnsi="Arial"/>
          <w:b/>
          <w:sz w:val="21"/>
        </w:rPr>
        <w:t>Column</w:t>
      </w:r>
      <w:r>
        <w:rPr>
          <w:rFonts w:ascii="Arial" w:hAnsi="Arial"/>
          <w:b/>
          <w:spacing w:val="-5"/>
          <w:sz w:val="21"/>
        </w:rPr>
        <w:t xml:space="preserve"> </w:t>
      </w:r>
      <w:r>
        <w:rPr>
          <w:rFonts w:ascii="Arial" w:hAnsi="Arial"/>
          <w:b/>
          <w:sz w:val="21"/>
        </w:rPr>
        <w:t>e</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Measurement</w:t>
      </w:r>
      <w:r>
        <w:rPr>
          <w:rFonts w:ascii="Arial" w:hAnsi="Arial"/>
          <w:b/>
          <w:spacing w:val="-5"/>
          <w:sz w:val="21"/>
        </w:rPr>
        <w:t xml:space="preserve"> </w:t>
      </w:r>
      <w:r>
        <w:rPr>
          <w:rFonts w:ascii="Arial" w:hAnsi="Arial"/>
          <w:b/>
          <w:sz w:val="21"/>
        </w:rPr>
        <w:t>Unit</w:t>
      </w:r>
      <w:r>
        <w:rPr>
          <w:rFonts w:ascii="Arial" w:hAnsi="Arial"/>
          <w:b/>
          <w:spacing w:val="-5"/>
          <w:sz w:val="21"/>
        </w:rPr>
        <w:t xml:space="preserve"> </w:t>
      </w:r>
      <w:r>
        <w:rPr>
          <w:rFonts w:ascii="Arial" w:hAnsi="Arial"/>
          <w:b/>
          <w:spacing w:val="-4"/>
          <w:sz w:val="21"/>
        </w:rPr>
        <w:t>Code</w:t>
      </w:r>
    </w:p>
    <w:p>
      <w:pPr>
        <w:pStyle w:val="BodyText"/>
        <w:spacing w:before="120"/>
        <w:ind w:left="1224" w:right="1492"/>
      </w:pPr>
      <w:r>
        <w:t>For each cost-sharing line, enter the appropriate measurement unit that reflects the projected utilization per 1,000 or PMPM value entered in column g. The valid utilization</w:t>
      </w:r>
      <w:r>
        <w:rPr>
          <w:spacing w:val="-3"/>
        </w:rPr>
        <w:t xml:space="preserve"> </w:t>
      </w:r>
      <w:r>
        <w:t>types</w:t>
      </w:r>
      <w:r>
        <w:rPr>
          <w:spacing w:val="-4"/>
        </w:rPr>
        <w:t xml:space="preserve"> </w:t>
      </w:r>
      <w:r>
        <w:t>are</w:t>
      </w:r>
      <w:r>
        <w:rPr>
          <w:spacing w:val="-5"/>
        </w:rPr>
        <w:t xml:space="preserve"> </w:t>
      </w:r>
      <w:r>
        <w:t>listed</w:t>
      </w:r>
      <w:r>
        <w:rPr>
          <w:spacing w:val="-3"/>
        </w:rPr>
        <w:t xml:space="preserve"> </w:t>
      </w:r>
      <w:r>
        <w:t>below.</w:t>
      </w:r>
      <w:r>
        <w:rPr>
          <w:spacing w:val="-3"/>
        </w:rPr>
        <w:t xml:space="preserve"> </w:t>
      </w:r>
      <w:r>
        <w:t>Note</w:t>
      </w:r>
      <w:r>
        <w:rPr>
          <w:spacing w:val="-3"/>
        </w:rPr>
        <w:t xml:space="preserve"> </w:t>
      </w:r>
      <w:r>
        <w:t>that</w:t>
      </w:r>
      <w:r>
        <w:rPr>
          <w:spacing w:val="-3"/>
        </w:rPr>
        <w:t xml:space="preserve"> </w:t>
      </w:r>
      <w:r>
        <w:t>the</w:t>
      </w:r>
      <w:r>
        <w:rPr>
          <w:spacing w:val="-4"/>
        </w:rPr>
        <w:t xml:space="preserve"> </w:t>
      </w:r>
      <w:r>
        <w:t>valid</w:t>
      </w:r>
      <w:r>
        <w:rPr>
          <w:spacing w:val="-3"/>
        </w:rPr>
        <w:t xml:space="preserve"> </w:t>
      </w:r>
      <w:r>
        <w:t>utilization</w:t>
      </w:r>
      <w:r>
        <w:rPr>
          <w:spacing w:val="-2"/>
        </w:rPr>
        <w:t xml:space="preserve"> </w:t>
      </w:r>
      <w:r>
        <w:t>types</w:t>
      </w:r>
      <w:r>
        <w:rPr>
          <w:spacing w:val="-4"/>
        </w:rPr>
        <w:t xml:space="preserve"> </w:t>
      </w:r>
      <w:r>
        <w:t>vary</w:t>
      </w:r>
      <w:r>
        <w:rPr>
          <w:spacing w:val="-3"/>
        </w:rPr>
        <w:t xml:space="preserve"> </w:t>
      </w:r>
      <w:r>
        <w:t>by</w:t>
      </w:r>
      <w:r>
        <w:rPr>
          <w:spacing w:val="-4"/>
        </w:rPr>
        <w:t xml:space="preserve"> </w:t>
      </w:r>
      <w:r>
        <w:t>service category, as indicated in the BPT cells.</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tabs>
          <w:tab w:val="left" w:pos="2124"/>
        </w:tabs>
        <w:ind w:left="1584"/>
      </w:pPr>
      <w:r>
        <w:rPr>
          <w:spacing w:val="-10"/>
        </w:rPr>
        <w:t>A</w:t>
      </w:r>
      <w:r>
        <w:tab/>
        <w:t>–</w:t>
      </w:r>
      <w:r>
        <w:rPr>
          <w:spacing w:val="61"/>
          <w:w w:val="150"/>
        </w:rPr>
        <w:t xml:space="preserve"> </w:t>
      </w:r>
      <w:r>
        <w:rPr>
          <w:spacing w:val="-2"/>
        </w:rPr>
        <w:t>Admits</w:t>
      </w:r>
    </w:p>
    <w:p>
      <w:pPr>
        <w:pStyle w:val="BodyText"/>
        <w:tabs>
          <w:tab w:val="left" w:pos="2124"/>
        </w:tabs>
        <w:ind w:left="1584"/>
      </w:pPr>
      <w:r>
        <w:rPr>
          <w:spacing w:val="-10"/>
        </w:rPr>
        <w:t>D</w:t>
      </w:r>
      <w:r>
        <w:tab/>
        <w:t>–</w:t>
      </w:r>
      <w:r>
        <w:rPr>
          <w:spacing w:val="61"/>
          <w:w w:val="150"/>
        </w:rPr>
        <w:t xml:space="preserve"> </w:t>
      </w:r>
      <w:r>
        <w:rPr>
          <w:spacing w:val="-4"/>
        </w:rPr>
        <w:t>Days</w:t>
      </w:r>
    </w:p>
    <w:p>
      <w:pPr>
        <w:pStyle w:val="BodyText"/>
        <w:tabs>
          <w:tab w:val="left" w:pos="2124"/>
        </w:tabs>
        <w:ind w:left="1584"/>
      </w:pPr>
      <w:r>
        <w:rPr>
          <w:spacing w:val="-5"/>
        </w:rPr>
        <w:t>BP</w:t>
      </w:r>
      <w:r>
        <w:tab/>
        <w:t>–</w:t>
      </w:r>
      <w:r>
        <w:rPr>
          <w:spacing w:val="59"/>
          <w:w w:val="150"/>
        </w:rPr>
        <w:t xml:space="preserve"> </w:t>
      </w:r>
      <w:r>
        <w:t xml:space="preserve">Benefit </w:t>
      </w:r>
      <w:r>
        <w:rPr>
          <w:spacing w:val="-2"/>
        </w:rPr>
        <w:t>Period</w:t>
      </w:r>
    </w:p>
    <w:p>
      <w:pPr>
        <w:pStyle w:val="BodyText"/>
        <w:tabs>
          <w:tab w:val="left" w:pos="2124"/>
        </w:tabs>
        <w:ind w:left="1584"/>
      </w:pPr>
      <w:r>
        <w:rPr>
          <w:spacing w:val="-10"/>
        </w:rPr>
        <w:t>V</w:t>
      </w:r>
      <w:r>
        <w:tab/>
        <w:t>–</w:t>
      </w:r>
      <w:r>
        <w:rPr>
          <w:spacing w:val="61"/>
          <w:w w:val="150"/>
        </w:rPr>
        <w:t xml:space="preserve"> </w:t>
      </w:r>
      <w:r>
        <w:rPr>
          <w:spacing w:val="-2"/>
        </w:rPr>
        <w:t>Visits</w:t>
      </w:r>
    </w:p>
    <w:p>
      <w:pPr>
        <w:pStyle w:val="BodyText"/>
        <w:tabs>
          <w:tab w:val="left" w:pos="2124"/>
        </w:tabs>
        <w:ind w:left="1584"/>
      </w:pPr>
      <w:r>
        <w:rPr>
          <w:spacing w:val="-10"/>
        </w:rPr>
        <w:t>P</w:t>
      </w:r>
      <w:r>
        <w:tab/>
        <w:t>–</w:t>
      </w:r>
      <w:r>
        <w:rPr>
          <w:spacing w:val="61"/>
          <w:w w:val="150"/>
        </w:rPr>
        <w:t xml:space="preserve"> </w:t>
      </w:r>
      <w:r>
        <w:rPr>
          <w:spacing w:val="-2"/>
        </w:rPr>
        <w:t>Procedures</w:t>
      </w:r>
    </w:p>
    <w:p>
      <w:pPr>
        <w:pStyle w:val="BodyText"/>
        <w:tabs>
          <w:tab w:val="left" w:pos="2124"/>
        </w:tabs>
        <w:ind w:left="1584"/>
      </w:pPr>
      <w:r>
        <w:rPr>
          <w:spacing w:val="-10"/>
        </w:rPr>
        <w:t>T</w:t>
      </w:r>
      <w:r>
        <w:tab/>
        <w:t>–</w:t>
      </w:r>
      <w:r>
        <w:rPr>
          <w:spacing w:val="61"/>
          <w:w w:val="150"/>
        </w:rPr>
        <w:t xml:space="preserve"> </w:t>
      </w:r>
      <w:r>
        <w:rPr>
          <w:spacing w:val="-4"/>
        </w:rPr>
        <w:t>Trips</w:t>
      </w:r>
    </w:p>
    <w:p>
      <w:pPr>
        <w:pStyle w:val="BodyText"/>
        <w:tabs>
          <w:tab w:val="left" w:pos="2124"/>
        </w:tabs>
        <w:ind w:left="1584"/>
      </w:pPr>
      <w:r>
        <w:rPr>
          <w:spacing w:val="-10"/>
        </w:rPr>
        <w:t>S</w:t>
      </w:r>
      <w:r>
        <w:tab/>
        <w:t>–</w:t>
      </w:r>
      <w:r>
        <w:rPr>
          <w:spacing w:val="61"/>
          <w:w w:val="150"/>
        </w:rPr>
        <w:t xml:space="preserve"> </w:t>
      </w:r>
      <w:r>
        <w:rPr>
          <w:spacing w:val="-2"/>
        </w:rPr>
        <w:t>Scripts</w:t>
      </w:r>
    </w:p>
    <w:p>
      <w:pPr>
        <w:pStyle w:val="BodyText"/>
        <w:tabs>
          <w:tab w:val="left" w:pos="2124"/>
        </w:tabs>
        <w:ind w:left="1584"/>
      </w:pPr>
      <w:r>
        <w:rPr>
          <w:spacing w:val="-10"/>
        </w:rPr>
        <w:t>O</w:t>
      </w:r>
      <w:r>
        <w:tab/>
        <w:t>–</w:t>
      </w:r>
      <w:r>
        <w:rPr>
          <w:spacing w:val="59"/>
          <w:w w:val="150"/>
        </w:rPr>
        <w:t xml:space="preserve"> </w:t>
      </w:r>
      <w:r>
        <w:rPr>
          <w:spacing w:val="-4"/>
        </w:rPr>
        <w:t>Other</w:t>
      </w:r>
    </w:p>
    <w:p>
      <w:pPr>
        <w:pStyle w:val="BodyText"/>
        <w:ind w:left="1584"/>
      </w:pPr>
      <w:r>
        <w:t>Coin</w:t>
      </w:r>
      <w:r>
        <w:rPr>
          <w:spacing w:val="12"/>
        </w:rPr>
        <w:t xml:space="preserve"> </w:t>
      </w:r>
      <w:r>
        <w:t>–</w:t>
      </w:r>
      <w:r>
        <w:rPr>
          <w:spacing w:val="61"/>
          <w:w w:val="150"/>
        </w:rPr>
        <w:t xml:space="preserve"> </w:t>
      </w:r>
      <w:r>
        <w:rPr>
          <w:spacing w:val="-2"/>
        </w:rPr>
        <w:t>Coinsurance</w:t>
      </w:r>
    </w:p>
    <w:p>
      <w:pPr>
        <w:pStyle w:val="BodyText"/>
        <w:ind w:left="1584" w:right="1481"/>
      </w:pPr>
      <w:r>
        <w:t>Ded</w:t>
      </w:r>
      <w:r>
        <w:rPr>
          <w:spacing w:val="80"/>
        </w:rPr>
        <w:t xml:space="preserve"> </w:t>
      </w:r>
      <w:r>
        <w:t>–</w:t>
      </w:r>
      <w:r>
        <w:rPr>
          <w:spacing w:val="80"/>
        </w:rPr>
        <w:t xml:space="preserve"> </w:t>
      </w:r>
      <w:r>
        <w:t>Deductible (used only for single-line items, such as per-benefit period deductibles;</w:t>
      </w:r>
      <w:r>
        <w:rPr>
          <w:spacing w:val="-3"/>
        </w:rPr>
        <w:t xml:space="preserve"> </w:t>
      </w:r>
      <w:r>
        <w:t>plan-level</w:t>
      </w:r>
      <w:r>
        <w:rPr>
          <w:spacing w:val="-4"/>
        </w:rPr>
        <w:t xml:space="preserve"> </w:t>
      </w:r>
      <w:r>
        <w:t>deductibles</w:t>
      </w:r>
      <w:r>
        <w:rPr>
          <w:spacing w:val="-4"/>
        </w:rPr>
        <w:t xml:space="preserve"> </w:t>
      </w:r>
      <w:r>
        <w:t>that</w:t>
      </w:r>
      <w:r>
        <w:rPr>
          <w:spacing w:val="-4"/>
        </w:rPr>
        <w:t xml:space="preserve"> </w:t>
      </w:r>
      <w:r>
        <w:t>apply</w:t>
      </w:r>
      <w:r>
        <w:rPr>
          <w:spacing w:val="-4"/>
        </w:rPr>
        <w:t xml:space="preserve"> </w:t>
      </w:r>
      <w:r>
        <w:t>to</w:t>
      </w:r>
      <w:r>
        <w:rPr>
          <w:spacing w:val="-4"/>
        </w:rPr>
        <w:t xml:space="preserve"> </w:t>
      </w:r>
      <w:r>
        <w:t>multiple</w:t>
      </w:r>
      <w:r>
        <w:rPr>
          <w:spacing w:val="-4"/>
        </w:rPr>
        <w:t xml:space="preserve"> </w:t>
      </w:r>
      <w:r>
        <w:t>service</w:t>
      </w:r>
      <w:r>
        <w:rPr>
          <w:spacing w:val="-5"/>
        </w:rPr>
        <w:t xml:space="preserve"> </w:t>
      </w:r>
      <w:r>
        <w:t>categories</w:t>
      </w:r>
      <w:r>
        <w:rPr>
          <w:spacing w:val="-4"/>
        </w:rPr>
        <w:t xml:space="preserve"> </w:t>
      </w:r>
      <w:r>
        <w:t>and</w:t>
      </w:r>
      <w:r>
        <w:rPr>
          <w:spacing w:val="-4"/>
        </w:rPr>
        <w:t xml:space="preserve"> </w:t>
      </w:r>
      <w:r>
        <w:t>the pricing impact are entered in line t and column f, respectively)</w:t>
      </w:r>
    </w:p>
    <w:p>
      <w:pPr>
        <w:pStyle w:val="ListParagraph"/>
        <w:numPr>
          <w:ilvl w:val="0"/>
          <w:numId w:val="43"/>
        </w:numPr>
        <w:tabs>
          <w:tab w:val="left" w:pos="1223"/>
        </w:tabs>
        <w:spacing w:before="122" w:after="0" w:line="240" w:lineRule="auto"/>
        <w:ind w:left="12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f</w:t>
      </w:r>
      <w:r>
        <w:rPr>
          <w:rFonts w:ascii="Arial" w:hAnsi="Arial"/>
          <w:b/>
          <w:spacing w:val="-7"/>
          <w:sz w:val="21"/>
        </w:rPr>
        <w:t xml:space="preserve"> </w:t>
      </w:r>
      <w:r>
        <w:rPr>
          <w:rFonts w:ascii="Arial" w:hAnsi="Arial"/>
          <w:b/>
          <w:sz w:val="21"/>
        </w:rPr>
        <w:t>–</w:t>
      </w:r>
      <w:r>
        <w:rPr>
          <w:rFonts w:ascii="Arial" w:hAnsi="Arial"/>
          <w:b/>
          <w:spacing w:val="-6"/>
          <w:sz w:val="21"/>
        </w:rPr>
        <w:t xml:space="preserve"> </w:t>
      </w:r>
      <w:r>
        <w:rPr>
          <w:rFonts w:ascii="Arial" w:hAnsi="Arial"/>
          <w:b/>
          <w:sz w:val="21"/>
        </w:rPr>
        <w:t>In-Network</w:t>
      </w:r>
      <w:r>
        <w:rPr>
          <w:rFonts w:ascii="Arial" w:hAnsi="Arial"/>
          <w:b/>
          <w:spacing w:val="-8"/>
          <w:sz w:val="21"/>
        </w:rPr>
        <w:t xml:space="preserve"> </w:t>
      </w:r>
      <w:r>
        <w:rPr>
          <w:rFonts w:ascii="Arial" w:hAnsi="Arial"/>
          <w:b/>
          <w:sz w:val="21"/>
        </w:rPr>
        <w:t>Effective</w:t>
      </w:r>
      <w:r>
        <w:rPr>
          <w:rFonts w:ascii="Arial" w:hAnsi="Arial"/>
          <w:b/>
          <w:spacing w:val="-7"/>
          <w:sz w:val="21"/>
        </w:rPr>
        <w:t xml:space="preserve"> </w:t>
      </w:r>
      <w:r>
        <w:rPr>
          <w:rFonts w:ascii="Arial" w:hAnsi="Arial"/>
          <w:b/>
          <w:sz w:val="21"/>
        </w:rPr>
        <w:t>Deductible</w:t>
      </w:r>
      <w:r>
        <w:rPr>
          <w:rFonts w:ascii="Arial" w:hAnsi="Arial"/>
          <w:b/>
          <w:spacing w:val="-6"/>
          <w:sz w:val="21"/>
        </w:rPr>
        <w:t xml:space="preserve"> </w:t>
      </w:r>
      <w:r>
        <w:rPr>
          <w:rFonts w:ascii="Arial" w:hAnsi="Arial"/>
          <w:b/>
          <w:spacing w:val="-4"/>
          <w:sz w:val="21"/>
        </w:rPr>
        <w:t>PMPM</w:t>
      </w:r>
    </w:p>
    <w:p>
      <w:pPr>
        <w:pStyle w:val="BodyText"/>
        <w:spacing w:before="117"/>
        <w:ind w:left="1224" w:right="1481"/>
      </w:pPr>
      <w:r>
        <w:t>See</w:t>
      </w:r>
      <w:r>
        <w:rPr>
          <w:spacing w:val="-5"/>
        </w:rPr>
        <w:t xml:space="preserve"> </w:t>
      </w:r>
      <w:r>
        <w:t>the</w:t>
      </w:r>
      <w:r>
        <w:rPr>
          <w:spacing w:val="-4"/>
        </w:rPr>
        <w:t xml:space="preserve"> </w:t>
      </w:r>
      <w:r>
        <w:t>“Cost</w:t>
      </w:r>
      <w:r>
        <w:rPr>
          <w:spacing w:val="-4"/>
        </w:rPr>
        <w:t xml:space="preserve"> </w:t>
      </w:r>
      <w:r>
        <w:t>Sharing”</w:t>
      </w:r>
      <w:r>
        <w:rPr>
          <w:spacing w:val="-6"/>
        </w:rPr>
        <w:t xml:space="preserve"> </w:t>
      </w:r>
      <w:r>
        <w:t>pricing</w:t>
      </w:r>
      <w:r>
        <w:rPr>
          <w:spacing w:val="-4"/>
        </w:rPr>
        <w:t xml:space="preserve"> </w:t>
      </w:r>
      <w:r>
        <w:t>consideration</w:t>
      </w:r>
      <w:r>
        <w:rPr>
          <w:spacing w:val="-4"/>
        </w:rPr>
        <w:t xml:space="preserve"> </w:t>
      </w:r>
      <w:r>
        <w:t>for</w:t>
      </w:r>
      <w:r>
        <w:rPr>
          <w:spacing w:val="-4"/>
        </w:rPr>
        <w:t xml:space="preserve"> </w:t>
      </w:r>
      <w:r>
        <w:t>information</w:t>
      </w:r>
      <w:r>
        <w:rPr>
          <w:spacing w:val="-4"/>
        </w:rPr>
        <w:t xml:space="preserve"> </w:t>
      </w:r>
      <w:r>
        <w:t>about</w:t>
      </w:r>
      <w:r>
        <w:rPr>
          <w:spacing w:val="-2"/>
        </w:rPr>
        <w:t xml:space="preserve"> </w:t>
      </w:r>
      <w:r>
        <w:t>pricing</w:t>
      </w:r>
      <w:r>
        <w:rPr>
          <w:spacing w:val="-2"/>
        </w:rPr>
        <w:t xml:space="preserve"> </w:t>
      </w:r>
      <w:r>
        <w:t>deductibles and entering such pricing in column f or in other columns on Worksheet 3.</w:t>
      </w:r>
    </w:p>
    <w:p>
      <w:pPr>
        <w:pStyle w:val="ListParagraph"/>
        <w:numPr>
          <w:ilvl w:val="0"/>
          <w:numId w:val="43"/>
        </w:numPr>
        <w:tabs>
          <w:tab w:val="left" w:pos="1224"/>
        </w:tabs>
        <w:spacing w:before="121" w:after="0" w:line="352" w:lineRule="auto"/>
        <w:ind w:left="1224" w:right="3294" w:hanging="360"/>
        <w:jc w:val="left"/>
        <w:rPr>
          <w:rFonts w:ascii="Arial" w:hAnsi="Arial"/>
          <w:b/>
          <w:sz w:val="21"/>
        </w:rPr>
      </w:pPr>
      <w:r>
        <w:rPr>
          <w:rFonts w:ascii="Arial" w:hAnsi="Arial"/>
          <w:b/>
          <w:sz w:val="21"/>
        </w:rPr>
        <w:t xml:space="preserve">Columns g through k – In-Network Cost Sharing after Deductible </w:t>
      </w:r>
      <w:r>
        <w:rPr>
          <w:sz w:val="24"/>
        </w:rPr>
        <w:t>These</w:t>
      </w:r>
      <w:r>
        <w:rPr>
          <w:spacing w:val="-5"/>
          <w:sz w:val="24"/>
        </w:rPr>
        <w:t xml:space="preserve"> </w:t>
      </w:r>
      <w:r>
        <w:rPr>
          <w:sz w:val="24"/>
        </w:rPr>
        <w:t>fields</w:t>
      </w:r>
      <w:r>
        <w:rPr>
          <w:spacing w:val="-5"/>
          <w:sz w:val="24"/>
        </w:rPr>
        <w:t xml:space="preserve"> </w:t>
      </w:r>
      <w:r>
        <w:rPr>
          <w:sz w:val="24"/>
        </w:rPr>
        <w:t>pertain</w:t>
      </w:r>
      <w:r>
        <w:rPr>
          <w:spacing w:val="-4"/>
          <w:sz w:val="24"/>
        </w:rPr>
        <w:t xml:space="preserve"> </w:t>
      </w:r>
      <w:r>
        <w:rPr>
          <w:sz w:val="24"/>
        </w:rPr>
        <w:t>to</w:t>
      </w:r>
      <w:r>
        <w:rPr>
          <w:spacing w:val="-3"/>
          <w:sz w:val="24"/>
        </w:rPr>
        <w:t xml:space="preserve"> </w:t>
      </w:r>
      <w:r>
        <w:rPr>
          <w:sz w:val="24"/>
        </w:rPr>
        <w:t>the</w:t>
      </w:r>
      <w:r>
        <w:rPr>
          <w:spacing w:val="-5"/>
          <w:sz w:val="24"/>
        </w:rPr>
        <w:t xml:space="preserve"> </w:t>
      </w:r>
      <w:r>
        <w:rPr>
          <w:sz w:val="24"/>
        </w:rPr>
        <w:t>in-network</w:t>
      </w:r>
      <w:r>
        <w:rPr>
          <w:spacing w:val="-3"/>
          <w:sz w:val="24"/>
        </w:rPr>
        <w:t xml:space="preserve"> </w:t>
      </w:r>
      <w:r>
        <w:rPr>
          <w:sz w:val="24"/>
        </w:rPr>
        <w:t>cost</w:t>
      </w:r>
      <w:r>
        <w:rPr>
          <w:spacing w:val="-4"/>
          <w:sz w:val="24"/>
        </w:rPr>
        <w:t xml:space="preserve"> </w:t>
      </w:r>
      <w:r>
        <w:rPr>
          <w:sz w:val="24"/>
        </w:rPr>
        <w:t>sharing</w:t>
      </w:r>
      <w:r>
        <w:rPr>
          <w:spacing w:val="-2"/>
          <w:sz w:val="24"/>
        </w:rPr>
        <w:t xml:space="preserve"> </w:t>
      </w:r>
      <w:r>
        <w:rPr>
          <w:sz w:val="24"/>
        </w:rPr>
        <w:t>priced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 xml:space="preserve">BPT. </w:t>
      </w:r>
      <w:r>
        <w:rPr>
          <w:rFonts w:ascii="Arial" w:hAnsi="Arial"/>
          <w:b/>
          <w:sz w:val="21"/>
        </w:rPr>
        <w:t>Column g – In-Network Util/1000 or PMPM</w:t>
      </w:r>
    </w:p>
    <w:p>
      <w:pPr>
        <w:pStyle w:val="BodyText"/>
        <w:spacing w:before="5"/>
        <w:ind w:left="1224" w:right="1481"/>
      </w:pPr>
      <w:r>
        <w:t>Enter</w:t>
      </w:r>
      <w:r>
        <w:rPr>
          <w:spacing w:val="-4"/>
        </w:rPr>
        <w:t xml:space="preserve"> </w:t>
      </w:r>
      <w:r>
        <w:t>the</w:t>
      </w:r>
      <w:r>
        <w:rPr>
          <w:spacing w:val="-6"/>
        </w:rPr>
        <w:t xml:space="preserve"> </w:t>
      </w:r>
      <w:r>
        <w:t>projected</w:t>
      </w:r>
      <w:r>
        <w:rPr>
          <w:spacing w:val="-4"/>
        </w:rPr>
        <w:t xml:space="preserve"> </w:t>
      </w:r>
      <w:r>
        <w:t>in-network</w:t>
      </w:r>
      <w:r>
        <w:rPr>
          <w:spacing w:val="-4"/>
        </w:rPr>
        <w:t xml:space="preserve"> </w:t>
      </w:r>
      <w:r>
        <w:t>utilization/1000,</w:t>
      </w:r>
      <w:r>
        <w:rPr>
          <w:spacing w:val="-4"/>
        </w:rPr>
        <w:t xml:space="preserve"> </w:t>
      </w:r>
      <w:r>
        <w:t>or</w:t>
      </w:r>
      <w:r>
        <w:rPr>
          <w:spacing w:val="-4"/>
        </w:rPr>
        <w:t xml:space="preserve"> </w:t>
      </w:r>
      <w:r>
        <w:t>PMPM</w:t>
      </w:r>
      <w:r>
        <w:rPr>
          <w:spacing w:val="-5"/>
        </w:rPr>
        <w:t xml:space="preserve"> </w:t>
      </w:r>
      <w:r>
        <w:t>value</w:t>
      </w:r>
      <w:r>
        <w:rPr>
          <w:spacing w:val="-4"/>
        </w:rPr>
        <w:t xml:space="preserve"> </w:t>
      </w:r>
      <w:r>
        <w:t>in</w:t>
      </w:r>
      <w:r>
        <w:rPr>
          <w:spacing w:val="-4"/>
        </w:rPr>
        <w:t xml:space="preserve"> </w:t>
      </w:r>
      <w:r>
        <w:t>the</w:t>
      </w:r>
      <w:r>
        <w:rPr>
          <w:spacing w:val="-4"/>
        </w:rPr>
        <w:t xml:space="preserve"> </w:t>
      </w:r>
      <w:r>
        <w:t>case</w:t>
      </w:r>
      <w:r>
        <w:rPr>
          <w:spacing w:val="-3"/>
        </w:rPr>
        <w:t xml:space="preserve"> </w:t>
      </w:r>
      <w:r>
        <w:t>of coinsurance, before the impact of the OOP maximum.</w:t>
      </w:r>
    </w:p>
    <w:p>
      <w:pPr>
        <w:spacing w:before="120"/>
        <w:ind w:left="1224" w:right="0" w:firstLine="0"/>
        <w:jc w:val="left"/>
        <w:rPr>
          <w:rFonts w:ascii="Arial" w:hAnsi="Arial"/>
          <w:b/>
          <w:sz w:val="21"/>
        </w:rPr>
      </w:pPr>
      <w:r>
        <w:rPr>
          <w:rFonts w:ascii="Arial" w:hAnsi="Arial"/>
          <w:b/>
          <w:sz w:val="21"/>
        </w:rPr>
        <w:t>Column</w:t>
      </w:r>
      <w:r>
        <w:rPr>
          <w:rFonts w:ascii="Arial" w:hAnsi="Arial"/>
          <w:b/>
          <w:spacing w:val="-12"/>
          <w:sz w:val="21"/>
        </w:rPr>
        <w:t xml:space="preserve"> </w:t>
      </w:r>
      <w:r>
        <w:rPr>
          <w:rFonts w:ascii="Arial" w:hAnsi="Arial"/>
          <w:b/>
          <w:sz w:val="21"/>
        </w:rPr>
        <w:t>h</w:t>
      </w:r>
      <w:r>
        <w:rPr>
          <w:rFonts w:ascii="Arial" w:hAnsi="Arial"/>
          <w:b/>
          <w:spacing w:val="-6"/>
          <w:sz w:val="21"/>
        </w:rPr>
        <w:t xml:space="preserve"> </w:t>
      </w:r>
      <w:r>
        <w:rPr>
          <w:rFonts w:ascii="Arial" w:hAnsi="Arial"/>
          <w:b/>
          <w:sz w:val="21"/>
        </w:rPr>
        <w:t>–</w:t>
      </w:r>
      <w:r>
        <w:rPr>
          <w:rFonts w:ascii="Arial" w:hAnsi="Arial"/>
          <w:b/>
          <w:spacing w:val="-8"/>
          <w:sz w:val="21"/>
        </w:rPr>
        <w:t xml:space="preserve"> </w:t>
      </w:r>
      <w:r>
        <w:rPr>
          <w:rFonts w:ascii="Arial" w:hAnsi="Arial"/>
          <w:b/>
          <w:sz w:val="21"/>
        </w:rPr>
        <w:t>In-Network</w:t>
      </w:r>
      <w:r>
        <w:rPr>
          <w:rFonts w:ascii="Arial" w:hAnsi="Arial"/>
          <w:b/>
          <w:spacing w:val="-10"/>
          <w:sz w:val="21"/>
        </w:rPr>
        <w:t xml:space="preserve"> </w:t>
      </w:r>
      <w:r>
        <w:rPr>
          <w:rFonts w:ascii="Arial" w:hAnsi="Arial"/>
          <w:b/>
          <w:sz w:val="21"/>
        </w:rPr>
        <w:t>Description</w:t>
      </w:r>
      <w:r>
        <w:rPr>
          <w:rFonts w:ascii="Arial" w:hAnsi="Arial"/>
          <w:b/>
          <w:spacing w:val="-6"/>
          <w:sz w:val="21"/>
        </w:rPr>
        <w:t xml:space="preserve"> </w:t>
      </w:r>
      <w:r>
        <w:rPr>
          <w:rFonts w:ascii="Arial" w:hAnsi="Arial"/>
          <w:b/>
          <w:sz w:val="21"/>
        </w:rPr>
        <w:t>of</w:t>
      </w:r>
      <w:r>
        <w:rPr>
          <w:rFonts w:ascii="Arial" w:hAnsi="Arial"/>
          <w:b/>
          <w:spacing w:val="-8"/>
          <w:sz w:val="21"/>
        </w:rPr>
        <w:t xml:space="preserve"> </w:t>
      </w:r>
      <w:r>
        <w:rPr>
          <w:rFonts w:ascii="Arial" w:hAnsi="Arial"/>
          <w:b/>
          <w:sz w:val="21"/>
        </w:rPr>
        <w:t>Cost</w:t>
      </w:r>
      <w:r>
        <w:rPr>
          <w:rFonts w:ascii="Arial" w:hAnsi="Arial"/>
          <w:b/>
          <w:spacing w:val="-8"/>
          <w:sz w:val="21"/>
        </w:rPr>
        <w:t xml:space="preserve"> </w:t>
      </w:r>
      <w:r>
        <w:rPr>
          <w:rFonts w:ascii="Arial" w:hAnsi="Arial"/>
          <w:b/>
          <w:sz w:val="21"/>
        </w:rPr>
        <w:t>Sharing/Additional</w:t>
      </w:r>
      <w:r>
        <w:rPr>
          <w:rFonts w:ascii="Arial" w:hAnsi="Arial"/>
          <w:b/>
          <w:spacing w:val="-8"/>
          <w:sz w:val="21"/>
        </w:rPr>
        <w:t xml:space="preserve"> </w:t>
      </w:r>
      <w:r>
        <w:rPr>
          <w:rFonts w:ascii="Arial" w:hAnsi="Arial"/>
          <w:b/>
          <w:sz w:val="21"/>
        </w:rPr>
        <w:t>Days/Benefit</w:t>
      </w:r>
      <w:r>
        <w:rPr>
          <w:rFonts w:ascii="Arial" w:hAnsi="Arial"/>
          <w:b/>
          <w:spacing w:val="-8"/>
          <w:sz w:val="21"/>
        </w:rPr>
        <w:t xml:space="preserve"> </w:t>
      </w:r>
      <w:r>
        <w:rPr>
          <w:rFonts w:ascii="Arial" w:hAnsi="Arial"/>
          <w:b/>
          <w:spacing w:val="-2"/>
          <w:sz w:val="21"/>
        </w:rPr>
        <w:t>Limits</w:t>
      </w:r>
    </w:p>
    <w:p>
      <w:pPr>
        <w:pStyle w:val="BodyText"/>
        <w:spacing w:before="119"/>
        <w:ind w:left="1224" w:right="1481"/>
      </w:pPr>
      <w:r>
        <w:t>These cells are text fields that may be used by bid preparers to enter internal descriptions of in-network plan cost sharing contained in the PBP, including descriptions of all PBP benefits priced together within each BPT service category and any</w:t>
      </w:r>
      <w:r>
        <w:rPr>
          <w:spacing w:val="-3"/>
        </w:rPr>
        <w:t xml:space="preserve"> </w:t>
      </w:r>
      <w:r>
        <w:t>benefit</w:t>
      </w:r>
      <w:r>
        <w:rPr>
          <w:spacing w:val="-3"/>
        </w:rPr>
        <w:t xml:space="preserve"> </w:t>
      </w:r>
      <w:r>
        <w:t>limits.</w:t>
      </w:r>
      <w:r>
        <w:rPr>
          <w:spacing w:val="-3"/>
        </w:rPr>
        <w:t xml:space="preserve"> </w:t>
      </w:r>
      <w:r>
        <w:t>These</w:t>
      </w:r>
      <w:r>
        <w:rPr>
          <w:spacing w:val="-2"/>
        </w:rPr>
        <w:t xml:space="preserve"> </w:t>
      </w:r>
      <w:r>
        <w:t>details</w:t>
      </w:r>
      <w:r>
        <w:rPr>
          <w:spacing w:val="-4"/>
        </w:rPr>
        <w:t xml:space="preserve"> </w:t>
      </w:r>
      <w:r>
        <w:t>are</w:t>
      </w:r>
      <w:r>
        <w:rPr>
          <w:spacing w:val="-4"/>
        </w:rPr>
        <w:t xml:space="preserve"> </w:t>
      </w:r>
      <w:r>
        <w:t>useful</w:t>
      </w:r>
      <w:r>
        <w:rPr>
          <w:spacing w:val="-3"/>
        </w:rPr>
        <w:t xml:space="preserve"> </w:t>
      </w:r>
      <w:r>
        <w:t>since</w:t>
      </w:r>
      <w:r>
        <w:rPr>
          <w:spacing w:val="-5"/>
        </w:rPr>
        <w:t xml:space="preserve"> </w:t>
      </w:r>
      <w:r>
        <w:t>each</w:t>
      </w:r>
      <w:r>
        <w:rPr>
          <w:spacing w:val="-3"/>
        </w:rPr>
        <w:t xml:space="preserve"> </w:t>
      </w:r>
      <w:r>
        <w:t>BPT</w:t>
      </w:r>
      <w:r>
        <w:rPr>
          <w:spacing w:val="-3"/>
        </w:rPr>
        <w:t xml:space="preserve"> </w:t>
      </w:r>
      <w:r>
        <w:t>category</w:t>
      </w:r>
      <w:r>
        <w:rPr>
          <w:spacing w:val="-3"/>
        </w:rPr>
        <w:t xml:space="preserve"> </w:t>
      </w:r>
      <w:r>
        <w:t>may</w:t>
      </w:r>
      <w:r>
        <w:rPr>
          <w:spacing w:val="-3"/>
        </w:rPr>
        <w:t xml:space="preserve"> </w:t>
      </w:r>
      <w:r>
        <w:t>map</w:t>
      </w:r>
      <w:r>
        <w:rPr>
          <w:spacing w:val="-3"/>
        </w:rPr>
        <w:t xml:space="preserve"> </w:t>
      </w:r>
      <w:r>
        <w:t>to</w:t>
      </w:r>
      <w:r>
        <w:rPr>
          <w:spacing w:val="-3"/>
        </w:rPr>
        <w:t xml:space="preserve"> </w:t>
      </w:r>
      <w:r>
        <w:t>several PBP benefit categories.</w:t>
      </w:r>
    </w:p>
    <w:p>
      <w:pPr>
        <w:pStyle w:val="BodyText"/>
        <w:spacing w:before="120"/>
        <w:ind w:left="1224" w:right="1481"/>
      </w:pPr>
      <w:r>
        <w:t>The text in column h above the “Total” row will be deleted from the finalized file and therefore will not be uploaded to HPMS. Bid preparers must not enter information in this section meant to be communicated to CMS or to CMS reviewers, as CMS will not have</w:t>
      </w:r>
      <w:r>
        <w:rPr>
          <w:spacing w:val="-3"/>
        </w:rPr>
        <w:t xml:space="preserve"> </w:t>
      </w:r>
      <w:r>
        <w:t>access</w:t>
      </w:r>
      <w:r>
        <w:rPr>
          <w:spacing w:val="-3"/>
        </w:rPr>
        <w:t xml:space="preserve"> </w:t>
      </w:r>
      <w:r>
        <w:t>to</w:t>
      </w:r>
      <w:r>
        <w:rPr>
          <w:spacing w:val="-2"/>
        </w:rPr>
        <w:t xml:space="preserve"> </w:t>
      </w:r>
      <w:r>
        <w:t>it.</w:t>
      </w:r>
      <w:r>
        <w:rPr>
          <w:spacing w:val="-2"/>
        </w:rPr>
        <w:t xml:space="preserve"> </w:t>
      </w:r>
      <w:r>
        <w:t>This</w:t>
      </w:r>
      <w:r>
        <w:rPr>
          <w:spacing w:val="-3"/>
        </w:rPr>
        <w:t xml:space="preserve"> </w:t>
      </w:r>
      <w:r>
        <w:t>text</w:t>
      </w:r>
      <w:r>
        <w:rPr>
          <w:spacing w:val="-2"/>
        </w:rPr>
        <w:t xml:space="preserve"> </w:t>
      </w:r>
      <w:r>
        <w:t>will</w:t>
      </w:r>
      <w:r>
        <w:rPr>
          <w:spacing w:val="-2"/>
        </w:rPr>
        <w:t xml:space="preserve"> </w:t>
      </w:r>
      <w:r>
        <w:t>not</w:t>
      </w:r>
      <w:r>
        <w:rPr>
          <w:spacing w:val="-2"/>
        </w:rPr>
        <w:t xml:space="preserve"> </w:t>
      </w:r>
      <w:r>
        <w:t>be</w:t>
      </w:r>
      <w:r>
        <w:rPr>
          <w:spacing w:val="-3"/>
        </w:rPr>
        <w:t xml:space="preserve"> </w:t>
      </w:r>
      <w:r>
        <w:t>deleted</w:t>
      </w:r>
      <w:r>
        <w:rPr>
          <w:spacing w:val="-2"/>
        </w:rPr>
        <w:t xml:space="preserve"> </w:t>
      </w:r>
      <w:r>
        <w:t>from</w:t>
      </w:r>
      <w:r>
        <w:rPr>
          <w:spacing w:val="-2"/>
        </w:rPr>
        <w:t xml:space="preserve"> </w:t>
      </w:r>
      <w:r>
        <w:t>the</w:t>
      </w:r>
      <w:r>
        <w:rPr>
          <w:spacing w:val="-3"/>
        </w:rPr>
        <w:t xml:space="preserve"> </w:t>
      </w:r>
      <w:r>
        <w:t>working</w:t>
      </w:r>
      <w:r>
        <w:rPr>
          <w:spacing w:val="-2"/>
        </w:rPr>
        <w:t xml:space="preserve"> </w:t>
      </w:r>
      <w:r>
        <w:t>file</w:t>
      </w:r>
      <w:r>
        <w:rPr>
          <w:spacing w:val="-3"/>
        </w:rPr>
        <w:t xml:space="preserve"> </w:t>
      </w:r>
      <w:r>
        <w:t>or</w:t>
      </w:r>
      <w:r>
        <w:rPr>
          <w:spacing w:val="-2"/>
        </w:rPr>
        <w:t xml:space="preserve"> </w:t>
      </w:r>
      <w:r>
        <w:t>from</w:t>
      </w:r>
      <w:r>
        <w:rPr>
          <w:spacing w:val="-2"/>
        </w:rPr>
        <w:t xml:space="preserve"> </w:t>
      </w:r>
      <w:r>
        <w:t>the</w:t>
      </w:r>
      <w:r>
        <w:rPr>
          <w:spacing w:val="-3"/>
        </w:rPr>
        <w:t xml:space="preserve"> </w:t>
      </w:r>
      <w:r>
        <w:t>backup file during finalization.</w:t>
      </w:r>
    </w:p>
    <w:p>
      <w:pPr>
        <w:pStyle w:val="BodyText"/>
        <w:spacing w:before="120"/>
        <w:ind w:left="1224"/>
      </w:pPr>
      <w:r>
        <w:t>Enter</w:t>
      </w:r>
      <w:r>
        <w:rPr>
          <w:spacing w:val="-3"/>
        </w:rPr>
        <w:t xml:space="preserve"> </w:t>
      </w:r>
      <w:r>
        <w:t>the</w:t>
      </w:r>
      <w:r>
        <w:rPr>
          <w:spacing w:val="-1"/>
        </w:rPr>
        <w:t xml:space="preserve"> </w:t>
      </w:r>
      <w:r>
        <w:t>actual</w:t>
      </w:r>
      <w:r>
        <w:rPr>
          <w:spacing w:val="-1"/>
        </w:rPr>
        <w:t xml:space="preserve"> </w:t>
      </w:r>
      <w:r>
        <w:t>combined plan-level</w:t>
      </w:r>
      <w:r>
        <w:rPr>
          <w:spacing w:val="-1"/>
        </w:rPr>
        <w:t xml:space="preserve"> </w:t>
      </w:r>
      <w:r>
        <w:t>deductible amount (if</w:t>
      </w:r>
      <w:r>
        <w:rPr>
          <w:spacing w:val="-1"/>
        </w:rPr>
        <w:t xml:space="preserve"> </w:t>
      </w:r>
      <w:r>
        <w:t>applicable)</w:t>
      </w:r>
      <w:r>
        <w:rPr>
          <w:spacing w:val="-2"/>
        </w:rPr>
        <w:t xml:space="preserve"> </w:t>
      </w:r>
      <w:r>
        <w:t>in line</w:t>
      </w:r>
      <w:r>
        <w:rPr>
          <w:spacing w:val="-1"/>
        </w:rPr>
        <w:t xml:space="preserve"> </w:t>
      </w:r>
      <w:r>
        <w:rPr>
          <w:spacing w:val="-5"/>
        </w:rPr>
        <w:t>t.</w:t>
      </w:r>
    </w:p>
    <w:p>
      <w:pPr>
        <w:spacing w:before="121"/>
        <w:ind w:left="1224" w:right="0" w:firstLine="0"/>
        <w:jc w:val="left"/>
        <w:rPr>
          <w:rFonts w:ascii="Arial" w:hAnsi="Arial"/>
          <w:b/>
          <w:sz w:val="21"/>
        </w:rPr>
      </w:pPr>
      <w:r>
        <w:rPr>
          <w:rFonts w:ascii="Arial" w:hAnsi="Arial"/>
          <w:b/>
          <w:sz w:val="21"/>
        </w:rPr>
        <w:t>Column</w:t>
      </w:r>
      <w:r>
        <w:rPr>
          <w:rFonts w:ascii="Arial" w:hAnsi="Arial"/>
          <w:b/>
          <w:spacing w:val="-9"/>
          <w:sz w:val="21"/>
        </w:rPr>
        <w:t xml:space="preserve"> </w:t>
      </w:r>
      <w:r>
        <w:rPr>
          <w:rFonts w:ascii="Arial" w:hAnsi="Arial"/>
          <w:b/>
          <w:sz w:val="21"/>
        </w:rPr>
        <w:t>i</w:t>
      </w:r>
      <w:r>
        <w:rPr>
          <w:rFonts w:ascii="Arial" w:hAnsi="Arial"/>
          <w:b/>
          <w:spacing w:val="-9"/>
          <w:sz w:val="21"/>
        </w:rPr>
        <w:t xml:space="preserve"> </w:t>
      </w:r>
      <w:r>
        <w:rPr>
          <w:rFonts w:ascii="Arial" w:hAnsi="Arial"/>
          <w:b/>
          <w:sz w:val="21"/>
        </w:rPr>
        <w:t>–</w:t>
      </w:r>
      <w:r>
        <w:rPr>
          <w:rFonts w:ascii="Arial" w:hAnsi="Arial"/>
          <w:b/>
          <w:spacing w:val="-7"/>
          <w:sz w:val="21"/>
        </w:rPr>
        <w:t xml:space="preserve"> </w:t>
      </w:r>
      <w:r>
        <w:rPr>
          <w:rFonts w:ascii="Arial" w:hAnsi="Arial"/>
          <w:b/>
          <w:sz w:val="21"/>
        </w:rPr>
        <w:t>In-Network</w:t>
      </w:r>
      <w:r>
        <w:rPr>
          <w:rFonts w:ascii="Arial" w:hAnsi="Arial"/>
          <w:b/>
          <w:spacing w:val="-9"/>
          <w:sz w:val="21"/>
        </w:rPr>
        <w:t xml:space="preserve"> </w:t>
      </w:r>
      <w:r>
        <w:rPr>
          <w:rFonts w:ascii="Arial" w:hAnsi="Arial"/>
          <w:b/>
          <w:sz w:val="21"/>
        </w:rPr>
        <w:t>Effective</w:t>
      </w:r>
      <w:r>
        <w:rPr>
          <w:rFonts w:ascii="Arial" w:hAnsi="Arial"/>
          <w:b/>
          <w:spacing w:val="-8"/>
          <w:sz w:val="21"/>
        </w:rPr>
        <w:t xml:space="preserve"> </w:t>
      </w:r>
      <w:r>
        <w:rPr>
          <w:rFonts w:ascii="Arial" w:hAnsi="Arial"/>
          <w:b/>
          <w:sz w:val="21"/>
        </w:rPr>
        <w:t>Copay/Coinsurance</w:t>
      </w:r>
      <w:r>
        <w:rPr>
          <w:rFonts w:ascii="Arial" w:hAnsi="Arial"/>
          <w:b/>
          <w:spacing w:val="-6"/>
          <w:sz w:val="21"/>
        </w:rPr>
        <w:t xml:space="preserve"> </w:t>
      </w:r>
      <w:r>
        <w:rPr>
          <w:rFonts w:ascii="Arial" w:hAnsi="Arial"/>
          <w:b/>
          <w:sz w:val="21"/>
        </w:rPr>
        <w:t>before</w:t>
      </w:r>
      <w:r>
        <w:rPr>
          <w:rFonts w:ascii="Arial" w:hAnsi="Arial"/>
          <w:b/>
          <w:spacing w:val="-8"/>
          <w:sz w:val="21"/>
        </w:rPr>
        <w:t xml:space="preserve"> </w:t>
      </w:r>
      <w:r>
        <w:rPr>
          <w:rFonts w:ascii="Arial" w:hAnsi="Arial"/>
          <w:b/>
          <w:sz w:val="21"/>
        </w:rPr>
        <w:t>OOP</w:t>
      </w:r>
      <w:r>
        <w:rPr>
          <w:rFonts w:ascii="Arial" w:hAnsi="Arial"/>
          <w:b/>
          <w:spacing w:val="-7"/>
          <w:sz w:val="21"/>
        </w:rPr>
        <w:t xml:space="preserve"> </w:t>
      </w:r>
      <w:r>
        <w:rPr>
          <w:rFonts w:ascii="Arial" w:hAnsi="Arial"/>
          <w:b/>
          <w:spacing w:val="-5"/>
          <w:sz w:val="21"/>
        </w:rPr>
        <w:t>Max</w:t>
      </w:r>
    </w:p>
    <w:p>
      <w:pPr>
        <w:pStyle w:val="BodyText"/>
        <w:spacing w:before="120"/>
        <w:ind w:left="1224" w:right="1443"/>
      </w:pPr>
      <w:r>
        <w:t>Enter the projected effective in-network cost-sharing amount after the plan-level deductible has been satisfied and before the impact of the OOP max. This amount must represent</w:t>
      </w:r>
      <w:r>
        <w:rPr>
          <w:spacing w:val="-3"/>
        </w:rPr>
        <w:t xml:space="preserve"> </w:t>
      </w:r>
      <w:r>
        <w:t>either</w:t>
      </w:r>
      <w:r>
        <w:rPr>
          <w:spacing w:val="-5"/>
        </w:rPr>
        <w:t xml:space="preserve"> </w:t>
      </w:r>
      <w:r>
        <w:t>the</w:t>
      </w:r>
      <w:r>
        <w:rPr>
          <w:spacing w:val="-2"/>
        </w:rPr>
        <w:t xml:space="preserve"> </w:t>
      </w:r>
      <w:r>
        <w:t>effective</w:t>
      </w:r>
      <w:r>
        <w:rPr>
          <w:spacing w:val="-3"/>
        </w:rPr>
        <w:t xml:space="preserve"> </w:t>
      </w:r>
      <w:r>
        <w:t>copay</w:t>
      </w:r>
      <w:r>
        <w:rPr>
          <w:spacing w:val="-3"/>
        </w:rPr>
        <w:t xml:space="preserve"> </w:t>
      </w:r>
      <w:r>
        <w:t>(if</w:t>
      </w:r>
      <w:r>
        <w:rPr>
          <w:spacing w:val="-4"/>
        </w:rPr>
        <w:t xml:space="preserve"> </w:t>
      </w:r>
      <w:r>
        <w:t>utilization</w:t>
      </w:r>
      <w:r>
        <w:rPr>
          <w:spacing w:val="-3"/>
        </w:rPr>
        <w:t xml:space="preserve"> </w:t>
      </w:r>
      <w:r>
        <w:t>is</w:t>
      </w:r>
      <w:r>
        <w:rPr>
          <w:spacing w:val="-4"/>
        </w:rPr>
        <w:t xml:space="preserve"> </w:t>
      </w:r>
      <w:r>
        <w:t>entered</w:t>
      </w:r>
      <w:r>
        <w:rPr>
          <w:spacing w:val="-3"/>
        </w:rPr>
        <w:t xml:space="preserve"> </w:t>
      </w:r>
      <w:r>
        <w:t>in</w:t>
      </w:r>
      <w:r>
        <w:rPr>
          <w:spacing w:val="-3"/>
        </w:rPr>
        <w:t xml:space="preserve"> </w:t>
      </w:r>
      <w:r>
        <w:t>column</w:t>
      </w:r>
      <w:r>
        <w:rPr>
          <w:spacing w:val="-3"/>
        </w:rPr>
        <w:t xml:space="preserve"> </w:t>
      </w:r>
      <w:r>
        <w:t>g)</w:t>
      </w:r>
      <w:r>
        <w:rPr>
          <w:spacing w:val="-3"/>
        </w:rPr>
        <w:t xml:space="preserve"> </w:t>
      </w:r>
      <w:r>
        <w:t>or</w:t>
      </w:r>
      <w:r>
        <w:rPr>
          <w:spacing w:val="-2"/>
        </w:rPr>
        <w:t xml:space="preserve"> </w:t>
      </w:r>
      <w:r>
        <w:t>the</w:t>
      </w:r>
      <w:r>
        <w:rPr>
          <w:spacing w:val="-3"/>
        </w:rPr>
        <w:t xml:space="preserve"> </w:t>
      </w:r>
      <w:r>
        <w:t>effective coinsurance percentage (if PMPM is entered in column g).</w:t>
      </w:r>
    </w:p>
    <w:p>
      <w:pPr>
        <w:pStyle w:val="BodyText"/>
        <w:spacing w:before="121"/>
        <w:ind w:left="1224" w:right="1619"/>
      </w:pPr>
      <w:r>
        <w:t>If</w:t>
      </w:r>
      <w:r>
        <w:rPr>
          <w:spacing w:val="-5"/>
        </w:rPr>
        <w:t xml:space="preserve"> </w:t>
      </w:r>
      <w:r>
        <w:t>the</w:t>
      </w:r>
      <w:r>
        <w:rPr>
          <w:spacing w:val="-4"/>
        </w:rPr>
        <w:t xml:space="preserve"> </w:t>
      </w:r>
      <w:r>
        <w:t>effective</w:t>
      </w:r>
      <w:r>
        <w:rPr>
          <w:spacing w:val="-4"/>
        </w:rPr>
        <w:t xml:space="preserve"> </w:t>
      </w:r>
      <w:r>
        <w:t>cost-sharing</w:t>
      </w:r>
      <w:r>
        <w:rPr>
          <w:spacing w:val="-4"/>
        </w:rPr>
        <w:t xml:space="preserve"> </w:t>
      </w:r>
      <w:r>
        <w:t>amount</w:t>
      </w:r>
      <w:r>
        <w:rPr>
          <w:spacing w:val="-3"/>
        </w:rPr>
        <w:t xml:space="preserve"> </w:t>
      </w:r>
      <w:r>
        <w:t>in</w:t>
      </w:r>
      <w:r>
        <w:rPr>
          <w:spacing w:val="-4"/>
        </w:rPr>
        <w:t xml:space="preserve"> </w:t>
      </w:r>
      <w:r>
        <w:t>column</w:t>
      </w:r>
      <w:r>
        <w:rPr>
          <w:spacing w:val="-3"/>
        </w:rPr>
        <w:t xml:space="preserve"> </w:t>
      </w:r>
      <w:r>
        <w:t>g</w:t>
      </w:r>
      <w:r>
        <w:rPr>
          <w:spacing w:val="-4"/>
        </w:rPr>
        <w:t xml:space="preserve"> </w:t>
      </w:r>
      <w:r>
        <w:t>reflects</w:t>
      </w:r>
      <w:r>
        <w:rPr>
          <w:spacing w:val="-4"/>
        </w:rPr>
        <w:t xml:space="preserve"> </w:t>
      </w:r>
      <w:r>
        <w:t>the</w:t>
      </w:r>
      <w:r>
        <w:rPr>
          <w:spacing w:val="-4"/>
        </w:rPr>
        <w:t xml:space="preserve"> </w:t>
      </w:r>
      <w:r>
        <w:t>unadjusted</w:t>
      </w:r>
      <w:r>
        <w:rPr>
          <w:spacing w:val="-4"/>
        </w:rPr>
        <w:t xml:space="preserve"> </w:t>
      </w:r>
      <w:r>
        <w:t>utilization</w:t>
      </w:r>
      <w:r>
        <w:rPr>
          <w:spacing w:val="-4"/>
        </w:rPr>
        <w:t xml:space="preserve"> </w:t>
      </w:r>
      <w:r>
        <w:t>for all days, visits, etc., then the corresponding cost-sharing amount in column j must include an adjustment for the time period for which the cost sharing applies.</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left="1224" w:right="1481"/>
      </w:pPr>
      <w:r>
        <w:t>Note that in certain cases, the effective coinsurance percentage in column i may not match the coinsurance percentage in the PBP. See the “Cost Sharing” pricing consideration</w:t>
      </w:r>
      <w:r>
        <w:rPr>
          <w:spacing w:val="-4"/>
        </w:rPr>
        <w:t xml:space="preserve"> </w:t>
      </w:r>
      <w:r>
        <w:t>for</w:t>
      </w:r>
      <w:r>
        <w:rPr>
          <w:spacing w:val="-4"/>
        </w:rPr>
        <w:t xml:space="preserve"> </w:t>
      </w:r>
      <w:r>
        <w:t>more</w:t>
      </w:r>
      <w:r>
        <w:rPr>
          <w:spacing w:val="-5"/>
        </w:rPr>
        <w:t xml:space="preserve"> </w:t>
      </w:r>
      <w:r>
        <w:t>information</w:t>
      </w:r>
      <w:r>
        <w:rPr>
          <w:spacing w:val="-4"/>
        </w:rPr>
        <w:t xml:space="preserve"> </w:t>
      </w:r>
      <w:r>
        <w:t>about</w:t>
      </w:r>
      <w:r>
        <w:rPr>
          <w:spacing w:val="-4"/>
        </w:rPr>
        <w:t xml:space="preserve"> </w:t>
      </w:r>
      <w:r>
        <w:t>the</w:t>
      </w:r>
      <w:r>
        <w:rPr>
          <w:spacing w:val="-4"/>
        </w:rPr>
        <w:t xml:space="preserve"> </w:t>
      </w:r>
      <w:r>
        <w:t>calculation</w:t>
      </w:r>
      <w:r>
        <w:rPr>
          <w:spacing w:val="-4"/>
        </w:rPr>
        <w:t xml:space="preserve"> </w:t>
      </w:r>
      <w:r>
        <w:t>of</w:t>
      </w:r>
      <w:r>
        <w:rPr>
          <w:spacing w:val="-4"/>
        </w:rPr>
        <w:t xml:space="preserve"> </w:t>
      </w:r>
      <w:r>
        <w:t>the</w:t>
      </w:r>
      <w:r>
        <w:rPr>
          <w:spacing w:val="-3"/>
        </w:rPr>
        <w:t xml:space="preserve"> </w:t>
      </w:r>
      <w:r>
        <w:t>effective</w:t>
      </w:r>
      <w:r>
        <w:rPr>
          <w:spacing w:val="-5"/>
        </w:rPr>
        <w:t xml:space="preserve"> </w:t>
      </w:r>
      <w:r>
        <w:t xml:space="preserve">coinsurance </w:t>
      </w:r>
      <w:r>
        <w:rPr>
          <w:spacing w:val="-2"/>
        </w:rPr>
        <w:t>percentage.</w:t>
      </w:r>
    </w:p>
    <w:p>
      <w:pPr>
        <w:pStyle w:val="BodyText"/>
        <w:spacing w:before="120"/>
        <w:ind w:left="1224" w:right="1524"/>
      </w:pPr>
      <w:r>
        <w:t>Also</w:t>
      </w:r>
      <w:r>
        <w:rPr>
          <w:spacing w:val="-2"/>
        </w:rPr>
        <w:t xml:space="preserve"> </w:t>
      </w:r>
      <w:r>
        <w:t>note</w:t>
      </w:r>
      <w:r>
        <w:rPr>
          <w:spacing w:val="-2"/>
        </w:rPr>
        <w:t xml:space="preserve"> </w:t>
      </w:r>
      <w:r>
        <w:t>that</w:t>
      </w:r>
      <w:r>
        <w:rPr>
          <w:spacing w:val="-2"/>
        </w:rPr>
        <w:t xml:space="preserve"> </w:t>
      </w:r>
      <w:r>
        <w:t>this</w:t>
      </w:r>
      <w:r>
        <w:rPr>
          <w:spacing w:val="-3"/>
        </w:rPr>
        <w:t xml:space="preserve"> </w:t>
      </w:r>
      <w:r>
        <w:t>cell</w:t>
      </w:r>
      <w:r>
        <w:rPr>
          <w:spacing w:val="-2"/>
        </w:rPr>
        <w:t xml:space="preserve"> </w:t>
      </w:r>
      <w:r>
        <w:t>is</w:t>
      </w:r>
      <w:r>
        <w:rPr>
          <w:spacing w:val="-3"/>
        </w:rPr>
        <w:t xml:space="preserve"> </w:t>
      </w:r>
      <w:r>
        <w:t>not</w:t>
      </w:r>
      <w:r>
        <w:rPr>
          <w:spacing w:val="-2"/>
        </w:rPr>
        <w:t xml:space="preserve"> </w:t>
      </w:r>
      <w:r>
        <w:t>used</w:t>
      </w:r>
      <w:r>
        <w:rPr>
          <w:spacing w:val="-2"/>
        </w:rPr>
        <w:t xml:space="preserve"> </w:t>
      </w:r>
      <w:r>
        <w:t>to</w:t>
      </w:r>
      <w:r>
        <w:rPr>
          <w:spacing w:val="-2"/>
        </w:rPr>
        <w:t xml:space="preserve"> </w:t>
      </w:r>
      <w:r>
        <w:t>calculate</w:t>
      </w:r>
      <w:r>
        <w:rPr>
          <w:spacing w:val="-2"/>
        </w:rPr>
        <w:t xml:space="preserve"> </w:t>
      </w:r>
      <w:r>
        <w:t>the</w:t>
      </w:r>
      <w:r>
        <w:rPr>
          <w:spacing w:val="-3"/>
        </w:rPr>
        <w:t xml:space="preserve"> </w:t>
      </w:r>
      <w:r>
        <w:t>in-network</w:t>
      </w:r>
      <w:r>
        <w:rPr>
          <w:spacing w:val="-3"/>
        </w:rPr>
        <w:t xml:space="preserve"> </w:t>
      </w:r>
      <w:r>
        <w:t>PMPM</w:t>
      </w:r>
      <w:r>
        <w:rPr>
          <w:spacing w:val="-3"/>
        </w:rPr>
        <w:t xml:space="preserve"> </w:t>
      </w:r>
      <w:r>
        <w:t>in</w:t>
      </w:r>
      <w:r>
        <w:rPr>
          <w:spacing w:val="-2"/>
        </w:rPr>
        <w:t xml:space="preserve"> </w:t>
      </w:r>
      <w:r>
        <w:t>column</w:t>
      </w:r>
      <w:r>
        <w:rPr>
          <w:spacing w:val="-2"/>
        </w:rPr>
        <w:t xml:space="preserve"> </w:t>
      </w:r>
      <w:r>
        <w:t>k.</w:t>
      </w:r>
      <w:r>
        <w:rPr>
          <w:spacing w:val="-2"/>
        </w:rPr>
        <w:t xml:space="preserve"> </w:t>
      </w:r>
      <w:r>
        <w:t>See the instruction for column j, the projected effective in-network cost-sharing amount after the plan-level deductible has been satisfied and including the impact of the OOP maximum. However, if a value is entered in column j, then a corresponding value for the same service category must be entered in column i.</w:t>
      </w:r>
    </w:p>
    <w:p>
      <w:pPr>
        <w:spacing w:before="121"/>
        <w:ind w:left="1224" w:right="0" w:firstLine="0"/>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j</w:t>
      </w:r>
      <w:r>
        <w:rPr>
          <w:rFonts w:ascii="Arial" w:hAnsi="Arial"/>
          <w:b/>
          <w:spacing w:val="-9"/>
          <w:sz w:val="21"/>
        </w:rPr>
        <w:t xml:space="preserve"> </w:t>
      </w:r>
      <w:r>
        <w:rPr>
          <w:rFonts w:ascii="Arial" w:hAnsi="Arial"/>
          <w:b/>
          <w:sz w:val="21"/>
        </w:rPr>
        <w:t>–</w:t>
      </w:r>
      <w:r>
        <w:rPr>
          <w:rFonts w:ascii="Arial" w:hAnsi="Arial"/>
          <w:b/>
          <w:spacing w:val="-6"/>
          <w:sz w:val="21"/>
        </w:rPr>
        <w:t xml:space="preserve"> </w:t>
      </w:r>
      <w:r>
        <w:rPr>
          <w:rFonts w:ascii="Arial" w:hAnsi="Arial"/>
          <w:b/>
          <w:sz w:val="21"/>
        </w:rPr>
        <w:t>In-Network</w:t>
      </w:r>
      <w:r>
        <w:rPr>
          <w:rFonts w:ascii="Arial" w:hAnsi="Arial"/>
          <w:b/>
          <w:spacing w:val="-9"/>
          <w:sz w:val="21"/>
        </w:rPr>
        <w:t xml:space="preserve"> </w:t>
      </w:r>
      <w:r>
        <w:rPr>
          <w:rFonts w:ascii="Arial" w:hAnsi="Arial"/>
          <w:b/>
          <w:sz w:val="21"/>
        </w:rPr>
        <w:t>Effective</w:t>
      </w:r>
      <w:r>
        <w:rPr>
          <w:rFonts w:ascii="Arial" w:hAnsi="Arial"/>
          <w:b/>
          <w:spacing w:val="-7"/>
          <w:sz w:val="21"/>
        </w:rPr>
        <w:t xml:space="preserve"> </w:t>
      </w:r>
      <w:r>
        <w:rPr>
          <w:rFonts w:ascii="Arial" w:hAnsi="Arial"/>
          <w:b/>
          <w:sz w:val="21"/>
        </w:rPr>
        <w:t>Copay/Coinsurance</w:t>
      </w:r>
      <w:r>
        <w:rPr>
          <w:rFonts w:ascii="Arial" w:hAnsi="Arial"/>
          <w:b/>
          <w:spacing w:val="-5"/>
          <w:sz w:val="21"/>
        </w:rPr>
        <w:t xml:space="preserve"> </w:t>
      </w:r>
      <w:r>
        <w:rPr>
          <w:rFonts w:ascii="Arial" w:hAnsi="Arial"/>
          <w:b/>
          <w:sz w:val="21"/>
        </w:rPr>
        <w:t>after</w:t>
      </w:r>
      <w:r>
        <w:rPr>
          <w:rFonts w:ascii="Arial" w:hAnsi="Arial"/>
          <w:b/>
          <w:spacing w:val="-8"/>
          <w:sz w:val="21"/>
        </w:rPr>
        <w:t xml:space="preserve"> </w:t>
      </w:r>
      <w:r>
        <w:rPr>
          <w:rFonts w:ascii="Arial" w:hAnsi="Arial"/>
          <w:b/>
          <w:sz w:val="21"/>
        </w:rPr>
        <w:t>OOP</w:t>
      </w:r>
      <w:r>
        <w:rPr>
          <w:rFonts w:ascii="Arial" w:hAnsi="Arial"/>
          <w:b/>
          <w:spacing w:val="-6"/>
          <w:sz w:val="21"/>
        </w:rPr>
        <w:t xml:space="preserve"> </w:t>
      </w:r>
      <w:r>
        <w:rPr>
          <w:rFonts w:ascii="Arial" w:hAnsi="Arial"/>
          <w:b/>
          <w:spacing w:val="-5"/>
          <w:sz w:val="21"/>
        </w:rPr>
        <w:t>Max</w:t>
      </w:r>
    </w:p>
    <w:p>
      <w:pPr>
        <w:pStyle w:val="BodyText"/>
        <w:spacing w:before="120"/>
        <w:ind w:left="1224" w:right="1619"/>
      </w:pPr>
      <w:r>
        <w:t>Enter the projected effective in-network cost-sharing amount after the plan-level deductible has been satisfied and including the impact of the OOP maximum. This amount</w:t>
      </w:r>
      <w:r>
        <w:rPr>
          <w:spacing w:val="-4"/>
        </w:rPr>
        <w:t xml:space="preserve"> </w:t>
      </w:r>
      <w:r>
        <w:t>must</w:t>
      </w:r>
      <w:r>
        <w:rPr>
          <w:spacing w:val="-3"/>
        </w:rPr>
        <w:t xml:space="preserve"> </w:t>
      </w:r>
      <w:r>
        <w:t>represent</w:t>
      </w:r>
      <w:r>
        <w:rPr>
          <w:spacing w:val="-4"/>
        </w:rPr>
        <w:t xml:space="preserve"> </w:t>
      </w:r>
      <w:r>
        <w:t>either</w:t>
      </w:r>
      <w:r>
        <w:rPr>
          <w:spacing w:val="-6"/>
        </w:rPr>
        <w:t xml:space="preserve"> </w:t>
      </w:r>
      <w:r>
        <w:t>the</w:t>
      </w:r>
      <w:r>
        <w:rPr>
          <w:spacing w:val="-4"/>
        </w:rPr>
        <w:t xml:space="preserve"> </w:t>
      </w:r>
      <w:r>
        <w:t>effective</w:t>
      </w:r>
      <w:r>
        <w:rPr>
          <w:spacing w:val="-3"/>
        </w:rPr>
        <w:t xml:space="preserve"> </w:t>
      </w:r>
      <w:r>
        <w:t>copay</w:t>
      </w:r>
      <w:r>
        <w:rPr>
          <w:spacing w:val="-4"/>
        </w:rPr>
        <w:t xml:space="preserve"> </w:t>
      </w:r>
      <w:r>
        <w:t>(if</w:t>
      </w:r>
      <w:r>
        <w:rPr>
          <w:spacing w:val="-4"/>
        </w:rPr>
        <w:t xml:space="preserve"> </w:t>
      </w:r>
      <w:r>
        <w:t>utilization</w:t>
      </w:r>
      <w:r>
        <w:rPr>
          <w:spacing w:val="-4"/>
        </w:rPr>
        <w:t xml:space="preserve"> </w:t>
      </w:r>
      <w:r>
        <w:t>is</w:t>
      </w:r>
      <w:r>
        <w:rPr>
          <w:spacing w:val="-4"/>
        </w:rPr>
        <w:t xml:space="preserve"> </w:t>
      </w:r>
      <w:r>
        <w:t>entered</w:t>
      </w:r>
      <w:r>
        <w:rPr>
          <w:spacing w:val="-4"/>
        </w:rPr>
        <w:t xml:space="preserve"> </w:t>
      </w:r>
      <w:r>
        <w:t>in</w:t>
      </w:r>
      <w:r>
        <w:rPr>
          <w:spacing w:val="-4"/>
        </w:rPr>
        <w:t xml:space="preserve"> </w:t>
      </w:r>
      <w:r>
        <w:t>column</w:t>
      </w:r>
      <w:r>
        <w:rPr>
          <w:spacing w:val="-4"/>
        </w:rPr>
        <w:t xml:space="preserve"> </w:t>
      </w:r>
      <w:r>
        <w:t>g) or</w:t>
      </w:r>
      <w:r>
        <w:rPr>
          <w:spacing w:val="-1"/>
        </w:rPr>
        <w:t xml:space="preserve"> </w:t>
      </w:r>
      <w:r>
        <w:t>the</w:t>
      </w:r>
      <w:r>
        <w:rPr>
          <w:spacing w:val="-3"/>
        </w:rPr>
        <w:t xml:space="preserve"> </w:t>
      </w:r>
      <w:r>
        <w:t>effective coinsurance</w:t>
      </w:r>
      <w:r>
        <w:rPr>
          <w:spacing w:val="-2"/>
        </w:rPr>
        <w:t xml:space="preserve"> </w:t>
      </w:r>
      <w:r>
        <w:t>percentage</w:t>
      </w:r>
      <w:r>
        <w:rPr>
          <w:spacing w:val="-2"/>
        </w:rPr>
        <w:t xml:space="preserve"> </w:t>
      </w:r>
      <w:r>
        <w:t>(if</w:t>
      </w:r>
      <w:r>
        <w:rPr>
          <w:spacing w:val="-2"/>
        </w:rPr>
        <w:t xml:space="preserve"> </w:t>
      </w:r>
      <w:r>
        <w:t>PMPM</w:t>
      </w:r>
      <w:r>
        <w:rPr>
          <w:spacing w:val="-2"/>
        </w:rPr>
        <w:t xml:space="preserve"> </w:t>
      </w:r>
      <w:r>
        <w:t>is</w:t>
      </w:r>
      <w:r>
        <w:rPr>
          <w:spacing w:val="-1"/>
        </w:rPr>
        <w:t xml:space="preserve"> </w:t>
      </w:r>
      <w:r>
        <w:t>entered</w:t>
      </w:r>
      <w:r>
        <w:rPr>
          <w:spacing w:val="-1"/>
        </w:rPr>
        <w:t xml:space="preserve"> </w:t>
      </w:r>
      <w:r>
        <w:t>in</w:t>
      </w:r>
      <w:r>
        <w:rPr>
          <w:spacing w:val="-1"/>
        </w:rPr>
        <w:t xml:space="preserve"> </w:t>
      </w:r>
      <w:r>
        <w:t>column</w:t>
      </w:r>
      <w:r>
        <w:rPr>
          <w:spacing w:val="-1"/>
        </w:rPr>
        <w:t xml:space="preserve"> </w:t>
      </w:r>
      <w:r>
        <w:t>g). This</w:t>
      </w:r>
      <w:r>
        <w:rPr>
          <w:spacing w:val="-2"/>
        </w:rPr>
        <w:t xml:space="preserve"> </w:t>
      </w:r>
      <w:r>
        <w:t>cell</w:t>
      </w:r>
      <w:r>
        <w:rPr>
          <w:spacing w:val="-1"/>
        </w:rPr>
        <w:t xml:space="preserve"> </w:t>
      </w:r>
      <w:r>
        <w:t>is used to calculate the in-network PMPM in column k. The values in column j must be less than or equal to the corresponding values in column i.</w:t>
      </w:r>
    </w:p>
    <w:p>
      <w:pPr>
        <w:pStyle w:val="BodyText"/>
        <w:spacing w:before="119"/>
        <w:ind w:left="1224"/>
      </w:pPr>
      <w:r>
        <w:t>Enter</w:t>
      </w:r>
      <w:r>
        <w:rPr>
          <w:spacing w:val="-1"/>
        </w:rPr>
        <w:t xml:space="preserve"> </w:t>
      </w:r>
      <w:r>
        <w:t>the</w:t>
      </w:r>
      <w:r>
        <w:rPr>
          <w:spacing w:val="-3"/>
        </w:rPr>
        <w:t xml:space="preserve"> </w:t>
      </w:r>
      <w:r>
        <w:t>PMPM</w:t>
      </w:r>
      <w:r>
        <w:rPr>
          <w:spacing w:val="-1"/>
        </w:rPr>
        <w:t xml:space="preserve"> </w:t>
      </w:r>
      <w:r>
        <w:t>pricing</w:t>
      </w:r>
      <w:r>
        <w:rPr>
          <w:spacing w:val="-1"/>
        </w:rPr>
        <w:t xml:space="preserve"> </w:t>
      </w:r>
      <w:r>
        <w:t>impact</w:t>
      </w:r>
      <w:r>
        <w:rPr>
          <w:spacing w:val="-1"/>
        </w:rPr>
        <w:t xml:space="preserve"> </w:t>
      </w:r>
      <w:r>
        <w:t>of the</w:t>
      </w:r>
      <w:r>
        <w:rPr>
          <w:spacing w:val="-2"/>
        </w:rPr>
        <w:t xml:space="preserve"> </w:t>
      </w:r>
      <w:r>
        <w:t>in-network OOP maximum</w:t>
      </w:r>
      <w:r>
        <w:rPr>
          <w:spacing w:val="-1"/>
        </w:rPr>
        <w:t xml:space="preserve"> </w:t>
      </w:r>
      <w:r>
        <w:t>in</w:t>
      </w:r>
      <w:r>
        <w:rPr>
          <w:spacing w:val="1"/>
        </w:rPr>
        <w:t xml:space="preserve"> </w:t>
      </w:r>
      <w:r>
        <w:t>line</w:t>
      </w:r>
      <w:r>
        <w:rPr>
          <w:spacing w:val="-1"/>
        </w:rPr>
        <w:t xml:space="preserve"> </w:t>
      </w:r>
      <w:r>
        <w:rPr>
          <w:spacing w:val="-5"/>
        </w:rPr>
        <w:t>v.</w:t>
      </w:r>
    </w:p>
    <w:p>
      <w:pPr>
        <w:spacing w:before="120"/>
        <w:ind w:left="1224" w:right="0" w:firstLine="0"/>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k</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In-Network</w:t>
      </w:r>
      <w:r>
        <w:rPr>
          <w:rFonts w:ascii="Arial" w:hAnsi="Arial"/>
          <w:b/>
          <w:spacing w:val="-7"/>
          <w:sz w:val="21"/>
        </w:rPr>
        <w:t xml:space="preserve"> </w:t>
      </w:r>
      <w:r>
        <w:rPr>
          <w:rFonts w:ascii="Arial" w:hAnsi="Arial"/>
          <w:b/>
          <w:spacing w:val="-4"/>
          <w:sz w:val="21"/>
        </w:rPr>
        <w:t>PMPM</w:t>
      </w:r>
    </w:p>
    <w:p>
      <w:pPr>
        <w:pStyle w:val="BodyText"/>
        <w:spacing w:before="120"/>
        <w:ind w:left="1224" w:right="1443"/>
      </w:pPr>
      <w:r>
        <w:t>These cells are calculated automatically and reflect the projected cost-sharing value PMPM</w:t>
      </w:r>
      <w:r>
        <w:rPr>
          <w:spacing w:val="-5"/>
        </w:rPr>
        <w:t xml:space="preserve"> </w:t>
      </w:r>
      <w:r>
        <w:t>for</w:t>
      </w:r>
      <w:r>
        <w:rPr>
          <w:spacing w:val="-6"/>
        </w:rPr>
        <w:t xml:space="preserve"> </w:t>
      </w:r>
      <w:r>
        <w:t>in-network</w:t>
      </w:r>
      <w:r>
        <w:rPr>
          <w:spacing w:val="-5"/>
        </w:rPr>
        <w:t xml:space="preserve"> </w:t>
      </w:r>
      <w:r>
        <w:t>services,</w:t>
      </w:r>
      <w:r>
        <w:rPr>
          <w:spacing w:val="-4"/>
        </w:rPr>
        <w:t xml:space="preserve"> </w:t>
      </w:r>
      <w:r>
        <w:t>excluding</w:t>
      </w:r>
      <w:r>
        <w:rPr>
          <w:spacing w:val="-4"/>
        </w:rPr>
        <w:t xml:space="preserve"> </w:t>
      </w:r>
      <w:r>
        <w:t>the</w:t>
      </w:r>
      <w:r>
        <w:rPr>
          <w:spacing w:val="-4"/>
        </w:rPr>
        <w:t xml:space="preserve"> </w:t>
      </w:r>
      <w:r>
        <w:t>effective</w:t>
      </w:r>
      <w:r>
        <w:rPr>
          <w:spacing w:val="-5"/>
        </w:rPr>
        <w:t xml:space="preserve"> </w:t>
      </w:r>
      <w:r>
        <w:t>in-network</w:t>
      </w:r>
      <w:r>
        <w:rPr>
          <w:spacing w:val="-5"/>
        </w:rPr>
        <w:t xml:space="preserve"> </w:t>
      </w:r>
      <w:r>
        <w:t>plan-level</w:t>
      </w:r>
      <w:r>
        <w:rPr>
          <w:spacing w:val="-4"/>
        </w:rPr>
        <w:t xml:space="preserve"> </w:t>
      </w:r>
      <w:r>
        <w:t>deductible and including the impact of the OOP maximum. The formula uses the utilization or PMPM amounts in column g and the effective copay or coinsurance in column j.</w:t>
      </w:r>
    </w:p>
    <w:p>
      <w:pPr>
        <w:pStyle w:val="ListParagraph"/>
        <w:numPr>
          <w:ilvl w:val="1"/>
          <w:numId w:val="43"/>
        </w:numPr>
        <w:tabs>
          <w:tab w:val="left" w:pos="1584"/>
        </w:tabs>
        <w:spacing w:before="121" w:after="0" w:line="240" w:lineRule="auto"/>
        <w:ind w:left="1584" w:right="1781" w:hanging="360"/>
        <w:jc w:val="left"/>
        <w:rPr>
          <w:sz w:val="24"/>
        </w:rPr>
      </w:pPr>
      <w:r>
        <w:rPr>
          <w:sz w:val="24"/>
        </w:rPr>
        <w:t>If</w:t>
      </w:r>
      <w:r>
        <w:rPr>
          <w:spacing w:val="-5"/>
          <w:sz w:val="24"/>
        </w:rPr>
        <w:t xml:space="preserve"> </w:t>
      </w:r>
      <w:r>
        <w:rPr>
          <w:sz w:val="24"/>
        </w:rPr>
        <w:t>the</w:t>
      </w:r>
      <w:r>
        <w:rPr>
          <w:spacing w:val="-4"/>
          <w:sz w:val="24"/>
        </w:rPr>
        <w:t xml:space="preserve"> </w:t>
      </w:r>
      <w:r>
        <w:rPr>
          <w:sz w:val="24"/>
        </w:rPr>
        <w:t>measurement</w:t>
      </w:r>
      <w:r>
        <w:rPr>
          <w:spacing w:val="-4"/>
          <w:sz w:val="24"/>
        </w:rPr>
        <w:t xml:space="preserve"> </w:t>
      </w:r>
      <w:r>
        <w:rPr>
          <w:sz w:val="24"/>
        </w:rPr>
        <w:t>unit</w:t>
      </w:r>
      <w:r>
        <w:rPr>
          <w:spacing w:val="-4"/>
          <w:sz w:val="24"/>
        </w:rPr>
        <w:t xml:space="preserve"> </w:t>
      </w:r>
      <w:r>
        <w:rPr>
          <w:sz w:val="24"/>
        </w:rPr>
        <w:t>is</w:t>
      </w:r>
      <w:r>
        <w:rPr>
          <w:spacing w:val="-5"/>
          <w:sz w:val="24"/>
        </w:rPr>
        <w:t xml:space="preserve"> </w:t>
      </w:r>
      <w:r>
        <w:rPr>
          <w:sz w:val="24"/>
        </w:rPr>
        <w:t>coinsurance</w:t>
      </w:r>
      <w:r>
        <w:rPr>
          <w:spacing w:val="-3"/>
          <w:sz w:val="24"/>
        </w:rPr>
        <w:t xml:space="preserve"> </w:t>
      </w:r>
      <w:r>
        <w:rPr>
          <w:sz w:val="24"/>
        </w:rPr>
        <w:t>(“Coin”),</w:t>
      </w:r>
      <w:r>
        <w:rPr>
          <w:spacing w:val="-4"/>
          <w:sz w:val="24"/>
        </w:rPr>
        <w:t xml:space="preserve"> </w:t>
      </w:r>
      <w:r>
        <w:rPr>
          <w:sz w:val="24"/>
        </w:rPr>
        <w:t>then</w:t>
      </w:r>
      <w:r>
        <w:rPr>
          <w:spacing w:val="-4"/>
          <w:sz w:val="24"/>
        </w:rPr>
        <w:t xml:space="preserve"> </w:t>
      </w:r>
      <w:r>
        <w:rPr>
          <w:sz w:val="24"/>
        </w:rPr>
        <w:t>the</w:t>
      </w:r>
      <w:r>
        <w:rPr>
          <w:spacing w:val="-4"/>
          <w:sz w:val="24"/>
        </w:rPr>
        <w:t xml:space="preserve"> </w:t>
      </w:r>
      <w:r>
        <w:rPr>
          <w:sz w:val="24"/>
        </w:rPr>
        <w:t>calculation</w:t>
      </w:r>
      <w:r>
        <w:rPr>
          <w:spacing w:val="-4"/>
          <w:sz w:val="24"/>
        </w:rPr>
        <w:t xml:space="preserve"> </w:t>
      </w:r>
      <w:r>
        <w:rPr>
          <w:sz w:val="24"/>
        </w:rPr>
        <w:t>is</w:t>
      </w:r>
      <w:r>
        <w:rPr>
          <w:spacing w:val="-1"/>
          <w:sz w:val="24"/>
        </w:rPr>
        <w:t xml:space="preserve"> </w:t>
      </w:r>
      <w:r>
        <w:rPr>
          <w:sz w:val="24"/>
        </w:rPr>
        <w:t>column</w:t>
      </w:r>
      <w:r>
        <w:rPr>
          <w:spacing w:val="-4"/>
          <w:sz w:val="24"/>
        </w:rPr>
        <w:t xml:space="preserve"> </w:t>
      </w:r>
      <w:r>
        <w:rPr>
          <w:sz w:val="24"/>
        </w:rPr>
        <w:t>g times column j.</w:t>
      </w:r>
    </w:p>
    <w:p>
      <w:pPr>
        <w:pStyle w:val="ListParagraph"/>
        <w:numPr>
          <w:ilvl w:val="1"/>
          <w:numId w:val="43"/>
        </w:numPr>
        <w:tabs>
          <w:tab w:val="left" w:pos="1584"/>
        </w:tabs>
        <w:spacing w:before="0" w:after="0" w:line="240" w:lineRule="auto"/>
        <w:ind w:left="1584" w:right="1853" w:hanging="360"/>
        <w:jc w:val="left"/>
        <w:rPr>
          <w:sz w:val="24"/>
        </w:rPr>
      </w:pPr>
      <w:r>
        <w:rPr>
          <w:sz w:val="24"/>
        </w:rPr>
        <w:t>For</w:t>
      </w:r>
      <w:r>
        <w:rPr>
          <w:spacing w:val="-4"/>
          <w:sz w:val="24"/>
        </w:rPr>
        <w:t xml:space="preserve"> </w:t>
      </w:r>
      <w:r>
        <w:rPr>
          <w:sz w:val="24"/>
        </w:rPr>
        <w:t>measurement</w:t>
      </w:r>
      <w:r>
        <w:rPr>
          <w:spacing w:val="-4"/>
          <w:sz w:val="24"/>
        </w:rPr>
        <w:t xml:space="preserve"> </w:t>
      </w:r>
      <w:r>
        <w:rPr>
          <w:sz w:val="24"/>
        </w:rPr>
        <w:t>units</w:t>
      </w:r>
      <w:r>
        <w:rPr>
          <w:spacing w:val="-5"/>
          <w:sz w:val="24"/>
        </w:rPr>
        <w:t xml:space="preserve"> </w:t>
      </w:r>
      <w:r>
        <w:rPr>
          <w:sz w:val="24"/>
        </w:rPr>
        <w:t>other</w:t>
      </w:r>
      <w:r>
        <w:rPr>
          <w:spacing w:val="-4"/>
          <w:sz w:val="24"/>
        </w:rPr>
        <w:t xml:space="preserve"> </w:t>
      </w:r>
      <w:r>
        <w:rPr>
          <w:sz w:val="24"/>
        </w:rPr>
        <w:t>than</w:t>
      </w:r>
      <w:r>
        <w:rPr>
          <w:spacing w:val="-4"/>
          <w:sz w:val="24"/>
        </w:rPr>
        <w:t xml:space="preserve"> </w:t>
      </w:r>
      <w:r>
        <w:rPr>
          <w:sz w:val="24"/>
        </w:rPr>
        <w:t>coinsurance,</w:t>
      </w:r>
      <w:r>
        <w:rPr>
          <w:spacing w:val="-4"/>
          <w:sz w:val="24"/>
        </w:rPr>
        <w:t xml:space="preserve"> </w:t>
      </w:r>
      <w:r>
        <w:rPr>
          <w:sz w:val="24"/>
        </w:rPr>
        <w:t>the</w:t>
      </w:r>
      <w:r>
        <w:rPr>
          <w:spacing w:val="-3"/>
          <w:sz w:val="24"/>
        </w:rPr>
        <w:t xml:space="preserve"> </w:t>
      </w:r>
      <w:r>
        <w:rPr>
          <w:sz w:val="24"/>
        </w:rPr>
        <w:t>calculation</w:t>
      </w:r>
      <w:r>
        <w:rPr>
          <w:spacing w:val="-4"/>
          <w:sz w:val="24"/>
        </w:rPr>
        <w:t xml:space="preserve"> </w:t>
      </w:r>
      <w:r>
        <w:rPr>
          <w:sz w:val="24"/>
        </w:rPr>
        <w:t>is</w:t>
      </w:r>
      <w:r>
        <w:rPr>
          <w:spacing w:val="-1"/>
          <w:sz w:val="24"/>
        </w:rPr>
        <w:t xml:space="preserve"> </w:t>
      </w:r>
      <w:r>
        <w:rPr>
          <w:sz w:val="24"/>
        </w:rPr>
        <w:t>column</w:t>
      </w:r>
      <w:r>
        <w:rPr>
          <w:spacing w:val="-4"/>
          <w:sz w:val="24"/>
        </w:rPr>
        <w:t xml:space="preserve"> </w:t>
      </w:r>
      <w:r>
        <w:rPr>
          <w:sz w:val="24"/>
        </w:rPr>
        <w:t>g</w:t>
      </w:r>
      <w:r>
        <w:rPr>
          <w:spacing w:val="-4"/>
          <w:sz w:val="24"/>
        </w:rPr>
        <w:t xml:space="preserve"> </w:t>
      </w:r>
      <w:r>
        <w:rPr>
          <w:sz w:val="24"/>
        </w:rPr>
        <w:t>times column j divided by 12,000.</w:t>
      </w:r>
    </w:p>
    <w:p>
      <w:pPr>
        <w:pStyle w:val="BodyText"/>
        <w:spacing w:before="120"/>
        <w:ind w:left="1224" w:right="2408"/>
      </w:pPr>
      <w:r>
        <w:t>Enter</w:t>
      </w:r>
      <w:r>
        <w:rPr>
          <w:spacing w:val="-4"/>
        </w:rPr>
        <w:t xml:space="preserve"> </w:t>
      </w:r>
      <w:r>
        <w:t>the</w:t>
      </w:r>
      <w:r>
        <w:rPr>
          <w:spacing w:val="-5"/>
        </w:rPr>
        <w:t xml:space="preserve"> </w:t>
      </w:r>
      <w:r>
        <w:t>actual</w:t>
      </w:r>
      <w:r>
        <w:rPr>
          <w:spacing w:val="-4"/>
        </w:rPr>
        <w:t xml:space="preserve"> </w:t>
      </w:r>
      <w:r>
        <w:t>in-network</w:t>
      </w:r>
      <w:r>
        <w:rPr>
          <w:spacing w:val="-4"/>
        </w:rPr>
        <w:t xml:space="preserve"> </w:t>
      </w:r>
      <w:r>
        <w:t>plan-level</w:t>
      </w:r>
      <w:r>
        <w:rPr>
          <w:spacing w:val="-4"/>
        </w:rPr>
        <w:t xml:space="preserve"> </w:t>
      </w:r>
      <w:r>
        <w:t>deductible</w:t>
      </w:r>
      <w:r>
        <w:rPr>
          <w:spacing w:val="-4"/>
        </w:rPr>
        <w:t xml:space="preserve"> </w:t>
      </w:r>
      <w:r>
        <w:t>and</w:t>
      </w:r>
      <w:r>
        <w:rPr>
          <w:spacing w:val="-4"/>
        </w:rPr>
        <w:t xml:space="preserve"> </w:t>
      </w:r>
      <w:r>
        <w:t>the</w:t>
      </w:r>
      <w:r>
        <w:rPr>
          <w:spacing w:val="-4"/>
        </w:rPr>
        <w:t xml:space="preserve"> </w:t>
      </w:r>
      <w:r>
        <w:t>pricing</w:t>
      </w:r>
      <w:r>
        <w:rPr>
          <w:spacing w:val="-4"/>
        </w:rPr>
        <w:t xml:space="preserve"> </w:t>
      </w:r>
      <w:r>
        <w:t>impact</w:t>
      </w:r>
      <w:r>
        <w:rPr>
          <w:spacing w:val="-4"/>
        </w:rPr>
        <w:t xml:space="preserve"> </w:t>
      </w:r>
      <w:r>
        <w:t>of</w:t>
      </w:r>
      <w:r>
        <w:rPr>
          <w:spacing w:val="-4"/>
        </w:rPr>
        <w:t xml:space="preserve"> </w:t>
      </w:r>
      <w:r>
        <w:t>the in-network OOP maximum in line t and line v, respectively.</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l</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Total</w:t>
      </w:r>
      <w:r>
        <w:rPr>
          <w:rFonts w:ascii="Arial" w:hAnsi="Arial"/>
          <w:b/>
          <w:spacing w:val="-5"/>
          <w:sz w:val="21"/>
        </w:rPr>
        <w:t xml:space="preserve"> </w:t>
      </w:r>
      <w:r>
        <w:rPr>
          <w:rFonts w:ascii="Arial" w:hAnsi="Arial"/>
          <w:b/>
          <w:sz w:val="21"/>
        </w:rPr>
        <w:t>In-Network</w:t>
      </w:r>
      <w:r>
        <w:rPr>
          <w:rFonts w:ascii="Arial" w:hAnsi="Arial"/>
          <w:b/>
          <w:spacing w:val="-4"/>
          <w:sz w:val="21"/>
        </w:rPr>
        <w:t xml:space="preserve"> </w:t>
      </w:r>
      <w:r>
        <w:rPr>
          <w:rFonts w:ascii="Arial" w:hAnsi="Arial"/>
          <w:b/>
          <w:sz w:val="21"/>
        </w:rPr>
        <w:t>Cost</w:t>
      </w:r>
      <w:r>
        <w:rPr>
          <w:rFonts w:ascii="Arial" w:hAnsi="Arial"/>
          <w:b/>
          <w:spacing w:val="-5"/>
          <w:sz w:val="21"/>
        </w:rPr>
        <w:t xml:space="preserve"> </w:t>
      </w:r>
      <w:r>
        <w:rPr>
          <w:rFonts w:ascii="Arial" w:hAnsi="Arial"/>
          <w:b/>
          <w:sz w:val="21"/>
        </w:rPr>
        <w:t>Share</w:t>
      </w:r>
      <w:r>
        <w:rPr>
          <w:rFonts w:ascii="Arial" w:hAnsi="Arial"/>
          <w:b/>
          <w:spacing w:val="-4"/>
          <w:sz w:val="21"/>
        </w:rPr>
        <w:t xml:space="preserve"> PMPM</w:t>
      </w:r>
    </w:p>
    <w:p>
      <w:pPr>
        <w:pStyle w:val="BodyText"/>
        <w:spacing w:before="120"/>
        <w:ind w:left="1224" w:right="1481"/>
      </w:pPr>
      <w:r>
        <w:t>These</w:t>
      </w:r>
      <w:r>
        <w:rPr>
          <w:spacing w:val="-3"/>
        </w:rPr>
        <w:t xml:space="preserve"> </w:t>
      </w:r>
      <w:r>
        <w:t>cells</w:t>
      </w:r>
      <w:r>
        <w:rPr>
          <w:spacing w:val="-3"/>
        </w:rPr>
        <w:t xml:space="preserve"> </w:t>
      </w:r>
      <w:r>
        <w:t>are</w:t>
      </w:r>
      <w:r>
        <w:rPr>
          <w:spacing w:val="-2"/>
        </w:rPr>
        <w:t xml:space="preserve"> </w:t>
      </w:r>
      <w:r>
        <w:t>calculated</w:t>
      </w:r>
      <w:r>
        <w:rPr>
          <w:spacing w:val="-2"/>
        </w:rPr>
        <w:t xml:space="preserve"> </w:t>
      </w:r>
      <w:r>
        <w:t>automatically</w:t>
      </w:r>
      <w:r>
        <w:rPr>
          <w:spacing w:val="-2"/>
        </w:rPr>
        <w:t xml:space="preserve"> </w:t>
      </w:r>
      <w:r>
        <w:t>as</w:t>
      </w:r>
      <w:r>
        <w:rPr>
          <w:spacing w:val="-3"/>
        </w:rPr>
        <w:t xml:space="preserve"> </w:t>
      </w:r>
      <w:r>
        <w:t>the</w:t>
      </w:r>
      <w:r>
        <w:rPr>
          <w:spacing w:val="-2"/>
        </w:rPr>
        <w:t xml:space="preserve"> </w:t>
      </w:r>
      <w:r>
        <w:t>sum</w:t>
      </w:r>
      <w:r>
        <w:rPr>
          <w:spacing w:val="-2"/>
        </w:rPr>
        <w:t xml:space="preserve"> </w:t>
      </w:r>
      <w:r>
        <w:t>of</w:t>
      </w:r>
      <w:r>
        <w:rPr>
          <w:spacing w:val="-2"/>
        </w:rPr>
        <w:t xml:space="preserve"> </w:t>
      </w:r>
      <w:r>
        <w:t>columns</w:t>
      </w:r>
      <w:r>
        <w:rPr>
          <w:spacing w:val="-3"/>
        </w:rPr>
        <w:t xml:space="preserve"> </w:t>
      </w:r>
      <w:r>
        <w:t>f</w:t>
      </w:r>
      <w:r>
        <w:rPr>
          <w:spacing w:val="-2"/>
        </w:rPr>
        <w:t xml:space="preserve"> </w:t>
      </w:r>
      <w:r>
        <w:t>and</w:t>
      </w:r>
      <w:r>
        <w:rPr>
          <w:spacing w:val="-2"/>
        </w:rPr>
        <w:t xml:space="preserve"> </w:t>
      </w:r>
      <w:r>
        <w:t>k.</w:t>
      </w:r>
      <w:r>
        <w:rPr>
          <w:spacing w:val="-2"/>
        </w:rPr>
        <w:t xml:space="preserve"> </w:t>
      </w:r>
      <w:r>
        <w:t>This</w:t>
      </w:r>
      <w:r>
        <w:rPr>
          <w:spacing w:val="-3"/>
        </w:rPr>
        <w:t xml:space="preserve"> </w:t>
      </w:r>
      <w:r>
        <w:t>column</w:t>
      </w:r>
      <w:r>
        <w:rPr>
          <w:spacing w:val="-2"/>
        </w:rPr>
        <w:t xml:space="preserve"> </w:t>
      </w:r>
      <w:r>
        <w:t>is the total projected cost sharing for in-network services.</w:t>
      </w:r>
    </w:p>
    <w:p>
      <w:pPr>
        <w:pStyle w:val="BodyText"/>
        <w:spacing w:before="120"/>
        <w:ind w:left="1224" w:right="1481"/>
      </w:pPr>
      <w:r>
        <w:t>Note</w:t>
      </w:r>
      <w:r>
        <w:rPr>
          <w:spacing w:val="-4"/>
        </w:rPr>
        <w:t xml:space="preserve"> </w:t>
      </w:r>
      <w:r>
        <w:t>that,</w:t>
      </w:r>
      <w:r>
        <w:rPr>
          <w:spacing w:val="-3"/>
        </w:rPr>
        <w:t xml:space="preserve"> </w:t>
      </w:r>
      <w:r>
        <w:t>in</w:t>
      </w:r>
      <w:r>
        <w:rPr>
          <w:spacing w:val="-3"/>
        </w:rPr>
        <w:t xml:space="preserve"> </w:t>
      </w:r>
      <w:r>
        <w:t>column</w:t>
      </w:r>
      <w:r>
        <w:rPr>
          <w:spacing w:val="-3"/>
        </w:rPr>
        <w:t xml:space="preserve"> </w:t>
      </w:r>
      <w:r>
        <w:t>l,</w:t>
      </w:r>
      <w:r>
        <w:rPr>
          <w:spacing w:val="-3"/>
        </w:rPr>
        <w:t xml:space="preserve"> </w:t>
      </w:r>
      <w:r>
        <w:t>if</w:t>
      </w:r>
      <w:r>
        <w:rPr>
          <w:spacing w:val="-3"/>
        </w:rPr>
        <w:t xml:space="preserve"> </w:t>
      </w:r>
      <w:r>
        <w:t>the</w:t>
      </w:r>
      <w:r>
        <w:rPr>
          <w:spacing w:val="-4"/>
        </w:rPr>
        <w:t xml:space="preserve"> </w:t>
      </w:r>
      <w:r>
        <w:t>cost</w:t>
      </w:r>
      <w:r>
        <w:rPr>
          <w:spacing w:val="-3"/>
        </w:rPr>
        <w:t xml:space="preserve"> </w:t>
      </w:r>
      <w:r>
        <w:t>sharing</w:t>
      </w:r>
      <w:r>
        <w:rPr>
          <w:spacing w:val="-3"/>
        </w:rPr>
        <w:t xml:space="preserve"> </w:t>
      </w:r>
      <w:r>
        <w:t>PMPM</w:t>
      </w:r>
      <w:r>
        <w:rPr>
          <w:spacing w:val="-4"/>
        </w:rPr>
        <w:t xml:space="preserve"> </w:t>
      </w:r>
      <w:r>
        <w:t>is</w:t>
      </w:r>
      <w:r>
        <w:rPr>
          <w:spacing w:val="-3"/>
        </w:rPr>
        <w:t xml:space="preserve"> </w:t>
      </w:r>
      <w:r>
        <w:t>greater</w:t>
      </w:r>
      <w:r>
        <w:rPr>
          <w:spacing w:val="-5"/>
        </w:rPr>
        <w:t xml:space="preserve"> </w:t>
      </w:r>
      <w:r>
        <w:t>than</w:t>
      </w:r>
      <w:r>
        <w:rPr>
          <w:spacing w:val="-3"/>
        </w:rPr>
        <w:t xml:space="preserve"> </w:t>
      </w:r>
      <w:r>
        <w:t>zero</w:t>
      </w:r>
      <w:r>
        <w:rPr>
          <w:spacing w:val="-3"/>
        </w:rPr>
        <w:t xml:space="preserve"> </w:t>
      </w:r>
      <w:r>
        <w:t>and</w:t>
      </w:r>
      <w:r>
        <w:rPr>
          <w:spacing w:val="-1"/>
        </w:rPr>
        <w:t xml:space="preserve"> </w:t>
      </w:r>
      <w:r>
        <w:t>a</w:t>
      </w:r>
      <w:r>
        <w:rPr>
          <w:spacing w:val="-2"/>
        </w:rPr>
        <w:t xml:space="preserve"> </w:t>
      </w:r>
      <w:r>
        <w:t>utilization type is not entered, the BPT result is an error. A utilization type must be entered in column e for all service categories for which cost sharing PMPMs are entered.</w:t>
      </w:r>
    </w:p>
    <w:p>
      <w:pPr>
        <w:pStyle w:val="ListParagraph"/>
        <w:numPr>
          <w:ilvl w:val="0"/>
          <w:numId w:val="43"/>
        </w:numPr>
        <w:tabs>
          <w:tab w:val="left" w:pos="1224"/>
        </w:tabs>
        <w:spacing w:before="119" w:after="0" w:line="240" w:lineRule="auto"/>
        <w:ind w:left="1224" w:right="1891" w:hanging="360"/>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m</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Out-of-Network</w:t>
      </w:r>
      <w:r>
        <w:rPr>
          <w:rFonts w:ascii="Arial" w:hAnsi="Arial"/>
          <w:b/>
          <w:spacing w:val="-4"/>
          <w:sz w:val="21"/>
        </w:rPr>
        <w:t xml:space="preserve"> </w:t>
      </w:r>
      <w:r>
        <w:rPr>
          <w:rFonts w:ascii="Arial" w:hAnsi="Arial"/>
          <w:b/>
          <w:sz w:val="21"/>
        </w:rPr>
        <w:t>Description</w:t>
      </w:r>
      <w:r>
        <w:rPr>
          <w:rFonts w:ascii="Arial" w:hAnsi="Arial"/>
          <w:b/>
          <w:spacing w:val="-3"/>
          <w:sz w:val="21"/>
        </w:rPr>
        <w:t xml:space="preserve"> </w:t>
      </w:r>
      <w:r>
        <w:rPr>
          <w:rFonts w:ascii="Arial" w:hAnsi="Arial"/>
          <w:b/>
          <w:sz w:val="21"/>
        </w:rPr>
        <w:t>of</w:t>
      </w:r>
      <w:r>
        <w:rPr>
          <w:rFonts w:ascii="Arial" w:hAnsi="Arial"/>
          <w:b/>
          <w:spacing w:val="-7"/>
          <w:sz w:val="21"/>
        </w:rPr>
        <w:t xml:space="preserve"> </w:t>
      </w:r>
      <w:r>
        <w:rPr>
          <w:rFonts w:ascii="Arial" w:hAnsi="Arial"/>
          <w:b/>
          <w:sz w:val="21"/>
        </w:rPr>
        <w:t>Cost</w:t>
      </w:r>
      <w:r>
        <w:rPr>
          <w:rFonts w:ascii="Arial" w:hAnsi="Arial"/>
          <w:b/>
          <w:spacing w:val="-5"/>
          <w:sz w:val="21"/>
        </w:rPr>
        <w:t xml:space="preserve"> </w:t>
      </w:r>
      <w:r>
        <w:rPr>
          <w:rFonts w:ascii="Arial" w:hAnsi="Arial"/>
          <w:b/>
          <w:sz w:val="21"/>
        </w:rPr>
        <w:t>Sharing/Additional</w:t>
      </w:r>
      <w:r>
        <w:rPr>
          <w:rFonts w:ascii="Arial" w:hAnsi="Arial"/>
          <w:b/>
          <w:spacing w:val="-4"/>
          <w:sz w:val="21"/>
        </w:rPr>
        <w:t xml:space="preserve"> </w:t>
      </w:r>
      <w:r>
        <w:rPr>
          <w:rFonts w:ascii="Arial" w:hAnsi="Arial"/>
          <w:b/>
          <w:sz w:val="21"/>
        </w:rPr>
        <w:t xml:space="preserve">Days/Benefit </w:t>
      </w:r>
      <w:r>
        <w:rPr>
          <w:rFonts w:ascii="Arial" w:hAnsi="Arial"/>
          <w:b/>
          <w:spacing w:val="-2"/>
          <w:sz w:val="21"/>
        </w:rPr>
        <w:t>Limits</w:t>
      </w:r>
    </w:p>
    <w:p>
      <w:pPr>
        <w:pStyle w:val="BodyText"/>
        <w:spacing w:before="121"/>
        <w:ind w:left="1224" w:right="1481"/>
      </w:pPr>
      <w:r>
        <w:t>This column may be used to enter internal descriptions of the out-of-network cost sharing for each service category. This column will be deleted from the finalized file. See</w:t>
      </w:r>
      <w:r>
        <w:rPr>
          <w:spacing w:val="-4"/>
        </w:rPr>
        <w:t xml:space="preserve"> </w:t>
      </w:r>
      <w:r>
        <w:t>the</w:t>
      </w:r>
      <w:r>
        <w:rPr>
          <w:spacing w:val="-3"/>
        </w:rPr>
        <w:t xml:space="preserve"> </w:t>
      </w:r>
      <w:r>
        <w:t>instructions</w:t>
      </w:r>
      <w:r>
        <w:rPr>
          <w:spacing w:val="-4"/>
        </w:rPr>
        <w:t xml:space="preserve"> </w:t>
      </w:r>
      <w:r>
        <w:t>for</w:t>
      </w:r>
      <w:r>
        <w:rPr>
          <w:spacing w:val="-5"/>
        </w:rPr>
        <w:t xml:space="preserve"> </w:t>
      </w:r>
      <w:r>
        <w:t>in-network</w:t>
      </w:r>
      <w:r>
        <w:rPr>
          <w:spacing w:val="-4"/>
        </w:rPr>
        <w:t xml:space="preserve"> </w:t>
      </w:r>
      <w:r>
        <w:t>cost</w:t>
      </w:r>
      <w:r>
        <w:rPr>
          <w:spacing w:val="-3"/>
        </w:rPr>
        <w:t xml:space="preserve"> </w:t>
      </w:r>
      <w:r>
        <w:t>sharing</w:t>
      </w:r>
      <w:r>
        <w:rPr>
          <w:spacing w:val="-3"/>
        </w:rPr>
        <w:t xml:space="preserve"> </w:t>
      </w:r>
      <w:r>
        <w:t>in</w:t>
      </w:r>
      <w:r>
        <w:rPr>
          <w:spacing w:val="-3"/>
        </w:rPr>
        <w:t xml:space="preserve"> </w:t>
      </w:r>
      <w:r>
        <w:t>column</w:t>
      </w:r>
      <w:r>
        <w:rPr>
          <w:spacing w:val="-3"/>
        </w:rPr>
        <w:t xml:space="preserve"> </w:t>
      </w:r>
      <w:r>
        <w:t>h</w:t>
      </w:r>
      <w:r>
        <w:rPr>
          <w:spacing w:val="-3"/>
        </w:rPr>
        <w:t xml:space="preserve"> </w:t>
      </w:r>
      <w:r>
        <w:t>for</w:t>
      </w:r>
      <w:r>
        <w:rPr>
          <w:spacing w:val="-5"/>
        </w:rPr>
        <w:t xml:space="preserve"> </w:t>
      </w:r>
      <w:r>
        <w:t>additional</w:t>
      </w:r>
      <w:r>
        <w:rPr>
          <w:spacing w:val="-3"/>
        </w:rPr>
        <w:t xml:space="preserve"> </w:t>
      </w:r>
      <w:r>
        <w:t>information.</w:t>
      </w:r>
    </w:p>
    <w:p>
      <w:pPr>
        <w:pStyle w:val="BodyText"/>
        <w:spacing w:after="0"/>
        <w:sectPr>
          <w:pgSz w:w="12240" w:h="15840"/>
          <w:pgMar w:top="960" w:right="0" w:bottom="940" w:left="1080" w:header="727" w:footer="747"/>
          <w:cols w:space="720"/>
        </w:sectPr>
      </w:pPr>
    </w:p>
    <w:p>
      <w:pPr>
        <w:pStyle w:val="BodyText"/>
        <w:spacing w:before="225"/>
        <w:ind w:left="0"/>
        <w:rPr>
          <w:sz w:val="21"/>
        </w:rPr>
      </w:pPr>
    </w:p>
    <w:p>
      <w:pPr>
        <w:pStyle w:val="ListParagraph"/>
        <w:numPr>
          <w:ilvl w:val="0"/>
          <w:numId w:val="43"/>
        </w:numPr>
        <w:tabs>
          <w:tab w:val="left" w:pos="1223"/>
        </w:tabs>
        <w:spacing w:before="0" w:after="0" w:line="240" w:lineRule="auto"/>
        <w:ind w:left="1223" w:right="0" w:hanging="359"/>
        <w:jc w:val="left"/>
        <w:rPr>
          <w:rFonts w:ascii="Arial" w:hAnsi="Arial"/>
          <w:b/>
          <w:sz w:val="21"/>
        </w:rPr>
      </w:pPr>
      <w:r>
        <w:rPr>
          <w:rFonts w:ascii="Arial" w:hAnsi="Arial"/>
          <w:b/>
          <w:sz w:val="21"/>
        </w:rPr>
        <w:t>Column</w:t>
      </w:r>
      <w:r>
        <w:rPr>
          <w:rFonts w:ascii="Arial" w:hAnsi="Arial"/>
          <w:b/>
          <w:spacing w:val="-8"/>
          <w:sz w:val="21"/>
        </w:rPr>
        <w:t xml:space="preserve"> </w:t>
      </w:r>
      <w:r>
        <w:rPr>
          <w:rFonts w:ascii="Arial" w:hAnsi="Arial"/>
          <w:b/>
          <w:sz w:val="21"/>
        </w:rPr>
        <w:t>n</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Out-of-Network</w:t>
      </w:r>
      <w:r>
        <w:rPr>
          <w:rFonts w:ascii="Arial" w:hAnsi="Arial"/>
          <w:b/>
          <w:spacing w:val="-6"/>
          <w:sz w:val="21"/>
        </w:rPr>
        <w:t xml:space="preserve"> </w:t>
      </w:r>
      <w:r>
        <w:rPr>
          <w:rFonts w:ascii="Arial" w:hAnsi="Arial"/>
          <w:b/>
          <w:sz w:val="21"/>
        </w:rPr>
        <w:t>Cost</w:t>
      </w:r>
      <w:r>
        <w:rPr>
          <w:rFonts w:ascii="Arial" w:hAnsi="Arial"/>
          <w:b/>
          <w:spacing w:val="-7"/>
          <w:sz w:val="21"/>
        </w:rPr>
        <w:t xml:space="preserve"> </w:t>
      </w:r>
      <w:r>
        <w:rPr>
          <w:rFonts w:ascii="Arial" w:hAnsi="Arial"/>
          <w:b/>
          <w:sz w:val="21"/>
        </w:rPr>
        <w:t>Sharing</w:t>
      </w:r>
      <w:r>
        <w:rPr>
          <w:rFonts w:ascii="Arial" w:hAnsi="Arial"/>
          <w:b/>
          <w:spacing w:val="-4"/>
          <w:sz w:val="21"/>
        </w:rPr>
        <w:t xml:space="preserve"> PMPM</w:t>
      </w:r>
    </w:p>
    <w:p>
      <w:pPr>
        <w:pStyle w:val="BodyText"/>
        <w:spacing w:before="120"/>
        <w:ind w:left="1224" w:right="1481"/>
      </w:pPr>
      <w:r>
        <w:t>Enter</w:t>
      </w:r>
      <w:r>
        <w:rPr>
          <w:spacing w:val="-3"/>
        </w:rPr>
        <w:t xml:space="preserve"> </w:t>
      </w:r>
      <w:r>
        <w:t>the</w:t>
      </w:r>
      <w:r>
        <w:rPr>
          <w:spacing w:val="-5"/>
        </w:rPr>
        <w:t xml:space="preserve"> </w:t>
      </w:r>
      <w:r>
        <w:t>effective</w:t>
      </w:r>
      <w:r>
        <w:rPr>
          <w:spacing w:val="-4"/>
        </w:rPr>
        <w:t xml:space="preserve"> </w:t>
      </w:r>
      <w:r>
        <w:t>value</w:t>
      </w:r>
      <w:r>
        <w:rPr>
          <w:spacing w:val="-3"/>
        </w:rPr>
        <w:t xml:space="preserve"> </w:t>
      </w:r>
      <w:r>
        <w:t>of</w:t>
      </w:r>
      <w:r>
        <w:rPr>
          <w:spacing w:val="-3"/>
        </w:rPr>
        <w:t xml:space="preserve"> </w:t>
      </w:r>
      <w:r>
        <w:t>cost</w:t>
      </w:r>
      <w:r>
        <w:rPr>
          <w:spacing w:val="-3"/>
        </w:rPr>
        <w:t xml:space="preserve"> </w:t>
      </w:r>
      <w:r>
        <w:t>sharing</w:t>
      </w:r>
      <w:r>
        <w:rPr>
          <w:spacing w:val="-3"/>
        </w:rPr>
        <w:t xml:space="preserve"> </w:t>
      </w:r>
      <w:r>
        <w:t>for</w:t>
      </w:r>
      <w:r>
        <w:rPr>
          <w:spacing w:val="-3"/>
        </w:rPr>
        <w:t xml:space="preserve"> </w:t>
      </w:r>
      <w:r>
        <w:t>out-of-network</w:t>
      </w:r>
      <w:r>
        <w:rPr>
          <w:spacing w:val="-4"/>
        </w:rPr>
        <w:t xml:space="preserve"> </w:t>
      </w:r>
      <w:r>
        <w:t>benefits</w:t>
      </w:r>
      <w:r>
        <w:rPr>
          <w:spacing w:val="-4"/>
        </w:rPr>
        <w:t xml:space="preserve"> </w:t>
      </w:r>
      <w:r>
        <w:t>for</w:t>
      </w:r>
      <w:r>
        <w:rPr>
          <w:spacing w:val="-3"/>
        </w:rPr>
        <w:t xml:space="preserve"> </w:t>
      </w:r>
      <w:r>
        <w:t>each</w:t>
      </w:r>
      <w:r>
        <w:rPr>
          <w:spacing w:val="-3"/>
        </w:rPr>
        <w:t xml:space="preserve"> </w:t>
      </w:r>
      <w:r>
        <w:t>service category. This column must reflect the total projected cost sharing for all</w:t>
      </w:r>
    </w:p>
    <w:p>
      <w:pPr>
        <w:pStyle w:val="BodyText"/>
        <w:spacing w:before="1"/>
        <w:ind w:left="1224"/>
      </w:pPr>
      <w:r>
        <w:t>out-of-network</w:t>
      </w:r>
      <w:r>
        <w:rPr>
          <w:spacing w:val="-5"/>
        </w:rPr>
        <w:t xml:space="preserve"> </w:t>
      </w:r>
      <w:r>
        <w:rPr>
          <w:spacing w:val="-2"/>
        </w:rPr>
        <w:t>services.</w:t>
      </w:r>
    </w:p>
    <w:p>
      <w:pPr>
        <w:pStyle w:val="BodyText"/>
        <w:spacing w:before="120"/>
        <w:ind w:left="1224" w:right="2009"/>
      </w:pPr>
      <w:r>
        <w:t>Enter</w:t>
      </w:r>
      <w:r>
        <w:rPr>
          <w:spacing w:val="-3"/>
        </w:rPr>
        <w:t xml:space="preserve"> </w:t>
      </w:r>
      <w:r>
        <w:t>the</w:t>
      </w:r>
      <w:r>
        <w:rPr>
          <w:spacing w:val="-5"/>
        </w:rPr>
        <w:t xml:space="preserve"> </w:t>
      </w:r>
      <w:r>
        <w:t>actual</w:t>
      </w:r>
      <w:r>
        <w:rPr>
          <w:spacing w:val="-3"/>
        </w:rPr>
        <w:t xml:space="preserve"> </w:t>
      </w:r>
      <w:r>
        <w:t>out-of-network</w:t>
      </w:r>
      <w:r>
        <w:rPr>
          <w:spacing w:val="-4"/>
        </w:rPr>
        <w:t xml:space="preserve"> </w:t>
      </w:r>
      <w:r>
        <w:t>plan-level</w:t>
      </w:r>
      <w:r>
        <w:rPr>
          <w:spacing w:val="-3"/>
        </w:rPr>
        <w:t xml:space="preserve"> </w:t>
      </w:r>
      <w:r>
        <w:t>deductible</w:t>
      </w:r>
      <w:r>
        <w:rPr>
          <w:spacing w:val="-3"/>
        </w:rPr>
        <w:t xml:space="preserve"> </w:t>
      </w:r>
      <w:r>
        <w:t>and</w:t>
      </w:r>
      <w:r>
        <w:rPr>
          <w:spacing w:val="-3"/>
        </w:rPr>
        <w:t xml:space="preserve"> </w:t>
      </w:r>
      <w:r>
        <w:t>the</w:t>
      </w:r>
      <w:r>
        <w:rPr>
          <w:spacing w:val="-4"/>
        </w:rPr>
        <w:t xml:space="preserve"> </w:t>
      </w:r>
      <w:r>
        <w:t>pricing</w:t>
      </w:r>
      <w:r>
        <w:rPr>
          <w:spacing w:val="-3"/>
        </w:rPr>
        <w:t xml:space="preserve"> </w:t>
      </w:r>
      <w:r>
        <w:t>impact</w:t>
      </w:r>
      <w:r>
        <w:rPr>
          <w:spacing w:val="-3"/>
        </w:rPr>
        <w:t xml:space="preserve"> </w:t>
      </w:r>
      <w:r>
        <w:t>of</w:t>
      </w:r>
      <w:r>
        <w:rPr>
          <w:spacing w:val="-3"/>
        </w:rPr>
        <w:t xml:space="preserve"> </w:t>
      </w:r>
      <w:r>
        <w:t>the out-of-network OOP maximum in the line t and line v, respectively.</w:t>
      </w:r>
    </w:p>
    <w:p>
      <w:pPr>
        <w:pStyle w:val="ListParagraph"/>
        <w:numPr>
          <w:ilvl w:val="0"/>
          <w:numId w:val="43"/>
        </w:numPr>
        <w:tabs>
          <w:tab w:val="left" w:pos="1223"/>
        </w:tabs>
        <w:spacing w:before="120" w:after="0" w:line="240" w:lineRule="auto"/>
        <w:ind w:left="1223" w:right="0" w:hanging="359"/>
        <w:jc w:val="left"/>
        <w:rPr>
          <w:rFonts w:ascii="Arial" w:hAnsi="Arial"/>
          <w:b/>
          <w:sz w:val="21"/>
        </w:rPr>
      </w:pPr>
      <w:r>
        <w:rPr>
          <w:rFonts w:ascii="Arial" w:hAnsi="Arial"/>
          <w:b/>
          <w:sz w:val="21"/>
        </w:rPr>
        <w:t>Column</w:t>
      </w:r>
      <w:r>
        <w:rPr>
          <w:rFonts w:ascii="Arial" w:hAnsi="Arial"/>
          <w:b/>
          <w:spacing w:val="-9"/>
          <w:sz w:val="21"/>
        </w:rPr>
        <w:t xml:space="preserve"> </w:t>
      </w:r>
      <w:r>
        <w:rPr>
          <w:rFonts w:ascii="Arial" w:hAnsi="Arial"/>
          <w:b/>
          <w:sz w:val="21"/>
        </w:rPr>
        <w:t>o</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Grand</w:t>
      </w:r>
      <w:r>
        <w:rPr>
          <w:rFonts w:ascii="Arial" w:hAnsi="Arial"/>
          <w:b/>
          <w:spacing w:val="-7"/>
          <w:sz w:val="21"/>
        </w:rPr>
        <w:t xml:space="preserve"> </w:t>
      </w:r>
      <w:r>
        <w:rPr>
          <w:rFonts w:ascii="Arial" w:hAnsi="Arial"/>
          <w:b/>
          <w:sz w:val="21"/>
        </w:rPr>
        <w:t>Total</w:t>
      </w:r>
      <w:r>
        <w:rPr>
          <w:rFonts w:ascii="Arial" w:hAnsi="Arial"/>
          <w:b/>
          <w:spacing w:val="-6"/>
          <w:sz w:val="21"/>
        </w:rPr>
        <w:t xml:space="preserve"> </w:t>
      </w:r>
      <w:r>
        <w:rPr>
          <w:rFonts w:ascii="Arial" w:hAnsi="Arial"/>
          <w:b/>
          <w:sz w:val="21"/>
        </w:rPr>
        <w:t>Cost</w:t>
      </w:r>
      <w:r>
        <w:rPr>
          <w:rFonts w:ascii="Arial" w:hAnsi="Arial"/>
          <w:b/>
          <w:spacing w:val="-6"/>
          <w:sz w:val="21"/>
        </w:rPr>
        <w:t xml:space="preserve"> </w:t>
      </w:r>
      <w:r>
        <w:rPr>
          <w:rFonts w:ascii="Arial" w:hAnsi="Arial"/>
          <w:b/>
          <w:sz w:val="21"/>
        </w:rPr>
        <w:t>Share</w:t>
      </w:r>
      <w:r>
        <w:rPr>
          <w:rFonts w:ascii="Arial" w:hAnsi="Arial"/>
          <w:b/>
          <w:spacing w:val="-5"/>
          <w:sz w:val="21"/>
        </w:rPr>
        <w:t xml:space="preserve"> </w:t>
      </w:r>
      <w:r>
        <w:rPr>
          <w:rFonts w:ascii="Arial" w:hAnsi="Arial"/>
          <w:b/>
          <w:sz w:val="21"/>
        </w:rPr>
        <w:t>PMPM</w:t>
      </w:r>
      <w:r>
        <w:rPr>
          <w:rFonts w:ascii="Arial" w:hAnsi="Arial"/>
          <w:b/>
          <w:spacing w:val="-6"/>
          <w:sz w:val="21"/>
        </w:rPr>
        <w:t xml:space="preserve"> </w:t>
      </w:r>
      <w:r>
        <w:rPr>
          <w:rFonts w:ascii="Arial" w:hAnsi="Arial"/>
          <w:b/>
          <w:sz w:val="21"/>
        </w:rPr>
        <w:t>(In-Network</w:t>
      </w:r>
      <w:r>
        <w:rPr>
          <w:rFonts w:ascii="Arial" w:hAnsi="Arial"/>
          <w:b/>
          <w:spacing w:val="-5"/>
          <w:sz w:val="21"/>
        </w:rPr>
        <w:t xml:space="preserve"> </w:t>
      </w:r>
      <w:r>
        <w:rPr>
          <w:rFonts w:ascii="Arial" w:hAnsi="Arial"/>
          <w:b/>
          <w:sz w:val="21"/>
        </w:rPr>
        <w:t>and</w:t>
      </w:r>
      <w:r>
        <w:rPr>
          <w:rFonts w:ascii="Arial" w:hAnsi="Arial"/>
          <w:b/>
          <w:spacing w:val="-4"/>
          <w:sz w:val="21"/>
        </w:rPr>
        <w:t xml:space="preserve"> </w:t>
      </w:r>
      <w:r>
        <w:rPr>
          <w:rFonts w:ascii="Arial" w:hAnsi="Arial"/>
          <w:b/>
          <w:sz w:val="21"/>
        </w:rPr>
        <w:t>Out-of-</w:t>
      </w:r>
      <w:r>
        <w:rPr>
          <w:rFonts w:ascii="Arial" w:hAnsi="Arial"/>
          <w:b/>
          <w:spacing w:val="-2"/>
          <w:sz w:val="21"/>
        </w:rPr>
        <w:t>Network)</w:t>
      </w:r>
    </w:p>
    <w:p>
      <w:pPr>
        <w:pStyle w:val="BodyText"/>
        <w:spacing w:before="118"/>
        <w:ind w:left="1224" w:right="1481"/>
      </w:pPr>
      <w:r>
        <w:t>This</w:t>
      </w:r>
      <w:r>
        <w:rPr>
          <w:spacing w:val="-4"/>
        </w:rPr>
        <w:t xml:space="preserve"> </w:t>
      </w:r>
      <w:r>
        <w:t>column</w:t>
      </w:r>
      <w:r>
        <w:rPr>
          <w:spacing w:val="-3"/>
        </w:rPr>
        <w:t xml:space="preserve"> </w:t>
      </w:r>
      <w:r>
        <w:t>is</w:t>
      </w:r>
      <w:r>
        <w:rPr>
          <w:spacing w:val="-4"/>
        </w:rPr>
        <w:t xml:space="preserve"> </w:t>
      </w:r>
      <w:r>
        <w:t>calculated</w:t>
      </w:r>
      <w:r>
        <w:rPr>
          <w:spacing w:val="-3"/>
        </w:rPr>
        <w:t xml:space="preserve"> </w:t>
      </w:r>
      <w:r>
        <w:t>automatically</w:t>
      </w:r>
      <w:r>
        <w:rPr>
          <w:spacing w:val="-3"/>
        </w:rPr>
        <w:t xml:space="preserve"> </w:t>
      </w:r>
      <w:r>
        <w:t>as</w:t>
      </w:r>
      <w:r>
        <w:rPr>
          <w:spacing w:val="-4"/>
        </w:rPr>
        <w:t xml:space="preserve"> </w:t>
      </w:r>
      <w:r>
        <w:t>the</w:t>
      </w:r>
      <w:r>
        <w:rPr>
          <w:spacing w:val="-3"/>
        </w:rPr>
        <w:t xml:space="preserve"> </w:t>
      </w:r>
      <w:r>
        <w:t>sum</w:t>
      </w:r>
      <w:r>
        <w:rPr>
          <w:spacing w:val="-3"/>
        </w:rPr>
        <w:t xml:space="preserve"> </w:t>
      </w:r>
      <w:r>
        <w:t>of</w:t>
      </w:r>
      <w:r>
        <w:rPr>
          <w:spacing w:val="-3"/>
        </w:rPr>
        <w:t xml:space="preserve"> </w:t>
      </w:r>
      <w:r>
        <w:t>the</w:t>
      </w:r>
      <w:r>
        <w:rPr>
          <w:spacing w:val="-3"/>
        </w:rPr>
        <w:t xml:space="preserve"> </w:t>
      </w:r>
      <w:r>
        <w:t>in-network</w:t>
      </w:r>
      <w:r>
        <w:rPr>
          <w:spacing w:val="-4"/>
        </w:rPr>
        <w:t xml:space="preserve"> </w:t>
      </w:r>
      <w:r>
        <w:t>cost</w:t>
      </w:r>
      <w:r>
        <w:rPr>
          <w:spacing w:val="-1"/>
        </w:rPr>
        <w:t xml:space="preserve"> </w:t>
      </w:r>
      <w:r>
        <w:t>sharing (column l) and the out-of-network cost sharing (column n).</w:t>
      </w:r>
    </w:p>
    <w:p>
      <w:pPr>
        <w:spacing w:before="241"/>
        <w:ind w:left="504" w:right="0" w:firstLine="0"/>
        <w:jc w:val="left"/>
        <w:rPr>
          <w:rFonts w:ascii="Arial"/>
          <w:b/>
          <w:sz w:val="21"/>
        </w:rPr>
      </w:pPr>
      <w:bookmarkStart w:id="183" w:name="In blank lines between q and s:"/>
      <w:bookmarkEnd w:id="183"/>
      <w:r>
        <w:rPr>
          <w:rFonts w:ascii="Arial"/>
          <w:b/>
          <w:sz w:val="21"/>
        </w:rPr>
        <w:t>In</w:t>
      </w:r>
      <w:r>
        <w:rPr>
          <w:rFonts w:ascii="Arial"/>
          <w:b/>
          <w:spacing w:val="-5"/>
          <w:sz w:val="21"/>
        </w:rPr>
        <w:t xml:space="preserve"> </w:t>
      </w:r>
      <w:r>
        <w:rPr>
          <w:rFonts w:ascii="Arial"/>
          <w:b/>
          <w:sz w:val="21"/>
        </w:rPr>
        <w:t>blank</w:t>
      </w:r>
      <w:r>
        <w:rPr>
          <w:rFonts w:ascii="Arial"/>
          <w:b/>
          <w:spacing w:val="-4"/>
          <w:sz w:val="21"/>
        </w:rPr>
        <w:t xml:space="preserve"> </w:t>
      </w:r>
      <w:r>
        <w:rPr>
          <w:rFonts w:ascii="Arial"/>
          <w:b/>
          <w:sz w:val="21"/>
        </w:rPr>
        <w:t>lines</w:t>
      </w:r>
      <w:r>
        <w:rPr>
          <w:rFonts w:ascii="Arial"/>
          <w:b/>
          <w:spacing w:val="-4"/>
          <w:sz w:val="21"/>
        </w:rPr>
        <w:t xml:space="preserve"> </w:t>
      </w:r>
      <w:r>
        <w:rPr>
          <w:rFonts w:ascii="Arial"/>
          <w:b/>
          <w:sz w:val="21"/>
        </w:rPr>
        <w:t>between</w:t>
      </w:r>
      <w:r>
        <w:rPr>
          <w:rFonts w:ascii="Arial"/>
          <w:b/>
          <w:spacing w:val="-4"/>
          <w:sz w:val="21"/>
        </w:rPr>
        <w:t xml:space="preserve"> </w:t>
      </w:r>
      <w:r>
        <w:rPr>
          <w:rFonts w:ascii="Arial"/>
          <w:b/>
          <w:sz w:val="21"/>
        </w:rPr>
        <w:t>q</w:t>
      </w:r>
      <w:r>
        <w:rPr>
          <w:rFonts w:ascii="Arial"/>
          <w:b/>
          <w:spacing w:val="-6"/>
          <w:sz w:val="21"/>
        </w:rPr>
        <w:t xml:space="preserve"> </w:t>
      </w:r>
      <w:r>
        <w:rPr>
          <w:rFonts w:ascii="Arial"/>
          <w:b/>
          <w:sz w:val="21"/>
        </w:rPr>
        <w:t>and</w:t>
      </w:r>
      <w:r>
        <w:rPr>
          <w:rFonts w:ascii="Arial"/>
          <w:b/>
          <w:spacing w:val="-2"/>
          <w:sz w:val="21"/>
        </w:rPr>
        <w:t xml:space="preserve"> </w:t>
      </w:r>
      <w:r>
        <w:rPr>
          <w:rFonts w:ascii="Arial"/>
          <w:b/>
          <w:spacing w:val="-5"/>
          <w:sz w:val="21"/>
        </w:rPr>
        <w:t>s:</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c</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Service</w:t>
      </w:r>
      <w:r>
        <w:rPr>
          <w:rFonts w:ascii="Arial" w:hAnsi="Arial"/>
          <w:b/>
          <w:spacing w:val="-3"/>
          <w:sz w:val="21"/>
        </w:rPr>
        <w:t xml:space="preserve"> </w:t>
      </w:r>
      <w:r>
        <w:rPr>
          <w:rFonts w:ascii="Arial" w:hAnsi="Arial"/>
          <w:b/>
          <w:spacing w:val="-2"/>
          <w:sz w:val="21"/>
        </w:rPr>
        <w:t>Category</w:t>
      </w:r>
    </w:p>
    <w:p>
      <w:pPr>
        <w:pStyle w:val="BodyText"/>
        <w:spacing w:before="118"/>
        <w:ind w:left="1224" w:right="1671"/>
        <w:jc w:val="both"/>
      </w:pPr>
      <w:r>
        <w:t>This column may be used to provide internal numbering (cells B55:B64) and detailed cost-sharing</w:t>
      </w:r>
      <w:r>
        <w:rPr>
          <w:spacing w:val="-3"/>
        </w:rPr>
        <w:t xml:space="preserve"> </w:t>
      </w:r>
      <w:r>
        <w:t>information.</w:t>
      </w:r>
      <w:r>
        <w:rPr>
          <w:spacing w:val="-2"/>
        </w:rPr>
        <w:t xml:space="preserve"> </w:t>
      </w:r>
      <w:r>
        <w:t>The</w:t>
      </w:r>
      <w:r>
        <w:rPr>
          <w:spacing w:val="-5"/>
        </w:rPr>
        <w:t xml:space="preserve"> </w:t>
      </w:r>
      <w:r>
        <w:t>valid</w:t>
      </w:r>
      <w:r>
        <w:rPr>
          <w:spacing w:val="-3"/>
        </w:rPr>
        <w:t xml:space="preserve"> </w:t>
      </w:r>
      <w:r>
        <w:t>entries</w:t>
      </w:r>
      <w:r>
        <w:rPr>
          <w:spacing w:val="-4"/>
        </w:rPr>
        <w:t xml:space="preserve"> </w:t>
      </w:r>
      <w:r>
        <w:t>for</w:t>
      </w:r>
      <w:r>
        <w:rPr>
          <w:spacing w:val="-3"/>
        </w:rPr>
        <w:t xml:space="preserve"> </w:t>
      </w:r>
      <w:r>
        <w:t>service</w:t>
      </w:r>
      <w:r>
        <w:rPr>
          <w:spacing w:val="-5"/>
        </w:rPr>
        <w:t xml:space="preserve"> </w:t>
      </w:r>
      <w:r>
        <w:t>category</w:t>
      </w:r>
      <w:r>
        <w:rPr>
          <w:spacing w:val="-4"/>
        </w:rPr>
        <w:t xml:space="preserve"> </w:t>
      </w:r>
      <w:r>
        <w:t>(cells</w:t>
      </w:r>
      <w:r>
        <w:rPr>
          <w:spacing w:val="-4"/>
        </w:rPr>
        <w:t xml:space="preserve"> </w:t>
      </w:r>
      <w:r>
        <w:t>C55:C64)</w:t>
      </w:r>
      <w:r>
        <w:rPr>
          <w:spacing w:val="-3"/>
        </w:rPr>
        <w:t xml:space="preserve"> </w:t>
      </w:r>
      <w:r>
        <w:t>are</w:t>
      </w:r>
      <w:r>
        <w:rPr>
          <w:spacing w:val="-5"/>
        </w:rPr>
        <w:t xml:space="preserve"> </w:t>
      </w:r>
      <w:r>
        <w:t xml:space="preserve">as </w:t>
      </w:r>
      <w:r>
        <w:rPr>
          <w:spacing w:val="-2"/>
        </w:rPr>
        <w:t>follows:</w:t>
      </w:r>
    </w:p>
    <w:p>
      <w:pPr>
        <w:pStyle w:val="ListParagraph"/>
        <w:numPr>
          <w:ilvl w:val="1"/>
          <w:numId w:val="43"/>
        </w:numPr>
        <w:tabs>
          <w:tab w:val="left" w:pos="1584"/>
        </w:tabs>
        <w:spacing w:before="120" w:after="0" w:line="240" w:lineRule="auto"/>
        <w:ind w:left="1584" w:right="0" w:hanging="360"/>
        <w:jc w:val="left"/>
        <w:rPr>
          <w:sz w:val="24"/>
        </w:rPr>
      </w:pPr>
      <w:r>
        <w:rPr>
          <w:sz w:val="24"/>
        </w:rPr>
        <w:t>Inpatient</w:t>
      </w:r>
      <w:r>
        <w:rPr>
          <w:spacing w:val="-4"/>
          <w:sz w:val="24"/>
        </w:rPr>
        <w:t xml:space="preserve"> </w:t>
      </w:r>
      <w:r>
        <w:rPr>
          <w:spacing w:val="-2"/>
          <w:sz w:val="24"/>
        </w:rPr>
        <w:t>Facility</w:t>
      </w:r>
    </w:p>
    <w:p>
      <w:pPr>
        <w:pStyle w:val="ListParagraph"/>
        <w:numPr>
          <w:ilvl w:val="1"/>
          <w:numId w:val="43"/>
        </w:numPr>
        <w:tabs>
          <w:tab w:val="left" w:pos="1584"/>
        </w:tabs>
        <w:spacing w:before="0" w:after="0" w:line="240" w:lineRule="auto"/>
        <w:ind w:left="1584" w:right="0" w:hanging="360"/>
        <w:jc w:val="left"/>
        <w:rPr>
          <w:sz w:val="24"/>
        </w:rPr>
      </w:pPr>
      <w:r>
        <w:rPr>
          <w:sz w:val="24"/>
        </w:rPr>
        <w:t>Skilled</w:t>
      </w:r>
      <w:r>
        <w:rPr>
          <w:spacing w:val="-1"/>
          <w:sz w:val="24"/>
        </w:rPr>
        <w:t xml:space="preserve"> </w:t>
      </w:r>
      <w:r>
        <w:rPr>
          <w:sz w:val="24"/>
        </w:rPr>
        <w:t xml:space="preserve">Nursing </w:t>
      </w:r>
      <w:r>
        <w:rPr>
          <w:spacing w:val="-2"/>
          <w:sz w:val="24"/>
        </w:rPr>
        <w:t>Facility</w:t>
      </w:r>
    </w:p>
    <w:p>
      <w:pPr>
        <w:pStyle w:val="ListParagraph"/>
        <w:numPr>
          <w:ilvl w:val="1"/>
          <w:numId w:val="43"/>
        </w:numPr>
        <w:tabs>
          <w:tab w:val="left" w:pos="1584"/>
        </w:tabs>
        <w:spacing w:before="0" w:after="0" w:line="240" w:lineRule="auto"/>
        <w:ind w:left="1584" w:right="0" w:hanging="360"/>
        <w:jc w:val="left"/>
        <w:rPr>
          <w:sz w:val="24"/>
        </w:rPr>
      </w:pPr>
      <w:r>
        <w:rPr>
          <w:sz w:val="24"/>
        </w:rPr>
        <w:t>Home</w:t>
      </w:r>
      <w:r>
        <w:rPr>
          <w:spacing w:val="-3"/>
          <w:sz w:val="24"/>
        </w:rPr>
        <w:t xml:space="preserve"> </w:t>
      </w:r>
      <w:r>
        <w:rPr>
          <w:spacing w:val="-2"/>
          <w:sz w:val="24"/>
        </w:rPr>
        <w:t>Health</w:t>
      </w:r>
    </w:p>
    <w:p>
      <w:pPr>
        <w:pStyle w:val="ListParagraph"/>
        <w:numPr>
          <w:ilvl w:val="1"/>
          <w:numId w:val="43"/>
        </w:numPr>
        <w:tabs>
          <w:tab w:val="left" w:pos="1584"/>
        </w:tabs>
        <w:spacing w:before="0" w:after="0" w:line="240" w:lineRule="auto"/>
        <w:ind w:left="1584" w:right="0" w:hanging="360"/>
        <w:jc w:val="left"/>
        <w:rPr>
          <w:sz w:val="24"/>
        </w:rPr>
      </w:pPr>
      <w:r>
        <w:rPr>
          <w:spacing w:val="-2"/>
          <w:sz w:val="24"/>
        </w:rPr>
        <w:t>Ambulance</w:t>
      </w:r>
    </w:p>
    <w:p>
      <w:pPr>
        <w:pStyle w:val="ListParagraph"/>
        <w:numPr>
          <w:ilvl w:val="1"/>
          <w:numId w:val="43"/>
        </w:numPr>
        <w:tabs>
          <w:tab w:val="left" w:pos="1584"/>
        </w:tabs>
        <w:spacing w:before="0" w:after="0" w:line="240" w:lineRule="auto"/>
        <w:ind w:left="1584" w:right="0" w:hanging="360"/>
        <w:jc w:val="left"/>
        <w:rPr>
          <w:sz w:val="24"/>
        </w:rPr>
      </w:pPr>
      <w:r>
        <w:rPr>
          <w:spacing w:val="-2"/>
          <w:sz w:val="24"/>
        </w:rPr>
        <w:t>DME/Prosthetics/Diabetes</w:t>
      </w:r>
    </w:p>
    <w:p>
      <w:pPr>
        <w:pStyle w:val="ListParagraph"/>
        <w:numPr>
          <w:ilvl w:val="1"/>
          <w:numId w:val="43"/>
        </w:numPr>
        <w:tabs>
          <w:tab w:val="left" w:pos="1584"/>
        </w:tabs>
        <w:spacing w:before="0" w:after="0" w:line="240" w:lineRule="auto"/>
        <w:ind w:left="1584" w:right="0" w:hanging="360"/>
        <w:jc w:val="left"/>
        <w:rPr>
          <w:sz w:val="24"/>
        </w:rPr>
      </w:pPr>
      <w:r>
        <w:rPr>
          <w:sz w:val="24"/>
        </w:rPr>
        <w:t>Outpatient</w:t>
      </w:r>
      <w:r>
        <w:rPr>
          <w:spacing w:val="-2"/>
          <w:sz w:val="24"/>
        </w:rPr>
        <w:t xml:space="preserve"> </w:t>
      </w:r>
      <w:r>
        <w:rPr>
          <w:sz w:val="24"/>
        </w:rPr>
        <w:t>(OP)</w:t>
      </w:r>
      <w:r>
        <w:rPr>
          <w:spacing w:val="-1"/>
          <w:sz w:val="24"/>
        </w:rPr>
        <w:t xml:space="preserve"> </w:t>
      </w:r>
      <w:r>
        <w:rPr>
          <w:sz w:val="24"/>
        </w:rPr>
        <w:t>Facility</w:t>
      </w:r>
      <w:r>
        <w:rPr>
          <w:spacing w:val="-1"/>
          <w:sz w:val="24"/>
        </w:rPr>
        <w:t xml:space="preserve"> </w:t>
      </w:r>
      <w:r>
        <w:rPr>
          <w:sz w:val="24"/>
        </w:rPr>
        <w:t>–</w:t>
      </w:r>
      <w:r>
        <w:rPr>
          <w:spacing w:val="-1"/>
          <w:sz w:val="24"/>
        </w:rPr>
        <w:t xml:space="preserve"> </w:t>
      </w:r>
      <w:r>
        <w:rPr>
          <w:spacing w:val="-2"/>
          <w:sz w:val="24"/>
        </w:rPr>
        <w:t>Emergency</w:t>
      </w:r>
    </w:p>
    <w:p>
      <w:pPr>
        <w:pStyle w:val="ListParagraph"/>
        <w:numPr>
          <w:ilvl w:val="1"/>
          <w:numId w:val="43"/>
        </w:numPr>
        <w:tabs>
          <w:tab w:val="left" w:pos="1584"/>
        </w:tabs>
        <w:spacing w:before="0" w:after="0" w:line="240" w:lineRule="auto"/>
        <w:ind w:left="1584" w:right="0" w:hanging="360"/>
        <w:jc w:val="left"/>
        <w:rPr>
          <w:sz w:val="24"/>
        </w:rPr>
      </w:pPr>
      <w:r>
        <w:rPr>
          <w:sz w:val="24"/>
        </w:rPr>
        <w:t>OP</w:t>
      </w:r>
      <w:r>
        <w:rPr>
          <w:spacing w:val="-3"/>
          <w:sz w:val="24"/>
        </w:rPr>
        <w:t xml:space="preserve"> </w:t>
      </w:r>
      <w:r>
        <w:rPr>
          <w:sz w:val="24"/>
        </w:rPr>
        <w:t>Facility –</w:t>
      </w:r>
      <w:r>
        <w:rPr>
          <w:spacing w:val="-1"/>
          <w:sz w:val="24"/>
        </w:rPr>
        <w:t xml:space="preserve"> </w:t>
      </w:r>
      <w:r>
        <w:rPr>
          <w:spacing w:val="-2"/>
          <w:sz w:val="24"/>
        </w:rPr>
        <w:t>Surgery</w:t>
      </w:r>
    </w:p>
    <w:p>
      <w:pPr>
        <w:pStyle w:val="ListParagraph"/>
        <w:numPr>
          <w:ilvl w:val="1"/>
          <w:numId w:val="43"/>
        </w:numPr>
        <w:tabs>
          <w:tab w:val="left" w:pos="1584"/>
        </w:tabs>
        <w:spacing w:before="1" w:after="0" w:line="240" w:lineRule="auto"/>
        <w:ind w:left="1584" w:right="0" w:hanging="360"/>
        <w:jc w:val="left"/>
        <w:rPr>
          <w:sz w:val="24"/>
        </w:rPr>
      </w:pPr>
      <w:r>
        <w:rPr>
          <w:sz w:val="24"/>
        </w:rPr>
        <w:t>OP</w:t>
      </w:r>
      <w:r>
        <w:rPr>
          <w:spacing w:val="-3"/>
          <w:sz w:val="24"/>
        </w:rPr>
        <w:t xml:space="preserve"> </w:t>
      </w:r>
      <w:r>
        <w:rPr>
          <w:sz w:val="24"/>
        </w:rPr>
        <w:t>Facility –</w:t>
      </w:r>
      <w:r>
        <w:rPr>
          <w:spacing w:val="-1"/>
          <w:sz w:val="24"/>
        </w:rPr>
        <w:t xml:space="preserve"> </w:t>
      </w:r>
      <w:r>
        <w:rPr>
          <w:spacing w:val="-4"/>
          <w:sz w:val="24"/>
        </w:rPr>
        <w:t>Other</w:t>
      </w:r>
    </w:p>
    <w:p>
      <w:pPr>
        <w:pStyle w:val="ListParagraph"/>
        <w:numPr>
          <w:ilvl w:val="1"/>
          <w:numId w:val="43"/>
        </w:numPr>
        <w:tabs>
          <w:tab w:val="left" w:pos="1584"/>
        </w:tabs>
        <w:spacing w:before="0" w:after="0" w:line="240" w:lineRule="auto"/>
        <w:ind w:left="1584" w:right="0" w:hanging="360"/>
        <w:jc w:val="left"/>
        <w:rPr>
          <w:sz w:val="24"/>
        </w:rPr>
      </w:pPr>
      <w:r>
        <w:rPr>
          <w:spacing w:val="-2"/>
          <w:sz w:val="24"/>
        </w:rPr>
        <w:t>Professional</w:t>
      </w:r>
    </w:p>
    <w:p>
      <w:pPr>
        <w:pStyle w:val="ListParagraph"/>
        <w:numPr>
          <w:ilvl w:val="1"/>
          <w:numId w:val="43"/>
        </w:numPr>
        <w:tabs>
          <w:tab w:val="left" w:pos="1584"/>
        </w:tabs>
        <w:spacing w:before="0" w:after="0" w:line="240" w:lineRule="auto"/>
        <w:ind w:left="1584" w:right="0" w:hanging="360"/>
        <w:jc w:val="left"/>
        <w:rPr>
          <w:sz w:val="24"/>
        </w:rPr>
      </w:pPr>
      <w:r>
        <w:rPr>
          <w:sz w:val="24"/>
        </w:rPr>
        <w:t>Part</w:t>
      </w:r>
      <w:r>
        <w:rPr>
          <w:spacing w:val="-1"/>
          <w:sz w:val="24"/>
        </w:rPr>
        <w:t xml:space="preserve"> </w:t>
      </w:r>
      <w:r>
        <w:rPr>
          <w:sz w:val="24"/>
        </w:rPr>
        <w:t xml:space="preserve">B </w:t>
      </w:r>
      <w:r>
        <w:rPr>
          <w:spacing w:val="-5"/>
          <w:sz w:val="24"/>
        </w:rPr>
        <w:t>Rx</w:t>
      </w:r>
    </w:p>
    <w:p>
      <w:pPr>
        <w:pStyle w:val="ListParagraph"/>
        <w:numPr>
          <w:ilvl w:val="1"/>
          <w:numId w:val="43"/>
        </w:numPr>
        <w:tabs>
          <w:tab w:val="left" w:pos="1584"/>
        </w:tabs>
        <w:spacing w:before="0" w:after="0" w:line="240" w:lineRule="auto"/>
        <w:ind w:left="1584" w:right="0" w:hanging="360"/>
        <w:jc w:val="left"/>
        <w:rPr>
          <w:sz w:val="24"/>
        </w:rPr>
      </w:pPr>
      <w:r>
        <w:rPr>
          <w:sz w:val="24"/>
        </w:rPr>
        <w:t>Other</w:t>
      </w:r>
      <w:r>
        <w:rPr>
          <w:spacing w:val="-1"/>
          <w:sz w:val="24"/>
        </w:rPr>
        <w:t xml:space="preserve"> </w:t>
      </w:r>
      <w:r>
        <w:rPr>
          <w:sz w:val="24"/>
        </w:rPr>
        <w:t>Medicare</w:t>
      </w:r>
      <w:r>
        <w:rPr>
          <w:spacing w:val="-3"/>
          <w:sz w:val="24"/>
        </w:rPr>
        <w:t xml:space="preserve"> </w:t>
      </w:r>
      <w:r>
        <w:rPr>
          <w:sz w:val="24"/>
        </w:rPr>
        <w:t xml:space="preserve">Part </w:t>
      </w:r>
      <w:r>
        <w:rPr>
          <w:spacing w:val="-10"/>
          <w:sz w:val="24"/>
        </w:rPr>
        <w:t>B</w:t>
      </w:r>
    </w:p>
    <w:p>
      <w:pPr>
        <w:pStyle w:val="ListParagraph"/>
        <w:numPr>
          <w:ilvl w:val="1"/>
          <w:numId w:val="43"/>
        </w:numPr>
        <w:tabs>
          <w:tab w:val="left" w:pos="1584"/>
        </w:tabs>
        <w:spacing w:before="0" w:after="0" w:line="240" w:lineRule="auto"/>
        <w:ind w:left="1584" w:right="0" w:hanging="360"/>
        <w:jc w:val="left"/>
        <w:rPr>
          <w:sz w:val="24"/>
        </w:rPr>
      </w:pPr>
      <w:r>
        <w:rPr>
          <w:sz w:val="24"/>
        </w:rPr>
        <w:t>Transportation</w:t>
      </w:r>
      <w:r>
        <w:rPr>
          <w:spacing w:val="-4"/>
          <w:sz w:val="24"/>
        </w:rPr>
        <w:t xml:space="preserve"> </w:t>
      </w:r>
      <w:r>
        <w:rPr>
          <w:sz w:val="24"/>
        </w:rPr>
        <w:t>(Non-</w:t>
      </w:r>
      <w:r>
        <w:rPr>
          <w:spacing w:val="-2"/>
          <w:sz w:val="24"/>
        </w:rPr>
        <w:t>covered)</w:t>
      </w:r>
    </w:p>
    <w:p>
      <w:pPr>
        <w:pStyle w:val="ListParagraph"/>
        <w:numPr>
          <w:ilvl w:val="1"/>
          <w:numId w:val="43"/>
        </w:numPr>
        <w:tabs>
          <w:tab w:val="left" w:pos="1584"/>
        </w:tabs>
        <w:spacing w:before="0" w:after="0" w:line="240" w:lineRule="auto"/>
        <w:ind w:left="1584" w:right="0" w:hanging="360"/>
        <w:jc w:val="left"/>
        <w:rPr>
          <w:sz w:val="24"/>
        </w:rPr>
      </w:pPr>
      <w:r>
        <w:rPr>
          <w:sz w:val="24"/>
        </w:rPr>
        <w:t>Dental</w:t>
      </w:r>
      <w:r>
        <w:rPr>
          <w:spacing w:val="-3"/>
          <w:sz w:val="24"/>
        </w:rPr>
        <w:t xml:space="preserve"> </w:t>
      </w:r>
      <w:r>
        <w:rPr>
          <w:sz w:val="24"/>
        </w:rPr>
        <w:t>(Non-</w:t>
      </w:r>
      <w:r>
        <w:rPr>
          <w:spacing w:val="-2"/>
          <w:sz w:val="24"/>
        </w:rPr>
        <w:t>covered)</w:t>
      </w:r>
    </w:p>
    <w:p>
      <w:pPr>
        <w:pStyle w:val="ListParagraph"/>
        <w:numPr>
          <w:ilvl w:val="1"/>
          <w:numId w:val="43"/>
        </w:numPr>
        <w:tabs>
          <w:tab w:val="left" w:pos="1584"/>
        </w:tabs>
        <w:spacing w:before="0" w:after="0" w:line="240" w:lineRule="auto"/>
        <w:ind w:left="1584" w:right="0" w:hanging="360"/>
        <w:jc w:val="left"/>
        <w:rPr>
          <w:sz w:val="24"/>
        </w:rPr>
      </w:pPr>
      <w:r>
        <w:rPr>
          <w:sz w:val="24"/>
        </w:rPr>
        <w:t>Vision</w:t>
      </w:r>
      <w:r>
        <w:rPr>
          <w:spacing w:val="-4"/>
          <w:sz w:val="24"/>
        </w:rPr>
        <w:t xml:space="preserve"> </w:t>
      </w:r>
      <w:r>
        <w:rPr>
          <w:sz w:val="24"/>
        </w:rPr>
        <w:t>(Non-</w:t>
      </w:r>
      <w:r>
        <w:rPr>
          <w:spacing w:val="-2"/>
          <w:sz w:val="24"/>
        </w:rPr>
        <w:t>covered)</w:t>
      </w:r>
    </w:p>
    <w:p>
      <w:pPr>
        <w:pStyle w:val="ListParagraph"/>
        <w:numPr>
          <w:ilvl w:val="1"/>
          <w:numId w:val="43"/>
        </w:numPr>
        <w:tabs>
          <w:tab w:val="left" w:pos="1584"/>
        </w:tabs>
        <w:spacing w:before="0" w:after="0" w:line="240" w:lineRule="auto"/>
        <w:ind w:left="1584" w:right="0" w:hanging="360"/>
        <w:jc w:val="left"/>
        <w:rPr>
          <w:sz w:val="24"/>
        </w:rPr>
      </w:pPr>
      <w:r>
        <w:rPr>
          <w:sz w:val="24"/>
        </w:rPr>
        <w:t>Hearing</w:t>
      </w:r>
      <w:r>
        <w:rPr>
          <w:spacing w:val="-3"/>
          <w:sz w:val="24"/>
        </w:rPr>
        <w:t xml:space="preserve"> </w:t>
      </w:r>
      <w:r>
        <w:rPr>
          <w:sz w:val="24"/>
        </w:rPr>
        <w:t>(Non-</w:t>
      </w:r>
      <w:r>
        <w:rPr>
          <w:spacing w:val="-2"/>
          <w:sz w:val="24"/>
        </w:rPr>
        <w:t>covered)</w:t>
      </w:r>
    </w:p>
    <w:p>
      <w:pPr>
        <w:pStyle w:val="ListParagraph"/>
        <w:numPr>
          <w:ilvl w:val="1"/>
          <w:numId w:val="43"/>
        </w:numPr>
        <w:tabs>
          <w:tab w:val="left" w:pos="1584"/>
        </w:tabs>
        <w:spacing w:before="0" w:after="0" w:line="240" w:lineRule="auto"/>
        <w:ind w:left="1584" w:right="0" w:hanging="360"/>
        <w:jc w:val="left"/>
        <w:rPr>
          <w:sz w:val="24"/>
        </w:rPr>
      </w:pPr>
      <w:r>
        <w:rPr>
          <w:sz w:val="24"/>
        </w:rPr>
        <w:t>Suppl.</w:t>
      </w:r>
      <w:r>
        <w:rPr>
          <w:spacing w:val="-1"/>
          <w:sz w:val="24"/>
        </w:rPr>
        <w:t xml:space="preserve"> </w:t>
      </w:r>
      <w:r>
        <w:rPr>
          <w:sz w:val="24"/>
        </w:rPr>
        <w:t>Ben. Chpt</w:t>
      </w:r>
      <w:r>
        <w:rPr>
          <w:spacing w:val="-1"/>
          <w:sz w:val="24"/>
        </w:rPr>
        <w:t xml:space="preserve"> </w:t>
      </w:r>
      <w:r>
        <w:rPr>
          <w:sz w:val="24"/>
        </w:rPr>
        <w:t>4 (Non-</w:t>
      </w:r>
      <w:r>
        <w:rPr>
          <w:spacing w:val="-2"/>
          <w:sz w:val="24"/>
        </w:rPr>
        <w:t>covered)</w:t>
      </w:r>
    </w:p>
    <w:p>
      <w:pPr>
        <w:pStyle w:val="ListParagraph"/>
        <w:numPr>
          <w:ilvl w:val="1"/>
          <w:numId w:val="43"/>
        </w:numPr>
        <w:tabs>
          <w:tab w:val="left" w:pos="1584"/>
        </w:tabs>
        <w:spacing w:before="0" w:after="0" w:line="240" w:lineRule="auto"/>
        <w:ind w:left="1584" w:right="0" w:hanging="360"/>
        <w:jc w:val="left"/>
        <w:rPr>
          <w:sz w:val="24"/>
        </w:rPr>
      </w:pPr>
      <w:r>
        <w:rPr>
          <w:sz w:val="24"/>
        </w:rPr>
        <w:t>Other</w:t>
      </w:r>
      <w:r>
        <w:rPr>
          <w:spacing w:val="-3"/>
          <w:sz w:val="24"/>
        </w:rPr>
        <w:t xml:space="preserve"> </w:t>
      </w:r>
      <w:r>
        <w:rPr>
          <w:sz w:val="24"/>
        </w:rPr>
        <w:t>Non-</w:t>
      </w:r>
      <w:r>
        <w:rPr>
          <w:spacing w:val="-2"/>
          <w:sz w:val="24"/>
        </w:rPr>
        <w:t>covered</w:t>
      </w:r>
    </w:p>
    <w:p>
      <w:pPr>
        <w:pStyle w:val="BodyText"/>
        <w:spacing w:before="120"/>
        <w:ind w:left="1224" w:right="1443"/>
      </w:pPr>
      <w:r>
        <w:t>Technical</w:t>
      </w:r>
      <w:r>
        <w:rPr>
          <w:spacing w:val="-4"/>
        </w:rPr>
        <w:t xml:space="preserve"> </w:t>
      </w:r>
      <w:r>
        <w:t>note:</w:t>
      </w:r>
      <w:r>
        <w:rPr>
          <w:spacing w:val="-3"/>
        </w:rPr>
        <w:t xml:space="preserve"> </w:t>
      </w:r>
      <w:r>
        <w:t>The</w:t>
      </w:r>
      <w:r>
        <w:rPr>
          <w:spacing w:val="-5"/>
        </w:rPr>
        <w:t xml:space="preserve"> </w:t>
      </w:r>
      <w:r>
        <w:t>benefit</w:t>
      </w:r>
      <w:r>
        <w:rPr>
          <w:spacing w:val="-4"/>
        </w:rPr>
        <w:t xml:space="preserve"> </w:t>
      </w:r>
      <w:r>
        <w:t>service</w:t>
      </w:r>
      <w:r>
        <w:rPr>
          <w:spacing w:val="-5"/>
        </w:rPr>
        <w:t xml:space="preserve"> </w:t>
      </w:r>
      <w:r>
        <w:t>category</w:t>
      </w:r>
      <w:r>
        <w:rPr>
          <w:spacing w:val="-2"/>
        </w:rPr>
        <w:t xml:space="preserve"> </w:t>
      </w:r>
      <w:r>
        <w:t>entries</w:t>
      </w:r>
      <w:r>
        <w:rPr>
          <w:spacing w:val="-3"/>
        </w:rPr>
        <w:t xml:space="preserve"> </w:t>
      </w:r>
      <w:r>
        <w:t>(cells</w:t>
      </w:r>
      <w:r>
        <w:rPr>
          <w:spacing w:val="-5"/>
        </w:rPr>
        <w:t xml:space="preserve"> </w:t>
      </w:r>
      <w:r>
        <w:t>C55:C64)</w:t>
      </w:r>
      <w:r>
        <w:rPr>
          <w:spacing w:val="-5"/>
        </w:rPr>
        <w:t xml:space="preserve"> </w:t>
      </w:r>
      <w:r>
        <w:t>must</w:t>
      </w:r>
      <w:r>
        <w:rPr>
          <w:spacing w:val="-3"/>
        </w:rPr>
        <w:t xml:space="preserve"> </w:t>
      </w:r>
      <w:r>
        <w:t>match</w:t>
      </w:r>
      <w:r>
        <w:rPr>
          <w:spacing w:val="-4"/>
        </w:rPr>
        <w:t xml:space="preserve"> </w:t>
      </w:r>
      <w:r>
        <w:t>exactly those listed above. If there is a typographical error in the entry, the BPT will not recognize the entered cost-sharing information on Worksheet 4.</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d</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Service</w:t>
      </w:r>
      <w:r>
        <w:rPr>
          <w:rFonts w:ascii="Arial" w:hAnsi="Arial"/>
          <w:b/>
          <w:spacing w:val="-5"/>
          <w:sz w:val="21"/>
        </w:rPr>
        <w:t xml:space="preserve"> </w:t>
      </w:r>
      <w:r>
        <w:rPr>
          <w:rFonts w:ascii="Arial" w:hAnsi="Arial"/>
          <w:b/>
          <w:sz w:val="21"/>
        </w:rPr>
        <w:t>Category</w:t>
      </w:r>
      <w:r>
        <w:rPr>
          <w:rFonts w:ascii="Arial" w:hAnsi="Arial"/>
          <w:b/>
          <w:spacing w:val="-4"/>
          <w:sz w:val="21"/>
        </w:rPr>
        <w:t xml:space="preserve"> </w:t>
      </w:r>
      <w:r>
        <w:rPr>
          <w:rFonts w:ascii="Arial" w:hAnsi="Arial"/>
          <w:b/>
          <w:spacing w:val="-2"/>
          <w:sz w:val="21"/>
        </w:rPr>
        <w:t>Description</w:t>
      </w:r>
    </w:p>
    <w:p>
      <w:pPr>
        <w:pStyle w:val="BodyText"/>
        <w:spacing w:before="121"/>
        <w:ind w:left="1224"/>
        <w:jc w:val="both"/>
      </w:pPr>
      <w:r>
        <w:t>Enter</w:t>
      </w:r>
      <w:r>
        <w:rPr>
          <w:spacing w:val="-2"/>
        </w:rPr>
        <w:t xml:space="preserve"> </w:t>
      </w:r>
      <w:r>
        <w:t>one</w:t>
      </w:r>
      <w:r>
        <w:rPr>
          <w:spacing w:val="-2"/>
        </w:rPr>
        <w:t xml:space="preserve"> </w:t>
      </w:r>
      <w:r>
        <w:t>of the</w:t>
      </w:r>
      <w:r>
        <w:rPr>
          <w:spacing w:val="-3"/>
        </w:rPr>
        <w:t xml:space="preserve"> </w:t>
      </w:r>
      <w:r>
        <w:t>valid cost-sharing</w:t>
      </w:r>
      <w:r>
        <w:rPr>
          <w:spacing w:val="-1"/>
        </w:rPr>
        <w:t xml:space="preserve"> </w:t>
      </w:r>
      <w:r>
        <w:t>items</w:t>
      </w:r>
      <w:r>
        <w:rPr>
          <w:spacing w:val="-1"/>
        </w:rPr>
        <w:t xml:space="preserve"> </w:t>
      </w:r>
      <w:r>
        <w:t>shown in</w:t>
      </w:r>
      <w:r>
        <w:rPr>
          <w:spacing w:val="-1"/>
        </w:rPr>
        <w:t xml:space="preserve"> </w:t>
      </w:r>
      <w:r>
        <w:t>rows</w:t>
      </w:r>
      <w:r>
        <w:rPr>
          <w:spacing w:val="-1"/>
        </w:rPr>
        <w:t xml:space="preserve"> </w:t>
      </w:r>
      <w:r>
        <w:t>a1</w:t>
      </w:r>
      <w:r>
        <w:rPr>
          <w:spacing w:val="-1"/>
        </w:rPr>
        <w:t xml:space="preserve"> </w:t>
      </w:r>
      <w:r>
        <w:t xml:space="preserve">through </w:t>
      </w:r>
      <w:r>
        <w:rPr>
          <w:spacing w:val="-5"/>
        </w:rPr>
        <w:t>q.</w:t>
      </w:r>
    </w:p>
    <w:p>
      <w:pPr>
        <w:pStyle w:val="ListParagraph"/>
        <w:numPr>
          <w:ilvl w:val="0"/>
          <w:numId w:val="43"/>
        </w:numPr>
        <w:tabs>
          <w:tab w:val="left" w:pos="1223"/>
        </w:tabs>
        <w:spacing w:before="120" w:after="0" w:line="240" w:lineRule="auto"/>
        <w:ind w:left="1223" w:right="0" w:hanging="359"/>
        <w:jc w:val="left"/>
        <w:rPr>
          <w:rFonts w:ascii="Arial" w:hAnsi="Arial"/>
          <w:b/>
          <w:sz w:val="21"/>
        </w:rPr>
      </w:pPr>
      <w:r>
        <w:rPr>
          <w:rFonts w:ascii="Arial" w:hAnsi="Arial"/>
          <w:b/>
          <w:sz w:val="21"/>
        </w:rPr>
        <w:t>Columns</w:t>
      </w:r>
      <w:r>
        <w:rPr>
          <w:rFonts w:ascii="Arial" w:hAnsi="Arial"/>
          <w:b/>
          <w:spacing w:val="-5"/>
          <w:sz w:val="21"/>
        </w:rPr>
        <w:t xml:space="preserve"> </w:t>
      </w:r>
      <w:r>
        <w:rPr>
          <w:rFonts w:ascii="Arial" w:hAnsi="Arial"/>
          <w:b/>
          <w:sz w:val="21"/>
        </w:rPr>
        <w:t>e</w:t>
      </w:r>
      <w:r>
        <w:rPr>
          <w:rFonts w:ascii="Arial" w:hAnsi="Arial"/>
          <w:b/>
          <w:spacing w:val="-4"/>
          <w:sz w:val="21"/>
        </w:rPr>
        <w:t xml:space="preserve"> </w:t>
      </w:r>
      <w:r>
        <w:rPr>
          <w:rFonts w:ascii="Arial" w:hAnsi="Arial"/>
          <w:b/>
          <w:sz w:val="21"/>
        </w:rPr>
        <w:t>through</w:t>
      </w:r>
      <w:r>
        <w:rPr>
          <w:rFonts w:ascii="Arial" w:hAnsi="Arial"/>
          <w:b/>
          <w:spacing w:val="-3"/>
          <w:sz w:val="21"/>
        </w:rPr>
        <w:t xml:space="preserve"> </w:t>
      </w:r>
      <w:r>
        <w:rPr>
          <w:rFonts w:ascii="Arial" w:hAnsi="Arial"/>
          <w:b/>
          <w:spacing w:val="-10"/>
          <w:sz w:val="21"/>
        </w:rPr>
        <w:t>o</w:t>
      </w:r>
    </w:p>
    <w:p>
      <w:pPr>
        <w:pStyle w:val="BodyText"/>
        <w:spacing w:before="118"/>
        <w:ind w:left="1224" w:right="1443"/>
      </w:pPr>
      <w:r>
        <w:t>If</w:t>
      </w:r>
      <w:r>
        <w:rPr>
          <w:spacing w:val="-5"/>
        </w:rPr>
        <w:t xml:space="preserve"> </w:t>
      </w:r>
      <w:r>
        <w:t>a</w:t>
      </w:r>
      <w:r>
        <w:rPr>
          <w:spacing w:val="-4"/>
        </w:rPr>
        <w:t xml:space="preserve"> </w:t>
      </w:r>
      <w:r>
        <w:t>benefit</w:t>
      </w:r>
      <w:r>
        <w:rPr>
          <w:spacing w:val="-3"/>
        </w:rPr>
        <w:t xml:space="preserve"> </w:t>
      </w:r>
      <w:r>
        <w:t>service</w:t>
      </w:r>
      <w:r>
        <w:rPr>
          <w:spacing w:val="-4"/>
        </w:rPr>
        <w:t xml:space="preserve"> </w:t>
      </w:r>
      <w:r>
        <w:t>category</w:t>
      </w:r>
      <w:r>
        <w:rPr>
          <w:spacing w:val="-3"/>
        </w:rPr>
        <w:t xml:space="preserve"> </w:t>
      </w:r>
      <w:r>
        <w:t>is</w:t>
      </w:r>
      <w:r>
        <w:rPr>
          <w:spacing w:val="-4"/>
        </w:rPr>
        <w:t xml:space="preserve"> </w:t>
      </w:r>
      <w:r>
        <w:t>entered</w:t>
      </w:r>
      <w:r>
        <w:rPr>
          <w:spacing w:val="-3"/>
        </w:rPr>
        <w:t xml:space="preserve"> </w:t>
      </w:r>
      <w:r>
        <w:t>in</w:t>
      </w:r>
      <w:r>
        <w:rPr>
          <w:spacing w:val="-3"/>
        </w:rPr>
        <w:t xml:space="preserve"> </w:t>
      </w:r>
      <w:r>
        <w:t>column c</w:t>
      </w:r>
      <w:r>
        <w:rPr>
          <w:spacing w:val="-4"/>
        </w:rPr>
        <w:t xml:space="preserve"> </w:t>
      </w:r>
      <w:r>
        <w:t>(C55:C64),</w:t>
      </w:r>
      <w:r>
        <w:rPr>
          <w:spacing w:val="-3"/>
        </w:rPr>
        <w:t xml:space="preserve"> </w:t>
      </w:r>
      <w:r>
        <w:t>then</w:t>
      </w:r>
      <w:r>
        <w:rPr>
          <w:spacing w:val="-3"/>
        </w:rPr>
        <w:t xml:space="preserve"> </w:t>
      </w:r>
      <w:r>
        <w:t>then</w:t>
      </w:r>
      <w:r>
        <w:rPr>
          <w:spacing w:val="-3"/>
        </w:rPr>
        <w:t xml:space="preserve"> </w:t>
      </w:r>
      <w:r>
        <w:t>the</w:t>
      </w:r>
      <w:r>
        <w:rPr>
          <w:spacing w:val="-4"/>
        </w:rPr>
        <w:t xml:space="preserve"> </w:t>
      </w:r>
      <w:r>
        <w:t>instructions for lines a1 through q, columns e through o apply.</w:t>
      </w:r>
    </w:p>
    <w:p>
      <w:pPr>
        <w:pStyle w:val="BodyText"/>
        <w:spacing w:after="0"/>
        <w:sectPr>
          <w:pgSz w:w="12240" w:h="15840"/>
          <w:pgMar w:top="960" w:right="0" w:bottom="940" w:left="1080" w:header="727" w:footer="747"/>
          <w:cols w:space="720"/>
        </w:sectPr>
      </w:pPr>
    </w:p>
    <w:p>
      <w:pPr>
        <w:pStyle w:val="BodyText"/>
        <w:spacing w:before="225"/>
        <w:ind w:left="0"/>
        <w:rPr>
          <w:sz w:val="21"/>
        </w:rPr>
      </w:pPr>
    </w:p>
    <w:p>
      <w:pPr>
        <w:spacing w:before="0"/>
        <w:ind w:left="504" w:right="0" w:firstLine="0"/>
        <w:jc w:val="left"/>
        <w:rPr>
          <w:rFonts w:ascii="Arial" w:hAnsi="Arial"/>
          <w:b/>
          <w:sz w:val="21"/>
        </w:rPr>
      </w:pPr>
      <w:bookmarkStart w:id="184" w:name="Line s – Total"/>
      <w:bookmarkEnd w:id="184"/>
      <w:r>
        <w:rPr>
          <w:rFonts w:ascii="Arial" w:hAnsi="Arial"/>
          <w:b/>
          <w:sz w:val="21"/>
        </w:rPr>
        <w:t>Line</w:t>
      </w:r>
      <w:r>
        <w:rPr>
          <w:rFonts w:ascii="Arial" w:hAnsi="Arial"/>
          <w:b/>
          <w:spacing w:val="-3"/>
          <w:sz w:val="21"/>
        </w:rPr>
        <w:t xml:space="preserve"> </w:t>
      </w:r>
      <w:r>
        <w:rPr>
          <w:rFonts w:ascii="Arial" w:hAnsi="Arial"/>
          <w:b/>
          <w:sz w:val="21"/>
        </w:rPr>
        <w:t>s</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pacing w:val="-2"/>
          <w:sz w:val="21"/>
        </w:rPr>
        <w:t>Total</w:t>
      </w:r>
    </w:p>
    <w:p>
      <w:pPr>
        <w:pStyle w:val="BodyText"/>
        <w:spacing w:before="120"/>
      </w:pPr>
      <w:r>
        <w:t>Calculated</w:t>
      </w:r>
      <w:r>
        <w:rPr>
          <w:spacing w:val="-3"/>
        </w:rPr>
        <w:t xml:space="preserve"> </w:t>
      </w:r>
      <w:r>
        <w:t>automatically</w:t>
      </w:r>
      <w:r>
        <w:rPr>
          <w:spacing w:val="1"/>
        </w:rPr>
        <w:t xml:space="preserve"> </w:t>
      </w:r>
      <w:r>
        <w:t>as</w:t>
      </w:r>
      <w:r>
        <w:rPr>
          <w:spacing w:val="-2"/>
        </w:rPr>
        <w:t xml:space="preserve"> </w:t>
      </w:r>
      <w:r>
        <w:t>the</w:t>
      </w:r>
      <w:r>
        <w:rPr>
          <w:spacing w:val="-1"/>
        </w:rPr>
        <w:t xml:space="preserve"> </w:t>
      </w:r>
      <w:r>
        <w:t>sum of</w:t>
      </w:r>
      <w:r>
        <w:rPr>
          <w:spacing w:val="-1"/>
        </w:rPr>
        <w:t xml:space="preserve"> </w:t>
      </w:r>
      <w:r>
        <w:t>columns</w:t>
      </w:r>
      <w:r>
        <w:rPr>
          <w:spacing w:val="-1"/>
        </w:rPr>
        <w:t xml:space="preserve"> </w:t>
      </w:r>
      <w:r>
        <w:t>f, k,</w:t>
      </w:r>
      <w:r>
        <w:rPr>
          <w:spacing w:val="-1"/>
        </w:rPr>
        <w:t xml:space="preserve"> </w:t>
      </w:r>
      <w:r>
        <w:t>l, or</w:t>
      </w:r>
      <w:r>
        <w:rPr>
          <w:spacing w:val="-1"/>
        </w:rPr>
        <w:t xml:space="preserve"> </w:t>
      </w:r>
      <w:r>
        <w:t>o</w:t>
      </w:r>
      <w:r>
        <w:rPr>
          <w:spacing w:val="-1"/>
        </w:rPr>
        <w:t xml:space="preserve"> </w:t>
      </w:r>
      <w:r>
        <w:t>(or</w:t>
      </w:r>
      <w:r>
        <w:rPr>
          <w:spacing w:val="-1"/>
        </w:rPr>
        <w:t xml:space="preserve"> </w:t>
      </w:r>
      <w:r>
        <w:t xml:space="preserve">not </w:t>
      </w:r>
      <w:r>
        <w:rPr>
          <w:spacing w:val="-2"/>
        </w:rPr>
        <w:t>applicable).</w:t>
      </w:r>
    </w:p>
    <w:p>
      <w:pPr>
        <w:spacing w:before="241"/>
        <w:ind w:left="504" w:right="0" w:firstLine="0"/>
        <w:jc w:val="left"/>
        <w:rPr>
          <w:rFonts w:ascii="Arial" w:hAnsi="Arial"/>
          <w:b/>
          <w:sz w:val="21"/>
        </w:rPr>
      </w:pPr>
      <w:bookmarkStart w:id="185" w:name="Line t – Plan-Level Deductible Amounts"/>
      <w:bookmarkEnd w:id="185"/>
      <w:r>
        <w:rPr>
          <w:rFonts w:ascii="Arial" w:hAnsi="Arial"/>
          <w:b/>
          <w:sz w:val="21"/>
        </w:rPr>
        <w:t>Line</w:t>
      </w:r>
      <w:r>
        <w:rPr>
          <w:rFonts w:ascii="Arial" w:hAnsi="Arial"/>
          <w:b/>
          <w:spacing w:val="-6"/>
          <w:sz w:val="21"/>
        </w:rPr>
        <w:t xml:space="preserve"> </w:t>
      </w:r>
      <w:r>
        <w:rPr>
          <w:rFonts w:ascii="Arial" w:hAnsi="Arial"/>
          <w:b/>
          <w:sz w:val="21"/>
        </w:rPr>
        <w:t>t</w:t>
      </w:r>
      <w:r>
        <w:rPr>
          <w:rFonts w:ascii="Arial" w:hAnsi="Arial"/>
          <w:b/>
          <w:spacing w:val="-7"/>
          <w:sz w:val="21"/>
        </w:rPr>
        <w:t xml:space="preserve"> </w:t>
      </w:r>
      <w:r>
        <w:rPr>
          <w:rFonts w:ascii="Arial" w:hAnsi="Arial"/>
          <w:b/>
          <w:sz w:val="21"/>
        </w:rPr>
        <w:t>–</w:t>
      </w:r>
      <w:r>
        <w:rPr>
          <w:rFonts w:ascii="Arial" w:hAnsi="Arial"/>
          <w:b/>
          <w:spacing w:val="-5"/>
          <w:sz w:val="21"/>
        </w:rPr>
        <w:t xml:space="preserve"> </w:t>
      </w:r>
      <w:r>
        <w:rPr>
          <w:rFonts w:ascii="Arial" w:hAnsi="Arial"/>
          <w:b/>
          <w:sz w:val="21"/>
        </w:rPr>
        <w:t>Plan-Level</w:t>
      </w:r>
      <w:r>
        <w:rPr>
          <w:rFonts w:ascii="Arial" w:hAnsi="Arial"/>
          <w:b/>
          <w:spacing w:val="-7"/>
          <w:sz w:val="21"/>
        </w:rPr>
        <w:t xml:space="preserve"> </w:t>
      </w:r>
      <w:r>
        <w:rPr>
          <w:rFonts w:ascii="Arial" w:hAnsi="Arial"/>
          <w:b/>
          <w:sz w:val="21"/>
        </w:rPr>
        <w:t>Deductible</w:t>
      </w:r>
      <w:r>
        <w:rPr>
          <w:rFonts w:ascii="Arial" w:hAnsi="Arial"/>
          <w:b/>
          <w:spacing w:val="-6"/>
          <w:sz w:val="21"/>
        </w:rPr>
        <w:t xml:space="preserve"> </w:t>
      </w:r>
      <w:r>
        <w:rPr>
          <w:rFonts w:ascii="Arial" w:hAnsi="Arial"/>
          <w:b/>
          <w:spacing w:val="-2"/>
          <w:sz w:val="21"/>
        </w:rPr>
        <w:t>Amounts</w:t>
      </w:r>
    </w:p>
    <w:p>
      <w:pPr>
        <w:pStyle w:val="BodyText"/>
        <w:spacing w:before="118"/>
        <w:ind w:right="1492"/>
      </w:pPr>
      <w:r>
        <w:t>The</w:t>
      </w:r>
      <w:r>
        <w:rPr>
          <w:spacing w:val="-4"/>
        </w:rPr>
        <w:t xml:space="preserve"> </w:t>
      </w:r>
      <w:r>
        <w:t>cells</w:t>
      </w:r>
      <w:r>
        <w:rPr>
          <w:spacing w:val="-3"/>
        </w:rPr>
        <w:t xml:space="preserve"> </w:t>
      </w:r>
      <w:r>
        <w:t>in</w:t>
      </w:r>
      <w:r>
        <w:rPr>
          <w:spacing w:val="-2"/>
        </w:rPr>
        <w:t xml:space="preserve"> </w:t>
      </w:r>
      <w:r>
        <w:t>columns</w:t>
      </w:r>
      <w:r>
        <w:rPr>
          <w:spacing w:val="-3"/>
        </w:rPr>
        <w:t xml:space="preserve"> </w:t>
      </w:r>
      <w:r>
        <w:t>h,</w:t>
      </w:r>
      <w:r>
        <w:rPr>
          <w:spacing w:val="-2"/>
        </w:rPr>
        <w:t xml:space="preserve"> </w:t>
      </w:r>
      <w:r>
        <w:t>k</w:t>
      </w:r>
      <w:r>
        <w:rPr>
          <w:spacing w:val="-2"/>
        </w:rPr>
        <w:t xml:space="preserve"> </w:t>
      </w:r>
      <w:r>
        <w:t>and</w:t>
      </w:r>
      <w:r>
        <w:rPr>
          <w:spacing w:val="-2"/>
        </w:rPr>
        <w:t xml:space="preserve"> </w:t>
      </w:r>
      <w:r>
        <w:t>n</w:t>
      </w:r>
      <w:r>
        <w:rPr>
          <w:spacing w:val="-2"/>
        </w:rPr>
        <w:t xml:space="preserve"> </w:t>
      </w:r>
      <w:r>
        <w:t>are</w:t>
      </w:r>
      <w:r>
        <w:rPr>
          <w:spacing w:val="-4"/>
        </w:rPr>
        <w:t xml:space="preserve"> </w:t>
      </w:r>
      <w:r>
        <w:t>used</w:t>
      </w:r>
      <w:r>
        <w:rPr>
          <w:spacing w:val="-2"/>
        </w:rPr>
        <w:t xml:space="preserve"> </w:t>
      </w:r>
      <w:r>
        <w:t>to</w:t>
      </w:r>
      <w:r>
        <w:rPr>
          <w:spacing w:val="-2"/>
        </w:rPr>
        <w:t xml:space="preserve"> </w:t>
      </w:r>
      <w:r>
        <w:t>enter</w:t>
      </w:r>
      <w:r>
        <w:rPr>
          <w:spacing w:val="-2"/>
        </w:rPr>
        <w:t xml:space="preserve"> </w:t>
      </w:r>
      <w:r>
        <w:t>plan-level</w:t>
      </w:r>
      <w:r>
        <w:rPr>
          <w:spacing w:val="-2"/>
        </w:rPr>
        <w:t xml:space="preserve"> </w:t>
      </w:r>
      <w:r>
        <w:t>deductible</w:t>
      </w:r>
      <w:r>
        <w:rPr>
          <w:spacing w:val="-2"/>
        </w:rPr>
        <w:t xml:space="preserve"> </w:t>
      </w:r>
      <w:r>
        <w:t>amounts consistent</w:t>
      </w:r>
      <w:r>
        <w:rPr>
          <w:spacing w:val="-2"/>
        </w:rPr>
        <w:t xml:space="preserve"> </w:t>
      </w:r>
      <w:r>
        <w:t>with the Plan Level Cost Sharing Section of the PBP as described below by plan type. When entering such amounts in the BPT, if the PBP indicates that the amount of a deductible is—</w:t>
      </w:r>
    </w:p>
    <w:p>
      <w:pPr>
        <w:pStyle w:val="ListParagraph"/>
        <w:numPr>
          <w:ilvl w:val="1"/>
          <w:numId w:val="43"/>
        </w:numPr>
        <w:tabs>
          <w:tab w:val="left" w:pos="1584"/>
        </w:tabs>
        <w:spacing w:before="120" w:after="0" w:line="240" w:lineRule="auto"/>
        <w:ind w:left="1584" w:right="1629" w:hanging="360"/>
        <w:jc w:val="left"/>
        <w:rPr>
          <w:sz w:val="24"/>
        </w:rPr>
      </w:pPr>
      <w:r>
        <w:rPr>
          <w:sz w:val="24"/>
        </w:rPr>
        <w:t>A Medicare-defined deductible (for example, the Medicare-defined Part B deductible)</w:t>
      </w:r>
      <w:r>
        <w:rPr>
          <w:spacing w:val="-4"/>
          <w:sz w:val="24"/>
        </w:rPr>
        <w:t xml:space="preserve"> </w:t>
      </w:r>
      <w:r>
        <w:rPr>
          <w:sz w:val="24"/>
        </w:rPr>
        <w:t>instead</w:t>
      </w:r>
      <w:r>
        <w:rPr>
          <w:spacing w:val="-3"/>
          <w:sz w:val="24"/>
        </w:rPr>
        <w:t xml:space="preserve"> </w:t>
      </w:r>
      <w:r>
        <w:rPr>
          <w:sz w:val="24"/>
        </w:rPr>
        <w:t>of</w:t>
      </w:r>
      <w:r>
        <w:rPr>
          <w:spacing w:val="-1"/>
          <w:sz w:val="24"/>
        </w:rPr>
        <w:t xml:space="preserve"> </w:t>
      </w:r>
      <w:r>
        <w:rPr>
          <w:sz w:val="24"/>
        </w:rPr>
        <w:t>a</w:t>
      </w:r>
      <w:r>
        <w:rPr>
          <w:spacing w:val="-4"/>
          <w:sz w:val="24"/>
        </w:rPr>
        <w:t xml:space="preserve"> </w:t>
      </w:r>
      <w:r>
        <w:rPr>
          <w:sz w:val="24"/>
        </w:rPr>
        <w:t>dollar</w:t>
      </w:r>
      <w:r>
        <w:rPr>
          <w:spacing w:val="-3"/>
          <w:sz w:val="24"/>
        </w:rPr>
        <w:t xml:space="preserve"> </w:t>
      </w:r>
      <w:r>
        <w:rPr>
          <w:sz w:val="24"/>
        </w:rPr>
        <w:t>amount,</w:t>
      </w:r>
      <w:r>
        <w:rPr>
          <w:spacing w:val="-3"/>
          <w:sz w:val="24"/>
        </w:rPr>
        <w:t xml:space="preserve"> </w:t>
      </w:r>
      <w:r>
        <w:rPr>
          <w:sz w:val="24"/>
        </w:rPr>
        <w:t>enter</w:t>
      </w:r>
      <w:r>
        <w:rPr>
          <w:spacing w:val="-5"/>
          <w:sz w:val="24"/>
        </w:rPr>
        <w:t xml:space="preserve"> </w:t>
      </w:r>
      <w:r>
        <w:rPr>
          <w:sz w:val="24"/>
        </w:rPr>
        <w:t>the</w:t>
      </w:r>
      <w:r>
        <w:rPr>
          <w:spacing w:val="-3"/>
          <w:sz w:val="24"/>
        </w:rPr>
        <w:t xml:space="preserve"> </w:t>
      </w:r>
      <w:r>
        <w:rPr>
          <w:sz w:val="24"/>
        </w:rPr>
        <w:t>term</w:t>
      </w:r>
      <w:r>
        <w:rPr>
          <w:spacing w:val="-4"/>
          <w:sz w:val="24"/>
        </w:rPr>
        <w:t xml:space="preserve"> </w:t>
      </w:r>
      <w:r>
        <w:rPr>
          <w:i/>
          <w:sz w:val="24"/>
        </w:rPr>
        <w:t>Medicare</w:t>
      </w:r>
      <w:r>
        <w:rPr>
          <w:i/>
          <w:spacing w:val="-5"/>
          <w:sz w:val="24"/>
        </w:rPr>
        <w:t xml:space="preserve"> </w:t>
      </w:r>
      <w:r>
        <w:rPr>
          <w:i/>
          <w:sz w:val="24"/>
        </w:rPr>
        <w:t>FFS</w:t>
      </w:r>
      <w:r>
        <w:rPr>
          <w:i/>
          <w:spacing w:val="-1"/>
          <w:sz w:val="24"/>
        </w:rPr>
        <w:t xml:space="preserve"> </w:t>
      </w:r>
      <w:r>
        <w:rPr>
          <w:sz w:val="24"/>
        </w:rPr>
        <w:t>as</w:t>
      </w:r>
      <w:r>
        <w:rPr>
          <w:spacing w:val="-4"/>
          <w:sz w:val="24"/>
        </w:rPr>
        <w:t xml:space="preserve"> </w:t>
      </w:r>
      <w:r>
        <w:rPr>
          <w:sz w:val="24"/>
        </w:rPr>
        <w:t>the</w:t>
      </w:r>
      <w:r>
        <w:rPr>
          <w:spacing w:val="-2"/>
          <w:sz w:val="24"/>
        </w:rPr>
        <w:t xml:space="preserve"> </w:t>
      </w:r>
      <w:r>
        <w:rPr>
          <w:sz w:val="24"/>
        </w:rPr>
        <w:t>amount of such deductible. Do not enter an estimate of the actual Medicare-defined deductible for 2027 or leave the cell blank.</w:t>
      </w:r>
    </w:p>
    <w:p>
      <w:pPr>
        <w:pStyle w:val="ListParagraph"/>
        <w:numPr>
          <w:ilvl w:val="1"/>
          <w:numId w:val="43"/>
        </w:numPr>
        <w:tabs>
          <w:tab w:val="left" w:pos="1584"/>
        </w:tabs>
        <w:spacing w:before="1" w:after="0" w:line="240" w:lineRule="auto"/>
        <w:ind w:left="1584" w:right="0" w:hanging="360"/>
        <w:jc w:val="left"/>
        <w:rPr>
          <w:sz w:val="24"/>
        </w:rPr>
      </w:pPr>
      <w:r>
        <w:rPr>
          <w:sz w:val="24"/>
        </w:rPr>
        <w:t>A</w:t>
      </w:r>
      <w:r>
        <w:rPr>
          <w:spacing w:val="-2"/>
          <w:sz w:val="24"/>
        </w:rPr>
        <w:t xml:space="preserve"> </w:t>
      </w:r>
      <w:r>
        <w:rPr>
          <w:sz w:val="24"/>
        </w:rPr>
        <w:t>dollar</w:t>
      </w:r>
      <w:r>
        <w:rPr>
          <w:spacing w:val="-3"/>
          <w:sz w:val="24"/>
        </w:rPr>
        <w:t xml:space="preserve"> </w:t>
      </w:r>
      <w:r>
        <w:rPr>
          <w:sz w:val="24"/>
        </w:rPr>
        <w:t>amount, enter</w:t>
      </w:r>
      <w:r>
        <w:rPr>
          <w:spacing w:val="-3"/>
          <w:sz w:val="24"/>
        </w:rPr>
        <w:t xml:space="preserve"> </w:t>
      </w:r>
      <w:r>
        <w:rPr>
          <w:sz w:val="24"/>
        </w:rPr>
        <w:t>that value—for</w:t>
      </w:r>
      <w:r>
        <w:rPr>
          <w:spacing w:val="-1"/>
          <w:sz w:val="24"/>
        </w:rPr>
        <w:t xml:space="preserve"> </w:t>
      </w:r>
      <w:r>
        <w:rPr>
          <w:sz w:val="24"/>
        </w:rPr>
        <w:t>example,</w:t>
      </w:r>
      <w:r>
        <w:rPr>
          <w:spacing w:val="2"/>
          <w:sz w:val="24"/>
        </w:rPr>
        <w:t xml:space="preserve"> </w:t>
      </w:r>
      <w:r>
        <w:rPr>
          <w:spacing w:val="-2"/>
          <w:sz w:val="24"/>
        </w:rPr>
        <w:t>“$500.”</w:t>
      </w:r>
    </w:p>
    <w:p>
      <w:pPr>
        <w:pStyle w:val="BodyText"/>
        <w:spacing w:before="120"/>
        <w:ind w:right="1481"/>
      </w:pPr>
      <w:r>
        <w:t>If</w:t>
      </w:r>
      <w:r>
        <w:rPr>
          <w:spacing w:val="-3"/>
        </w:rPr>
        <w:t xml:space="preserve"> </w:t>
      </w:r>
      <w:r>
        <w:t>entry</w:t>
      </w:r>
      <w:r>
        <w:rPr>
          <w:spacing w:val="-2"/>
        </w:rPr>
        <w:t xml:space="preserve"> </w:t>
      </w:r>
      <w:r>
        <w:t>in</w:t>
      </w:r>
      <w:r>
        <w:rPr>
          <w:spacing w:val="-2"/>
        </w:rPr>
        <w:t xml:space="preserve"> </w:t>
      </w:r>
      <w:r>
        <w:t>the</w:t>
      </w:r>
      <w:r>
        <w:rPr>
          <w:spacing w:val="-3"/>
        </w:rPr>
        <w:t xml:space="preserve"> </w:t>
      </w:r>
      <w:r>
        <w:t>BPT</w:t>
      </w:r>
      <w:r>
        <w:rPr>
          <w:spacing w:val="-2"/>
        </w:rPr>
        <w:t xml:space="preserve"> </w:t>
      </w:r>
      <w:r>
        <w:t>of</w:t>
      </w:r>
      <w:r>
        <w:rPr>
          <w:spacing w:val="-3"/>
        </w:rPr>
        <w:t xml:space="preserve"> </w:t>
      </w:r>
      <w:r>
        <w:t>a</w:t>
      </w:r>
      <w:r>
        <w:rPr>
          <w:spacing w:val="-3"/>
        </w:rPr>
        <w:t xml:space="preserve"> </w:t>
      </w:r>
      <w:r>
        <w:t>deductible</w:t>
      </w:r>
      <w:r>
        <w:rPr>
          <w:spacing w:val="-2"/>
        </w:rPr>
        <w:t xml:space="preserve"> </w:t>
      </w:r>
      <w:r>
        <w:t>amount</w:t>
      </w:r>
      <w:r>
        <w:rPr>
          <w:spacing w:val="-2"/>
        </w:rPr>
        <w:t xml:space="preserve"> </w:t>
      </w:r>
      <w:r>
        <w:t>is</w:t>
      </w:r>
      <w:r>
        <w:rPr>
          <w:spacing w:val="-3"/>
        </w:rPr>
        <w:t xml:space="preserve"> </w:t>
      </w:r>
      <w:r>
        <w:t>not</w:t>
      </w:r>
      <w:r>
        <w:rPr>
          <w:spacing w:val="-2"/>
        </w:rPr>
        <w:t xml:space="preserve"> </w:t>
      </w:r>
      <w:r>
        <w:t>required,</w:t>
      </w:r>
      <w:r>
        <w:rPr>
          <w:spacing w:val="-2"/>
        </w:rPr>
        <w:t xml:space="preserve"> </w:t>
      </w:r>
      <w:r>
        <w:t>leave</w:t>
      </w:r>
      <w:r>
        <w:rPr>
          <w:spacing w:val="-3"/>
        </w:rPr>
        <w:t xml:space="preserve"> </w:t>
      </w:r>
      <w:r>
        <w:t>the</w:t>
      </w:r>
      <w:r>
        <w:rPr>
          <w:spacing w:val="-2"/>
        </w:rPr>
        <w:t xml:space="preserve"> </w:t>
      </w:r>
      <w:r>
        <w:t>field</w:t>
      </w:r>
      <w:r>
        <w:rPr>
          <w:spacing w:val="-2"/>
        </w:rPr>
        <w:t xml:space="preserve"> </w:t>
      </w:r>
      <w:r>
        <w:t>blank.</w:t>
      </w:r>
      <w:r>
        <w:rPr>
          <w:spacing w:val="-2"/>
        </w:rPr>
        <w:t xml:space="preserve"> </w:t>
      </w:r>
      <w:r>
        <w:t>Do</w:t>
      </w:r>
      <w:r>
        <w:rPr>
          <w:spacing w:val="-2"/>
        </w:rPr>
        <w:t xml:space="preserve"> </w:t>
      </w:r>
      <w:r>
        <w:t>not</w:t>
      </w:r>
      <w:r>
        <w:rPr>
          <w:spacing w:val="-2"/>
        </w:rPr>
        <w:t xml:space="preserve"> </w:t>
      </w:r>
      <w:r>
        <w:t>enter zero (0) as the deductible amount.</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LPPO</w:t>
      </w:r>
      <w:r>
        <w:rPr>
          <w:rFonts w:ascii="Arial" w:hAnsi="Arial"/>
          <w:b/>
          <w:spacing w:val="-5"/>
          <w:sz w:val="21"/>
        </w:rPr>
        <w:t xml:space="preserve"> </w:t>
      </w:r>
      <w:r>
        <w:rPr>
          <w:rFonts w:ascii="Arial" w:hAnsi="Arial"/>
          <w:b/>
          <w:sz w:val="21"/>
        </w:rPr>
        <w:t>and</w:t>
      </w:r>
      <w:r>
        <w:rPr>
          <w:rFonts w:ascii="Arial" w:hAnsi="Arial"/>
          <w:b/>
          <w:spacing w:val="-3"/>
          <w:sz w:val="21"/>
        </w:rPr>
        <w:t xml:space="preserve"> </w:t>
      </w:r>
      <w:r>
        <w:rPr>
          <w:rFonts w:ascii="Arial" w:hAnsi="Arial"/>
          <w:b/>
          <w:sz w:val="21"/>
        </w:rPr>
        <w:t>RPPO</w:t>
      </w:r>
      <w:r>
        <w:rPr>
          <w:rFonts w:ascii="Arial" w:hAnsi="Arial"/>
          <w:b/>
          <w:spacing w:val="-3"/>
          <w:sz w:val="21"/>
        </w:rPr>
        <w:t xml:space="preserve"> </w:t>
      </w:r>
      <w:r>
        <w:rPr>
          <w:rFonts w:ascii="Arial" w:hAnsi="Arial"/>
          <w:b/>
          <w:sz w:val="21"/>
        </w:rPr>
        <w:t>Plan</w:t>
      </w:r>
      <w:r>
        <w:rPr>
          <w:rFonts w:ascii="Arial" w:hAnsi="Arial"/>
          <w:b/>
          <w:spacing w:val="-5"/>
          <w:sz w:val="21"/>
        </w:rPr>
        <w:t xml:space="preserve"> </w:t>
      </w:r>
      <w:r>
        <w:rPr>
          <w:rFonts w:ascii="Arial" w:hAnsi="Arial"/>
          <w:b/>
          <w:spacing w:val="-2"/>
          <w:sz w:val="21"/>
        </w:rPr>
        <w:t>Types</w:t>
      </w:r>
    </w:p>
    <w:p>
      <w:pPr>
        <w:pStyle w:val="BodyText"/>
        <w:spacing w:before="120"/>
        <w:ind w:left="1224" w:right="1759"/>
      </w:pPr>
      <w:r>
        <w:t>For a bid with an “LPPO” or a “RPPO” plan type, the deductible always applies to Medicare-covered</w:t>
      </w:r>
      <w:r>
        <w:rPr>
          <w:spacing w:val="-4"/>
        </w:rPr>
        <w:t xml:space="preserve"> </w:t>
      </w:r>
      <w:r>
        <w:t>out-of-network</w:t>
      </w:r>
      <w:r>
        <w:rPr>
          <w:spacing w:val="-4"/>
        </w:rPr>
        <w:t xml:space="preserve"> </w:t>
      </w:r>
      <w:r>
        <w:t>benefits.</w:t>
      </w:r>
      <w:r>
        <w:rPr>
          <w:spacing w:val="-4"/>
        </w:rPr>
        <w:t xml:space="preserve"> </w:t>
      </w:r>
      <w:r>
        <w:t>Therefore,</w:t>
      </w:r>
      <w:r>
        <w:rPr>
          <w:spacing w:val="-4"/>
        </w:rPr>
        <w:t xml:space="preserve"> </w:t>
      </w:r>
      <w:r>
        <w:t>consistent</w:t>
      </w:r>
      <w:r>
        <w:rPr>
          <w:spacing w:val="-4"/>
        </w:rPr>
        <w:t xml:space="preserve"> </w:t>
      </w:r>
      <w:r>
        <w:t>with</w:t>
      </w:r>
      <w:r>
        <w:rPr>
          <w:spacing w:val="-4"/>
        </w:rPr>
        <w:t xml:space="preserve"> </w:t>
      </w:r>
      <w:r>
        <w:t>the</w:t>
      </w:r>
      <w:r>
        <w:rPr>
          <w:spacing w:val="-4"/>
        </w:rPr>
        <w:t xml:space="preserve"> </w:t>
      </w:r>
      <w:r>
        <w:t>PBP,</w:t>
      </w:r>
      <w:r>
        <w:rPr>
          <w:spacing w:val="-4"/>
        </w:rPr>
        <w:t xml:space="preserve"> </w:t>
      </w:r>
      <w:r>
        <w:t>if</w:t>
      </w:r>
      <w:r>
        <w:rPr>
          <w:spacing w:val="-5"/>
        </w:rPr>
        <w:t xml:space="preserve"> </w:t>
      </w:r>
      <w:r>
        <w:t xml:space="preserve">the </w:t>
      </w:r>
      <w:r>
        <w:rPr>
          <w:spacing w:val="-2"/>
        </w:rPr>
        <w:t>deductible—</w:t>
      </w:r>
    </w:p>
    <w:p>
      <w:pPr>
        <w:pStyle w:val="ListParagraph"/>
        <w:numPr>
          <w:ilvl w:val="1"/>
          <w:numId w:val="43"/>
        </w:numPr>
        <w:tabs>
          <w:tab w:val="left" w:pos="1584"/>
        </w:tabs>
        <w:spacing w:before="120" w:after="0" w:line="240" w:lineRule="auto"/>
        <w:ind w:left="1584" w:right="1440" w:hanging="360"/>
        <w:jc w:val="left"/>
        <w:rPr>
          <w:sz w:val="24"/>
        </w:rPr>
      </w:pPr>
      <w:r>
        <w:rPr>
          <w:sz w:val="24"/>
        </w:rPr>
        <w:t>Applies</w:t>
      </w:r>
      <w:r>
        <w:rPr>
          <w:spacing w:val="-4"/>
          <w:sz w:val="24"/>
        </w:rPr>
        <w:t xml:space="preserve"> </w:t>
      </w:r>
      <w:r>
        <w:rPr>
          <w:sz w:val="24"/>
        </w:rPr>
        <w:t>to</w:t>
      </w:r>
      <w:r>
        <w:rPr>
          <w:spacing w:val="-3"/>
          <w:sz w:val="24"/>
        </w:rPr>
        <w:t xml:space="preserve"> </w:t>
      </w:r>
      <w:r>
        <w:rPr>
          <w:sz w:val="24"/>
        </w:rPr>
        <w:t>one</w:t>
      </w:r>
      <w:r>
        <w:rPr>
          <w:spacing w:val="-4"/>
          <w:sz w:val="24"/>
        </w:rPr>
        <w:t xml:space="preserve"> </w:t>
      </w:r>
      <w:r>
        <w:rPr>
          <w:sz w:val="24"/>
        </w:rPr>
        <w:t>or</w:t>
      </w:r>
      <w:r>
        <w:rPr>
          <w:spacing w:val="-3"/>
          <w:sz w:val="24"/>
        </w:rPr>
        <w:t xml:space="preserve"> </w:t>
      </w:r>
      <w:r>
        <w:rPr>
          <w:sz w:val="24"/>
        </w:rPr>
        <w:t>more</w:t>
      </w:r>
      <w:r>
        <w:rPr>
          <w:spacing w:val="-4"/>
          <w:sz w:val="24"/>
        </w:rPr>
        <w:t xml:space="preserve"> </w:t>
      </w:r>
      <w:r>
        <w:rPr>
          <w:sz w:val="24"/>
        </w:rPr>
        <w:t>in-network</w:t>
      </w:r>
      <w:r>
        <w:rPr>
          <w:spacing w:val="-4"/>
          <w:sz w:val="24"/>
        </w:rPr>
        <w:t xml:space="preserve"> </w:t>
      </w:r>
      <w:r>
        <w:rPr>
          <w:sz w:val="24"/>
        </w:rPr>
        <w:t>benefits,</w:t>
      </w:r>
      <w:r>
        <w:rPr>
          <w:spacing w:val="-2"/>
          <w:sz w:val="24"/>
        </w:rPr>
        <w:t xml:space="preserve"> </w:t>
      </w:r>
      <w:r>
        <w:rPr>
          <w:sz w:val="24"/>
        </w:rPr>
        <w:t>such</w:t>
      </w:r>
      <w:r>
        <w:rPr>
          <w:spacing w:val="-1"/>
          <w:sz w:val="24"/>
        </w:rPr>
        <w:t xml:space="preserve"> </w:t>
      </w:r>
      <w:r>
        <w:rPr>
          <w:sz w:val="24"/>
        </w:rPr>
        <w:t>deductible</w:t>
      </w:r>
      <w:r>
        <w:rPr>
          <w:spacing w:val="-4"/>
          <w:sz w:val="24"/>
        </w:rPr>
        <w:t xml:space="preserve"> </w:t>
      </w:r>
      <w:r>
        <w:rPr>
          <w:sz w:val="24"/>
        </w:rPr>
        <w:t>is</w:t>
      </w:r>
      <w:r>
        <w:rPr>
          <w:spacing w:val="-4"/>
          <w:sz w:val="24"/>
        </w:rPr>
        <w:t xml:space="preserve"> </w:t>
      </w:r>
      <w:r>
        <w:rPr>
          <w:sz w:val="24"/>
        </w:rPr>
        <w:t>similar</w:t>
      </w:r>
      <w:r>
        <w:rPr>
          <w:spacing w:val="-3"/>
          <w:sz w:val="24"/>
        </w:rPr>
        <w:t xml:space="preserve"> </w:t>
      </w:r>
      <w:r>
        <w:rPr>
          <w:sz w:val="24"/>
        </w:rPr>
        <w:t>to</w:t>
      </w:r>
      <w:r>
        <w:rPr>
          <w:spacing w:val="-2"/>
          <w:sz w:val="24"/>
        </w:rPr>
        <w:t xml:space="preserve"> </w:t>
      </w:r>
      <w:r>
        <w:rPr>
          <w:sz w:val="24"/>
        </w:rPr>
        <w:t>a</w:t>
      </w:r>
      <w:r>
        <w:rPr>
          <w:spacing w:val="-4"/>
          <w:sz w:val="24"/>
        </w:rPr>
        <w:t xml:space="preserve"> </w:t>
      </w:r>
      <w:r>
        <w:rPr>
          <w:sz w:val="24"/>
        </w:rPr>
        <w:t>combined deductible. In this case, —</w:t>
      </w:r>
    </w:p>
    <w:p>
      <w:pPr>
        <w:pStyle w:val="ListParagraph"/>
        <w:numPr>
          <w:ilvl w:val="2"/>
          <w:numId w:val="43"/>
        </w:numPr>
        <w:tabs>
          <w:tab w:val="left" w:pos="1944"/>
        </w:tabs>
        <w:spacing w:before="0" w:after="0" w:line="240" w:lineRule="auto"/>
        <w:ind w:left="1944" w:right="0" w:hanging="360"/>
        <w:jc w:val="left"/>
        <w:rPr>
          <w:sz w:val="24"/>
        </w:rPr>
      </w:pPr>
      <w:r>
        <w:rPr>
          <w:sz w:val="24"/>
        </w:rPr>
        <w:t>Enter</w:t>
      </w:r>
      <w:r>
        <w:rPr>
          <w:spacing w:val="-5"/>
          <w:sz w:val="24"/>
        </w:rPr>
        <w:t xml:space="preserve"> </w:t>
      </w:r>
      <w:r>
        <w:rPr>
          <w:sz w:val="24"/>
        </w:rPr>
        <w:t>in column h,</w:t>
      </w:r>
      <w:r>
        <w:rPr>
          <w:spacing w:val="-1"/>
          <w:sz w:val="24"/>
        </w:rPr>
        <w:t xml:space="preserve"> </w:t>
      </w:r>
      <w:r>
        <w:rPr>
          <w:sz w:val="24"/>
        </w:rPr>
        <w:t>“Actual</w:t>
      </w:r>
      <w:r>
        <w:rPr>
          <w:spacing w:val="-1"/>
          <w:sz w:val="24"/>
        </w:rPr>
        <w:t xml:space="preserve"> </w:t>
      </w:r>
      <w:r>
        <w:rPr>
          <w:sz w:val="24"/>
        </w:rPr>
        <w:t>combined plan</w:t>
      </w:r>
      <w:r>
        <w:rPr>
          <w:spacing w:val="-1"/>
          <w:sz w:val="24"/>
        </w:rPr>
        <w:t xml:space="preserve"> </w:t>
      </w:r>
      <w:r>
        <w:rPr>
          <w:sz w:val="24"/>
        </w:rPr>
        <w:t>deductible,”</w:t>
      </w:r>
      <w:r>
        <w:rPr>
          <w:spacing w:val="-2"/>
          <w:sz w:val="24"/>
        </w:rPr>
        <w:t xml:space="preserve"> </w:t>
      </w:r>
      <w:r>
        <w:rPr>
          <w:sz w:val="24"/>
        </w:rPr>
        <w:t>the deductible</w:t>
      </w:r>
      <w:r>
        <w:rPr>
          <w:spacing w:val="-1"/>
          <w:sz w:val="24"/>
        </w:rPr>
        <w:t xml:space="preserve"> </w:t>
      </w:r>
      <w:r>
        <w:rPr>
          <w:sz w:val="24"/>
        </w:rPr>
        <w:t xml:space="preserve">amount </w:t>
      </w:r>
      <w:r>
        <w:rPr>
          <w:spacing w:val="-5"/>
          <w:sz w:val="24"/>
        </w:rPr>
        <w:t>or</w:t>
      </w:r>
    </w:p>
    <w:p>
      <w:pPr>
        <w:pStyle w:val="BodyText"/>
        <w:ind w:left="1944"/>
      </w:pPr>
      <w:r>
        <w:t>“Medicare</w:t>
      </w:r>
      <w:r>
        <w:rPr>
          <w:spacing w:val="-2"/>
        </w:rPr>
        <w:t xml:space="preserve"> FFS”.</w:t>
      </w:r>
    </w:p>
    <w:p>
      <w:pPr>
        <w:pStyle w:val="ListParagraph"/>
        <w:numPr>
          <w:ilvl w:val="2"/>
          <w:numId w:val="43"/>
        </w:numPr>
        <w:tabs>
          <w:tab w:val="left" w:pos="1944"/>
        </w:tabs>
        <w:spacing w:before="0" w:after="0" w:line="240" w:lineRule="auto"/>
        <w:ind w:left="1944" w:right="0" w:hanging="360"/>
        <w:jc w:val="left"/>
        <w:rPr>
          <w:sz w:val="24"/>
        </w:rPr>
      </w:pPr>
      <w:r>
        <w:rPr>
          <w:sz w:val="24"/>
        </w:rPr>
        <w:t>Leave</w:t>
      </w:r>
      <w:r>
        <w:rPr>
          <w:spacing w:val="-4"/>
          <w:sz w:val="24"/>
        </w:rPr>
        <w:t xml:space="preserve"> </w:t>
      </w:r>
      <w:r>
        <w:rPr>
          <w:sz w:val="24"/>
        </w:rPr>
        <w:t>blank</w:t>
      </w:r>
      <w:r>
        <w:rPr>
          <w:spacing w:val="1"/>
          <w:sz w:val="24"/>
        </w:rPr>
        <w:t xml:space="preserve"> </w:t>
      </w:r>
      <w:r>
        <w:rPr>
          <w:sz w:val="24"/>
        </w:rPr>
        <w:t>column</w:t>
      </w:r>
      <w:r>
        <w:rPr>
          <w:spacing w:val="-1"/>
          <w:sz w:val="24"/>
        </w:rPr>
        <w:t xml:space="preserve"> </w:t>
      </w:r>
      <w:r>
        <w:rPr>
          <w:sz w:val="24"/>
        </w:rPr>
        <w:t>k,</w:t>
      </w:r>
      <w:r>
        <w:rPr>
          <w:spacing w:val="-1"/>
          <w:sz w:val="24"/>
        </w:rPr>
        <w:t xml:space="preserve"> </w:t>
      </w:r>
      <w:r>
        <w:rPr>
          <w:sz w:val="24"/>
        </w:rPr>
        <w:t>“Actual in-network</w:t>
      </w:r>
      <w:r>
        <w:rPr>
          <w:spacing w:val="-2"/>
          <w:sz w:val="24"/>
        </w:rPr>
        <w:t xml:space="preserve"> </w:t>
      </w:r>
      <w:r>
        <w:rPr>
          <w:sz w:val="24"/>
        </w:rPr>
        <w:t>plan</w:t>
      </w:r>
      <w:r>
        <w:rPr>
          <w:spacing w:val="-1"/>
          <w:sz w:val="24"/>
        </w:rPr>
        <w:t xml:space="preserve"> </w:t>
      </w:r>
      <w:r>
        <w:rPr>
          <w:sz w:val="24"/>
        </w:rPr>
        <w:t>deductible”</w:t>
      </w:r>
      <w:r>
        <w:rPr>
          <w:spacing w:val="-3"/>
          <w:sz w:val="24"/>
        </w:rPr>
        <w:t xml:space="preserve"> </w:t>
      </w:r>
      <w:r>
        <w:rPr>
          <w:sz w:val="24"/>
        </w:rPr>
        <w:t>and</w:t>
      </w:r>
      <w:r>
        <w:rPr>
          <w:spacing w:val="1"/>
          <w:sz w:val="24"/>
        </w:rPr>
        <w:t xml:space="preserve"> </w:t>
      </w:r>
      <w:r>
        <w:rPr>
          <w:sz w:val="24"/>
        </w:rPr>
        <w:t>column</w:t>
      </w:r>
      <w:r>
        <w:rPr>
          <w:spacing w:val="1"/>
          <w:sz w:val="24"/>
        </w:rPr>
        <w:t xml:space="preserve"> </w:t>
      </w:r>
      <w:r>
        <w:rPr>
          <w:spacing w:val="-5"/>
          <w:sz w:val="24"/>
        </w:rPr>
        <w:t>n,</w:t>
      </w:r>
    </w:p>
    <w:p>
      <w:pPr>
        <w:pStyle w:val="BodyText"/>
        <w:ind w:left="1944"/>
      </w:pPr>
      <w:r>
        <w:t>“Actual</w:t>
      </w:r>
      <w:r>
        <w:rPr>
          <w:spacing w:val="-1"/>
        </w:rPr>
        <w:t xml:space="preserve"> </w:t>
      </w:r>
      <w:r>
        <w:t>OON</w:t>
      </w:r>
      <w:r>
        <w:rPr>
          <w:spacing w:val="-2"/>
        </w:rPr>
        <w:t xml:space="preserve"> </w:t>
      </w:r>
      <w:r>
        <w:t>plan</w:t>
      </w:r>
      <w:r>
        <w:rPr>
          <w:spacing w:val="-1"/>
        </w:rPr>
        <w:t xml:space="preserve"> </w:t>
      </w:r>
      <w:r>
        <w:rPr>
          <w:spacing w:val="-2"/>
        </w:rPr>
        <w:t>deductible.”</w:t>
      </w:r>
    </w:p>
    <w:p>
      <w:pPr>
        <w:pStyle w:val="ListParagraph"/>
        <w:numPr>
          <w:ilvl w:val="1"/>
          <w:numId w:val="43"/>
        </w:numPr>
        <w:tabs>
          <w:tab w:val="left" w:pos="1584"/>
        </w:tabs>
        <w:spacing w:before="0" w:after="0" w:line="240" w:lineRule="auto"/>
        <w:ind w:left="1584" w:right="2433" w:hanging="360"/>
        <w:jc w:val="left"/>
        <w:rPr>
          <w:sz w:val="24"/>
        </w:rPr>
      </w:pPr>
      <w:r>
        <w:rPr>
          <w:sz w:val="24"/>
        </w:rPr>
        <w:t>Does</w:t>
      </w:r>
      <w:r>
        <w:rPr>
          <w:spacing w:val="-4"/>
          <w:sz w:val="24"/>
        </w:rPr>
        <w:t xml:space="preserve"> </w:t>
      </w:r>
      <w:r>
        <w:rPr>
          <w:sz w:val="24"/>
        </w:rPr>
        <w:t>not</w:t>
      </w:r>
      <w:r>
        <w:rPr>
          <w:spacing w:val="-3"/>
          <w:sz w:val="24"/>
        </w:rPr>
        <w:t xml:space="preserve"> </w:t>
      </w:r>
      <w:r>
        <w:rPr>
          <w:sz w:val="24"/>
        </w:rPr>
        <w:t>apply</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in-network</w:t>
      </w:r>
      <w:r>
        <w:rPr>
          <w:spacing w:val="-4"/>
          <w:sz w:val="24"/>
        </w:rPr>
        <w:t xml:space="preserve"> </w:t>
      </w:r>
      <w:r>
        <w:rPr>
          <w:sz w:val="24"/>
        </w:rPr>
        <w:t>benefits,</w:t>
      </w:r>
      <w:r>
        <w:rPr>
          <w:spacing w:val="-2"/>
          <w:sz w:val="24"/>
        </w:rPr>
        <w:t xml:space="preserve"> </w:t>
      </w:r>
      <w:r>
        <w:rPr>
          <w:sz w:val="24"/>
        </w:rPr>
        <w:t>such</w:t>
      </w:r>
      <w:r>
        <w:rPr>
          <w:spacing w:val="-4"/>
          <w:sz w:val="24"/>
        </w:rPr>
        <w:t xml:space="preserve"> </w:t>
      </w:r>
      <w:r>
        <w:rPr>
          <w:sz w:val="24"/>
        </w:rPr>
        <w:t>deductible</w:t>
      </w:r>
      <w:r>
        <w:rPr>
          <w:spacing w:val="-4"/>
          <w:sz w:val="24"/>
        </w:rPr>
        <w:t xml:space="preserve"> </w:t>
      </w:r>
      <w:r>
        <w:rPr>
          <w:sz w:val="24"/>
        </w:rPr>
        <w:t>is</w:t>
      </w:r>
      <w:r>
        <w:rPr>
          <w:spacing w:val="-4"/>
          <w:sz w:val="24"/>
        </w:rPr>
        <w:t xml:space="preserve"> </w:t>
      </w:r>
      <w:r>
        <w:rPr>
          <w:sz w:val="24"/>
        </w:rPr>
        <w:t>similar</w:t>
      </w:r>
      <w:r>
        <w:rPr>
          <w:spacing w:val="-3"/>
          <w:sz w:val="24"/>
        </w:rPr>
        <w:t xml:space="preserve"> </w:t>
      </w:r>
      <w:r>
        <w:rPr>
          <w:sz w:val="24"/>
        </w:rPr>
        <w:t>to</w:t>
      </w:r>
      <w:r>
        <w:rPr>
          <w:spacing w:val="-2"/>
          <w:sz w:val="24"/>
        </w:rPr>
        <w:t xml:space="preserve"> </w:t>
      </w:r>
      <w:r>
        <w:rPr>
          <w:sz w:val="24"/>
        </w:rPr>
        <w:t>an out-of-network deductible. In this case, —</w:t>
      </w:r>
    </w:p>
    <w:p>
      <w:pPr>
        <w:pStyle w:val="ListParagraph"/>
        <w:numPr>
          <w:ilvl w:val="2"/>
          <w:numId w:val="43"/>
        </w:numPr>
        <w:tabs>
          <w:tab w:val="left" w:pos="1944"/>
        </w:tabs>
        <w:spacing w:before="0" w:after="0" w:line="240" w:lineRule="auto"/>
        <w:ind w:left="1944" w:right="0" w:hanging="360"/>
        <w:jc w:val="left"/>
        <w:rPr>
          <w:sz w:val="24"/>
        </w:rPr>
      </w:pPr>
      <w:r>
        <w:rPr>
          <w:sz w:val="24"/>
        </w:rPr>
        <w:t>Leave</w:t>
      </w:r>
      <w:r>
        <w:rPr>
          <w:spacing w:val="-4"/>
          <w:sz w:val="24"/>
        </w:rPr>
        <w:t xml:space="preserve"> </w:t>
      </w:r>
      <w:r>
        <w:rPr>
          <w:sz w:val="24"/>
        </w:rPr>
        <w:t>blank column</w:t>
      </w:r>
      <w:r>
        <w:rPr>
          <w:spacing w:val="-1"/>
          <w:sz w:val="24"/>
        </w:rPr>
        <w:t xml:space="preserve"> </w:t>
      </w:r>
      <w:r>
        <w:rPr>
          <w:sz w:val="24"/>
        </w:rPr>
        <w:t>h,</w:t>
      </w:r>
      <w:r>
        <w:rPr>
          <w:spacing w:val="-1"/>
          <w:sz w:val="24"/>
        </w:rPr>
        <w:t xml:space="preserve"> </w:t>
      </w:r>
      <w:r>
        <w:rPr>
          <w:sz w:val="24"/>
        </w:rPr>
        <w:t>“Actual combined</w:t>
      </w:r>
      <w:r>
        <w:rPr>
          <w:spacing w:val="-1"/>
          <w:sz w:val="24"/>
        </w:rPr>
        <w:t xml:space="preserve"> </w:t>
      </w:r>
      <w:r>
        <w:rPr>
          <w:sz w:val="24"/>
        </w:rPr>
        <w:t>plan</w:t>
      </w:r>
      <w:r>
        <w:rPr>
          <w:spacing w:val="-1"/>
          <w:sz w:val="24"/>
        </w:rPr>
        <w:t xml:space="preserve"> </w:t>
      </w:r>
      <w:r>
        <w:rPr>
          <w:sz w:val="24"/>
        </w:rPr>
        <w:t>deductible”</w:t>
      </w:r>
      <w:r>
        <w:rPr>
          <w:spacing w:val="-3"/>
          <w:sz w:val="24"/>
        </w:rPr>
        <w:t xml:space="preserve"> </w:t>
      </w:r>
      <w:r>
        <w:rPr>
          <w:sz w:val="24"/>
        </w:rPr>
        <w:t>and</w:t>
      </w:r>
      <w:r>
        <w:rPr>
          <w:spacing w:val="-1"/>
          <w:sz w:val="24"/>
        </w:rPr>
        <w:t xml:space="preserve"> </w:t>
      </w:r>
      <w:r>
        <w:rPr>
          <w:sz w:val="24"/>
        </w:rPr>
        <w:t>column</w:t>
      </w:r>
      <w:r>
        <w:rPr>
          <w:spacing w:val="3"/>
          <w:sz w:val="24"/>
        </w:rPr>
        <w:t xml:space="preserve"> </w:t>
      </w:r>
      <w:r>
        <w:rPr>
          <w:spacing w:val="-5"/>
          <w:sz w:val="24"/>
        </w:rPr>
        <w:t>k,</w:t>
      </w:r>
    </w:p>
    <w:p>
      <w:pPr>
        <w:pStyle w:val="BodyText"/>
        <w:ind w:left="1944"/>
      </w:pPr>
      <w:r>
        <w:t>“Actual</w:t>
      </w:r>
      <w:r>
        <w:rPr>
          <w:spacing w:val="-2"/>
        </w:rPr>
        <w:t xml:space="preserve"> </w:t>
      </w:r>
      <w:r>
        <w:t>in-network</w:t>
      </w:r>
      <w:r>
        <w:rPr>
          <w:spacing w:val="-1"/>
        </w:rPr>
        <w:t xml:space="preserve"> </w:t>
      </w:r>
      <w:r>
        <w:t>plan</w:t>
      </w:r>
      <w:r>
        <w:rPr>
          <w:spacing w:val="1"/>
        </w:rPr>
        <w:t xml:space="preserve"> </w:t>
      </w:r>
      <w:r>
        <w:rPr>
          <w:spacing w:val="-2"/>
        </w:rPr>
        <w:t>deductible.”</w:t>
      </w:r>
    </w:p>
    <w:p>
      <w:pPr>
        <w:pStyle w:val="ListParagraph"/>
        <w:numPr>
          <w:ilvl w:val="2"/>
          <w:numId w:val="43"/>
        </w:numPr>
        <w:tabs>
          <w:tab w:val="left" w:pos="1944"/>
        </w:tabs>
        <w:spacing w:before="0" w:after="0" w:line="240" w:lineRule="auto"/>
        <w:ind w:left="1944" w:right="0" w:hanging="360"/>
        <w:jc w:val="left"/>
        <w:rPr>
          <w:sz w:val="24"/>
        </w:rPr>
      </w:pPr>
      <w:r>
        <w:rPr>
          <w:sz w:val="24"/>
        </w:rPr>
        <w:t>Enter</w:t>
      </w:r>
      <w:r>
        <w:rPr>
          <w:spacing w:val="-2"/>
          <w:sz w:val="24"/>
        </w:rPr>
        <w:t xml:space="preserve"> </w:t>
      </w:r>
      <w:r>
        <w:rPr>
          <w:sz w:val="24"/>
        </w:rPr>
        <w:t>in</w:t>
      </w:r>
      <w:r>
        <w:rPr>
          <w:spacing w:val="-1"/>
          <w:sz w:val="24"/>
        </w:rPr>
        <w:t xml:space="preserve"> </w:t>
      </w:r>
      <w:r>
        <w:rPr>
          <w:sz w:val="24"/>
        </w:rPr>
        <w:t>column</w:t>
      </w:r>
      <w:r>
        <w:rPr>
          <w:spacing w:val="-1"/>
          <w:sz w:val="24"/>
        </w:rPr>
        <w:t xml:space="preserve"> </w:t>
      </w:r>
      <w:r>
        <w:rPr>
          <w:sz w:val="24"/>
        </w:rPr>
        <w:t>n,</w:t>
      </w:r>
      <w:r>
        <w:rPr>
          <w:spacing w:val="-1"/>
          <w:sz w:val="24"/>
        </w:rPr>
        <w:t xml:space="preserve"> </w:t>
      </w:r>
      <w:r>
        <w:rPr>
          <w:sz w:val="24"/>
        </w:rPr>
        <w:t>“Actual OON</w:t>
      </w:r>
      <w:r>
        <w:rPr>
          <w:spacing w:val="-2"/>
          <w:sz w:val="24"/>
        </w:rPr>
        <w:t xml:space="preserve"> </w:t>
      </w:r>
      <w:r>
        <w:rPr>
          <w:sz w:val="24"/>
        </w:rPr>
        <w:t>plan</w:t>
      </w:r>
      <w:r>
        <w:rPr>
          <w:spacing w:val="-1"/>
          <w:sz w:val="24"/>
        </w:rPr>
        <w:t xml:space="preserve"> </w:t>
      </w:r>
      <w:r>
        <w:rPr>
          <w:sz w:val="24"/>
        </w:rPr>
        <w:t>deductible,” the</w:t>
      </w:r>
      <w:r>
        <w:rPr>
          <w:spacing w:val="-1"/>
          <w:sz w:val="24"/>
        </w:rPr>
        <w:t xml:space="preserve"> </w:t>
      </w:r>
      <w:r>
        <w:rPr>
          <w:sz w:val="24"/>
        </w:rPr>
        <w:t>deductible</w:t>
      </w:r>
      <w:r>
        <w:rPr>
          <w:spacing w:val="-1"/>
          <w:sz w:val="24"/>
        </w:rPr>
        <w:t xml:space="preserve"> </w:t>
      </w:r>
      <w:r>
        <w:rPr>
          <w:sz w:val="24"/>
        </w:rPr>
        <w:t xml:space="preserve">amount </w:t>
      </w:r>
      <w:r>
        <w:rPr>
          <w:spacing w:val="-5"/>
          <w:sz w:val="24"/>
        </w:rPr>
        <w:t>or</w:t>
      </w:r>
    </w:p>
    <w:p>
      <w:pPr>
        <w:pStyle w:val="BodyText"/>
        <w:spacing w:before="1"/>
        <w:ind w:left="1944"/>
      </w:pPr>
      <w:r>
        <w:t>“Medicare</w:t>
      </w:r>
      <w:r>
        <w:rPr>
          <w:spacing w:val="-2"/>
        </w:rPr>
        <w:t xml:space="preserve"> FFS”.</w:t>
      </w:r>
    </w:p>
    <w:p>
      <w:pPr>
        <w:pStyle w:val="ListParagraph"/>
        <w:numPr>
          <w:ilvl w:val="0"/>
          <w:numId w:val="43"/>
        </w:numPr>
        <w:tabs>
          <w:tab w:val="left" w:pos="1223"/>
        </w:tabs>
        <w:spacing w:before="120" w:after="0" w:line="240" w:lineRule="auto"/>
        <w:ind w:left="1223" w:right="0" w:hanging="359"/>
        <w:jc w:val="left"/>
        <w:rPr>
          <w:rFonts w:ascii="Arial" w:hAnsi="Arial"/>
          <w:b/>
          <w:sz w:val="21"/>
        </w:rPr>
      </w:pPr>
      <w:r>
        <w:rPr>
          <w:rFonts w:ascii="Arial" w:hAnsi="Arial"/>
          <w:b/>
          <w:sz w:val="21"/>
        </w:rPr>
        <w:t>Plan</w:t>
      </w:r>
      <w:r>
        <w:rPr>
          <w:rFonts w:ascii="Arial" w:hAnsi="Arial"/>
          <w:b/>
          <w:spacing w:val="-8"/>
          <w:sz w:val="21"/>
        </w:rPr>
        <w:t xml:space="preserve"> </w:t>
      </w:r>
      <w:r>
        <w:rPr>
          <w:rFonts w:ascii="Arial" w:hAnsi="Arial"/>
          <w:b/>
          <w:sz w:val="21"/>
        </w:rPr>
        <w:t>Types</w:t>
      </w:r>
      <w:r>
        <w:rPr>
          <w:rFonts w:ascii="Arial" w:hAnsi="Arial"/>
          <w:b/>
          <w:spacing w:val="-4"/>
          <w:sz w:val="21"/>
        </w:rPr>
        <w:t xml:space="preserve"> </w:t>
      </w:r>
      <w:r>
        <w:rPr>
          <w:rFonts w:ascii="Arial" w:hAnsi="Arial"/>
          <w:b/>
          <w:sz w:val="21"/>
        </w:rPr>
        <w:t>Other</w:t>
      </w:r>
      <w:r>
        <w:rPr>
          <w:rFonts w:ascii="Arial" w:hAnsi="Arial"/>
          <w:b/>
          <w:spacing w:val="-7"/>
          <w:sz w:val="21"/>
        </w:rPr>
        <w:t xml:space="preserve"> </w:t>
      </w:r>
      <w:r>
        <w:rPr>
          <w:rFonts w:ascii="Arial" w:hAnsi="Arial"/>
          <w:b/>
          <w:sz w:val="21"/>
        </w:rPr>
        <w:t>Than</w:t>
      </w:r>
      <w:r>
        <w:rPr>
          <w:rFonts w:ascii="Arial" w:hAnsi="Arial"/>
          <w:b/>
          <w:spacing w:val="-6"/>
          <w:sz w:val="21"/>
        </w:rPr>
        <w:t xml:space="preserve"> </w:t>
      </w:r>
      <w:r>
        <w:rPr>
          <w:rFonts w:ascii="Arial" w:hAnsi="Arial"/>
          <w:b/>
          <w:sz w:val="21"/>
        </w:rPr>
        <w:t>LPPO</w:t>
      </w:r>
      <w:r>
        <w:rPr>
          <w:rFonts w:ascii="Arial" w:hAnsi="Arial"/>
          <w:b/>
          <w:spacing w:val="-5"/>
          <w:sz w:val="21"/>
        </w:rPr>
        <w:t xml:space="preserve"> </w:t>
      </w:r>
      <w:r>
        <w:rPr>
          <w:rFonts w:ascii="Arial" w:hAnsi="Arial"/>
          <w:b/>
          <w:sz w:val="21"/>
        </w:rPr>
        <w:t>and</w:t>
      </w:r>
      <w:r>
        <w:rPr>
          <w:rFonts w:ascii="Arial" w:hAnsi="Arial"/>
          <w:b/>
          <w:spacing w:val="-2"/>
          <w:sz w:val="21"/>
        </w:rPr>
        <w:t xml:space="preserve"> </w:t>
      </w:r>
      <w:r>
        <w:rPr>
          <w:rFonts w:ascii="Arial" w:hAnsi="Arial"/>
          <w:b/>
          <w:spacing w:val="-4"/>
          <w:sz w:val="21"/>
        </w:rPr>
        <w:t>RPPO</w:t>
      </w:r>
    </w:p>
    <w:p>
      <w:pPr>
        <w:pStyle w:val="BodyText"/>
        <w:spacing w:before="118"/>
        <w:ind w:left="1224"/>
      </w:pPr>
      <w:r>
        <w:t>Consistent</w:t>
      </w:r>
      <w:r>
        <w:rPr>
          <w:spacing w:val="-1"/>
        </w:rPr>
        <w:t xml:space="preserve"> </w:t>
      </w:r>
      <w:r>
        <w:t>with the</w:t>
      </w:r>
      <w:r>
        <w:rPr>
          <w:spacing w:val="-1"/>
        </w:rPr>
        <w:t xml:space="preserve"> </w:t>
      </w:r>
      <w:r>
        <w:t>PBP,</w:t>
      </w:r>
      <w:r>
        <w:rPr>
          <w:spacing w:val="-2"/>
        </w:rPr>
        <w:t xml:space="preserve"> </w:t>
      </w:r>
      <w:r>
        <w:rPr>
          <w:spacing w:val="-10"/>
        </w:rPr>
        <w:t>—</w:t>
      </w:r>
    </w:p>
    <w:p>
      <w:pPr>
        <w:pStyle w:val="ListParagraph"/>
        <w:numPr>
          <w:ilvl w:val="1"/>
          <w:numId w:val="43"/>
        </w:numPr>
        <w:tabs>
          <w:tab w:val="left" w:pos="1584"/>
        </w:tabs>
        <w:spacing w:before="120" w:after="0" w:line="240" w:lineRule="auto"/>
        <w:ind w:left="1584" w:right="0" w:hanging="360"/>
        <w:jc w:val="left"/>
        <w:rPr>
          <w:sz w:val="24"/>
        </w:rPr>
      </w:pPr>
      <w:r>
        <w:rPr>
          <w:sz w:val="24"/>
        </w:rPr>
        <w:t>Enter</w:t>
      </w:r>
      <w:r>
        <w:rPr>
          <w:spacing w:val="-5"/>
          <w:sz w:val="24"/>
        </w:rPr>
        <w:t xml:space="preserve"> </w:t>
      </w:r>
      <w:r>
        <w:rPr>
          <w:sz w:val="24"/>
        </w:rPr>
        <w:t>in column</w:t>
      </w:r>
      <w:r>
        <w:rPr>
          <w:spacing w:val="-1"/>
          <w:sz w:val="24"/>
        </w:rPr>
        <w:t xml:space="preserve"> </w:t>
      </w:r>
      <w:r>
        <w:rPr>
          <w:sz w:val="24"/>
        </w:rPr>
        <w:t>h</w:t>
      </w:r>
      <w:r>
        <w:rPr>
          <w:spacing w:val="1"/>
          <w:sz w:val="24"/>
        </w:rPr>
        <w:t xml:space="preserve"> </w:t>
      </w:r>
      <w:r>
        <w:rPr>
          <w:sz w:val="24"/>
        </w:rPr>
        <w:t>a</w:t>
      </w:r>
      <w:r>
        <w:rPr>
          <w:spacing w:val="-1"/>
          <w:sz w:val="24"/>
        </w:rPr>
        <w:t xml:space="preserve"> </w:t>
      </w:r>
      <w:r>
        <w:rPr>
          <w:sz w:val="24"/>
        </w:rPr>
        <w:t>combined</w:t>
      </w:r>
      <w:r>
        <w:rPr>
          <w:spacing w:val="-1"/>
          <w:sz w:val="24"/>
        </w:rPr>
        <w:t xml:space="preserve"> </w:t>
      </w:r>
      <w:r>
        <w:rPr>
          <w:sz w:val="24"/>
        </w:rPr>
        <w:t>plan deductible amount</w:t>
      </w:r>
      <w:r>
        <w:rPr>
          <w:spacing w:val="-1"/>
          <w:sz w:val="24"/>
        </w:rPr>
        <w:t xml:space="preserve"> </w:t>
      </w:r>
      <w:r>
        <w:rPr>
          <w:sz w:val="24"/>
        </w:rPr>
        <w:t>or</w:t>
      </w:r>
      <w:r>
        <w:rPr>
          <w:spacing w:val="-1"/>
          <w:sz w:val="24"/>
        </w:rPr>
        <w:t xml:space="preserve"> </w:t>
      </w:r>
      <w:r>
        <w:rPr>
          <w:sz w:val="24"/>
        </w:rPr>
        <w:t xml:space="preserve">“Medicare </w:t>
      </w:r>
      <w:r>
        <w:rPr>
          <w:spacing w:val="-2"/>
          <w:sz w:val="24"/>
        </w:rPr>
        <w:t>FFS”.</w:t>
      </w:r>
    </w:p>
    <w:p>
      <w:pPr>
        <w:pStyle w:val="ListParagraph"/>
        <w:numPr>
          <w:ilvl w:val="1"/>
          <w:numId w:val="43"/>
        </w:numPr>
        <w:tabs>
          <w:tab w:val="left" w:pos="1584"/>
        </w:tabs>
        <w:spacing w:before="1" w:after="0" w:line="240" w:lineRule="auto"/>
        <w:ind w:left="1584" w:right="0" w:hanging="360"/>
        <w:jc w:val="left"/>
        <w:rPr>
          <w:sz w:val="24"/>
        </w:rPr>
      </w:pPr>
      <w:r>
        <w:rPr>
          <w:sz w:val="24"/>
        </w:rPr>
        <w:t>Enter</w:t>
      </w:r>
      <w:r>
        <w:rPr>
          <w:spacing w:val="-3"/>
          <w:sz w:val="24"/>
        </w:rPr>
        <w:t xml:space="preserve"> </w:t>
      </w:r>
      <w:r>
        <w:rPr>
          <w:sz w:val="24"/>
        </w:rPr>
        <w:t>in</w:t>
      </w:r>
      <w:r>
        <w:rPr>
          <w:spacing w:val="-1"/>
          <w:sz w:val="24"/>
        </w:rPr>
        <w:t xml:space="preserve"> </w:t>
      </w:r>
      <w:r>
        <w:rPr>
          <w:sz w:val="24"/>
        </w:rPr>
        <w:t>column k</w:t>
      </w:r>
      <w:r>
        <w:rPr>
          <w:spacing w:val="-1"/>
          <w:sz w:val="24"/>
        </w:rPr>
        <w:t xml:space="preserve"> </w:t>
      </w:r>
      <w:r>
        <w:rPr>
          <w:sz w:val="24"/>
        </w:rPr>
        <w:t>an</w:t>
      </w:r>
      <w:r>
        <w:rPr>
          <w:spacing w:val="-1"/>
          <w:sz w:val="24"/>
        </w:rPr>
        <w:t xml:space="preserve"> </w:t>
      </w:r>
      <w:r>
        <w:rPr>
          <w:sz w:val="24"/>
        </w:rPr>
        <w:t>in-network</w:t>
      </w:r>
      <w:r>
        <w:rPr>
          <w:spacing w:val="-1"/>
          <w:sz w:val="24"/>
        </w:rPr>
        <w:t xml:space="preserve"> </w:t>
      </w:r>
      <w:r>
        <w:rPr>
          <w:sz w:val="24"/>
        </w:rPr>
        <w:t>plan</w:t>
      </w:r>
      <w:r>
        <w:rPr>
          <w:spacing w:val="-1"/>
          <w:sz w:val="24"/>
        </w:rPr>
        <w:t xml:space="preserve"> </w:t>
      </w:r>
      <w:r>
        <w:rPr>
          <w:sz w:val="24"/>
        </w:rPr>
        <w:t>deductible</w:t>
      </w:r>
      <w:r>
        <w:rPr>
          <w:spacing w:val="-1"/>
          <w:sz w:val="24"/>
        </w:rPr>
        <w:t xml:space="preserve"> </w:t>
      </w:r>
      <w:r>
        <w:rPr>
          <w:sz w:val="24"/>
        </w:rPr>
        <w:t>amount or</w:t>
      </w:r>
      <w:r>
        <w:rPr>
          <w:spacing w:val="-2"/>
          <w:sz w:val="24"/>
        </w:rPr>
        <w:t xml:space="preserve"> </w:t>
      </w:r>
      <w:r>
        <w:rPr>
          <w:sz w:val="24"/>
        </w:rPr>
        <w:t xml:space="preserve">“Medicare </w:t>
      </w:r>
      <w:r>
        <w:rPr>
          <w:spacing w:val="-2"/>
          <w:sz w:val="24"/>
        </w:rPr>
        <w:t>FFS”.</w:t>
      </w:r>
    </w:p>
    <w:p>
      <w:pPr>
        <w:pStyle w:val="ListParagraph"/>
        <w:numPr>
          <w:ilvl w:val="1"/>
          <w:numId w:val="43"/>
        </w:numPr>
        <w:tabs>
          <w:tab w:val="left" w:pos="1584"/>
        </w:tabs>
        <w:spacing w:before="0" w:after="0" w:line="240" w:lineRule="auto"/>
        <w:ind w:left="1584" w:right="0" w:hanging="360"/>
        <w:jc w:val="left"/>
        <w:rPr>
          <w:sz w:val="24"/>
        </w:rPr>
      </w:pPr>
      <w:r>
        <w:rPr>
          <w:sz w:val="24"/>
        </w:rPr>
        <w:t>Enter</w:t>
      </w:r>
      <w:r>
        <w:rPr>
          <w:spacing w:val="-3"/>
          <w:sz w:val="24"/>
        </w:rPr>
        <w:t xml:space="preserve"> </w:t>
      </w:r>
      <w:r>
        <w:rPr>
          <w:sz w:val="24"/>
        </w:rPr>
        <w:t>in</w:t>
      </w:r>
      <w:r>
        <w:rPr>
          <w:spacing w:val="-1"/>
          <w:sz w:val="24"/>
        </w:rPr>
        <w:t xml:space="preserve"> </w:t>
      </w:r>
      <w:r>
        <w:rPr>
          <w:sz w:val="24"/>
        </w:rPr>
        <w:t>column</w:t>
      </w:r>
      <w:r>
        <w:rPr>
          <w:spacing w:val="-1"/>
          <w:sz w:val="24"/>
        </w:rPr>
        <w:t xml:space="preserve"> </w:t>
      </w:r>
      <w:r>
        <w:rPr>
          <w:sz w:val="24"/>
        </w:rPr>
        <w:t>n an</w:t>
      </w:r>
      <w:r>
        <w:rPr>
          <w:spacing w:val="-1"/>
          <w:sz w:val="24"/>
        </w:rPr>
        <w:t xml:space="preserve"> </w:t>
      </w:r>
      <w:r>
        <w:rPr>
          <w:sz w:val="24"/>
        </w:rPr>
        <w:t>out-of-network</w:t>
      </w:r>
      <w:r>
        <w:rPr>
          <w:spacing w:val="-1"/>
          <w:sz w:val="24"/>
        </w:rPr>
        <w:t xml:space="preserve"> </w:t>
      </w:r>
      <w:r>
        <w:rPr>
          <w:sz w:val="24"/>
        </w:rPr>
        <w:t>plan</w:t>
      </w:r>
      <w:r>
        <w:rPr>
          <w:spacing w:val="-1"/>
          <w:sz w:val="24"/>
        </w:rPr>
        <w:t xml:space="preserve"> </w:t>
      </w:r>
      <w:r>
        <w:rPr>
          <w:sz w:val="24"/>
        </w:rPr>
        <w:t>deductible amount</w:t>
      </w:r>
      <w:r>
        <w:rPr>
          <w:spacing w:val="-1"/>
          <w:sz w:val="24"/>
        </w:rPr>
        <w:t xml:space="preserve"> </w:t>
      </w:r>
      <w:r>
        <w:rPr>
          <w:sz w:val="24"/>
        </w:rPr>
        <w:t>or</w:t>
      </w:r>
      <w:r>
        <w:rPr>
          <w:spacing w:val="-2"/>
          <w:sz w:val="24"/>
        </w:rPr>
        <w:t xml:space="preserve"> </w:t>
      </w:r>
      <w:r>
        <w:rPr>
          <w:sz w:val="24"/>
        </w:rPr>
        <w:t xml:space="preserve">“Medicare </w:t>
      </w:r>
      <w:r>
        <w:rPr>
          <w:spacing w:val="-2"/>
          <w:sz w:val="24"/>
        </w:rPr>
        <w:t>FFS”.</w:t>
      </w:r>
    </w:p>
    <w:p>
      <w:pPr>
        <w:spacing w:before="240"/>
        <w:ind w:left="504" w:right="0" w:firstLine="0"/>
        <w:jc w:val="left"/>
        <w:rPr>
          <w:rFonts w:ascii="Arial" w:hAnsi="Arial"/>
          <w:b/>
          <w:sz w:val="21"/>
        </w:rPr>
      </w:pPr>
      <w:bookmarkStart w:id="186" w:name="Line u – PMPM Impact of MOOP"/>
      <w:bookmarkEnd w:id="186"/>
      <w:r>
        <w:rPr>
          <w:rFonts w:ascii="Arial" w:hAnsi="Arial"/>
          <w:b/>
          <w:sz w:val="21"/>
        </w:rPr>
        <w:t>Line</w:t>
      </w:r>
      <w:r>
        <w:rPr>
          <w:rFonts w:ascii="Arial" w:hAnsi="Arial"/>
          <w:b/>
          <w:spacing w:val="-3"/>
          <w:sz w:val="21"/>
        </w:rPr>
        <w:t xml:space="preserve"> </w:t>
      </w:r>
      <w:r>
        <w:rPr>
          <w:rFonts w:ascii="Arial" w:hAnsi="Arial"/>
          <w:b/>
          <w:sz w:val="21"/>
        </w:rPr>
        <w:t>u</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PMPM</w:t>
      </w:r>
      <w:r>
        <w:rPr>
          <w:rFonts w:ascii="Arial" w:hAnsi="Arial"/>
          <w:b/>
          <w:spacing w:val="-3"/>
          <w:sz w:val="21"/>
        </w:rPr>
        <w:t xml:space="preserve"> </w:t>
      </w:r>
      <w:r>
        <w:rPr>
          <w:rFonts w:ascii="Arial" w:hAnsi="Arial"/>
          <w:b/>
          <w:sz w:val="21"/>
        </w:rPr>
        <w:t>Impact</w:t>
      </w:r>
      <w:r>
        <w:rPr>
          <w:rFonts w:ascii="Arial" w:hAnsi="Arial"/>
          <w:b/>
          <w:spacing w:val="-4"/>
          <w:sz w:val="21"/>
        </w:rPr>
        <w:t xml:space="preserve"> </w:t>
      </w:r>
      <w:r>
        <w:rPr>
          <w:rFonts w:ascii="Arial" w:hAnsi="Arial"/>
          <w:b/>
          <w:sz w:val="21"/>
        </w:rPr>
        <w:t>of</w:t>
      </w:r>
      <w:r>
        <w:rPr>
          <w:rFonts w:ascii="Arial" w:hAnsi="Arial"/>
          <w:b/>
          <w:spacing w:val="-3"/>
          <w:sz w:val="21"/>
        </w:rPr>
        <w:t xml:space="preserve"> </w:t>
      </w:r>
      <w:r>
        <w:rPr>
          <w:rFonts w:ascii="Arial" w:hAnsi="Arial"/>
          <w:b/>
          <w:spacing w:val="-4"/>
          <w:sz w:val="21"/>
        </w:rPr>
        <w:t>MOOP</w:t>
      </w:r>
    </w:p>
    <w:p>
      <w:pPr>
        <w:pStyle w:val="BodyText"/>
        <w:spacing w:before="121"/>
      </w:pPr>
      <w:r>
        <w:t>Consistent</w:t>
      </w:r>
      <w:r>
        <w:rPr>
          <w:spacing w:val="-1"/>
        </w:rPr>
        <w:t xml:space="preserve"> </w:t>
      </w:r>
      <w:r>
        <w:t>with</w:t>
      </w:r>
      <w:r>
        <w:rPr>
          <w:spacing w:val="-1"/>
        </w:rPr>
        <w:t xml:space="preserve"> </w:t>
      </w:r>
      <w:r>
        <w:t>the</w:t>
      </w:r>
      <w:r>
        <w:rPr>
          <w:spacing w:val="-1"/>
        </w:rPr>
        <w:t xml:space="preserve"> </w:t>
      </w:r>
      <w:r>
        <w:t>PBP,</w:t>
      </w:r>
      <w:r>
        <w:rPr>
          <w:spacing w:val="-2"/>
        </w:rPr>
        <w:t xml:space="preserve"> </w:t>
      </w:r>
      <w:r>
        <w:rPr>
          <w:spacing w:val="-10"/>
        </w:rPr>
        <w:t>—</w:t>
      </w:r>
    </w:p>
    <w:p>
      <w:pPr>
        <w:pStyle w:val="ListParagraph"/>
        <w:numPr>
          <w:ilvl w:val="1"/>
          <w:numId w:val="43"/>
        </w:numPr>
        <w:tabs>
          <w:tab w:val="left" w:pos="1584"/>
        </w:tabs>
        <w:spacing w:before="120" w:after="0" w:line="240" w:lineRule="auto"/>
        <w:ind w:left="1584" w:right="1769" w:hanging="360"/>
        <w:jc w:val="left"/>
        <w:rPr>
          <w:sz w:val="24"/>
        </w:rPr>
      </w:pPr>
      <w:r>
        <w:rPr>
          <w:sz w:val="24"/>
        </w:rPr>
        <w:t>Enter in column k the PMPM pricing impact of the in-network OOP maximum. Such</w:t>
      </w:r>
      <w:r>
        <w:rPr>
          <w:spacing w:val="-4"/>
          <w:sz w:val="24"/>
        </w:rPr>
        <w:t xml:space="preserve"> </w:t>
      </w:r>
      <w:r>
        <w:rPr>
          <w:sz w:val="24"/>
        </w:rPr>
        <w:t>value</w:t>
      </w:r>
      <w:r>
        <w:rPr>
          <w:spacing w:val="-4"/>
          <w:sz w:val="24"/>
        </w:rPr>
        <w:t xml:space="preserve"> </w:t>
      </w:r>
      <w:r>
        <w:rPr>
          <w:sz w:val="24"/>
        </w:rPr>
        <w:t>must</w:t>
      </w:r>
      <w:r>
        <w:rPr>
          <w:spacing w:val="-4"/>
          <w:sz w:val="24"/>
        </w:rPr>
        <w:t xml:space="preserve"> </w:t>
      </w:r>
      <w:r>
        <w:rPr>
          <w:sz w:val="24"/>
        </w:rPr>
        <w:t>reflect</w:t>
      </w:r>
      <w:r>
        <w:rPr>
          <w:spacing w:val="-4"/>
          <w:sz w:val="24"/>
        </w:rPr>
        <w:t xml:space="preserve"> </w:t>
      </w:r>
      <w:r>
        <w:rPr>
          <w:sz w:val="24"/>
        </w:rPr>
        <w:t>the</w:t>
      </w:r>
      <w:r>
        <w:rPr>
          <w:spacing w:val="-4"/>
          <w:sz w:val="24"/>
        </w:rPr>
        <w:t xml:space="preserve"> </w:t>
      </w:r>
      <w:r>
        <w:rPr>
          <w:sz w:val="24"/>
        </w:rPr>
        <w:t>PMPM</w:t>
      </w:r>
      <w:r>
        <w:rPr>
          <w:spacing w:val="-5"/>
          <w:sz w:val="24"/>
        </w:rPr>
        <w:t xml:space="preserve"> </w:t>
      </w:r>
      <w:r>
        <w:rPr>
          <w:sz w:val="24"/>
        </w:rPr>
        <w:t>difference</w:t>
      </w:r>
      <w:r>
        <w:rPr>
          <w:spacing w:val="-3"/>
          <w:sz w:val="24"/>
        </w:rPr>
        <w:t xml:space="preserve"> </w:t>
      </w:r>
      <w:r>
        <w:rPr>
          <w:sz w:val="24"/>
        </w:rPr>
        <w:t>between</w:t>
      </w:r>
      <w:r>
        <w:rPr>
          <w:spacing w:val="-4"/>
          <w:sz w:val="24"/>
        </w:rPr>
        <w:t xml:space="preserve"> </w:t>
      </w:r>
      <w:r>
        <w:rPr>
          <w:sz w:val="24"/>
        </w:rPr>
        <w:t>the</w:t>
      </w:r>
      <w:r>
        <w:rPr>
          <w:spacing w:val="-4"/>
          <w:sz w:val="24"/>
        </w:rPr>
        <w:t xml:space="preserve"> </w:t>
      </w:r>
      <w:r>
        <w:rPr>
          <w:sz w:val="24"/>
        </w:rPr>
        <w:t>pricing</w:t>
      </w:r>
      <w:r>
        <w:rPr>
          <w:spacing w:val="-4"/>
          <w:sz w:val="24"/>
        </w:rPr>
        <w:t xml:space="preserve"> </w:t>
      </w:r>
      <w:r>
        <w:rPr>
          <w:sz w:val="24"/>
        </w:rPr>
        <w:t>for</w:t>
      </w:r>
      <w:r>
        <w:rPr>
          <w:spacing w:val="-4"/>
          <w:sz w:val="24"/>
        </w:rPr>
        <w:t xml:space="preserve"> </w:t>
      </w:r>
      <w:r>
        <w:rPr>
          <w:sz w:val="24"/>
        </w:rPr>
        <w:t>in-network cost sharing before and after the OOP maximum is applied.</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ListParagraph"/>
        <w:numPr>
          <w:ilvl w:val="1"/>
          <w:numId w:val="43"/>
        </w:numPr>
        <w:tabs>
          <w:tab w:val="left" w:pos="1584"/>
        </w:tabs>
        <w:spacing w:before="0" w:after="0" w:line="240" w:lineRule="auto"/>
        <w:ind w:left="1584" w:right="1524" w:hanging="360"/>
        <w:jc w:val="left"/>
        <w:rPr>
          <w:sz w:val="24"/>
        </w:rPr>
      </w:pPr>
      <w:r>
        <w:rPr>
          <w:sz w:val="24"/>
        </w:rPr>
        <w:t>Enter</w:t>
      </w:r>
      <w:r>
        <w:rPr>
          <w:spacing w:val="-3"/>
          <w:sz w:val="24"/>
        </w:rPr>
        <w:t xml:space="preserve"> </w:t>
      </w:r>
      <w:r>
        <w:rPr>
          <w:sz w:val="24"/>
        </w:rPr>
        <w:t>in</w:t>
      </w:r>
      <w:r>
        <w:rPr>
          <w:spacing w:val="-3"/>
          <w:sz w:val="24"/>
        </w:rPr>
        <w:t xml:space="preserve"> </w:t>
      </w:r>
      <w:r>
        <w:rPr>
          <w:sz w:val="24"/>
        </w:rPr>
        <w:t>column</w:t>
      </w:r>
      <w:r>
        <w:rPr>
          <w:spacing w:val="-3"/>
          <w:sz w:val="24"/>
        </w:rPr>
        <w:t xml:space="preserve"> </w:t>
      </w:r>
      <w:r>
        <w:rPr>
          <w:sz w:val="24"/>
        </w:rPr>
        <w:t>n</w:t>
      </w:r>
      <w:r>
        <w:rPr>
          <w:spacing w:val="-3"/>
          <w:sz w:val="24"/>
        </w:rPr>
        <w:t xml:space="preserve"> </w:t>
      </w:r>
      <w:r>
        <w:rPr>
          <w:sz w:val="24"/>
        </w:rPr>
        <w:t>the</w:t>
      </w:r>
      <w:r>
        <w:rPr>
          <w:spacing w:val="-3"/>
          <w:sz w:val="24"/>
        </w:rPr>
        <w:t xml:space="preserve"> </w:t>
      </w:r>
      <w:r>
        <w:rPr>
          <w:sz w:val="24"/>
        </w:rPr>
        <w:t>PMPM</w:t>
      </w:r>
      <w:r>
        <w:rPr>
          <w:spacing w:val="-4"/>
          <w:sz w:val="24"/>
        </w:rPr>
        <w:t xml:space="preserve"> </w:t>
      </w:r>
      <w:r>
        <w:rPr>
          <w:sz w:val="24"/>
        </w:rPr>
        <w:t>pricing</w:t>
      </w:r>
      <w:r>
        <w:rPr>
          <w:spacing w:val="-3"/>
          <w:sz w:val="24"/>
        </w:rPr>
        <w:t xml:space="preserve"> </w:t>
      </w:r>
      <w:r>
        <w:rPr>
          <w:sz w:val="24"/>
        </w:rPr>
        <w:t>impact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out-of-network</w:t>
      </w:r>
      <w:r>
        <w:rPr>
          <w:spacing w:val="-3"/>
          <w:sz w:val="24"/>
        </w:rPr>
        <w:t xml:space="preserve"> </w:t>
      </w:r>
      <w:r>
        <w:rPr>
          <w:sz w:val="24"/>
        </w:rPr>
        <w:t>OOP</w:t>
      </w:r>
      <w:r>
        <w:rPr>
          <w:spacing w:val="-1"/>
          <w:sz w:val="24"/>
        </w:rPr>
        <w:t xml:space="preserve"> </w:t>
      </w:r>
      <w:r>
        <w:rPr>
          <w:sz w:val="24"/>
        </w:rPr>
        <w:t>maximum. Such value must reflect the PMPM difference between the pricing for out-of-network cost sharing before and after the OOP maximum is applied.</w:t>
      </w:r>
    </w:p>
    <w:p>
      <w:pPr>
        <w:pStyle w:val="BodyText"/>
        <w:spacing w:before="120"/>
      </w:pPr>
      <w:r>
        <w:t>The</w:t>
      </w:r>
      <w:r>
        <w:rPr>
          <w:spacing w:val="-3"/>
        </w:rPr>
        <w:t xml:space="preserve"> </w:t>
      </w:r>
      <w:r>
        <w:t>PMPM</w:t>
      </w:r>
      <w:r>
        <w:rPr>
          <w:spacing w:val="-2"/>
        </w:rPr>
        <w:t xml:space="preserve"> </w:t>
      </w:r>
      <w:r>
        <w:t>values</w:t>
      </w:r>
      <w:r>
        <w:rPr>
          <w:spacing w:val="-2"/>
        </w:rPr>
        <w:t xml:space="preserve"> </w:t>
      </w:r>
      <w:r>
        <w:t>must</w:t>
      </w:r>
      <w:r>
        <w:rPr>
          <w:spacing w:val="-1"/>
        </w:rPr>
        <w:t xml:space="preserve"> </w:t>
      </w:r>
      <w:r>
        <w:t>be</w:t>
      </w:r>
      <w:r>
        <w:rPr>
          <w:spacing w:val="-1"/>
        </w:rPr>
        <w:t xml:space="preserve"> </w:t>
      </w:r>
      <w:r>
        <w:t>greater</w:t>
      </w:r>
      <w:r>
        <w:rPr>
          <w:spacing w:val="-1"/>
        </w:rPr>
        <w:t xml:space="preserve"> </w:t>
      </w:r>
      <w:r>
        <w:t>than</w:t>
      </w:r>
      <w:r>
        <w:rPr>
          <w:spacing w:val="-1"/>
        </w:rPr>
        <w:t xml:space="preserve"> </w:t>
      </w:r>
      <w:r>
        <w:t>or equal</w:t>
      </w:r>
      <w:r>
        <w:rPr>
          <w:spacing w:val="-1"/>
        </w:rPr>
        <w:t xml:space="preserve"> </w:t>
      </w:r>
      <w:r>
        <w:t xml:space="preserve">to </w:t>
      </w:r>
      <w:r>
        <w:rPr>
          <w:spacing w:val="-2"/>
        </w:rPr>
        <w:t>zero.</w:t>
      </w:r>
    </w:p>
    <w:p>
      <w:pPr>
        <w:pStyle w:val="BodyText"/>
        <w:spacing w:before="45"/>
        <w:ind w:left="0"/>
      </w:pPr>
    </w:p>
    <w:p>
      <w:pPr>
        <w:pStyle w:val="Heading2"/>
      </w:pPr>
      <w:bookmarkStart w:id="187" w:name="Section IV – Mapping of PBP Service Cate"/>
      <w:bookmarkEnd w:id="187"/>
      <w:bookmarkStart w:id="188" w:name="_bookmark56"/>
      <w:bookmarkEnd w:id="188"/>
      <w:r>
        <w:rPr>
          <w:smallCaps/>
        </w:rPr>
        <w:t>Section</w:t>
      </w:r>
      <w:r>
        <w:rPr>
          <w:smallCaps/>
          <w:spacing w:val="-15"/>
        </w:rPr>
        <w:t xml:space="preserve"> </w:t>
      </w:r>
      <w:r>
        <w:rPr>
          <w:smallCaps/>
        </w:rPr>
        <w:t>IV</w:t>
      </w:r>
      <w:r>
        <w:rPr>
          <w:smallCaps/>
          <w:spacing w:val="-15"/>
        </w:rPr>
        <w:t xml:space="preserve"> </w:t>
      </w:r>
      <w:r>
        <w:rPr>
          <w:smallCaps/>
        </w:rPr>
        <w:t>–</w:t>
      </w:r>
      <w:r>
        <w:rPr>
          <w:smallCaps/>
          <w:spacing w:val="-15"/>
        </w:rPr>
        <w:t xml:space="preserve"> </w:t>
      </w:r>
      <w:r>
        <w:rPr>
          <w:smallCaps/>
        </w:rPr>
        <w:t>Mapping</w:t>
      </w:r>
      <w:r>
        <w:rPr>
          <w:smallCaps/>
          <w:spacing w:val="-12"/>
        </w:rPr>
        <w:t xml:space="preserve"> </w:t>
      </w:r>
      <w:r>
        <w:rPr>
          <w:smallCaps/>
        </w:rPr>
        <w:t>of</w:t>
      </w:r>
      <w:r>
        <w:rPr>
          <w:smallCaps/>
          <w:spacing w:val="-5"/>
        </w:rPr>
        <w:t xml:space="preserve"> </w:t>
      </w:r>
      <w:r>
        <w:rPr>
          <w:smallCaps/>
        </w:rPr>
        <w:t>PBP</w:t>
      </w:r>
      <w:r>
        <w:rPr>
          <w:smallCaps/>
          <w:spacing w:val="-15"/>
        </w:rPr>
        <w:t xml:space="preserve"> </w:t>
      </w:r>
      <w:r>
        <w:rPr>
          <w:smallCaps/>
        </w:rPr>
        <w:t>Service</w:t>
      </w:r>
      <w:r>
        <w:rPr>
          <w:smallCaps/>
          <w:spacing w:val="-6"/>
        </w:rPr>
        <w:t xml:space="preserve"> </w:t>
      </w:r>
      <w:r>
        <w:rPr>
          <w:smallCaps/>
        </w:rPr>
        <w:t>Categories</w:t>
      </w:r>
      <w:r>
        <w:rPr>
          <w:smallCaps/>
          <w:spacing w:val="-9"/>
        </w:rPr>
        <w:t xml:space="preserve"> </w:t>
      </w:r>
      <w:r>
        <w:rPr>
          <w:smallCaps/>
        </w:rPr>
        <w:t>to</w:t>
      </w:r>
      <w:r>
        <w:rPr>
          <w:smallCaps/>
          <w:spacing w:val="-7"/>
        </w:rPr>
        <w:t xml:space="preserve"> </w:t>
      </w:r>
      <w:r>
        <w:rPr>
          <w:smallCaps/>
          <w:spacing w:val="-5"/>
        </w:rPr>
        <w:t>BPT</w:t>
      </w:r>
    </w:p>
    <w:p>
      <w:pPr>
        <w:pStyle w:val="BodyText"/>
        <w:spacing w:before="179"/>
        <w:ind w:right="1494"/>
      </w:pPr>
      <w:r>
        <w:t>Section</w:t>
      </w:r>
      <w:r>
        <w:rPr>
          <w:spacing w:val="-3"/>
        </w:rPr>
        <w:t xml:space="preserve"> </w:t>
      </w:r>
      <w:r>
        <w:t>IV</w:t>
      </w:r>
      <w:r>
        <w:rPr>
          <w:spacing w:val="-4"/>
        </w:rPr>
        <w:t xml:space="preserve"> </w:t>
      </w:r>
      <w:r>
        <w:t>captures</w:t>
      </w:r>
      <w:r>
        <w:rPr>
          <w:spacing w:val="-3"/>
        </w:rPr>
        <w:t xml:space="preserve"> </w:t>
      </w:r>
      <w:r>
        <w:t>the</w:t>
      </w:r>
      <w:r>
        <w:rPr>
          <w:spacing w:val="-2"/>
        </w:rPr>
        <w:t xml:space="preserve"> </w:t>
      </w:r>
      <w:r>
        <w:t>mapping</w:t>
      </w:r>
      <w:r>
        <w:rPr>
          <w:spacing w:val="-3"/>
        </w:rPr>
        <w:t xml:space="preserve"> </w:t>
      </w:r>
      <w:r>
        <w:t>of</w:t>
      </w:r>
      <w:r>
        <w:rPr>
          <w:spacing w:val="-4"/>
        </w:rPr>
        <w:t xml:space="preserve"> </w:t>
      </w:r>
      <w:r>
        <w:t>PBP</w:t>
      </w:r>
      <w:r>
        <w:rPr>
          <w:spacing w:val="-3"/>
        </w:rPr>
        <w:t xml:space="preserve"> </w:t>
      </w:r>
      <w:r>
        <w:t>benefit</w:t>
      </w:r>
      <w:r>
        <w:rPr>
          <w:spacing w:val="-3"/>
        </w:rPr>
        <w:t xml:space="preserve"> </w:t>
      </w:r>
      <w:r>
        <w:t>categories</w:t>
      </w:r>
      <w:r>
        <w:rPr>
          <w:spacing w:val="-4"/>
        </w:rPr>
        <w:t xml:space="preserve"> </w:t>
      </w:r>
      <w:r>
        <w:t>to</w:t>
      </w:r>
      <w:r>
        <w:rPr>
          <w:spacing w:val="-1"/>
        </w:rPr>
        <w:t xml:space="preserve"> </w:t>
      </w:r>
      <w:r>
        <w:t>BPT</w:t>
      </w:r>
      <w:r>
        <w:rPr>
          <w:spacing w:val="-3"/>
        </w:rPr>
        <w:t xml:space="preserve"> </w:t>
      </w:r>
      <w:r>
        <w:t>service</w:t>
      </w:r>
      <w:r>
        <w:rPr>
          <w:spacing w:val="-4"/>
        </w:rPr>
        <w:t xml:space="preserve"> </w:t>
      </w:r>
      <w:r>
        <w:t>categories.</w:t>
      </w:r>
      <w:r>
        <w:rPr>
          <w:spacing w:val="-3"/>
        </w:rPr>
        <w:t xml:space="preserve"> </w:t>
      </w:r>
      <w:r>
        <w:t>The</w:t>
      </w:r>
      <w:r>
        <w:rPr>
          <w:spacing w:val="-2"/>
        </w:rPr>
        <w:t xml:space="preserve"> </w:t>
      </w:r>
      <w:r>
        <w:t>cells for PBP categories 1a through 18b are pre-populated based on the suggested mapping of PBP to BPT categories in Appendix F, but they must be overwritten by the user to reflect the actual mapping used in developing PMPM amounts in the BPT.</w:t>
      </w:r>
    </w:p>
    <w:p>
      <w:pPr>
        <w:pStyle w:val="BodyText"/>
        <w:spacing w:before="121"/>
        <w:ind w:right="1481"/>
      </w:pPr>
      <w:r>
        <w:t>If</w:t>
      </w:r>
      <w:r>
        <w:rPr>
          <w:spacing w:val="-5"/>
        </w:rPr>
        <w:t xml:space="preserve"> </w:t>
      </w:r>
      <w:r>
        <w:t>the</w:t>
      </w:r>
      <w:r>
        <w:rPr>
          <w:spacing w:val="-3"/>
        </w:rPr>
        <w:t xml:space="preserve"> </w:t>
      </w:r>
      <w:r>
        <w:t>PBP</w:t>
      </w:r>
      <w:r>
        <w:rPr>
          <w:spacing w:val="-3"/>
        </w:rPr>
        <w:t xml:space="preserve"> </w:t>
      </w:r>
      <w:r>
        <w:t>includes</w:t>
      </w:r>
      <w:r>
        <w:rPr>
          <w:spacing w:val="-4"/>
        </w:rPr>
        <w:t xml:space="preserve"> </w:t>
      </w:r>
      <w:r>
        <w:t>benefits</w:t>
      </w:r>
      <w:r>
        <w:rPr>
          <w:spacing w:val="-4"/>
        </w:rPr>
        <w:t xml:space="preserve"> </w:t>
      </w:r>
      <w:r>
        <w:t>offered</w:t>
      </w:r>
      <w:r>
        <w:rPr>
          <w:spacing w:val="-3"/>
        </w:rPr>
        <w:t xml:space="preserve"> </w:t>
      </w:r>
      <w:r>
        <w:t>under</w:t>
      </w:r>
      <w:r>
        <w:rPr>
          <w:spacing w:val="-3"/>
        </w:rPr>
        <w:t xml:space="preserve"> </w:t>
      </w:r>
      <w:r>
        <w:t>MA</w:t>
      </w:r>
      <w:r>
        <w:rPr>
          <w:spacing w:val="-4"/>
        </w:rPr>
        <w:t xml:space="preserve"> </w:t>
      </w:r>
      <w:r>
        <w:t>Uniformity</w:t>
      </w:r>
      <w:r>
        <w:rPr>
          <w:spacing w:val="-2"/>
        </w:rPr>
        <w:t xml:space="preserve"> </w:t>
      </w:r>
      <w:r>
        <w:t>Flexibility</w:t>
      </w:r>
      <w:r>
        <w:rPr>
          <w:spacing w:val="-3"/>
        </w:rPr>
        <w:t xml:space="preserve"> </w:t>
      </w:r>
      <w:r>
        <w:t>or</w:t>
      </w:r>
      <w:r>
        <w:rPr>
          <w:spacing w:val="-3"/>
        </w:rPr>
        <w:t xml:space="preserve"> </w:t>
      </w:r>
      <w:r>
        <w:t>Special</w:t>
      </w:r>
      <w:r>
        <w:rPr>
          <w:spacing w:val="-3"/>
        </w:rPr>
        <w:t xml:space="preserve"> </w:t>
      </w:r>
      <w:r>
        <w:t>Supplemental Benefits for the Chronically Ill (SSBCI), the user must enter the mapping for PBP categories 19a and 19b.</w:t>
      </w:r>
    </w:p>
    <w:p>
      <w:pPr>
        <w:pStyle w:val="BodyText"/>
        <w:spacing w:after="0"/>
        <w:sectPr>
          <w:pgSz w:w="12240" w:h="15840"/>
          <w:pgMar w:top="960" w:right="0" w:bottom="940" w:left="1080" w:header="727" w:footer="747"/>
          <w:cols w:space="720"/>
        </w:sectPr>
      </w:pPr>
    </w:p>
    <w:p>
      <w:pPr>
        <w:pStyle w:val="BodyText"/>
        <w:spacing w:before="264"/>
        <w:ind w:left="0"/>
        <w:rPr>
          <w:sz w:val="28"/>
        </w:rPr>
      </w:pPr>
    </w:p>
    <w:p>
      <w:pPr>
        <w:pStyle w:val="Heading1"/>
        <w:spacing w:line="322" w:lineRule="exact"/>
        <w:ind w:left="504"/>
        <w:rPr>
          <w:u w:val="none"/>
        </w:rPr>
      </w:pPr>
      <w:bookmarkStart w:id="189" w:name="MA Worksheet 4 – MA Projected Revenue Re"/>
      <w:bookmarkEnd w:id="189"/>
      <w:bookmarkStart w:id="190" w:name="_bookmark57"/>
      <w:bookmarkEnd w:id="190"/>
      <w:r>
        <w:rPr>
          <w:u w:val="none"/>
        </w:rPr>
        <w:t>MA</w:t>
      </w:r>
      <w:r>
        <w:rPr>
          <w:spacing w:val="-6"/>
          <w:u w:val="none"/>
        </w:rPr>
        <w:t xml:space="preserve"> </w:t>
      </w:r>
      <w:r>
        <w:rPr>
          <w:u w:val="none"/>
        </w:rPr>
        <w:t>WORKSHEET</w:t>
      </w:r>
      <w:r>
        <w:rPr>
          <w:spacing w:val="-3"/>
          <w:u w:val="none"/>
        </w:rPr>
        <w:t xml:space="preserve"> </w:t>
      </w:r>
      <w:r>
        <w:rPr>
          <w:u w:val="none"/>
        </w:rPr>
        <w:t>4</w:t>
      </w:r>
      <w:r>
        <w:rPr>
          <w:spacing w:val="-2"/>
          <w:u w:val="none"/>
        </w:rPr>
        <w:t xml:space="preserve"> </w:t>
      </w:r>
      <w:r>
        <w:rPr>
          <w:u w:val="none"/>
        </w:rPr>
        <w:t>–</w:t>
      </w:r>
      <w:r>
        <w:rPr>
          <w:spacing w:val="-6"/>
          <w:u w:val="none"/>
        </w:rPr>
        <w:t xml:space="preserve"> </w:t>
      </w:r>
      <w:r>
        <w:rPr>
          <w:u w:val="none"/>
        </w:rPr>
        <w:t>MA</w:t>
      </w:r>
      <w:r>
        <w:rPr>
          <w:spacing w:val="-6"/>
          <w:u w:val="none"/>
        </w:rPr>
        <w:t xml:space="preserve"> </w:t>
      </w:r>
      <w:r>
        <w:rPr>
          <w:u w:val="none"/>
        </w:rPr>
        <w:t>PROJECTED</w:t>
      </w:r>
      <w:r>
        <w:rPr>
          <w:spacing w:val="-3"/>
          <w:u w:val="none"/>
        </w:rPr>
        <w:t xml:space="preserve"> </w:t>
      </w:r>
      <w:r>
        <w:rPr>
          <w:u w:val="none"/>
        </w:rPr>
        <w:t>REVENUE</w:t>
      </w:r>
      <w:r>
        <w:rPr>
          <w:spacing w:val="-6"/>
          <w:u w:val="none"/>
        </w:rPr>
        <w:t xml:space="preserve"> </w:t>
      </w:r>
      <w:r>
        <w:rPr>
          <w:spacing w:val="-2"/>
          <w:u w:val="none"/>
        </w:rPr>
        <w:t>REQUIREMENT</w:t>
      </w:r>
    </w:p>
    <w:p>
      <w:pPr>
        <w:tabs>
          <w:tab w:val="left" w:pos="9750"/>
        </w:tabs>
        <w:spacing w:before="0"/>
        <w:ind w:left="475" w:right="0" w:firstLine="0"/>
        <w:jc w:val="left"/>
        <w:rPr>
          <w:rFonts w:ascii="Arial"/>
          <w:b/>
          <w:sz w:val="28"/>
        </w:rPr>
      </w:pPr>
      <w:r>
        <w:rPr>
          <w:rFonts w:ascii="Arial"/>
          <w:b/>
          <w:spacing w:val="-50"/>
          <w:sz w:val="28"/>
          <w:u w:val="single"/>
        </w:rPr>
        <w:t xml:space="preserve"> </w:t>
      </w:r>
      <w:r>
        <w:rPr>
          <w:rFonts w:ascii="Arial"/>
          <w:b/>
          <w:spacing w:val="-4"/>
          <w:sz w:val="28"/>
          <w:u w:val="single"/>
        </w:rPr>
        <w:t>PMPM</w:t>
      </w:r>
      <w:r>
        <w:rPr>
          <w:rFonts w:ascii="Arial"/>
          <w:b/>
          <w:sz w:val="28"/>
          <w:u w:val="single"/>
        </w:rPr>
        <w:tab/>
      </w:r>
    </w:p>
    <w:p>
      <w:pPr>
        <w:pStyle w:val="BodyText"/>
        <w:spacing w:before="271"/>
        <w:ind w:right="1481"/>
      </w:pPr>
      <w:r>
        <w:t>This worksheet uses the allowed costs (Worksheet 2) and cost sharing (Worksheet 3) to determine</w:t>
      </w:r>
      <w:r>
        <w:rPr>
          <w:spacing w:val="-4"/>
        </w:rPr>
        <w:t xml:space="preserve"> </w:t>
      </w:r>
      <w:r>
        <w:t>net</w:t>
      </w:r>
      <w:r>
        <w:rPr>
          <w:spacing w:val="-3"/>
        </w:rPr>
        <w:t xml:space="preserve"> </w:t>
      </w:r>
      <w:r>
        <w:t>medical</w:t>
      </w:r>
      <w:r>
        <w:rPr>
          <w:spacing w:val="-3"/>
        </w:rPr>
        <w:t xml:space="preserve"> </w:t>
      </w:r>
      <w:r>
        <w:t>costs</w:t>
      </w:r>
      <w:r>
        <w:rPr>
          <w:spacing w:val="-1"/>
        </w:rPr>
        <w:t xml:space="preserve"> </w:t>
      </w:r>
      <w:r>
        <w:t>in</w:t>
      </w:r>
      <w:r>
        <w:rPr>
          <w:spacing w:val="-3"/>
        </w:rPr>
        <w:t xml:space="preserve"> </w:t>
      </w:r>
      <w:r>
        <w:t>Section</w:t>
      </w:r>
      <w:r>
        <w:rPr>
          <w:spacing w:val="-3"/>
        </w:rPr>
        <w:t xml:space="preserve"> </w:t>
      </w:r>
      <w:r>
        <w:t>II.</w:t>
      </w:r>
      <w:r>
        <w:rPr>
          <w:spacing w:val="-3"/>
        </w:rPr>
        <w:t xml:space="preserve"> </w:t>
      </w:r>
      <w:r>
        <w:t>Below</w:t>
      </w:r>
      <w:r>
        <w:rPr>
          <w:spacing w:val="-4"/>
        </w:rPr>
        <w:t xml:space="preserve"> </w:t>
      </w:r>
      <w:r>
        <w:t>are</w:t>
      </w:r>
      <w:r>
        <w:rPr>
          <w:spacing w:val="-5"/>
        </w:rPr>
        <w:t xml:space="preserve"> </w:t>
      </w:r>
      <w:r>
        <w:t>the</w:t>
      </w:r>
      <w:r>
        <w:rPr>
          <w:spacing w:val="-3"/>
        </w:rPr>
        <w:t xml:space="preserve"> </w:t>
      </w:r>
      <w:r>
        <w:t>subsections</w:t>
      </w:r>
      <w:r>
        <w:rPr>
          <w:spacing w:val="-3"/>
        </w:rPr>
        <w:t xml:space="preserve"> </w:t>
      </w:r>
      <w:r>
        <w:t>contained</w:t>
      </w:r>
      <w:r>
        <w:rPr>
          <w:spacing w:val="-3"/>
        </w:rPr>
        <w:t xml:space="preserve"> </w:t>
      </w:r>
      <w:r>
        <w:t>in</w:t>
      </w:r>
      <w:r>
        <w:rPr>
          <w:spacing w:val="-3"/>
        </w:rPr>
        <w:t xml:space="preserve"> </w:t>
      </w:r>
      <w:r>
        <w:t>Section</w:t>
      </w:r>
      <w:r>
        <w:rPr>
          <w:spacing w:val="-2"/>
        </w:rPr>
        <w:t xml:space="preserve"> </w:t>
      </w:r>
      <w:r>
        <w:t>II.</w:t>
      </w:r>
    </w:p>
    <w:p>
      <w:pPr>
        <w:pStyle w:val="ListParagraph"/>
        <w:numPr>
          <w:ilvl w:val="1"/>
          <w:numId w:val="43"/>
        </w:numPr>
        <w:tabs>
          <w:tab w:val="left" w:pos="1584"/>
        </w:tabs>
        <w:spacing w:before="120" w:after="0" w:line="240" w:lineRule="auto"/>
        <w:ind w:left="1584" w:right="1834" w:hanging="360"/>
        <w:jc w:val="left"/>
        <w:rPr>
          <w:sz w:val="24"/>
        </w:rPr>
      </w:pPr>
      <w:r>
        <w:rPr>
          <w:sz w:val="24"/>
        </w:rPr>
        <w:t>Subsection</w:t>
      </w:r>
      <w:r>
        <w:rPr>
          <w:spacing w:val="-5"/>
          <w:sz w:val="24"/>
        </w:rPr>
        <w:t xml:space="preserve"> </w:t>
      </w:r>
      <w:r>
        <w:rPr>
          <w:sz w:val="24"/>
        </w:rPr>
        <w:t>A</w:t>
      </w:r>
      <w:r>
        <w:rPr>
          <w:spacing w:val="-5"/>
          <w:sz w:val="24"/>
        </w:rPr>
        <w:t xml:space="preserve"> </w:t>
      </w:r>
      <w:r>
        <w:rPr>
          <w:sz w:val="24"/>
        </w:rPr>
        <w:t>–</w:t>
      </w:r>
      <w:r>
        <w:rPr>
          <w:spacing w:val="-5"/>
          <w:sz w:val="24"/>
        </w:rPr>
        <w:t xml:space="preserve"> </w:t>
      </w:r>
      <w:r>
        <w:rPr>
          <w:sz w:val="24"/>
        </w:rPr>
        <w:t>“Non-DE#</w:t>
      </w:r>
      <w:r>
        <w:rPr>
          <w:spacing w:val="-5"/>
          <w:sz w:val="24"/>
        </w:rPr>
        <w:t xml:space="preserve"> </w:t>
      </w:r>
      <w:r>
        <w:rPr>
          <w:sz w:val="24"/>
        </w:rPr>
        <w:t>(Non-Dual</w:t>
      </w:r>
      <w:r>
        <w:rPr>
          <w:spacing w:val="-5"/>
          <w:sz w:val="24"/>
        </w:rPr>
        <w:t xml:space="preserve"> </w:t>
      </w:r>
      <w:r>
        <w:rPr>
          <w:sz w:val="24"/>
        </w:rPr>
        <w:t>Eligible</w:t>
      </w:r>
      <w:r>
        <w:rPr>
          <w:spacing w:val="-5"/>
          <w:sz w:val="24"/>
        </w:rPr>
        <w:t xml:space="preserve"> </w:t>
      </w:r>
      <w:r>
        <w:rPr>
          <w:sz w:val="24"/>
        </w:rPr>
        <w:t>Beneficiaries</w:t>
      </w:r>
      <w:r>
        <w:rPr>
          <w:spacing w:val="-4"/>
          <w:sz w:val="24"/>
        </w:rPr>
        <w:t xml:space="preserve"> </w:t>
      </w:r>
      <w:r>
        <w:rPr>
          <w:sz w:val="24"/>
        </w:rPr>
        <w:t>AND</w:t>
      </w:r>
      <w:r>
        <w:rPr>
          <w:spacing w:val="-5"/>
          <w:sz w:val="24"/>
        </w:rPr>
        <w:t xml:space="preserve"> </w:t>
      </w:r>
      <w:r>
        <w:rPr>
          <w:sz w:val="24"/>
        </w:rPr>
        <w:t>Dual</w:t>
      </w:r>
      <w:r>
        <w:rPr>
          <w:spacing w:val="-5"/>
          <w:sz w:val="24"/>
        </w:rPr>
        <w:t xml:space="preserve"> </w:t>
      </w:r>
      <w:r>
        <w:rPr>
          <w:sz w:val="24"/>
        </w:rPr>
        <w:t>Eligible Beneficiaries with full Medicare cost sharing liability).”</w:t>
      </w:r>
    </w:p>
    <w:p>
      <w:pPr>
        <w:pStyle w:val="ListParagraph"/>
        <w:numPr>
          <w:ilvl w:val="1"/>
          <w:numId w:val="43"/>
        </w:numPr>
        <w:tabs>
          <w:tab w:val="left" w:pos="1584"/>
        </w:tabs>
        <w:spacing w:before="0" w:after="0" w:line="240" w:lineRule="auto"/>
        <w:ind w:left="1584" w:right="2140" w:hanging="360"/>
        <w:jc w:val="left"/>
        <w:rPr>
          <w:sz w:val="24"/>
        </w:rPr>
      </w:pPr>
      <w:r>
        <w:rPr>
          <w:sz w:val="24"/>
        </w:rPr>
        <w:t>Subsection</w:t>
      </w:r>
      <w:r>
        <w:rPr>
          <w:spacing w:val="-4"/>
          <w:sz w:val="24"/>
        </w:rPr>
        <w:t xml:space="preserve"> </w:t>
      </w:r>
      <w:r>
        <w:rPr>
          <w:sz w:val="24"/>
        </w:rPr>
        <w:t>B</w:t>
      </w:r>
      <w:r>
        <w:rPr>
          <w:spacing w:val="-3"/>
          <w:sz w:val="24"/>
        </w:rPr>
        <w:t xml:space="preserve"> </w:t>
      </w:r>
      <w:r>
        <w:rPr>
          <w:sz w:val="24"/>
        </w:rPr>
        <w:t>–</w:t>
      </w:r>
      <w:r>
        <w:rPr>
          <w:spacing w:val="-4"/>
          <w:sz w:val="24"/>
        </w:rPr>
        <w:t xml:space="preserve"> </w:t>
      </w:r>
      <w:r>
        <w:rPr>
          <w:sz w:val="24"/>
        </w:rPr>
        <w:t>“DE#</w:t>
      </w:r>
      <w:r>
        <w:rPr>
          <w:spacing w:val="-4"/>
          <w:sz w:val="24"/>
        </w:rPr>
        <w:t xml:space="preserve"> </w:t>
      </w:r>
      <w:r>
        <w:rPr>
          <w:sz w:val="24"/>
        </w:rPr>
        <w:t>(Dual-Eligible</w:t>
      </w:r>
      <w:r>
        <w:rPr>
          <w:spacing w:val="-4"/>
          <w:sz w:val="24"/>
        </w:rPr>
        <w:t xml:space="preserve"> </w:t>
      </w:r>
      <w:r>
        <w:rPr>
          <w:sz w:val="24"/>
        </w:rPr>
        <w:t>Beneficiaries</w:t>
      </w:r>
      <w:r>
        <w:rPr>
          <w:spacing w:val="-5"/>
          <w:sz w:val="24"/>
        </w:rPr>
        <w:t xml:space="preserve"> </w:t>
      </w:r>
      <w:r>
        <w:rPr>
          <w:sz w:val="24"/>
        </w:rPr>
        <w:t>without</w:t>
      </w:r>
      <w:r>
        <w:rPr>
          <w:spacing w:val="-3"/>
          <w:sz w:val="24"/>
        </w:rPr>
        <w:t xml:space="preserve"> </w:t>
      </w:r>
      <w:r>
        <w:rPr>
          <w:sz w:val="24"/>
        </w:rPr>
        <w:t>full</w:t>
      </w:r>
      <w:r>
        <w:rPr>
          <w:spacing w:val="-4"/>
          <w:sz w:val="24"/>
        </w:rPr>
        <w:t xml:space="preserve"> </w:t>
      </w:r>
      <w:r>
        <w:rPr>
          <w:sz w:val="24"/>
        </w:rPr>
        <w:t>Medicare</w:t>
      </w:r>
      <w:r>
        <w:rPr>
          <w:spacing w:val="-6"/>
          <w:sz w:val="24"/>
        </w:rPr>
        <w:t xml:space="preserve"> </w:t>
      </w:r>
      <w:r>
        <w:rPr>
          <w:sz w:val="24"/>
        </w:rPr>
        <w:t>cost sharing liability).”</w:t>
      </w:r>
    </w:p>
    <w:p>
      <w:pPr>
        <w:pStyle w:val="ListParagraph"/>
        <w:numPr>
          <w:ilvl w:val="1"/>
          <w:numId w:val="43"/>
        </w:numPr>
        <w:tabs>
          <w:tab w:val="left" w:pos="1584"/>
        </w:tabs>
        <w:spacing w:before="0" w:after="0" w:line="343" w:lineRule="auto"/>
        <w:ind w:left="504" w:right="3141" w:firstLine="719"/>
        <w:jc w:val="left"/>
        <w:rPr>
          <w:sz w:val="24"/>
        </w:rPr>
      </w:pPr>
      <w:r>
        <w:rPr>
          <w:sz w:val="24"/>
        </w:rPr>
        <w:t>Subsection</w:t>
      </w:r>
      <w:r>
        <w:rPr>
          <w:spacing w:val="-4"/>
          <w:sz w:val="24"/>
        </w:rPr>
        <w:t xml:space="preserve"> </w:t>
      </w:r>
      <w:r>
        <w:rPr>
          <w:sz w:val="24"/>
        </w:rPr>
        <w:t>C</w:t>
      </w:r>
      <w:r>
        <w:rPr>
          <w:spacing w:val="-3"/>
          <w:sz w:val="24"/>
        </w:rPr>
        <w:t xml:space="preserve"> </w:t>
      </w:r>
      <w:r>
        <w:rPr>
          <w:sz w:val="24"/>
        </w:rPr>
        <w:t>–</w:t>
      </w:r>
      <w:r>
        <w:rPr>
          <w:spacing w:val="-4"/>
          <w:sz w:val="24"/>
        </w:rPr>
        <w:t xml:space="preserve"> </w:t>
      </w:r>
      <w:r>
        <w:rPr>
          <w:sz w:val="24"/>
        </w:rPr>
        <w:t>“All</w:t>
      </w:r>
      <w:r>
        <w:rPr>
          <w:spacing w:val="-4"/>
          <w:sz w:val="24"/>
        </w:rPr>
        <w:t xml:space="preserve"> </w:t>
      </w:r>
      <w:r>
        <w:rPr>
          <w:sz w:val="24"/>
        </w:rPr>
        <w:t>Beneficiaries.”</w:t>
      </w:r>
      <w:r>
        <w:rPr>
          <w:spacing w:val="-5"/>
          <w:sz w:val="24"/>
        </w:rPr>
        <w:t xml:space="preserve"> </w:t>
      </w:r>
      <w:r>
        <w:rPr>
          <w:sz w:val="24"/>
        </w:rPr>
        <w:t>(Total</w:t>
      </w:r>
      <w:r>
        <w:rPr>
          <w:spacing w:val="-4"/>
          <w:sz w:val="24"/>
        </w:rPr>
        <w:t xml:space="preserve"> </w:t>
      </w:r>
      <w:r>
        <w:rPr>
          <w:sz w:val="24"/>
        </w:rPr>
        <w:t>of</w:t>
      </w:r>
      <w:r>
        <w:rPr>
          <w:spacing w:val="-4"/>
          <w:sz w:val="24"/>
        </w:rPr>
        <w:t xml:space="preserve"> </w:t>
      </w:r>
      <w:r>
        <w:rPr>
          <w:sz w:val="24"/>
        </w:rPr>
        <w:t>subsections</w:t>
      </w:r>
      <w:r>
        <w:rPr>
          <w:spacing w:val="-5"/>
          <w:sz w:val="24"/>
        </w:rPr>
        <w:t xml:space="preserve"> </w:t>
      </w:r>
      <w:r>
        <w:rPr>
          <w:sz w:val="24"/>
        </w:rPr>
        <w:t>A</w:t>
      </w:r>
      <w:r>
        <w:rPr>
          <w:spacing w:val="-5"/>
          <w:sz w:val="24"/>
        </w:rPr>
        <w:t xml:space="preserve"> </w:t>
      </w:r>
      <w:r>
        <w:rPr>
          <w:sz w:val="24"/>
        </w:rPr>
        <w:t>and</w:t>
      </w:r>
      <w:r>
        <w:rPr>
          <w:spacing w:val="-4"/>
          <w:sz w:val="24"/>
        </w:rPr>
        <w:t xml:space="preserve"> </w:t>
      </w:r>
      <w:r>
        <w:rPr>
          <w:sz w:val="24"/>
        </w:rPr>
        <w:t>B) Subsection C is the weighted average total of subsections A and B.</w:t>
      </w:r>
    </w:p>
    <w:p>
      <w:pPr>
        <w:pStyle w:val="BodyText"/>
        <w:spacing w:before="3"/>
        <w:ind w:right="1481"/>
      </w:pPr>
      <w:r>
        <w:t>Non-benefit expenses and gain/loss margin are entered in Section IIC to establish the bid’s revenue requirements for the contract year. Values are allocated between Medicare-covered services and A/B mandatory supplemental benefits and reflect the bid’s risk factor for the contract</w:t>
      </w:r>
      <w:r>
        <w:rPr>
          <w:spacing w:val="-3"/>
        </w:rPr>
        <w:t xml:space="preserve"> </w:t>
      </w:r>
      <w:r>
        <w:t>period.</w:t>
      </w:r>
      <w:r>
        <w:rPr>
          <w:spacing w:val="-1"/>
        </w:rPr>
        <w:t xml:space="preserve"> </w:t>
      </w:r>
      <w:r>
        <w:t>In</w:t>
      </w:r>
      <w:r>
        <w:rPr>
          <w:spacing w:val="-3"/>
        </w:rPr>
        <w:t xml:space="preserve"> </w:t>
      </w:r>
      <w:r>
        <w:t>Section</w:t>
      </w:r>
      <w:r>
        <w:rPr>
          <w:spacing w:val="-3"/>
        </w:rPr>
        <w:t xml:space="preserve"> </w:t>
      </w:r>
      <w:r>
        <w:t>III,</w:t>
      </w:r>
      <w:r>
        <w:rPr>
          <w:spacing w:val="-3"/>
        </w:rPr>
        <w:t xml:space="preserve"> </w:t>
      </w:r>
      <w:r>
        <w:t>the</w:t>
      </w:r>
      <w:r>
        <w:rPr>
          <w:spacing w:val="-4"/>
        </w:rPr>
        <w:t xml:space="preserve"> </w:t>
      </w:r>
      <w:r>
        <w:t>MAO</w:t>
      </w:r>
      <w:r>
        <w:rPr>
          <w:spacing w:val="-4"/>
        </w:rPr>
        <w:t xml:space="preserve"> </w:t>
      </w:r>
      <w:r>
        <w:t>may</w:t>
      </w:r>
      <w:r>
        <w:rPr>
          <w:spacing w:val="-3"/>
        </w:rPr>
        <w:t xml:space="preserve"> </w:t>
      </w:r>
      <w:r>
        <w:t>enter</w:t>
      </w:r>
      <w:r>
        <w:rPr>
          <w:spacing w:val="-3"/>
        </w:rPr>
        <w:t xml:space="preserve"> </w:t>
      </w:r>
      <w:r>
        <w:t>the</w:t>
      </w:r>
      <w:r>
        <w:rPr>
          <w:spacing w:val="-5"/>
        </w:rPr>
        <w:t xml:space="preserve"> </w:t>
      </w:r>
      <w:r>
        <w:t>projected</w:t>
      </w:r>
      <w:r>
        <w:rPr>
          <w:spacing w:val="-3"/>
        </w:rPr>
        <w:t xml:space="preserve"> </w:t>
      </w:r>
      <w:r>
        <w:t>ESRD</w:t>
      </w:r>
      <w:r>
        <w:rPr>
          <w:spacing w:val="-4"/>
        </w:rPr>
        <w:t xml:space="preserve"> </w:t>
      </w:r>
      <w:r>
        <w:t>“subsidy.”</w:t>
      </w:r>
      <w:r>
        <w:rPr>
          <w:spacing w:val="-4"/>
        </w:rPr>
        <w:t xml:space="preserve"> </w:t>
      </w:r>
      <w:r>
        <w:t>Section</w:t>
      </w:r>
      <w:r>
        <w:rPr>
          <w:spacing w:val="-3"/>
        </w:rPr>
        <w:t xml:space="preserve"> </w:t>
      </w:r>
      <w:r>
        <w:t>III must be completed for all C-SNPs that target CKD.</w:t>
      </w:r>
    </w:p>
    <w:p>
      <w:pPr>
        <w:pStyle w:val="BodyText"/>
        <w:spacing w:before="120"/>
      </w:pPr>
      <w:r>
        <w:t>Section</w:t>
      </w:r>
      <w:r>
        <w:rPr>
          <w:spacing w:val="-2"/>
        </w:rPr>
        <w:t xml:space="preserve"> </w:t>
      </w:r>
      <w:r>
        <w:t>IV</w:t>
      </w:r>
      <w:r>
        <w:rPr>
          <w:spacing w:val="-3"/>
        </w:rPr>
        <w:t xml:space="preserve"> </w:t>
      </w:r>
      <w:r>
        <w:t>captures</w:t>
      </w:r>
      <w:r>
        <w:rPr>
          <w:spacing w:val="-3"/>
        </w:rPr>
        <w:t xml:space="preserve"> </w:t>
      </w:r>
      <w:r>
        <w:t>projected</w:t>
      </w:r>
      <w:r>
        <w:rPr>
          <w:spacing w:val="-2"/>
        </w:rPr>
        <w:t xml:space="preserve"> </w:t>
      </w:r>
      <w:r>
        <w:t>Medicaid</w:t>
      </w:r>
      <w:r>
        <w:rPr>
          <w:spacing w:val="-1"/>
        </w:rPr>
        <w:t xml:space="preserve"> </w:t>
      </w:r>
      <w:r>
        <w:rPr>
          <w:spacing w:val="-2"/>
        </w:rPr>
        <w:t>data.</w:t>
      </w:r>
    </w:p>
    <w:p>
      <w:pPr>
        <w:pStyle w:val="BodyText"/>
        <w:spacing w:before="120"/>
        <w:ind w:right="1481"/>
      </w:pPr>
      <w:r>
        <w:t>See</w:t>
      </w:r>
      <w:r>
        <w:rPr>
          <w:spacing w:val="-5"/>
        </w:rPr>
        <w:t xml:space="preserve"> </w:t>
      </w:r>
      <w:r>
        <w:t>the</w:t>
      </w:r>
      <w:r>
        <w:rPr>
          <w:spacing w:val="-5"/>
        </w:rPr>
        <w:t xml:space="preserve"> </w:t>
      </w:r>
      <w:r>
        <w:t>“Dual-Eligible</w:t>
      </w:r>
      <w:r>
        <w:rPr>
          <w:spacing w:val="-4"/>
        </w:rPr>
        <w:t xml:space="preserve"> </w:t>
      </w:r>
      <w:r>
        <w:t>Beneficiaries”</w:t>
      </w:r>
      <w:r>
        <w:rPr>
          <w:spacing w:val="-5"/>
        </w:rPr>
        <w:t xml:space="preserve"> </w:t>
      </w:r>
      <w:r>
        <w:t>pricing</w:t>
      </w:r>
      <w:r>
        <w:rPr>
          <w:spacing w:val="-4"/>
        </w:rPr>
        <w:t xml:space="preserve"> </w:t>
      </w:r>
      <w:r>
        <w:t>consideration</w:t>
      </w:r>
      <w:r>
        <w:rPr>
          <w:spacing w:val="-3"/>
        </w:rPr>
        <w:t xml:space="preserve"> </w:t>
      </w:r>
      <w:r>
        <w:t>for</w:t>
      </w:r>
      <w:r>
        <w:rPr>
          <w:spacing w:val="-6"/>
        </w:rPr>
        <w:t xml:space="preserve"> </w:t>
      </w:r>
      <w:r>
        <w:t>information</w:t>
      </w:r>
      <w:r>
        <w:rPr>
          <w:spacing w:val="-4"/>
        </w:rPr>
        <w:t xml:space="preserve"> </w:t>
      </w:r>
      <w:r>
        <w:t>on</w:t>
      </w:r>
      <w:r>
        <w:rPr>
          <w:spacing w:val="-4"/>
        </w:rPr>
        <w:t xml:space="preserve"> </w:t>
      </w:r>
      <w:r>
        <w:t>completing Worksheet 4 for DE# beneficiaries.</w:t>
      </w:r>
    </w:p>
    <w:p>
      <w:pPr>
        <w:pStyle w:val="BodyText"/>
        <w:spacing w:before="45"/>
        <w:ind w:left="0"/>
      </w:pPr>
    </w:p>
    <w:p>
      <w:pPr>
        <w:pStyle w:val="Heading2"/>
      </w:pPr>
      <w:bookmarkStart w:id="191" w:name="_bookmark58"/>
      <w:bookmarkEnd w:id="191"/>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80"/>
      </w:pPr>
      <w:r>
        <w:t>This</w:t>
      </w:r>
      <w:r>
        <w:rPr>
          <w:spacing w:val="-3"/>
        </w:rPr>
        <w:t xml:space="preserve"> </w:t>
      </w:r>
      <w:r>
        <w:t>section</w:t>
      </w:r>
      <w:r>
        <w:rPr>
          <w:spacing w:val="-2"/>
        </w:rPr>
        <w:t xml:space="preserve"> </w:t>
      </w:r>
      <w:r>
        <w:t>displays</w:t>
      </w:r>
      <w:r>
        <w:rPr>
          <w:spacing w:val="-3"/>
        </w:rPr>
        <w:t xml:space="preserve"> </w:t>
      </w:r>
      <w:r>
        <w:t>the</w:t>
      </w:r>
      <w:r>
        <w:rPr>
          <w:spacing w:val="-3"/>
        </w:rPr>
        <w:t xml:space="preserve"> </w:t>
      </w:r>
      <w:r>
        <w:t>information</w:t>
      </w:r>
      <w:r>
        <w:rPr>
          <w:spacing w:val="-2"/>
        </w:rPr>
        <w:t xml:space="preserve"> </w:t>
      </w:r>
      <w:r>
        <w:t>entered</w:t>
      </w:r>
      <w:r>
        <w:rPr>
          <w:spacing w:val="-2"/>
        </w:rPr>
        <w:t xml:space="preserve"> </w:t>
      </w:r>
      <w:r>
        <w:t>on</w:t>
      </w:r>
      <w:r>
        <w:rPr>
          <w:spacing w:val="2"/>
        </w:rPr>
        <w:t xml:space="preserve"> </w:t>
      </w:r>
      <w:r>
        <w:t>Worksheet</w:t>
      </w:r>
      <w:r>
        <w:rPr>
          <w:spacing w:val="-2"/>
        </w:rPr>
        <w:t xml:space="preserve"> </w:t>
      </w:r>
      <w:r>
        <w:t>1,</w:t>
      </w:r>
      <w:r>
        <w:rPr>
          <w:spacing w:val="-2"/>
        </w:rPr>
        <w:t xml:space="preserve"> </w:t>
      </w:r>
      <w:r>
        <w:t>Section</w:t>
      </w:r>
      <w:r>
        <w:rPr>
          <w:spacing w:val="-1"/>
        </w:rPr>
        <w:t xml:space="preserve"> </w:t>
      </w:r>
      <w:r>
        <w:rPr>
          <w:spacing w:val="-5"/>
        </w:rPr>
        <w:t>I.</w:t>
      </w:r>
    </w:p>
    <w:p>
      <w:pPr>
        <w:pStyle w:val="BodyText"/>
        <w:spacing w:before="45"/>
        <w:ind w:left="0"/>
      </w:pPr>
    </w:p>
    <w:p>
      <w:pPr>
        <w:pStyle w:val="Heading2"/>
      </w:pPr>
      <w:bookmarkStart w:id="192" w:name="Section II – Development of Projected Re"/>
      <w:bookmarkEnd w:id="192"/>
      <w:bookmarkStart w:id="193" w:name="_bookmark59"/>
      <w:bookmarkEnd w:id="193"/>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Development</w:t>
      </w:r>
      <w:r>
        <w:rPr>
          <w:smallCaps/>
          <w:spacing w:val="-10"/>
        </w:rPr>
        <w:t xml:space="preserve"> </w:t>
      </w:r>
      <w:r>
        <w:rPr>
          <w:smallCaps/>
        </w:rPr>
        <w:t>of</w:t>
      </w:r>
      <w:r>
        <w:rPr>
          <w:smallCaps/>
          <w:spacing w:val="-7"/>
        </w:rPr>
        <w:t xml:space="preserve"> </w:t>
      </w:r>
      <w:r>
        <w:rPr>
          <w:smallCaps/>
        </w:rPr>
        <w:t>Projected</w:t>
      </w:r>
      <w:r>
        <w:rPr>
          <w:smallCaps/>
          <w:spacing w:val="-7"/>
        </w:rPr>
        <w:t xml:space="preserve"> </w:t>
      </w:r>
      <w:r>
        <w:rPr>
          <w:smallCaps/>
        </w:rPr>
        <w:t>Revenue</w:t>
      </w:r>
      <w:r>
        <w:rPr>
          <w:smallCaps/>
          <w:spacing w:val="-8"/>
        </w:rPr>
        <w:t xml:space="preserve"> </w:t>
      </w:r>
      <w:r>
        <w:rPr>
          <w:smallCaps/>
          <w:spacing w:val="-2"/>
        </w:rPr>
        <w:t>Requirement</w:t>
      </w:r>
    </w:p>
    <w:p>
      <w:pPr>
        <w:spacing w:before="238"/>
        <w:ind w:left="504" w:right="1481" w:firstLine="0"/>
        <w:jc w:val="left"/>
        <w:rPr>
          <w:rFonts w:ascii="Arial" w:hAnsi="Arial"/>
          <w:b/>
          <w:sz w:val="21"/>
        </w:rPr>
      </w:pPr>
      <w:bookmarkStart w:id="194" w:name="SUBSECTION A – Non-Dual-Eligible Benefic"/>
      <w:bookmarkEnd w:id="194"/>
      <w:r>
        <w:rPr>
          <w:rFonts w:ascii="Arial" w:hAnsi="Arial"/>
          <w:b/>
          <w:sz w:val="21"/>
        </w:rPr>
        <w:t>SUBSECTION</w:t>
      </w:r>
      <w:r>
        <w:rPr>
          <w:rFonts w:ascii="Arial" w:hAnsi="Arial"/>
          <w:b/>
          <w:spacing w:val="-4"/>
          <w:sz w:val="21"/>
        </w:rPr>
        <w:t xml:space="preserve"> </w:t>
      </w:r>
      <w:r>
        <w:rPr>
          <w:rFonts w:ascii="Arial" w:hAnsi="Arial"/>
          <w:b/>
          <w:sz w:val="21"/>
        </w:rPr>
        <w:t>A</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z w:val="21"/>
        </w:rPr>
        <w:t>Non-Dual-Eligible</w:t>
      </w:r>
      <w:r>
        <w:rPr>
          <w:rFonts w:ascii="Arial" w:hAnsi="Arial"/>
          <w:b/>
          <w:spacing w:val="-6"/>
          <w:sz w:val="21"/>
        </w:rPr>
        <w:t xml:space="preserve"> </w:t>
      </w:r>
      <w:r>
        <w:rPr>
          <w:rFonts w:ascii="Arial" w:hAnsi="Arial"/>
          <w:b/>
          <w:sz w:val="21"/>
        </w:rPr>
        <w:t>Beneficiaries</w:t>
      </w:r>
      <w:r>
        <w:rPr>
          <w:rFonts w:ascii="Arial" w:hAnsi="Arial"/>
          <w:b/>
          <w:spacing w:val="-3"/>
          <w:sz w:val="21"/>
        </w:rPr>
        <w:t xml:space="preserve"> </w:t>
      </w:r>
      <w:r>
        <w:rPr>
          <w:rFonts w:ascii="Arial" w:hAnsi="Arial"/>
          <w:b/>
          <w:sz w:val="21"/>
        </w:rPr>
        <w:t>and</w:t>
      </w:r>
      <w:r>
        <w:rPr>
          <w:rFonts w:ascii="Arial" w:hAnsi="Arial"/>
          <w:b/>
          <w:spacing w:val="-5"/>
          <w:sz w:val="21"/>
        </w:rPr>
        <w:t xml:space="preserve"> </w:t>
      </w:r>
      <w:r>
        <w:rPr>
          <w:rFonts w:ascii="Arial" w:hAnsi="Arial"/>
          <w:b/>
          <w:sz w:val="21"/>
        </w:rPr>
        <w:t>Dual-Eligible</w:t>
      </w:r>
      <w:r>
        <w:rPr>
          <w:rFonts w:ascii="Arial" w:hAnsi="Arial"/>
          <w:b/>
          <w:spacing w:val="-6"/>
          <w:sz w:val="21"/>
        </w:rPr>
        <w:t xml:space="preserve"> </w:t>
      </w:r>
      <w:r>
        <w:rPr>
          <w:rFonts w:ascii="Arial" w:hAnsi="Arial"/>
          <w:b/>
          <w:sz w:val="21"/>
        </w:rPr>
        <w:t>Beneficiaries</w:t>
      </w:r>
      <w:r>
        <w:rPr>
          <w:rFonts w:ascii="Arial" w:hAnsi="Arial"/>
          <w:b/>
          <w:spacing w:val="-2"/>
          <w:sz w:val="21"/>
        </w:rPr>
        <w:t xml:space="preserve"> </w:t>
      </w:r>
      <w:r>
        <w:rPr>
          <w:rFonts w:ascii="Arial" w:hAnsi="Arial"/>
          <w:b/>
          <w:sz w:val="21"/>
        </w:rPr>
        <w:t>with</w:t>
      </w:r>
      <w:r>
        <w:rPr>
          <w:rFonts w:ascii="Arial" w:hAnsi="Arial"/>
          <w:b/>
          <w:spacing w:val="-3"/>
          <w:sz w:val="21"/>
        </w:rPr>
        <w:t xml:space="preserve"> </w:t>
      </w:r>
      <w:r>
        <w:rPr>
          <w:rFonts w:ascii="Arial" w:hAnsi="Arial"/>
          <w:b/>
          <w:sz w:val="21"/>
        </w:rPr>
        <w:t>Full Medicare Cost-Sharing Liability (Non-DE#)</w:t>
      </w:r>
    </w:p>
    <w:p>
      <w:pPr>
        <w:pStyle w:val="BodyText"/>
        <w:spacing w:before="121"/>
        <w:ind w:right="1619"/>
      </w:pPr>
      <w:r>
        <w:t>The</w:t>
      </w:r>
      <w:r>
        <w:rPr>
          <w:spacing w:val="-5"/>
        </w:rPr>
        <w:t xml:space="preserve"> </w:t>
      </w:r>
      <w:r>
        <w:t>risk</w:t>
      </w:r>
      <w:r>
        <w:rPr>
          <w:spacing w:val="-3"/>
        </w:rPr>
        <w:t xml:space="preserve"> </w:t>
      </w:r>
      <w:r>
        <w:t>factor</w:t>
      </w:r>
      <w:r>
        <w:rPr>
          <w:spacing w:val="-4"/>
        </w:rPr>
        <w:t xml:space="preserve"> </w:t>
      </w:r>
      <w:r>
        <w:t>for</w:t>
      </w:r>
      <w:r>
        <w:rPr>
          <w:spacing w:val="-5"/>
        </w:rPr>
        <w:t xml:space="preserve"> </w:t>
      </w:r>
      <w:r>
        <w:t>non-DE#</w:t>
      </w:r>
      <w:r>
        <w:rPr>
          <w:spacing w:val="-3"/>
        </w:rPr>
        <w:t xml:space="preserve"> </w:t>
      </w:r>
      <w:r>
        <w:t>beneficiaries</w:t>
      </w:r>
      <w:r>
        <w:rPr>
          <w:spacing w:val="-3"/>
        </w:rPr>
        <w:t xml:space="preserve"> </w:t>
      </w:r>
      <w:r>
        <w:t>is</w:t>
      </w:r>
      <w:r>
        <w:rPr>
          <w:spacing w:val="-4"/>
        </w:rPr>
        <w:t xml:space="preserve"> </w:t>
      </w:r>
      <w:r>
        <w:t>obtained</w:t>
      </w:r>
      <w:r>
        <w:rPr>
          <w:spacing w:val="-3"/>
        </w:rPr>
        <w:t xml:space="preserve"> </w:t>
      </w:r>
      <w:r>
        <w:t>from</w:t>
      </w:r>
      <w:r>
        <w:rPr>
          <w:spacing w:val="-2"/>
        </w:rPr>
        <w:t xml:space="preserve"> </w:t>
      </w:r>
      <w:r>
        <w:t>Worksheet</w:t>
      </w:r>
      <w:r>
        <w:rPr>
          <w:spacing w:val="-3"/>
        </w:rPr>
        <w:t xml:space="preserve"> </w:t>
      </w:r>
      <w:r>
        <w:t>5</w:t>
      </w:r>
      <w:r>
        <w:rPr>
          <w:spacing w:val="-3"/>
        </w:rPr>
        <w:t xml:space="preserve"> </w:t>
      </w:r>
      <w:r>
        <w:t>and</w:t>
      </w:r>
      <w:r>
        <w:rPr>
          <w:spacing w:val="-1"/>
        </w:rPr>
        <w:t xml:space="preserve"> </w:t>
      </w:r>
      <w:r>
        <w:t>displayed</w:t>
      </w:r>
      <w:r>
        <w:rPr>
          <w:spacing w:val="-3"/>
        </w:rPr>
        <w:t xml:space="preserve"> </w:t>
      </w:r>
      <w:r>
        <w:t>at</w:t>
      </w:r>
      <w:r>
        <w:rPr>
          <w:spacing w:val="-3"/>
        </w:rPr>
        <w:t xml:space="preserve"> </w:t>
      </w:r>
      <w:r>
        <w:t>the top of this section.</w:t>
      </w:r>
    </w:p>
    <w:p>
      <w:pPr>
        <w:spacing w:before="240"/>
        <w:ind w:left="504" w:right="0" w:firstLine="0"/>
        <w:jc w:val="left"/>
        <w:rPr>
          <w:rFonts w:ascii="Arial"/>
          <w:b/>
          <w:sz w:val="21"/>
        </w:rPr>
      </w:pPr>
      <w:r>
        <w:rPr>
          <w:rFonts w:ascii="Arial"/>
          <w:b/>
          <w:sz w:val="21"/>
        </w:rPr>
        <w:t>In</w:t>
      </w:r>
      <w:r>
        <w:rPr>
          <w:rFonts w:ascii="Arial"/>
          <w:b/>
          <w:spacing w:val="-4"/>
          <w:sz w:val="21"/>
        </w:rPr>
        <w:t xml:space="preserve"> </w:t>
      </w:r>
      <w:r>
        <w:rPr>
          <w:rFonts w:ascii="Arial"/>
          <w:b/>
          <w:sz w:val="21"/>
        </w:rPr>
        <w:t>lines</w:t>
      </w:r>
      <w:r>
        <w:rPr>
          <w:rFonts w:ascii="Arial"/>
          <w:b/>
          <w:spacing w:val="-4"/>
          <w:sz w:val="21"/>
        </w:rPr>
        <w:t xml:space="preserve"> </w:t>
      </w:r>
      <w:r>
        <w:rPr>
          <w:rFonts w:ascii="Arial"/>
          <w:b/>
          <w:sz w:val="21"/>
        </w:rPr>
        <w:t>a</w:t>
      </w:r>
      <w:r>
        <w:rPr>
          <w:rFonts w:ascii="Arial"/>
          <w:b/>
          <w:spacing w:val="-4"/>
          <w:sz w:val="21"/>
        </w:rPr>
        <w:t xml:space="preserve"> </w:t>
      </w:r>
      <w:r>
        <w:rPr>
          <w:rFonts w:ascii="Arial"/>
          <w:b/>
          <w:sz w:val="21"/>
        </w:rPr>
        <w:t>through</w:t>
      </w:r>
      <w:r>
        <w:rPr>
          <w:rFonts w:ascii="Arial"/>
          <w:b/>
          <w:spacing w:val="-3"/>
          <w:sz w:val="21"/>
        </w:rPr>
        <w:t xml:space="preserve"> </w:t>
      </w:r>
      <w:r>
        <w:rPr>
          <w:rFonts w:ascii="Arial"/>
          <w:b/>
          <w:spacing w:val="-5"/>
          <w:sz w:val="21"/>
        </w:rPr>
        <w:t>r:</w:t>
      </w:r>
    </w:p>
    <w:p>
      <w:pPr>
        <w:pStyle w:val="ListParagraph"/>
        <w:numPr>
          <w:ilvl w:val="0"/>
          <w:numId w:val="43"/>
        </w:numPr>
        <w:tabs>
          <w:tab w:val="left" w:pos="1223"/>
        </w:tabs>
        <w:spacing w:before="119" w:after="0" w:line="240" w:lineRule="auto"/>
        <w:ind w:left="1223"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e</w:t>
      </w:r>
      <w:r>
        <w:rPr>
          <w:rFonts w:ascii="Arial" w:hAnsi="Arial"/>
          <w:b/>
          <w:spacing w:val="-3"/>
          <w:sz w:val="21"/>
        </w:rPr>
        <w:t xml:space="preserve"> </w:t>
      </w:r>
      <w:r>
        <w:rPr>
          <w:rFonts w:ascii="Arial" w:hAnsi="Arial"/>
          <w:b/>
          <w:sz w:val="21"/>
        </w:rPr>
        <w:t>–</w:t>
      </w:r>
      <w:r>
        <w:rPr>
          <w:rFonts w:ascii="Arial" w:hAnsi="Arial"/>
          <w:b/>
          <w:spacing w:val="-6"/>
          <w:sz w:val="21"/>
        </w:rPr>
        <w:t xml:space="preserve"> </w:t>
      </w:r>
      <w:r>
        <w:rPr>
          <w:rFonts w:ascii="Arial" w:hAnsi="Arial"/>
          <w:b/>
          <w:sz w:val="21"/>
        </w:rPr>
        <w:t>Allowed</w:t>
      </w:r>
      <w:r>
        <w:rPr>
          <w:rFonts w:ascii="Arial" w:hAnsi="Arial"/>
          <w:b/>
          <w:spacing w:val="-2"/>
          <w:sz w:val="21"/>
        </w:rPr>
        <w:t xml:space="preserve"> </w:t>
      </w:r>
      <w:r>
        <w:rPr>
          <w:rFonts w:ascii="Arial" w:hAnsi="Arial"/>
          <w:b/>
          <w:sz w:val="21"/>
        </w:rPr>
        <w:t>PMPM</w:t>
      </w:r>
      <w:r>
        <w:rPr>
          <w:rFonts w:ascii="Arial" w:hAnsi="Arial"/>
          <w:b/>
          <w:spacing w:val="-5"/>
          <w:sz w:val="21"/>
        </w:rPr>
        <w:t xml:space="preserve"> </w:t>
      </w:r>
      <w:r>
        <w:rPr>
          <w:rFonts w:ascii="Arial" w:hAnsi="Arial"/>
          <w:b/>
          <w:sz w:val="21"/>
        </w:rPr>
        <w:t>for</w:t>
      </w:r>
      <w:r>
        <w:rPr>
          <w:rFonts w:ascii="Arial" w:hAnsi="Arial"/>
          <w:b/>
          <w:spacing w:val="-6"/>
          <w:sz w:val="21"/>
        </w:rPr>
        <w:t xml:space="preserve"> </w:t>
      </w:r>
      <w:r>
        <w:rPr>
          <w:rFonts w:ascii="Arial" w:hAnsi="Arial"/>
          <w:b/>
          <w:sz w:val="21"/>
        </w:rPr>
        <w:t>Total</w:t>
      </w:r>
      <w:r>
        <w:rPr>
          <w:rFonts w:ascii="Arial" w:hAnsi="Arial"/>
          <w:b/>
          <w:spacing w:val="-4"/>
          <w:sz w:val="21"/>
        </w:rPr>
        <w:t xml:space="preserve"> </w:t>
      </w:r>
      <w:r>
        <w:rPr>
          <w:rFonts w:ascii="Arial" w:hAnsi="Arial"/>
          <w:b/>
          <w:spacing w:val="-2"/>
          <w:sz w:val="21"/>
        </w:rPr>
        <w:t>Benefits</w:t>
      </w:r>
    </w:p>
    <w:p>
      <w:pPr>
        <w:pStyle w:val="BodyText"/>
        <w:spacing w:before="121"/>
        <w:ind w:left="1224"/>
      </w:pPr>
      <w:r>
        <w:t>The</w:t>
      </w:r>
      <w:r>
        <w:rPr>
          <w:spacing w:val="-6"/>
        </w:rPr>
        <w:t xml:space="preserve"> </w:t>
      </w:r>
      <w:r>
        <w:t>allowed</w:t>
      </w:r>
      <w:r>
        <w:rPr>
          <w:spacing w:val="-1"/>
        </w:rPr>
        <w:t xml:space="preserve"> </w:t>
      </w:r>
      <w:r>
        <w:t>PMPM</w:t>
      </w:r>
      <w:r>
        <w:rPr>
          <w:spacing w:val="-2"/>
        </w:rPr>
        <w:t xml:space="preserve"> </w:t>
      </w:r>
      <w:r>
        <w:t>is</w:t>
      </w:r>
      <w:r>
        <w:rPr>
          <w:spacing w:val="-1"/>
        </w:rPr>
        <w:t xml:space="preserve"> </w:t>
      </w:r>
      <w:r>
        <w:t>obtained</w:t>
      </w:r>
      <w:r>
        <w:rPr>
          <w:spacing w:val="-1"/>
        </w:rPr>
        <w:t xml:space="preserve"> </w:t>
      </w:r>
      <w:r>
        <w:t>from</w:t>
      </w:r>
      <w:r>
        <w:rPr>
          <w:spacing w:val="-2"/>
        </w:rPr>
        <w:t xml:space="preserve"> </w:t>
      </w:r>
      <w:r>
        <w:t>column</w:t>
      </w:r>
      <w:r>
        <w:rPr>
          <w:spacing w:val="1"/>
        </w:rPr>
        <w:t xml:space="preserve"> </w:t>
      </w:r>
      <w:r>
        <w:t>p</w:t>
      </w:r>
      <w:r>
        <w:rPr>
          <w:spacing w:val="-1"/>
        </w:rPr>
        <w:t xml:space="preserve"> </w:t>
      </w:r>
      <w:r>
        <w:t>of Worksheet</w:t>
      </w:r>
      <w:r>
        <w:rPr>
          <w:spacing w:val="-1"/>
        </w:rPr>
        <w:t xml:space="preserve"> </w:t>
      </w:r>
      <w:r>
        <w:rPr>
          <w:spacing w:val="-5"/>
        </w:rPr>
        <w:t>2.</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f</w:t>
      </w:r>
      <w:r>
        <w:rPr>
          <w:rFonts w:ascii="Arial" w:hAnsi="Arial"/>
          <w:b/>
          <w:spacing w:val="-5"/>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3"/>
          <w:sz w:val="21"/>
        </w:rPr>
        <w:t xml:space="preserve"> </w:t>
      </w:r>
      <w:r>
        <w:rPr>
          <w:rFonts w:ascii="Arial" w:hAnsi="Arial"/>
          <w:b/>
          <w:sz w:val="21"/>
        </w:rPr>
        <w:t>Cost</w:t>
      </w:r>
      <w:r>
        <w:rPr>
          <w:rFonts w:ascii="Arial" w:hAnsi="Arial"/>
          <w:b/>
          <w:spacing w:val="-4"/>
          <w:sz w:val="21"/>
        </w:rPr>
        <w:t xml:space="preserve"> </w:t>
      </w:r>
      <w:r>
        <w:rPr>
          <w:rFonts w:ascii="Arial" w:hAnsi="Arial"/>
          <w:b/>
          <w:sz w:val="21"/>
        </w:rPr>
        <w:t>Sharing</w:t>
      </w:r>
      <w:r>
        <w:rPr>
          <w:rFonts w:ascii="Arial" w:hAnsi="Arial"/>
          <w:b/>
          <w:spacing w:val="-3"/>
          <w:sz w:val="21"/>
        </w:rPr>
        <w:t xml:space="preserve"> </w:t>
      </w:r>
      <w:r>
        <w:rPr>
          <w:rFonts w:ascii="Arial" w:hAnsi="Arial"/>
          <w:b/>
          <w:sz w:val="21"/>
        </w:rPr>
        <w:t>for</w:t>
      </w:r>
      <w:r>
        <w:rPr>
          <w:rFonts w:ascii="Arial" w:hAnsi="Arial"/>
          <w:b/>
          <w:spacing w:val="-6"/>
          <w:sz w:val="21"/>
        </w:rPr>
        <w:t xml:space="preserve"> </w:t>
      </w:r>
      <w:r>
        <w:rPr>
          <w:rFonts w:ascii="Arial" w:hAnsi="Arial"/>
          <w:b/>
          <w:sz w:val="21"/>
        </w:rPr>
        <w:t>Total</w:t>
      </w:r>
      <w:r>
        <w:rPr>
          <w:rFonts w:ascii="Arial" w:hAnsi="Arial"/>
          <w:b/>
          <w:spacing w:val="-4"/>
          <w:sz w:val="21"/>
        </w:rPr>
        <w:t xml:space="preserve"> </w:t>
      </w:r>
      <w:r>
        <w:rPr>
          <w:rFonts w:ascii="Arial" w:hAnsi="Arial"/>
          <w:b/>
          <w:spacing w:val="-2"/>
          <w:sz w:val="21"/>
        </w:rPr>
        <w:t>Benefits</w:t>
      </w:r>
    </w:p>
    <w:p>
      <w:pPr>
        <w:pStyle w:val="BodyText"/>
        <w:spacing w:before="117"/>
        <w:ind w:left="1224" w:right="1608"/>
      </w:pPr>
      <w:r>
        <w:t>The total in-network and out-of-network cost sharing PMPMs are obtained from column o of Worksheet 3 for each service category (except for line r). If additional cost-sharing</w:t>
      </w:r>
      <w:r>
        <w:rPr>
          <w:spacing w:val="-3"/>
        </w:rPr>
        <w:t xml:space="preserve"> </w:t>
      </w:r>
      <w:r>
        <w:t>lines</w:t>
      </w:r>
      <w:r>
        <w:rPr>
          <w:spacing w:val="-3"/>
        </w:rPr>
        <w:t xml:space="preserve"> </w:t>
      </w:r>
      <w:r>
        <w:t>are</w:t>
      </w:r>
      <w:r>
        <w:rPr>
          <w:spacing w:val="-4"/>
        </w:rPr>
        <w:t xml:space="preserve"> </w:t>
      </w:r>
      <w:r>
        <w:t>entered</w:t>
      </w:r>
      <w:r>
        <w:rPr>
          <w:spacing w:val="-3"/>
        </w:rPr>
        <w:t xml:space="preserve"> </w:t>
      </w:r>
      <w:r>
        <w:t>on</w:t>
      </w:r>
      <w:r>
        <w:rPr>
          <w:spacing w:val="-3"/>
        </w:rPr>
        <w:t xml:space="preserve"> </w:t>
      </w:r>
      <w:r>
        <w:t>Worksheet</w:t>
      </w:r>
      <w:r>
        <w:rPr>
          <w:spacing w:val="-3"/>
        </w:rPr>
        <w:t xml:space="preserve"> </w:t>
      </w:r>
      <w:r>
        <w:t>3,</w:t>
      </w:r>
      <w:r>
        <w:rPr>
          <w:spacing w:val="-3"/>
        </w:rPr>
        <w:t xml:space="preserve"> </w:t>
      </w:r>
      <w:r>
        <w:t>then</w:t>
      </w:r>
      <w:r>
        <w:rPr>
          <w:spacing w:val="-3"/>
        </w:rPr>
        <w:t xml:space="preserve"> </w:t>
      </w:r>
      <w:r>
        <w:t>verify</w:t>
      </w:r>
      <w:r>
        <w:rPr>
          <w:spacing w:val="-3"/>
        </w:rPr>
        <w:t xml:space="preserve"> </w:t>
      </w:r>
      <w:r>
        <w:t>that</w:t>
      </w:r>
      <w:r>
        <w:rPr>
          <w:spacing w:val="-3"/>
        </w:rPr>
        <w:t xml:space="preserve"> </w:t>
      </w:r>
      <w:r>
        <w:t>the</w:t>
      </w:r>
      <w:r>
        <w:rPr>
          <w:spacing w:val="-4"/>
        </w:rPr>
        <w:t xml:space="preserve"> </w:t>
      </w:r>
      <w:r>
        <w:t>total</w:t>
      </w:r>
      <w:r>
        <w:rPr>
          <w:spacing w:val="-3"/>
        </w:rPr>
        <w:t xml:space="preserve"> </w:t>
      </w:r>
      <w:r>
        <w:t>cost</w:t>
      </w:r>
      <w:r>
        <w:rPr>
          <w:spacing w:val="-3"/>
        </w:rPr>
        <w:t xml:space="preserve"> </w:t>
      </w:r>
      <w:r>
        <w:t>sharing</w:t>
      </w:r>
      <w:r>
        <w:rPr>
          <w:spacing w:val="-2"/>
        </w:rPr>
        <w:t xml:space="preserve"> </w:t>
      </w:r>
      <w:r>
        <w:t>on Worksheet 4 equals the total on Worksheet 3.</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g</w:t>
      </w:r>
      <w:r>
        <w:rPr>
          <w:rFonts w:ascii="Arial" w:hAnsi="Arial"/>
          <w:b/>
          <w:spacing w:val="-1"/>
          <w:sz w:val="21"/>
        </w:rPr>
        <w:t xml:space="preserve"> </w:t>
      </w:r>
      <w:r>
        <w:rPr>
          <w:rFonts w:ascii="Arial" w:hAnsi="Arial"/>
          <w:b/>
          <w:sz w:val="21"/>
        </w:rPr>
        <w:t>–</w:t>
      </w:r>
      <w:r>
        <w:rPr>
          <w:rFonts w:ascii="Arial" w:hAnsi="Arial"/>
          <w:b/>
          <w:spacing w:val="-2"/>
          <w:sz w:val="21"/>
        </w:rPr>
        <w:t xml:space="preserve"> </w:t>
      </w:r>
      <w:r>
        <w:rPr>
          <w:rFonts w:ascii="Arial" w:hAnsi="Arial"/>
          <w:b/>
          <w:spacing w:val="-5"/>
          <w:sz w:val="21"/>
        </w:rPr>
        <w:t>N/A</w:t>
      </w:r>
    </w:p>
    <w:p>
      <w:pPr>
        <w:pStyle w:val="BodyText"/>
        <w:spacing w:before="120"/>
        <w:ind w:left="1224"/>
      </w:pPr>
      <w:r>
        <w:t>This</w:t>
      </w:r>
      <w:r>
        <w:rPr>
          <w:spacing w:val="-2"/>
        </w:rPr>
        <w:t xml:space="preserve"> </w:t>
      </w:r>
      <w:r>
        <w:t>column</w:t>
      </w:r>
      <w:r>
        <w:rPr>
          <w:spacing w:val="-1"/>
        </w:rPr>
        <w:t xml:space="preserve"> </w:t>
      </w:r>
      <w:r>
        <w:t>is</w:t>
      </w:r>
      <w:r>
        <w:rPr>
          <w:spacing w:val="-2"/>
        </w:rPr>
        <w:t xml:space="preserve"> </w:t>
      </w:r>
      <w:r>
        <w:t>left</w:t>
      </w:r>
      <w:r>
        <w:rPr>
          <w:spacing w:val="-1"/>
        </w:rPr>
        <w:t xml:space="preserve"> </w:t>
      </w:r>
      <w:r>
        <w:t>intentionally</w:t>
      </w:r>
      <w:r>
        <w:rPr>
          <w:spacing w:val="-1"/>
        </w:rPr>
        <w:t xml:space="preserve"> </w:t>
      </w:r>
      <w:r>
        <w:t>blank;</w:t>
      </w:r>
      <w:r>
        <w:rPr>
          <w:spacing w:val="-1"/>
        </w:rPr>
        <w:t xml:space="preserve"> </w:t>
      </w:r>
      <w:r>
        <w:t>it</w:t>
      </w:r>
      <w:r>
        <w:rPr>
          <w:spacing w:val="-1"/>
        </w:rPr>
        <w:t xml:space="preserve"> </w:t>
      </w:r>
      <w:r>
        <w:t>is</w:t>
      </w:r>
      <w:r>
        <w:rPr>
          <w:spacing w:val="-2"/>
        </w:rPr>
        <w:t xml:space="preserve"> </w:t>
      </w:r>
      <w:r>
        <w:t>not</w:t>
      </w:r>
      <w:r>
        <w:rPr>
          <w:spacing w:val="-1"/>
        </w:rPr>
        <w:t xml:space="preserve"> </w:t>
      </w:r>
      <w:r>
        <w:t>applicable</w:t>
      </w:r>
      <w:r>
        <w:rPr>
          <w:spacing w:val="-1"/>
        </w:rPr>
        <w:t xml:space="preserve"> </w:t>
      </w:r>
      <w:r>
        <w:t>to</w:t>
      </w:r>
      <w:r>
        <w:rPr>
          <w:spacing w:val="-1"/>
        </w:rPr>
        <w:t xml:space="preserve"> </w:t>
      </w:r>
      <w:r>
        <w:t>this</w:t>
      </w:r>
      <w:r>
        <w:rPr>
          <w:spacing w:val="-1"/>
        </w:rPr>
        <w:t xml:space="preserve"> </w:t>
      </w:r>
      <w:r>
        <w:rPr>
          <w:spacing w:val="-2"/>
        </w:rPr>
        <w:t>section.</w:t>
      </w:r>
    </w:p>
    <w:p>
      <w:pPr>
        <w:pStyle w:val="BodyText"/>
        <w:spacing w:after="0"/>
        <w:sectPr>
          <w:headerReference w:type="default" r:id="rId33"/>
          <w:footerReference w:type="default" r:id="rId34"/>
          <w:pgSz w:w="12240" w:h="15840"/>
          <w:pgMar w:top="960" w:right="0" w:bottom="940" w:left="1080" w:header="727" w:footer="747"/>
          <w:cols w:space="720"/>
        </w:sectPr>
      </w:pPr>
    </w:p>
    <w:p>
      <w:pPr>
        <w:pStyle w:val="BodyText"/>
        <w:spacing w:before="225"/>
        <w:ind w:left="0"/>
        <w:rPr>
          <w:sz w:val="21"/>
        </w:rPr>
      </w:pPr>
    </w:p>
    <w:p>
      <w:pPr>
        <w:pStyle w:val="ListParagraph"/>
        <w:numPr>
          <w:ilvl w:val="0"/>
          <w:numId w:val="43"/>
        </w:numPr>
        <w:tabs>
          <w:tab w:val="left" w:pos="1223"/>
        </w:tabs>
        <w:spacing w:before="0" w:after="0" w:line="240" w:lineRule="auto"/>
        <w:ind w:left="12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h</w:t>
      </w:r>
      <w:r>
        <w:rPr>
          <w:rFonts w:ascii="Arial" w:hAnsi="Arial"/>
          <w:b/>
          <w:spacing w:val="-3"/>
          <w:sz w:val="21"/>
        </w:rPr>
        <w:t xml:space="preserve"> </w:t>
      </w:r>
      <w:r>
        <w:rPr>
          <w:rFonts w:ascii="Arial" w:hAnsi="Arial"/>
          <w:b/>
          <w:sz w:val="21"/>
        </w:rPr>
        <w:t>–</w:t>
      </w:r>
      <w:r>
        <w:rPr>
          <w:rFonts w:ascii="Arial" w:hAnsi="Arial"/>
          <w:b/>
          <w:spacing w:val="-2"/>
          <w:sz w:val="21"/>
        </w:rPr>
        <w:t xml:space="preserve"> </w:t>
      </w:r>
      <w:r>
        <w:rPr>
          <w:rFonts w:ascii="Arial" w:hAnsi="Arial"/>
          <w:b/>
          <w:sz w:val="21"/>
        </w:rPr>
        <w:t>Net</w:t>
      </w:r>
      <w:r>
        <w:rPr>
          <w:rFonts w:ascii="Arial" w:hAnsi="Arial"/>
          <w:b/>
          <w:spacing w:val="-5"/>
          <w:sz w:val="21"/>
        </w:rPr>
        <w:t xml:space="preserve"> </w:t>
      </w:r>
      <w:r>
        <w:rPr>
          <w:rFonts w:ascii="Arial" w:hAnsi="Arial"/>
          <w:b/>
          <w:sz w:val="21"/>
        </w:rPr>
        <w:t>PMPM</w:t>
      </w:r>
      <w:r>
        <w:rPr>
          <w:rFonts w:ascii="Arial" w:hAnsi="Arial"/>
          <w:b/>
          <w:spacing w:val="-3"/>
          <w:sz w:val="21"/>
        </w:rPr>
        <w:t xml:space="preserve"> </w:t>
      </w:r>
      <w:r>
        <w:rPr>
          <w:rFonts w:ascii="Arial" w:hAnsi="Arial"/>
          <w:b/>
          <w:sz w:val="21"/>
        </w:rPr>
        <w:t>for</w:t>
      </w:r>
      <w:r>
        <w:rPr>
          <w:rFonts w:ascii="Arial" w:hAnsi="Arial"/>
          <w:b/>
          <w:spacing w:val="-5"/>
          <w:sz w:val="21"/>
        </w:rPr>
        <w:t xml:space="preserve"> </w:t>
      </w:r>
      <w:r>
        <w:rPr>
          <w:rFonts w:ascii="Arial" w:hAnsi="Arial"/>
          <w:b/>
          <w:sz w:val="21"/>
        </w:rPr>
        <w:t>Total</w:t>
      </w:r>
      <w:r>
        <w:rPr>
          <w:rFonts w:ascii="Arial" w:hAnsi="Arial"/>
          <w:b/>
          <w:spacing w:val="-5"/>
          <w:sz w:val="21"/>
        </w:rPr>
        <w:t xml:space="preserve"> </w:t>
      </w:r>
      <w:r>
        <w:rPr>
          <w:rFonts w:ascii="Arial" w:hAnsi="Arial"/>
          <w:b/>
          <w:spacing w:val="-2"/>
          <w:sz w:val="21"/>
        </w:rPr>
        <w:t>Benefits</w:t>
      </w:r>
    </w:p>
    <w:p>
      <w:pPr>
        <w:pStyle w:val="BodyText"/>
        <w:spacing w:before="120"/>
        <w:ind w:left="1224" w:right="1481"/>
      </w:pPr>
      <w:r>
        <w:t>The</w:t>
      </w:r>
      <w:r>
        <w:rPr>
          <w:spacing w:val="-5"/>
        </w:rPr>
        <w:t xml:space="preserve"> </w:t>
      </w:r>
      <w:r>
        <w:t>net</w:t>
      </w:r>
      <w:r>
        <w:rPr>
          <w:spacing w:val="-3"/>
        </w:rPr>
        <w:t xml:space="preserve"> </w:t>
      </w:r>
      <w:r>
        <w:t>PMPM</w:t>
      </w:r>
      <w:r>
        <w:rPr>
          <w:spacing w:val="-4"/>
        </w:rPr>
        <w:t xml:space="preserve"> </w:t>
      </w:r>
      <w:r>
        <w:t>is</w:t>
      </w:r>
      <w:r>
        <w:rPr>
          <w:spacing w:val="-3"/>
        </w:rPr>
        <w:t xml:space="preserve"> </w:t>
      </w:r>
      <w:r>
        <w:t>calculated</w:t>
      </w:r>
      <w:r>
        <w:rPr>
          <w:spacing w:val="-3"/>
        </w:rPr>
        <w:t xml:space="preserve"> </w:t>
      </w:r>
      <w:r>
        <w:t>automatically</w:t>
      </w:r>
      <w:r>
        <w:rPr>
          <w:spacing w:val="-3"/>
        </w:rPr>
        <w:t xml:space="preserve"> </w:t>
      </w:r>
      <w:r>
        <w:t>as</w:t>
      </w:r>
      <w:r>
        <w:rPr>
          <w:spacing w:val="-4"/>
        </w:rPr>
        <w:t xml:space="preserve"> </w:t>
      </w:r>
      <w:r>
        <w:t>column</w:t>
      </w:r>
      <w:r>
        <w:rPr>
          <w:spacing w:val="-3"/>
        </w:rPr>
        <w:t xml:space="preserve"> </w:t>
      </w:r>
      <w:r>
        <w:t>e</w:t>
      </w:r>
      <w:r>
        <w:rPr>
          <w:spacing w:val="-3"/>
        </w:rPr>
        <w:t xml:space="preserve"> </w:t>
      </w:r>
      <w:r>
        <w:t>less</w:t>
      </w:r>
      <w:r>
        <w:rPr>
          <w:spacing w:val="-4"/>
        </w:rPr>
        <w:t xml:space="preserve"> </w:t>
      </w:r>
      <w:r>
        <w:t>column f.</w:t>
      </w:r>
      <w:r>
        <w:rPr>
          <w:spacing w:val="-3"/>
        </w:rPr>
        <w:t xml:space="preserve"> </w:t>
      </w:r>
      <w:r>
        <w:t>Values</w:t>
      </w:r>
      <w:r>
        <w:rPr>
          <w:spacing w:val="-3"/>
        </w:rPr>
        <w:t xml:space="preserve"> </w:t>
      </w:r>
      <w:r>
        <w:t>must</w:t>
      </w:r>
      <w:r>
        <w:rPr>
          <w:spacing w:val="-2"/>
        </w:rPr>
        <w:t xml:space="preserve"> </w:t>
      </w:r>
      <w:r>
        <w:t>be greater than or equal to zero.</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Columns</w:t>
      </w:r>
      <w:r>
        <w:rPr>
          <w:rFonts w:ascii="Arial" w:hAnsi="Arial"/>
          <w:b/>
          <w:spacing w:val="-7"/>
          <w:sz w:val="21"/>
        </w:rPr>
        <w:t xml:space="preserve"> </w:t>
      </w:r>
      <w:r>
        <w:rPr>
          <w:rFonts w:ascii="Arial" w:hAnsi="Arial"/>
          <w:b/>
          <w:sz w:val="21"/>
        </w:rPr>
        <w:t>i</w:t>
      </w:r>
      <w:r>
        <w:rPr>
          <w:rFonts w:ascii="Arial" w:hAnsi="Arial"/>
          <w:b/>
          <w:spacing w:val="-4"/>
          <w:sz w:val="21"/>
        </w:rPr>
        <w:t xml:space="preserve"> </w:t>
      </w:r>
      <w:r>
        <w:rPr>
          <w:rFonts w:ascii="Arial" w:hAnsi="Arial"/>
          <w:b/>
          <w:sz w:val="21"/>
        </w:rPr>
        <w:t>and</w:t>
      </w:r>
      <w:r>
        <w:rPr>
          <w:rFonts w:ascii="Arial" w:hAnsi="Arial"/>
          <w:b/>
          <w:spacing w:val="-4"/>
          <w:sz w:val="21"/>
        </w:rPr>
        <w:t xml:space="preserve"> </w:t>
      </w:r>
      <w:r>
        <w:rPr>
          <w:rFonts w:ascii="Arial" w:hAnsi="Arial"/>
          <w:b/>
          <w:sz w:val="21"/>
        </w:rPr>
        <w:t>j</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Percentage</w:t>
      </w:r>
      <w:r>
        <w:rPr>
          <w:rFonts w:ascii="Arial" w:hAnsi="Arial"/>
          <w:b/>
          <w:spacing w:val="-4"/>
          <w:sz w:val="21"/>
        </w:rPr>
        <w:t xml:space="preserve"> </w:t>
      </w:r>
      <w:r>
        <w:rPr>
          <w:rFonts w:ascii="Arial" w:hAnsi="Arial"/>
          <w:b/>
          <w:sz w:val="21"/>
        </w:rPr>
        <w:t>for</w:t>
      </w:r>
      <w:r>
        <w:rPr>
          <w:rFonts w:ascii="Arial" w:hAnsi="Arial"/>
          <w:b/>
          <w:spacing w:val="-4"/>
          <w:sz w:val="21"/>
        </w:rPr>
        <w:t xml:space="preserve"> </w:t>
      </w:r>
      <w:r>
        <w:rPr>
          <w:rFonts w:ascii="Arial" w:hAnsi="Arial"/>
          <w:b/>
          <w:sz w:val="21"/>
        </w:rPr>
        <w:t>Covered</w:t>
      </w:r>
      <w:r>
        <w:rPr>
          <w:rFonts w:ascii="Arial" w:hAnsi="Arial"/>
          <w:b/>
          <w:spacing w:val="-5"/>
          <w:sz w:val="21"/>
        </w:rPr>
        <w:t xml:space="preserve"> </w:t>
      </w:r>
      <w:r>
        <w:rPr>
          <w:rFonts w:ascii="Arial" w:hAnsi="Arial"/>
          <w:b/>
          <w:spacing w:val="-2"/>
          <w:sz w:val="21"/>
        </w:rPr>
        <w:t>Services</w:t>
      </w:r>
    </w:p>
    <w:p>
      <w:pPr>
        <w:pStyle w:val="BodyText"/>
        <w:spacing w:before="118"/>
        <w:ind w:left="1224" w:right="1842"/>
        <w:jc w:val="both"/>
      </w:pPr>
      <w:r>
        <w:t>The</w:t>
      </w:r>
      <w:r>
        <w:rPr>
          <w:spacing w:val="-4"/>
        </w:rPr>
        <w:t xml:space="preserve"> </w:t>
      </w:r>
      <w:r>
        <w:t>PMPM</w:t>
      </w:r>
      <w:r>
        <w:rPr>
          <w:spacing w:val="-3"/>
        </w:rPr>
        <w:t xml:space="preserve"> </w:t>
      </w:r>
      <w:r>
        <w:t>amounts</w:t>
      </w:r>
      <w:r>
        <w:rPr>
          <w:spacing w:val="-3"/>
        </w:rPr>
        <w:t xml:space="preserve"> </w:t>
      </w:r>
      <w:r>
        <w:t>shown</w:t>
      </w:r>
      <w:r>
        <w:rPr>
          <w:spacing w:val="-2"/>
        </w:rPr>
        <w:t xml:space="preserve"> </w:t>
      </w:r>
      <w:r>
        <w:t>in</w:t>
      </w:r>
      <w:r>
        <w:rPr>
          <w:spacing w:val="-2"/>
        </w:rPr>
        <w:t xml:space="preserve"> </w:t>
      </w:r>
      <w:r>
        <w:t>columns</w:t>
      </w:r>
      <w:r>
        <w:rPr>
          <w:spacing w:val="-3"/>
        </w:rPr>
        <w:t xml:space="preserve"> </w:t>
      </w:r>
      <w:r>
        <w:t>e,</w:t>
      </w:r>
      <w:r>
        <w:rPr>
          <w:spacing w:val="-2"/>
        </w:rPr>
        <w:t xml:space="preserve"> </w:t>
      </w:r>
      <w:r>
        <w:t>f,</w:t>
      </w:r>
      <w:r>
        <w:rPr>
          <w:spacing w:val="-2"/>
        </w:rPr>
        <w:t xml:space="preserve"> </w:t>
      </w:r>
      <w:r>
        <w:t>and</w:t>
      </w:r>
      <w:r>
        <w:rPr>
          <w:spacing w:val="-2"/>
        </w:rPr>
        <w:t xml:space="preserve"> </w:t>
      </w:r>
      <w:r>
        <w:t>h reflect</w:t>
      </w:r>
      <w:r>
        <w:rPr>
          <w:spacing w:val="-2"/>
        </w:rPr>
        <w:t xml:space="preserve"> </w:t>
      </w:r>
      <w:r>
        <w:t>all</w:t>
      </w:r>
      <w:r>
        <w:rPr>
          <w:spacing w:val="-2"/>
        </w:rPr>
        <w:t xml:space="preserve"> </w:t>
      </w:r>
      <w:r>
        <w:t>benefits</w:t>
      </w:r>
      <w:r>
        <w:rPr>
          <w:spacing w:val="-3"/>
        </w:rPr>
        <w:t xml:space="preserve"> </w:t>
      </w:r>
      <w:r>
        <w:t>covered</w:t>
      </w:r>
      <w:r>
        <w:rPr>
          <w:spacing w:val="-2"/>
        </w:rPr>
        <w:t xml:space="preserve"> </w:t>
      </w:r>
      <w:r>
        <w:t>by</w:t>
      </w:r>
      <w:r>
        <w:rPr>
          <w:spacing w:val="-2"/>
        </w:rPr>
        <w:t xml:space="preserve"> </w:t>
      </w:r>
      <w:r>
        <w:t>the MA</w:t>
      </w:r>
      <w:r>
        <w:rPr>
          <w:spacing w:val="-4"/>
        </w:rPr>
        <w:t xml:space="preserve"> </w:t>
      </w:r>
      <w:r>
        <w:t>bid.</w:t>
      </w:r>
      <w:r>
        <w:rPr>
          <w:spacing w:val="-3"/>
        </w:rPr>
        <w:t xml:space="preserve"> </w:t>
      </w:r>
      <w:r>
        <w:t>The</w:t>
      </w:r>
      <w:r>
        <w:rPr>
          <w:spacing w:val="-4"/>
        </w:rPr>
        <w:t xml:space="preserve"> </w:t>
      </w:r>
      <w:r>
        <w:t>user</w:t>
      </w:r>
      <w:r>
        <w:rPr>
          <w:spacing w:val="-4"/>
        </w:rPr>
        <w:t xml:space="preserve"> </w:t>
      </w:r>
      <w:r>
        <w:t>must</w:t>
      </w:r>
      <w:r>
        <w:rPr>
          <w:spacing w:val="-2"/>
        </w:rPr>
        <w:t xml:space="preserve"> </w:t>
      </w:r>
      <w:r>
        <w:t>enter</w:t>
      </w:r>
      <w:r>
        <w:rPr>
          <w:spacing w:val="-4"/>
        </w:rPr>
        <w:t xml:space="preserve"> </w:t>
      </w:r>
      <w:r>
        <w:t>in</w:t>
      </w:r>
      <w:r>
        <w:rPr>
          <w:spacing w:val="-3"/>
        </w:rPr>
        <w:t xml:space="preserve"> </w:t>
      </w:r>
      <w:r>
        <w:t>columns</w:t>
      </w:r>
      <w:r>
        <w:rPr>
          <w:spacing w:val="-3"/>
        </w:rPr>
        <w:t xml:space="preserve"> </w:t>
      </w:r>
      <w:r>
        <w:t>i</w:t>
      </w:r>
      <w:r>
        <w:rPr>
          <w:spacing w:val="-3"/>
        </w:rPr>
        <w:t xml:space="preserve"> </w:t>
      </w:r>
      <w:r>
        <w:t>and</w:t>
      </w:r>
      <w:r>
        <w:rPr>
          <w:spacing w:val="-3"/>
        </w:rPr>
        <w:t xml:space="preserve"> </w:t>
      </w:r>
      <w:r>
        <w:t>j</w:t>
      </w:r>
      <w:r>
        <w:rPr>
          <w:spacing w:val="-3"/>
        </w:rPr>
        <w:t xml:space="preserve"> </w:t>
      </w:r>
      <w:r>
        <w:t>the</w:t>
      </w:r>
      <w:r>
        <w:rPr>
          <w:spacing w:val="-3"/>
        </w:rPr>
        <w:t xml:space="preserve"> </w:t>
      </w:r>
      <w:r>
        <w:t>expected</w:t>
      </w:r>
      <w:r>
        <w:rPr>
          <w:spacing w:val="-3"/>
        </w:rPr>
        <w:t xml:space="preserve"> </w:t>
      </w:r>
      <w:r>
        <w:t>percentages</w:t>
      </w:r>
      <w:r>
        <w:rPr>
          <w:spacing w:val="-3"/>
        </w:rPr>
        <w:t xml:space="preserve"> </w:t>
      </w:r>
      <w:r>
        <w:t>of</w:t>
      </w:r>
      <w:r>
        <w:rPr>
          <w:spacing w:val="-3"/>
        </w:rPr>
        <w:t xml:space="preserve"> </w:t>
      </w:r>
      <w:r>
        <w:t>benefits that represent Medicare-covered services. The percentages may differ for Non-DE# beneficiaries and DE# beneficiaries as explained below.</w:t>
      </w:r>
    </w:p>
    <w:p>
      <w:pPr>
        <w:pStyle w:val="ListParagraph"/>
        <w:numPr>
          <w:ilvl w:val="1"/>
          <w:numId w:val="43"/>
        </w:numPr>
        <w:tabs>
          <w:tab w:val="left" w:pos="1583"/>
        </w:tabs>
        <w:spacing w:before="120" w:after="0" w:line="240" w:lineRule="auto"/>
        <w:ind w:left="1583" w:right="0" w:hanging="359"/>
        <w:jc w:val="both"/>
        <w:rPr>
          <w:sz w:val="24"/>
        </w:rPr>
      </w:pPr>
      <w:r>
        <w:rPr>
          <w:sz w:val="24"/>
        </w:rPr>
        <w:t>For</w:t>
      </w:r>
      <w:r>
        <w:rPr>
          <w:spacing w:val="-4"/>
          <w:sz w:val="24"/>
        </w:rPr>
        <w:t xml:space="preserve"> </w:t>
      </w:r>
      <w:r>
        <w:rPr>
          <w:sz w:val="24"/>
        </w:rPr>
        <w:t>Non-DE#</w:t>
      </w:r>
      <w:r>
        <w:rPr>
          <w:spacing w:val="-1"/>
          <w:sz w:val="24"/>
        </w:rPr>
        <w:t xml:space="preserve"> </w:t>
      </w:r>
      <w:r>
        <w:rPr>
          <w:sz w:val="24"/>
        </w:rPr>
        <w:t>beneficiaries</w:t>
      </w:r>
      <w:r>
        <w:rPr>
          <w:spacing w:val="-2"/>
          <w:sz w:val="24"/>
        </w:rPr>
        <w:t xml:space="preserve"> </w:t>
      </w:r>
      <w:r>
        <w:rPr>
          <w:sz w:val="24"/>
        </w:rPr>
        <w:t>in</w:t>
      </w:r>
      <w:r>
        <w:rPr>
          <w:spacing w:val="-2"/>
          <w:sz w:val="24"/>
        </w:rPr>
        <w:t xml:space="preserve"> </w:t>
      </w:r>
      <w:r>
        <w:rPr>
          <w:sz w:val="24"/>
        </w:rPr>
        <w:t>subsection</w:t>
      </w:r>
      <w:r>
        <w:rPr>
          <w:spacing w:val="-1"/>
          <w:sz w:val="24"/>
        </w:rPr>
        <w:t xml:space="preserve"> </w:t>
      </w:r>
      <w:r>
        <w:rPr>
          <w:sz w:val="24"/>
        </w:rPr>
        <w:t>A,</w:t>
      </w:r>
      <w:r>
        <w:rPr>
          <w:spacing w:val="-2"/>
          <w:sz w:val="24"/>
        </w:rPr>
        <w:t xml:space="preserve"> </w:t>
      </w:r>
      <w:r>
        <w:rPr>
          <w:spacing w:val="-10"/>
          <w:sz w:val="24"/>
        </w:rPr>
        <w:t>—</w:t>
      </w:r>
    </w:p>
    <w:p>
      <w:pPr>
        <w:pStyle w:val="ListParagraph"/>
        <w:numPr>
          <w:ilvl w:val="2"/>
          <w:numId w:val="43"/>
        </w:numPr>
        <w:tabs>
          <w:tab w:val="left" w:pos="1944"/>
        </w:tabs>
        <w:spacing w:before="0" w:after="0" w:line="240" w:lineRule="auto"/>
        <w:ind w:left="1944" w:right="1586" w:hanging="360"/>
        <w:jc w:val="left"/>
        <w:rPr>
          <w:sz w:val="24"/>
        </w:rPr>
      </w:pPr>
      <w:r>
        <w:rPr>
          <w:sz w:val="24"/>
        </w:rPr>
        <w:t>The</w:t>
      </w:r>
      <w:r>
        <w:rPr>
          <w:spacing w:val="-4"/>
          <w:sz w:val="24"/>
        </w:rPr>
        <w:t xml:space="preserve"> </w:t>
      </w:r>
      <w:r>
        <w:rPr>
          <w:sz w:val="24"/>
        </w:rPr>
        <w:t>BPT</w:t>
      </w:r>
      <w:r>
        <w:rPr>
          <w:spacing w:val="-3"/>
          <w:sz w:val="24"/>
        </w:rPr>
        <w:t xml:space="preserve"> </w:t>
      </w:r>
      <w:r>
        <w:rPr>
          <w:sz w:val="24"/>
        </w:rPr>
        <w:t>uses</w:t>
      </w:r>
      <w:r>
        <w:rPr>
          <w:spacing w:val="-4"/>
          <w:sz w:val="24"/>
        </w:rPr>
        <w:t xml:space="preserve"> </w:t>
      </w:r>
      <w:r>
        <w:rPr>
          <w:sz w:val="24"/>
        </w:rPr>
        <w:t>the</w:t>
      </w:r>
      <w:r>
        <w:rPr>
          <w:spacing w:val="-3"/>
          <w:sz w:val="24"/>
        </w:rPr>
        <w:t xml:space="preserve"> </w:t>
      </w:r>
      <w:r>
        <w:rPr>
          <w:sz w:val="24"/>
        </w:rPr>
        <w:t>percentages</w:t>
      </w:r>
      <w:r>
        <w:rPr>
          <w:spacing w:val="-4"/>
          <w:sz w:val="24"/>
        </w:rPr>
        <w:t xml:space="preserve"> </w:t>
      </w:r>
      <w:r>
        <w:rPr>
          <w:sz w:val="24"/>
        </w:rPr>
        <w:t>in</w:t>
      </w:r>
      <w:r>
        <w:rPr>
          <w:spacing w:val="-3"/>
          <w:sz w:val="24"/>
        </w:rPr>
        <w:t xml:space="preserve"> </w:t>
      </w:r>
      <w:r>
        <w:rPr>
          <w:sz w:val="24"/>
        </w:rPr>
        <w:t>column</w:t>
      </w:r>
      <w:r>
        <w:rPr>
          <w:spacing w:val="-3"/>
          <w:sz w:val="24"/>
        </w:rPr>
        <w:t xml:space="preserve"> </w:t>
      </w:r>
      <w:r>
        <w:rPr>
          <w:sz w:val="24"/>
        </w:rPr>
        <w:t>i,</w:t>
      </w:r>
      <w:r>
        <w:rPr>
          <w:spacing w:val="-3"/>
          <w:sz w:val="24"/>
        </w:rPr>
        <w:t xml:space="preserve"> </w:t>
      </w:r>
      <w:r>
        <w:rPr>
          <w:sz w:val="24"/>
        </w:rPr>
        <w:t>to</w:t>
      </w:r>
      <w:r>
        <w:rPr>
          <w:spacing w:val="-3"/>
          <w:sz w:val="24"/>
        </w:rPr>
        <w:t xml:space="preserve"> </w:t>
      </w:r>
      <w:r>
        <w:rPr>
          <w:sz w:val="24"/>
        </w:rPr>
        <w:t>allocate</w:t>
      </w:r>
      <w:r>
        <w:rPr>
          <w:spacing w:val="-3"/>
          <w:sz w:val="24"/>
        </w:rPr>
        <w:t xml:space="preserve"> </w:t>
      </w:r>
      <w:r>
        <w:rPr>
          <w:sz w:val="24"/>
        </w:rPr>
        <w:t>allowed</w:t>
      </w:r>
      <w:r>
        <w:rPr>
          <w:spacing w:val="-3"/>
          <w:sz w:val="24"/>
        </w:rPr>
        <w:t xml:space="preserve"> </w:t>
      </w:r>
      <w:r>
        <w:rPr>
          <w:sz w:val="24"/>
        </w:rPr>
        <w:t>costs</w:t>
      </w:r>
      <w:r>
        <w:rPr>
          <w:spacing w:val="-3"/>
          <w:sz w:val="24"/>
        </w:rPr>
        <w:t xml:space="preserve"> </w:t>
      </w:r>
      <w:r>
        <w:rPr>
          <w:sz w:val="24"/>
        </w:rPr>
        <w:t>(column</w:t>
      </w:r>
      <w:r>
        <w:rPr>
          <w:spacing w:val="-1"/>
          <w:sz w:val="24"/>
        </w:rPr>
        <w:t xml:space="preserve"> </w:t>
      </w:r>
      <w:r>
        <w:rPr>
          <w:sz w:val="24"/>
        </w:rPr>
        <w:t>e) between Medicare-covered services (column m) and A/B mandatory supplemental benefits.</w:t>
      </w:r>
    </w:p>
    <w:p>
      <w:pPr>
        <w:pStyle w:val="ListParagraph"/>
        <w:numPr>
          <w:ilvl w:val="2"/>
          <w:numId w:val="43"/>
        </w:numPr>
        <w:tabs>
          <w:tab w:val="left" w:pos="1944"/>
        </w:tabs>
        <w:spacing w:before="1" w:after="0" w:line="240" w:lineRule="auto"/>
        <w:ind w:left="1944" w:right="1600" w:hanging="360"/>
        <w:jc w:val="left"/>
        <w:rPr>
          <w:sz w:val="24"/>
        </w:rPr>
      </w:pPr>
      <w:r>
        <w:rPr>
          <w:sz w:val="24"/>
        </w:rPr>
        <w:t>The BPT uses the percentages in column j, to allocate the plan’s cost sharing (column</w:t>
      </w:r>
      <w:r>
        <w:rPr>
          <w:spacing w:val="-4"/>
          <w:sz w:val="24"/>
        </w:rPr>
        <w:t xml:space="preserve"> </w:t>
      </w:r>
      <w:r>
        <w:rPr>
          <w:sz w:val="24"/>
        </w:rPr>
        <w:t>f)</w:t>
      </w:r>
      <w:r>
        <w:rPr>
          <w:spacing w:val="-6"/>
          <w:sz w:val="24"/>
        </w:rPr>
        <w:t xml:space="preserve"> </w:t>
      </w:r>
      <w:r>
        <w:rPr>
          <w:sz w:val="24"/>
        </w:rPr>
        <w:t>between</w:t>
      </w:r>
      <w:r>
        <w:rPr>
          <w:spacing w:val="-3"/>
          <w:sz w:val="24"/>
        </w:rPr>
        <w:t xml:space="preserve"> </w:t>
      </w:r>
      <w:r>
        <w:rPr>
          <w:sz w:val="24"/>
        </w:rPr>
        <w:t>plan</w:t>
      </w:r>
      <w:r>
        <w:rPr>
          <w:spacing w:val="-2"/>
          <w:sz w:val="24"/>
        </w:rPr>
        <w:t xml:space="preserve"> </w:t>
      </w:r>
      <w:r>
        <w:rPr>
          <w:sz w:val="24"/>
        </w:rPr>
        <w:t>cost</w:t>
      </w:r>
      <w:r>
        <w:rPr>
          <w:spacing w:val="-4"/>
          <w:sz w:val="24"/>
        </w:rPr>
        <w:t xml:space="preserve"> </w:t>
      </w:r>
      <w:r>
        <w:rPr>
          <w:sz w:val="24"/>
        </w:rPr>
        <w:t>sharing</w:t>
      </w:r>
      <w:r>
        <w:rPr>
          <w:spacing w:val="-4"/>
          <w:sz w:val="24"/>
        </w:rPr>
        <w:t xml:space="preserve"> </w:t>
      </w:r>
      <w:r>
        <w:rPr>
          <w:sz w:val="24"/>
        </w:rPr>
        <w:t>for</w:t>
      </w:r>
      <w:r>
        <w:rPr>
          <w:spacing w:val="-4"/>
          <w:sz w:val="24"/>
        </w:rPr>
        <w:t xml:space="preserve"> </w:t>
      </w:r>
      <w:r>
        <w:rPr>
          <w:sz w:val="24"/>
        </w:rPr>
        <w:t>Medicare-covered</w:t>
      </w:r>
      <w:r>
        <w:rPr>
          <w:spacing w:val="-4"/>
          <w:sz w:val="24"/>
        </w:rPr>
        <w:t xml:space="preserve"> </w:t>
      </w:r>
      <w:r>
        <w:rPr>
          <w:sz w:val="24"/>
        </w:rPr>
        <w:t>services</w:t>
      </w:r>
      <w:r>
        <w:rPr>
          <w:spacing w:val="-2"/>
          <w:sz w:val="24"/>
        </w:rPr>
        <w:t xml:space="preserve"> </w:t>
      </w:r>
      <w:r>
        <w:rPr>
          <w:sz w:val="24"/>
        </w:rPr>
        <w:t>(column</w:t>
      </w:r>
      <w:r>
        <w:rPr>
          <w:spacing w:val="-4"/>
          <w:sz w:val="24"/>
        </w:rPr>
        <w:t xml:space="preserve"> </w:t>
      </w:r>
      <w:r>
        <w:rPr>
          <w:sz w:val="24"/>
        </w:rPr>
        <w:t>l) and cost sharing for A/B mandatory supplemental benefits.</w:t>
      </w:r>
    </w:p>
    <w:p>
      <w:pPr>
        <w:pStyle w:val="ListParagraph"/>
        <w:numPr>
          <w:ilvl w:val="1"/>
          <w:numId w:val="43"/>
        </w:numPr>
        <w:tabs>
          <w:tab w:val="left" w:pos="1584"/>
        </w:tabs>
        <w:spacing w:before="0" w:after="0" w:line="240" w:lineRule="auto"/>
        <w:ind w:left="1584" w:right="0" w:hanging="360"/>
        <w:jc w:val="left"/>
        <w:rPr>
          <w:sz w:val="24"/>
        </w:rPr>
      </w:pPr>
      <w:r>
        <w:rPr>
          <w:sz w:val="24"/>
        </w:rPr>
        <w:t>For</w:t>
      </w:r>
      <w:r>
        <w:rPr>
          <w:spacing w:val="-2"/>
          <w:sz w:val="24"/>
        </w:rPr>
        <w:t xml:space="preserve"> </w:t>
      </w:r>
      <w:r>
        <w:rPr>
          <w:sz w:val="24"/>
        </w:rPr>
        <w:t>DE#</w:t>
      </w:r>
      <w:r>
        <w:rPr>
          <w:spacing w:val="-3"/>
          <w:sz w:val="24"/>
        </w:rPr>
        <w:t xml:space="preserve"> </w:t>
      </w:r>
      <w:r>
        <w:rPr>
          <w:sz w:val="24"/>
        </w:rPr>
        <w:t>beneficiaries</w:t>
      </w:r>
      <w:r>
        <w:rPr>
          <w:spacing w:val="-1"/>
          <w:sz w:val="24"/>
        </w:rPr>
        <w:t xml:space="preserve"> </w:t>
      </w:r>
      <w:r>
        <w:rPr>
          <w:sz w:val="24"/>
        </w:rPr>
        <w:t>in subsection</w:t>
      </w:r>
      <w:r>
        <w:rPr>
          <w:spacing w:val="-2"/>
          <w:sz w:val="24"/>
        </w:rPr>
        <w:t xml:space="preserve"> </w:t>
      </w:r>
      <w:r>
        <w:rPr>
          <w:sz w:val="24"/>
        </w:rPr>
        <w:t>B,</w:t>
      </w:r>
      <w:r>
        <w:rPr>
          <w:spacing w:val="-1"/>
          <w:sz w:val="24"/>
        </w:rPr>
        <w:t xml:space="preserve"> </w:t>
      </w:r>
      <w:r>
        <w:rPr>
          <w:spacing w:val="-10"/>
          <w:sz w:val="24"/>
        </w:rPr>
        <w:t>—</w:t>
      </w:r>
    </w:p>
    <w:p>
      <w:pPr>
        <w:pStyle w:val="ListParagraph"/>
        <w:numPr>
          <w:ilvl w:val="2"/>
          <w:numId w:val="43"/>
        </w:numPr>
        <w:tabs>
          <w:tab w:val="left" w:pos="1944"/>
        </w:tabs>
        <w:spacing w:before="0" w:after="0" w:line="240" w:lineRule="auto"/>
        <w:ind w:left="1944" w:right="1551" w:hanging="360"/>
        <w:jc w:val="left"/>
        <w:rPr>
          <w:sz w:val="24"/>
        </w:rPr>
      </w:pPr>
      <w:r>
        <w:rPr>
          <w:sz w:val="24"/>
        </w:rPr>
        <w:t>The BPT uses the percentages in column i, to allocate provider reimbursement plus</w:t>
      </w:r>
      <w:r>
        <w:rPr>
          <w:spacing w:val="-5"/>
          <w:sz w:val="24"/>
        </w:rPr>
        <w:t xml:space="preserve"> </w:t>
      </w:r>
      <w:r>
        <w:rPr>
          <w:sz w:val="24"/>
        </w:rPr>
        <w:t>actual</w:t>
      </w:r>
      <w:r>
        <w:rPr>
          <w:spacing w:val="-4"/>
          <w:sz w:val="24"/>
        </w:rPr>
        <w:t xml:space="preserve"> </w:t>
      </w:r>
      <w:r>
        <w:rPr>
          <w:sz w:val="24"/>
        </w:rPr>
        <w:t>cost</w:t>
      </w:r>
      <w:r>
        <w:rPr>
          <w:spacing w:val="-4"/>
          <w:sz w:val="24"/>
        </w:rPr>
        <w:t xml:space="preserve"> </w:t>
      </w:r>
      <w:r>
        <w:rPr>
          <w:sz w:val="24"/>
        </w:rPr>
        <w:t>sharing</w:t>
      </w:r>
      <w:r>
        <w:rPr>
          <w:spacing w:val="-4"/>
          <w:sz w:val="24"/>
        </w:rPr>
        <w:t xml:space="preserve"> </w:t>
      </w:r>
      <w:r>
        <w:rPr>
          <w:sz w:val="24"/>
        </w:rPr>
        <w:t>for</w:t>
      </w:r>
      <w:r>
        <w:rPr>
          <w:spacing w:val="-4"/>
          <w:sz w:val="24"/>
        </w:rPr>
        <w:t xml:space="preserve"> </w:t>
      </w:r>
      <w:r>
        <w:rPr>
          <w:sz w:val="24"/>
        </w:rPr>
        <w:t>total</w:t>
      </w:r>
      <w:r>
        <w:rPr>
          <w:spacing w:val="-4"/>
          <w:sz w:val="24"/>
        </w:rPr>
        <w:t xml:space="preserve"> </w:t>
      </w:r>
      <w:r>
        <w:rPr>
          <w:sz w:val="24"/>
        </w:rPr>
        <w:t>benefits</w:t>
      </w:r>
      <w:r>
        <w:rPr>
          <w:spacing w:val="-5"/>
          <w:sz w:val="24"/>
        </w:rPr>
        <w:t xml:space="preserve"> </w:t>
      </w:r>
      <w:r>
        <w:rPr>
          <w:sz w:val="24"/>
        </w:rPr>
        <w:t>(column</w:t>
      </w:r>
      <w:r>
        <w:rPr>
          <w:spacing w:val="-2"/>
          <w:sz w:val="24"/>
        </w:rPr>
        <w:t xml:space="preserve"> </w:t>
      </w:r>
      <w:r>
        <w:rPr>
          <w:sz w:val="24"/>
        </w:rPr>
        <w:t>e)</w:t>
      </w:r>
      <w:r>
        <w:rPr>
          <w:spacing w:val="-4"/>
          <w:sz w:val="24"/>
        </w:rPr>
        <w:t xml:space="preserve"> </w:t>
      </w:r>
      <w:r>
        <w:rPr>
          <w:sz w:val="24"/>
        </w:rPr>
        <w:t>between</w:t>
      </w:r>
      <w:r>
        <w:rPr>
          <w:spacing w:val="-4"/>
          <w:sz w:val="24"/>
        </w:rPr>
        <w:t xml:space="preserve"> </w:t>
      </w:r>
      <w:r>
        <w:rPr>
          <w:sz w:val="24"/>
        </w:rPr>
        <w:t>Medicare-covered services (column m) and A/B mandatory supplemental benefits.</w:t>
      </w:r>
    </w:p>
    <w:p>
      <w:pPr>
        <w:pStyle w:val="ListParagraph"/>
        <w:numPr>
          <w:ilvl w:val="2"/>
          <w:numId w:val="43"/>
        </w:numPr>
        <w:tabs>
          <w:tab w:val="left" w:pos="1944"/>
        </w:tabs>
        <w:spacing w:before="0" w:after="0" w:line="240" w:lineRule="auto"/>
        <w:ind w:left="1944" w:right="1440" w:hanging="360"/>
        <w:jc w:val="left"/>
        <w:rPr>
          <w:sz w:val="24"/>
        </w:rPr>
      </w:pPr>
      <w:r>
        <w:rPr>
          <w:sz w:val="24"/>
        </w:rPr>
        <w:t>The BPT uses the percentages in column j, to allocate the plan’s cost sharing (column</w:t>
      </w:r>
      <w:r>
        <w:rPr>
          <w:spacing w:val="-4"/>
          <w:sz w:val="24"/>
        </w:rPr>
        <w:t xml:space="preserve"> </w:t>
      </w:r>
      <w:r>
        <w:rPr>
          <w:sz w:val="24"/>
        </w:rPr>
        <w:t>f)</w:t>
      </w:r>
      <w:r>
        <w:rPr>
          <w:spacing w:val="-6"/>
          <w:sz w:val="24"/>
        </w:rPr>
        <w:t xml:space="preserve"> </w:t>
      </w:r>
      <w:r>
        <w:rPr>
          <w:sz w:val="24"/>
        </w:rPr>
        <w:t>between</w:t>
      </w:r>
      <w:r>
        <w:rPr>
          <w:spacing w:val="-4"/>
          <w:sz w:val="24"/>
        </w:rPr>
        <w:t xml:space="preserve"> </w:t>
      </w:r>
      <w:r>
        <w:rPr>
          <w:sz w:val="24"/>
        </w:rPr>
        <w:t>actual</w:t>
      </w:r>
      <w:r>
        <w:rPr>
          <w:spacing w:val="-4"/>
          <w:sz w:val="24"/>
        </w:rPr>
        <w:t xml:space="preserve"> </w:t>
      </w:r>
      <w:r>
        <w:rPr>
          <w:sz w:val="24"/>
        </w:rPr>
        <w:t>cost</w:t>
      </w:r>
      <w:r>
        <w:rPr>
          <w:spacing w:val="-4"/>
          <w:sz w:val="24"/>
        </w:rPr>
        <w:t xml:space="preserve"> </w:t>
      </w:r>
      <w:r>
        <w:rPr>
          <w:sz w:val="24"/>
        </w:rPr>
        <w:t>sharing</w:t>
      </w:r>
      <w:r>
        <w:rPr>
          <w:spacing w:val="-4"/>
          <w:sz w:val="24"/>
        </w:rPr>
        <w:t xml:space="preserve"> </w:t>
      </w:r>
      <w:r>
        <w:rPr>
          <w:sz w:val="24"/>
        </w:rPr>
        <w:t>for</w:t>
      </w:r>
      <w:r>
        <w:rPr>
          <w:spacing w:val="-5"/>
          <w:sz w:val="24"/>
        </w:rPr>
        <w:t xml:space="preserve"> </w:t>
      </w:r>
      <w:r>
        <w:rPr>
          <w:sz w:val="24"/>
        </w:rPr>
        <w:t>Medicare-covered</w:t>
      </w:r>
      <w:r>
        <w:rPr>
          <w:spacing w:val="-4"/>
          <w:sz w:val="24"/>
        </w:rPr>
        <w:t xml:space="preserve"> </w:t>
      </w:r>
      <w:r>
        <w:rPr>
          <w:sz w:val="24"/>
        </w:rPr>
        <w:t>services</w:t>
      </w:r>
      <w:r>
        <w:rPr>
          <w:spacing w:val="-5"/>
          <w:sz w:val="24"/>
        </w:rPr>
        <w:t xml:space="preserve"> </w:t>
      </w:r>
      <w:r>
        <w:rPr>
          <w:sz w:val="24"/>
        </w:rPr>
        <w:t>(column</w:t>
      </w:r>
      <w:r>
        <w:rPr>
          <w:spacing w:val="-3"/>
          <w:sz w:val="24"/>
        </w:rPr>
        <w:t xml:space="preserve"> </w:t>
      </w:r>
      <w:r>
        <w:rPr>
          <w:sz w:val="24"/>
        </w:rPr>
        <w:t>l) and cost sharing for A/B mandatory supplemental benefits.</w:t>
      </w:r>
    </w:p>
    <w:p>
      <w:pPr>
        <w:pStyle w:val="BodyText"/>
        <w:spacing w:before="120"/>
        <w:ind w:left="1224"/>
      </w:pPr>
      <w:r>
        <w:t>The</w:t>
      </w:r>
      <w:r>
        <w:rPr>
          <w:spacing w:val="-5"/>
        </w:rPr>
        <w:t xml:space="preserve"> </w:t>
      </w:r>
      <w:r>
        <w:t>percentage</w:t>
      </w:r>
      <w:r>
        <w:rPr>
          <w:spacing w:val="-1"/>
        </w:rPr>
        <w:t xml:space="preserve"> </w:t>
      </w:r>
      <w:r>
        <w:t>entered</w:t>
      </w:r>
      <w:r>
        <w:rPr>
          <w:spacing w:val="1"/>
        </w:rPr>
        <w:t xml:space="preserve"> </w:t>
      </w:r>
      <w:r>
        <w:t>must</w:t>
      </w:r>
      <w:r>
        <w:rPr>
          <w:spacing w:val="1"/>
        </w:rPr>
        <w:t xml:space="preserve"> </w:t>
      </w:r>
      <w:r>
        <w:t>be</w:t>
      </w:r>
      <w:r>
        <w:rPr>
          <w:spacing w:val="-2"/>
        </w:rPr>
        <w:t xml:space="preserve"> </w:t>
      </w:r>
      <w:r>
        <w:t>between 0</w:t>
      </w:r>
      <w:r>
        <w:rPr>
          <w:spacing w:val="1"/>
        </w:rPr>
        <w:t xml:space="preserve"> </w:t>
      </w:r>
      <w:r>
        <w:t>percent</w:t>
      </w:r>
      <w:r>
        <w:rPr>
          <w:spacing w:val="1"/>
        </w:rPr>
        <w:t xml:space="preserve"> </w:t>
      </w:r>
      <w:r>
        <w:t>and</w:t>
      </w:r>
      <w:r>
        <w:rPr>
          <w:spacing w:val="-1"/>
        </w:rPr>
        <w:t xml:space="preserve"> </w:t>
      </w:r>
      <w:r>
        <w:t xml:space="preserve">100 </w:t>
      </w:r>
      <w:r>
        <w:rPr>
          <w:spacing w:val="-2"/>
        </w:rPr>
        <w:t>percent.</w:t>
      </w:r>
    </w:p>
    <w:p>
      <w:pPr>
        <w:pStyle w:val="BodyText"/>
        <w:spacing w:before="121"/>
        <w:ind w:left="1224" w:right="2002"/>
      </w:pPr>
      <w:r>
        <w:t>For services that are defined in the PBP as non-covered, the percentage for Medicare-covered services is defaulted to 0.0 percent (for example, line l, “Transportation</w:t>
      </w:r>
      <w:r>
        <w:rPr>
          <w:spacing w:val="-4"/>
        </w:rPr>
        <w:t xml:space="preserve"> </w:t>
      </w:r>
      <w:r>
        <w:t>Non-covered”).</w:t>
      </w:r>
      <w:r>
        <w:rPr>
          <w:spacing w:val="-4"/>
        </w:rPr>
        <w:t xml:space="preserve"> </w:t>
      </w:r>
      <w:r>
        <w:t>For</w:t>
      </w:r>
      <w:r>
        <w:rPr>
          <w:spacing w:val="-4"/>
        </w:rPr>
        <w:t xml:space="preserve"> </w:t>
      </w:r>
      <w:r>
        <w:t>all</w:t>
      </w:r>
      <w:r>
        <w:rPr>
          <w:spacing w:val="-4"/>
        </w:rPr>
        <w:t xml:space="preserve"> </w:t>
      </w:r>
      <w:r>
        <w:t>other</w:t>
      </w:r>
      <w:r>
        <w:rPr>
          <w:spacing w:val="-6"/>
        </w:rPr>
        <w:t xml:space="preserve"> </w:t>
      </w:r>
      <w:r>
        <w:t>services,</w:t>
      </w:r>
      <w:r>
        <w:rPr>
          <w:spacing w:val="-4"/>
        </w:rPr>
        <w:t xml:space="preserve"> </w:t>
      </w:r>
      <w:r>
        <w:t>the</w:t>
      </w:r>
      <w:r>
        <w:rPr>
          <w:spacing w:val="-3"/>
        </w:rPr>
        <w:t xml:space="preserve"> </w:t>
      </w:r>
      <w:r>
        <w:t>MAO</w:t>
      </w:r>
      <w:r>
        <w:rPr>
          <w:spacing w:val="-5"/>
        </w:rPr>
        <w:t xml:space="preserve"> </w:t>
      </w:r>
      <w:r>
        <w:t>must</w:t>
      </w:r>
      <w:r>
        <w:rPr>
          <w:spacing w:val="-3"/>
        </w:rPr>
        <w:t xml:space="preserve"> </w:t>
      </w:r>
      <w:r>
        <w:t>estimate</w:t>
      </w:r>
      <w:r>
        <w:rPr>
          <w:spacing w:val="-5"/>
        </w:rPr>
        <w:t xml:space="preserve"> </w:t>
      </w:r>
      <w:r>
        <w:t>the percentage</w:t>
      </w:r>
      <w:r>
        <w:rPr>
          <w:spacing w:val="-1"/>
        </w:rPr>
        <w:t xml:space="preserve"> </w:t>
      </w:r>
      <w:r>
        <w:t>of covered services. For example, if the MAO’s benefit for a</w:t>
      </w:r>
      <w:r>
        <w:rPr>
          <w:spacing w:val="-1"/>
        </w:rPr>
        <w:t xml:space="preserve"> </w:t>
      </w:r>
      <w:r>
        <w:t>service</w:t>
      </w:r>
      <w:r>
        <w:rPr>
          <w:spacing w:val="-1"/>
        </w:rPr>
        <w:t xml:space="preserve"> </w:t>
      </w:r>
      <w:r>
        <w:t>is richer than that under FFS Medicare or is classified as a mandatory supplemental</w:t>
      </w:r>
    </w:p>
    <w:p>
      <w:pPr>
        <w:pStyle w:val="BodyText"/>
        <w:ind w:left="1224" w:right="1481"/>
      </w:pPr>
      <w:r>
        <w:t>benefit,</w:t>
      </w:r>
      <w:r>
        <w:rPr>
          <w:spacing w:val="-3"/>
        </w:rPr>
        <w:t xml:space="preserve"> </w:t>
      </w:r>
      <w:r>
        <w:t>such</w:t>
      </w:r>
      <w:r>
        <w:rPr>
          <w:spacing w:val="-3"/>
        </w:rPr>
        <w:t xml:space="preserve"> </w:t>
      </w:r>
      <w:r>
        <w:t>as</w:t>
      </w:r>
      <w:r>
        <w:rPr>
          <w:spacing w:val="-1"/>
        </w:rPr>
        <w:t xml:space="preserve"> </w:t>
      </w:r>
      <w:r>
        <w:t>a</w:t>
      </w:r>
      <w:r>
        <w:rPr>
          <w:spacing w:val="-4"/>
        </w:rPr>
        <w:t xml:space="preserve"> </w:t>
      </w:r>
      <w:r>
        <w:t>POS</w:t>
      </w:r>
      <w:r>
        <w:rPr>
          <w:spacing w:val="-4"/>
        </w:rPr>
        <w:t xml:space="preserve"> </w:t>
      </w:r>
      <w:r>
        <w:t>benefit</w:t>
      </w:r>
      <w:r>
        <w:rPr>
          <w:spacing w:val="-2"/>
        </w:rPr>
        <w:t xml:space="preserve"> </w:t>
      </w:r>
      <w:r>
        <w:t>in</w:t>
      </w:r>
      <w:r>
        <w:rPr>
          <w:spacing w:val="-3"/>
        </w:rPr>
        <w:t xml:space="preserve"> </w:t>
      </w:r>
      <w:r>
        <w:t>the</w:t>
      </w:r>
      <w:r>
        <w:rPr>
          <w:spacing w:val="-4"/>
        </w:rPr>
        <w:t xml:space="preserve"> </w:t>
      </w:r>
      <w:r>
        <w:t>PBP,</w:t>
      </w:r>
      <w:r>
        <w:rPr>
          <w:spacing w:val="-3"/>
        </w:rPr>
        <w:t xml:space="preserve"> </w:t>
      </w:r>
      <w:r>
        <w:t>the</w:t>
      </w:r>
      <w:r>
        <w:rPr>
          <w:spacing w:val="-4"/>
        </w:rPr>
        <w:t xml:space="preserve"> </w:t>
      </w:r>
      <w:r>
        <w:t>user</w:t>
      </w:r>
      <w:r>
        <w:rPr>
          <w:spacing w:val="-3"/>
        </w:rPr>
        <w:t xml:space="preserve"> </w:t>
      </w:r>
      <w:r>
        <w:t>must</w:t>
      </w:r>
      <w:r>
        <w:rPr>
          <w:spacing w:val="-3"/>
        </w:rPr>
        <w:t xml:space="preserve"> </w:t>
      </w:r>
      <w:r>
        <w:t>enter</w:t>
      </w:r>
      <w:r>
        <w:rPr>
          <w:spacing w:val="-3"/>
        </w:rPr>
        <w:t xml:space="preserve"> </w:t>
      </w:r>
      <w:r>
        <w:t>in</w:t>
      </w:r>
      <w:r>
        <w:rPr>
          <w:spacing w:val="-3"/>
        </w:rPr>
        <w:t xml:space="preserve"> </w:t>
      </w:r>
      <w:r>
        <w:t>column</w:t>
      </w:r>
      <w:r>
        <w:rPr>
          <w:spacing w:val="-3"/>
        </w:rPr>
        <w:t xml:space="preserve"> </w:t>
      </w:r>
      <w:r>
        <w:t>i</w:t>
      </w:r>
      <w:r>
        <w:rPr>
          <w:spacing w:val="-3"/>
        </w:rPr>
        <w:t xml:space="preserve"> </w:t>
      </w:r>
      <w:r>
        <w:t>a</w:t>
      </w:r>
      <w:r>
        <w:rPr>
          <w:spacing w:val="-3"/>
        </w:rPr>
        <w:t xml:space="preserve"> </w:t>
      </w:r>
      <w:r>
        <w:t>percentage less than 100 percent.</w:t>
      </w:r>
    </w:p>
    <w:p>
      <w:pPr>
        <w:spacing w:before="240"/>
        <w:ind w:left="1584" w:right="0" w:firstLine="0"/>
        <w:jc w:val="left"/>
        <w:rPr>
          <w:rFonts w:ascii="Arial"/>
          <w:b/>
          <w:sz w:val="21"/>
        </w:rPr>
      </w:pPr>
      <w:r>
        <w:rPr>
          <w:rFonts w:ascii="Arial"/>
          <w:b/>
          <w:sz w:val="21"/>
        </w:rPr>
        <w:t>Non-DE#</w:t>
      </w:r>
      <w:r>
        <w:rPr>
          <w:rFonts w:ascii="Arial"/>
          <w:b/>
          <w:spacing w:val="-9"/>
          <w:sz w:val="21"/>
        </w:rPr>
        <w:t xml:space="preserve"> </w:t>
      </w:r>
      <w:r>
        <w:rPr>
          <w:rFonts w:ascii="Arial"/>
          <w:b/>
          <w:spacing w:val="-2"/>
          <w:sz w:val="21"/>
        </w:rPr>
        <w:t>Example:</w:t>
      </w:r>
    </w:p>
    <w:p>
      <w:pPr>
        <w:pStyle w:val="BodyText"/>
        <w:spacing w:before="121"/>
        <w:ind w:left="1584" w:right="1481"/>
      </w:pPr>
      <w:r>
        <w:t>The</w:t>
      </w:r>
      <w:r>
        <w:rPr>
          <w:spacing w:val="-5"/>
        </w:rPr>
        <w:t xml:space="preserve"> </w:t>
      </w:r>
      <w:r>
        <w:t>MAO</w:t>
      </w:r>
      <w:r>
        <w:rPr>
          <w:spacing w:val="-4"/>
        </w:rPr>
        <w:t xml:space="preserve"> </w:t>
      </w:r>
      <w:r>
        <w:t>estimates</w:t>
      </w:r>
      <w:r>
        <w:rPr>
          <w:spacing w:val="-4"/>
        </w:rPr>
        <w:t xml:space="preserve"> </w:t>
      </w:r>
      <w:r>
        <w:t>that</w:t>
      </w:r>
      <w:r>
        <w:rPr>
          <w:spacing w:val="-1"/>
        </w:rPr>
        <w:t xml:space="preserve"> </w:t>
      </w:r>
      <w:r>
        <w:t>99.92</w:t>
      </w:r>
      <w:r>
        <w:rPr>
          <w:spacing w:val="-3"/>
        </w:rPr>
        <w:t xml:space="preserve"> </w:t>
      </w:r>
      <w:r>
        <w:t>percent</w:t>
      </w:r>
      <w:r>
        <w:rPr>
          <w:spacing w:val="-3"/>
        </w:rPr>
        <w:t xml:space="preserve"> </w:t>
      </w:r>
      <w:r>
        <w:t>of</w:t>
      </w:r>
      <w:r>
        <w:rPr>
          <w:spacing w:val="-4"/>
        </w:rPr>
        <w:t xml:space="preserve"> </w:t>
      </w:r>
      <w:r>
        <w:t>the</w:t>
      </w:r>
      <w:r>
        <w:rPr>
          <w:spacing w:val="-4"/>
        </w:rPr>
        <w:t xml:space="preserve"> </w:t>
      </w:r>
      <w:r>
        <w:t>allowed</w:t>
      </w:r>
      <w:r>
        <w:rPr>
          <w:spacing w:val="-3"/>
        </w:rPr>
        <w:t xml:space="preserve"> </w:t>
      </w:r>
      <w:r>
        <w:t>PMPM</w:t>
      </w:r>
      <w:r>
        <w:rPr>
          <w:spacing w:val="-4"/>
        </w:rPr>
        <w:t xml:space="preserve"> </w:t>
      </w:r>
      <w:r>
        <w:t>in</w:t>
      </w:r>
      <w:r>
        <w:rPr>
          <w:spacing w:val="-3"/>
        </w:rPr>
        <w:t xml:space="preserve"> </w:t>
      </w:r>
      <w:r>
        <w:t>column</w:t>
      </w:r>
      <w:r>
        <w:rPr>
          <w:spacing w:val="-3"/>
        </w:rPr>
        <w:t xml:space="preserve"> </w:t>
      </w:r>
      <w:r>
        <w:t>e</w:t>
      </w:r>
      <w:r>
        <w:rPr>
          <w:spacing w:val="-4"/>
        </w:rPr>
        <w:t xml:space="preserve"> </w:t>
      </w:r>
      <w:r>
        <w:t>for outpatient facility emergency services is for Medicare-covered services and</w:t>
      </w:r>
    </w:p>
    <w:p>
      <w:pPr>
        <w:pStyle w:val="BodyText"/>
        <w:ind w:left="1584" w:right="1481"/>
      </w:pPr>
      <w:r>
        <w:t>0.08</w:t>
      </w:r>
      <w:r>
        <w:rPr>
          <w:spacing w:val="-4"/>
        </w:rPr>
        <w:t xml:space="preserve"> </w:t>
      </w:r>
      <w:r>
        <w:t>percent</w:t>
      </w:r>
      <w:r>
        <w:rPr>
          <w:spacing w:val="-3"/>
        </w:rPr>
        <w:t xml:space="preserve"> </w:t>
      </w:r>
      <w:r>
        <w:t>is</w:t>
      </w:r>
      <w:r>
        <w:rPr>
          <w:spacing w:val="-4"/>
        </w:rPr>
        <w:t xml:space="preserve"> </w:t>
      </w:r>
      <w:r>
        <w:t>for</w:t>
      </w:r>
      <w:r>
        <w:rPr>
          <w:spacing w:val="-4"/>
        </w:rPr>
        <w:t xml:space="preserve"> </w:t>
      </w:r>
      <w:r>
        <w:t>A/B</w:t>
      </w:r>
      <w:r>
        <w:rPr>
          <w:spacing w:val="-4"/>
        </w:rPr>
        <w:t xml:space="preserve"> </w:t>
      </w:r>
      <w:r>
        <w:t>mandatory</w:t>
      </w:r>
      <w:r>
        <w:rPr>
          <w:spacing w:val="-4"/>
        </w:rPr>
        <w:t xml:space="preserve"> </w:t>
      </w:r>
      <w:r>
        <w:t>supplemental</w:t>
      </w:r>
      <w:r>
        <w:rPr>
          <w:spacing w:val="-4"/>
        </w:rPr>
        <w:t xml:space="preserve"> </w:t>
      </w:r>
      <w:r>
        <w:t>benefits,</w:t>
      </w:r>
      <w:r>
        <w:rPr>
          <w:spacing w:val="-4"/>
        </w:rPr>
        <w:t xml:space="preserve"> </w:t>
      </w:r>
      <w:r>
        <w:t>whereas</w:t>
      </w:r>
      <w:r>
        <w:rPr>
          <w:spacing w:val="-5"/>
        </w:rPr>
        <w:t xml:space="preserve"> </w:t>
      </w:r>
      <w:r>
        <w:t>98.03</w:t>
      </w:r>
      <w:r>
        <w:rPr>
          <w:spacing w:val="-4"/>
        </w:rPr>
        <w:t xml:space="preserve"> </w:t>
      </w:r>
      <w:r>
        <w:t>percent</w:t>
      </w:r>
      <w:r>
        <w:rPr>
          <w:spacing w:val="-4"/>
        </w:rPr>
        <w:t xml:space="preserve"> </w:t>
      </w:r>
      <w:r>
        <w:t>of the cost sharing PMPM in column f is for Medicare-covered services and</w:t>
      </w:r>
    </w:p>
    <w:p>
      <w:pPr>
        <w:pStyle w:val="BodyText"/>
        <w:ind w:left="1584" w:right="1481"/>
      </w:pPr>
      <w:r>
        <w:t>1.97</w:t>
      </w:r>
      <w:r>
        <w:rPr>
          <w:spacing w:val="-3"/>
        </w:rPr>
        <w:t xml:space="preserve"> </w:t>
      </w:r>
      <w:r>
        <w:t>percent</w:t>
      </w:r>
      <w:r>
        <w:rPr>
          <w:spacing w:val="-2"/>
        </w:rPr>
        <w:t xml:space="preserve"> </w:t>
      </w:r>
      <w:r>
        <w:t>of</w:t>
      </w:r>
      <w:r>
        <w:rPr>
          <w:spacing w:val="-3"/>
        </w:rPr>
        <w:t xml:space="preserve"> </w:t>
      </w:r>
      <w:r>
        <w:t>the</w:t>
      </w:r>
      <w:r>
        <w:rPr>
          <w:spacing w:val="-5"/>
        </w:rPr>
        <w:t xml:space="preserve"> </w:t>
      </w:r>
      <w:r>
        <w:t>cost</w:t>
      </w:r>
      <w:r>
        <w:rPr>
          <w:spacing w:val="-3"/>
        </w:rPr>
        <w:t xml:space="preserve"> </w:t>
      </w:r>
      <w:r>
        <w:t>sharing</w:t>
      </w:r>
      <w:r>
        <w:rPr>
          <w:spacing w:val="-3"/>
        </w:rPr>
        <w:t xml:space="preserve"> </w:t>
      </w:r>
      <w:r>
        <w:t>is</w:t>
      </w:r>
      <w:r>
        <w:rPr>
          <w:spacing w:val="-4"/>
        </w:rPr>
        <w:t xml:space="preserve"> </w:t>
      </w:r>
      <w:r>
        <w:t>for</w:t>
      </w:r>
      <w:r>
        <w:rPr>
          <w:spacing w:val="-4"/>
        </w:rPr>
        <w:t xml:space="preserve"> </w:t>
      </w:r>
      <w:r>
        <w:t>A/B</w:t>
      </w:r>
      <w:r>
        <w:rPr>
          <w:spacing w:val="-2"/>
        </w:rPr>
        <w:t xml:space="preserve"> </w:t>
      </w:r>
      <w:r>
        <w:t>mandatory</w:t>
      </w:r>
      <w:r>
        <w:rPr>
          <w:spacing w:val="-3"/>
        </w:rPr>
        <w:t xml:space="preserve"> </w:t>
      </w:r>
      <w:r>
        <w:t>supplemental</w:t>
      </w:r>
      <w:r>
        <w:rPr>
          <w:spacing w:val="-3"/>
        </w:rPr>
        <w:t xml:space="preserve"> </w:t>
      </w:r>
      <w:r>
        <w:t>benefits.</w:t>
      </w:r>
      <w:r>
        <w:rPr>
          <w:spacing w:val="-3"/>
        </w:rPr>
        <w:t xml:space="preserve"> </w:t>
      </w:r>
      <w:r>
        <w:t>The entries in columns i and j would be as follows:</w:t>
      </w:r>
    </w:p>
    <w:p>
      <w:pPr>
        <w:pStyle w:val="BodyText"/>
        <w:spacing w:before="16"/>
        <w:ind w:left="0"/>
        <w:rPr>
          <w:sz w:val="20"/>
        </w:rPr>
      </w:pPr>
    </w:p>
    <w:tbl>
      <w:tblPr>
        <w:tblStyle w:val="TableNormal"/>
        <w:tblW w:w="0" w:type="auto"/>
        <w:jc w:val="left"/>
        <w:tblInd w:w="2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2"/>
        <w:gridCol w:w="1222"/>
        <w:gridCol w:w="1477"/>
      </w:tblGrid>
      <w:tr>
        <w:tblPrEx>
          <w:tblW w:w="0" w:type="auto"/>
          <w:jc w:val="left"/>
          <w:tblInd w:w="2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86"/>
          <w:jc w:val="left"/>
        </w:trPr>
        <w:tc>
          <w:tcPr>
            <w:tcW w:w="3152" w:type="dxa"/>
            <w:tcBorders>
              <w:top w:val="nil"/>
              <w:left w:val="nil"/>
              <w:right w:val="nil"/>
            </w:tcBorders>
          </w:tcPr>
          <w:p>
            <w:pPr>
              <w:pStyle w:val="TableParagraph"/>
              <w:spacing w:line="266" w:lineRule="exact"/>
              <w:ind w:right="1"/>
              <w:jc w:val="center"/>
              <w:rPr>
                <w:sz w:val="24"/>
              </w:rPr>
            </w:pPr>
            <w:r>
              <w:rPr>
                <w:spacing w:val="-5"/>
                <w:sz w:val="24"/>
              </w:rPr>
              <w:t>(c)</w:t>
            </w:r>
          </w:p>
        </w:tc>
        <w:tc>
          <w:tcPr>
            <w:tcW w:w="1222" w:type="dxa"/>
            <w:tcBorders>
              <w:top w:val="nil"/>
              <w:left w:val="nil"/>
              <w:right w:val="nil"/>
            </w:tcBorders>
          </w:tcPr>
          <w:p>
            <w:pPr>
              <w:pStyle w:val="TableParagraph"/>
              <w:spacing w:line="266" w:lineRule="exact"/>
              <w:ind w:left="7"/>
              <w:jc w:val="center"/>
              <w:rPr>
                <w:sz w:val="24"/>
              </w:rPr>
            </w:pPr>
            <w:r>
              <w:rPr>
                <w:spacing w:val="-5"/>
                <w:sz w:val="24"/>
              </w:rPr>
              <w:t>(i)</w:t>
            </w:r>
          </w:p>
        </w:tc>
        <w:tc>
          <w:tcPr>
            <w:tcW w:w="1477" w:type="dxa"/>
            <w:tcBorders>
              <w:top w:val="nil"/>
              <w:left w:val="nil"/>
              <w:right w:val="nil"/>
            </w:tcBorders>
          </w:tcPr>
          <w:p>
            <w:pPr>
              <w:pStyle w:val="TableParagraph"/>
              <w:spacing w:line="266" w:lineRule="exact"/>
              <w:ind w:left="6"/>
              <w:jc w:val="center"/>
              <w:rPr>
                <w:sz w:val="24"/>
              </w:rPr>
            </w:pPr>
            <w:r>
              <w:rPr>
                <w:spacing w:val="-5"/>
                <w:sz w:val="24"/>
              </w:rPr>
              <w:t>(j)</w:t>
            </w:r>
          </w:p>
        </w:tc>
      </w:tr>
      <w:tr>
        <w:tblPrEx>
          <w:tblW w:w="0" w:type="auto"/>
          <w:jc w:val="left"/>
          <w:tblInd w:w="2151" w:type="dxa"/>
          <w:tblLayout w:type="fixed"/>
          <w:tblCellMar>
            <w:top w:w="0" w:type="dxa"/>
            <w:left w:w="0" w:type="dxa"/>
            <w:bottom w:w="0" w:type="dxa"/>
            <w:right w:w="0" w:type="dxa"/>
          </w:tblCellMar>
          <w:tblLook w:val="01E0"/>
        </w:tblPrEx>
        <w:trPr>
          <w:trHeight w:val="381"/>
          <w:jc w:val="left"/>
        </w:trPr>
        <w:tc>
          <w:tcPr>
            <w:tcW w:w="3152" w:type="dxa"/>
            <w:vMerge w:val="restart"/>
          </w:tcPr>
          <w:p>
            <w:pPr>
              <w:pStyle w:val="TableParagraph"/>
              <w:spacing w:before="136"/>
              <w:rPr>
                <w:sz w:val="22"/>
              </w:rPr>
            </w:pPr>
          </w:p>
          <w:p>
            <w:pPr>
              <w:pStyle w:val="TableParagraph"/>
              <w:spacing w:line="233" w:lineRule="exact"/>
              <w:ind w:left="105"/>
              <w:rPr>
                <w:sz w:val="22"/>
              </w:rPr>
            </w:pPr>
            <w:r>
              <w:rPr>
                <w:sz w:val="22"/>
              </w:rPr>
              <w:t>Service</w:t>
            </w:r>
            <w:r>
              <w:rPr>
                <w:spacing w:val="-2"/>
                <w:sz w:val="22"/>
              </w:rPr>
              <w:t xml:space="preserve"> Category</w:t>
            </w:r>
          </w:p>
        </w:tc>
        <w:tc>
          <w:tcPr>
            <w:tcW w:w="2699" w:type="dxa"/>
            <w:gridSpan w:val="2"/>
          </w:tcPr>
          <w:p>
            <w:pPr>
              <w:pStyle w:val="TableParagraph"/>
              <w:spacing w:before="125" w:line="236" w:lineRule="exact"/>
              <w:ind w:left="300"/>
              <w:rPr>
                <w:sz w:val="22"/>
              </w:rPr>
            </w:pPr>
            <w:r>
              <w:rPr>
                <w:sz w:val="22"/>
              </w:rPr>
              <w:t>%</w:t>
            </w:r>
            <w:r>
              <w:rPr>
                <w:spacing w:val="-2"/>
                <w:sz w:val="22"/>
              </w:rPr>
              <w:t xml:space="preserve"> </w:t>
            </w:r>
            <w:r>
              <w:rPr>
                <w:sz w:val="22"/>
              </w:rPr>
              <w:t>for</w:t>
            </w:r>
            <w:r>
              <w:rPr>
                <w:spacing w:val="-2"/>
                <w:sz w:val="22"/>
              </w:rPr>
              <w:t xml:space="preserve"> </w:t>
            </w:r>
            <w:r>
              <w:rPr>
                <w:sz w:val="22"/>
              </w:rPr>
              <w:t>Covered</w:t>
            </w:r>
            <w:r>
              <w:rPr>
                <w:spacing w:val="-2"/>
                <w:sz w:val="22"/>
              </w:rPr>
              <w:t xml:space="preserve"> Services</w:t>
            </w:r>
          </w:p>
        </w:tc>
      </w:tr>
      <w:tr>
        <w:tblPrEx>
          <w:tblW w:w="0" w:type="auto"/>
          <w:jc w:val="left"/>
          <w:tblInd w:w="2151" w:type="dxa"/>
          <w:tblLayout w:type="fixed"/>
          <w:tblCellMar>
            <w:top w:w="0" w:type="dxa"/>
            <w:left w:w="0" w:type="dxa"/>
            <w:bottom w:w="0" w:type="dxa"/>
            <w:right w:w="0" w:type="dxa"/>
          </w:tblCellMar>
          <w:tblLook w:val="01E0"/>
        </w:tblPrEx>
        <w:trPr>
          <w:trHeight w:val="251"/>
          <w:jc w:val="left"/>
        </w:trPr>
        <w:tc>
          <w:tcPr>
            <w:tcW w:w="3152" w:type="dxa"/>
            <w:vMerge/>
            <w:tcBorders>
              <w:top w:val="nil"/>
            </w:tcBorders>
          </w:tcPr>
          <w:p>
            <w:pPr>
              <w:rPr>
                <w:sz w:val="2"/>
                <w:szCs w:val="2"/>
              </w:rPr>
            </w:pPr>
          </w:p>
        </w:tc>
        <w:tc>
          <w:tcPr>
            <w:tcW w:w="1222" w:type="dxa"/>
          </w:tcPr>
          <w:p>
            <w:pPr>
              <w:pStyle w:val="TableParagraph"/>
              <w:spacing w:line="232" w:lineRule="exact"/>
              <w:ind w:left="8"/>
              <w:jc w:val="center"/>
              <w:rPr>
                <w:sz w:val="22"/>
              </w:rPr>
            </w:pPr>
            <w:r>
              <w:rPr>
                <w:spacing w:val="-2"/>
                <w:sz w:val="22"/>
              </w:rPr>
              <w:t>Allowed</w:t>
            </w:r>
          </w:p>
        </w:tc>
        <w:tc>
          <w:tcPr>
            <w:tcW w:w="1477" w:type="dxa"/>
          </w:tcPr>
          <w:p>
            <w:pPr>
              <w:pStyle w:val="TableParagraph"/>
              <w:spacing w:line="232" w:lineRule="exact"/>
              <w:ind w:left="9" w:right="1"/>
              <w:jc w:val="center"/>
              <w:rPr>
                <w:sz w:val="22"/>
              </w:rPr>
            </w:pPr>
            <w:r>
              <w:rPr>
                <w:sz w:val="22"/>
              </w:rPr>
              <w:t xml:space="preserve">Cost </w:t>
            </w:r>
            <w:r>
              <w:rPr>
                <w:spacing w:val="-2"/>
                <w:sz w:val="22"/>
              </w:rPr>
              <w:t>Sharing</w:t>
            </w:r>
          </w:p>
        </w:tc>
      </w:tr>
      <w:tr>
        <w:tblPrEx>
          <w:tblW w:w="0" w:type="auto"/>
          <w:jc w:val="left"/>
          <w:tblInd w:w="2151" w:type="dxa"/>
          <w:tblLayout w:type="fixed"/>
          <w:tblCellMar>
            <w:top w:w="0" w:type="dxa"/>
            <w:left w:w="0" w:type="dxa"/>
            <w:bottom w:w="0" w:type="dxa"/>
            <w:right w:w="0" w:type="dxa"/>
          </w:tblCellMar>
          <w:tblLook w:val="01E0"/>
        </w:tblPrEx>
        <w:trPr>
          <w:trHeight w:val="253"/>
          <w:jc w:val="left"/>
        </w:trPr>
        <w:tc>
          <w:tcPr>
            <w:tcW w:w="3152" w:type="dxa"/>
          </w:tcPr>
          <w:p>
            <w:pPr>
              <w:pStyle w:val="TableParagraph"/>
              <w:spacing w:line="234" w:lineRule="exact"/>
              <w:ind w:left="105"/>
              <w:rPr>
                <w:sz w:val="22"/>
              </w:rPr>
            </w:pPr>
            <w:r>
              <w:rPr>
                <w:sz w:val="22"/>
              </w:rPr>
              <w:t>f.</w:t>
            </w:r>
            <w:r>
              <w:rPr>
                <w:spacing w:val="-2"/>
                <w:sz w:val="22"/>
              </w:rPr>
              <w:t xml:space="preserve"> </w:t>
            </w:r>
            <w:r>
              <w:rPr>
                <w:sz w:val="22"/>
              </w:rPr>
              <w:t>OP</w:t>
            </w:r>
            <w:r>
              <w:rPr>
                <w:spacing w:val="-2"/>
                <w:sz w:val="22"/>
              </w:rPr>
              <w:t xml:space="preserve"> </w:t>
            </w:r>
            <w:r>
              <w:rPr>
                <w:sz w:val="22"/>
              </w:rPr>
              <w:t>Facility</w:t>
            </w:r>
            <w:r>
              <w:rPr>
                <w:spacing w:val="-4"/>
                <w:sz w:val="22"/>
              </w:rPr>
              <w:t xml:space="preserve"> </w:t>
            </w:r>
            <w:r>
              <w:rPr>
                <w:sz w:val="22"/>
              </w:rPr>
              <w:t>–</w:t>
            </w:r>
            <w:r>
              <w:rPr>
                <w:spacing w:val="-1"/>
                <w:sz w:val="22"/>
              </w:rPr>
              <w:t xml:space="preserve"> </w:t>
            </w:r>
            <w:r>
              <w:rPr>
                <w:spacing w:val="-2"/>
                <w:sz w:val="22"/>
              </w:rPr>
              <w:t>Emergency</w:t>
            </w:r>
          </w:p>
        </w:tc>
        <w:tc>
          <w:tcPr>
            <w:tcW w:w="1222" w:type="dxa"/>
          </w:tcPr>
          <w:p>
            <w:pPr>
              <w:pStyle w:val="TableParagraph"/>
              <w:spacing w:line="234" w:lineRule="exact"/>
              <w:ind w:left="8" w:right="2"/>
              <w:jc w:val="center"/>
              <w:rPr>
                <w:sz w:val="22"/>
              </w:rPr>
            </w:pPr>
            <w:r>
              <w:rPr>
                <w:spacing w:val="-2"/>
                <w:sz w:val="22"/>
              </w:rPr>
              <w:t>99.92%</w:t>
            </w:r>
          </w:p>
        </w:tc>
        <w:tc>
          <w:tcPr>
            <w:tcW w:w="1477" w:type="dxa"/>
          </w:tcPr>
          <w:p>
            <w:pPr>
              <w:pStyle w:val="TableParagraph"/>
              <w:spacing w:line="234" w:lineRule="exact"/>
              <w:ind w:left="9"/>
              <w:jc w:val="center"/>
              <w:rPr>
                <w:sz w:val="22"/>
              </w:rPr>
            </w:pPr>
            <w:r>
              <w:rPr>
                <w:spacing w:val="-2"/>
                <w:sz w:val="22"/>
              </w:rPr>
              <w:t>98.03%</w:t>
            </w:r>
          </w:p>
        </w:tc>
      </w:tr>
    </w:tbl>
    <w:p>
      <w:pPr>
        <w:pStyle w:val="TableParagraph"/>
        <w:spacing w:after="0" w:line="234" w:lineRule="exact"/>
        <w:jc w:val="center"/>
        <w:rPr>
          <w:sz w:val="22"/>
        </w:rPr>
        <w:sectPr>
          <w:pgSz w:w="12240" w:h="15840"/>
          <w:pgMar w:top="960" w:right="0" w:bottom="940" w:left="1080" w:header="727" w:footer="747"/>
          <w:cols w:space="720"/>
        </w:sectPr>
      </w:pPr>
    </w:p>
    <w:p>
      <w:pPr>
        <w:pStyle w:val="BodyText"/>
        <w:spacing w:before="190"/>
        <w:ind w:left="0"/>
      </w:pPr>
    </w:p>
    <w:p>
      <w:pPr>
        <w:pStyle w:val="BodyText"/>
        <w:ind w:left="1224"/>
      </w:pPr>
      <w:r>
        <w:t>See</w:t>
      </w:r>
      <w:r>
        <w:rPr>
          <w:spacing w:val="-4"/>
        </w:rPr>
        <w:t xml:space="preserve"> </w:t>
      </w:r>
      <w:r>
        <w:t>Appendix</w:t>
      </w:r>
      <w:r>
        <w:rPr>
          <w:spacing w:val="-1"/>
        </w:rPr>
        <w:t xml:space="preserve"> </w:t>
      </w:r>
      <w:r>
        <w:t>C for</w:t>
      </w:r>
      <w:r>
        <w:rPr>
          <w:spacing w:val="-3"/>
        </w:rPr>
        <w:t xml:space="preserve"> </w:t>
      </w:r>
      <w:r>
        <w:t>instructions</w:t>
      </w:r>
      <w:r>
        <w:rPr>
          <w:spacing w:val="-1"/>
        </w:rPr>
        <w:t xml:space="preserve"> </w:t>
      </w:r>
      <w:r>
        <w:t>on</w:t>
      </w:r>
      <w:r>
        <w:rPr>
          <w:spacing w:val="-1"/>
        </w:rPr>
        <w:t xml:space="preserve"> </w:t>
      </w:r>
      <w:r>
        <w:t>completing</w:t>
      </w:r>
      <w:r>
        <w:rPr>
          <w:spacing w:val="-1"/>
        </w:rPr>
        <w:t xml:space="preserve"> </w:t>
      </w:r>
      <w:r>
        <w:t>columns i</w:t>
      </w:r>
      <w:r>
        <w:rPr>
          <w:spacing w:val="-1"/>
        </w:rPr>
        <w:t xml:space="preserve"> </w:t>
      </w:r>
      <w:r>
        <w:t>and j</w:t>
      </w:r>
      <w:r>
        <w:rPr>
          <w:spacing w:val="-1"/>
        </w:rPr>
        <w:t xml:space="preserve"> </w:t>
      </w:r>
      <w:r>
        <w:t>for</w:t>
      </w:r>
      <w:r>
        <w:rPr>
          <w:spacing w:val="-3"/>
        </w:rPr>
        <w:t xml:space="preserve"> </w:t>
      </w:r>
      <w:r>
        <w:t>Part</w:t>
      </w:r>
      <w:r>
        <w:rPr>
          <w:spacing w:val="-1"/>
        </w:rPr>
        <w:t xml:space="preserve"> </w:t>
      </w:r>
      <w:r>
        <w:t xml:space="preserve">B-only </w:t>
      </w:r>
      <w:r>
        <w:rPr>
          <w:spacing w:val="-2"/>
        </w:rPr>
        <w:t>plans.</w:t>
      </w:r>
    </w:p>
    <w:p>
      <w:pPr>
        <w:pStyle w:val="BodyText"/>
        <w:spacing w:before="120"/>
        <w:ind w:left="1224" w:right="1482"/>
      </w:pPr>
      <w:r>
        <w:t>For the Medicare-covered service categories (lines a through k), the values entered in columns i and j must generate appropriate pricing for mandatory supplemental benefits in columns p through r, consistent with the PBP. In addition, the relationship between the PBP benefits and the BPT pricing is to be consistent with the mapping entered on Worksheet</w:t>
      </w:r>
      <w:r>
        <w:rPr>
          <w:spacing w:val="-1"/>
        </w:rPr>
        <w:t xml:space="preserve"> </w:t>
      </w:r>
      <w:r>
        <w:t>3</w:t>
      </w:r>
      <w:r>
        <w:rPr>
          <w:spacing w:val="-1"/>
        </w:rPr>
        <w:t xml:space="preserve"> </w:t>
      </w:r>
      <w:r>
        <w:t>Section</w:t>
      </w:r>
      <w:r>
        <w:rPr>
          <w:spacing w:val="-1"/>
        </w:rPr>
        <w:t xml:space="preserve"> </w:t>
      </w:r>
      <w:r>
        <w:t>IV. For</w:t>
      </w:r>
      <w:r>
        <w:rPr>
          <w:spacing w:val="-1"/>
        </w:rPr>
        <w:t xml:space="preserve"> </w:t>
      </w:r>
      <w:r>
        <w:t>example,</w:t>
      </w:r>
      <w:r>
        <w:rPr>
          <w:spacing w:val="-1"/>
        </w:rPr>
        <w:t xml:space="preserve"> </w:t>
      </w:r>
      <w:r>
        <w:t>if</w:t>
      </w:r>
      <w:r>
        <w:rPr>
          <w:spacing w:val="-1"/>
        </w:rPr>
        <w:t xml:space="preserve"> </w:t>
      </w:r>
      <w:r>
        <w:t>a</w:t>
      </w:r>
      <w:r>
        <w:rPr>
          <w:spacing w:val="-2"/>
        </w:rPr>
        <w:t xml:space="preserve"> </w:t>
      </w:r>
      <w:r>
        <w:t>bid</w:t>
      </w:r>
      <w:r>
        <w:rPr>
          <w:spacing w:val="-1"/>
        </w:rPr>
        <w:t xml:space="preserve"> </w:t>
      </w:r>
      <w:r>
        <w:t>covers</w:t>
      </w:r>
      <w:r>
        <w:rPr>
          <w:spacing w:val="-2"/>
        </w:rPr>
        <w:t xml:space="preserve"> </w:t>
      </w:r>
      <w:r>
        <w:t>additional</w:t>
      </w:r>
      <w:r>
        <w:rPr>
          <w:spacing w:val="-1"/>
        </w:rPr>
        <w:t xml:space="preserve"> </w:t>
      </w:r>
      <w:r>
        <w:t>inpatient</w:t>
      </w:r>
      <w:r>
        <w:rPr>
          <w:spacing w:val="-1"/>
        </w:rPr>
        <w:t xml:space="preserve"> </w:t>
      </w:r>
      <w:r>
        <w:t>hospital</w:t>
      </w:r>
      <w:r>
        <w:rPr>
          <w:spacing w:val="-1"/>
        </w:rPr>
        <w:t xml:space="preserve"> </w:t>
      </w:r>
      <w:r>
        <w:t>days, and</w:t>
      </w:r>
      <w:r>
        <w:rPr>
          <w:spacing w:val="-3"/>
        </w:rPr>
        <w:t xml:space="preserve"> </w:t>
      </w:r>
      <w:r>
        <w:t>the</w:t>
      </w:r>
      <w:r>
        <w:rPr>
          <w:spacing w:val="-4"/>
        </w:rPr>
        <w:t xml:space="preserve"> </w:t>
      </w:r>
      <w:r>
        <w:t>bid</w:t>
      </w:r>
      <w:r>
        <w:rPr>
          <w:spacing w:val="-3"/>
        </w:rPr>
        <w:t xml:space="preserve"> </w:t>
      </w:r>
      <w:r>
        <w:t>is</w:t>
      </w:r>
      <w:r>
        <w:rPr>
          <w:spacing w:val="-4"/>
        </w:rPr>
        <w:t xml:space="preserve"> </w:t>
      </w:r>
      <w:r>
        <w:t>using</w:t>
      </w:r>
      <w:r>
        <w:rPr>
          <w:spacing w:val="-3"/>
        </w:rPr>
        <w:t xml:space="preserve"> </w:t>
      </w:r>
      <w:r>
        <w:t>the</w:t>
      </w:r>
      <w:r>
        <w:rPr>
          <w:spacing w:val="-4"/>
        </w:rPr>
        <w:t xml:space="preserve"> </w:t>
      </w:r>
      <w:r>
        <w:t>suggested</w:t>
      </w:r>
      <w:r>
        <w:rPr>
          <w:spacing w:val="-3"/>
        </w:rPr>
        <w:t xml:space="preserve"> </w:t>
      </w:r>
      <w:r>
        <w:t>mapping</w:t>
      </w:r>
      <w:r>
        <w:rPr>
          <w:spacing w:val="-3"/>
        </w:rPr>
        <w:t xml:space="preserve"> </w:t>
      </w:r>
      <w:r>
        <w:t>from</w:t>
      </w:r>
      <w:r>
        <w:rPr>
          <w:spacing w:val="-1"/>
        </w:rPr>
        <w:t xml:space="preserve"> </w:t>
      </w:r>
      <w:r>
        <w:t>Appendix</w:t>
      </w:r>
      <w:r>
        <w:rPr>
          <w:spacing w:val="-3"/>
        </w:rPr>
        <w:t xml:space="preserve"> </w:t>
      </w:r>
      <w:r>
        <w:t>F,</w:t>
      </w:r>
      <w:r>
        <w:rPr>
          <w:spacing w:val="-3"/>
        </w:rPr>
        <w:t xml:space="preserve"> </w:t>
      </w:r>
      <w:r>
        <w:t>the</w:t>
      </w:r>
      <w:r>
        <w:rPr>
          <w:spacing w:val="-3"/>
        </w:rPr>
        <w:t xml:space="preserve"> </w:t>
      </w:r>
      <w:r>
        <w:t>PMPM</w:t>
      </w:r>
      <w:r>
        <w:rPr>
          <w:spacing w:val="-4"/>
        </w:rPr>
        <w:t xml:space="preserve"> </w:t>
      </w:r>
      <w:r>
        <w:t>pricing</w:t>
      </w:r>
      <w:r>
        <w:rPr>
          <w:spacing w:val="-3"/>
        </w:rPr>
        <w:t xml:space="preserve"> </w:t>
      </w:r>
      <w:r>
        <w:t>for</w:t>
      </w:r>
      <w:r>
        <w:rPr>
          <w:spacing w:val="-4"/>
        </w:rPr>
        <w:t xml:space="preserve"> </w:t>
      </w:r>
      <w:r>
        <w:t>the non-covered inpatient services is to be represented in line a, column p, “Net PMPM for Additional Services.”</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k</w:t>
      </w:r>
      <w:r>
        <w:rPr>
          <w:rFonts w:ascii="Arial" w:hAnsi="Arial"/>
          <w:b/>
          <w:spacing w:val="-5"/>
          <w:sz w:val="21"/>
        </w:rPr>
        <w:t xml:space="preserve"> </w:t>
      </w:r>
      <w:r>
        <w:rPr>
          <w:rFonts w:ascii="Arial" w:hAnsi="Arial"/>
          <w:b/>
          <w:sz w:val="21"/>
        </w:rPr>
        <w:t>–</w:t>
      </w:r>
      <w:r>
        <w:rPr>
          <w:rFonts w:ascii="Arial" w:hAnsi="Arial"/>
          <w:b/>
          <w:spacing w:val="-7"/>
          <w:sz w:val="21"/>
        </w:rPr>
        <w:t xml:space="preserve"> </w:t>
      </w:r>
      <w:r>
        <w:rPr>
          <w:rFonts w:ascii="Arial" w:hAnsi="Arial"/>
          <w:b/>
          <w:sz w:val="21"/>
        </w:rPr>
        <w:t>FFS</w:t>
      </w:r>
      <w:r>
        <w:rPr>
          <w:rFonts w:ascii="Arial" w:hAnsi="Arial"/>
          <w:b/>
          <w:spacing w:val="-4"/>
          <w:sz w:val="21"/>
        </w:rPr>
        <w:t xml:space="preserve"> </w:t>
      </w:r>
      <w:r>
        <w:rPr>
          <w:rFonts w:ascii="Arial" w:hAnsi="Arial"/>
          <w:b/>
          <w:sz w:val="21"/>
        </w:rPr>
        <w:t>Medicare</w:t>
      </w:r>
      <w:r>
        <w:rPr>
          <w:rFonts w:ascii="Arial" w:hAnsi="Arial"/>
          <w:b/>
          <w:spacing w:val="-6"/>
          <w:sz w:val="21"/>
        </w:rPr>
        <w:t xml:space="preserve"> </w:t>
      </w:r>
      <w:r>
        <w:rPr>
          <w:rFonts w:ascii="Arial" w:hAnsi="Arial"/>
          <w:b/>
          <w:sz w:val="21"/>
        </w:rPr>
        <w:t>Actuarial</w:t>
      </w:r>
      <w:r>
        <w:rPr>
          <w:rFonts w:ascii="Arial" w:hAnsi="Arial"/>
          <w:b/>
          <w:spacing w:val="-6"/>
          <w:sz w:val="21"/>
        </w:rPr>
        <w:t xml:space="preserve"> </w:t>
      </w:r>
      <w:r>
        <w:rPr>
          <w:rFonts w:ascii="Arial" w:hAnsi="Arial"/>
          <w:b/>
          <w:sz w:val="21"/>
        </w:rPr>
        <w:t>Equivalent</w:t>
      </w:r>
      <w:r>
        <w:rPr>
          <w:rFonts w:ascii="Arial" w:hAnsi="Arial"/>
          <w:b/>
          <w:spacing w:val="-5"/>
          <w:sz w:val="21"/>
        </w:rPr>
        <w:t xml:space="preserve"> </w:t>
      </w:r>
      <w:r>
        <w:rPr>
          <w:rFonts w:ascii="Arial" w:hAnsi="Arial"/>
          <w:b/>
          <w:sz w:val="21"/>
        </w:rPr>
        <w:t>(AE)</w:t>
      </w:r>
      <w:r>
        <w:rPr>
          <w:rFonts w:ascii="Arial" w:hAnsi="Arial"/>
          <w:b/>
          <w:spacing w:val="-8"/>
          <w:sz w:val="21"/>
        </w:rPr>
        <w:t xml:space="preserve"> </w:t>
      </w:r>
      <w:r>
        <w:rPr>
          <w:rFonts w:ascii="Arial" w:hAnsi="Arial"/>
          <w:b/>
          <w:sz w:val="21"/>
        </w:rPr>
        <w:t>Cost-Sharing</w:t>
      </w:r>
      <w:r>
        <w:rPr>
          <w:rFonts w:ascii="Arial" w:hAnsi="Arial"/>
          <w:b/>
          <w:spacing w:val="-4"/>
          <w:sz w:val="21"/>
        </w:rPr>
        <w:t xml:space="preserve"> </w:t>
      </w:r>
      <w:r>
        <w:rPr>
          <w:rFonts w:ascii="Arial" w:hAnsi="Arial"/>
          <w:b/>
          <w:spacing w:val="-2"/>
          <w:sz w:val="21"/>
        </w:rPr>
        <w:t>Proportions</w:t>
      </w:r>
    </w:p>
    <w:p>
      <w:pPr>
        <w:pStyle w:val="BodyText"/>
        <w:spacing w:before="120"/>
        <w:ind w:left="1224"/>
      </w:pPr>
      <w:r>
        <w:t>These</w:t>
      </w:r>
      <w:r>
        <w:rPr>
          <w:spacing w:val="-5"/>
        </w:rPr>
        <w:t xml:space="preserve"> </w:t>
      </w:r>
      <w:r>
        <w:t>values</w:t>
      </w:r>
      <w:r>
        <w:rPr>
          <w:spacing w:val="-1"/>
        </w:rPr>
        <w:t xml:space="preserve"> </w:t>
      </w:r>
      <w:r>
        <w:t>are</w:t>
      </w:r>
      <w:r>
        <w:rPr>
          <w:spacing w:val="-4"/>
        </w:rPr>
        <w:t xml:space="preserve"> </w:t>
      </w:r>
      <w:r>
        <w:t>populated</w:t>
      </w:r>
      <w:r>
        <w:rPr>
          <w:spacing w:val="-1"/>
        </w:rPr>
        <w:t xml:space="preserve"> </w:t>
      </w:r>
      <w:r>
        <w:t>based</w:t>
      </w:r>
      <w:r>
        <w:rPr>
          <w:spacing w:val="-2"/>
        </w:rPr>
        <w:t xml:space="preserve"> </w:t>
      </w:r>
      <w:r>
        <w:t>on</w:t>
      </w:r>
      <w:r>
        <w:rPr>
          <w:spacing w:val="-2"/>
        </w:rPr>
        <w:t xml:space="preserve"> </w:t>
      </w:r>
      <w:r>
        <w:t>the</w:t>
      </w:r>
      <w:r>
        <w:rPr>
          <w:spacing w:val="-1"/>
        </w:rPr>
        <w:t xml:space="preserve"> </w:t>
      </w:r>
      <w:r>
        <w:t>enrollment</w:t>
      </w:r>
      <w:r>
        <w:rPr>
          <w:spacing w:val="-1"/>
        </w:rPr>
        <w:t xml:space="preserve"> </w:t>
      </w:r>
      <w:r>
        <w:t>projections</w:t>
      </w:r>
      <w:r>
        <w:rPr>
          <w:spacing w:val="-3"/>
        </w:rPr>
        <w:t xml:space="preserve"> </w:t>
      </w:r>
      <w:r>
        <w:t>entered</w:t>
      </w:r>
      <w:r>
        <w:rPr>
          <w:spacing w:val="-2"/>
        </w:rPr>
        <w:t xml:space="preserve"> </w:t>
      </w:r>
      <w:r>
        <w:t>in</w:t>
      </w:r>
      <w:r>
        <w:rPr>
          <w:spacing w:val="3"/>
        </w:rPr>
        <w:t xml:space="preserve"> </w:t>
      </w:r>
      <w:r>
        <w:t>Worksheet</w:t>
      </w:r>
      <w:r>
        <w:rPr>
          <w:spacing w:val="-1"/>
        </w:rPr>
        <w:t xml:space="preserve"> </w:t>
      </w:r>
      <w:r>
        <w:rPr>
          <w:spacing w:val="-5"/>
        </w:rPr>
        <w:t>5.</w:t>
      </w:r>
    </w:p>
    <w:p>
      <w:pPr>
        <w:pStyle w:val="ListParagraph"/>
        <w:numPr>
          <w:ilvl w:val="0"/>
          <w:numId w:val="43"/>
        </w:numPr>
        <w:tabs>
          <w:tab w:val="left" w:pos="1223"/>
        </w:tabs>
        <w:spacing w:before="122" w:after="0" w:line="240" w:lineRule="auto"/>
        <w:ind w:left="1223"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l</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Plan</w:t>
      </w:r>
      <w:r>
        <w:rPr>
          <w:rFonts w:ascii="Arial" w:hAnsi="Arial"/>
          <w:b/>
          <w:spacing w:val="-5"/>
          <w:sz w:val="21"/>
        </w:rPr>
        <w:t xml:space="preserve"> </w:t>
      </w:r>
      <w:r>
        <w:rPr>
          <w:rFonts w:ascii="Arial" w:hAnsi="Arial"/>
          <w:b/>
          <w:sz w:val="21"/>
        </w:rPr>
        <w:t>Cost</w:t>
      </w:r>
      <w:r>
        <w:rPr>
          <w:rFonts w:ascii="Arial" w:hAnsi="Arial"/>
          <w:b/>
          <w:spacing w:val="-6"/>
          <w:sz w:val="21"/>
        </w:rPr>
        <w:t xml:space="preserve"> </w:t>
      </w:r>
      <w:r>
        <w:rPr>
          <w:rFonts w:ascii="Arial" w:hAnsi="Arial"/>
          <w:b/>
          <w:sz w:val="21"/>
        </w:rPr>
        <w:t>Sharing</w:t>
      </w:r>
      <w:r>
        <w:rPr>
          <w:rFonts w:ascii="Arial" w:hAnsi="Arial"/>
          <w:b/>
          <w:spacing w:val="-5"/>
          <w:sz w:val="21"/>
        </w:rPr>
        <w:t xml:space="preserve"> </w:t>
      </w:r>
      <w:r>
        <w:rPr>
          <w:rFonts w:ascii="Arial" w:hAnsi="Arial"/>
          <w:b/>
          <w:sz w:val="21"/>
        </w:rPr>
        <w:t>for</w:t>
      </w:r>
      <w:r>
        <w:rPr>
          <w:rFonts w:ascii="Arial" w:hAnsi="Arial"/>
          <w:b/>
          <w:spacing w:val="-5"/>
          <w:sz w:val="21"/>
        </w:rPr>
        <w:t xml:space="preserve"> </w:t>
      </w:r>
      <w:r>
        <w:rPr>
          <w:rFonts w:ascii="Arial" w:hAnsi="Arial"/>
          <w:b/>
          <w:sz w:val="21"/>
        </w:rPr>
        <w:t>Medicare-Covered</w:t>
      </w:r>
      <w:r>
        <w:rPr>
          <w:rFonts w:ascii="Arial" w:hAnsi="Arial"/>
          <w:b/>
          <w:spacing w:val="-5"/>
          <w:sz w:val="21"/>
        </w:rPr>
        <w:t xml:space="preserve"> </w:t>
      </w:r>
      <w:r>
        <w:rPr>
          <w:rFonts w:ascii="Arial" w:hAnsi="Arial"/>
          <w:b/>
          <w:spacing w:val="-2"/>
          <w:sz w:val="21"/>
        </w:rPr>
        <w:t>Services</w:t>
      </w:r>
    </w:p>
    <w:p>
      <w:pPr>
        <w:pStyle w:val="BodyText"/>
        <w:spacing w:before="117"/>
        <w:ind w:left="1224" w:right="1460"/>
      </w:pPr>
      <w:r>
        <w:t>This column calculates the portion of the plan cost sharing that is attributable to Medicare-covered</w:t>
      </w:r>
      <w:r>
        <w:rPr>
          <w:spacing w:val="-3"/>
        </w:rPr>
        <w:t xml:space="preserve"> </w:t>
      </w:r>
      <w:r>
        <w:t>benefits</w:t>
      </w:r>
      <w:r>
        <w:rPr>
          <w:spacing w:val="-4"/>
        </w:rPr>
        <w:t xml:space="preserve"> </w:t>
      </w:r>
      <w:r>
        <w:t>(calculated</w:t>
      </w:r>
      <w:r>
        <w:rPr>
          <w:spacing w:val="-2"/>
        </w:rPr>
        <w:t xml:space="preserve"> </w:t>
      </w:r>
      <w:r>
        <w:t>as</w:t>
      </w:r>
      <w:r>
        <w:rPr>
          <w:spacing w:val="-4"/>
        </w:rPr>
        <w:t xml:space="preserve"> </w:t>
      </w:r>
      <w:r>
        <w:t>column</w:t>
      </w:r>
      <w:r>
        <w:rPr>
          <w:spacing w:val="-3"/>
        </w:rPr>
        <w:t xml:space="preserve"> </w:t>
      </w:r>
      <w:r>
        <w:t>f</w:t>
      </w:r>
      <w:r>
        <w:rPr>
          <w:spacing w:val="-2"/>
        </w:rPr>
        <w:t xml:space="preserve"> </w:t>
      </w:r>
      <w:r>
        <w:t>times</w:t>
      </w:r>
      <w:r>
        <w:rPr>
          <w:spacing w:val="-4"/>
        </w:rPr>
        <w:t xml:space="preserve"> </w:t>
      </w:r>
      <w:r>
        <w:t>column</w:t>
      </w:r>
      <w:r>
        <w:rPr>
          <w:spacing w:val="-1"/>
        </w:rPr>
        <w:t xml:space="preserve"> </w:t>
      </w:r>
      <w:r>
        <w:t>j).</w:t>
      </w:r>
      <w:r>
        <w:rPr>
          <w:spacing w:val="-3"/>
        </w:rPr>
        <w:t xml:space="preserve"> </w:t>
      </w:r>
      <w:r>
        <w:t>This</w:t>
      </w:r>
      <w:r>
        <w:rPr>
          <w:spacing w:val="-4"/>
        </w:rPr>
        <w:t xml:space="preserve"> </w:t>
      </w:r>
      <w:r>
        <w:t>column</w:t>
      </w:r>
      <w:r>
        <w:rPr>
          <w:spacing w:val="-3"/>
        </w:rPr>
        <w:t xml:space="preserve"> </w:t>
      </w:r>
      <w:r>
        <w:t>is</w:t>
      </w:r>
      <w:r>
        <w:rPr>
          <w:spacing w:val="-4"/>
        </w:rPr>
        <w:t xml:space="preserve"> </w:t>
      </w:r>
      <w:r>
        <w:t>used to determine the reduction of A/B cost sharing in column q.</w:t>
      </w:r>
    </w:p>
    <w:p>
      <w:pPr>
        <w:pStyle w:val="BodyText"/>
        <w:spacing w:before="120"/>
        <w:ind w:left="1224" w:right="1481"/>
      </w:pPr>
      <w:r>
        <w:t>Plan</w:t>
      </w:r>
      <w:r>
        <w:rPr>
          <w:spacing w:val="-4"/>
        </w:rPr>
        <w:t xml:space="preserve"> </w:t>
      </w:r>
      <w:r>
        <w:t>cost</w:t>
      </w:r>
      <w:r>
        <w:rPr>
          <w:spacing w:val="-4"/>
        </w:rPr>
        <w:t xml:space="preserve"> </w:t>
      </w:r>
      <w:r>
        <w:t>sharing</w:t>
      </w:r>
      <w:r>
        <w:rPr>
          <w:spacing w:val="-4"/>
        </w:rPr>
        <w:t xml:space="preserve"> </w:t>
      </w:r>
      <w:r>
        <w:t>for</w:t>
      </w:r>
      <w:r>
        <w:rPr>
          <w:spacing w:val="-4"/>
        </w:rPr>
        <w:t xml:space="preserve"> </w:t>
      </w:r>
      <w:r>
        <w:t>Medicare-covered</w:t>
      </w:r>
      <w:r>
        <w:rPr>
          <w:spacing w:val="-4"/>
        </w:rPr>
        <w:t xml:space="preserve"> </w:t>
      </w:r>
      <w:r>
        <w:t>services</w:t>
      </w:r>
      <w:r>
        <w:rPr>
          <w:spacing w:val="-4"/>
        </w:rPr>
        <w:t xml:space="preserve"> </w:t>
      </w:r>
      <w:r>
        <w:t>is</w:t>
      </w:r>
      <w:r>
        <w:rPr>
          <w:spacing w:val="-5"/>
        </w:rPr>
        <w:t xml:space="preserve"> </w:t>
      </w:r>
      <w:r>
        <w:t>compared</w:t>
      </w:r>
      <w:r>
        <w:rPr>
          <w:spacing w:val="-4"/>
        </w:rPr>
        <w:t xml:space="preserve"> </w:t>
      </w:r>
      <w:r>
        <w:t>to</w:t>
      </w:r>
      <w:r>
        <w:rPr>
          <w:spacing w:val="-4"/>
        </w:rPr>
        <w:t xml:space="preserve"> </w:t>
      </w:r>
      <w:r>
        <w:t>Medicare</w:t>
      </w:r>
      <w:r>
        <w:rPr>
          <w:spacing w:val="-3"/>
        </w:rPr>
        <w:t xml:space="preserve"> </w:t>
      </w:r>
      <w:r>
        <w:t>FFS actuarially equivalent cost sharing in the BPT “red-circle” validations.</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Columns</w:t>
      </w:r>
      <w:r>
        <w:rPr>
          <w:rFonts w:ascii="Arial" w:hAnsi="Arial"/>
          <w:b/>
          <w:spacing w:val="-8"/>
          <w:sz w:val="21"/>
        </w:rPr>
        <w:t xml:space="preserve"> </w:t>
      </w:r>
      <w:r>
        <w:rPr>
          <w:rFonts w:ascii="Arial" w:hAnsi="Arial"/>
          <w:b/>
          <w:sz w:val="21"/>
        </w:rPr>
        <w:t>m</w:t>
      </w:r>
      <w:r>
        <w:rPr>
          <w:rFonts w:ascii="Arial" w:hAnsi="Arial"/>
          <w:b/>
          <w:spacing w:val="-7"/>
          <w:sz w:val="21"/>
        </w:rPr>
        <w:t xml:space="preserve"> </w:t>
      </w:r>
      <w:r>
        <w:rPr>
          <w:rFonts w:ascii="Arial" w:hAnsi="Arial"/>
          <w:b/>
          <w:sz w:val="21"/>
        </w:rPr>
        <w:t>through</w:t>
      </w:r>
      <w:r>
        <w:rPr>
          <w:rFonts w:ascii="Arial" w:hAnsi="Arial"/>
          <w:b/>
          <w:spacing w:val="-4"/>
          <w:sz w:val="21"/>
        </w:rPr>
        <w:t xml:space="preserve"> </w:t>
      </w:r>
      <w:r>
        <w:rPr>
          <w:rFonts w:ascii="Arial" w:hAnsi="Arial"/>
          <w:b/>
          <w:sz w:val="21"/>
        </w:rPr>
        <w:t>o</w:t>
      </w:r>
      <w:r>
        <w:rPr>
          <w:rFonts w:ascii="Arial" w:hAnsi="Arial"/>
          <w:b/>
          <w:spacing w:val="-6"/>
          <w:sz w:val="21"/>
        </w:rPr>
        <w:t xml:space="preserve"> </w:t>
      </w:r>
      <w:r>
        <w:rPr>
          <w:rFonts w:ascii="Arial" w:hAnsi="Arial"/>
          <w:b/>
          <w:sz w:val="21"/>
        </w:rPr>
        <w:t>–</w:t>
      </w:r>
      <w:r>
        <w:rPr>
          <w:rFonts w:ascii="Arial" w:hAnsi="Arial"/>
          <w:b/>
          <w:spacing w:val="-7"/>
          <w:sz w:val="21"/>
        </w:rPr>
        <w:t xml:space="preserve"> </w:t>
      </w:r>
      <w:r>
        <w:rPr>
          <w:rFonts w:ascii="Arial" w:hAnsi="Arial"/>
          <w:b/>
          <w:sz w:val="21"/>
        </w:rPr>
        <w:t>Medicare-Covered</w:t>
      </w:r>
      <w:r>
        <w:rPr>
          <w:rFonts w:ascii="Arial" w:hAnsi="Arial"/>
          <w:b/>
          <w:spacing w:val="-8"/>
          <w:sz w:val="21"/>
        </w:rPr>
        <w:t xml:space="preserve"> </w:t>
      </w:r>
      <w:r>
        <w:rPr>
          <w:rFonts w:ascii="Arial" w:hAnsi="Arial"/>
          <w:b/>
          <w:sz w:val="21"/>
        </w:rPr>
        <w:t>using</w:t>
      </w:r>
      <w:r>
        <w:rPr>
          <w:rFonts w:ascii="Arial" w:hAnsi="Arial"/>
          <w:b/>
          <w:spacing w:val="-7"/>
          <w:sz w:val="21"/>
        </w:rPr>
        <w:t xml:space="preserve"> </w:t>
      </w:r>
      <w:r>
        <w:rPr>
          <w:rFonts w:ascii="Arial" w:hAnsi="Arial"/>
          <w:b/>
          <w:sz w:val="21"/>
        </w:rPr>
        <w:t>Actuarial</w:t>
      </w:r>
      <w:r>
        <w:rPr>
          <w:rFonts w:ascii="Arial" w:hAnsi="Arial"/>
          <w:b/>
          <w:spacing w:val="-6"/>
          <w:sz w:val="21"/>
        </w:rPr>
        <w:t xml:space="preserve"> </w:t>
      </w:r>
      <w:r>
        <w:rPr>
          <w:rFonts w:ascii="Arial" w:hAnsi="Arial"/>
          <w:b/>
          <w:sz w:val="21"/>
        </w:rPr>
        <w:t>Equivalent</w:t>
      </w:r>
      <w:r>
        <w:rPr>
          <w:rFonts w:ascii="Arial" w:hAnsi="Arial"/>
          <w:b/>
          <w:spacing w:val="-6"/>
          <w:sz w:val="21"/>
        </w:rPr>
        <w:t xml:space="preserve"> </w:t>
      </w:r>
      <w:r>
        <w:rPr>
          <w:rFonts w:ascii="Arial" w:hAnsi="Arial"/>
          <w:b/>
          <w:sz w:val="21"/>
        </w:rPr>
        <w:t>Cost</w:t>
      </w:r>
      <w:r>
        <w:rPr>
          <w:rFonts w:ascii="Arial" w:hAnsi="Arial"/>
          <w:b/>
          <w:spacing w:val="-6"/>
          <w:sz w:val="21"/>
        </w:rPr>
        <w:t xml:space="preserve"> </w:t>
      </w:r>
      <w:r>
        <w:rPr>
          <w:rFonts w:ascii="Arial" w:hAnsi="Arial"/>
          <w:b/>
          <w:spacing w:val="-2"/>
          <w:sz w:val="21"/>
        </w:rPr>
        <w:t>Sharing</w:t>
      </w:r>
    </w:p>
    <w:p>
      <w:pPr>
        <w:pStyle w:val="BodyText"/>
        <w:spacing w:before="120"/>
        <w:ind w:left="1224" w:right="1492"/>
      </w:pPr>
      <w:r>
        <w:t>These</w:t>
      </w:r>
      <w:r>
        <w:rPr>
          <w:spacing w:val="-4"/>
        </w:rPr>
        <w:t xml:space="preserve"> </w:t>
      </w:r>
      <w:r>
        <w:t>columns</w:t>
      </w:r>
      <w:r>
        <w:rPr>
          <w:spacing w:val="-4"/>
        </w:rPr>
        <w:t xml:space="preserve"> </w:t>
      </w:r>
      <w:r>
        <w:t>are</w:t>
      </w:r>
      <w:r>
        <w:rPr>
          <w:spacing w:val="-4"/>
        </w:rPr>
        <w:t xml:space="preserve"> </w:t>
      </w:r>
      <w:r>
        <w:t>calculated</w:t>
      </w:r>
      <w:r>
        <w:rPr>
          <w:spacing w:val="-3"/>
        </w:rPr>
        <w:t xml:space="preserve"> </w:t>
      </w:r>
      <w:r>
        <w:t>automatically</w:t>
      </w:r>
      <w:r>
        <w:rPr>
          <w:spacing w:val="-3"/>
        </w:rPr>
        <w:t xml:space="preserve"> </w:t>
      </w:r>
      <w:r>
        <w:t>and</w:t>
      </w:r>
      <w:r>
        <w:rPr>
          <w:spacing w:val="-1"/>
        </w:rPr>
        <w:t xml:space="preserve"> </w:t>
      </w:r>
      <w:r>
        <w:t>are</w:t>
      </w:r>
      <w:r>
        <w:rPr>
          <w:spacing w:val="-4"/>
        </w:rPr>
        <w:t xml:space="preserve"> </w:t>
      </w:r>
      <w:r>
        <w:t>the</w:t>
      </w:r>
      <w:r>
        <w:rPr>
          <w:spacing w:val="-3"/>
        </w:rPr>
        <w:t xml:space="preserve"> </w:t>
      </w:r>
      <w:r>
        <w:t>basis</w:t>
      </w:r>
      <w:r>
        <w:rPr>
          <w:spacing w:val="-3"/>
        </w:rPr>
        <w:t xml:space="preserve"> </w:t>
      </w:r>
      <w:r>
        <w:t>for</w:t>
      </w:r>
      <w:r>
        <w:rPr>
          <w:spacing w:val="-5"/>
        </w:rPr>
        <w:t xml:space="preserve"> </w:t>
      </w:r>
      <w:r>
        <w:t>the</w:t>
      </w:r>
      <w:r>
        <w:rPr>
          <w:spacing w:val="-2"/>
        </w:rPr>
        <w:t xml:space="preserve"> </w:t>
      </w:r>
      <w:r>
        <w:t>costs</w:t>
      </w:r>
      <w:r>
        <w:rPr>
          <w:spacing w:val="-3"/>
        </w:rPr>
        <w:t xml:space="preserve"> </w:t>
      </w:r>
      <w:r>
        <w:t>included</w:t>
      </w:r>
      <w:r>
        <w:rPr>
          <w:spacing w:val="-3"/>
        </w:rPr>
        <w:t xml:space="preserve"> </w:t>
      </w:r>
      <w:r>
        <w:t>in the “Plan A/B Bid.”</w:t>
      </w:r>
    </w:p>
    <w:p>
      <w:pPr>
        <w:spacing w:before="119"/>
        <w:ind w:left="1224" w:right="0" w:firstLine="0"/>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m</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Allowed</w:t>
      </w:r>
      <w:r>
        <w:rPr>
          <w:rFonts w:ascii="Arial" w:hAnsi="Arial"/>
          <w:b/>
          <w:spacing w:val="-4"/>
          <w:sz w:val="21"/>
        </w:rPr>
        <w:t xml:space="preserve"> PMPM</w:t>
      </w:r>
    </w:p>
    <w:p>
      <w:pPr>
        <w:pStyle w:val="BodyText"/>
        <w:spacing w:before="120"/>
        <w:ind w:left="1224" w:right="1481"/>
      </w:pPr>
      <w:r>
        <w:t>The Medicare-covered allowed costs are calculated automatically based on the percentage</w:t>
      </w:r>
      <w:r>
        <w:rPr>
          <w:spacing w:val="-4"/>
        </w:rPr>
        <w:t xml:space="preserve"> </w:t>
      </w:r>
      <w:r>
        <w:t>of</w:t>
      </w:r>
      <w:r>
        <w:rPr>
          <w:spacing w:val="-3"/>
        </w:rPr>
        <w:t xml:space="preserve"> </w:t>
      </w:r>
      <w:r>
        <w:t>Medicare-covered</w:t>
      </w:r>
      <w:r>
        <w:rPr>
          <w:spacing w:val="-3"/>
        </w:rPr>
        <w:t xml:space="preserve"> </w:t>
      </w:r>
      <w:r>
        <w:t>benefits</w:t>
      </w:r>
      <w:r>
        <w:rPr>
          <w:spacing w:val="-4"/>
        </w:rPr>
        <w:t xml:space="preserve"> </w:t>
      </w:r>
      <w:r>
        <w:t>input</w:t>
      </w:r>
      <w:r>
        <w:rPr>
          <w:spacing w:val="-3"/>
        </w:rPr>
        <w:t xml:space="preserve"> </w:t>
      </w:r>
      <w:r>
        <w:t>in</w:t>
      </w:r>
      <w:r>
        <w:rPr>
          <w:spacing w:val="-3"/>
        </w:rPr>
        <w:t xml:space="preserve"> </w:t>
      </w:r>
      <w:r>
        <w:t>column</w:t>
      </w:r>
      <w:r>
        <w:rPr>
          <w:spacing w:val="-2"/>
        </w:rPr>
        <w:t xml:space="preserve"> </w:t>
      </w:r>
      <w:r>
        <w:t>i.</w:t>
      </w:r>
      <w:r>
        <w:rPr>
          <w:spacing w:val="-3"/>
        </w:rPr>
        <w:t xml:space="preserve"> </w:t>
      </w:r>
      <w:r>
        <w:t>Column</w:t>
      </w:r>
      <w:r>
        <w:rPr>
          <w:spacing w:val="-6"/>
        </w:rPr>
        <w:t xml:space="preserve"> </w:t>
      </w:r>
      <w:r>
        <w:t>m</w:t>
      </w:r>
      <w:r>
        <w:rPr>
          <w:spacing w:val="-2"/>
        </w:rPr>
        <w:t xml:space="preserve"> </w:t>
      </w:r>
      <w:r>
        <w:t>is</w:t>
      </w:r>
      <w:r>
        <w:rPr>
          <w:spacing w:val="-4"/>
        </w:rPr>
        <w:t xml:space="preserve"> </w:t>
      </w:r>
      <w:r>
        <w:t>calculated</w:t>
      </w:r>
      <w:r>
        <w:rPr>
          <w:spacing w:val="-3"/>
        </w:rPr>
        <w:t xml:space="preserve"> </w:t>
      </w:r>
      <w:r>
        <w:t>as column e times column i.</w:t>
      </w:r>
    </w:p>
    <w:p>
      <w:pPr>
        <w:spacing w:before="121"/>
        <w:ind w:left="1224" w:right="0" w:firstLine="0"/>
        <w:jc w:val="left"/>
        <w:rPr>
          <w:rFonts w:ascii="Arial" w:hAnsi="Arial"/>
          <w:b/>
          <w:sz w:val="21"/>
        </w:rPr>
      </w:pPr>
      <w:r>
        <w:rPr>
          <w:rFonts w:ascii="Arial" w:hAnsi="Arial"/>
          <w:b/>
          <w:sz w:val="21"/>
        </w:rPr>
        <w:t>Column</w:t>
      </w:r>
      <w:r>
        <w:rPr>
          <w:rFonts w:ascii="Arial" w:hAnsi="Arial"/>
          <w:b/>
          <w:spacing w:val="-11"/>
          <w:sz w:val="21"/>
        </w:rPr>
        <w:t xml:space="preserve"> </w:t>
      </w:r>
      <w:r>
        <w:rPr>
          <w:rFonts w:ascii="Arial" w:hAnsi="Arial"/>
          <w:b/>
          <w:sz w:val="21"/>
        </w:rPr>
        <w:t>n</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Fee-for-Service</w:t>
      </w:r>
      <w:r>
        <w:rPr>
          <w:rFonts w:ascii="Arial" w:hAnsi="Arial"/>
          <w:b/>
          <w:spacing w:val="-7"/>
          <w:sz w:val="21"/>
        </w:rPr>
        <w:t xml:space="preserve"> </w:t>
      </w:r>
      <w:r>
        <w:rPr>
          <w:rFonts w:ascii="Arial" w:hAnsi="Arial"/>
          <w:b/>
          <w:sz w:val="21"/>
        </w:rPr>
        <w:t>Medicare</w:t>
      </w:r>
      <w:r>
        <w:rPr>
          <w:rFonts w:ascii="Arial" w:hAnsi="Arial"/>
          <w:b/>
          <w:spacing w:val="-6"/>
          <w:sz w:val="21"/>
        </w:rPr>
        <w:t xml:space="preserve"> </w:t>
      </w:r>
      <w:r>
        <w:rPr>
          <w:rFonts w:ascii="Arial" w:hAnsi="Arial"/>
          <w:b/>
          <w:sz w:val="21"/>
        </w:rPr>
        <w:t>Actuarial</w:t>
      </w:r>
      <w:r>
        <w:rPr>
          <w:rFonts w:ascii="Arial" w:hAnsi="Arial"/>
          <w:b/>
          <w:spacing w:val="-7"/>
          <w:sz w:val="21"/>
        </w:rPr>
        <w:t xml:space="preserve"> </w:t>
      </w:r>
      <w:r>
        <w:rPr>
          <w:rFonts w:ascii="Arial" w:hAnsi="Arial"/>
          <w:b/>
          <w:sz w:val="21"/>
        </w:rPr>
        <w:t>Equivalent</w:t>
      </w:r>
      <w:r>
        <w:rPr>
          <w:rFonts w:ascii="Arial" w:hAnsi="Arial"/>
          <w:b/>
          <w:spacing w:val="-6"/>
          <w:sz w:val="21"/>
        </w:rPr>
        <w:t xml:space="preserve"> </w:t>
      </w:r>
      <w:r>
        <w:rPr>
          <w:rFonts w:ascii="Arial" w:hAnsi="Arial"/>
          <w:b/>
          <w:sz w:val="21"/>
        </w:rPr>
        <w:t>(AE)</w:t>
      </w:r>
      <w:r>
        <w:rPr>
          <w:rFonts w:ascii="Arial" w:hAnsi="Arial"/>
          <w:b/>
          <w:spacing w:val="-7"/>
          <w:sz w:val="21"/>
        </w:rPr>
        <w:t xml:space="preserve"> </w:t>
      </w:r>
      <w:r>
        <w:rPr>
          <w:rFonts w:ascii="Arial" w:hAnsi="Arial"/>
          <w:b/>
          <w:sz w:val="21"/>
        </w:rPr>
        <w:t>Cost</w:t>
      </w:r>
      <w:r>
        <w:rPr>
          <w:rFonts w:ascii="Arial" w:hAnsi="Arial"/>
          <w:b/>
          <w:spacing w:val="-7"/>
          <w:sz w:val="21"/>
        </w:rPr>
        <w:t xml:space="preserve"> </w:t>
      </w:r>
      <w:r>
        <w:rPr>
          <w:rFonts w:ascii="Arial" w:hAnsi="Arial"/>
          <w:b/>
          <w:spacing w:val="-2"/>
          <w:sz w:val="21"/>
        </w:rPr>
        <w:t>Sharing</w:t>
      </w:r>
    </w:p>
    <w:p>
      <w:pPr>
        <w:pStyle w:val="BodyText"/>
        <w:spacing w:before="120"/>
        <w:ind w:left="1224" w:right="1481"/>
      </w:pPr>
      <w:r>
        <w:t>The</w:t>
      </w:r>
      <w:r>
        <w:rPr>
          <w:spacing w:val="-5"/>
        </w:rPr>
        <w:t xml:space="preserve"> </w:t>
      </w:r>
      <w:r>
        <w:t>FFS</w:t>
      </w:r>
      <w:r>
        <w:rPr>
          <w:spacing w:val="-3"/>
        </w:rPr>
        <w:t xml:space="preserve"> </w:t>
      </w:r>
      <w:r>
        <w:t>Medicare</w:t>
      </w:r>
      <w:r>
        <w:rPr>
          <w:spacing w:val="-5"/>
        </w:rPr>
        <w:t xml:space="preserve"> </w:t>
      </w:r>
      <w:r>
        <w:t>AE</w:t>
      </w:r>
      <w:r>
        <w:rPr>
          <w:spacing w:val="-2"/>
        </w:rPr>
        <w:t xml:space="preserve"> </w:t>
      </w:r>
      <w:r>
        <w:t>cost</w:t>
      </w:r>
      <w:r>
        <w:rPr>
          <w:spacing w:val="-3"/>
        </w:rPr>
        <w:t xml:space="preserve"> </w:t>
      </w:r>
      <w:r>
        <w:t>sharing</w:t>
      </w:r>
      <w:r>
        <w:rPr>
          <w:spacing w:val="-3"/>
        </w:rPr>
        <w:t xml:space="preserve"> </w:t>
      </w:r>
      <w:r>
        <w:t>PMPMs</w:t>
      </w:r>
      <w:r>
        <w:rPr>
          <w:spacing w:val="-4"/>
        </w:rPr>
        <w:t xml:space="preserve"> </w:t>
      </w:r>
      <w:r>
        <w:t>are</w:t>
      </w:r>
      <w:r>
        <w:rPr>
          <w:spacing w:val="-4"/>
        </w:rPr>
        <w:t xml:space="preserve"> </w:t>
      </w:r>
      <w:r>
        <w:t>based</w:t>
      </w:r>
      <w:r>
        <w:rPr>
          <w:spacing w:val="-3"/>
        </w:rPr>
        <w:t xml:space="preserve"> </w:t>
      </w:r>
      <w:r>
        <w:t>on</w:t>
      </w:r>
      <w:r>
        <w:rPr>
          <w:spacing w:val="-3"/>
        </w:rPr>
        <w:t xml:space="preserve"> </w:t>
      </w:r>
      <w:r>
        <w:t>the</w:t>
      </w:r>
      <w:r>
        <w:rPr>
          <w:spacing w:val="-3"/>
        </w:rPr>
        <w:t xml:space="preserve"> </w:t>
      </w:r>
      <w:r>
        <w:t>proportions</w:t>
      </w:r>
      <w:r>
        <w:rPr>
          <w:spacing w:val="-4"/>
        </w:rPr>
        <w:t xml:space="preserve"> </w:t>
      </w:r>
      <w:r>
        <w:t>in column</w:t>
      </w:r>
      <w:r>
        <w:rPr>
          <w:spacing w:val="-3"/>
        </w:rPr>
        <w:t xml:space="preserve"> </w:t>
      </w:r>
      <w:r>
        <w:t>k. Column n is calculated as column k times column m.</w:t>
      </w:r>
    </w:p>
    <w:p>
      <w:pPr>
        <w:spacing w:before="119"/>
        <w:ind w:left="1224" w:right="0" w:firstLine="0"/>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o</w:t>
      </w:r>
      <w:r>
        <w:rPr>
          <w:rFonts w:ascii="Arial" w:hAnsi="Arial"/>
          <w:b/>
          <w:spacing w:val="-2"/>
          <w:sz w:val="21"/>
        </w:rPr>
        <w:t xml:space="preserve"> </w:t>
      </w:r>
      <w:r>
        <w:rPr>
          <w:rFonts w:ascii="Arial" w:hAnsi="Arial"/>
          <w:b/>
          <w:sz w:val="21"/>
        </w:rPr>
        <w:t>–</w:t>
      </w:r>
      <w:r>
        <w:rPr>
          <w:rFonts w:ascii="Arial" w:hAnsi="Arial"/>
          <w:b/>
          <w:spacing w:val="-2"/>
          <w:sz w:val="21"/>
        </w:rPr>
        <w:t xml:space="preserve"> </w:t>
      </w:r>
      <w:r>
        <w:rPr>
          <w:rFonts w:ascii="Arial" w:hAnsi="Arial"/>
          <w:b/>
          <w:sz w:val="21"/>
        </w:rPr>
        <w:t>Net</w:t>
      </w:r>
      <w:r>
        <w:rPr>
          <w:rFonts w:ascii="Arial" w:hAnsi="Arial"/>
          <w:b/>
          <w:spacing w:val="-4"/>
          <w:sz w:val="21"/>
        </w:rPr>
        <w:t xml:space="preserve"> PMPM</w:t>
      </w:r>
    </w:p>
    <w:p>
      <w:pPr>
        <w:pStyle w:val="BodyText"/>
        <w:spacing w:before="120"/>
        <w:ind w:left="1224"/>
      </w:pPr>
      <w:r>
        <w:t>Calculated</w:t>
      </w:r>
      <w:r>
        <w:rPr>
          <w:spacing w:val="-4"/>
        </w:rPr>
        <w:t xml:space="preserve"> </w:t>
      </w:r>
      <w:r>
        <w:t>as</w:t>
      </w:r>
      <w:r>
        <w:rPr>
          <w:spacing w:val="-2"/>
        </w:rPr>
        <w:t xml:space="preserve"> </w:t>
      </w:r>
      <w:r>
        <w:t>column m minus</w:t>
      </w:r>
      <w:r>
        <w:rPr>
          <w:spacing w:val="-2"/>
        </w:rPr>
        <w:t xml:space="preserve"> </w:t>
      </w:r>
      <w:r>
        <w:t>column</w:t>
      </w:r>
      <w:r>
        <w:rPr>
          <w:spacing w:val="-1"/>
        </w:rPr>
        <w:t xml:space="preserve"> </w:t>
      </w:r>
      <w:r>
        <w:rPr>
          <w:spacing w:val="-5"/>
        </w:rPr>
        <w:t>n.</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Columns</w:t>
      </w:r>
      <w:r>
        <w:rPr>
          <w:rFonts w:ascii="Arial" w:hAnsi="Arial"/>
          <w:b/>
          <w:spacing w:val="-8"/>
          <w:sz w:val="21"/>
        </w:rPr>
        <w:t xml:space="preserve"> </w:t>
      </w:r>
      <w:r>
        <w:rPr>
          <w:rFonts w:ascii="Arial" w:hAnsi="Arial"/>
          <w:b/>
          <w:sz w:val="21"/>
        </w:rPr>
        <w:t>p</w:t>
      </w:r>
      <w:r>
        <w:rPr>
          <w:rFonts w:ascii="Arial" w:hAnsi="Arial"/>
          <w:b/>
          <w:spacing w:val="-5"/>
          <w:sz w:val="21"/>
        </w:rPr>
        <w:t xml:space="preserve"> </w:t>
      </w:r>
      <w:r>
        <w:rPr>
          <w:rFonts w:ascii="Arial" w:hAnsi="Arial"/>
          <w:b/>
          <w:sz w:val="21"/>
        </w:rPr>
        <w:t>through</w:t>
      </w:r>
      <w:r>
        <w:rPr>
          <w:rFonts w:ascii="Arial" w:hAnsi="Arial"/>
          <w:b/>
          <w:spacing w:val="-4"/>
          <w:sz w:val="21"/>
        </w:rPr>
        <w:t xml:space="preserve"> </w:t>
      </w:r>
      <w:r>
        <w:rPr>
          <w:rFonts w:ascii="Arial" w:hAnsi="Arial"/>
          <w:b/>
          <w:sz w:val="21"/>
        </w:rPr>
        <w:t>r</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A/B</w:t>
      </w:r>
      <w:r>
        <w:rPr>
          <w:rFonts w:ascii="Arial" w:hAnsi="Arial"/>
          <w:b/>
          <w:spacing w:val="-4"/>
          <w:sz w:val="21"/>
        </w:rPr>
        <w:t xml:space="preserve"> </w:t>
      </w:r>
      <w:r>
        <w:rPr>
          <w:rFonts w:ascii="Arial" w:hAnsi="Arial"/>
          <w:b/>
          <w:sz w:val="21"/>
        </w:rPr>
        <w:t>Mandatory</w:t>
      </w:r>
      <w:r>
        <w:rPr>
          <w:rFonts w:ascii="Arial" w:hAnsi="Arial"/>
          <w:b/>
          <w:spacing w:val="-5"/>
          <w:sz w:val="21"/>
        </w:rPr>
        <w:t xml:space="preserve"> </w:t>
      </w:r>
      <w:r>
        <w:rPr>
          <w:rFonts w:ascii="Arial" w:hAnsi="Arial"/>
          <w:b/>
          <w:sz w:val="21"/>
        </w:rPr>
        <w:t>Supplemental</w:t>
      </w:r>
      <w:r>
        <w:rPr>
          <w:rFonts w:ascii="Arial" w:hAnsi="Arial"/>
          <w:b/>
          <w:spacing w:val="-6"/>
          <w:sz w:val="21"/>
        </w:rPr>
        <w:t xml:space="preserve"> </w:t>
      </w:r>
      <w:r>
        <w:rPr>
          <w:rFonts w:ascii="Arial" w:hAnsi="Arial"/>
          <w:b/>
          <w:sz w:val="21"/>
        </w:rPr>
        <w:t>(MS)</w:t>
      </w:r>
      <w:r>
        <w:rPr>
          <w:rFonts w:ascii="Arial" w:hAnsi="Arial"/>
          <w:b/>
          <w:spacing w:val="-6"/>
          <w:sz w:val="21"/>
        </w:rPr>
        <w:t xml:space="preserve"> </w:t>
      </w:r>
      <w:r>
        <w:rPr>
          <w:rFonts w:ascii="Arial" w:hAnsi="Arial"/>
          <w:b/>
          <w:spacing w:val="-2"/>
          <w:sz w:val="21"/>
        </w:rPr>
        <w:t>Benefits</w:t>
      </w:r>
    </w:p>
    <w:p>
      <w:pPr>
        <w:pStyle w:val="BodyText"/>
        <w:spacing w:before="120"/>
        <w:ind w:left="1224" w:right="1492"/>
      </w:pPr>
      <w:r>
        <w:t>These</w:t>
      </w:r>
      <w:r>
        <w:rPr>
          <w:spacing w:val="-4"/>
        </w:rPr>
        <w:t xml:space="preserve"> </w:t>
      </w:r>
      <w:r>
        <w:t>columns</w:t>
      </w:r>
      <w:r>
        <w:rPr>
          <w:spacing w:val="-4"/>
        </w:rPr>
        <w:t xml:space="preserve"> </w:t>
      </w:r>
      <w:r>
        <w:t>are</w:t>
      </w:r>
      <w:r>
        <w:rPr>
          <w:spacing w:val="-4"/>
        </w:rPr>
        <w:t xml:space="preserve"> </w:t>
      </w:r>
      <w:r>
        <w:t>calculated</w:t>
      </w:r>
      <w:r>
        <w:rPr>
          <w:spacing w:val="-3"/>
        </w:rPr>
        <w:t xml:space="preserve"> </w:t>
      </w:r>
      <w:r>
        <w:t>automatically</w:t>
      </w:r>
      <w:r>
        <w:rPr>
          <w:spacing w:val="-3"/>
        </w:rPr>
        <w:t xml:space="preserve"> </w:t>
      </w:r>
      <w:r>
        <w:t>and</w:t>
      </w:r>
      <w:r>
        <w:rPr>
          <w:spacing w:val="-1"/>
        </w:rPr>
        <w:t xml:space="preserve"> </w:t>
      </w:r>
      <w:r>
        <w:t>are</w:t>
      </w:r>
      <w:r>
        <w:rPr>
          <w:spacing w:val="-4"/>
        </w:rPr>
        <w:t xml:space="preserve"> </w:t>
      </w:r>
      <w:r>
        <w:t>the</w:t>
      </w:r>
      <w:r>
        <w:rPr>
          <w:spacing w:val="-3"/>
        </w:rPr>
        <w:t xml:space="preserve"> </w:t>
      </w:r>
      <w:r>
        <w:t>basis</w:t>
      </w:r>
      <w:r>
        <w:rPr>
          <w:spacing w:val="-3"/>
        </w:rPr>
        <w:t xml:space="preserve"> </w:t>
      </w:r>
      <w:r>
        <w:t>for</w:t>
      </w:r>
      <w:r>
        <w:rPr>
          <w:spacing w:val="-5"/>
        </w:rPr>
        <w:t xml:space="preserve"> </w:t>
      </w:r>
      <w:r>
        <w:t>the</w:t>
      </w:r>
      <w:r>
        <w:rPr>
          <w:spacing w:val="-2"/>
        </w:rPr>
        <w:t xml:space="preserve"> </w:t>
      </w:r>
      <w:r>
        <w:t>costs</w:t>
      </w:r>
      <w:r>
        <w:rPr>
          <w:spacing w:val="-3"/>
        </w:rPr>
        <w:t xml:space="preserve"> </w:t>
      </w:r>
      <w:r>
        <w:t>included</w:t>
      </w:r>
      <w:r>
        <w:rPr>
          <w:spacing w:val="-3"/>
        </w:rPr>
        <w:t xml:space="preserve"> </w:t>
      </w:r>
      <w:r>
        <w:t>in the A/B mandatory supplemental premium.</w:t>
      </w:r>
    </w:p>
    <w:p>
      <w:pPr>
        <w:spacing w:before="121"/>
        <w:ind w:left="1224" w:right="0" w:firstLine="0"/>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p</w:t>
      </w:r>
      <w:r>
        <w:rPr>
          <w:rFonts w:ascii="Arial" w:hAnsi="Arial"/>
          <w:b/>
          <w:spacing w:val="-4"/>
          <w:sz w:val="21"/>
        </w:rPr>
        <w:t xml:space="preserve"> </w:t>
      </w:r>
      <w:r>
        <w:rPr>
          <w:rFonts w:ascii="Arial" w:hAnsi="Arial"/>
          <w:b/>
          <w:sz w:val="21"/>
        </w:rPr>
        <w:t>–</w:t>
      </w:r>
      <w:r>
        <w:rPr>
          <w:rFonts w:ascii="Arial" w:hAnsi="Arial"/>
          <w:b/>
          <w:spacing w:val="-3"/>
          <w:sz w:val="21"/>
        </w:rPr>
        <w:t xml:space="preserve"> </w:t>
      </w:r>
      <w:r>
        <w:rPr>
          <w:rFonts w:ascii="Arial" w:hAnsi="Arial"/>
          <w:b/>
          <w:sz w:val="21"/>
        </w:rPr>
        <w:t>Net</w:t>
      </w:r>
      <w:r>
        <w:rPr>
          <w:rFonts w:ascii="Arial" w:hAnsi="Arial"/>
          <w:b/>
          <w:spacing w:val="-7"/>
          <w:sz w:val="21"/>
        </w:rPr>
        <w:t xml:space="preserve"> </w:t>
      </w:r>
      <w:r>
        <w:rPr>
          <w:rFonts w:ascii="Arial" w:hAnsi="Arial"/>
          <w:b/>
          <w:sz w:val="21"/>
        </w:rPr>
        <w:t>PMPM</w:t>
      </w:r>
      <w:r>
        <w:rPr>
          <w:rFonts w:ascii="Arial" w:hAnsi="Arial"/>
          <w:b/>
          <w:spacing w:val="-4"/>
          <w:sz w:val="21"/>
        </w:rPr>
        <w:t xml:space="preserve"> </w:t>
      </w:r>
      <w:r>
        <w:rPr>
          <w:rFonts w:ascii="Arial" w:hAnsi="Arial"/>
          <w:b/>
          <w:sz w:val="21"/>
        </w:rPr>
        <w:t>for</w:t>
      </w:r>
      <w:r>
        <w:rPr>
          <w:rFonts w:ascii="Arial" w:hAnsi="Arial"/>
          <w:b/>
          <w:spacing w:val="-4"/>
          <w:sz w:val="21"/>
        </w:rPr>
        <w:t xml:space="preserve"> </w:t>
      </w:r>
      <w:r>
        <w:rPr>
          <w:rFonts w:ascii="Arial" w:hAnsi="Arial"/>
          <w:b/>
          <w:sz w:val="21"/>
        </w:rPr>
        <w:t>Additional</w:t>
      </w:r>
      <w:r>
        <w:rPr>
          <w:rFonts w:ascii="Arial" w:hAnsi="Arial"/>
          <w:b/>
          <w:spacing w:val="-4"/>
          <w:sz w:val="21"/>
        </w:rPr>
        <w:t xml:space="preserve"> </w:t>
      </w:r>
      <w:r>
        <w:rPr>
          <w:rFonts w:ascii="Arial" w:hAnsi="Arial"/>
          <w:b/>
          <w:spacing w:val="-2"/>
          <w:sz w:val="21"/>
        </w:rPr>
        <w:t>Services</w:t>
      </w:r>
    </w:p>
    <w:p>
      <w:pPr>
        <w:pStyle w:val="BodyText"/>
        <w:spacing w:before="120"/>
        <w:ind w:left="1224" w:right="1544"/>
      </w:pPr>
      <w:r>
        <w:t>These</w:t>
      </w:r>
      <w:r>
        <w:rPr>
          <w:spacing w:val="-4"/>
        </w:rPr>
        <w:t xml:space="preserve"> </w:t>
      </w:r>
      <w:r>
        <w:t>amounts</w:t>
      </w:r>
      <w:r>
        <w:rPr>
          <w:spacing w:val="-4"/>
        </w:rPr>
        <w:t xml:space="preserve"> </w:t>
      </w:r>
      <w:r>
        <w:t>reflect</w:t>
      </w:r>
      <w:r>
        <w:rPr>
          <w:spacing w:val="-3"/>
        </w:rPr>
        <w:t xml:space="preserve"> </w:t>
      </w:r>
      <w:r>
        <w:t>the</w:t>
      </w:r>
      <w:r>
        <w:rPr>
          <w:spacing w:val="-4"/>
        </w:rPr>
        <w:t xml:space="preserve"> </w:t>
      </w:r>
      <w:r>
        <w:t>net</w:t>
      </w:r>
      <w:r>
        <w:rPr>
          <w:spacing w:val="-3"/>
        </w:rPr>
        <w:t xml:space="preserve"> </w:t>
      </w:r>
      <w:r>
        <w:t>costs</w:t>
      </w:r>
      <w:r>
        <w:rPr>
          <w:spacing w:val="-4"/>
        </w:rPr>
        <w:t xml:space="preserve"> </w:t>
      </w:r>
      <w:r>
        <w:t>(that</w:t>
      </w:r>
      <w:r>
        <w:rPr>
          <w:spacing w:val="-3"/>
        </w:rPr>
        <w:t xml:space="preserve"> </w:t>
      </w:r>
      <w:r>
        <w:t>is,</w:t>
      </w:r>
      <w:r>
        <w:rPr>
          <w:spacing w:val="-3"/>
        </w:rPr>
        <w:t xml:space="preserve"> </w:t>
      </w:r>
      <w:r>
        <w:t>allowed</w:t>
      </w:r>
      <w:r>
        <w:rPr>
          <w:spacing w:val="-3"/>
        </w:rPr>
        <w:t xml:space="preserve"> </w:t>
      </w:r>
      <w:r>
        <w:t>costs</w:t>
      </w:r>
      <w:r>
        <w:rPr>
          <w:spacing w:val="-3"/>
        </w:rPr>
        <w:t xml:space="preserve"> </w:t>
      </w:r>
      <w:r>
        <w:t>less</w:t>
      </w:r>
      <w:r>
        <w:rPr>
          <w:spacing w:val="-4"/>
        </w:rPr>
        <w:t xml:space="preserve"> </w:t>
      </w:r>
      <w:r>
        <w:t>enrollee</w:t>
      </w:r>
      <w:r>
        <w:rPr>
          <w:spacing w:val="-2"/>
        </w:rPr>
        <w:t xml:space="preserve"> </w:t>
      </w:r>
      <w:r>
        <w:t>cost</w:t>
      </w:r>
      <w:r>
        <w:rPr>
          <w:spacing w:val="-3"/>
        </w:rPr>
        <w:t xml:space="preserve"> </w:t>
      </w:r>
      <w:r>
        <w:t>sharing)</w:t>
      </w:r>
      <w:r>
        <w:rPr>
          <w:spacing w:val="-3"/>
        </w:rPr>
        <w:t xml:space="preserve"> </w:t>
      </w:r>
      <w:r>
        <w:t>for non-covered benefits. This column is calculated automatically as the allowed costs for non-covered</w:t>
      </w:r>
      <w:r>
        <w:rPr>
          <w:spacing w:val="-3"/>
        </w:rPr>
        <w:t xml:space="preserve"> </w:t>
      </w:r>
      <w:r>
        <w:t>benefits</w:t>
      </w:r>
      <w:r>
        <w:rPr>
          <w:spacing w:val="-4"/>
        </w:rPr>
        <w:t xml:space="preserve"> </w:t>
      </w:r>
      <w:r>
        <w:t>(column</w:t>
      </w:r>
      <w:r>
        <w:rPr>
          <w:spacing w:val="-3"/>
        </w:rPr>
        <w:t xml:space="preserve"> </w:t>
      </w:r>
      <w:r>
        <w:t>e</w:t>
      </w:r>
      <w:r>
        <w:rPr>
          <w:spacing w:val="-3"/>
        </w:rPr>
        <w:t xml:space="preserve"> </w:t>
      </w:r>
      <w:r>
        <w:t>minus</w:t>
      </w:r>
      <w:r>
        <w:rPr>
          <w:spacing w:val="-4"/>
        </w:rPr>
        <w:t xml:space="preserve"> </w:t>
      </w:r>
      <w:r>
        <w:t>column</w:t>
      </w:r>
      <w:r>
        <w:rPr>
          <w:spacing w:val="-2"/>
        </w:rPr>
        <w:t xml:space="preserve"> </w:t>
      </w:r>
      <w:r>
        <w:t>m)</w:t>
      </w:r>
      <w:r>
        <w:rPr>
          <w:spacing w:val="-3"/>
        </w:rPr>
        <w:t xml:space="preserve"> </w:t>
      </w:r>
      <w:r>
        <w:t>less</w:t>
      </w:r>
      <w:r>
        <w:rPr>
          <w:spacing w:val="-4"/>
        </w:rPr>
        <w:t xml:space="preserve"> </w:t>
      </w:r>
      <w:r>
        <w:t>the</w:t>
      </w:r>
      <w:r>
        <w:rPr>
          <w:spacing w:val="-4"/>
        </w:rPr>
        <w:t xml:space="preserve"> </w:t>
      </w:r>
      <w:r>
        <w:t>cost</w:t>
      </w:r>
      <w:r>
        <w:rPr>
          <w:spacing w:val="-3"/>
        </w:rPr>
        <w:t xml:space="preserve"> </w:t>
      </w:r>
      <w:r>
        <w:t>sharing</w:t>
      </w:r>
      <w:r>
        <w:rPr>
          <w:spacing w:val="-3"/>
        </w:rPr>
        <w:t xml:space="preserve"> </w:t>
      </w:r>
      <w:r>
        <w:t>for</w:t>
      </w:r>
      <w:r>
        <w:rPr>
          <w:spacing w:val="-3"/>
        </w:rPr>
        <w:t xml:space="preserve"> </w:t>
      </w:r>
      <w:r>
        <w:t>non-covered benefits (column f minus column l). These values must be greater</w:t>
      </w:r>
      <w:r>
        <w:rPr>
          <w:spacing w:val="-1"/>
        </w:rPr>
        <w:t xml:space="preserve"> </w:t>
      </w:r>
      <w:r>
        <w:t>than or equal to zero (except line r, COB, which may be negative).</w:t>
      </w:r>
    </w:p>
    <w:p>
      <w:pPr>
        <w:pStyle w:val="BodyText"/>
        <w:spacing w:after="0"/>
        <w:sectPr>
          <w:pgSz w:w="12240" w:h="15840"/>
          <w:pgMar w:top="960" w:right="0" w:bottom="940" w:left="1080" w:header="727" w:footer="747"/>
          <w:cols w:space="720"/>
        </w:sectPr>
      </w:pPr>
    </w:p>
    <w:p>
      <w:pPr>
        <w:pStyle w:val="BodyText"/>
        <w:spacing w:before="225"/>
        <w:ind w:left="0"/>
        <w:rPr>
          <w:sz w:val="21"/>
        </w:rPr>
      </w:pPr>
    </w:p>
    <w:p>
      <w:pPr>
        <w:spacing w:before="0"/>
        <w:ind w:left="1224" w:right="0" w:firstLine="0"/>
        <w:jc w:val="both"/>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q</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Reduction</w:t>
      </w:r>
      <w:r>
        <w:rPr>
          <w:rFonts w:ascii="Arial" w:hAnsi="Arial"/>
          <w:b/>
          <w:spacing w:val="-5"/>
          <w:sz w:val="21"/>
        </w:rPr>
        <w:t xml:space="preserve"> </w:t>
      </w:r>
      <w:r>
        <w:rPr>
          <w:rFonts w:ascii="Arial" w:hAnsi="Arial"/>
          <w:b/>
          <w:sz w:val="21"/>
        </w:rPr>
        <w:t>of</w:t>
      </w:r>
      <w:r>
        <w:rPr>
          <w:rFonts w:ascii="Arial" w:hAnsi="Arial"/>
          <w:b/>
          <w:spacing w:val="-5"/>
          <w:sz w:val="21"/>
        </w:rPr>
        <w:t xml:space="preserve"> </w:t>
      </w:r>
      <w:r>
        <w:rPr>
          <w:rFonts w:ascii="Arial" w:hAnsi="Arial"/>
          <w:b/>
          <w:sz w:val="21"/>
        </w:rPr>
        <w:t>A/B</w:t>
      </w:r>
      <w:r>
        <w:rPr>
          <w:rFonts w:ascii="Arial" w:hAnsi="Arial"/>
          <w:b/>
          <w:spacing w:val="-3"/>
          <w:sz w:val="21"/>
        </w:rPr>
        <w:t xml:space="preserve"> </w:t>
      </w:r>
      <w:r>
        <w:rPr>
          <w:rFonts w:ascii="Arial" w:hAnsi="Arial"/>
          <w:b/>
          <w:sz w:val="21"/>
        </w:rPr>
        <w:t>Cost</w:t>
      </w:r>
      <w:r>
        <w:rPr>
          <w:rFonts w:ascii="Arial" w:hAnsi="Arial"/>
          <w:b/>
          <w:spacing w:val="-4"/>
          <w:sz w:val="21"/>
        </w:rPr>
        <w:t xml:space="preserve"> </w:t>
      </w:r>
      <w:r>
        <w:rPr>
          <w:rFonts w:ascii="Arial" w:hAnsi="Arial"/>
          <w:b/>
          <w:spacing w:val="-2"/>
          <w:sz w:val="21"/>
        </w:rPr>
        <w:t>Sharing</w:t>
      </w:r>
    </w:p>
    <w:p>
      <w:pPr>
        <w:pStyle w:val="BodyText"/>
        <w:spacing w:before="120"/>
        <w:ind w:left="1224" w:right="1719"/>
        <w:jc w:val="both"/>
      </w:pPr>
      <w:r>
        <w:t>This</w:t>
      </w:r>
      <w:r>
        <w:rPr>
          <w:spacing w:val="-1"/>
        </w:rPr>
        <w:t xml:space="preserve"> </w:t>
      </w:r>
      <w:r>
        <w:t>column is</w:t>
      </w:r>
      <w:r>
        <w:rPr>
          <w:spacing w:val="-1"/>
        </w:rPr>
        <w:t xml:space="preserve"> </w:t>
      </w:r>
      <w:r>
        <w:t>the difference</w:t>
      </w:r>
      <w:r>
        <w:rPr>
          <w:spacing w:val="-1"/>
        </w:rPr>
        <w:t xml:space="preserve"> </w:t>
      </w:r>
      <w:r>
        <w:t>between FFS AE</w:t>
      </w:r>
      <w:r>
        <w:rPr>
          <w:spacing w:val="-1"/>
        </w:rPr>
        <w:t xml:space="preserve"> </w:t>
      </w:r>
      <w:r>
        <w:t>cost sharing and the plan cost sharing for</w:t>
      </w:r>
      <w:r>
        <w:rPr>
          <w:spacing w:val="-6"/>
        </w:rPr>
        <w:t xml:space="preserve"> </w:t>
      </w:r>
      <w:r>
        <w:t>Medicare-covered</w:t>
      </w:r>
      <w:r>
        <w:rPr>
          <w:spacing w:val="-4"/>
        </w:rPr>
        <w:t xml:space="preserve"> </w:t>
      </w:r>
      <w:r>
        <w:t>services,</w:t>
      </w:r>
      <w:r>
        <w:rPr>
          <w:spacing w:val="-4"/>
        </w:rPr>
        <w:t xml:space="preserve"> </w:t>
      </w:r>
      <w:r>
        <w:t>calculated</w:t>
      </w:r>
      <w:r>
        <w:rPr>
          <w:spacing w:val="-4"/>
        </w:rPr>
        <w:t xml:space="preserve"> </w:t>
      </w:r>
      <w:r>
        <w:t>automatically</w:t>
      </w:r>
      <w:r>
        <w:rPr>
          <w:spacing w:val="-4"/>
        </w:rPr>
        <w:t xml:space="preserve"> </w:t>
      </w:r>
      <w:r>
        <w:t>as</w:t>
      </w:r>
      <w:r>
        <w:rPr>
          <w:spacing w:val="-5"/>
        </w:rPr>
        <w:t xml:space="preserve"> </w:t>
      </w:r>
      <w:r>
        <w:t>column</w:t>
      </w:r>
      <w:r>
        <w:rPr>
          <w:spacing w:val="-2"/>
        </w:rPr>
        <w:t xml:space="preserve"> </w:t>
      </w:r>
      <w:r>
        <w:t>n</w:t>
      </w:r>
      <w:r>
        <w:rPr>
          <w:spacing w:val="-4"/>
        </w:rPr>
        <w:t xml:space="preserve"> </w:t>
      </w:r>
      <w:r>
        <w:t>minus</w:t>
      </w:r>
      <w:r>
        <w:rPr>
          <w:spacing w:val="-5"/>
        </w:rPr>
        <w:t xml:space="preserve"> </w:t>
      </w:r>
      <w:r>
        <w:t>column</w:t>
      </w:r>
      <w:r>
        <w:rPr>
          <w:spacing w:val="-3"/>
        </w:rPr>
        <w:t xml:space="preserve"> </w:t>
      </w:r>
      <w:r>
        <w:t>l. This reduction is sometimes referred to as the “FFS cost-sharing buydown.”</w:t>
      </w:r>
    </w:p>
    <w:p>
      <w:pPr>
        <w:spacing w:before="119"/>
        <w:ind w:left="1224" w:right="0" w:firstLine="0"/>
        <w:jc w:val="both"/>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r</w:t>
      </w:r>
      <w:r>
        <w:rPr>
          <w:rFonts w:ascii="Arial" w:hAnsi="Arial"/>
          <w:b/>
          <w:spacing w:val="-6"/>
          <w:sz w:val="21"/>
        </w:rPr>
        <w:t xml:space="preserve"> </w:t>
      </w:r>
      <w:r>
        <w:rPr>
          <w:rFonts w:ascii="Arial" w:hAnsi="Arial"/>
          <w:b/>
          <w:sz w:val="21"/>
        </w:rPr>
        <w:t>–</w:t>
      </w:r>
      <w:r>
        <w:rPr>
          <w:rFonts w:ascii="Arial" w:hAnsi="Arial"/>
          <w:b/>
          <w:spacing w:val="-7"/>
          <w:sz w:val="21"/>
        </w:rPr>
        <w:t xml:space="preserve"> </w:t>
      </w:r>
      <w:r>
        <w:rPr>
          <w:rFonts w:ascii="Arial" w:hAnsi="Arial"/>
          <w:b/>
          <w:sz w:val="21"/>
        </w:rPr>
        <w:t>Total</w:t>
      </w:r>
      <w:r>
        <w:rPr>
          <w:rFonts w:ascii="Arial" w:hAnsi="Arial"/>
          <w:b/>
          <w:spacing w:val="-6"/>
          <w:sz w:val="21"/>
        </w:rPr>
        <w:t xml:space="preserve"> </w:t>
      </w:r>
      <w:r>
        <w:rPr>
          <w:rFonts w:ascii="Arial" w:hAnsi="Arial"/>
          <w:b/>
          <w:sz w:val="21"/>
        </w:rPr>
        <w:t>A/B</w:t>
      </w:r>
      <w:r>
        <w:rPr>
          <w:rFonts w:ascii="Arial" w:hAnsi="Arial"/>
          <w:b/>
          <w:spacing w:val="-4"/>
          <w:sz w:val="21"/>
        </w:rPr>
        <w:t xml:space="preserve"> </w:t>
      </w:r>
      <w:r>
        <w:rPr>
          <w:rFonts w:ascii="Arial" w:hAnsi="Arial"/>
          <w:b/>
          <w:sz w:val="21"/>
        </w:rPr>
        <w:t>Mandatory</w:t>
      </w:r>
      <w:r>
        <w:rPr>
          <w:rFonts w:ascii="Arial" w:hAnsi="Arial"/>
          <w:b/>
          <w:spacing w:val="-5"/>
          <w:sz w:val="21"/>
        </w:rPr>
        <w:t xml:space="preserve"> </w:t>
      </w:r>
      <w:r>
        <w:rPr>
          <w:rFonts w:ascii="Arial" w:hAnsi="Arial"/>
          <w:b/>
          <w:sz w:val="21"/>
        </w:rPr>
        <w:t>Supplemental</w:t>
      </w:r>
      <w:r>
        <w:rPr>
          <w:rFonts w:ascii="Arial" w:hAnsi="Arial"/>
          <w:b/>
          <w:spacing w:val="-8"/>
          <w:sz w:val="21"/>
        </w:rPr>
        <w:t xml:space="preserve"> </w:t>
      </w:r>
      <w:r>
        <w:rPr>
          <w:rFonts w:ascii="Arial" w:hAnsi="Arial"/>
          <w:b/>
          <w:spacing w:val="-2"/>
          <w:sz w:val="21"/>
        </w:rPr>
        <w:t>Benefits</w:t>
      </w:r>
    </w:p>
    <w:p>
      <w:pPr>
        <w:pStyle w:val="BodyText"/>
        <w:spacing w:before="120"/>
        <w:ind w:left="1224"/>
        <w:jc w:val="both"/>
      </w:pPr>
      <w:r>
        <w:t>This</w:t>
      </w:r>
      <w:r>
        <w:rPr>
          <w:spacing w:val="-2"/>
        </w:rPr>
        <w:t xml:space="preserve"> </w:t>
      </w:r>
      <w:r>
        <w:t>column</w:t>
      </w:r>
      <w:r>
        <w:rPr>
          <w:spacing w:val="-1"/>
        </w:rPr>
        <w:t xml:space="preserve"> </w:t>
      </w:r>
      <w:r>
        <w:t>is</w:t>
      </w:r>
      <w:r>
        <w:rPr>
          <w:spacing w:val="-2"/>
        </w:rPr>
        <w:t xml:space="preserve"> </w:t>
      </w:r>
      <w:r>
        <w:t>calculated</w:t>
      </w:r>
      <w:r>
        <w:rPr>
          <w:spacing w:val="-1"/>
        </w:rPr>
        <w:t xml:space="preserve"> </w:t>
      </w:r>
      <w:r>
        <w:t>automatically</w:t>
      </w:r>
      <w:r>
        <w:rPr>
          <w:spacing w:val="-1"/>
        </w:rPr>
        <w:t xml:space="preserve"> </w:t>
      </w:r>
      <w:r>
        <w:t>as</w:t>
      </w:r>
      <w:r>
        <w:rPr>
          <w:spacing w:val="-2"/>
        </w:rPr>
        <w:t xml:space="preserve"> </w:t>
      </w:r>
      <w:r>
        <w:t>the</w:t>
      </w:r>
      <w:r>
        <w:rPr>
          <w:spacing w:val="-1"/>
        </w:rPr>
        <w:t xml:space="preserve"> </w:t>
      </w:r>
      <w:r>
        <w:t>sum</w:t>
      </w:r>
      <w:r>
        <w:rPr>
          <w:spacing w:val="-1"/>
        </w:rPr>
        <w:t xml:space="preserve"> </w:t>
      </w:r>
      <w:r>
        <w:t>of</w:t>
      </w:r>
      <w:r>
        <w:rPr>
          <w:spacing w:val="-1"/>
        </w:rPr>
        <w:t xml:space="preserve"> </w:t>
      </w:r>
      <w:r>
        <w:t>columns</w:t>
      </w:r>
      <w:r>
        <w:rPr>
          <w:spacing w:val="1"/>
        </w:rPr>
        <w:t xml:space="preserve"> </w:t>
      </w:r>
      <w:r>
        <w:t>p</w:t>
      </w:r>
      <w:r>
        <w:rPr>
          <w:spacing w:val="-1"/>
        </w:rPr>
        <w:t xml:space="preserve"> </w:t>
      </w:r>
      <w:r>
        <w:t>and</w:t>
      </w:r>
      <w:r>
        <w:rPr>
          <w:spacing w:val="-1"/>
        </w:rPr>
        <w:t xml:space="preserve"> </w:t>
      </w:r>
      <w:r>
        <w:rPr>
          <w:spacing w:val="-5"/>
        </w:rPr>
        <w:t>q.</w:t>
      </w:r>
    </w:p>
    <w:p>
      <w:pPr>
        <w:spacing w:before="241"/>
        <w:ind w:left="504" w:right="0" w:firstLine="0"/>
        <w:jc w:val="left"/>
        <w:rPr>
          <w:rFonts w:ascii="Arial" w:hAnsi="Arial"/>
          <w:b/>
          <w:sz w:val="21"/>
        </w:rPr>
      </w:pPr>
      <w:r>
        <w:rPr>
          <w:rFonts w:ascii="Arial" w:hAnsi="Arial"/>
          <w:b/>
          <w:sz w:val="21"/>
        </w:rPr>
        <w:t>Line</w:t>
      </w:r>
      <w:r>
        <w:rPr>
          <w:rFonts w:ascii="Arial" w:hAnsi="Arial"/>
          <w:b/>
          <w:spacing w:val="-3"/>
          <w:sz w:val="21"/>
        </w:rPr>
        <w:t xml:space="preserve"> </w:t>
      </w:r>
      <w:r>
        <w:rPr>
          <w:rFonts w:ascii="Arial" w:hAnsi="Arial"/>
          <w:b/>
          <w:sz w:val="21"/>
        </w:rPr>
        <w:t>s</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4"/>
          <w:sz w:val="21"/>
        </w:rPr>
        <w:t xml:space="preserve"> </w:t>
      </w:r>
      <w:r>
        <w:rPr>
          <w:rFonts w:ascii="Arial" w:hAnsi="Arial"/>
          <w:b/>
          <w:sz w:val="21"/>
        </w:rPr>
        <w:t>Medical</w:t>
      </w:r>
      <w:r>
        <w:rPr>
          <w:rFonts w:ascii="Arial" w:hAnsi="Arial"/>
          <w:b/>
          <w:spacing w:val="-3"/>
          <w:sz w:val="21"/>
        </w:rPr>
        <w:t xml:space="preserve"> </w:t>
      </w:r>
      <w:r>
        <w:rPr>
          <w:rFonts w:ascii="Arial" w:hAnsi="Arial"/>
          <w:b/>
          <w:spacing w:val="-2"/>
          <w:sz w:val="21"/>
        </w:rPr>
        <w:t>Expenses</w:t>
      </w:r>
    </w:p>
    <w:p>
      <w:pPr>
        <w:pStyle w:val="BodyText"/>
        <w:spacing w:before="120"/>
      </w:pPr>
      <w:r>
        <w:t>The</w:t>
      </w:r>
      <w:r>
        <w:rPr>
          <w:spacing w:val="-5"/>
        </w:rPr>
        <w:t xml:space="preserve"> </w:t>
      </w:r>
      <w:r>
        <w:t>total medical expense</w:t>
      </w:r>
      <w:r>
        <w:rPr>
          <w:spacing w:val="-2"/>
        </w:rPr>
        <w:t xml:space="preserve"> </w:t>
      </w:r>
      <w:r>
        <w:t>is</w:t>
      </w:r>
      <w:r>
        <w:rPr>
          <w:spacing w:val="-1"/>
        </w:rPr>
        <w:t xml:space="preserve"> </w:t>
      </w:r>
      <w:r>
        <w:t>the</w:t>
      </w:r>
      <w:r>
        <w:rPr>
          <w:spacing w:val="-1"/>
        </w:rPr>
        <w:t xml:space="preserve"> </w:t>
      </w:r>
      <w:r>
        <w:t>sum</w:t>
      </w:r>
      <w:r>
        <w:rPr>
          <w:spacing w:val="-1"/>
        </w:rPr>
        <w:t xml:space="preserve"> </w:t>
      </w:r>
      <w:r>
        <w:t>of lines</w:t>
      </w:r>
      <w:r>
        <w:rPr>
          <w:spacing w:val="-1"/>
        </w:rPr>
        <w:t xml:space="preserve"> </w:t>
      </w:r>
      <w:r>
        <w:t>a</w:t>
      </w:r>
      <w:r>
        <w:rPr>
          <w:spacing w:val="-2"/>
        </w:rPr>
        <w:t xml:space="preserve"> </w:t>
      </w:r>
      <w:r>
        <w:t>through</w:t>
      </w:r>
      <w:r>
        <w:rPr>
          <w:spacing w:val="2"/>
        </w:rPr>
        <w:t xml:space="preserve"> </w:t>
      </w:r>
      <w:r>
        <w:t>r, except</w:t>
      </w:r>
      <w:r>
        <w:rPr>
          <w:spacing w:val="1"/>
        </w:rPr>
        <w:t xml:space="preserve"> </w:t>
      </w:r>
      <w:r>
        <w:t>for</w:t>
      </w:r>
      <w:r>
        <w:rPr>
          <w:spacing w:val="-2"/>
        </w:rPr>
        <w:t xml:space="preserve"> </w:t>
      </w:r>
      <w:r>
        <w:t>columns i,</w:t>
      </w:r>
      <w:r>
        <w:rPr>
          <w:spacing w:val="-1"/>
        </w:rPr>
        <w:t xml:space="preserve"> </w:t>
      </w:r>
      <w:r>
        <w:t xml:space="preserve">j, and </w:t>
      </w:r>
      <w:r>
        <w:rPr>
          <w:spacing w:val="-5"/>
        </w:rPr>
        <w:t>k.</w:t>
      </w:r>
    </w:p>
    <w:p>
      <w:pPr>
        <w:spacing w:before="238"/>
        <w:ind w:left="504" w:right="1481" w:firstLine="0"/>
        <w:jc w:val="left"/>
        <w:rPr>
          <w:rFonts w:ascii="Arial" w:hAnsi="Arial"/>
          <w:b/>
          <w:sz w:val="21"/>
        </w:rPr>
      </w:pPr>
      <w:bookmarkStart w:id="195" w:name="SUBSECTION B – Dual-Eligible Beneficiari"/>
      <w:bookmarkEnd w:id="195"/>
      <w:r>
        <w:rPr>
          <w:rFonts w:ascii="Arial" w:hAnsi="Arial"/>
          <w:b/>
          <w:sz w:val="21"/>
        </w:rPr>
        <w:t>SUBSECTION</w:t>
      </w:r>
      <w:r>
        <w:rPr>
          <w:rFonts w:ascii="Arial" w:hAnsi="Arial"/>
          <w:b/>
          <w:spacing w:val="-5"/>
          <w:sz w:val="21"/>
        </w:rPr>
        <w:t xml:space="preserve"> </w:t>
      </w:r>
      <w:r>
        <w:rPr>
          <w:rFonts w:ascii="Arial" w:hAnsi="Arial"/>
          <w:b/>
          <w:sz w:val="21"/>
        </w:rPr>
        <w:t>B</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Dual-Eligible</w:t>
      </w:r>
      <w:r>
        <w:rPr>
          <w:rFonts w:ascii="Arial" w:hAnsi="Arial"/>
          <w:b/>
          <w:spacing w:val="-4"/>
          <w:sz w:val="21"/>
        </w:rPr>
        <w:t xml:space="preserve"> </w:t>
      </w:r>
      <w:r>
        <w:rPr>
          <w:rFonts w:ascii="Arial" w:hAnsi="Arial"/>
          <w:b/>
          <w:sz w:val="21"/>
        </w:rPr>
        <w:t>Beneficiaries</w:t>
      </w:r>
      <w:r>
        <w:rPr>
          <w:rFonts w:ascii="Arial" w:hAnsi="Arial"/>
          <w:b/>
          <w:spacing w:val="-4"/>
          <w:sz w:val="21"/>
        </w:rPr>
        <w:t xml:space="preserve"> </w:t>
      </w:r>
      <w:r>
        <w:rPr>
          <w:rFonts w:ascii="Arial" w:hAnsi="Arial"/>
          <w:b/>
          <w:sz w:val="21"/>
        </w:rPr>
        <w:t>without</w:t>
      </w:r>
      <w:r>
        <w:rPr>
          <w:rFonts w:ascii="Arial" w:hAnsi="Arial"/>
          <w:b/>
          <w:spacing w:val="-4"/>
          <w:sz w:val="21"/>
        </w:rPr>
        <w:t xml:space="preserve"> </w:t>
      </w:r>
      <w:r>
        <w:rPr>
          <w:rFonts w:ascii="Arial" w:hAnsi="Arial"/>
          <w:b/>
          <w:sz w:val="21"/>
        </w:rPr>
        <w:t>Full</w:t>
      </w:r>
      <w:r>
        <w:rPr>
          <w:rFonts w:ascii="Arial" w:hAnsi="Arial"/>
          <w:b/>
          <w:spacing w:val="-5"/>
          <w:sz w:val="21"/>
        </w:rPr>
        <w:t xml:space="preserve"> </w:t>
      </w:r>
      <w:r>
        <w:rPr>
          <w:rFonts w:ascii="Arial" w:hAnsi="Arial"/>
          <w:b/>
          <w:sz w:val="21"/>
        </w:rPr>
        <w:t>Medicare</w:t>
      </w:r>
      <w:r>
        <w:rPr>
          <w:rFonts w:ascii="Arial" w:hAnsi="Arial"/>
          <w:b/>
          <w:spacing w:val="-4"/>
          <w:sz w:val="21"/>
        </w:rPr>
        <w:t xml:space="preserve"> </w:t>
      </w:r>
      <w:r>
        <w:rPr>
          <w:rFonts w:ascii="Arial" w:hAnsi="Arial"/>
          <w:b/>
          <w:sz w:val="21"/>
        </w:rPr>
        <w:t>Cost-Sharing</w:t>
      </w:r>
      <w:r>
        <w:rPr>
          <w:rFonts w:ascii="Arial" w:hAnsi="Arial"/>
          <w:b/>
          <w:spacing w:val="-3"/>
          <w:sz w:val="21"/>
        </w:rPr>
        <w:t xml:space="preserve"> </w:t>
      </w:r>
      <w:r>
        <w:rPr>
          <w:rFonts w:ascii="Arial" w:hAnsi="Arial"/>
          <w:b/>
          <w:sz w:val="21"/>
        </w:rPr>
        <w:t xml:space="preserve">Liability </w:t>
      </w:r>
      <w:r>
        <w:rPr>
          <w:rFonts w:ascii="Arial" w:hAnsi="Arial"/>
          <w:b/>
          <w:spacing w:val="-4"/>
          <w:sz w:val="21"/>
        </w:rPr>
        <w:t>(DE#)</w:t>
      </w:r>
    </w:p>
    <w:p>
      <w:pPr>
        <w:pStyle w:val="BodyText"/>
        <w:spacing w:before="122"/>
        <w:ind w:right="1481"/>
      </w:pPr>
      <w:r>
        <w:t>The</w:t>
      </w:r>
      <w:r>
        <w:rPr>
          <w:spacing w:val="-4"/>
        </w:rPr>
        <w:t xml:space="preserve"> </w:t>
      </w:r>
      <w:r>
        <w:t>risk</w:t>
      </w:r>
      <w:r>
        <w:rPr>
          <w:spacing w:val="-3"/>
        </w:rPr>
        <w:t xml:space="preserve"> </w:t>
      </w:r>
      <w:r>
        <w:t>factor</w:t>
      </w:r>
      <w:r>
        <w:rPr>
          <w:spacing w:val="-3"/>
        </w:rPr>
        <w:t xml:space="preserve"> </w:t>
      </w:r>
      <w:r>
        <w:t>for</w:t>
      </w:r>
      <w:r>
        <w:rPr>
          <w:spacing w:val="-3"/>
        </w:rPr>
        <w:t xml:space="preserve"> </w:t>
      </w:r>
      <w:r>
        <w:t>DE#</w:t>
      </w:r>
      <w:r>
        <w:rPr>
          <w:spacing w:val="-3"/>
        </w:rPr>
        <w:t xml:space="preserve"> </w:t>
      </w:r>
      <w:r>
        <w:t>beneficiaries</w:t>
      </w:r>
      <w:r>
        <w:rPr>
          <w:spacing w:val="-3"/>
        </w:rPr>
        <w:t xml:space="preserve"> </w:t>
      </w:r>
      <w:r>
        <w:t>is</w:t>
      </w:r>
      <w:r>
        <w:rPr>
          <w:spacing w:val="-3"/>
        </w:rPr>
        <w:t xml:space="preserve"> </w:t>
      </w:r>
      <w:r>
        <w:t>obtained</w:t>
      </w:r>
      <w:r>
        <w:rPr>
          <w:spacing w:val="-3"/>
        </w:rPr>
        <w:t xml:space="preserve"> </w:t>
      </w:r>
      <w:r>
        <w:t>from</w:t>
      </w:r>
      <w:r>
        <w:rPr>
          <w:spacing w:val="-2"/>
        </w:rPr>
        <w:t xml:space="preserve"> </w:t>
      </w:r>
      <w:r>
        <w:t>Worksheet</w:t>
      </w:r>
      <w:r>
        <w:rPr>
          <w:spacing w:val="-3"/>
        </w:rPr>
        <w:t xml:space="preserve"> </w:t>
      </w:r>
      <w:r>
        <w:t>5</w:t>
      </w:r>
      <w:r>
        <w:rPr>
          <w:spacing w:val="-3"/>
        </w:rPr>
        <w:t xml:space="preserve"> </w:t>
      </w:r>
      <w:r>
        <w:t>and</w:t>
      </w:r>
      <w:r>
        <w:rPr>
          <w:spacing w:val="-3"/>
        </w:rPr>
        <w:t xml:space="preserve"> </w:t>
      </w:r>
      <w:r>
        <w:t>displayed</w:t>
      </w:r>
      <w:r>
        <w:rPr>
          <w:spacing w:val="-3"/>
        </w:rPr>
        <w:t xml:space="preserve"> </w:t>
      </w:r>
      <w:r>
        <w:t>at</w:t>
      </w:r>
      <w:r>
        <w:rPr>
          <w:spacing w:val="-3"/>
        </w:rPr>
        <w:t xml:space="preserve"> </w:t>
      </w:r>
      <w:r>
        <w:t>the</w:t>
      </w:r>
      <w:r>
        <w:rPr>
          <w:spacing w:val="-3"/>
        </w:rPr>
        <w:t xml:space="preserve"> </w:t>
      </w:r>
      <w:r>
        <w:t>top</w:t>
      </w:r>
      <w:r>
        <w:rPr>
          <w:spacing w:val="-3"/>
        </w:rPr>
        <w:t xml:space="preserve"> </w:t>
      </w:r>
      <w:r>
        <w:t>of this section.</w:t>
      </w:r>
    </w:p>
    <w:p>
      <w:pPr>
        <w:spacing w:before="241"/>
        <w:ind w:left="504" w:right="0" w:firstLine="0"/>
        <w:jc w:val="left"/>
        <w:rPr>
          <w:rFonts w:ascii="Arial"/>
          <w:b/>
          <w:sz w:val="21"/>
        </w:rPr>
      </w:pPr>
      <w:r>
        <w:rPr>
          <w:rFonts w:ascii="Arial"/>
          <w:b/>
          <w:sz w:val="21"/>
        </w:rPr>
        <w:t>In</w:t>
      </w:r>
      <w:r>
        <w:rPr>
          <w:rFonts w:ascii="Arial"/>
          <w:b/>
          <w:spacing w:val="-4"/>
          <w:sz w:val="21"/>
        </w:rPr>
        <w:t xml:space="preserve"> </w:t>
      </w:r>
      <w:r>
        <w:rPr>
          <w:rFonts w:ascii="Arial"/>
          <w:b/>
          <w:sz w:val="21"/>
        </w:rPr>
        <w:t>lines</w:t>
      </w:r>
      <w:r>
        <w:rPr>
          <w:rFonts w:ascii="Arial"/>
          <w:b/>
          <w:spacing w:val="-4"/>
          <w:sz w:val="21"/>
        </w:rPr>
        <w:t xml:space="preserve"> </w:t>
      </w:r>
      <w:r>
        <w:rPr>
          <w:rFonts w:ascii="Arial"/>
          <w:b/>
          <w:sz w:val="21"/>
        </w:rPr>
        <w:t>a</w:t>
      </w:r>
      <w:r>
        <w:rPr>
          <w:rFonts w:ascii="Arial"/>
          <w:b/>
          <w:spacing w:val="-4"/>
          <w:sz w:val="21"/>
        </w:rPr>
        <w:t xml:space="preserve"> </w:t>
      </w:r>
      <w:r>
        <w:rPr>
          <w:rFonts w:ascii="Arial"/>
          <w:b/>
          <w:sz w:val="21"/>
        </w:rPr>
        <w:t>through</w:t>
      </w:r>
      <w:r>
        <w:rPr>
          <w:rFonts w:ascii="Arial"/>
          <w:b/>
          <w:spacing w:val="-3"/>
          <w:sz w:val="21"/>
        </w:rPr>
        <w:t xml:space="preserve"> </w:t>
      </w:r>
      <w:r>
        <w:rPr>
          <w:rFonts w:ascii="Arial"/>
          <w:b/>
          <w:spacing w:val="-5"/>
          <w:sz w:val="21"/>
        </w:rPr>
        <w:t>r:</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e</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Reimbursement</w:t>
      </w:r>
      <w:r>
        <w:rPr>
          <w:rFonts w:ascii="Arial" w:hAnsi="Arial"/>
          <w:b/>
          <w:spacing w:val="-5"/>
          <w:sz w:val="21"/>
        </w:rPr>
        <w:t xml:space="preserve"> </w:t>
      </w:r>
      <w:r>
        <w:rPr>
          <w:rFonts w:ascii="Arial" w:hAnsi="Arial"/>
          <w:b/>
          <w:sz w:val="21"/>
        </w:rPr>
        <w:t>plus</w:t>
      </w:r>
      <w:r>
        <w:rPr>
          <w:rFonts w:ascii="Arial" w:hAnsi="Arial"/>
          <w:b/>
          <w:spacing w:val="-4"/>
          <w:sz w:val="21"/>
        </w:rPr>
        <w:t xml:space="preserve"> </w:t>
      </w:r>
      <w:r>
        <w:rPr>
          <w:rFonts w:ascii="Arial" w:hAnsi="Arial"/>
          <w:b/>
          <w:sz w:val="21"/>
        </w:rPr>
        <w:t>Actual</w:t>
      </w:r>
      <w:r>
        <w:rPr>
          <w:rFonts w:ascii="Arial" w:hAnsi="Arial"/>
          <w:b/>
          <w:spacing w:val="-5"/>
          <w:sz w:val="21"/>
        </w:rPr>
        <w:t xml:space="preserve"> </w:t>
      </w:r>
      <w:r>
        <w:rPr>
          <w:rFonts w:ascii="Arial" w:hAnsi="Arial"/>
          <w:b/>
          <w:sz w:val="21"/>
        </w:rPr>
        <w:t>Cost</w:t>
      </w:r>
      <w:r>
        <w:rPr>
          <w:rFonts w:ascii="Arial" w:hAnsi="Arial"/>
          <w:b/>
          <w:spacing w:val="-8"/>
          <w:sz w:val="21"/>
        </w:rPr>
        <w:t xml:space="preserve"> </w:t>
      </w:r>
      <w:r>
        <w:rPr>
          <w:rFonts w:ascii="Arial" w:hAnsi="Arial"/>
          <w:b/>
          <w:sz w:val="21"/>
        </w:rPr>
        <w:t>Sharing</w:t>
      </w:r>
      <w:r>
        <w:rPr>
          <w:rFonts w:ascii="Arial" w:hAnsi="Arial"/>
          <w:b/>
          <w:spacing w:val="-3"/>
          <w:sz w:val="21"/>
        </w:rPr>
        <w:t xml:space="preserve"> </w:t>
      </w:r>
      <w:r>
        <w:rPr>
          <w:rFonts w:ascii="Arial" w:hAnsi="Arial"/>
          <w:b/>
          <w:sz w:val="21"/>
        </w:rPr>
        <w:t>for</w:t>
      </w:r>
      <w:r>
        <w:rPr>
          <w:rFonts w:ascii="Arial" w:hAnsi="Arial"/>
          <w:b/>
          <w:spacing w:val="-7"/>
          <w:sz w:val="21"/>
        </w:rPr>
        <w:t xml:space="preserve"> </w:t>
      </w:r>
      <w:r>
        <w:rPr>
          <w:rFonts w:ascii="Arial" w:hAnsi="Arial"/>
          <w:b/>
          <w:sz w:val="21"/>
        </w:rPr>
        <w:t>Total</w:t>
      </w:r>
      <w:r>
        <w:rPr>
          <w:rFonts w:ascii="Arial" w:hAnsi="Arial"/>
          <w:b/>
          <w:spacing w:val="-5"/>
          <w:sz w:val="21"/>
        </w:rPr>
        <w:t xml:space="preserve"> </w:t>
      </w:r>
      <w:r>
        <w:rPr>
          <w:rFonts w:ascii="Arial" w:hAnsi="Arial"/>
          <w:b/>
          <w:spacing w:val="-2"/>
          <w:sz w:val="21"/>
        </w:rPr>
        <w:t>Benefits</w:t>
      </w:r>
    </w:p>
    <w:p>
      <w:pPr>
        <w:pStyle w:val="BodyText"/>
        <w:spacing w:before="118"/>
        <w:ind w:left="1224"/>
        <w:jc w:val="both"/>
      </w:pPr>
      <w:r>
        <w:t>Calculated</w:t>
      </w:r>
      <w:r>
        <w:rPr>
          <w:spacing w:val="-2"/>
        </w:rPr>
        <w:t xml:space="preserve"> </w:t>
      </w:r>
      <w:r>
        <w:t>automatically</w:t>
      </w:r>
      <w:r>
        <w:rPr>
          <w:spacing w:val="1"/>
        </w:rPr>
        <w:t xml:space="preserve"> </w:t>
      </w:r>
      <w:r>
        <w:t>as</w:t>
      </w:r>
      <w:r>
        <w:rPr>
          <w:spacing w:val="-3"/>
        </w:rPr>
        <w:t xml:space="preserve"> </w:t>
      </w:r>
      <w:r>
        <w:t>the</w:t>
      </w:r>
      <w:r>
        <w:rPr>
          <w:spacing w:val="-1"/>
        </w:rPr>
        <w:t xml:space="preserve"> </w:t>
      </w:r>
      <w:r>
        <w:t>sum</w:t>
      </w:r>
      <w:r>
        <w:rPr>
          <w:spacing w:val="-1"/>
        </w:rPr>
        <w:t xml:space="preserve"> </w:t>
      </w:r>
      <w:r>
        <w:t>of</w:t>
      </w:r>
      <w:r>
        <w:rPr>
          <w:spacing w:val="-2"/>
        </w:rPr>
        <w:t xml:space="preserve"> </w:t>
      </w:r>
      <w:r>
        <w:t>columns</w:t>
      </w:r>
      <w:r>
        <w:rPr>
          <w:spacing w:val="-2"/>
        </w:rPr>
        <w:t xml:space="preserve"> </w:t>
      </w:r>
      <w:r>
        <w:t>g</w:t>
      </w:r>
      <w:r>
        <w:rPr>
          <w:spacing w:val="-1"/>
        </w:rPr>
        <w:t xml:space="preserve"> </w:t>
      </w:r>
      <w:r>
        <w:t>and</w:t>
      </w:r>
      <w:r>
        <w:rPr>
          <w:spacing w:val="-1"/>
        </w:rPr>
        <w:t xml:space="preserve"> </w:t>
      </w:r>
      <w:r>
        <w:rPr>
          <w:spacing w:val="-5"/>
        </w:rPr>
        <w:t>h.</w:t>
      </w:r>
    </w:p>
    <w:p>
      <w:pPr>
        <w:pStyle w:val="ListParagraph"/>
        <w:numPr>
          <w:ilvl w:val="0"/>
          <w:numId w:val="43"/>
        </w:numPr>
        <w:tabs>
          <w:tab w:val="left" w:pos="1223"/>
        </w:tabs>
        <w:spacing w:before="120" w:after="0" w:line="240" w:lineRule="auto"/>
        <w:ind w:left="1223"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f</w:t>
      </w:r>
      <w:r>
        <w:rPr>
          <w:rFonts w:ascii="Arial" w:hAnsi="Arial"/>
          <w:b/>
          <w:spacing w:val="-5"/>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3"/>
          <w:sz w:val="21"/>
        </w:rPr>
        <w:t xml:space="preserve"> </w:t>
      </w:r>
      <w:r>
        <w:rPr>
          <w:rFonts w:ascii="Arial" w:hAnsi="Arial"/>
          <w:b/>
          <w:sz w:val="21"/>
        </w:rPr>
        <w:t>Cost</w:t>
      </w:r>
      <w:r>
        <w:rPr>
          <w:rFonts w:ascii="Arial" w:hAnsi="Arial"/>
          <w:b/>
          <w:spacing w:val="-4"/>
          <w:sz w:val="21"/>
        </w:rPr>
        <w:t xml:space="preserve"> </w:t>
      </w:r>
      <w:r>
        <w:rPr>
          <w:rFonts w:ascii="Arial" w:hAnsi="Arial"/>
          <w:b/>
          <w:sz w:val="21"/>
        </w:rPr>
        <w:t>Sharing</w:t>
      </w:r>
      <w:r>
        <w:rPr>
          <w:rFonts w:ascii="Arial" w:hAnsi="Arial"/>
          <w:b/>
          <w:spacing w:val="-3"/>
          <w:sz w:val="21"/>
        </w:rPr>
        <w:t xml:space="preserve"> </w:t>
      </w:r>
      <w:r>
        <w:rPr>
          <w:rFonts w:ascii="Arial" w:hAnsi="Arial"/>
          <w:b/>
          <w:sz w:val="21"/>
        </w:rPr>
        <w:t>for</w:t>
      </w:r>
      <w:r>
        <w:rPr>
          <w:rFonts w:ascii="Arial" w:hAnsi="Arial"/>
          <w:b/>
          <w:spacing w:val="-6"/>
          <w:sz w:val="21"/>
        </w:rPr>
        <w:t xml:space="preserve"> </w:t>
      </w:r>
      <w:r>
        <w:rPr>
          <w:rFonts w:ascii="Arial" w:hAnsi="Arial"/>
          <w:b/>
          <w:sz w:val="21"/>
        </w:rPr>
        <w:t>Total</w:t>
      </w:r>
      <w:r>
        <w:rPr>
          <w:rFonts w:ascii="Arial" w:hAnsi="Arial"/>
          <w:b/>
          <w:spacing w:val="-4"/>
          <w:sz w:val="21"/>
        </w:rPr>
        <w:t xml:space="preserve"> </w:t>
      </w:r>
      <w:r>
        <w:rPr>
          <w:rFonts w:ascii="Arial" w:hAnsi="Arial"/>
          <w:b/>
          <w:spacing w:val="-2"/>
          <w:sz w:val="21"/>
        </w:rPr>
        <w:t>Benefits</w:t>
      </w:r>
    </w:p>
    <w:p>
      <w:pPr>
        <w:pStyle w:val="BodyText"/>
        <w:spacing w:before="121"/>
        <w:ind w:left="1224" w:right="1841"/>
      </w:pPr>
      <w:r>
        <w:t>This column contains a formula that may be overwritten by the user. The default formula</w:t>
      </w:r>
      <w:r>
        <w:rPr>
          <w:spacing w:val="-5"/>
        </w:rPr>
        <w:t xml:space="preserve"> </w:t>
      </w:r>
      <w:r>
        <w:t>divides</w:t>
      </w:r>
      <w:r>
        <w:rPr>
          <w:spacing w:val="-5"/>
        </w:rPr>
        <w:t xml:space="preserve"> </w:t>
      </w:r>
      <w:r>
        <w:t>the</w:t>
      </w:r>
      <w:r>
        <w:rPr>
          <w:spacing w:val="-4"/>
        </w:rPr>
        <w:t xml:space="preserve"> </w:t>
      </w:r>
      <w:r>
        <w:t>non-DE#</w:t>
      </w:r>
      <w:r>
        <w:rPr>
          <w:spacing w:val="-5"/>
        </w:rPr>
        <w:t xml:space="preserve"> </w:t>
      </w:r>
      <w:r>
        <w:t>beneficiary</w:t>
      </w:r>
      <w:r>
        <w:rPr>
          <w:spacing w:val="-4"/>
        </w:rPr>
        <w:t xml:space="preserve"> </w:t>
      </w:r>
      <w:r>
        <w:t>cost</w:t>
      </w:r>
      <w:r>
        <w:rPr>
          <w:spacing w:val="-4"/>
        </w:rPr>
        <w:t xml:space="preserve"> </w:t>
      </w:r>
      <w:r>
        <w:t>sharing</w:t>
      </w:r>
      <w:r>
        <w:rPr>
          <w:spacing w:val="-4"/>
        </w:rPr>
        <w:t xml:space="preserve"> </w:t>
      </w:r>
      <w:r>
        <w:t>by</w:t>
      </w:r>
      <w:r>
        <w:rPr>
          <w:spacing w:val="-4"/>
        </w:rPr>
        <w:t xml:space="preserve"> </w:t>
      </w:r>
      <w:r>
        <w:t>the</w:t>
      </w:r>
      <w:r>
        <w:rPr>
          <w:spacing w:val="-4"/>
        </w:rPr>
        <w:t xml:space="preserve"> </w:t>
      </w:r>
      <w:r>
        <w:t>non-DE#</w:t>
      </w:r>
      <w:r>
        <w:rPr>
          <w:spacing w:val="-4"/>
        </w:rPr>
        <w:t xml:space="preserve"> </w:t>
      </w:r>
      <w:r>
        <w:t>allowed,</w:t>
      </w:r>
      <w:r>
        <w:rPr>
          <w:spacing w:val="-4"/>
        </w:rPr>
        <w:t xml:space="preserve"> </w:t>
      </w:r>
      <w:r>
        <w:t>and then multiplies by the DE# allowed from column q of Worksheet 2. See the</w:t>
      </w:r>
    </w:p>
    <w:p>
      <w:pPr>
        <w:pStyle w:val="BodyText"/>
        <w:ind w:left="1224" w:right="1841"/>
      </w:pPr>
      <w:r>
        <w:t>“Dual-Eligible</w:t>
      </w:r>
      <w:r>
        <w:rPr>
          <w:spacing w:val="-5"/>
        </w:rPr>
        <w:t xml:space="preserve"> </w:t>
      </w:r>
      <w:r>
        <w:t>Beneficiaries”</w:t>
      </w:r>
      <w:r>
        <w:rPr>
          <w:spacing w:val="-5"/>
        </w:rPr>
        <w:t xml:space="preserve"> </w:t>
      </w:r>
      <w:r>
        <w:t>pricing</w:t>
      </w:r>
      <w:r>
        <w:rPr>
          <w:spacing w:val="-4"/>
        </w:rPr>
        <w:t xml:space="preserve"> </w:t>
      </w:r>
      <w:r>
        <w:t>consideration</w:t>
      </w:r>
      <w:r>
        <w:rPr>
          <w:spacing w:val="-3"/>
        </w:rPr>
        <w:t xml:space="preserve"> </w:t>
      </w:r>
      <w:r>
        <w:t>for</w:t>
      </w:r>
      <w:r>
        <w:rPr>
          <w:spacing w:val="-6"/>
        </w:rPr>
        <w:t xml:space="preserve"> </w:t>
      </w:r>
      <w:r>
        <w:t>more</w:t>
      </w:r>
      <w:r>
        <w:rPr>
          <w:spacing w:val="-6"/>
        </w:rPr>
        <w:t xml:space="preserve"> </w:t>
      </w:r>
      <w:r>
        <w:t>information</w:t>
      </w:r>
      <w:r>
        <w:rPr>
          <w:spacing w:val="-4"/>
        </w:rPr>
        <w:t xml:space="preserve"> </w:t>
      </w:r>
      <w:r>
        <w:t>about</w:t>
      </w:r>
      <w:r>
        <w:rPr>
          <w:spacing w:val="-3"/>
        </w:rPr>
        <w:t xml:space="preserve"> </w:t>
      </w:r>
      <w:r>
        <w:t>plan cost sharing.</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g</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z w:val="21"/>
        </w:rPr>
        <w:t>Actual</w:t>
      </w:r>
      <w:r>
        <w:rPr>
          <w:rFonts w:ascii="Arial" w:hAnsi="Arial"/>
          <w:b/>
          <w:spacing w:val="-3"/>
          <w:sz w:val="21"/>
        </w:rPr>
        <w:t xml:space="preserve"> </w:t>
      </w:r>
      <w:r>
        <w:rPr>
          <w:rFonts w:ascii="Arial" w:hAnsi="Arial"/>
          <w:b/>
          <w:sz w:val="21"/>
        </w:rPr>
        <w:t>Cost</w:t>
      </w:r>
      <w:r>
        <w:rPr>
          <w:rFonts w:ascii="Arial" w:hAnsi="Arial"/>
          <w:b/>
          <w:spacing w:val="-6"/>
          <w:sz w:val="21"/>
        </w:rPr>
        <w:t xml:space="preserve"> </w:t>
      </w:r>
      <w:r>
        <w:rPr>
          <w:rFonts w:ascii="Arial" w:hAnsi="Arial"/>
          <w:b/>
          <w:sz w:val="21"/>
        </w:rPr>
        <w:t>Sharing</w:t>
      </w:r>
      <w:r>
        <w:rPr>
          <w:rFonts w:ascii="Arial" w:hAnsi="Arial"/>
          <w:b/>
          <w:spacing w:val="-2"/>
          <w:sz w:val="21"/>
        </w:rPr>
        <w:t xml:space="preserve"> </w:t>
      </w:r>
      <w:r>
        <w:rPr>
          <w:rFonts w:ascii="Arial" w:hAnsi="Arial"/>
          <w:b/>
          <w:sz w:val="21"/>
        </w:rPr>
        <w:t>for</w:t>
      </w:r>
      <w:r>
        <w:rPr>
          <w:rFonts w:ascii="Arial" w:hAnsi="Arial"/>
          <w:b/>
          <w:spacing w:val="-6"/>
          <w:sz w:val="21"/>
        </w:rPr>
        <w:t xml:space="preserve"> </w:t>
      </w:r>
      <w:r>
        <w:rPr>
          <w:rFonts w:ascii="Arial" w:hAnsi="Arial"/>
          <w:b/>
          <w:sz w:val="21"/>
        </w:rPr>
        <w:t>Total</w:t>
      </w:r>
      <w:r>
        <w:rPr>
          <w:rFonts w:ascii="Arial" w:hAnsi="Arial"/>
          <w:b/>
          <w:spacing w:val="-3"/>
          <w:sz w:val="21"/>
        </w:rPr>
        <w:t xml:space="preserve"> </w:t>
      </w:r>
      <w:r>
        <w:rPr>
          <w:rFonts w:ascii="Arial" w:hAnsi="Arial"/>
          <w:b/>
          <w:spacing w:val="-2"/>
          <w:sz w:val="21"/>
        </w:rPr>
        <w:t>Benefits</w:t>
      </w:r>
    </w:p>
    <w:p>
      <w:pPr>
        <w:pStyle w:val="BodyText"/>
        <w:spacing w:before="118"/>
        <w:ind w:left="1224"/>
      </w:pPr>
      <w:r>
        <w:t>Calculated</w:t>
      </w:r>
      <w:r>
        <w:rPr>
          <w:spacing w:val="-2"/>
        </w:rPr>
        <w:t xml:space="preserve"> </w:t>
      </w:r>
      <w:r>
        <w:t>automatically</w:t>
      </w:r>
      <w:r>
        <w:rPr>
          <w:spacing w:val="1"/>
        </w:rPr>
        <w:t xml:space="preserve"> </w:t>
      </w:r>
      <w:r>
        <w:t>as</w:t>
      </w:r>
      <w:r>
        <w:rPr>
          <w:spacing w:val="-3"/>
        </w:rPr>
        <w:t xml:space="preserve"> </w:t>
      </w:r>
      <w:r>
        <w:t>the</w:t>
      </w:r>
      <w:r>
        <w:rPr>
          <w:spacing w:val="-1"/>
        </w:rPr>
        <w:t xml:space="preserve"> </w:t>
      </w:r>
      <w:r>
        <w:t>minimum</w:t>
      </w:r>
      <w:r>
        <w:rPr>
          <w:spacing w:val="-2"/>
        </w:rPr>
        <w:t xml:space="preserve"> </w:t>
      </w:r>
      <w:r>
        <w:t>of</w:t>
      </w:r>
      <w:r>
        <w:rPr>
          <w:spacing w:val="-1"/>
        </w:rPr>
        <w:t xml:space="preserve"> </w:t>
      </w:r>
      <w:r>
        <w:t>columns</w:t>
      </w:r>
      <w:r>
        <w:rPr>
          <w:spacing w:val="-3"/>
        </w:rPr>
        <w:t xml:space="preserve"> </w:t>
      </w:r>
      <w:r>
        <w:t>f</w:t>
      </w:r>
      <w:r>
        <w:rPr>
          <w:spacing w:val="-1"/>
        </w:rPr>
        <w:t xml:space="preserve"> </w:t>
      </w:r>
      <w:r>
        <w:t>and</w:t>
      </w:r>
      <w:r>
        <w:rPr>
          <w:spacing w:val="-1"/>
        </w:rPr>
        <w:t xml:space="preserve"> </w:t>
      </w:r>
      <w:r>
        <w:rPr>
          <w:spacing w:val="-5"/>
        </w:rPr>
        <w:t>k.</w:t>
      </w:r>
    </w:p>
    <w:p>
      <w:pPr>
        <w:pStyle w:val="ListParagraph"/>
        <w:numPr>
          <w:ilvl w:val="0"/>
          <w:numId w:val="43"/>
        </w:numPr>
        <w:tabs>
          <w:tab w:val="left" w:pos="1223"/>
        </w:tabs>
        <w:spacing w:before="120" w:after="0" w:line="240" w:lineRule="auto"/>
        <w:ind w:left="12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h</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Plan</w:t>
      </w:r>
      <w:r>
        <w:rPr>
          <w:rFonts w:ascii="Arial" w:hAnsi="Arial"/>
          <w:b/>
          <w:spacing w:val="-6"/>
          <w:sz w:val="21"/>
        </w:rPr>
        <w:t xml:space="preserve"> </w:t>
      </w:r>
      <w:r>
        <w:rPr>
          <w:rFonts w:ascii="Arial" w:hAnsi="Arial"/>
          <w:b/>
          <w:sz w:val="21"/>
        </w:rPr>
        <w:t>Reimbursement</w:t>
      </w:r>
      <w:r>
        <w:rPr>
          <w:rFonts w:ascii="Arial" w:hAnsi="Arial"/>
          <w:b/>
          <w:spacing w:val="-3"/>
          <w:sz w:val="21"/>
        </w:rPr>
        <w:t xml:space="preserve"> </w:t>
      </w:r>
      <w:r>
        <w:rPr>
          <w:rFonts w:ascii="Arial" w:hAnsi="Arial"/>
          <w:b/>
          <w:sz w:val="21"/>
        </w:rPr>
        <w:t>for</w:t>
      </w:r>
      <w:r>
        <w:rPr>
          <w:rFonts w:ascii="Arial" w:hAnsi="Arial"/>
          <w:b/>
          <w:spacing w:val="-6"/>
          <w:sz w:val="21"/>
        </w:rPr>
        <w:t xml:space="preserve"> </w:t>
      </w:r>
      <w:r>
        <w:rPr>
          <w:rFonts w:ascii="Arial" w:hAnsi="Arial"/>
          <w:b/>
          <w:sz w:val="21"/>
        </w:rPr>
        <w:t>Total</w:t>
      </w:r>
      <w:r>
        <w:rPr>
          <w:rFonts w:ascii="Arial" w:hAnsi="Arial"/>
          <w:b/>
          <w:spacing w:val="-5"/>
          <w:sz w:val="21"/>
        </w:rPr>
        <w:t xml:space="preserve"> </w:t>
      </w:r>
      <w:r>
        <w:rPr>
          <w:rFonts w:ascii="Arial" w:hAnsi="Arial"/>
          <w:b/>
          <w:spacing w:val="-2"/>
          <w:sz w:val="21"/>
        </w:rPr>
        <w:t>Benefits</w:t>
      </w:r>
    </w:p>
    <w:p>
      <w:pPr>
        <w:pStyle w:val="BodyText"/>
        <w:spacing w:before="121"/>
        <w:ind w:left="1224"/>
      </w:pPr>
      <w:r>
        <w:t>Enter</w:t>
      </w:r>
      <w:r>
        <w:rPr>
          <w:spacing w:val="-4"/>
        </w:rPr>
        <w:t xml:space="preserve"> </w:t>
      </w:r>
      <w:r>
        <w:t>values</w:t>
      </w:r>
      <w:r>
        <w:rPr>
          <w:spacing w:val="-2"/>
        </w:rPr>
        <w:t xml:space="preserve"> </w:t>
      </w:r>
      <w:r>
        <w:t>in</w:t>
      </w:r>
      <w:r>
        <w:rPr>
          <w:spacing w:val="-2"/>
        </w:rPr>
        <w:t xml:space="preserve"> </w:t>
      </w:r>
      <w:r>
        <w:t>accordance</w:t>
      </w:r>
      <w:r>
        <w:rPr>
          <w:spacing w:val="-2"/>
        </w:rPr>
        <w:t xml:space="preserve"> </w:t>
      </w:r>
      <w:r>
        <w:t>with</w:t>
      </w:r>
      <w:r>
        <w:rPr>
          <w:spacing w:val="-2"/>
        </w:rPr>
        <w:t xml:space="preserve"> </w:t>
      </w:r>
      <w:r>
        <w:t>the</w:t>
      </w:r>
      <w:r>
        <w:rPr>
          <w:spacing w:val="-2"/>
        </w:rPr>
        <w:t xml:space="preserve"> </w:t>
      </w:r>
      <w:r>
        <w:t>“Dual-Eligible</w:t>
      </w:r>
      <w:r>
        <w:rPr>
          <w:spacing w:val="-3"/>
        </w:rPr>
        <w:t xml:space="preserve"> </w:t>
      </w:r>
      <w:r>
        <w:t>Beneficiaries”</w:t>
      </w:r>
      <w:r>
        <w:rPr>
          <w:spacing w:val="-2"/>
        </w:rPr>
        <w:t xml:space="preserve"> </w:t>
      </w:r>
      <w:r>
        <w:t xml:space="preserve">pricing </w:t>
      </w:r>
      <w:r>
        <w:rPr>
          <w:spacing w:val="-2"/>
        </w:rPr>
        <w:t>consideration.</w:t>
      </w:r>
    </w:p>
    <w:p>
      <w:pPr>
        <w:pStyle w:val="ListParagraph"/>
        <w:numPr>
          <w:ilvl w:val="0"/>
          <w:numId w:val="43"/>
        </w:numPr>
        <w:tabs>
          <w:tab w:val="left" w:pos="1223"/>
        </w:tabs>
        <w:spacing w:before="120" w:after="0" w:line="240" w:lineRule="auto"/>
        <w:ind w:left="1223" w:right="0" w:hanging="359"/>
        <w:jc w:val="left"/>
        <w:rPr>
          <w:rFonts w:ascii="Arial" w:hAnsi="Arial"/>
          <w:b/>
          <w:sz w:val="21"/>
        </w:rPr>
      </w:pPr>
      <w:r>
        <w:rPr>
          <w:rFonts w:ascii="Arial" w:hAnsi="Arial"/>
          <w:b/>
          <w:sz w:val="21"/>
        </w:rPr>
        <w:t>Columns</w:t>
      </w:r>
      <w:r>
        <w:rPr>
          <w:rFonts w:ascii="Arial" w:hAnsi="Arial"/>
          <w:b/>
          <w:spacing w:val="-7"/>
          <w:sz w:val="21"/>
        </w:rPr>
        <w:t xml:space="preserve"> </w:t>
      </w:r>
      <w:r>
        <w:rPr>
          <w:rFonts w:ascii="Arial" w:hAnsi="Arial"/>
          <w:b/>
          <w:sz w:val="21"/>
        </w:rPr>
        <w:t>i</w:t>
      </w:r>
      <w:r>
        <w:rPr>
          <w:rFonts w:ascii="Arial" w:hAnsi="Arial"/>
          <w:b/>
          <w:spacing w:val="-4"/>
          <w:sz w:val="21"/>
        </w:rPr>
        <w:t xml:space="preserve"> </w:t>
      </w:r>
      <w:r>
        <w:rPr>
          <w:rFonts w:ascii="Arial" w:hAnsi="Arial"/>
          <w:b/>
          <w:sz w:val="21"/>
        </w:rPr>
        <w:t>and</w:t>
      </w:r>
      <w:r>
        <w:rPr>
          <w:rFonts w:ascii="Arial" w:hAnsi="Arial"/>
          <w:b/>
          <w:spacing w:val="-4"/>
          <w:sz w:val="21"/>
        </w:rPr>
        <w:t xml:space="preserve"> </w:t>
      </w:r>
      <w:r>
        <w:rPr>
          <w:rFonts w:ascii="Arial" w:hAnsi="Arial"/>
          <w:b/>
          <w:sz w:val="21"/>
        </w:rPr>
        <w:t>j</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Percentage</w:t>
      </w:r>
      <w:r>
        <w:rPr>
          <w:rFonts w:ascii="Arial" w:hAnsi="Arial"/>
          <w:b/>
          <w:spacing w:val="-4"/>
          <w:sz w:val="21"/>
        </w:rPr>
        <w:t xml:space="preserve"> </w:t>
      </w:r>
      <w:r>
        <w:rPr>
          <w:rFonts w:ascii="Arial" w:hAnsi="Arial"/>
          <w:b/>
          <w:sz w:val="21"/>
        </w:rPr>
        <w:t>for</w:t>
      </w:r>
      <w:r>
        <w:rPr>
          <w:rFonts w:ascii="Arial" w:hAnsi="Arial"/>
          <w:b/>
          <w:spacing w:val="-4"/>
          <w:sz w:val="21"/>
        </w:rPr>
        <w:t xml:space="preserve"> </w:t>
      </w:r>
      <w:r>
        <w:rPr>
          <w:rFonts w:ascii="Arial" w:hAnsi="Arial"/>
          <w:b/>
          <w:sz w:val="21"/>
        </w:rPr>
        <w:t>Covered</w:t>
      </w:r>
      <w:r>
        <w:rPr>
          <w:rFonts w:ascii="Arial" w:hAnsi="Arial"/>
          <w:b/>
          <w:spacing w:val="-4"/>
          <w:sz w:val="21"/>
        </w:rPr>
        <w:t xml:space="preserve"> </w:t>
      </w:r>
      <w:r>
        <w:rPr>
          <w:rFonts w:ascii="Arial" w:hAnsi="Arial"/>
          <w:b/>
          <w:spacing w:val="-2"/>
          <w:sz w:val="21"/>
        </w:rPr>
        <w:t>Services</w:t>
      </w:r>
    </w:p>
    <w:p>
      <w:pPr>
        <w:pStyle w:val="BodyText"/>
        <w:spacing w:before="120"/>
        <w:ind w:left="1224"/>
      </w:pPr>
      <w:r>
        <w:t>See</w:t>
      </w:r>
      <w:r>
        <w:rPr>
          <w:spacing w:val="-3"/>
        </w:rPr>
        <w:t xml:space="preserve"> </w:t>
      </w:r>
      <w:r>
        <w:t>instructions</w:t>
      </w:r>
      <w:r>
        <w:rPr>
          <w:spacing w:val="-2"/>
        </w:rPr>
        <w:t xml:space="preserve"> </w:t>
      </w:r>
      <w:r>
        <w:t>under</w:t>
      </w:r>
      <w:r>
        <w:rPr>
          <w:spacing w:val="-1"/>
        </w:rPr>
        <w:t xml:space="preserve"> </w:t>
      </w:r>
      <w:r>
        <w:t>Worksheet</w:t>
      </w:r>
      <w:r>
        <w:rPr>
          <w:spacing w:val="-2"/>
        </w:rPr>
        <w:t xml:space="preserve"> </w:t>
      </w:r>
      <w:r>
        <w:t>4,</w:t>
      </w:r>
      <w:r>
        <w:rPr>
          <w:spacing w:val="-1"/>
        </w:rPr>
        <w:t xml:space="preserve"> </w:t>
      </w:r>
      <w:r>
        <w:t>subsection</w:t>
      </w:r>
      <w:r>
        <w:rPr>
          <w:spacing w:val="1"/>
        </w:rPr>
        <w:t xml:space="preserve"> </w:t>
      </w:r>
      <w:r>
        <w:t>IIA,</w:t>
      </w:r>
      <w:r>
        <w:rPr>
          <w:spacing w:val="-2"/>
        </w:rPr>
        <w:t xml:space="preserve"> </w:t>
      </w:r>
      <w:r>
        <w:t>columns</w:t>
      </w:r>
      <w:r>
        <w:rPr>
          <w:spacing w:val="-2"/>
        </w:rPr>
        <w:t xml:space="preserve"> </w:t>
      </w:r>
      <w:r>
        <w:t>i</w:t>
      </w:r>
      <w:r>
        <w:rPr>
          <w:spacing w:val="-1"/>
        </w:rPr>
        <w:t xml:space="preserve"> </w:t>
      </w:r>
      <w:r>
        <w:t>and</w:t>
      </w:r>
      <w:r>
        <w:rPr>
          <w:spacing w:val="-1"/>
        </w:rPr>
        <w:t xml:space="preserve"> </w:t>
      </w:r>
      <w:r>
        <w:rPr>
          <w:spacing w:val="-5"/>
        </w:rPr>
        <w:t>j.</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k</w:t>
      </w:r>
      <w:r>
        <w:rPr>
          <w:rFonts w:ascii="Arial" w:hAnsi="Arial"/>
          <w:b/>
          <w:spacing w:val="-6"/>
          <w:sz w:val="21"/>
        </w:rPr>
        <w:t xml:space="preserve"> </w:t>
      </w:r>
      <w:r>
        <w:rPr>
          <w:rFonts w:ascii="Arial" w:hAnsi="Arial"/>
          <w:b/>
          <w:sz w:val="21"/>
        </w:rPr>
        <w:t>–</w:t>
      </w:r>
      <w:r>
        <w:rPr>
          <w:rFonts w:ascii="Arial" w:hAnsi="Arial"/>
          <w:b/>
          <w:spacing w:val="-8"/>
          <w:sz w:val="21"/>
        </w:rPr>
        <w:t xml:space="preserve"> </w:t>
      </w:r>
      <w:r>
        <w:rPr>
          <w:rFonts w:ascii="Arial" w:hAnsi="Arial"/>
          <w:b/>
          <w:sz w:val="21"/>
        </w:rPr>
        <w:t>State</w:t>
      </w:r>
      <w:r>
        <w:rPr>
          <w:rFonts w:ascii="Arial" w:hAnsi="Arial"/>
          <w:b/>
          <w:spacing w:val="-6"/>
          <w:sz w:val="21"/>
        </w:rPr>
        <w:t xml:space="preserve"> </w:t>
      </w:r>
      <w:r>
        <w:rPr>
          <w:rFonts w:ascii="Arial" w:hAnsi="Arial"/>
          <w:b/>
          <w:sz w:val="21"/>
        </w:rPr>
        <w:t>Medicaid</w:t>
      </w:r>
      <w:r>
        <w:rPr>
          <w:rFonts w:ascii="Arial" w:hAnsi="Arial"/>
          <w:b/>
          <w:spacing w:val="-5"/>
          <w:sz w:val="21"/>
        </w:rPr>
        <w:t xml:space="preserve"> </w:t>
      </w:r>
      <w:r>
        <w:rPr>
          <w:rFonts w:ascii="Arial" w:hAnsi="Arial"/>
          <w:b/>
          <w:sz w:val="21"/>
        </w:rPr>
        <w:t>Required</w:t>
      </w:r>
      <w:r>
        <w:rPr>
          <w:rFonts w:ascii="Arial" w:hAnsi="Arial"/>
          <w:b/>
          <w:spacing w:val="-5"/>
          <w:sz w:val="21"/>
        </w:rPr>
        <w:t xml:space="preserve"> </w:t>
      </w:r>
      <w:r>
        <w:rPr>
          <w:rFonts w:ascii="Arial" w:hAnsi="Arial"/>
          <w:b/>
          <w:sz w:val="21"/>
        </w:rPr>
        <w:t>Beneficiary</w:t>
      </w:r>
      <w:r>
        <w:rPr>
          <w:rFonts w:ascii="Arial" w:hAnsi="Arial"/>
          <w:b/>
          <w:spacing w:val="-6"/>
          <w:sz w:val="21"/>
        </w:rPr>
        <w:t xml:space="preserve"> </w:t>
      </w:r>
      <w:r>
        <w:rPr>
          <w:rFonts w:ascii="Arial" w:hAnsi="Arial"/>
          <w:b/>
          <w:sz w:val="21"/>
        </w:rPr>
        <w:t>Cost</w:t>
      </w:r>
      <w:r>
        <w:rPr>
          <w:rFonts w:ascii="Arial" w:hAnsi="Arial"/>
          <w:b/>
          <w:spacing w:val="-6"/>
          <w:sz w:val="21"/>
        </w:rPr>
        <w:t xml:space="preserve"> </w:t>
      </w:r>
      <w:r>
        <w:rPr>
          <w:rFonts w:ascii="Arial" w:hAnsi="Arial"/>
          <w:b/>
          <w:spacing w:val="-2"/>
          <w:sz w:val="21"/>
        </w:rPr>
        <w:t>Sharing</w:t>
      </w:r>
    </w:p>
    <w:p>
      <w:pPr>
        <w:pStyle w:val="BodyText"/>
        <w:spacing w:before="119"/>
        <w:ind w:left="1224"/>
      </w:pPr>
      <w:r>
        <w:t>Enter</w:t>
      </w:r>
      <w:r>
        <w:rPr>
          <w:spacing w:val="-4"/>
        </w:rPr>
        <w:t xml:space="preserve"> </w:t>
      </w:r>
      <w:r>
        <w:t>values</w:t>
      </w:r>
      <w:r>
        <w:rPr>
          <w:spacing w:val="-2"/>
        </w:rPr>
        <w:t xml:space="preserve"> </w:t>
      </w:r>
      <w:r>
        <w:t>in</w:t>
      </w:r>
      <w:r>
        <w:rPr>
          <w:spacing w:val="-2"/>
        </w:rPr>
        <w:t xml:space="preserve"> </w:t>
      </w:r>
      <w:r>
        <w:t>accordance</w:t>
      </w:r>
      <w:r>
        <w:rPr>
          <w:spacing w:val="-2"/>
        </w:rPr>
        <w:t xml:space="preserve"> </w:t>
      </w:r>
      <w:r>
        <w:t>with</w:t>
      </w:r>
      <w:r>
        <w:rPr>
          <w:spacing w:val="-2"/>
        </w:rPr>
        <w:t xml:space="preserve"> </w:t>
      </w:r>
      <w:r>
        <w:t>the</w:t>
      </w:r>
      <w:r>
        <w:rPr>
          <w:spacing w:val="-2"/>
        </w:rPr>
        <w:t xml:space="preserve"> </w:t>
      </w:r>
      <w:r>
        <w:t>“Dual-Eligible</w:t>
      </w:r>
      <w:r>
        <w:rPr>
          <w:spacing w:val="-3"/>
        </w:rPr>
        <w:t xml:space="preserve"> </w:t>
      </w:r>
      <w:r>
        <w:t>Beneficiaries”</w:t>
      </w:r>
      <w:r>
        <w:rPr>
          <w:spacing w:val="-2"/>
        </w:rPr>
        <w:t xml:space="preserve"> </w:t>
      </w:r>
      <w:r>
        <w:t>pricing</w:t>
      </w:r>
      <w:r>
        <w:rPr>
          <w:spacing w:val="-1"/>
        </w:rPr>
        <w:t xml:space="preserve"> </w:t>
      </w:r>
      <w:r>
        <w:rPr>
          <w:spacing w:val="-2"/>
        </w:rPr>
        <w:t>consideration.</w:t>
      </w:r>
    </w:p>
    <w:p>
      <w:pPr>
        <w:pStyle w:val="ListParagraph"/>
        <w:numPr>
          <w:ilvl w:val="0"/>
          <w:numId w:val="43"/>
        </w:numPr>
        <w:tabs>
          <w:tab w:val="left" w:pos="1223"/>
        </w:tabs>
        <w:spacing w:before="120" w:after="0" w:line="240" w:lineRule="auto"/>
        <w:ind w:left="12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l</w:t>
      </w:r>
      <w:r>
        <w:rPr>
          <w:rFonts w:ascii="Arial" w:hAnsi="Arial"/>
          <w:b/>
          <w:spacing w:val="-7"/>
          <w:sz w:val="21"/>
        </w:rPr>
        <w:t xml:space="preserve"> </w:t>
      </w:r>
      <w:r>
        <w:rPr>
          <w:rFonts w:ascii="Arial" w:hAnsi="Arial"/>
          <w:b/>
          <w:sz w:val="21"/>
        </w:rPr>
        <w:t>–</w:t>
      </w:r>
      <w:r>
        <w:rPr>
          <w:rFonts w:ascii="Arial" w:hAnsi="Arial"/>
          <w:b/>
          <w:spacing w:val="-5"/>
          <w:sz w:val="21"/>
        </w:rPr>
        <w:t xml:space="preserve"> </w:t>
      </w:r>
      <w:r>
        <w:rPr>
          <w:rFonts w:ascii="Arial" w:hAnsi="Arial"/>
          <w:b/>
          <w:sz w:val="21"/>
        </w:rPr>
        <w:t>Actual</w:t>
      </w:r>
      <w:r>
        <w:rPr>
          <w:rFonts w:ascii="Arial" w:hAnsi="Arial"/>
          <w:b/>
          <w:spacing w:val="-6"/>
          <w:sz w:val="21"/>
        </w:rPr>
        <w:t xml:space="preserve"> </w:t>
      </w:r>
      <w:r>
        <w:rPr>
          <w:rFonts w:ascii="Arial" w:hAnsi="Arial"/>
          <w:b/>
          <w:sz w:val="21"/>
        </w:rPr>
        <w:t>Cost</w:t>
      </w:r>
      <w:r>
        <w:rPr>
          <w:rFonts w:ascii="Arial" w:hAnsi="Arial"/>
          <w:b/>
          <w:spacing w:val="-7"/>
          <w:sz w:val="21"/>
        </w:rPr>
        <w:t xml:space="preserve"> </w:t>
      </w:r>
      <w:r>
        <w:rPr>
          <w:rFonts w:ascii="Arial" w:hAnsi="Arial"/>
          <w:b/>
          <w:sz w:val="21"/>
        </w:rPr>
        <w:t>Sharing</w:t>
      </w:r>
      <w:r>
        <w:rPr>
          <w:rFonts w:ascii="Arial" w:hAnsi="Arial"/>
          <w:b/>
          <w:spacing w:val="-4"/>
          <w:sz w:val="21"/>
        </w:rPr>
        <w:t xml:space="preserve"> </w:t>
      </w:r>
      <w:r>
        <w:rPr>
          <w:rFonts w:ascii="Arial" w:hAnsi="Arial"/>
          <w:b/>
          <w:sz w:val="21"/>
        </w:rPr>
        <w:t>for</w:t>
      </w:r>
      <w:r>
        <w:rPr>
          <w:rFonts w:ascii="Arial" w:hAnsi="Arial"/>
          <w:b/>
          <w:spacing w:val="-5"/>
          <w:sz w:val="21"/>
        </w:rPr>
        <w:t xml:space="preserve"> </w:t>
      </w:r>
      <w:r>
        <w:rPr>
          <w:rFonts w:ascii="Arial" w:hAnsi="Arial"/>
          <w:b/>
          <w:sz w:val="21"/>
        </w:rPr>
        <w:t>Medicare-Covered</w:t>
      </w:r>
      <w:r>
        <w:rPr>
          <w:rFonts w:ascii="Arial" w:hAnsi="Arial"/>
          <w:b/>
          <w:spacing w:val="-6"/>
          <w:sz w:val="21"/>
        </w:rPr>
        <w:t xml:space="preserve"> </w:t>
      </w:r>
      <w:r>
        <w:rPr>
          <w:rFonts w:ascii="Arial" w:hAnsi="Arial"/>
          <w:b/>
          <w:spacing w:val="-2"/>
          <w:sz w:val="21"/>
        </w:rPr>
        <w:t>Services</w:t>
      </w:r>
    </w:p>
    <w:p>
      <w:pPr>
        <w:pStyle w:val="BodyText"/>
        <w:spacing w:before="121"/>
        <w:ind w:left="1224"/>
      </w:pPr>
      <w:r>
        <w:t>Calculated</w:t>
      </w:r>
      <w:r>
        <w:rPr>
          <w:spacing w:val="-4"/>
        </w:rPr>
        <w:t xml:space="preserve"> </w:t>
      </w:r>
      <w:r>
        <w:t>automatically as</w:t>
      </w:r>
      <w:r>
        <w:rPr>
          <w:spacing w:val="-3"/>
        </w:rPr>
        <w:t xml:space="preserve"> </w:t>
      </w:r>
      <w:r>
        <w:t>column</w:t>
      </w:r>
      <w:r>
        <w:rPr>
          <w:spacing w:val="-2"/>
        </w:rPr>
        <w:t xml:space="preserve"> </w:t>
      </w:r>
      <w:r>
        <w:t>g</w:t>
      </w:r>
      <w:r>
        <w:rPr>
          <w:spacing w:val="-2"/>
        </w:rPr>
        <w:t xml:space="preserve"> </w:t>
      </w:r>
      <w:r>
        <w:t>times</w:t>
      </w:r>
      <w:r>
        <w:rPr>
          <w:spacing w:val="-3"/>
        </w:rPr>
        <w:t xml:space="preserve"> </w:t>
      </w:r>
      <w:r>
        <w:t>column</w:t>
      </w:r>
      <w:r>
        <w:rPr>
          <w:spacing w:val="-1"/>
        </w:rPr>
        <w:t xml:space="preserve"> </w:t>
      </w:r>
      <w:r>
        <w:rPr>
          <w:spacing w:val="-5"/>
        </w:rPr>
        <w:t>j.</w:t>
      </w:r>
    </w:p>
    <w:p>
      <w:pPr>
        <w:pStyle w:val="ListParagraph"/>
        <w:numPr>
          <w:ilvl w:val="0"/>
          <w:numId w:val="43"/>
        </w:numPr>
        <w:tabs>
          <w:tab w:val="left" w:pos="1223"/>
        </w:tabs>
        <w:spacing w:before="120" w:after="0" w:line="240" w:lineRule="auto"/>
        <w:ind w:left="1223" w:right="0" w:hanging="359"/>
        <w:jc w:val="left"/>
        <w:rPr>
          <w:rFonts w:ascii="Arial" w:hAnsi="Arial"/>
          <w:b/>
          <w:sz w:val="21"/>
        </w:rPr>
      </w:pPr>
      <w:r>
        <w:rPr>
          <w:rFonts w:ascii="Arial" w:hAnsi="Arial"/>
          <w:b/>
          <w:sz w:val="21"/>
        </w:rPr>
        <w:t>Columns</w:t>
      </w:r>
      <w:r>
        <w:rPr>
          <w:rFonts w:ascii="Arial" w:hAnsi="Arial"/>
          <w:b/>
          <w:spacing w:val="-8"/>
          <w:sz w:val="21"/>
        </w:rPr>
        <w:t xml:space="preserve"> </w:t>
      </w:r>
      <w:r>
        <w:rPr>
          <w:rFonts w:ascii="Arial" w:hAnsi="Arial"/>
          <w:b/>
          <w:sz w:val="21"/>
        </w:rPr>
        <w:t>m</w:t>
      </w:r>
      <w:r>
        <w:rPr>
          <w:rFonts w:ascii="Arial" w:hAnsi="Arial"/>
          <w:b/>
          <w:spacing w:val="-6"/>
          <w:sz w:val="21"/>
        </w:rPr>
        <w:t xml:space="preserve"> </w:t>
      </w:r>
      <w:r>
        <w:rPr>
          <w:rFonts w:ascii="Arial" w:hAnsi="Arial"/>
          <w:b/>
          <w:sz w:val="21"/>
        </w:rPr>
        <w:t>through</w:t>
      </w:r>
      <w:r>
        <w:rPr>
          <w:rFonts w:ascii="Arial" w:hAnsi="Arial"/>
          <w:b/>
          <w:spacing w:val="-4"/>
          <w:sz w:val="21"/>
        </w:rPr>
        <w:t xml:space="preserve"> </w:t>
      </w:r>
      <w:r>
        <w:rPr>
          <w:rFonts w:ascii="Arial" w:hAnsi="Arial"/>
          <w:b/>
          <w:sz w:val="21"/>
        </w:rPr>
        <w:t>o</w:t>
      </w:r>
      <w:r>
        <w:rPr>
          <w:rFonts w:ascii="Arial" w:hAnsi="Arial"/>
          <w:b/>
          <w:spacing w:val="-6"/>
          <w:sz w:val="21"/>
        </w:rPr>
        <w:t xml:space="preserve"> </w:t>
      </w:r>
      <w:r>
        <w:rPr>
          <w:rFonts w:ascii="Arial" w:hAnsi="Arial"/>
          <w:b/>
          <w:sz w:val="21"/>
        </w:rPr>
        <w:t>–</w:t>
      </w:r>
      <w:r>
        <w:rPr>
          <w:rFonts w:ascii="Arial" w:hAnsi="Arial"/>
          <w:b/>
          <w:spacing w:val="-7"/>
          <w:sz w:val="21"/>
        </w:rPr>
        <w:t xml:space="preserve"> </w:t>
      </w:r>
      <w:r>
        <w:rPr>
          <w:rFonts w:ascii="Arial" w:hAnsi="Arial"/>
          <w:b/>
          <w:sz w:val="21"/>
        </w:rPr>
        <w:t>Medicare-Covered</w:t>
      </w:r>
      <w:r>
        <w:rPr>
          <w:rFonts w:ascii="Arial" w:hAnsi="Arial"/>
          <w:b/>
          <w:spacing w:val="-6"/>
          <w:sz w:val="21"/>
        </w:rPr>
        <w:t xml:space="preserve"> </w:t>
      </w:r>
      <w:r>
        <w:rPr>
          <w:rFonts w:ascii="Arial" w:hAnsi="Arial"/>
          <w:b/>
          <w:sz w:val="21"/>
        </w:rPr>
        <w:t>Using</w:t>
      </w:r>
      <w:r>
        <w:rPr>
          <w:rFonts w:ascii="Arial" w:hAnsi="Arial"/>
          <w:b/>
          <w:spacing w:val="-5"/>
          <w:sz w:val="21"/>
        </w:rPr>
        <w:t xml:space="preserve"> </w:t>
      </w:r>
      <w:r>
        <w:rPr>
          <w:rFonts w:ascii="Arial" w:hAnsi="Arial"/>
          <w:b/>
          <w:sz w:val="21"/>
        </w:rPr>
        <w:t>Medicaid</w:t>
      </w:r>
      <w:r>
        <w:rPr>
          <w:rFonts w:ascii="Arial" w:hAnsi="Arial"/>
          <w:b/>
          <w:spacing w:val="-5"/>
          <w:sz w:val="21"/>
        </w:rPr>
        <w:t xml:space="preserve"> </w:t>
      </w:r>
      <w:r>
        <w:rPr>
          <w:rFonts w:ascii="Arial" w:hAnsi="Arial"/>
          <w:b/>
          <w:sz w:val="21"/>
        </w:rPr>
        <w:t>Cost</w:t>
      </w:r>
      <w:r>
        <w:rPr>
          <w:rFonts w:ascii="Arial" w:hAnsi="Arial"/>
          <w:b/>
          <w:spacing w:val="-6"/>
          <w:sz w:val="21"/>
        </w:rPr>
        <w:t xml:space="preserve"> </w:t>
      </w:r>
      <w:r>
        <w:rPr>
          <w:rFonts w:ascii="Arial" w:hAnsi="Arial"/>
          <w:b/>
          <w:spacing w:val="-2"/>
          <w:sz w:val="21"/>
        </w:rPr>
        <w:t>Sharing</w:t>
      </w:r>
    </w:p>
    <w:p>
      <w:pPr>
        <w:pStyle w:val="BodyText"/>
        <w:spacing w:before="118"/>
        <w:ind w:left="1224" w:right="1492"/>
      </w:pPr>
      <w:r>
        <w:t>These</w:t>
      </w:r>
      <w:r>
        <w:rPr>
          <w:spacing w:val="-4"/>
        </w:rPr>
        <w:t xml:space="preserve"> </w:t>
      </w:r>
      <w:r>
        <w:t>columns</w:t>
      </w:r>
      <w:r>
        <w:rPr>
          <w:spacing w:val="-4"/>
        </w:rPr>
        <w:t xml:space="preserve"> </w:t>
      </w:r>
      <w:r>
        <w:t>are</w:t>
      </w:r>
      <w:r>
        <w:rPr>
          <w:spacing w:val="-4"/>
        </w:rPr>
        <w:t xml:space="preserve"> </w:t>
      </w:r>
      <w:r>
        <w:t>calculated</w:t>
      </w:r>
      <w:r>
        <w:rPr>
          <w:spacing w:val="-3"/>
        </w:rPr>
        <w:t xml:space="preserve"> </w:t>
      </w:r>
      <w:r>
        <w:t>automatically</w:t>
      </w:r>
      <w:r>
        <w:rPr>
          <w:spacing w:val="-3"/>
        </w:rPr>
        <w:t xml:space="preserve"> </w:t>
      </w:r>
      <w:r>
        <w:t>and</w:t>
      </w:r>
      <w:r>
        <w:rPr>
          <w:spacing w:val="-1"/>
        </w:rPr>
        <w:t xml:space="preserve"> </w:t>
      </w:r>
      <w:r>
        <w:t>are</w:t>
      </w:r>
      <w:r>
        <w:rPr>
          <w:spacing w:val="-4"/>
        </w:rPr>
        <w:t xml:space="preserve"> </w:t>
      </w:r>
      <w:r>
        <w:t>the</w:t>
      </w:r>
      <w:r>
        <w:rPr>
          <w:spacing w:val="-3"/>
        </w:rPr>
        <w:t xml:space="preserve"> </w:t>
      </w:r>
      <w:r>
        <w:t>basis</w:t>
      </w:r>
      <w:r>
        <w:rPr>
          <w:spacing w:val="-3"/>
        </w:rPr>
        <w:t xml:space="preserve"> </w:t>
      </w:r>
      <w:r>
        <w:t>for</w:t>
      </w:r>
      <w:r>
        <w:rPr>
          <w:spacing w:val="-5"/>
        </w:rPr>
        <w:t xml:space="preserve"> </w:t>
      </w:r>
      <w:r>
        <w:t>the</w:t>
      </w:r>
      <w:r>
        <w:rPr>
          <w:spacing w:val="-2"/>
        </w:rPr>
        <w:t xml:space="preserve"> </w:t>
      </w:r>
      <w:r>
        <w:t>costs</w:t>
      </w:r>
      <w:r>
        <w:rPr>
          <w:spacing w:val="-3"/>
        </w:rPr>
        <w:t xml:space="preserve"> </w:t>
      </w:r>
      <w:r>
        <w:t>included</w:t>
      </w:r>
      <w:r>
        <w:rPr>
          <w:spacing w:val="-3"/>
        </w:rPr>
        <w:t xml:space="preserve"> </w:t>
      </w:r>
      <w:r>
        <w:t>in the “Plan A/B Bid.”</w:t>
      </w:r>
    </w:p>
    <w:p>
      <w:pPr>
        <w:pStyle w:val="BodyText"/>
        <w:spacing w:after="0"/>
        <w:sectPr>
          <w:pgSz w:w="12240" w:h="15840"/>
          <w:pgMar w:top="960" w:right="0" w:bottom="940" w:left="1080" w:header="727" w:footer="747"/>
          <w:cols w:space="720"/>
        </w:sectPr>
      </w:pPr>
    </w:p>
    <w:p>
      <w:pPr>
        <w:pStyle w:val="BodyText"/>
        <w:spacing w:before="225"/>
        <w:ind w:left="0"/>
        <w:rPr>
          <w:sz w:val="21"/>
        </w:rPr>
      </w:pPr>
    </w:p>
    <w:p>
      <w:pPr>
        <w:spacing w:before="0"/>
        <w:ind w:left="1224" w:right="0" w:firstLine="0"/>
        <w:jc w:val="left"/>
        <w:rPr>
          <w:rFonts w:ascii="Arial" w:hAnsi="Arial"/>
          <w:b/>
          <w:sz w:val="21"/>
        </w:rPr>
      </w:pPr>
      <w:r>
        <w:rPr>
          <w:rFonts w:ascii="Arial" w:hAnsi="Arial"/>
          <w:b/>
          <w:sz w:val="21"/>
        </w:rPr>
        <w:t>Column</w:t>
      </w:r>
      <w:r>
        <w:rPr>
          <w:rFonts w:ascii="Arial" w:hAnsi="Arial"/>
          <w:b/>
          <w:spacing w:val="-5"/>
          <w:sz w:val="21"/>
        </w:rPr>
        <w:t xml:space="preserve"> </w:t>
      </w:r>
      <w:r>
        <w:rPr>
          <w:rFonts w:ascii="Arial" w:hAnsi="Arial"/>
          <w:b/>
          <w:sz w:val="21"/>
        </w:rPr>
        <w:t>m</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Allowed</w:t>
      </w:r>
      <w:r>
        <w:rPr>
          <w:rFonts w:ascii="Arial" w:hAnsi="Arial"/>
          <w:b/>
          <w:spacing w:val="-4"/>
          <w:sz w:val="21"/>
        </w:rPr>
        <w:t xml:space="preserve"> PMPM</w:t>
      </w:r>
    </w:p>
    <w:p>
      <w:pPr>
        <w:pStyle w:val="BodyText"/>
        <w:spacing w:before="120"/>
        <w:ind w:left="1224" w:right="1481"/>
      </w:pPr>
      <w:r>
        <w:t>The Medicare-covered allowed costs are calculated automatically based on the percentage</w:t>
      </w:r>
      <w:r>
        <w:rPr>
          <w:spacing w:val="-4"/>
        </w:rPr>
        <w:t xml:space="preserve"> </w:t>
      </w:r>
      <w:r>
        <w:t>of</w:t>
      </w:r>
      <w:r>
        <w:rPr>
          <w:spacing w:val="-3"/>
        </w:rPr>
        <w:t xml:space="preserve"> </w:t>
      </w:r>
      <w:r>
        <w:t>Medicare-covered</w:t>
      </w:r>
      <w:r>
        <w:rPr>
          <w:spacing w:val="-3"/>
        </w:rPr>
        <w:t xml:space="preserve"> </w:t>
      </w:r>
      <w:r>
        <w:t>benefits</w:t>
      </w:r>
      <w:r>
        <w:rPr>
          <w:spacing w:val="-4"/>
        </w:rPr>
        <w:t xml:space="preserve"> </w:t>
      </w:r>
      <w:r>
        <w:t>input</w:t>
      </w:r>
      <w:r>
        <w:rPr>
          <w:spacing w:val="-3"/>
        </w:rPr>
        <w:t xml:space="preserve"> </w:t>
      </w:r>
      <w:r>
        <w:t>in</w:t>
      </w:r>
      <w:r>
        <w:rPr>
          <w:spacing w:val="-3"/>
        </w:rPr>
        <w:t xml:space="preserve"> </w:t>
      </w:r>
      <w:r>
        <w:t>column</w:t>
      </w:r>
      <w:r>
        <w:rPr>
          <w:spacing w:val="-2"/>
        </w:rPr>
        <w:t xml:space="preserve"> </w:t>
      </w:r>
      <w:r>
        <w:t>i.</w:t>
      </w:r>
      <w:r>
        <w:rPr>
          <w:spacing w:val="-3"/>
        </w:rPr>
        <w:t xml:space="preserve"> </w:t>
      </w:r>
      <w:r>
        <w:t>Column</w:t>
      </w:r>
      <w:r>
        <w:rPr>
          <w:spacing w:val="-6"/>
        </w:rPr>
        <w:t xml:space="preserve"> </w:t>
      </w:r>
      <w:r>
        <w:t>m</w:t>
      </w:r>
      <w:r>
        <w:rPr>
          <w:spacing w:val="-2"/>
        </w:rPr>
        <w:t xml:space="preserve"> </w:t>
      </w:r>
      <w:r>
        <w:t>is</w:t>
      </w:r>
      <w:r>
        <w:rPr>
          <w:spacing w:val="-4"/>
        </w:rPr>
        <w:t xml:space="preserve"> </w:t>
      </w:r>
      <w:r>
        <w:t>calculated</w:t>
      </w:r>
      <w:r>
        <w:rPr>
          <w:spacing w:val="-3"/>
        </w:rPr>
        <w:t xml:space="preserve"> </w:t>
      </w:r>
      <w:r>
        <w:t>as column e times column i.</w:t>
      </w:r>
    </w:p>
    <w:p>
      <w:pPr>
        <w:spacing w:before="119"/>
        <w:ind w:left="1224" w:right="0" w:firstLine="0"/>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n</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Medicaid</w:t>
      </w:r>
      <w:r>
        <w:rPr>
          <w:rFonts w:ascii="Arial" w:hAnsi="Arial"/>
          <w:b/>
          <w:spacing w:val="-3"/>
          <w:sz w:val="21"/>
        </w:rPr>
        <w:t xml:space="preserve"> </w:t>
      </w:r>
      <w:r>
        <w:rPr>
          <w:rFonts w:ascii="Arial" w:hAnsi="Arial"/>
          <w:b/>
          <w:sz w:val="21"/>
        </w:rPr>
        <w:t>Cost</w:t>
      </w:r>
      <w:r>
        <w:rPr>
          <w:rFonts w:ascii="Arial" w:hAnsi="Arial"/>
          <w:b/>
          <w:spacing w:val="-4"/>
          <w:sz w:val="21"/>
        </w:rPr>
        <w:t xml:space="preserve"> </w:t>
      </w:r>
      <w:r>
        <w:rPr>
          <w:rFonts w:ascii="Arial" w:hAnsi="Arial"/>
          <w:b/>
          <w:spacing w:val="-2"/>
          <w:sz w:val="21"/>
        </w:rPr>
        <w:t>Sharing</w:t>
      </w:r>
    </w:p>
    <w:p>
      <w:pPr>
        <w:pStyle w:val="BodyText"/>
        <w:spacing w:before="120"/>
        <w:ind w:left="1224"/>
      </w:pPr>
      <w:r>
        <w:t>Calculated</w:t>
      </w:r>
      <w:r>
        <w:rPr>
          <w:spacing w:val="-4"/>
        </w:rPr>
        <w:t xml:space="preserve"> </w:t>
      </w:r>
      <w:r>
        <w:t>automatically as</w:t>
      </w:r>
      <w:r>
        <w:rPr>
          <w:spacing w:val="-3"/>
        </w:rPr>
        <w:t xml:space="preserve"> </w:t>
      </w:r>
      <w:r>
        <w:t>column</w:t>
      </w:r>
      <w:r>
        <w:rPr>
          <w:spacing w:val="-2"/>
        </w:rPr>
        <w:t xml:space="preserve"> </w:t>
      </w:r>
      <w:r>
        <w:t>k</w:t>
      </w:r>
      <w:r>
        <w:rPr>
          <w:spacing w:val="-2"/>
        </w:rPr>
        <w:t xml:space="preserve"> </w:t>
      </w:r>
      <w:r>
        <w:t>times</w:t>
      </w:r>
      <w:r>
        <w:rPr>
          <w:spacing w:val="-3"/>
        </w:rPr>
        <w:t xml:space="preserve"> </w:t>
      </w:r>
      <w:r>
        <w:t>column</w:t>
      </w:r>
      <w:r>
        <w:rPr>
          <w:spacing w:val="-1"/>
        </w:rPr>
        <w:t xml:space="preserve"> </w:t>
      </w:r>
      <w:r>
        <w:rPr>
          <w:spacing w:val="-5"/>
        </w:rPr>
        <w:t>j.</w:t>
      </w:r>
    </w:p>
    <w:p>
      <w:pPr>
        <w:spacing w:before="121"/>
        <w:ind w:left="1224" w:right="0" w:firstLine="0"/>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o</w:t>
      </w:r>
      <w:r>
        <w:rPr>
          <w:rFonts w:ascii="Arial" w:hAnsi="Arial"/>
          <w:b/>
          <w:spacing w:val="-1"/>
          <w:sz w:val="21"/>
        </w:rPr>
        <w:t xml:space="preserve"> </w:t>
      </w:r>
      <w:r>
        <w:rPr>
          <w:rFonts w:ascii="Arial" w:hAnsi="Arial"/>
          <w:b/>
          <w:sz w:val="21"/>
        </w:rPr>
        <w:t>–</w:t>
      </w:r>
      <w:r>
        <w:rPr>
          <w:rFonts w:ascii="Arial" w:hAnsi="Arial"/>
          <w:b/>
          <w:spacing w:val="-2"/>
          <w:sz w:val="21"/>
        </w:rPr>
        <w:t xml:space="preserve"> </w:t>
      </w:r>
      <w:r>
        <w:rPr>
          <w:rFonts w:ascii="Arial" w:hAnsi="Arial"/>
          <w:b/>
          <w:sz w:val="21"/>
        </w:rPr>
        <w:t>Net</w:t>
      </w:r>
      <w:r>
        <w:rPr>
          <w:rFonts w:ascii="Arial" w:hAnsi="Arial"/>
          <w:b/>
          <w:spacing w:val="-4"/>
          <w:sz w:val="21"/>
        </w:rPr>
        <w:t xml:space="preserve"> PMPM</w:t>
      </w:r>
    </w:p>
    <w:p>
      <w:pPr>
        <w:pStyle w:val="BodyText"/>
        <w:spacing w:before="120"/>
        <w:ind w:left="1224"/>
      </w:pPr>
      <w:r>
        <w:t>Calculated</w:t>
      </w:r>
      <w:r>
        <w:rPr>
          <w:spacing w:val="-4"/>
        </w:rPr>
        <w:t xml:space="preserve"> </w:t>
      </w:r>
      <w:r>
        <w:t>as</w:t>
      </w:r>
      <w:r>
        <w:rPr>
          <w:spacing w:val="-2"/>
        </w:rPr>
        <w:t xml:space="preserve"> </w:t>
      </w:r>
      <w:r>
        <w:t>column m minus</w:t>
      </w:r>
      <w:r>
        <w:rPr>
          <w:spacing w:val="-2"/>
        </w:rPr>
        <w:t xml:space="preserve"> </w:t>
      </w:r>
      <w:r>
        <w:t>column</w:t>
      </w:r>
      <w:r>
        <w:rPr>
          <w:spacing w:val="-1"/>
        </w:rPr>
        <w:t xml:space="preserve"> </w:t>
      </w:r>
      <w:r>
        <w:rPr>
          <w:spacing w:val="-5"/>
        </w:rPr>
        <w:t>n.</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Columns</w:t>
      </w:r>
      <w:r>
        <w:rPr>
          <w:rFonts w:ascii="Arial" w:hAnsi="Arial"/>
          <w:b/>
          <w:spacing w:val="-8"/>
          <w:sz w:val="21"/>
        </w:rPr>
        <w:t xml:space="preserve"> </w:t>
      </w:r>
      <w:r>
        <w:rPr>
          <w:rFonts w:ascii="Arial" w:hAnsi="Arial"/>
          <w:b/>
          <w:sz w:val="21"/>
        </w:rPr>
        <w:t>p</w:t>
      </w:r>
      <w:r>
        <w:rPr>
          <w:rFonts w:ascii="Arial" w:hAnsi="Arial"/>
          <w:b/>
          <w:spacing w:val="-5"/>
          <w:sz w:val="21"/>
        </w:rPr>
        <w:t xml:space="preserve"> </w:t>
      </w:r>
      <w:r>
        <w:rPr>
          <w:rFonts w:ascii="Arial" w:hAnsi="Arial"/>
          <w:b/>
          <w:sz w:val="21"/>
        </w:rPr>
        <w:t>through</w:t>
      </w:r>
      <w:r>
        <w:rPr>
          <w:rFonts w:ascii="Arial" w:hAnsi="Arial"/>
          <w:b/>
          <w:spacing w:val="-4"/>
          <w:sz w:val="21"/>
        </w:rPr>
        <w:t xml:space="preserve"> </w:t>
      </w:r>
      <w:r>
        <w:rPr>
          <w:rFonts w:ascii="Arial" w:hAnsi="Arial"/>
          <w:b/>
          <w:sz w:val="21"/>
        </w:rPr>
        <w:t>r</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A/B</w:t>
      </w:r>
      <w:r>
        <w:rPr>
          <w:rFonts w:ascii="Arial" w:hAnsi="Arial"/>
          <w:b/>
          <w:spacing w:val="-4"/>
          <w:sz w:val="21"/>
        </w:rPr>
        <w:t xml:space="preserve"> </w:t>
      </w:r>
      <w:r>
        <w:rPr>
          <w:rFonts w:ascii="Arial" w:hAnsi="Arial"/>
          <w:b/>
          <w:sz w:val="21"/>
        </w:rPr>
        <w:t>Mandatory</w:t>
      </w:r>
      <w:r>
        <w:rPr>
          <w:rFonts w:ascii="Arial" w:hAnsi="Arial"/>
          <w:b/>
          <w:spacing w:val="-5"/>
          <w:sz w:val="21"/>
        </w:rPr>
        <w:t xml:space="preserve"> </w:t>
      </w:r>
      <w:r>
        <w:rPr>
          <w:rFonts w:ascii="Arial" w:hAnsi="Arial"/>
          <w:b/>
          <w:sz w:val="21"/>
        </w:rPr>
        <w:t>Supplemental</w:t>
      </w:r>
      <w:r>
        <w:rPr>
          <w:rFonts w:ascii="Arial" w:hAnsi="Arial"/>
          <w:b/>
          <w:spacing w:val="-6"/>
          <w:sz w:val="21"/>
        </w:rPr>
        <w:t xml:space="preserve"> </w:t>
      </w:r>
      <w:r>
        <w:rPr>
          <w:rFonts w:ascii="Arial" w:hAnsi="Arial"/>
          <w:b/>
          <w:sz w:val="21"/>
        </w:rPr>
        <w:t>(MS)</w:t>
      </w:r>
      <w:r>
        <w:rPr>
          <w:rFonts w:ascii="Arial" w:hAnsi="Arial"/>
          <w:b/>
          <w:spacing w:val="-6"/>
          <w:sz w:val="21"/>
        </w:rPr>
        <w:t xml:space="preserve"> </w:t>
      </w:r>
      <w:r>
        <w:rPr>
          <w:rFonts w:ascii="Arial" w:hAnsi="Arial"/>
          <w:b/>
          <w:spacing w:val="-2"/>
          <w:sz w:val="21"/>
        </w:rPr>
        <w:t>Benefits</w:t>
      </w:r>
    </w:p>
    <w:p>
      <w:pPr>
        <w:pStyle w:val="BodyText"/>
        <w:spacing w:before="118"/>
        <w:ind w:left="1224" w:right="1492"/>
      </w:pPr>
      <w:r>
        <w:t>These</w:t>
      </w:r>
      <w:r>
        <w:rPr>
          <w:spacing w:val="-4"/>
        </w:rPr>
        <w:t xml:space="preserve"> </w:t>
      </w:r>
      <w:r>
        <w:t>columns</w:t>
      </w:r>
      <w:r>
        <w:rPr>
          <w:spacing w:val="-4"/>
        </w:rPr>
        <w:t xml:space="preserve"> </w:t>
      </w:r>
      <w:r>
        <w:t>are</w:t>
      </w:r>
      <w:r>
        <w:rPr>
          <w:spacing w:val="-4"/>
        </w:rPr>
        <w:t xml:space="preserve"> </w:t>
      </w:r>
      <w:r>
        <w:t>calculated</w:t>
      </w:r>
      <w:r>
        <w:rPr>
          <w:spacing w:val="-3"/>
        </w:rPr>
        <w:t xml:space="preserve"> </w:t>
      </w:r>
      <w:r>
        <w:t>automatically</w:t>
      </w:r>
      <w:r>
        <w:rPr>
          <w:spacing w:val="-3"/>
        </w:rPr>
        <w:t xml:space="preserve"> </w:t>
      </w:r>
      <w:r>
        <w:t>and</w:t>
      </w:r>
      <w:r>
        <w:rPr>
          <w:spacing w:val="-1"/>
        </w:rPr>
        <w:t xml:space="preserve"> </w:t>
      </w:r>
      <w:r>
        <w:t>are</w:t>
      </w:r>
      <w:r>
        <w:rPr>
          <w:spacing w:val="-4"/>
        </w:rPr>
        <w:t xml:space="preserve"> </w:t>
      </w:r>
      <w:r>
        <w:t>the</w:t>
      </w:r>
      <w:r>
        <w:rPr>
          <w:spacing w:val="-3"/>
        </w:rPr>
        <w:t xml:space="preserve"> </w:t>
      </w:r>
      <w:r>
        <w:t>basis</w:t>
      </w:r>
      <w:r>
        <w:rPr>
          <w:spacing w:val="-3"/>
        </w:rPr>
        <w:t xml:space="preserve"> </w:t>
      </w:r>
      <w:r>
        <w:t>for</w:t>
      </w:r>
      <w:r>
        <w:rPr>
          <w:spacing w:val="-5"/>
        </w:rPr>
        <w:t xml:space="preserve"> </w:t>
      </w:r>
      <w:r>
        <w:t>the</w:t>
      </w:r>
      <w:r>
        <w:rPr>
          <w:spacing w:val="-2"/>
        </w:rPr>
        <w:t xml:space="preserve"> </w:t>
      </w:r>
      <w:r>
        <w:t>costs</w:t>
      </w:r>
      <w:r>
        <w:rPr>
          <w:spacing w:val="-3"/>
        </w:rPr>
        <w:t xml:space="preserve"> </w:t>
      </w:r>
      <w:r>
        <w:t>included</w:t>
      </w:r>
      <w:r>
        <w:rPr>
          <w:spacing w:val="-3"/>
        </w:rPr>
        <w:t xml:space="preserve"> </w:t>
      </w:r>
      <w:r>
        <w:t>in the A/B mandatory supplemental premium.</w:t>
      </w:r>
    </w:p>
    <w:p>
      <w:pPr>
        <w:spacing w:before="121"/>
        <w:ind w:left="1224" w:right="0" w:firstLine="0"/>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p</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Net</w:t>
      </w:r>
      <w:r>
        <w:rPr>
          <w:rFonts w:ascii="Arial" w:hAnsi="Arial"/>
          <w:b/>
          <w:spacing w:val="-7"/>
          <w:sz w:val="21"/>
        </w:rPr>
        <w:t xml:space="preserve"> </w:t>
      </w:r>
      <w:r>
        <w:rPr>
          <w:rFonts w:ascii="Arial" w:hAnsi="Arial"/>
          <w:b/>
          <w:sz w:val="21"/>
        </w:rPr>
        <w:t>PMPM</w:t>
      </w:r>
      <w:r>
        <w:rPr>
          <w:rFonts w:ascii="Arial" w:hAnsi="Arial"/>
          <w:b/>
          <w:spacing w:val="-4"/>
          <w:sz w:val="21"/>
        </w:rPr>
        <w:t xml:space="preserve"> </w:t>
      </w:r>
      <w:r>
        <w:rPr>
          <w:rFonts w:ascii="Arial" w:hAnsi="Arial"/>
          <w:b/>
          <w:sz w:val="21"/>
        </w:rPr>
        <w:t>for</w:t>
      </w:r>
      <w:r>
        <w:rPr>
          <w:rFonts w:ascii="Arial" w:hAnsi="Arial"/>
          <w:b/>
          <w:spacing w:val="-4"/>
          <w:sz w:val="21"/>
        </w:rPr>
        <w:t xml:space="preserve"> </w:t>
      </w:r>
      <w:r>
        <w:rPr>
          <w:rFonts w:ascii="Arial" w:hAnsi="Arial"/>
          <w:b/>
          <w:sz w:val="21"/>
        </w:rPr>
        <w:t>Additional</w:t>
      </w:r>
      <w:r>
        <w:rPr>
          <w:rFonts w:ascii="Arial" w:hAnsi="Arial"/>
          <w:b/>
          <w:spacing w:val="-4"/>
          <w:sz w:val="21"/>
        </w:rPr>
        <w:t xml:space="preserve"> </w:t>
      </w:r>
      <w:r>
        <w:rPr>
          <w:rFonts w:ascii="Arial" w:hAnsi="Arial"/>
          <w:b/>
          <w:spacing w:val="-2"/>
          <w:sz w:val="21"/>
        </w:rPr>
        <w:t>Services</w:t>
      </w:r>
    </w:p>
    <w:p>
      <w:pPr>
        <w:pStyle w:val="BodyText"/>
        <w:spacing w:before="120"/>
        <w:ind w:left="1224" w:right="1481"/>
      </w:pPr>
      <w:r>
        <w:t>This</w:t>
      </w:r>
      <w:r>
        <w:rPr>
          <w:spacing w:val="-5"/>
        </w:rPr>
        <w:t xml:space="preserve"> </w:t>
      </w:r>
      <w:r>
        <w:t>column</w:t>
      </w:r>
      <w:r>
        <w:rPr>
          <w:spacing w:val="-4"/>
        </w:rPr>
        <w:t xml:space="preserve"> </w:t>
      </w:r>
      <w:r>
        <w:t>is</w:t>
      </w:r>
      <w:r>
        <w:rPr>
          <w:spacing w:val="-5"/>
        </w:rPr>
        <w:t xml:space="preserve"> </w:t>
      </w:r>
      <w:r>
        <w:t>calculated</w:t>
      </w:r>
      <w:r>
        <w:rPr>
          <w:spacing w:val="-4"/>
        </w:rPr>
        <w:t xml:space="preserve"> </w:t>
      </w:r>
      <w:r>
        <w:t>automatically</w:t>
      </w:r>
      <w:r>
        <w:rPr>
          <w:spacing w:val="-4"/>
        </w:rPr>
        <w:t xml:space="preserve"> </w:t>
      </w:r>
      <w:r>
        <w:t>as</w:t>
      </w:r>
      <w:r>
        <w:rPr>
          <w:spacing w:val="-5"/>
        </w:rPr>
        <w:t xml:space="preserve"> </w:t>
      </w:r>
      <w:r>
        <w:t>the</w:t>
      </w:r>
      <w:r>
        <w:rPr>
          <w:spacing w:val="-4"/>
        </w:rPr>
        <w:t xml:space="preserve"> </w:t>
      </w:r>
      <w:r>
        <w:t>allowed</w:t>
      </w:r>
      <w:r>
        <w:rPr>
          <w:spacing w:val="-4"/>
        </w:rPr>
        <w:t xml:space="preserve"> </w:t>
      </w:r>
      <w:r>
        <w:t>costs</w:t>
      </w:r>
      <w:r>
        <w:rPr>
          <w:spacing w:val="-4"/>
        </w:rPr>
        <w:t xml:space="preserve"> </w:t>
      </w:r>
      <w:r>
        <w:t>for</w:t>
      </w:r>
      <w:r>
        <w:rPr>
          <w:spacing w:val="-3"/>
        </w:rPr>
        <w:t xml:space="preserve"> </w:t>
      </w:r>
      <w:r>
        <w:t>non-covered</w:t>
      </w:r>
      <w:r>
        <w:rPr>
          <w:spacing w:val="-3"/>
        </w:rPr>
        <w:t xml:space="preserve"> </w:t>
      </w:r>
      <w:r>
        <w:t xml:space="preserve">benefits (column e minus column m) less the cost sharing (column g minus column l). These values must be greater than or equal to zero (except line r, COB, which may be </w:t>
      </w:r>
      <w:r>
        <w:rPr>
          <w:spacing w:val="-2"/>
        </w:rPr>
        <w:t>negative).</w:t>
      </w:r>
    </w:p>
    <w:p>
      <w:pPr>
        <w:spacing w:before="121"/>
        <w:ind w:left="1224" w:right="0" w:firstLine="0"/>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q</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Reduction</w:t>
      </w:r>
      <w:r>
        <w:rPr>
          <w:rFonts w:ascii="Arial" w:hAnsi="Arial"/>
          <w:b/>
          <w:spacing w:val="-5"/>
          <w:sz w:val="21"/>
        </w:rPr>
        <w:t xml:space="preserve"> </w:t>
      </w:r>
      <w:r>
        <w:rPr>
          <w:rFonts w:ascii="Arial" w:hAnsi="Arial"/>
          <w:b/>
          <w:sz w:val="21"/>
        </w:rPr>
        <w:t>of</w:t>
      </w:r>
      <w:r>
        <w:rPr>
          <w:rFonts w:ascii="Arial" w:hAnsi="Arial"/>
          <w:b/>
          <w:spacing w:val="-5"/>
          <w:sz w:val="21"/>
        </w:rPr>
        <w:t xml:space="preserve"> </w:t>
      </w:r>
      <w:r>
        <w:rPr>
          <w:rFonts w:ascii="Arial" w:hAnsi="Arial"/>
          <w:b/>
          <w:sz w:val="21"/>
        </w:rPr>
        <w:t>A/B</w:t>
      </w:r>
      <w:r>
        <w:rPr>
          <w:rFonts w:ascii="Arial" w:hAnsi="Arial"/>
          <w:b/>
          <w:spacing w:val="-3"/>
          <w:sz w:val="21"/>
        </w:rPr>
        <w:t xml:space="preserve"> </w:t>
      </w:r>
      <w:r>
        <w:rPr>
          <w:rFonts w:ascii="Arial" w:hAnsi="Arial"/>
          <w:b/>
          <w:sz w:val="21"/>
        </w:rPr>
        <w:t>Cost</w:t>
      </w:r>
      <w:r>
        <w:rPr>
          <w:rFonts w:ascii="Arial" w:hAnsi="Arial"/>
          <w:b/>
          <w:spacing w:val="-4"/>
          <w:sz w:val="21"/>
        </w:rPr>
        <w:t xml:space="preserve"> </w:t>
      </w:r>
      <w:r>
        <w:rPr>
          <w:rFonts w:ascii="Arial" w:hAnsi="Arial"/>
          <w:b/>
          <w:spacing w:val="-2"/>
          <w:sz w:val="21"/>
        </w:rPr>
        <w:t>Sharing</w:t>
      </w:r>
    </w:p>
    <w:p>
      <w:pPr>
        <w:pStyle w:val="BodyText"/>
        <w:spacing w:before="120"/>
        <w:ind w:left="1224"/>
      </w:pPr>
      <w:r>
        <w:t>This</w:t>
      </w:r>
      <w:r>
        <w:rPr>
          <w:spacing w:val="-5"/>
        </w:rPr>
        <w:t xml:space="preserve"> </w:t>
      </w:r>
      <w:r>
        <w:t>column</w:t>
      </w:r>
      <w:r>
        <w:rPr>
          <w:spacing w:val="-1"/>
        </w:rPr>
        <w:t xml:space="preserve"> </w:t>
      </w:r>
      <w:r>
        <w:t>is</w:t>
      </w:r>
      <w:r>
        <w:rPr>
          <w:spacing w:val="-2"/>
        </w:rPr>
        <w:t xml:space="preserve"> </w:t>
      </w:r>
      <w:r>
        <w:t>calculated</w:t>
      </w:r>
      <w:r>
        <w:rPr>
          <w:spacing w:val="-1"/>
        </w:rPr>
        <w:t xml:space="preserve"> </w:t>
      </w:r>
      <w:r>
        <w:t>automatically</w:t>
      </w:r>
      <w:r>
        <w:rPr>
          <w:spacing w:val="-1"/>
        </w:rPr>
        <w:t xml:space="preserve"> </w:t>
      </w:r>
      <w:r>
        <w:t>as</w:t>
      </w:r>
      <w:r>
        <w:rPr>
          <w:spacing w:val="-2"/>
        </w:rPr>
        <w:t xml:space="preserve"> </w:t>
      </w:r>
      <w:r>
        <w:t>column</w:t>
      </w:r>
      <w:r>
        <w:rPr>
          <w:spacing w:val="1"/>
        </w:rPr>
        <w:t xml:space="preserve"> </w:t>
      </w:r>
      <w:r>
        <w:t>n</w:t>
      </w:r>
      <w:r>
        <w:rPr>
          <w:spacing w:val="-1"/>
        </w:rPr>
        <w:t xml:space="preserve"> </w:t>
      </w:r>
      <w:r>
        <w:t>minus</w:t>
      </w:r>
      <w:r>
        <w:rPr>
          <w:spacing w:val="-2"/>
        </w:rPr>
        <w:t xml:space="preserve"> </w:t>
      </w:r>
      <w:r>
        <w:t>column</w:t>
      </w:r>
      <w:r>
        <w:rPr>
          <w:spacing w:val="-1"/>
        </w:rPr>
        <w:t xml:space="preserve"> </w:t>
      </w:r>
      <w:r>
        <w:rPr>
          <w:spacing w:val="-5"/>
        </w:rPr>
        <w:t>l.</w:t>
      </w:r>
    </w:p>
    <w:p>
      <w:pPr>
        <w:spacing w:before="118"/>
        <w:ind w:left="1224" w:right="0" w:firstLine="0"/>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r</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Total</w:t>
      </w:r>
      <w:r>
        <w:rPr>
          <w:rFonts w:ascii="Arial" w:hAnsi="Arial"/>
          <w:b/>
          <w:spacing w:val="-6"/>
          <w:sz w:val="21"/>
        </w:rPr>
        <w:t xml:space="preserve"> </w:t>
      </w:r>
      <w:r>
        <w:rPr>
          <w:rFonts w:ascii="Arial" w:hAnsi="Arial"/>
          <w:b/>
          <w:sz w:val="21"/>
        </w:rPr>
        <w:t>A/B</w:t>
      </w:r>
      <w:r>
        <w:rPr>
          <w:rFonts w:ascii="Arial" w:hAnsi="Arial"/>
          <w:b/>
          <w:spacing w:val="-5"/>
          <w:sz w:val="21"/>
        </w:rPr>
        <w:t xml:space="preserve"> </w:t>
      </w:r>
      <w:r>
        <w:rPr>
          <w:rFonts w:ascii="Arial" w:hAnsi="Arial"/>
          <w:b/>
          <w:sz w:val="21"/>
        </w:rPr>
        <w:t>Mandatory</w:t>
      </w:r>
      <w:r>
        <w:rPr>
          <w:rFonts w:ascii="Arial" w:hAnsi="Arial"/>
          <w:b/>
          <w:spacing w:val="-5"/>
          <w:sz w:val="21"/>
        </w:rPr>
        <w:t xml:space="preserve"> </w:t>
      </w:r>
      <w:r>
        <w:rPr>
          <w:rFonts w:ascii="Arial" w:hAnsi="Arial"/>
          <w:b/>
          <w:sz w:val="21"/>
        </w:rPr>
        <w:t>Supplemental</w:t>
      </w:r>
      <w:r>
        <w:rPr>
          <w:rFonts w:ascii="Arial" w:hAnsi="Arial"/>
          <w:b/>
          <w:spacing w:val="-5"/>
          <w:sz w:val="21"/>
        </w:rPr>
        <w:t xml:space="preserve"> </w:t>
      </w:r>
      <w:r>
        <w:rPr>
          <w:rFonts w:ascii="Arial" w:hAnsi="Arial"/>
          <w:b/>
          <w:spacing w:val="-2"/>
          <w:sz w:val="21"/>
        </w:rPr>
        <w:t>Benefits</w:t>
      </w:r>
    </w:p>
    <w:p>
      <w:pPr>
        <w:pStyle w:val="BodyText"/>
        <w:spacing w:before="121"/>
        <w:ind w:left="1224"/>
      </w:pPr>
      <w:r>
        <w:t>This</w:t>
      </w:r>
      <w:r>
        <w:rPr>
          <w:spacing w:val="-2"/>
        </w:rPr>
        <w:t xml:space="preserve"> </w:t>
      </w:r>
      <w:r>
        <w:t>column</w:t>
      </w:r>
      <w:r>
        <w:rPr>
          <w:spacing w:val="-1"/>
        </w:rPr>
        <w:t xml:space="preserve"> </w:t>
      </w:r>
      <w:r>
        <w:t>is</w:t>
      </w:r>
      <w:r>
        <w:rPr>
          <w:spacing w:val="-2"/>
        </w:rPr>
        <w:t xml:space="preserve"> </w:t>
      </w:r>
      <w:r>
        <w:t>calculated</w:t>
      </w:r>
      <w:r>
        <w:rPr>
          <w:spacing w:val="-1"/>
        </w:rPr>
        <w:t xml:space="preserve"> </w:t>
      </w:r>
      <w:r>
        <w:t>automatically</w:t>
      </w:r>
      <w:r>
        <w:rPr>
          <w:spacing w:val="-1"/>
        </w:rPr>
        <w:t xml:space="preserve"> </w:t>
      </w:r>
      <w:r>
        <w:t>as</w:t>
      </w:r>
      <w:r>
        <w:rPr>
          <w:spacing w:val="-2"/>
        </w:rPr>
        <w:t xml:space="preserve"> </w:t>
      </w:r>
      <w:r>
        <w:t>the</w:t>
      </w:r>
      <w:r>
        <w:rPr>
          <w:spacing w:val="-1"/>
        </w:rPr>
        <w:t xml:space="preserve"> </w:t>
      </w:r>
      <w:r>
        <w:t>sum</w:t>
      </w:r>
      <w:r>
        <w:rPr>
          <w:spacing w:val="-1"/>
        </w:rPr>
        <w:t xml:space="preserve"> </w:t>
      </w:r>
      <w:r>
        <w:t>of</w:t>
      </w:r>
      <w:r>
        <w:rPr>
          <w:spacing w:val="-1"/>
        </w:rPr>
        <w:t xml:space="preserve"> </w:t>
      </w:r>
      <w:r>
        <w:t>columns</w:t>
      </w:r>
      <w:r>
        <w:rPr>
          <w:spacing w:val="1"/>
        </w:rPr>
        <w:t xml:space="preserve"> </w:t>
      </w:r>
      <w:r>
        <w:t>p</w:t>
      </w:r>
      <w:r>
        <w:rPr>
          <w:spacing w:val="-1"/>
        </w:rPr>
        <w:t xml:space="preserve"> </w:t>
      </w:r>
      <w:r>
        <w:t>and</w:t>
      </w:r>
      <w:r>
        <w:rPr>
          <w:spacing w:val="-1"/>
        </w:rPr>
        <w:t xml:space="preserve"> </w:t>
      </w:r>
      <w:r>
        <w:rPr>
          <w:spacing w:val="-5"/>
        </w:rPr>
        <w:t>q.</w:t>
      </w:r>
    </w:p>
    <w:p>
      <w:pPr>
        <w:spacing w:before="241"/>
        <w:ind w:left="504" w:right="0" w:firstLine="0"/>
        <w:jc w:val="left"/>
        <w:rPr>
          <w:rFonts w:ascii="Arial" w:hAnsi="Arial"/>
          <w:b/>
          <w:sz w:val="21"/>
        </w:rPr>
      </w:pPr>
      <w:r>
        <w:rPr>
          <w:rFonts w:ascii="Arial" w:hAnsi="Arial"/>
          <w:b/>
          <w:sz w:val="21"/>
        </w:rPr>
        <w:t>Line</w:t>
      </w:r>
      <w:r>
        <w:rPr>
          <w:rFonts w:ascii="Arial" w:hAnsi="Arial"/>
          <w:b/>
          <w:spacing w:val="-3"/>
          <w:sz w:val="21"/>
        </w:rPr>
        <w:t xml:space="preserve"> </w:t>
      </w:r>
      <w:r>
        <w:rPr>
          <w:rFonts w:ascii="Arial" w:hAnsi="Arial"/>
          <w:b/>
          <w:sz w:val="21"/>
        </w:rPr>
        <w:t>s</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4"/>
          <w:sz w:val="21"/>
        </w:rPr>
        <w:t xml:space="preserve"> </w:t>
      </w:r>
      <w:r>
        <w:rPr>
          <w:rFonts w:ascii="Arial" w:hAnsi="Arial"/>
          <w:b/>
          <w:sz w:val="21"/>
        </w:rPr>
        <w:t>Medical</w:t>
      </w:r>
      <w:r>
        <w:rPr>
          <w:rFonts w:ascii="Arial" w:hAnsi="Arial"/>
          <w:b/>
          <w:spacing w:val="-3"/>
          <w:sz w:val="21"/>
        </w:rPr>
        <w:t xml:space="preserve"> </w:t>
      </w:r>
      <w:r>
        <w:rPr>
          <w:rFonts w:ascii="Arial" w:hAnsi="Arial"/>
          <w:b/>
          <w:spacing w:val="-2"/>
          <w:sz w:val="21"/>
        </w:rPr>
        <w:t>Expenses</w:t>
      </w:r>
    </w:p>
    <w:p>
      <w:pPr>
        <w:pStyle w:val="BodyText"/>
        <w:spacing w:before="120"/>
      </w:pPr>
      <w:r>
        <w:t>The</w:t>
      </w:r>
      <w:r>
        <w:rPr>
          <w:spacing w:val="-5"/>
        </w:rPr>
        <w:t xml:space="preserve"> </w:t>
      </w:r>
      <w:r>
        <w:t>total medical</w:t>
      </w:r>
      <w:r>
        <w:rPr>
          <w:spacing w:val="-1"/>
        </w:rPr>
        <w:t xml:space="preserve"> </w:t>
      </w:r>
      <w:r>
        <w:t>expense</w:t>
      </w:r>
      <w:r>
        <w:rPr>
          <w:spacing w:val="-1"/>
        </w:rPr>
        <w:t xml:space="preserve"> </w:t>
      </w:r>
      <w:r>
        <w:t>is</w:t>
      </w:r>
      <w:r>
        <w:rPr>
          <w:spacing w:val="-2"/>
        </w:rPr>
        <w:t xml:space="preserve"> </w:t>
      </w:r>
      <w:r>
        <w:t>the</w:t>
      </w:r>
      <w:r>
        <w:rPr>
          <w:spacing w:val="-1"/>
        </w:rPr>
        <w:t xml:space="preserve"> </w:t>
      </w:r>
      <w:r>
        <w:t>sum</w:t>
      </w:r>
      <w:r>
        <w:rPr>
          <w:spacing w:val="-1"/>
        </w:rPr>
        <w:t xml:space="preserve"> </w:t>
      </w:r>
      <w:r>
        <w:t>of lines</w:t>
      </w:r>
      <w:r>
        <w:rPr>
          <w:spacing w:val="-2"/>
        </w:rPr>
        <w:t xml:space="preserve"> </w:t>
      </w:r>
      <w:r>
        <w:t>a</w:t>
      </w:r>
      <w:r>
        <w:rPr>
          <w:spacing w:val="-1"/>
        </w:rPr>
        <w:t xml:space="preserve"> </w:t>
      </w:r>
      <w:r>
        <w:t>through</w:t>
      </w:r>
      <w:r>
        <w:rPr>
          <w:spacing w:val="1"/>
        </w:rPr>
        <w:t xml:space="preserve"> </w:t>
      </w:r>
      <w:r>
        <w:t>r, except</w:t>
      </w:r>
      <w:r>
        <w:rPr>
          <w:spacing w:val="1"/>
        </w:rPr>
        <w:t xml:space="preserve"> </w:t>
      </w:r>
      <w:r>
        <w:t>for</w:t>
      </w:r>
      <w:r>
        <w:rPr>
          <w:spacing w:val="-2"/>
        </w:rPr>
        <w:t xml:space="preserve"> </w:t>
      </w:r>
      <w:r>
        <w:t xml:space="preserve">columns i and </w:t>
      </w:r>
      <w:r>
        <w:rPr>
          <w:spacing w:val="-5"/>
        </w:rPr>
        <w:t>j.</w:t>
      </w:r>
    </w:p>
    <w:p>
      <w:pPr>
        <w:spacing w:before="241"/>
        <w:ind w:left="504" w:right="0" w:firstLine="0"/>
        <w:jc w:val="left"/>
        <w:rPr>
          <w:rFonts w:ascii="Arial" w:hAnsi="Arial"/>
          <w:b/>
          <w:sz w:val="21"/>
        </w:rPr>
      </w:pPr>
      <w:bookmarkStart w:id="196" w:name="SUBSECTION C – All Beneficiaries (Total "/>
      <w:bookmarkEnd w:id="196"/>
      <w:r>
        <w:rPr>
          <w:rFonts w:ascii="Arial" w:hAnsi="Arial"/>
          <w:b/>
          <w:sz w:val="21"/>
        </w:rPr>
        <w:t>SUBSECTION</w:t>
      </w:r>
      <w:r>
        <w:rPr>
          <w:rFonts w:ascii="Arial" w:hAnsi="Arial"/>
          <w:b/>
          <w:spacing w:val="-9"/>
          <w:sz w:val="21"/>
        </w:rPr>
        <w:t xml:space="preserve"> </w:t>
      </w:r>
      <w:r>
        <w:rPr>
          <w:rFonts w:ascii="Arial" w:hAnsi="Arial"/>
          <w:b/>
          <w:sz w:val="21"/>
        </w:rPr>
        <w:t>C</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All</w:t>
      </w:r>
      <w:r>
        <w:rPr>
          <w:rFonts w:ascii="Arial" w:hAnsi="Arial"/>
          <w:b/>
          <w:spacing w:val="-6"/>
          <w:sz w:val="21"/>
        </w:rPr>
        <w:t xml:space="preserve"> </w:t>
      </w:r>
      <w:r>
        <w:rPr>
          <w:rFonts w:ascii="Arial" w:hAnsi="Arial"/>
          <w:b/>
          <w:sz w:val="21"/>
        </w:rPr>
        <w:t>Beneficiaries</w:t>
      </w:r>
      <w:r>
        <w:rPr>
          <w:rFonts w:ascii="Arial" w:hAnsi="Arial"/>
          <w:b/>
          <w:spacing w:val="-4"/>
          <w:sz w:val="21"/>
        </w:rPr>
        <w:t xml:space="preserve"> </w:t>
      </w:r>
      <w:r>
        <w:rPr>
          <w:rFonts w:ascii="Arial" w:hAnsi="Arial"/>
          <w:b/>
          <w:sz w:val="21"/>
        </w:rPr>
        <w:t>(Total</w:t>
      </w:r>
      <w:r>
        <w:rPr>
          <w:rFonts w:ascii="Arial" w:hAnsi="Arial"/>
          <w:b/>
          <w:spacing w:val="-7"/>
          <w:sz w:val="21"/>
        </w:rPr>
        <w:t xml:space="preserve"> </w:t>
      </w:r>
      <w:r>
        <w:rPr>
          <w:rFonts w:ascii="Arial" w:hAnsi="Arial"/>
          <w:b/>
          <w:sz w:val="21"/>
        </w:rPr>
        <w:t>of</w:t>
      </w:r>
      <w:r>
        <w:rPr>
          <w:rFonts w:ascii="Arial" w:hAnsi="Arial"/>
          <w:b/>
          <w:spacing w:val="-5"/>
          <w:sz w:val="21"/>
        </w:rPr>
        <w:t xml:space="preserve"> </w:t>
      </w:r>
      <w:r>
        <w:rPr>
          <w:rFonts w:ascii="Arial" w:hAnsi="Arial"/>
          <w:b/>
          <w:sz w:val="21"/>
        </w:rPr>
        <w:t>Subsections</w:t>
      </w:r>
      <w:r>
        <w:rPr>
          <w:rFonts w:ascii="Arial" w:hAnsi="Arial"/>
          <w:b/>
          <w:spacing w:val="-6"/>
          <w:sz w:val="21"/>
        </w:rPr>
        <w:t xml:space="preserve"> </w:t>
      </w:r>
      <w:r>
        <w:rPr>
          <w:rFonts w:ascii="Arial" w:hAnsi="Arial"/>
          <w:b/>
          <w:sz w:val="21"/>
        </w:rPr>
        <w:t>A</w:t>
      </w:r>
      <w:r>
        <w:rPr>
          <w:rFonts w:ascii="Arial" w:hAnsi="Arial"/>
          <w:b/>
          <w:spacing w:val="-4"/>
          <w:sz w:val="21"/>
        </w:rPr>
        <w:t xml:space="preserve"> </w:t>
      </w:r>
      <w:r>
        <w:rPr>
          <w:rFonts w:ascii="Arial" w:hAnsi="Arial"/>
          <w:b/>
          <w:sz w:val="21"/>
        </w:rPr>
        <w:t>and</w:t>
      </w:r>
      <w:r>
        <w:rPr>
          <w:rFonts w:ascii="Arial" w:hAnsi="Arial"/>
          <w:b/>
          <w:spacing w:val="-4"/>
          <w:sz w:val="21"/>
        </w:rPr>
        <w:t xml:space="preserve"> </w:t>
      </w:r>
      <w:r>
        <w:rPr>
          <w:rFonts w:ascii="Arial" w:hAnsi="Arial"/>
          <w:b/>
          <w:spacing w:val="-5"/>
          <w:sz w:val="21"/>
        </w:rPr>
        <w:t>B)</w:t>
      </w:r>
    </w:p>
    <w:p>
      <w:pPr>
        <w:pStyle w:val="BodyText"/>
        <w:spacing w:before="118"/>
        <w:ind w:right="1481"/>
      </w:pPr>
      <w:r>
        <w:t>The</w:t>
      </w:r>
      <w:r>
        <w:rPr>
          <w:spacing w:val="-5"/>
        </w:rPr>
        <w:t xml:space="preserve"> </w:t>
      </w:r>
      <w:r>
        <w:t>risk</w:t>
      </w:r>
      <w:r>
        <w:rPr>
          <w:spacing w:val="-3"/>
        </w:rPr>
        <w:t xml:space="preserve"> </w:t>
      </w:r>
      <w:r>
        <w:t>factor</w:t>
      </w:r>
      <w:r>
        <w:rPr>
          <w:spacing w:val="-4"/>
        </w:rPr>
        <w:t xml:space="preserve"> </w:t>
      </w:r>
      <w:r>
        <w:t>for</w:t>
      </w:r>
      <w:r>
        <w:rPr>
          <w:spacing w:val="-5"/>
        </w:rPr>
        <w:t xml:space="preserve"> </w:t>
      </w:r>
      <w:r>
        <w:t>total</w:t>
      </w:r>
      <w:r>
        <w:rPr>
          <w:spacing w:val="-3"/>
        </w:rPr>
        <w:t xml:space="preserve"> </w:t>
      </w:r>
      <w:r>
        <w:t>beneficiaries</w:t>
      </w:r>
      <w:r>
        <w:rPr>
          <w:spacing w:val="-2"/>
        </w:rPr>
        <w:t xml:space="preserve"> </w:t>
      </w:r>
      <w:r>
        <w:t>(non-DE#</w:t>
      </w:r>
      <w:r>
        <w:rPr>
          <w:spacing w:val="-3"/>
        </w:rPr>
        <w:t xml:space="preserve"> </w:t>
      </w:r>
      <w:r>
        <w:t>plus</w:t>
      </w:r>
      <w:r>
        <w:rPr>
          <w:spacing w:val="-4"/>
        </w:rPr>
        <w:t xml:space="preserve"> </w:t>
      </w:r>
      <w:r>
        <w:t>DE#)</w:t>
      </w:r>
      <w:r>
        <w:rPr>
          <w:spacing w:val="-4"/>
        </w:rPr>
        <w:t xml:space="preserve"> </w:t>
      </w:r>
      <w:r>
        <w:t>is</w:t>
      </w:r>
      <w:r>
        <w:rPr>
          <w:spacing w:val="-4"/>
        </w:rPr>
        <w:t xml:space="preserve"> </w:t>
      </w:r>
      <w:r>
        <w:t>obtained</w:t>
      </w:r>
      <w:r>
        <w:rPr>
          <w:spacing w:val="-3"/>
        </w:rPr>
        <w:t xml:space="preserve"> </w:t>
      </w:r>
      <w:r>
        <w:t>from</w:t>
      </w:r>
      <w:r>
        <w:rPr>
          <w:spacing w:val="-1"/>
        </w:rPr>
        <w:t xml:space="preserve"> </w:t>
      </w:r>
      <w:r>
        <w:t>Worksheet</w:t>
      </w:r>
      <w:r>
        <w:rPr>
          <w:spacing w:val="-3"/>
        </w:rPr>
        <w:t xml:space="preserve"> </w:t>
      </w:r>
      <w:r>
        <w:t>5</w:t>
      </w:r>
      <w:r>
        <w:rPr>
          <w:spacing w:val="-1"/>
        </w:rPr>
        <w:t xml:space="preserve"> </w:t>
      </w:r>
      <w:r>
        <w:t>and displayed at the top of this section.</w:t>
      </w:r>
    </w:p>
    <w:p>
      <w:pPr>
        <w:spacing w:before="240"/>
        <w:ind w:left="504" w:right="0" w:firstLine="0"/>
        <w:jc w:val="left"/>
        <w:rPr>
          <w:rFonts w:ascii="Arial"/>
          <w:b/>
          <w:sz w:val="21"/>
        </w:rPr>
      </w:pPr>
      <w:bookmarkStart w:id="197" w:name="In lines a through q and t:"/>
      <w:bookmarkEnd w:id="197"/>
      <w:r>
        <w:rPr>
          <w:rFonts w:ascii="Arial"/>
          <w:b/>
          <w:sz w:val="21"/>
        </w:rPr>
        <w:t>In</w:t>
      </w:r>
      <w:r>
        <w:rPr>
          <w:rFonts w:ascii="Arial"/>
          <w:b/>
          <w:spacing w:val="-3"/>
          <w:sz w:val="21"/>
        </w:rPr>
        <w:t xml:space="preserve"> </w:t>
      </w:r>
      <w:r>
        <w:rPr>
          <w:rFonts w:ascii="Arial"/>
          <w:b/>
          <w:sz w:val="21"/>
        </w:rPr>
        <w:t>lines</w:t>
      </w:r>
      <w:r>
        <w:rPr>
          <w:rFonts w:ascii="Arial"/>
          <w:b/>
          <w:spacing w:val="-4"/>
          <w:sz w:val="21"/>
        </w:rPr>
        <w:t xml:space="preserve"> </w:t>
      </w:r>
      <w:r>
        <w:rPr>
          <w:rFonts w:ascii="Arial"/>
          <w:b/>
          <w:sz w:val="21"/>
        </w:rPr>
        <w:t>a</w:t>
      </w:r>
      <w:r>
        <w:rPr>
          <w:rFonts w:ascii="Arial"/>
          <w:b/>
          <w:spacing w:val="-3"/>
          <w:sz w:val="21"/>
        </w:rPr>
        <w:t xml:space="preserve"> </w:t>
      </w:r>
      <w:r>
        <w:rPr>
          <w:rFonts w:ascii="Arial"/>
          <w:b/>
          <w:sz w:val="21"/>
        </w:rPr>
        <w:t>through</w:t>
      </w:r>
      <w:r>
        <w:rPr>
          <w:rFonts w:ascii="Arial"/>
          <w:b/>
          <w:spacing w:val="-4"/>
          <w:sz w:val="21"/>
        </w:rPr>
        <w:t xml:space="preserve"> </w:t>
      </w:r>
      <w:r>
        <w:rPr>
          <w:rFonts w:ascii="Arial"/>
          <w:b/>
          <w:sz w:val="21"/>
        </w:rPr>
        <w:t>q</w:t>
      </w:r>
      <w:r>
        <w:rPr>
          <w:rFonts w:ascii="Arial"/>
          <w:b/>
          <w:spacing w:val="-2"/>
          <w:sz w:val="21"/>
        </w:rPr>
        <w:t xml:space="preserve"> </w:t>
      </w:r>
      <w:r>
        <w:rPr>
          <w:rFonts w:ascii="Arial"/>
          <w:b/>
          <w:sz w:val="21"/>
        </w:rPr>
        <w:t>and</w:t>
      </w:r>
      <w:r>
        <w:rPr>
          <w:rFonts w:ascii="Arial"/>
          <w:b/>
          <w:spacing w:val="-5"/>
          <w:sz w:val="21"/>
        </w:rPr>
        <w:t xml:space="preserve"> t:</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Columns</w:t>
      </w:r>
      <w:r>
        <w:rPr>
          <w:rFonts w:ascii="Arial" w:hAnsi="Arial"/>
          <w:b/>
          <w:spacing w:val="-3"/>
          <w:sz w:val="21"/>
        </w:rPr>
        <w:t xml:space="preserve"> </w:t>
      </w:r>
      <w:r>
        <w:rPr>
          <w:rFonts w:ascii="Arial" w:hAnsi="Arial"/>
          <w:b/>
          <w:sz w:val="21"/>
        </w:rPr>
        <w:t>e</w:t>
      </w:r>
      <w:r>
        <w:rPr>
          <w:rFonts w:ascii="Arial" w:hAnsi="Arial"/>
          <w:b/>
          <w:spacing w:val="-4"/>
          <w:sz w:val="21"/>
        </w:rPr>
        <w:t xml:space="preserve"> </w:t>
      </w:r>
      <w:r>
        <w:rPr>
          <w:rFonts w:ascii="Arial" w:hAnsi="Arial"/>
          <w:b/>
          <w:sz w:val="21"/>
        </w:rPr>
        <w:t>through</w:t>
      </w:r>
      <w:r>
        <w:rPr>
          <w:rFonts w:ascii="Arial" w:hAnsi="Arial"/>
          <w:b/>
          <w:spacing w:val="-2"/>
          <w:sz w:val="21"/>
        </w:rPr>
        <w:t xml:space="preserve"> </w:t>
      </w:r>
      <w:r>
        <w:rPr>
          <w:rFonts w:ascii="Arial" w:hAnsi="Arial"/>
          <w:b/>
          <w:sz w:val="21"/>
        </w:rPr>
        <w:t>g</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pacing w:val="-5"/>
          <w:sz w:val="21"/>
        </w:rPr>
        <w:t>N/A</w:t>
      </w:r>
    </w:p>
    <w:p>
      <w:pPr>
        <w:pStyle w:val="BodyText"/>
        <w:spacing w:before="120"/>
        <w:ind w:left="1224"/>
      </w:pPr>
      <w:r>
        <w:t>These</w:t>
      </w:r>
      <w:r>
        <w:rPr>
          <w:spacing w:val="-4"/>
        </w:rPr>
        <w:t xml:space="preserve"> </w:t>
      </w:r>
      <w:r>
        <w:t>columns</w:t>
      </w:r>
      <w:r>
        <w:rPr>
          <w:spacing w:val="-1"/>
        </w:rPr>
        <w:t xml:space="preserve"> </w:t>
      </w:r>
      <w:r>
        <w:t>are</w:t>
      </w:r>
      <w:r>
        <w:rPr>
          <w:spacing w:val="-2"/>
        </w:rPr>
        <w:t xml:space="preserve"> </w:t>
      </w:r>
      <w:r>
        <w:t>left intentionally</w:t>
      </w:r>
      <w:r>
        <w:rPr>
          <w:spacing w:val="-1"/>
        </w:rPr>
        <w:t xml:space="preserve"> </w:t>
      </w:r>
      <w:r>
        <w:t>blank; they are</w:t>
      </w:r>
      <w:r>
        <w:rPr>
          <w:spacing w:val="-2"/>
        </w:rPr>
        <w:t xml:space="preserve"> </w:t>
      </w:r>
      <w:r>
        <w:t>not applicable</w:t>
      </w:r>
      <w:r>
        <w:rPr>
          <w:spacing w:val="-1"/>
        </w:rPr>
        <w:t xml:space="preserve"> </w:t>
      </w:r>
      <w:r>
        <w:t>to this</w:t>
      </w:r>
      <w:r>
        <w:rPr>
          <w:spacing w:val="-1"/>
        </w:rPr>
        <w:t xml:space="preserve"> </w:t>
      </w:r>
      <w:r>
        <w:rPr>
          <w:spacing w:val="-2"/>
        </w:rPr>
        <w:t>section.</w:t>
      </w:r>
    </w:p>
    <w:p>
      <w:pPr>
        <w:pStyle w:val="ListParagraph"/>
        <w:numPr>
          <w:ilvl w:val="0"/>
          <w:numId w:val="43"/>
        </w:numPr>
        <w:tabs>
          <w:tab w:val="left" w:pos="1223"/>
        </w:tabs>
        <w:spacing w:before="122" w:after="0" w:line="240" w:lineRule="auto"/>
        <w:ind w:left="12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h</w:t>
      </w:r>
      <w:r>
        <w:rPr>
          <w:rFonts w:ascii="Arial" w:hAnsi="Arial"/>
          <w:b/>
          <w:spacing w:val="-2"/>
          <w:sz w:val="21"/>
        </w:rPr>
        <w:t xml:space="preserve"> </w:t>
      </w:r>
      <w:r>
        <w:rPr>
          <w:rFonts w:ascii="Arial" w:hAnsi="Arial"/>
          <w:b/>
          <w:sz w:val="21"/>
        </w:rPr>
        <w:t>–</w:t>
      </w:r>
      <w:r>
        <w:rPr>
          <w:rFonts w:ascii="Arial" w:hAnsi="Arial"/>
          <w:b/>
          <w:spacing w:val="-2"/>
          <w:sz w:val="21"/>
        </w:rPr>
        <w:t xml:space="preserve"> </w:t>
      </w:r>
      <w:r>
        <w:rPr>
          <w:rFonts w:ascii="Arial" w:hAnsi="Arial"/>
          <w:b/>
          <w:sz w:val="21"/>
        </w:rPr>
        <w:t>Net</w:t>
      </w:r>
      <w:r>
        <w:rPr>
          <w:rFonts w:ascii="Arial" w:hAnsi="Arial"/>
          <w:b/>
          <w:spacing w:val="-5"/>
          <w:sz w:val="21"/>
        </w:rPr>
        <w:t xml:space="preserve"> </w:t>
      </w:r>
      <w:r>
        <w:rPr>
          <w:rFonts w:ascii="Arial" w:hAnsi="Arial"/>
          <w:b/>
          <w:sz w:val="21"/>
        </w:rPr>
        <w:t>PMPM</w:t>
      </w:r>
      <w:r>
        <w:rPr>
          <w:rFonts w:ascii="Arial" w:hAnsi="Arial"/>
          <w:b/>
          <w:spacing w:val="-3"/>
          <w:sz w:val="21"/>
        </w:rPr>
        <w:t xml:space="preserve"> </w:t>
      </w:r>
      <w:r>
        <w:rPr>
          <w:rFonts w:ascii="Arial" w:hAnsi="Arial"/>
          <w:b/>
          <w:sz w:val="21"/>
        </w:rPr>
        <w:t>for</w:t>
      </w:r>
      <w:r>
        <w:rPr>
          <w:rFonts w:ascii="Arial" w:hAnsi="Arial"/>
          <w:b/>
          <w:spacing w:val="-5"/>
          <w:sz w:val="21"/>
        </w:rPr>
        <w:t xml:space="preserve"> </w:t>
      </w:r>
      <w:r>
        <w:rPr>
          <w:rFonts w:ascii="Arial" w:hAnsi="Arial"/>
          <w:b/>
          <w:sz w:val="21"/>
        </w:rPr>
        <w:t>Total</w:t>
      </w:r>
      <w:r>
        <w:rPr>
          <w:rFonts w:ascii="Arial" w:hAnsi="Arial"/>
          <w:b/>
          <w:spacing w:val="-5"/>
          <w:sz w:val="21"/>
        </w:rPr>
        <w:t xml:space="preserve"> </w:t>
      </w:r>
      <w:r>
        <w:rPr>
          <w:rFonts w:ascii="Arial" w:hAnsi="Arial"/>
          <w:b/>
          <w:spacing w:val="-2"/>
          <w:sz w:val="21"/>
        </w:rPr>
        <w:t>Benefits</w:t>
      </w:r>
    </w:p>
    <w:p>
      <w:pPr>
        <w:pStyle w:val="BodyText"/>
        <w:spacing w:before="118"/>
        <w:ind w:left="1224" w:right="1481"/>
      </w:pPr>
      <w:r>
        <w:t>The</w:t>
      </w:r>
      <w:r>
        <w:rPr>
          <w:spacing w:val="-5"/>
        </w:rPr>
        <w:t xml:space="preserve"> </w:t>
      </w:r>
      <w:r>
        <w:t>PMPM</w:t>
      </w:r>
      <w:r>
        <w:rPr>
          <w:spacing w:val="-4"/>
        </w:rPr>
        <w:t xml:space="preserve"> </w:t>
      </w:r>
      <w:r>
        <w:t>is</w:t>
      </w:r>
      <w:r>
        <w:rPr>
          <w:spacing w:val="-3"/>
        </w:rPr>
        <w:t xml:space="preserve"> </w:t>
      </w:r>
      <w:r>
        <w:t>calculated</w:t>
      </w:r>
      <w:r>
        <w:rPr>
          <w:spacing w:val="-2"/>
        </w:rPr>
        <w:t xml:space="preserve"> </w:t>
      </w:r>
      <w:r>
        <w:t>automatically</w:t>
      </w:r>
      <w:r>
        <w:rPr>
          <w:spacing w:val="-3"/>
        </w:rPr>
        <w:t xml:space="preserve"> </w:t>
      </w:r>
      <w:r>
        <w:t>as</w:t>
      </w:r>
      <w:r>
        <w:rPr>
          <w:spacing w:val="-1"/>
        </w:rPr>
        <w:t xml:space="preserve"> </w:t>
      </w:r>
      <w:r>
        <w:t>the</w:t>
      </w:r>
      <w:r>
        <w:rPr>
          <w:spacing w:val="-3"/>
        </w:rPr>
        <w:t xml:space="preserve"> </w:t>
      </w:r>
      <w:r>
        <w:t>weighted</w:t>
      </w:r>
      <w:r>
        <w:rPr>
          <w:spacing w:val="-3"/>
        </w:rPr>
        <w:t xml:space="preserve"> </w:t>
      </w:r>
      <w:r>
        <w:t>average</w:t>
      </w:r>
      <w:r>
        <w:rPr>
          <w:spacing w:val="-4"/>
        </w:rPr>
        <w:t xml:space="preserve"> </w:t>
      </w:r>
      <w:r>
        <w:t>of</w:t>
      </w:r>
      <w:r>
        <w:rPr>
          <w:spacing w:val="-3"/>
        </w:rPr>
        <w:t xml:space="preserve"> </w:t>
      </w:r>
      <w:r>
        <w:t>subsections</w:t>
      </w:r>
      <w:r>
        <w:rPr>
          <w:spacing w:val="-2"/>
        </w:rPr>
        <w:t xml:space="preserve"> </w:t>
      </w:r>
      <w:r>
        <w:t>A</w:t>
      </w:r>
      <w:r>
        <w:rPr>
          <w:spacing w:val="-4"/>
        </w:rPr>
        <w:t xml:space="preserve"> </w:t>
      </w:r>
      <w:r>
        <w:t>and</w:t>
      </w:r>
      <w:r>
        <w:rPr>
          <w:spacing w:val="-3"/>
        </w:rPr>
        <w:t xml:space="preserve"> </w:t>
      </w:r>
      <w:r>
        <w:t>B, based on projected enrollment in Worksheet 5.</w:t>
      </w:r>
    </w:p>
    <w:p>
      <w:pPr>
        <w:pStyle w:val="ListParagraph"/>
        <w:numPr>
          <w:ilvl w:val="0"/>
          <w:numId w:val="43"/>
        </w:numPr>
        <w:tabs>
          <w:tab w:val="left" w:pos="1223"/>
        </w:tabs>
        <w:spacing w:before="120" w:after="0" w:line="240" w:lineRule="auto"/>
        <w:ind w:left="1223" w:right="0" w:hanging="359"/>
        <w:jc w:val="left"/>
        <w:rPr>
          <w:rFonts w:ascii="Arial" w:hAnsi="Arial"/>
          <w:b/>
          <w:sz w:val="21"/>
        </w:rPr>
      </w:pPr>
      <w:r>
        <w:rPr>
          <w:rFonts w:ascii="Arial" w:hAnsi="Arial"/>
          <w:b/>
          <w:sz w:val="21"/>
        </w:rPr>
        <w:t>Columns</w:t>
      </w:r>
      <w:r>
        <w:rPr>
          <w:rFonts w:ascii="Arial" w:hAnsi="Arial"/>
          <w:b/>
          <w:spacing w:val="-3"/>
          <w:sz w:val="21"/>
        </w:rPr>
        <w:t xml:space="preserve"> </w:t>
      </w:r>
      <w:r>
        <w:rPr>
          <w:rFonts w:ascii="Arial" w:hAnsi="Arial"/>
          <w:b/>
          <w:sz w:val="21"/>
        </w:rPr>
        <w:t>i</w:t>
      </w:r>
      <w:r>
        <w:rPr>
          <w:rFonts w:ascii="Arial" w:hAnsi="Arial"/>
          <w:b/>
          <w:spacing w:val="-4"/>
          <w:sz w:val="21"/>
        </w:rPr>
        <w:t xml:space="preserve"> </w:t>
      </w:r>
      <w:r>
        <w:rPr>
          <w:rFonts w:ascii="Arial" w:hAnsi="Arial"/>
          <w:b/>
          <w:sz w:val="21"/>
        </w:rPr>
        <w:t>through</w:t>
      </w:r>
      <w:r>
        <w:rPr>
          <w:rFonts w:ascii="Arial" w:hAnsi="Arial"/>
          <w:b/>
          <w:spacing w:val="-4"/>
          <w:sz w:val="21"/>
        </w:rPr>
        <w:t xml:space="preserve"> </w:t>
      </w:r>
      <w:r>
        <w:rPr>
          <w:rFonts w:ascii="Arial" w:hAnsi="Arial"/>
          <w:b/>
          <w:sz w:val="21"/>
        </w:rPr>
        <w:t>n</w:t>
      </w:r>
      <w:r>
        <w:rPr>
          <w:rFonts w:ascii="Arial" w:hAnsi="Arial"/>
          <w:b/>
          <w:spacing w:val="-2"/>
          <w:sz w:val="21"/>
        </w:rPr>
        <w:t xml:space="preserve"> </w:t>
      </w:r>
      <w:r>
        <w:rPr>
          <w:rFonts w:ascii="Arial" w:hAnsi="Arial"/>
          <w:b/>
          <w:sz w:val="21"/>
        </w:rPr>
        <w:t>–</w:t>
      </w:r>
      <w:r>
        <w:rPr>
          <w:rFonts w:ascii="Arial" w:hAnsi="Arial"/>
          <w:b/>
          <w:spacing w:val="-2"/>
          <w:sz w:val="21"/>
        </w:rPr>
        <w:t xml:space="preserve"> </w:t>
      </w:r>
      <w:r>
        <w:rPr>
          <w:rFonts w:ascii="Arial" w:hAnsi="Arial"/>
          <w:b/>
          <w:spacing w:val="-5"/>
          <w:sz w:val="21"/>
        </w:rPr>
        <w:t>N/A</w:t>
      </w:r>
    </w:p>
    <w:p>
      <w:pPr>
        <w:pStyle w:val="BodyText"/>
        <w:spacing w:before="121"/>
        <w:ind w:left="1224"/>
      </w:pPr>
      <w:r>
        <w:t>These</w:t>
      </w:r>
      <w:r>
        <w:rPr>
          <w:spacing w:val="-4"/>
        </w:rPr>
        <w:t xml:space="preserve"> </w:t>
      </w:r>
      <w:r>
        <w:t>columns</w:t>
      </w:r>
      <w:r>
        <w:rPr>
          <w:spacing w:val="-1"/>
        </w:rPr>
        <w:t xml:space="preserve"> </w:t>
      </w:r>
      <w:r>
        <w:t>are</w:t>
      </w:r>
      <w:r>
        <w:rPr>
          <w:spacing w:val="-2"/>
        </w:rPr>
        <w:t xml:space="preserve"> </w:t>
      </w:r>
      <w:r>
        <w:t>left intentionally</w:t>
      </w:r>
      <w:r>
        <w:rPr>
          <w:spacing w:val="-1"/>
        </w:rPr>
        <w:t xml:space="preserve"> </w:t>
      </w:r>
      <w:r>
        <w:t>blank; they</w:t>
      </w:r>
      <w:r>
        <w:rPr>
          <w:spacing w:val="-1"/>
        </w:rPr>
        <w:t xml:space="preserve"> </w:t>
      </w:r>
      <w:r>
        <w:t>are</w:t>
      </w:r>
      <w:r>
        <w:rPr>
          <w:spacing w:val="-1"/>
        </w:rPr>
        <w:t xml:space="preserve"> </w:t>
      </w:r>
      <w:r>
        <w:t>not</w:t>
      </w:r>
      <w:r>
        <w:rPr>
          <w:spacing w:val="-1"/>
        </w:rPr>
        <w:t xml:space="preserve"> </w:t>
      </w:r>
      <w:r>
        <w:t>applicable to</w:t>
      </w:r>
      <w:r>
        <w:rPr>
          <w:spacing w:val="-1"/>
        </w:rPr>
        <w:t xml:space="preserve"> </w:t>
      </w:r>
      <w:r>
        <w:t>this</w:t>
      </w:r>
      <w:r>
        <w:rPr>
          <w:spacing w:val="-1"/>
        </w:rPr>
        <w:t xml:space="preserve"> </w:t>
      </w:r>
      <w:r>
        <w:rPr>
          <w:spacing w:val="-2"/>
        </w:rPr>
        <w:t>section.</w:t>
      </w:r>
    </w:p>
    <w:p>
      <w:pPr>
        <w:pStyle w:val="ListParagraph"/>
        <w:numPr>
          <w:ilvl w:val="0"/>
          <w:numId w:val="43"/>
        </w:numPr>
        <w:tabs>
          <w:tab w:val="left" w:pos="1223"/>
        </w:tabs>
        <w:spacing w:before="120" w:after="0" w:line="240" w:lineRule="auto"/>
        <w:ind w:left="1223"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o</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Net</w:t>
      </w:r>
      <w:r>
        <w:rPr>
          <w:rFonts w:ascii="Arial" w:hAnsi="Arial"/>
          <w:b/>
          <w:spacing w:val="-7"/>
          <w:sz w:val="21"/>
        </w:rPr>
        <w:t xml:space="preserve"> </w:t>
      </w:r>
      <w:r>
        <w:rPr>
          <w:rFonts w:ascii="Arial" w:hAnsi="Arial"/>
          <w:b/>
          <w:sz w:val="21"/>
        </w:rPr>
        <w:t>PMPM</w:t>
      </w:r>
      <w:r>
        <w:rPr>
          <w:rFonts w:ascii="Arial" w:hAnsi="Arial"/>
          <w:b/>
          <w:spacing w:val="-6"/>
          <w:sz w:val="21"/>
        </w:rPr>
        <w:t xml:space="preserve"> </w:t>
      </w:r>
      <w:r>
        <w:rPr>
          <w:rFonts w:ascii="Arial" w:hAnsi="Arial"/>
          <w:b/>
          <w:sz w:val="21"/>
        </w:rPr>
        <w:t>for</w:t>
      </w:r>
      <w:r>
        <w:rPr>
          <w:rFonts w:ascii="Arial" w:hAnsi="Arial"/>
          <w:b/>
          <w:spacing w:val="-5"/>
          <w:sz w:val="21"/>
        </w:rPr>
        <w:t xml:space="preserve"> </w:t>
      </w:r>
      <w:r>
        <w:rPr>
          <w:rFonts w:ascii="Arial" w:hAnsi="Arial"/>
          <w:b/>
          <w:sz w:val="21"/>
        </w:rPr>
        <w:t>Medicare-Covered</w:t>
      </w:r>
      <w:r>
        <w:rPr>
          <w:rFonts w:ascii="Arial" w:hAnsi="Arial"/>
          <w:b/>
          <w:spacing w:val="-3"/>
          <w:sz w:val="21"/>
        </w:rPr>
        <w:t xml:space="preserve"> </w:t>
      </w:r>
      <w:r>
        <w:rPr>
          <w:rFonts w:ascii="Arial" w:hAnsi="Arial"/>
          <w:b/>
          <w:spacing w:val="-2"/>
          <w:sz w:val="21"/>
        </w:rPr>
        <w:t>Benefits</w:t>
      </w:r>
    </w:p>
    <w:p>
      <w:pPr>
        <w:pStyle w:val="BodyText"/>
        <w:spacing w:before="118"/>
        <w:ind w:left="1224" w:right="1481"/>
      </w:pPr>
      <w:r>
        <w:t>The</w:t>
      </w:r>
      <w:r>
        <w:rPr>
          <w:spacing w:val="-5"/>
        </w:rPr>
        <w:t xml:space="preserve"> </w:t>
      </w:r>
      <w:r>
        <w:t>PMPM</w:t>
      </w:r>
      <w:r>
        <w:rPr>
          <w:spacing w:val="-4"/>
        </w:rPr>
        <w:t xml:space="preserve"> </w:t>
      </w:r>
      <w:r>
        <w:t>is</w:t>
      </w:r>
      <w:r>
        <w:rPr>
          <w:spacing w:val="-3"/>
        </w:rPr>
        <w:t xml:space="preserve"> </w:t>
      </w:r>
      <w:r>
        <w:t>calculated</w:t>
      </w:r>
      <w:r>
        <w:rPr>
          <w:spacing w:val="-2"/>
        </w:rPr>
        <w:t xml:space="preserve"> </w:t>
      </w:r>
      <w:r>
        <w:t>automatically</w:t>
      </w:r>
      <w:r>
        <w:rPr>
          <w:spacing w:val="-3"/>
        </w:rPr>
        <w:t xml:space="preserve"> </w:t>
      </w:r>
      <w:r>
        <w:t>as</w:t>
      </w:r>
      <w:r>
        <w:rPr>
          <w:spacing w:val="-1"/>
        </w:rPr>
        <w:t xml:space="preserve"> </w:t>
      </w:r>
      <w:r>
        <w:t>the</w:t>
      </w:r>
      <w:r>
        <w:rPr>
          <w:spacing w:val="-3"/>
        </w:rPr>
        <w:t xml:space="preserve"> </w:t>
      </w:r>
      <w:r>
        <w:t>weighted</w:t>
      </w:r>
      <w:r>
        <w:rPr>
          <w:spacing w:val="-3"/>
        </w:rPr>
        <w:t xml:space="preserve"> </w:t>
      </w:r>
      <w:r>
        <w:t>average</w:t>
      </w:r>
      <w:r>
        <w:rPr>
          <w:spacing w:val="-4"/>
        </w:rPr>
        <w:t xml:space="preserve"> </w:t>
      </w:r>
      <w:r>
        <w:t>of</w:t>
      </w:r>
      <w:r>
        <w:rPr>
          <w:spacing w:val="-3"/>
        </w:rPr>
        <w:t xml:space="preserve"> </w:t>
      </w:r>
      <w:r>
        <w:t>subsections</w:t>
      </w:r>
      <w:r>
        <w:rPr>
          <w:spacing w:val="-2"/>
        </w:rPr>
        <w:t xml:space="preserve"> </w:t>
      </w:r>
      <w:r>
        <w:t>A</w:t>
      </w:r>
      <w:r>
        <w:rPr>
          <w:spacing w:val="-4"/>
        </w:rPr>
        <w:t xml:space="preserve"> </w:t>
      </w:r>
      <w:r>
        <w:t>and</w:t>
      </w:r>
      <w:r>
        <w:rPr>
          <w:spacing w:val="-3"/>
        </w:rPr>
        <w:t xml:space="preserve"> </w:t>
      </w:r>
      <w:r>
        <w:t>B, based on projected enrollment in Worksheet 5.</w:t>
      </w:r>
    </w:p>
    <w:p>
      <w:pPr>
        <w:pStyle w:val="BodyText"/>
        <w:spacing w:after="0"/>
        <w:sectPr>
          <w:pgSz w:w="12240" w:h="15840"/>
          <w:pgMar w:top="960" w:right="0" w:bottom="940" w:left="1080" w:header="727" w:footer="747"/>
          <w:cols w:space="720"/>
        </w:sectPr>
      </w:pPr>
    </w:p>
    <w:p>
      <w:pPr>
        <w:pStyle w:val="BodyText"/>
        <w:spacing w:before="225"/>
        <w:ind w:left="0"/>
        <w:rPr>
          <w:sz w:val="21"/>
        </w:rPr>
      </w:pPr>
    </w:p>
    <w:p>
      <w:pPr>
        <w:pStyle w:val="ListParagraph"/>
        <w:numPr>
          <w:ilvl w:val="0"/>
          <w:numId w:val="43"/>
        </w:numPr>
        <w:tabs>
          <w:tab w:val="left" w:pos="1223"/>
        </w:tabs>
        <w:spacing w:before="0" w:after="0" w:line="240" w:lineRule="auto"/>
        <w:ind w:left="1223" w:right="0" w:hanging="359"/>
        <w:jc w:val="left"/>
        <w:rPr>
          <w:rFonts w:ascii="Arial" w:hAnsi="Arial"/>
          <w:b/>
          <w:sz w:val="21"/>
        </w:rPr>
      </w:pPr>
      <w:r>
        <w:rPr>
          <w:rFonts w:ascii="Arial" w:hAnsi="Arial"/>
          <w:b/>
          <w:sz w:val="21"/>
        </w:rPr>
        <w:t>Columns</w:t>
      </w:r>
      <w:r>
        <w:rPr>
          <w:rFonts w:ascii="Arial" w:hAnsi="Arial"/>
          <w:b/>
          <w:spacing w:val="-8"/>
          <w:sz w:val="21"/>
        </w:rPr>
        <w:t xml:space="preserve"> </w:t>
      </w:r>
      <w:r>
        <w:rPr>
          <w:rFonts w:ascii="Arial" w:hAnsi="Arial"/>
          <w:b/>
          <w:sz w:val="21"/>
        </w:rPr>
        <w:t>p</w:t>
      </w:r>
      <w:r>
        <w:rPr>
          <w:rFonts w:ascii="Arial" w:hAnsi="Arial"/>
          <w:b/>
          <w:spacing w:val="-4"/>
          <w:sz w:val="21"/>
        </w:rPr>
        <w:t xml:space="preserve"> </w:t>
      </w:r>
      <w:r>
        <w:rPr>
          <w:rFonts w:ascii="Arial" w:hAnsi="Arial"/>
          <w:b/>
          <w:sz w:val="21"/>
        </w:rPr>
        <w:t>through</w:t>
      </w:r>
      <w:r>
        <w:rPr>
          <w:rFonts w:ascii="Arial" w:hAnsi="Arial"/>
          <w:b/>
          <w:spacing w:val="-5"/>
          <w:sz w:val="21"/>
        </w:rPr>
        <w:t xml:space="preserve"> </w:t>
      </w:r>
      <w:r>
        <w:rPr>
          <w:rFonts w:ascii="Arial" w:hAnsi="Arial"/>
          <w:b/>
          <w:sz w:val="21"/>
        </w:rPr>
        <w:t>r</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A/B</w:t>
      </w:r>
      <w:r>
        <w:rPr>
          <w:rFonts w:ascii="Arial" w:hAnsi="Arial"/>
          <w:b/>
          <w:spacing w:val="-4"/>
          <w:sz w:val="21"/>
        </w:rPr>
        <w:t xml:space="preserve"> </w:t>
      </w:r>
      <w:r>
        <w:rPr>
          <w:rFonts w:ascii="Arial" w:hAnsi="Arial"/>
          <w:b/>
          <w:sz w:val="21"/>
        </w:rPr>
        <w:t>Mandatory</w:t>
      </w:r>
      <w:r>
        <w:rPr>
          <w:rFonts w:ascii="Arial" w:hAnsi="Arial"/>
          <w:b/>
          <w:spacing w:val="-6"/>
          <w:sz w:val="21"/>
        </w:rPr>
        <w:t xml:space="preserve"> </w:t>
      </w:r>
      <w:r>
        <w:rPr>
          <w:rFonts w:ascii="Arial" w:hAnsi="Arial"/>
          <w:b/>
          <w:sz w:val="21"/>
        </w:rPr>
        <w:t>Supplemental</w:t>
      </w:r>
      <w:r>
        <w:rPr>
          <w:rFonts w:ascii="Arial" w:hAnsi="Arial"/>
          <w:b/>
          <w:spacing w:val="-6"/>
          <w:sz w:val="21"/>
        </w:rPr>
        <w:t xml:space="preserve"> </w:t>
      </w:r>
      <w:r>
        <w:rPr>
          <w:rFonts w:ascii="Arial" w:hAnsi="Arial"/>
          <w:b/>
          <w:sz w:val="21"/>
        </w:rPr>
        <w:t>(MS)</w:t>
      </w:r>
      <w:r>
        <w:rPr>
          <w:rFonts w:ascii="Arial" w:hAnsi="Arial"/>
          <w:b/>
          <w:spacing w:val="-6"/>
          <w:sz w:val="21"/>
        </w:rPr>
        <w:t xml:space="preserve"> </w:t>
      </w:r>
      <w:r>
        <w:rPr>
          <w:rFonts w:ascii="Arial" w:hAnsi="Arial"/>
          <w:b/>
          <w:spacing w:val="-2"/>
          <w:sz w:val="21"/>
        </w:rPr>
        <w:t>Benefits</w:t>
      </w:r>
    </w:p>
    <w:p>
      <w:pPr>
        <w:pStyle w:val="BodyText"/>
        <w:spacing w:before="120"/>
        <w:ind w:left="1224" w:right="1492"/>
      </w:pPr>
      <w:r>
        <w:t>These</w:t>
      </w:r>
      <w:r>
        <w:rPr>
          <w:spacing w:val="-4"/>
        </w:rPr>
        <w:t xml:space="preserve"> </w:t>
      </w:r>
      <w:r>
        <w:t>columns</w:t>
      </w:r>
      <w:r>
        <w:rPr>
          <w:spacing w:val="-4"/>
        </w:rPr>
        <w:t xml:space="preserve"> </w:t>
      </w:r>
      <w:r>
        <w:t>are</w:t>
      </w:r>
      <w:r>
        <w:rPr>
          <w:spacing w:val="-4"/>
        </w:rPr>
        <w:t xml:space="preserve"> </w:t>
      </w:r>
      <w:r>
        <w:t>calculated</w:t>
      </w:r>
      <w:r>
        <w:rPr>
          <w:spacing w:val="-3"/>
        </w:rPr>
        <w:t xml:space="preserve"> </w:t>
      </w:r>
      <w:r>
        <w:t>automatically</w:t>
      </w:r>
      <w:r>
        <w:rPr>
          <w:spacing w:val="-3"/>
        </w:rPr>
        <w:t xml:space="preserve"> </w:t>
      </w:r>
      <w:r>
        <w:t>and</w:t>
      </w:r>
      <w:r>
        <w:rPr>
          <w:spacing w:val="-1"/>
        </w:rPr>
        <w:t xml:space="preserve"> </w:t>
      </w:r>
      <w:r>
        <w:t>are</w:t>
      </w:r>
      <w:r>
        <w:rPr>
          <w:spacing w:val="-4"/>
        </w:rPr>
        <w:t xml:space="preserve"> </w:t>
      </w:r>
      <w:r>
        <w:t>the</w:t>
      </w:r>
      <w:r>
        <w:rPr>
          <w:spacing w:val="-3"/>
        </w:rPr>
        <w:t xml:space="preserve"> </w:t>
      </w:r>
      <w:r>
        <w:t>basis</w:t>
      </w:r>
      <w:r>
        <w:rPr>
          <w:spacing w:val="-3"/>
        </w:rPr>
        <w:t xml:space="preserve"> </w:t>
      </w:r>
      <w:r>
        <w:t>for</w:t>
      </w:r>
      <w:r>
        <w:rPr>
          <w:spacing w:val="-5"/>
        </w:rPr>
        <w:t xml:space="preserve"> </w:t>
      </w:r>
      <w:r>
        <w:t>the</w:t>
      </w:r>
      <w:r>
        <w:rPr>
          <w:spacing w:val="-2"/>
        </w:rPr>
        <w:t xml:space="preserve"> </w:t>
      </w:r>
      <w:r>
        <w:t>costs</w:t>
      </w:r>
      <w:r>
        <w:rPr>
          <w:spacing w:val="-3"/>
        </w:rPr>
        <w:t xml:space="preserve"> </w:t>
      </w:r>
      <w:r>
        <w:t>included</w:t>
      </w:r>
      <w:r>
        <w:rPr>
          <w:spacing w:val="-3"/>
        </w:rPr>
        <w:t xml:space="preserve"> </w:t>
      </w:r>
      <w:r>
        <w:t>in the A/B mandatory supplemental premium.</w:t>
      </w:r>
    </w:p>
    <w:p>
      <w:pPr>
        <w:spacing w:before="119"/>
        <w:ind w:left="1224" w:right="0" w:firstLine="0"/>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p</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Net</w:t>
      </w:r>
      <w:r>
        <w:rPr>
          <w:rFonts w:ascii="Arial" w:hAnsi="Arial"/>
          <w:b/>
          <w:spacing w:val="-7"/>
          <w:sz w:val="21"/>
        </w:rPr>
        <w:t xml:space="preserve"> </w:t>
      </w:r>
      <w:r>
        <w:rPr>
          <w:rFonts w:ascii="Arial" w:hAnsi="Arial"/>
          <w:b/>
          <w:sz w:val="21"/>
        </w:rPr>
        <w:t>PMPM</w:t>
      </w:r>
      <w:r>
        <w:rPr>
          <w:rFonts w:ascii="Arial" w:hAnsi="Arial"/>
          <w:b/>
          <w:spacing w:val="-4"/>
          <w:sz w:val="21"/>
        </w:rPr>
        <w:t xml:space="preserve"> </w:t>
      </w:r>
      <w:r>
        <w:rPr>
          <w:rFonts w:ascii="Arial" w:hAnsi="Arial"/>
          <w:b/>
          <w:sz w:val="21"/>
        </w:rPr>
        <w:t>for</w:t>
      </w:r>
      <w:r>
        <w:rPr>
          <w:rFonts w:ascii="Arial" w:hAnsi="Arial"/>
          <w:b/>
          <w:spacing w:val="-4"/>
          <w:sz w:val="21"/>
        </w:rPr>
        <w:t xml:space="preserve"> </w:t>
      </w:r>
      <w:r>
        <w:rPr>
          <w:rFonts w:ascii="Arial" w:hAnsi="Arial"/>
          <w:b/>
          <w:sz w:val="21"/>
        </w:rPr>
        <w:t>Additional</w:t>
      </w:r>
      <w:r>
        <w:rPr>
          <w:rFonts w:ascii="Arial" w:hAnsi="Arial"/>
          <w:b/>
          <w:spacing w:val="-4"/>
          <w:sz w:val="21"/>
        </w:rPr>
        <w:t xml:space="preserve"> </w:t>
      </w:r>
      <w:r>
        <w:rPr>
          <w:rFonts w:ascii="Arial" w:hAnsi="Arial"/>
          <w:b/>
          <w:spacing w:val="-2"/>
          <w:sz w:val="21"/>
        </w:rPr>
        <w:t>Services</w:t>
      </w:r>
    </w:p>
    <w:p>
      <w:pPr>
        <w:pStyle w:val="BodyText"/>
        <w:spacing w:before="120"/>
        <w:ind w:left="1224" w:right="1481"/>
      </w:pPr>
      <w:r>
        <w:t>The</w:t>
      </w:r>
      <w:r>
        <w:rPr>
          <w:spacing w:val="-5"/>
        </w:rPr>
        <w:t xml:space="preserve"> </w:t>
      </w:r>
      <w:r>
        <w:t>PMPM</w:t>
      </w:r>
      <w:r>
        <w:rPr>
          <w:spacing w:val="-4"/>
        </w:rPr>
        <w:t xml:space="preserve"> </w:t>
      </w:r>
      <w:r>
        <w:t>is</w:t>
      </w:r>
      <w:r>
        <w:rPr>
          <w:spacing w:val="-3"/>
        </w:rPr>
        <w:t xml:space="preserve"> </w:t>
      </w:r>
      <w:r>
        <w:t>calculated</w:t>
      </w:r>
      <w:r>
        <w:rPr>
          <w:spacing w:val="-2"/>
        </w:rPr>
        <w:t xml:space="preserve"> </w:t>
      </w:r>
      <w:r>
        <w:t>automatically</w:t>
      </w:r>
      <w:r>
        <w:rPr>
          <w:spacing w:val="-3"/>
        </w:rPr>
        <w:t xml:space="preserve"> </w:t>
      </w:r>
      <w:r>
        <w:t>as</w:t>
      </w:r>
      <w:r>
        <w:rPr>
          <w:spacing w:val="-1"/>
        </w:rPr>
        <w:t xml:space="preserve"> </w:t>
      </w:r>
      <w:r>
        <w:t>the</w:t>
      </w:r>
      <w:r>
        <w:rPr>
          <w:spacing w:val="-3"/>
        </w:rPr>
        <w:t xml:space="preserve"> </w:t>
      </w:r>
      <w:r>
        <w:t>weighted</w:t>
      </w:r>
      <w:r>
        <w:rPr>
          <w:spacing w:val="-3"/>
        </w:rPr>
        <w:t xml:space="preserve"> </w:t>
      </w:r>
      <w:r>
        <w:t>average</w:t>
      </w:r>
      <w:r>
        <w:rPr>
          <w:spacing w:val="-4"/>
        </w:rPr>
        <w:t xml:space="preserve"> </w:t>
      </w:r>
      <w:r>
        <w:t>of</w:t>
      </w:r>
      <w:r>
        <w:rPr>
          <w:spacing w:val="-3"/>
        </w:rPr>
        <w:t xml:space="preserve"> </w:t>
      </w:r>
      <w:r>
        <w:t>subsections</w:t>
      </w:r>
      <w:r>
        <w:rPr>
          <w:spacing w:val="-2"/>
        </w:rPr>
        <w:t xml:space="preserve"> </w:t>
      </w:r>
      <w:r>
        <w:t>A</w:t>
      </w:r>
      <w:r>
        <w:rPr>
          <w:spacing w:val="-4"/>
        </w:rPr>
        <w:t xml:space="preserve"> </w:t>
      </w:r>
      <w:r>
        <w:t>and</w:t>
      </w:r>
      <w:r>
        <w:rPr>
          <w:spacing w:val="-3"/>
        </w:rPr>
        <w:t xml:space="preserve"> </w:t>
      </w:r>
      <w:r>
        <w:t>B, based on projected enrollment in Worksheet 5.</w:t>
      </w:r>
    </w:p>
    <w:p>
      <w:pPr>
        <w:spacing w:before="121"/>
        <w:ind w:left="1224" w:right="0" w:firstLine="0"/>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q</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Reduction</w:t>
      </w:r>
      <w:r>
        <w:rPr>
          <w:rFonts w:ascii="Arial" w:hAnsi="Arial"/>
          <w:b/>
          <w:spacing w:val="-5"/>
          <w:sz w:val="21"/>
        </w:rPr>
        <w:t xml:space="preserve"> </w:t>
      </w:r>
      <w:r>
        <w:rPr>
          <w:rFonts w:ascii="Arial" w:hAnsi="Arial"/>
          <w:b/>
          <w:sz w:val="21"/>
        </w:rPr>
        <w:t>of</w:t>
      </w:r>
      <w:r>
        <w:rPr>
          <w:rFonts w:ascii="Arial" w:hAnsi="Arial"/>
          <w:b/>
          <w:spacing w:val="-5"/>
          <w:sz w:val="21"/>
        </w:rPr>
        <w:t xml:space="preserve"> </w:t>
      </w:r>
      <w:r>
        <w:rPr>
          <w:rFonts w:ascii="Arial" w:hAnsi="Arial"/>
          <w:b/>
          <w:sz w:val="21"/>
        </w:rPr>
        <w:t>A/B</w:t>
      </w:r>
      <w:r>
        <w:rPr>
          <w:rFonts w:ascii="Arial" w:hAnsi="Arial"/>
          <w:b/>
          <w:spacing w:val="-3"/>
          <w:sz w:val="21"/>
        </w:rPr>
        <w:t xml:space="preserve"> </w:t>
      </w:r>
      <w:r>
        <w:rPr>
          <w:rFonts w:ascii="Arial" w:hAnsi="Arial"/>
          <w:b/>
          <w:sz w:val="21"/>
        </w:rPr>
        <w:t>Cost</w:t>
      </w:r>
      <w:r>
        <w:rPr>
          <w:rFonts w:ascii="Arial" w:hAnsi="Arial"/>
          <w:b/>
          <w:spacing w:val="-4"/>
          <w:sz w:val="21"/>
        </w:rPr>
        <w:t xml:space="preserve"> </w:t>
      </w:r>
      <w:r>
        <w:rPr>
          <w:rFonts w:ascii="Arial" w:hAnsi="Arial"/>
          <w:b/>
          <w:spacing w:val="-2"/>
          <w:sz w:val="21"/>
        </w:rPr>
        <w:t>Sharing</w:t>
      </w:r>
    </w:p>
    <w:p>
      <w:pPr>
        <w:pStyle w:val="BodyText"/>
        <w:spacing w:before="120"/>
        <w:ind w:left="1224" w:right="1481"/>
      </w:pPr>
      <w:r>
        <w:t>The</w:t>
      </w:r>
      <w:r>
        <w:rPr>
          <w:spacing w:val="-5"/>
        </w:rPr>
        <w:t xml:space="preserve"> </w:t>
      </w:r>
      <w:r>
        <w:t>PMPM</w:t>
      </w:r>
      <w:r>
        <w:rPr>
          <w:spacing w:val="-4"/>
        </w:rPr>
        <w:t xml:space="preserve"> </w:t>
      </w:r>
      <w:r>
        <w:t>is</w:t>
      </w:r>
      <w:r>
        <w:rPr>
          <w:spacing w:val="-3"/>
        </w:rPr>
        <w:t xml:space="preserve"> </w:t>
      </w:r>
      <w:r>
        <w:t>calculated</w:t>
      </w:r>
      <w:r>
        <w:rPr>
          <w:spacing w:val="-2"/>
        </w:rPr>
        <w:t xml:space="preserve"> </w:t>
      </w:r>
      <w:r>
        <w:t>automatically</w:t>
      </w:r>
      <w:r>
        <w:rPr>
          <w:spacing w:val="-3"/>
        </w:rPr>
        <w:t xml:space="preserve"> </w:t>
      </w:r>
      <w:r>
        <w:t>as</w:t>
      </w:r>
      <w:r>
        <w:rPr>
          <w:spacing w:val="-1"/>
        </w:rPr>
        <w:t xml:space="preserve"> </w:t>
      </w:r>
      <w:r>
        <w:t>the</w:t>
      </w:r>
      <w:r>
        <w:rPr>
          <w:spacing w:val="-3"/>
        </w:rPr>
        <w:t xml:space="preserve"> </w:t>
      </w:r>
      <w:r>
        <w:t>weighted</w:t>
      </w:r>
      <w:r>
        <w:rPr>
          <w:spacing w:val="-3"/>
        </w:rPr>
        <w:t xml:space="preserve"> </w:t>
      </w:r>
      <w:r>
        <w:t>average</w:t>
      </w:r>
      <w:r>
        <w:rPr>
          <w:spacing w:val="-4"/>
        </w:rPr>
        <w:t xml:space="preserve"> </w:t>
      </w:r>
      <w:r>
        <w:t>of</w:t>
      </w:r>
      <w:r>
        <w:rPr>
          <w:spacing w:val="-3"/>
        </w:rPr>
        <w:t xml:space="preserve"> </w:t>
      </w:r>
      <w:r>
        <w:t>subsections</w:t>
      </w:r>
      <w:r>
        <w:rPr>
          <w:spacing w:val="-2"/>
        </w:rPr>
        <w:t xml:space="preserve"> </w:t>
      </w:r>
      <w:r>
        <w:t>A</w:t>
      </w:r>
      <w:r>
        <w:rPr>
          <w:spacing w:val="-4"/>
        </w:rPr>
        <w:t xml:space="preserve"> </w:t>
      </w:r>
      <w:r>
        <w:t>and</w:t>
      </w:r>
      <w:r>
        <w:rPr>
          <w:spacing w:val="-3"/>
        </w:rPr>
        <w:t xml:space="preserve"> </w:t>
      </w:r>
      <w:r>
        <w:t>B, based on projected enrollment in Worksheet 5.</w:t>
      </w:r>
    </w:p>
    <w:p>
      <w:pPr>
        <w:spacing w:before="118"/>
        <w:ind w:left="1224" w:right="0" w:firstLine="0"/>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r</w:t>
      </w:r>
      <w:r>
        <w:rPr>
          <w:rFonts w:ascii="Arial" w:hAnsi="Arial"/>
          <w:b/>
          <w:spacing w:val="-6"/>
          <w:sz w:val="21"/>
        </w:rPr>
        <w:t xml:space="preserve"> </w:t>
      </w:r>
      <w:r>
        <w:rPr>
          <w:rFonts w:ascii="Arial" w:hAnsi="Arial"/>
          <w:b/>
          <w:sz w:val="21"/>
        </w:rPr>
        <w:t>–</w:t>
      </w:r>
      <w:r>
        <w:rPr>
          <w:rFonts w:ascii="Arial" w:hAnsi="Arial"/>
          <w:b/>
          <w:spacing w:val="-7"/>
          <w:sz w:val="21"/>
        </w:rPr>
        <w:t xml:space="preserve"> </w:t>
      </w:r>
      <w:r>
        <w:rPr>
          <w:rFonts w:ascii="Arial" w:hAnsi="Arial"/>
          <w:b/>
          <w:sz w:val="21"/>
        </w:rPr>
        <w:t>Total</w:t>
      </w:r>
      <w:r>
        <w:rPr>
          <w:rFonts w:ascii="Arial" w:hAnsi="Arial"/>
          <w:b/>
          <w:spacing w:val="-6"/>
          <w:sz w:val="21"/>
        </w:rPr>
        <w:t xml:space="preserve"> </w:t>
      </w:r>
      <w:r>
        <w:rPr>
          <w:rFonts w:ascii="Arial" w:hAnsi="Arial"/>
          <w:b/>
          <w:sz w:val="21"/>
        </w:rPr>
        <w:t>A/B</w:t>
      </w:r>
      <w:r>
        <w:rPr>
          <w:rFonts w:ascii="Arial" w:hAnsi="Arial"/>
          <w:b/>
          <w:spacing w:val="-4"/>
          <w:sz w:val="21"/>
        </w:rPr>
        <w:t xml:space="preserve"> </w:t>
      </w:r>
      <w:r>
        <w:rPr>
          <w:rFonts w:ascii="Arial" w:hAnsi="Arial"/>
          <w:b/>
          <w:sz w:val="21"/>
        </w:rPr>
        <w:t>Mandatory</w:t>
      </w:r>
      <w:r>
        <w:rPr>
          <w:rFonts w:ascii="Arial" w:hAnsi="Arial"/>
          <w:b/>
          <w:spacing w:val="-5"/>
          <w:sz w:val="21"/>
        </w:rPr>
        <w:t xml:space="preserve"> </w:t>
      </w:r>
      <w:r>
        <w:rPr>
          <w:rFonts w:ascii="Arial" w:hAnsi="Arial"/>
          <w:b/>
          <w:sz w:val="21"/>
        </w:rPr>
        <w:t>Supplemental</w:t>
      </w:r>
      <w:r>
        <w:rPr>
          <w:rFonts w:ascii="Arial" w:hAnsi="Arial"/>
          <w:b/>
          <w:spacing w:val="-8"/>
          <w:sz w:val="21"/>
        </w:rPr>
        <w:t xml:space="preserve"> </w:t>
      </w:r>
      <w:r>
        <w:rPr>
          <w:rFonts w:ascii="Arial" w:hAnsi="Arial"/>
          <w:b/>
          <w:spacing w:val="-2"/>
          <w:sz w:val="21"/>
        </w:rPr>
        <w:t>Benefits</w:t>
      </w:r>
    </w:p>
    <w:p>
      <w:pPr>
        <w:pStyle w:val="BodyText"/>
        <w:spacing w:before="121"/>
        <w:ind w:left="1224"/>
      </w:pPr>
      <w:r>
        <w:t>This</w:t>
      </w:r>
      <w:r>
        <w:rPr>
          <w:spacing w:val="-2"/>
        </w:rPr>
        <w:t xml:space="preserve"> </w:t>
      </w:r>
      <w:r>
        <w:t>column</w:t>
      </w:r>
      <w:r>
        <w:rPr>
          <w:spacing w:val="-1"/>
        </w:rPr>
        <w:t xml:space="preserve"> </w:t>
      </w:r>
      <w:r>
        <w:t>is</w:t>
      </w:r>
      <w:r>
        <w:rPr>
          <w:spacing w:val="-2"/>
        </w:rPr>
        <w:t xml:space="preserve"> </w:t>
      </w:r>
      <w:r>
        <w:t>calculated</w:t>
      </w:r>
      <w:r>
        <w:rPr>
          <w:spacing w:val="-1"/>
        </w:rPr>
        <w:t xml:space="preserve"> </w:t>
      </w:r>
      <w:r>
        <w:t>automatically</w:t>
      </w:r>
      <w:r>
        <w:rPr>
          <w:spacing w:val="-1"/>
        </w:rPr>
        <w:t xml:space="preserve"> </w:t>
      </w:r>
      <w:r>
        <w:t>as</w:t>
      </w:r>
      <w:r>
        <w:rPr>
          <w:spacing w:val="-2"/>
        </w:rPr>
        <w:t xml:space="preserve"> </w:t>
      </w:r>
      <w:r>
        <w:t>the</w:t>
      </w:r>
      <w:r>
        <w:rPr>
          <w:spacing w:val="-1"/>
        </w:rPr>
        <w:t xml:space="preserve"> </w:t>
      </w:r>
      <w:r>
        <w:t>sum</w:t>
      </w:r>
      <w:r>
        <w:rPr>
          <w:spacing w:val="-1"/>
        </w:rPr>
        <w:t xml:space="preserve"> </w:t>
      </w:r>
      <w:r>
        <w:t>of</w:t>
      </w:r>
      <w:r>
        <w:rPr>
          <w:spacing w:val="-1"/>
        </w:rPr>
        <w:t xml:space="preserve"> </w:t>
      </w:r>
      <w:r>
        <w:t>columns</w:t>
      </w:r>
      <w:r>
        <w:rPr>
          <w:spacing w:val="1"/>
        </w:rPr>
        <w:t xml:space="preserve"> </w:t>
      </w:r>
      <w:r>
        <w:t>p</w:t>
      </w:r>
      <w:r>
        <w:rPr>
          <w:spacing w:val="-1"/>
        </w:rPr>
        <w:t xml:space="preserve"> </w:t>
      </w:r>
      <w:r>
        <w:t>and</w:t>
      </w:r>
      <w:r>
        <w:rPr>
          <w:spacing w:val="-1"/>
        </w:rPr>
        <w:t xml:space="preserve"> </w:t>
      </w:r>
      <w:r>
        <w:rPr>
          <w:spacing w:val="-5"/>
        </w:rPr>
        <w:t>q.</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u</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Net</w:t>
      </w:r>
      <w:r>
        <w:rPr>
          <w:rFonts w:ascii="Arial" w:hAnsi="Arial"/>
          <w:b/>
          <w:spacing w:val="-7"/>
          <w:sz w:val="21"/>
        </w:rPr>
        <w:t xml:space="preserve"> </w:t>
      </w:r>
      <w:r>
        <w:rPr>
          <w:rFonts w:ascii="Arial" w:hAnsi="Arial"/>
          <w:b/>
          <w:sz w:val="21"/>
        </w:rPr>
        <w:t>PMPM</w:t>
      </w:r>
      <w:r>
        <w:rPr>
          <w:rFonts w:ascii="Arial" w:hAnsi="Arial"/>
          <w:b/>
          <w:spacing w:val="-6"/>
          <w:sz w:val="21"/>
        </w:rPr>
        <w:t xml:space="preserve"> </w:t>
      </w:r>
      <w:r>
        <w:rPr>
          <w:rFonts w:ascii="Arial" w:hAnsi="Arial"/>
          <w:b/>
          <w:sz w:val="21"/>
        </w:rPr>
        <w:t>for</w:t>
      </w:r>
      <w:r>
        <w:rPr>
          <w:rFonts w:ascii="Arial" w:hAnsi="Arial"/>
          <w:b/>
          <w:spacing w:val="-3"/>
          <w:sz w:val="21"/>
        </w:rPr>
        <w:t xml:space="preserve"> </w:t>
      </w:r>
      <w:r>
        <w:rPr>
          <w:rFonts w:ascii="Arial" w:hAnsi="Arial"/>
          <w:b/>
          <w:sz w:val="21"/>
        </w:rPr>
        <w:t>Projected</w:t>
      </w:r>
      <w:r>
        <w:rPr>
          <w:rFonts w:ascii="Arial" w:hAnsi="Arial"/>
          <w:b/>
          <w:spacing w:val="-6"/>
          <w:sz w:val="21"/>
        </w:rPr>
        <w:t xml:space="preserve"> </w:t>
      </w:r>
      <w:r>
        <w:rPr>
          <w:rFonts w:ascii="Arial" w:hAnsi="Arial"/>
          <w:b/>
          <w:sz w:val="21"/>
        </w:rPr>
        <w:t>Risk-Sharing</w:t>
      </w:r>
      <w:r>
        <w:rPr>
          <w:rFonts w:ascii="Arial" w:hAnsi="Arial"/>
          <w:b/>
          <w:spacing w:val="-3"/>
          <w:sz w:val="21"/>
        </w:rPr>
        <w:t xml:space="preserve"> </w:t>
      </w:r>
      <w:r>
        <w:rPr>
          <w:rFonts w:ascii="Arial" w:hAnsi="Arial"/>
          <w:b/>
          <w:spacing w:val="-2"/>
          <w:sz w:val="21"/>
        </w:rPr>
        <w:t>Payments</w:t>
      </w:r>
    </w:p>
    <w:p>
      <w:pPr>
        <w:pStyle w:val="BodyText"/>
        <w:spacing w:before="120"/>
        <w:ind w:left="1224" w:right="1481"/>
      </w:pPr>
      <w:r>
        <w:t>Enter the net PMPM for projected risk-sharing arrangement payments by service category for the total benefits. The amount entered in this column is a subset of the automatically calculated amounts in Section II, Subsection C, column h, and may be positive or negative depending on the direction of the payment. For example, if the payment</w:t>
      </w:r>
      <w:r>
        <w:rPr>
          <w:spacing w:val="-3"/>
        </w:rPr>
        <w:t xml:space="preserve"> </w:t>
      </w:r>
      <w:r>
        <w:t>was</w:t>
      </w:r>
      <w:r>
        <w:rPr>
          <w:spacing w:val="-4"/>
        </w:rPr>
        <w:t xml:space="preserve"> </w:t>
      </w:r>
      <w:r>
        <w:t>made</w:t>
      </w:r>
      <w:r>
        <w:rPr>
          <w:spacing w:val="-2"/>
        </w:rPr>
        <w:t xml:space="preserve"> </w:t>
      </w:r>
      <w:r>
        <w:t>from</w:t>
      </w:r>
      <w:r>
        <w:rPr>
          <w:spacing w:val="-1"/>
        </w:rPr>
        <w:t xml:space="preserve"> </w:t>
      </w:r>
      <w:r>
        <w:t>the</w:t>
      </w:r>
      <w:r>
        <w:rPr>
          <w:spacing w:val="-3"/>
        </w:rPr>
        <w:t xml:space="preserve"> </w:t>
      </w:r>
      <w:r>
        <w:t>plan</w:t>
      </w:r>
      <w:r>
        <w:rPr>
          <w:spacing w:val="-3"/>
        </w:rPr>
        <w:t xml:space="preserve"> </w:t>
      </w:r>
      <w:r>
        <w:t>sponsor</w:t>
      </w:r>
      <w:r>
        <w:rPr>
          <w:spacing w:val="-3"/>
        </w:rPr>
        <w:t xml:space="preserve"> </w:t>
      </w:r>
      <w:r>
        <w:t>to</w:t>
      </w:r>
      <w:r>
        <w:rPr>
          <w:spacing w:val="-3"/>
        </w:rPr>
        <w:t xml:space="preserve"> </w:t>
      </w:r>
      <w:r>
        <w:t>the</w:t>
      </w:r>
      <w:r>
        <w:rPr>
          <w:spacing w:val="-3"/>
        </w:rPr>
        <w:t xml:space="preserve"> </w:t>
      </w:r>
      <w:r>
        <w:t>provider</w:t>
      </w:r>
      <w:r>
        <w:rPr>
          <w:spacing w:val="-5"/>
        </w:rPr>
        <w:t xml:space="preserve"> </w:t>
      </w:r>
      <w:r>
        <w:t>the</w:t>
      </w:r>
      <w:r>
        <w:rPr>
          <w:spacing w:val="-3"/>
        </w:rPr>
        <w:t xml:space="preserve"> </w:t>
      </w:r>
      <w:r>
        <w:t>amount</w:t>
      </w:r>
      <w:r>
        <w:rPr>
          <w:spacing w:val="-3"/>
        </w:rPr>
        <w:t xml:space="preserve"> </w:t>
      </w:r>
      <w:r>
        <w:t>would</w:t>
      </w:r>
      <w:r>
        <w:rPr>
          <w:spacing w:val="-1"/>
        </w:rPr>
        <w:t xml:space="preserve"> </w:t>
      </w:r>
      <w:r>
        <w:t>be</w:t>
      </w:r>
      <w:r>
        <w:rPr>
          <w:spacing w:val="-4"/>
        </w:rPr>
        <w:t xml:space="preserve"> </w:t>
      </w:r>
      <w:r>
        <w:t>positive, whereas if the payment was made from the provider to the plan sponsor the amount would be negative. Do not include salaries, fee-for-service payments, capitations, or returned withholds in column u. Line t is set equal to zero.</w:t>
      </w:r>
    </w:p>
    <w:p>
      <w:pPr>
        <w:spacing w:before="241"/>
        <w:ind w:left="504" w:right="0" w:firstLine="0"/>
        <w:jc w:val="left"/>
        <w:rPr>
          <w:rFonts w:ascii="Arial" w:hAnsi="Arial"/>
          <w:b/>
          <w:sz w:val="21"/>
        </w:rPr>
      </w:pPr>
      <w:bookmarkStart w:id="198" w:name="Line r – ESRD"/>
      <w:bookmarkEnd w:id="198"/>
      <w:r>
        <w:rPr>
          <w:rFonts w:ascii="Arial" w:hAnsi="Arial"/>
          <w:b/>
          <w:sz w:val="21"/>
        </w:rPr>
        <w:t>Line</w:t>
      </w:r>
      <w:r>
        <w:rPr>
          <w:rFonts w:ascii="Arial" w:hAnsi="Arial"/>
          <w:b/>
          <w:spacing w:val="-2"/>
          <w:sz w:val="21"/>
        </w:rPr>
        <w:t xml:space="preserve"> </w:t>
      </w:r>
      <w:r>
        <w:rPr>
          <w:rFonts w:ascii="Arial" w:hAnsi="Arial"/>
          <w:b/>
          <w:sz w:val="21"/>
        </w:rPr>
        <w:t>r</w:t>
      </w:r>
      <w:r>
        <w:rPr>
          <w:rFonts w:ascii="Arial" w:hAnsi="Arial"/>
          <w:b/>
          <w:spacing w:val="-3"/>
          <w:sz w:val="21"/>
        </w:rPr>
        <w:t xml:space="preserve"> </w:t>
      </w:r>
      <w:r>
        <w:rPr>
          <w:rFonts w:ascii="Arial" w:hAnsi="Arial"/>
          <w:b/>
          <w:sz w:val="21"/>
        </w:rPr>
        <w:t>–</w:t>
      </w:r>
      <w:r>
        <w:rPr>
          <w:rFonts w:ascii="Arial" w:hAnsi="Arial"/>
          <w:b/>
          <w:spacing w:val="-2"/>
          <w:sz w:val="21"/>
        </w:rPr>
        <w:t xml:space="preserve"> </w:t>
      </w:r>
      <w:r>
        <w:rPr>
          <w:rFonts w:ascii="Arial" w:hAnsi="Arial"/>
          <w:b/>
          <w:spacing w:val="-4"/>
          <w:sz w:val="21"/>
        </w:rPr>
        <w:t>ESRD</w:t>
      </w:r>
    </w:p>
    <w:p>
      <w:pPr>
        <w:pStyle w:val="BodyText"/>
        <w:spacing w:before="121"/>
      </w:pPr>
      <w:r>
        <w:t>This</w:t>
      </w:r>
      <w:r>
        <w:rPr>
          <w:spacing w:val="-5"/>
        </w:rPr>
        <w:t xml:space="preserve"> </w:t>
      </w:r>
      <w:r>
        <w:t>line</w:t>
      </w:r>
      <w:r>
        <w:rPr>
          <w:spacing w:val="-1"/>
        </w:rPr>
        <w:t xml:space="preserve"> </w:t>
      </w:r>
      <w:r>
        <w:t>is</w:t>
      </w:r>
      <w:r>
        <w:rPr>
          <w:spacing w:val="-2"/>
        </w:rPr>
        <w:t xml:space="preserve"> </w:t>
      </w:r>
      <w:r>
        <w:t>populated</w:t>
      </w:r>
      <w:r>
        <w:rPr>
          <w:spacing w:val="-1"/>
        </w:rPr>
        <w:t xml:space="preserve"> </w:t>
      </w:r>
      <w:r>
        <w:t>based</w:t>
      </w:r>
      <w:r>
        <w:rPr>
          <w:spacing w:val="-1"/>
        </w:rPr>
        <w:t xml:space="preserve"> </w:t>
      </w:r>
      <w:r>
        <w:t>on Section</w:t>
      </w:r>
      <w:r>
        <w:rPr>
          <w:spacing w:val="1"/>
        </w:rPr>
        <w:t xml:space="preserve"> </w:t>
      </w:r>
      <w:r>
        <w:t>III</w:t>
      </w:r>
      <w:r>
        <w:rPr>
          <w:spacing w:val="-2"/>
        </w:rPr>
        <w:t xml:space="preserve"> </w:t>
      </w:r>
      <w:r>
        <w:t>(except line</w:t>
      </w:r>
      <w:r>
        <w:rPr>
          <w:spacing w:val="-2"/>
        </w:rPr>
        <w:t xml:space="preserve"> </w:t>
      </w:r>
      <w:r>
        <w:t>r,</w:t>
      </w:r>
      <w:r>
        <w:rPr>
          <w:spacing w:val="-1"/>
        </w:rPr>
        <w:t xml:space="preserve"> </w:t>
      </w:r>
      <w:r>
        <w:t>column</w:t>
      </w:r>
      <w:r>
        <w:rPr>
          <w:spacing w:val="-1"/>
        </w:rPr>
        <w:t xml:space="preserve"> </w:t>
      </w:r>
      <w:r>
        <w:t>u,</w:t>
      </w:r>
      <w:r>
        <w:rPr>
          <w:spacing w:val="-1"/>
        </w:rPr>
        <w:t xml:space="preserve"> </w:t>
      </w:r>
      <w:r>
        <w:t>which</w:t>
      </w:r>
      <w:r>
        <w:rPr>
          <w:spacing w:val="-1"/>
        </w:rPr>
        <w:t xml:space="preserve"> </w:t>
      </w:r>
      <w:r>
        <w:t>is</w:t>
      </w:r>
      <w:r>
        <w:rPr>
          <w:spacing w:val="-2"/>
        </w:rPr>
        <w:t xml:space="preserve"> </w:t>
      </w:r>
      <w:r>
        <w:t>set</w:t>
      </w:r>
      <w:r>
        <w:rPr>
          <w:spacing w:val="-1"/>
        </w:rPr>
        <w:t xml:space="preserve"> </w:t>
      </w:r>
      <w:r>
        <w:t>equal</w:t>
      </w:r>
      <w:r>
        <w:rPr>
          <w:spacing w:val="-1"/>
        </w:rPr>
        <w:t xml:space="preserve"> </w:t>
      </w:r>
      <w:r>
        <w:t>to</w:t>
      </w:r>
      <w:r>
        <w:rPr>
          <w:spacing w:val="-1"/>
        </w:rPr>
        <w:t xml:space="preserve"> </w:t>
      </w:r>
      <w:r>
        <w:rPr>
          <w:spacing w:val="-2"/>
        </w:rPr>
        <w:t>zero).</w:t>
      </w:r>
    </w:p>
    <w:p>
      <w:pPr>
        <w:spacing w:before="240"/>
        <w:ind w:left="504" w:right="0" w:firstLine="0"/>
        <w:jc w:val="left"/>
        <w:rPr>
          <w:rFonts w:ascii="Arial"/>
          <w:b/>
          <w:sz w:val="21"/>
        </w:rPr>
      </w:pPr>
      <w:bookmarkStart w:id="199" w:name="Line s"/>
      <w:bookmarkEnd w:id="199"/>
      <w:r>
        <w:rPr>
          <w:rFonts w:ascii="Arial"/>
          <w:b/>
          <w:sz w:val="21"/>
        </w:rPr>
        <w:t>Line</w:t>
      </w:r>
      <w:r>
        <w:rPr>
          <w:rFonts w:ascii="Arial"/>
          <w:b/>
          <w:spacing w:val="-4"/>
          <w:sz w:val="21"/>
        </w:rPr>
        <w:t xml:space="preserve"> </w:t>
      </w:r>
      <w:r>
        <w:rPr>
          <w:rFonts w:ascii="Arial"/>
          <w:b/>
          <w:spacing w:val="-10"/>
          <w:sz w:val="21"/>
        </w:rPr>
        <w:t>s</w:t>
      </w:r>
    </w:p>
    <w:p>
      <w:pPr>
        <w:pStyle w:val="BodyText"/>
        <w:spacing w:before="118"/>
      </w:pPr>
      <w:r>
        <w:t>For</w:t>
      </w:r>
      <w:r>
        <w:rPr>
          <w:spacing w:val="-2"/>
        </w:rPr>
        <w:t xml:space="preserve"> </w:t>
      </w:r>
      <w:r>
        <w:t>future</w:t>
      </w:r>
      <w:r>
        <w:rPr>
          <w:spacing w:val="-2"/>
        </w:rPr>
        <w:t xml:space="preserve"> </w:t>
      </w:r>
      <w:r>
        <w:rPr>
          <w:spacing w:val="-4"/>
        </w:rPr>
        <w:t>use.</w:t>
      </w:r>
    </w:p>
    <w:p>
      <w:pPr>
        <w:spacing w:before="241"/>
        <w:ind w:left="504" w:right="0" w:firstLine="0"/>
        <w:jc w:val="left"/>
        <w:rPr>
          <w:rFonts w:ascii="Arial" w:hAnsi="Arial"/>
          <w:b/>
          <w:sz w:val="21"/>
        </w:rPr>
      </w:pPr>
      <w:bookmarkStart w:id="200" w:name="Line u – Total Medical Expenses"/>
      <w:bookmarkEnd w:id="200"/>
      <w:r>
        <w:rPr>
          <w:rFonts w:ascii="Arial" w:hAnsi="Arial"/>
          <w:b/>
          <w:sz w:val="21"/>
        </w:rPr>
        <w:t>Line</w:t>
      </w:r>
      <w:r>
        <w:rPr>
          <w:rFonts w:ascii="Arial" w:hAnsi="Arial"/>
          <w:b/>
          <w:spacing w:val="-3"/>
          <w:sz w:val="21"/>
        </w:rPr>
        <w:t xml:space="preserve"> </w:t>
      </w:r>
      <w:r>
        <w:rPr>
          <w:rFonts w:ascii="Arial" w:hAnsi="Arial"/>
          <w:b/>
          <w:sz w:val="21"/>
        </w:rPr>
        <w:t>u</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Total</w:t>
      </w:r>
      <w:r>
        <w:rPr>
          <w:rFonts w:ascii="Arial" w:hAnsi="Arial"/>
          <w:b/>
          <w:spacing w:val="-4"/>
          <w:sz w:val="21"/>
        </w:rPr>
        <w:t xml:space="preserve"> </w:t>
      </w:r>
      <w:r>
        <w:rPr>
          <w:rFonts w:ascii="Arial" w:hAnsi="Arial"/>
          <w:b/>
          <w:sz w:val="21"/>
        </w:rPr>
        <w:t>Medical</w:t>
      </w:r>
      <w:r>
        <w:rPr>
          <w:rFonts w:ascii="Arial" w:hAnsi="Arial"/>
          <w:b/>
          <w:spacing w:val="-3"/>
          <w:sz w:val="21"/>
        </w:rPr>
        <w:t xml:space="preserve"> </w:t>
      </w:r>
      <w:r>
        <w:rPr>
          <w:rFonts w:ascii="Arial" w:hAnsi="Arial"/>
          <w:b/>
          <w:spacing w:val="-2"/>
          <w:sz w:val="21"/>
        </w:rPr>
        <w:t>Expenses</w:t>
      </w:r>
    </w:p>
    <w:p>
      <w:pPr>
        <w:pStyle w:val="BodyText"/>
        <w:spacing w:before="120"/>
        <w:ind w:right="1963"/>
        <w:jc w:val="both"/>
      </w:pPr>
      <w:r>
        <w:t>The</w:t>
      </w:r>
      <w:r>
        <w:rPr>
          <w:spacing w:val="-1"/>
        </w:rPr>
        <w:t xml:space="preserve"> </w:t>
      </w:r>
      <w:r>
        <w:t>total medical expense is the sum of lines a through t. The value in column o is the net medical</w:t>
      </w:r>
      <w:r>
        <w:rPr>
          <w:spacing w:val="-3"/>
        </w:rPr>
        <w:t xml:space="preserve"> </w:t>
      </w:r>
      <w:r>
        <w:t>cost</w:t>
      </w:r>
      <w:r>
        <w:rPr>
          <w:spacing w:val="-3"/>
        </w:rPr>
        <w:t xml:space="preserve"> </w:t>
      </w:r>
      <w:r>
        <w:t>included</w:t>
      </w:r>
      <w:r>
        <w:rPr>
          <w:spacing w:val="-3"/>
        </w:rPr>
        <w:t xml:space="preserve"> </w:t>
      </w:r>
      <w:r>
        <w:t>in</w:t>
      </w:r>
      <w:r>
        <w:rPr>
          <w:spacing w:val="-1"/>
        </w:rPr>
        <w:t xml:space="preserve"> </w:t>
      </w:r>
      <w:r>
        <w:t>the</w:t>
      </w:r>
      <w:r>
        <w:rPr>
          <w:spacing w:val="-3"/>
        </w:rPr>
        <w:t xml:space="preserve"> </w:t>
      </w:r>
      <w:r>
        <w:t>“Plan</w:t>
      </w:r>
      <w:r>
        <w:rPr>
          <w:spacing w:val="-3"/>
        </w:rPr>
        <w:t xml:space="preserve"> </w:t>
      </w:r>
      <w:r>
        <w:t>A/B</w:t>
      </w:r>
      <w:r>
        <w:rPr>
          <w:spacing w:val="-3"/>
        </w:rPr>
        <w:t xml:space="preserve"> </w:t>
      </w:r>
      <w:r>
        <w:t>Bid.”</w:t>
      </w:r>
      <w:r>
        <w:rPr>
          <w:spacing w:val="-3"/>
        </w:rPr>
        <w:t xml:space="preserve"> </w:t>
      </w:r>
      <w:r>
        <w:t>The</w:t>
      </w:r>
      <w:r>
        <w:rPr>
          <w:spacing w:val="-4"/>
        </w:rPr>
        <w:t xml:space="preserve"> </w:t>
      </w:r>
      <w:r>
        <w:t>value</w:t>
      </w:r>
      <w:r>
        <w:rPr>
          <w:spacing w:val="-3"/>
        </w:rPr>
        <w:t xml:space="preserve"> </w:t>
      </w:r>
      <w:r>
        <w:t>in</w:t>
      </w:r>
      <w:r>
        <w:rPr>
          <w:spacing w:val="-3"/>
        </w:rPr>
        <w:t xml:space="preserve"> </w:t>
      </w:r>
      <w:r>
        <w:t>column</w:t>
      </w:r>
      <w:r>
        <w:rPr>
          <w:spacing w:val="-3"/>
        </w:rPr>
        <w:t xml:space="preserve"> </w:t>
      </w:r>
      <w:r>
        <w:t>r</w:t>
      </w:r>
      <w:r>
        <w:rPr>
          <w:spacing w:val="-3"/>
        </w:rPr>
        <w:t xml:space="preserve"> </w:t>
      </w:r>
      <w:r>
        <w:t>is</w:t>
      </w:r>
      <w:r>
        <w:rPr>
          <w:spacing w:val="-3"/>
        </w:rPr>
        <w:t xml:space="preserve"> </w:t>
      </w:r>
      <w:r>
        <w:t>the</w:t>
      </w:r>
      <w:r>
        <w:rPr>
          <w:spacing w:val="-3"/>
        </w:rPr>
        <w:t xml:space="preserve"> </w:t>
      </w:r>
      <w:r>
        <w:t>net</w:t>
      </w:r>
      <w:r>
        <w:rPr>
          <w:spacing w:val="-3"/>
        </w:rPr>
        <w:t xml:space="preserve"> </w:t>
      </w:r>
      <w:r>
        <w:t>medical</w:t>
      </w:r>
      <w:r>
        <w:rPr>
          <w:spacing w:val="-3"/>
        </w:rPr>
        <w:t xml:space="preserve"> </w:t>
      </w:r>
      <w:r>
        <w:t>cost included in the A/B mandatory supplemental premium.</w:t>
      </w:r>
    </w:p>
    <w:p>
      <w:pPr>
        <w:spacing w:before="241"/>
        <w:ind w:left="504" w:right="0" w:firstLine="0"/>
        <w:jc w:val="left"/>
        <w:rPr>
          <w:rFonts w:ascii="Arial" w:hAnsi="Arial"/>
          <w:b/>
          <w:sz w:val="21"/>
        </w:rPr>
      </w:pPr>
      <w:bookmarkStart w:id="201" w:name="Line v – Non-Benefit Expenses"/>
      <w:bookmarkEnd w:id="201"/>
      <w:r>
        <w:rPr>
          <w:rFonts w:ascii="Arial" w:hAnsi="Arial"/>
          <w:b/>
          <w:sz w:val="21"/>
        </w:rPr>
        <w:t>Line</w:t>
      </w:r>
      <w:r>
        <w:rPr>
          <w:rFonts w:ascii="Arial" w:hAnsi="Arial"/>
          <w:b/>
          <w:spacing w:val="-5"/>
          <w:sz w:val="21"/>
        </w:rPr>
        <w:t xml:space="preserve"> </w:t>
      </w:r>
      <w:r>
        <w:rPr>
          <w:rFonts w:ascii="Arial" w:hAnsi="Arial"/>
          <w:b/>
          <w:sz w:val="21"/>
        </w:rPr>
        <w:t>v</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Non-Benefit</w:t>
      </w:r>
      <w:r>
        <w:rPr>
          <w:rFonts w:ascii="Arial" w:hAnsi="Arial"/>
          <w:b/>
          <w:spacing w:val="-4"/>
          <w:sz w:val="21"/>
        </w:rPr>
        <w:t xml:space="preserve"> </w:t>
      </w:r>
      <w:r>
        <w:rPr>
          <w:rFonts w:ascii="Arial" w:hAnsi="Arial"/>
          <w:b/>
          <w:spacing w:val="-2"/>
          <w:sz w:val="21"/>
        </w:rPr>
        <w:t>Expenses</w:t>
      </w:r>
    </w:p>
    <w:p>
      <w:pPr>
        <w:pStyle w:val="BodyText"/>
        <w:spacing w:before="118"/>
        <w:ind w:right="1481"/>
      </w:pPr>
      <w:r>
        <w:t>Enter</w:t>
      </w:r>
      <w:r>
        <w:rPr>
          <w:spacing w:val="-3"/>
        </w:rPr>
        <w:t xml:space="preserve"> </w:t>
      </w:r>
      <w:r>
        <w:t>the</w:t>
      </w:r>
      <w:r>
        <w:rPr>
          <w:spacing w:val="-5"/>
        </w:rPr>
        <w:t xml:space="preserve"> </w:t>
      </w:r>
      <w:r>
        <w:t>non-benefit</w:t>
      </w:r>
      <w:r>
        <w:rPr>
          <w:spacing w:val="-3"/>
        </w:rPr>
        <w:t xml:space="preserve"> </w:t>
      </w:r>
      <w:r>
        <w:t>expense</w:t>
      </w:r>
      <w:r>
        <w:rPr>
          <w:spacing w:val="-4"/>
        </w:rPr>
        <w:t xml:space="preserve"> </w:t>
      </w:r>
      <w:r>
        <w:t>information</w:t>
      </w:r>
      <w:r>
        <w:rPr>
          <w:spacing w:val="-3"/>
        </w:rPr>
        <w:t xml:space="preserve"> </w:t>
      </w:r>
      <w:r>
        <w:t>for</w:t>
      </w:r>
      <w:r>
        <w:rPr>
          <w:spacing w:val="-4"/>
        </w:rPr>
        <w:t xml:space="preserve"> </w:t>
      </w:r>
      <w:r>
        <w:t>total</w:t>
      </w:r>
      <w:r>
        <w:rPr>
          <w:spacing w:val="-1"/>
        </w:rPr>
        <w:t xml:space="preserve"> </w:t>
      </w:r>
      <w:r>
        <w:t>MA</w:t>
      </w:r>
      <w:r>
        <w:rPr>
          <w:spacing w:val="-4"/>
        </w:rPr>
        <w:t xml:space="preserve"> </w:t>
      </w:r>
      <w:r>
        <w:t>benefits</w:t>
      </w:r>
      <w:r>
        <w:rPr>
          <w:spacing w:val="-4"/>
        </w:rPr>
        <w:t xml:space="preserve"> </w:t>
      </w:r>
      <w:r>
        <w:t>in</w:t>
      </w:r>
      <w:r>
        <w:rPr>
          <w:spacing w:val="-3"/>
        </w:rPr>
        <w:t xml:space="preserve"> </w:t>
      </w:r>
      <w:r>
        <w:t>column</w:t>
      </w:r>
      <w:r>
        <w:rPr>
          <w:spacing w:val="-1"/>
        </w:rPr>
        <w:t xml:space="preserve"> </w:t>
      </w:r>
      <w:r>
        <w:t>h</w:t>
      </w:r>
      <w:r>
        <w:rPr>
          <w:spacing w:val="-3"/>
        </w:rPr>
        <w:t xml:space="preserve"> </w:t>
      </w:r>
      <w:r>
        <w:t>for</w:t>
      </w:r>
      <w:r>
        <w:rPr>
          <w:spacing w:val="-5"/>
        </w:rPr>
        <w:t xml:space="preserve"> </w:t>
      </w:r>
      <w:r>
        <w:t>each</w:t>
      </w:r>
      <w:r>
        <w:rPr>
          <w:spacing w:val="-3"/>
        </w:rPr>
        <w:t xml:space="preserve"> </w:t>
      </w:r>
      <w:r>
        <w:t>of</w:t>
      </w:r>
      <w:r>
        <w:rPr>
          <w:spacing w:val="-3"/>
        </w:rPr>
        <w:t xml:space="preserve"> </w:t>
      </w:r>
      <w:r>
        <w:t xml:space="preserve">the </w:t>
      </w:r>
      <w:r>
        <w:rPr>
          <w:spacing w:val="-2"/>
        </w:rPr>
        <w:t>categories.</w:t>
      </w:r>
    </w:p>
    <w:p>
      <w:pPr>
        <w:pStyle w:val="BodyText"/>
        <w:spacing w:before="120"/>
        <w:ind w:right="1481"/>
      </w:pPr>
      <w:r>
        <w:t>The</w:t>
      </w:r>
      <w:r>
        <w:rPr>
          <w:spacing w:val="-7"/>
        </w:rPr>
        <w:t xml:space="preserve"> </w:t>
      </w:r>
      <w:r>
        <w:t>worksheet</w:t>
      </w:r>
      <w:r>
        <w:rPr>
          <w:spacing w:val="-5"/>
        </w:rPr>
        <w:t xml:space="preserve"> </w:t>
      </w:r>
      <w:r>
        <w:t>distributes</w:t>
      </w:r>
      <w:r>
        <w:rPr>
          <w:spacing w:val="-6"/>
        </w:rPr>
        <w:t xml:space="preserve"> </w:t>
      </w:r>
      <w:r>
        <w:t>the</w:t>
      </w:r>
      <w:r>
        <w:rPr>
          <w:spacing w:val="-5"/>
        </w:rPr>
        <w:t xml:space="preserve"> </w:t>
      </w:r>
      <w:r>
        <w:t>non-benefit</w:t>
      </w:r>
      <w:r>
        <w:rPr>
          <w:spacing w:val="-5"/>
        </w:rPr>
        <w:t xml:space="preserve"> </w:t>
      </w:r>
      <w:r>
        <w:t>expenses</w:t>
      </w:r>
      <w:r>
        <w:rPr>
          <w:spacing w:val="-6"/>
        </w:rPr>
        <w:t xml:space="preserve"> </w:t>
      </w:r>
      <w:r>
        <w:t>proportionately</w:t>
      </w:r>
      <w:r>
        <w:rPr>
          <w:spacing w:val="-5"/>
        </w:rPr>
        <w:t xml:space="preserve"> </w:t>
      </w:r>
      <w:r>
        <w:t>between</w:t>
      </w:r>
      <w:r>
        <w:rPr>
          <w:spacing w:val="-5"/>
        </w:rPr>
        <w:t xml:space="preserve"> </w:t>
      </w:r>
      <w:r>
        <w:t>Medicare-covered services (column o) and A/B mandatory supplemental benefits (column r) for each category.</w:t>
      </w:r>
    </w:p>
    <w:p>
      <w:pPr>
        <w:pStyle w:val="BodyText"/>
        <w:spacing w:before="120"/>
      </w:pPr>
      <w:r>
        <w:t>Within</w:t>
      </w:r>
      <w:r>
        <w:rPr>
          <w:spacing w:val="-3"/>
        </w:rPr>
        <w:t xml:space="preserve"> </w:t>
      </w:r>
      <w:r>
        <w:t>A/B</w:t>
      </w:r>
      <w:r>
        <w:rPr>
          <w:spacing w:val="-1"/>
        </w:rPr>
        <w:t xml:space="preserve"> </w:t>
      </w:r>
      <w:r>
        <w:t>mandatory supplemental</w:t>
      </w:r>
      <w:r>
        <w:rPr>
          <w:spacing w:val="-1"/>
        </w:rPr>
        <w:t xml:space="preserve"> </w:t>
      </w:r>
      <w:r>
        <w:t>benefits, non-benefit</w:t>
      </w:r>
      <w:r>
        <w:rPr>
          <w:spacing w:val="-1"/>
        </w:rPr>
        <w:t xml:space="preserve"> </w:t>
      </w:r>
      <w:r>
        <w:t>expenses</w:t>
      </w:r>
      <w:r>
        <w:rPr>
          <w:spacing w:val="-1"/>
        </w:rPr>
        <w:t xml:space="preserve"> </w:t>
      </w:r>
      <w:r>
        <w:t>are</w:t>
      </w:r>
      <w:r>
        <w:rPr>
          <w:spacing w:val="-3"/>
        </w:rPr>
        <w:t xml:space="preserve"> </w:t>
      </w:r>
      <w:r>
        <w:t xml:space="preserve">also </w:t>
      </w:r>
      <w:r>
        <w:rPr>
          <w:spacing w:val="-2"/>
        </w:rPr>
        <w:t>distributed</w:t>
      </w:r>
    </w:p>
    <w:p>
      <w:pPr>
        <w:pStyle w:val="BodyText"/>
      </w:pPr>
      <w:r>
        <w:t>between “Additional</w:t>
      </w:r>
      <w:r>
        <w:rPr>
          <w:spacing w:val="-1"/>
        </w:rPr>
        <w:t xml:space="preserve"> </w:t>
      </w:r>
      <w:r>
        <w:t>Services”</w:t>
      </w:r>
      <w:r>
        <w:rPr>
          <w:spacing w:val="-2"/>
        </w:rPr>
        <w:t xml:space="preserve"> </w:t>
      </w:r>
      <w:r>
        <w:t>(column p)</w:t>
      </w:r>
      <w:r>
        <w:rPr>
          <w:spacing w:val="-1"/>
        </w:rPr>
        <w:t xml:space="preserve"> </w:t>
      </w:r>
      <w:r>
        <w:t>and</w:t>
      </w:r>
      <w:r>
        <w:rPr>
          <w:spacing w:val="-1"/>
        </w:rPr>
        <w:t xml:space="preserve"> </w:t>
      </w:r>
      <w:r>
        <w:t>“Reduction</w:t>
      </w:r>
      <w:r>
        <w:rPr>
          <w:spacing w:val="-1"/>
        </w:rPr>
        <w:t xml:space="preserve"> </w:t>
      </w:r>
      <w:r>
        <w:t>of</w:t>
      </w:r>
      <w:r>
        <w:rPr>
          <w:spacing w:val="-1"/>
        </w:rPr>
        <w:t xml:space="preserve"> </w:t>
      </w:r>
      <w:r>
        <w:t>A/B</w:t>
      </w:r>
      <w:r>
        <w:rPr>
          <w:spacing w:val="-1"/>
        </w:rPr>
        <w:t xml:space="preserve"> </w:t>
      </w:r>
      <w:r>
        <w:t>Cost</w:t>
      </w:r>
      <w:r>
        <w:rPr>
          <w:spacing w:val="-1"/>
        </w:rPr>
        <w:t xml:space="preserve"> </w:t>
      </w:r>
      <w:r>
        <w:t>Sharing”</w:t>
      </w:r>
      <w:r>
        <w:rPr>
          <w:spacing w:val="-3"/>
        </w:rPr>
        <w:t xml:space="preserve"> </w:t>
      </w:r>
      <w:r>
        <w:t xml:space="preserve">(column </w:t>
      </w:r>
      <w:r>
        <w:rPr>
          <w:spacing w:val="-5"/>
        </w:rPr>
        <w:t>q).</w:t>
      </w:r>
    </w:p>
    <w:p>
      <w:pPr>
        <w:pStyle w:val="BodyText"/>
        <w:spacing w:after="0"/>
        <w:sectPr>
          <w:pgSz w:w="12240" w:h="15840"/>
          <w:pgMar w:top="960" w:right="0" w:bottom="940" w:left="1080" w:header="727" w:footer="747"/>
          <w:cols w:space="720"/>
        </w:sectPr>
      </w:pPr>
    </w:p>
    <w:p>
      <w:pPr>
        <w:pStyle w:val="BodyText"/>
        <w:spacing w:before="225"/>
        <w:ind w:left="0"/>
        <w:rPr>
          <w:sz w:val="21"/>
        </w:rPr>
      </w:pPr>
    </w:p>
    <w:p>
      <w:pPr>
        <w:pStyle w:val="ListParagraph"/>
        <w:numPr>
          <w:ilvl w:val="0"/>
          <w:numId w:val="43"/>
        </w:numPr>
        <w:tabs>
          <w:tab w:val="left" w:pos="1223"/>
        </w:tabs>
        <w:spacing w:before="0" w:after="0" w:line="240" w:lineRule="auto"/>
        <w:ind w:left="1223" w:right="0" w:hanging="359"/>
        <w:jc w:val="left"/>
        <w:rPr>
          <w:rFonts w:ascii="Arial" w:hAnsi="Arial"/>
          <w:b/>
          <w:sz w:val="21"/>
        </w:rPr>
      </w:pPr>
      <w:r>
        <w:rPr>
          <w:rFonts w:ascii="Arial" w:hAnsi="Arial"/>
          <w:b/>
          <w:sz w:val="21"/>
        </w:rPr>
        <w:t>Lines</w:t>
      </w:r>
      <w:r>
        <w:rPr>
          <w:rFonts w:ascii="Arial" w:hAnsi="Arial"/>
          <w:b/>
          <w:spacing w:val="-6"/>
          <w:sz w:val="21"/>
        </w:rPr>
        <w:t xml:space="preserve"> </w:t>
      </w:r>
      <w:r>
        <w:rPr>
          <w:rFonts w:ascii="Arial" w:hAnsi="Arial"/>
          <w:b/>
          <w:sz w:val="21"/>
        </w:rPr>
        <w:t>v1</w:t>
      </w:r>
      <w:r>
        <w:rPr>
          <w:rFonts w:ascii="Arial" w:hAnsi="Arial"/>
          <w:b/>
          <w:spacing w:val="-5"/>
          <w:sz w:val="21"/>
        </w:rPr>
        <w:t xml:space="preserve"> </w:t>
      </w:r>
      <w:r>
        <w:rPr>
          <w:rFonts w:ascii="Arial" w:hAnsi="Arial"/>
          <w:b/>
          <w:sz w:val="21"/>
        </w:rPr>
        <w:t>through</w:t>
      </w:r>
      <w:r>
        <w:rPr>
          <w:rFonts w:ascii="Arial" w:hAnsi="Arial"/>
          <w:b/>
          <w:spacing w:val="-4"/>
          <w:sz w:val="21"/>
        </w:rPr>
        <w:t xml:space="preserve"> </w:t>
      </w:r>
      <w:r>
        <w:rPr>
          <w:rFonts w:ascii="Arial" w:hAnsi="Arial"/>
          <w:b/>
          <w:sz w:val="21"/>
        </w:rPr>
        <w:t>v4</w:t>
      </w:r>
      <w:r>
        <w:rPr>
          <w:rFonts w:ascii="Arial" w:hAnsi="Arial"/>
          <w:b/>
          <w:spacing w:val="-5"/>
          <w:sz w:val="21"/>
        </w:rPr>
        <w:t xml:space="preserve"> </w:t>
      </w:r>
      <w:r>
        <w:rPr>
          <w:rFonts w:ascii="Arial" w:hAnsi="Arial"/>
          <w:b/>
          <w:sz w:val="21"/>
        </w:rPr>
        <w:t>–</w:t>
      </w:r>
      <w:r>
        <w:rPr>
          <w:rFonts w:ascii="Arial" w:hAnsi="Arial"/>
          <w:b/>
          <w:spacing w:val="-7"/>
          <w:sz w:val="21"/>
        </w:rPr>
        <w:t xml:space="preserve"> </w:t>
      </w:r>
      <w:r>
        <w:rPr>
          <w:rFonts w:ascii="Arial" w:hAnsi="Arial"/>
          <w:b/>
          <w:sz w:val="21"/>
        </w:rPr>
        <w:t>Non-Benefit</w:t>
      </w:r>
      <w:r>
        <w:rPr>
          <w:rFonts w:ascii="Arial" w:hAnsi="Arial"/>
          <w:b/>
          <w:spacing w:val="-5"/>
          <w:sz w:val="21"/>
        </w:rPr>
        <w:t xml:space="preserve"> </w:t>
      </w:r>
      <w:r>
        <w:rPr>
          <w:rFonts w:ascii="Arial" w:hAnsi="Arial"/>
          <w:b/>
          <w:spacing w:val="-2"/>
          <w:sz w:val="21"/>
        </w:rPr>
        <w:t>Expenses</w:t>
      </w:r>
    </w:p>
    <w:p>
      <w:pPr>
        <w:pStyle w:val="BodyText"/>
        <w:spacing w:before="120"/>
        <w:ind w:left="1224" w:right="1481"/>
      </w:pPr>
      <w:r>
        <w:t>Total non-benefit expenses are input in column h and are allocated proportionately between Medicare-covered services (column o) and A/B mandatory supplemental benefits (column r). Note that the same proportion is used for each line item. The allocation</w:t>
      </w:r>
      <w:r>
        <w:rPr>
          <w:spacing w:val="-4"/>
        </w:rPr>
        <w:t xml:space="preserve"> </w:t>
      </w:r>
      <w:r>
        <w:t>is</w:t>
      </w:r>
      <w:r>
        <w:rPr>
          <w:spacing w:val="-4"/>
        </w:rPr>
        <w:t xml:space="preserve"> </w:t>
      </w:r>
      <w:r>
        <w:t>based</w:t>
      </w:r>
      <w:r>
        <w:rPr>
          <w:spacing w:val="-4"/>
        </w:rPr>
        <w:t xml:space="preserve"> </w:t>
      </w:r>
      <w:r>
        <w:t>on</w:t>
      </w:r>
      <w:r>
        <w:rPr>
          <w:spacing w:val="-4"/>
        </w:rPr>
        <w:t xml:space="preserve"> </w:t>
      </w:r>
      <w:r>
        <w:t>the</w:t>
      </w:r>
      <w:r>
        <w:rPr>
          <w:spacing w:val="-3"/>
        </w:rPr>
        <w:t xml:space="preserve"> </w:t>
      </w:r>
      <w:r>
        <w:t>relative</w:t>
      </w:r>
      <w:r>
        <w:rPr>
          <w:spacing w:val="-4"/>
        </w:rPr>
        <w:t xml:space="preserve"> </w:t>
      </w:r>
      <w:r>
        <w:t>proportion</w:t>
      </w:r>
      <w:r>
        <w:rPr>
          <w:spacing w:val="-4"/>
        </w:rPr>
        <w:t xml:space="preserve"> </w:t>
      </w:r>
      <w:r>
        <w:t>of</w:t>
      </w:r>
      <w:r>
        <w:rPr>
          <w:spacing w:val="-4"/>
        </w:rPr>
        <w:t xml:space="preserve"> </w:t>
      </w:r>
      <w:r>
        <w:t>the</w:t>
      </w:r>
      <w:r>
        <w:rPr>
          <w:spacing w:val="-3"/>
        </w:rPr>
        <w:t xml:space="preserve"> </w:t>
      </w:r>
      <w:r>
        <w:t>bid’s</w:t>
      </w:r>
      <w:r>
        <w:rPr>
          <w:spacing w:val="-5"/>
        </w:rPr>
        <w:t xml:space="preserve"> </w:t>
      </w:r>
      <w:r>
        <w:t>medical</w:t>
      </w:r>
      <w:r>
        <w:rPr>
          <w:spacing w:val="-4"/>
        </w:rPr>
        <w:t xml:space="preserve"> </w:t>
      </w:r>
      <w:r>
        <w:t>expense</w:t>
      </w:r>
      <w:r>
        <w:rPr>
          <w:spacing w:val="-5"/>
        </w:rPr>
        <w:t xml:space="preserve"> </w:t>
      </w:r>
      <w:r>
        <w:t>requirements for Medicare-covered services (“bid”) and A/B mandatory supplemental benefits, excluding the PMPM impact of the ESRD subsidy.</w:t>
      </w:r>
    </w:p>
    <w:p>
      <w:pPr>
        <w:spacing w:before="119"/>
        <w:ind w:left="1224" w:right="0" w:firstLine="0"/>
        <w:jc w:val="left"/>
        <w:rPr>
          <w:rFonts w:ascii="Arial" w:hAnsi="Arial"/>
          <w:b/>
          <w:sz w:val="21"/>
        </w:rPr>
      </w:pPr>
      <w:r>
        <w:rPr>
          <w:rFonts w:ascii="Arial" w:hAnsi="Arial"/>
          <w:b/>
          <w:sz w:val="21"/>
        </w:rPr>
        <w:t>Column</w:t>
      </w:r>
      <w:r>
        <w:rPr>
          <w:rFonts w:ascii="Arial" w:hAnsi="Arial"/>
          <w:b/>
          <w:spacing w:val="-9"/>
          <w:sz w:val="21"/>
        </w:rPr>
        <w:t xml:space="preserve"> </w:t>
      </w:r>
      <w:r>
        <w:rPr>
          <w:rFonts w:ascii="Arial" w:hAnsi="Arial"/>
          <w:b/>
          <w:sz w:val="21"/>
        </w:rPr>
        <w:t>h</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Non-Benefit</w:t>
      </w:r>
      <w:r>
        <w:rPr>
          <w:rFonts w:ascii="Arial" w:hAnsi="Arial"/>
          <w:b/>
          <w:spacing w:val="-5"/>
          <w:sz w:val="21"/>
        </w:rPr>
        <w:t xml:space="preserve"> </w:t>
      </w:r>
      <w:r>
        <w:rPr>
          <w:rFonts w:ascii="Arial" w:hAnsi="Arial"/>
          <w:b/>
          <w:sz w:val="21"/>
        </w:rPr>
        <w:t>Expense</w:t>
      </w:r>
      <w:r>
        <w:rPr>
          <w:rFonts w:ascii="Arial" w:hAnsi="Arial"/>
          <w:b/>
          <w:spacing w:val="-5"/>
          <w:sz w:val="21"/>
        </w:rPr>
        <w:t xml:space="preserve"> </w:t>
      </w:r>
      <w:r>
        <w:rPr>
          <w:rFonts w:ascii="Arial" w:hAnsi="Arial"/>
          <w:b/>
          <w:sz w:val="21"/>
        </w:rPr>
        <w:t>PMPM</w:t>
      </w:r>
      <w:r>
        <w:rPr>
          <w:rFonts w:ascii="Arial" w:hAnsi="Arial"/>
          <w:b/>
          <w:spacing w:val="-6"/>
          <w:sz w:val="21"/>
        </w:rPr>
        <w:t xml:space="preserve"> </w:t>
      </w:r>
      <w:r>
        <w:rPr>
          <w:rFonts w:ascii="Arial" w:hAnsi="Arial"/>
          <w:b/>
          <w:sz w:val="21"/>
        </w:rPr>
        <w:t>for</w:t>
      </w:r>
      <w:r>
        <w:rPr>
          <w:rFonts w:ascii="Arial" w:hAnsi="Arial"/>
          <w:b/>
          <w:spacing w:val="-7"/>
          <w:sz w:val="21"/>
        </w:rPr>
        <w:t xml:space="preserve"> </w:t>
      </w:r>
      <w:r>
        <w:rPr>
          <w:rFonts w:ascii="Arial" w:hAnsi="Arial"/>
          <w:b/>
          <w:sz w:val="21"/>
        </w:rPr>
        <w:t>Total</w:t>
      </w:r>
      <w:r>
        <w:rPr>
          <w:rFonts w:ascii="Arial" w:hAnsi="Arial"/>
          <w:b/>
          <w:spacing w:val="-8"/>
          <w:sz w:val="21"/>
        </w:rPr>
        <w:t xml:space="preserve"> </w:t>
      </w:r>
      <w:r>
        <w:rPr>
          <w:rFonts w:ascii="Arial" w:hAnsi="Arial"/>
          <w:b/>
          <w:spacing w:val="-2"/>
          <w:sz w:val="21"/>
        </w:rPr>
        <w:t>Benefits</w:t>
      </w:r>
    </w:p>
    <w:p>
      <w:pPr>
        <w:pStyle w:val="BodyText"/>
        <w:spacing w:before="120"/>
        <w:ind w:left="1224" w:right="1841"/>
      </w:pPr>
      <w:r>
        <w:t>Enter</w:t>
      </w:r>
      <w:r>
        <w:rPr>
          <w:spacing w:val="-2"/>
        </w:rPr>
        <w:t xml:space="preserve"> </w:t>
      </w:r>
      <w:r>
        <w:t>the</w:t>
      </w:r>
      <w:r>
        <w:rPr>
          <w:spacing w:val="-4"/>
        </w:rPr>
        <w:t xml:space="preserve"> </w:t>
      </w:r>
      <w:r>
        <w:t>PMPM</w:t>
      </w:r>
      <w:r>
        <w:rPr>
          <w:spacing w:val="-3"/>
        </w:rPr>
        <w:t xml:space="preserve"> </w:t>
      </w:r>
      <w:r>
        <w:t>by</w:t>
      </w:r>
      <w:r>
        <w:rPr>
          <w:spacing w:val="-2"/>
        </w:rPr>
        <w:t xml:space="preserve"> </w:t>
      </w:r>
      <w:r>
        <w:t>category.</w:t>
      </w:r>
      <w:r>
        <w:rPr>
          <w:spacing w:val="-2"/>
        </w:rPr>
        <w:t xml:space="preserve"> </w:t>
      </w:r>
      <w:r>
        <w:t>Lines</w:t>
      </w:r>
      <w:r>
        <w:rPr>
          <w:spacing w:val="-3"/>
        </w:rPr>
        <w:t xml:space="preserve"> </w:t>
      </w:r>
      <w:r>
        <w:t>v1,</w:t>
      </w:r>
      <w:r>
        <w:rPr>
          <w:spacing w:val="-2"/>
        </w:rPr>
        <w:t xml:space="preserve"> </w:t>
      </w:r>
      <w:r>
        <w:t>v2,</w:t>
      </w:r>
      <w:r>
        <w:rPr>
          <w:spacing w:val="-2"/>
        </w:rPr>
        <w:t xml:space="preserve"> </w:t>
      </w:r>
      <w:r>
        <w:t>and</w:t>
      </w:r>
      <w:r>
        <w:rPr>
          <w:spacing w:val="-2"/>
        </w:rPr>
        <w:t xml:space="preserve"> </w:t>
      </w:r>
      <w:r>
        <w:t>v3</w:t>
      </w:r>
      <w:r>
        <w:rPr>
          <w:spacing w:val="-2"/>
        </w:rPr>
        <w:t xml:space="preserve"> </w:t>
      </w:r>
      <w:r>
        <w:t>must</w:t>
      </w:r>
      <w:r>
        <w:rPr>
          <w:spacing w:val="-2"/>
        </w:rPr>
        <w:t xml:space="preserve"> </w:t>
      </w:r>
      <w:r>
        <w:t>be</w:t>
      </w:r>
      <w:r>
        <w:rPr>
          <w:spacing w:val="-2"/>
        </w:rPr>
        <w:t xml:space="preserve"> </w:t>
      </w:r>
      <w:r>
        <w:t>greater</w:t>
      </w:r>
      <w:r>
        <w:rPr>
          <w:spacing w:val="-4"/>
        </w:rPr>
        <w:t xml:space="preserve"> </w:t>
      </w:r>
      <w:r>
        <w:t>than</w:t>
      </w:r>
      <w:r>
        <w:rPr>
          <w:spacing w:val="-2"/>
        </w:rPr>
        <w:t xml:space="preserve"> </w:t>
      </w:r>
      <w:r>
        <w:t>or</w:t>
      </w:r>
      <w:r>
        <w:rPr>
          <w:spacing w:val="-2"/>
        </w:rPr>
        <w:t xml:space="preserve"> </w:t>
      </w:r>
      <w:r>
        <w:t>equal</w:t>
      </w:r>
      <w:r>
        <w:rPr>
          <w:spacing w:val="-2"/>
        </w:rPr>
        <w:t xml:space="preserve"> </w:t>
      </w:r>
      <w:r>
        <w:t xml:space="preserve">to </w:t>
      </w:r>
      <w:r>
        <w:rPr>
          <w:spacing w:val="-2"/>
        </w:rPr>
        <w:t>zero.</w:t>
      </w:r>
    </w:p>
    <w:p>
      <w:pPr>
        <w:spacing w:before="121"/>
        <w:ind w:left="1224" w:right="0" w:firstLine="0"/>
        <w:jc w:val="left"/>
        <w:rPr>
          <w:rFonts w:ascii="Arial" w:hAnsi="Arial"/>
          <w:b/>
          <w:sz w:val="21"/>
        </w:rPr>
      </w:pPr>
      <w:r>
        <w:rPr>
          <w:rFonts w:ascii="Arial" w:hAnsi="Arial"/>
          <w:b/>
          <w:sz w:val="21"/>
        </w:rPr>
        <w:t>Column</w:t>
      </w:r>
      <w:r>
        <w:rPr>
          <w:rFonts w:ascii="Arial" w:hAnsi="Arial"/>
          <w:b/>
          <w:spacing w:val="-11"/>
          <w:sz w:val="21"/>
        </w:rPr>
        <w:t xml:space="preserve"> </w:t>
      </w:r>
      <w:r>
        <w:rPr>
          <w:rFonts w:ascii="Arial" w:hAnsi="Arial"/>
          <w:b/>
          <w:sz w:val="21"/>
        </w:rPr>
        <w:t>o</w:t>
      </w:r>
      <w:r>
        <w:rPr>
          <w:rFonts w:ascii="Arial" w:hAnsi="Arial"/>
          <w:b/>
          <w:spacing w:val="-7"/>
          <w:sz w:val="21"/>
        </w:rPr>
        <w:t xml:space="preserve"> </w:t>
      </w:r>
      <w:r>
        <w:rPr>
          <w:rFonts w:ascii="Arial" w:hAnsi="Arial"/>
          <w:b/>
          <w:sz w:val="21"/>
        </w:rPr>
        <w:t>–</w:t>
      </w:r>
      <w:r>
        <w:rPr>
          <w:rFonts w:ascii="Arial" w:hAnsi="Arial"/>
          <w:b/>
          <w:spacing w:val="-7"/>
          <w:sz w:val="21"/>
        </w:rPr>
        <w:t xml:space="preserve"> </w:t>
      </w:r>
      <w:r>
        <w:rPr>
          <w:rFonts w:ascii="Arial" w:hAnsi="Arial"/>
          <w:b/>
          <w:sz w:val="21"/>
        </w:rPr>
        <w:t>Non-Benefit</w:t>
      </w:r>
      <w:r>
        <w:rPr>
          <w:rFonts w:ascii="Arial" w:hAnsi="Arial"/>
          <w:b/>
          <w:spacing w:val="-7"/>
          <w:sz w:val="21"/>
        </w:rPr>
        <w:t xml:space="preserve"> </w:t>
      </w:r>
      <w:r>
        <w:rPr>
          <w:rFonts w:ascii="Arial" w:hAnsi="Arial"/>
          <w:b/>
          <w:sz w:val="21"/>
        </w:rPr>
        <w:t>Expense</w:t>
      </w:r>
      <w:r>
        <w:rPr>
          <w:rFonts w:ascii="Arial" w:hAnsi="Arial"/>
          <w:b/>
          <w:spacing w:val="-7"/>
          <w:sz w:val="21"/>
        </w:rPr>
        <w:t xml:space="preserve"> </w:t>
      </w:r>
      <w:r>
        <w:rPr>
          <w:rFonts w:ascii="Arial" w:hAnsi="Arial"/>
          <w:b/>
          <w:sz w:val="21"/>
        </w:rPr>
        <w:t>PMPM</w:t>
      </w:r>
      <w:r>
        <w:rPr>
          <w:rFonts w:ascii="Arial" w:hAnsi="Arial"/>
          <w:b/>
          <w:spacing w:val="-8"/>
          <w:sz w:val="21"/>
        </w:rPr>
        <w:t xml:space="preserve"> </w:t>
      </w:r>
      <w:r>
        <w:rPr>
          <w:rFonts w:ascii="Arial" w:hAnsi="Arial"/>
          <w:b/>
          <w:sz w:val="21"/>
        </w:rPr>
        <w:t>for</w:t>
      </w:r>
      <w:r>
        <w:rPr>
          <w:rFonts w:ascii="Arial" w:hAnsi="Arial"/>
          <w:b/>
          <w:spacing w:val="-7"/>
          <w:sz w:val="21"/>
        </w:rPr>
        <w:t xml:space="preserve"> </w:t>
      </w:r>
      <w:r>
        <w:rPr>
          <w:rFonts w:ascii="Arial" w:hAnsi="Arial"/>
          <w:b/>
          <w:sz w:val="21"/>
        </w:rPr>
        <w:t>Medicare-Covered</w:t>
      </w:r>
      <w:r>
        <w:rPr>
          <w:rFonts w:ascii="Arial" w:hAnsi="Arial"/>
          <w:b/>
          <w:spacing w:val="-6"/>
          <w:sz w:val="21"/>
        </w:rPr>
        <w:t xml:space="preserve"> </w:t>
      </w:r>
      <w:r>
        <w:rPr>
          <w:rFonts w:ascii="Arial" w:hAnsi="Arial"/>
          <w:b/>
          <w:spacing w:val="-2"/>
          <w:sz w:val="21"/>
        </w:rPr>
        <w:t>Services</w:t>
      </w:r>
    </w:p>
    <w:p>
      <w:pPr>
        <w:pStyle w:val="BodyText"/>
        <w:spacing w:before="121"/>
        <w:ind w:left="1224"/>
      </w:pPr>
      <w:r>
        <w:t>These</w:t>
      </w:r>
      <w:r>
        <w:rPr>
          <w:spacing w:val="-3"/>
        </w:rPr>
        <w:t xml:space="preserve"> </w:t>
      </w:r>
      <w:r>
        <w:t>values</w:t>
      </w:r>
      <w:r>
        <w:rPr>
          <w:spacing w:val="-1"/>
        </w:rPr>
        <w:t xml:space="preserve"> </w:t>
      </w:r>
      <w:r>
        <w:t>are</w:t>
      </w:r>
      <w:r>
        <w:rPr>
          <w:spacing w:val="-1"/>
        </w:rPr>
        <w:t xml:space="preserve"> </w:t>
      </w:r>
      <w:r>
        <w:t>calculated</w:t>
      </w:r>
      <w:r>
        <w:rPr>
          <w:spacing w:val="-2"/>
        </w:rPr>
        <w:t xml:space="preserve"> </w:t>
      </w:r>
      <w:r>
        <w:t>as</w:t>
      </w:r>
      <w:r>
        <w:rPr>
          <w:spacing w:val="-2"/>
        </w:rPr>
        <w:t xml:space="preserve"> </w:t>
      </w:r>
      <w:r>
        <w:t>column</w:t>
      </w:r>
      <w:r>
        <w:rPr>
          <w:spacing w:val="-1"/>
        </w:rPr>
        <w:t xml:space="preserve"> </w:t>
      </w:r>
      <w:r>
        <w:t>h</w:t>
      </w:r>
      <w:r>
        <w:rPr>
          <w:spacing w:val="-1"/>
        </w:rPr>
        <w:t xml:space="preserve"> </w:t>
      </w:r>
      <w:r>
        <w:t>minus</w:t>
      </w:r>
      <w:r>
        <w:rPr>
          <w:spacing w:val="-3"/>
        </w:rPr>
        <w:t xml:space="preserve"> </w:t>
      </w:r>
      <w:r>
        <w:t>column</w:t>
      </w:r>
      <w:r>
        <w:rPr>
          <w:spacing w:val="-1"/>
        </w:rPr>
        <w:t xml:space="preserve"> </w:t>
      </w:r>
      <w:r>
        <w:rPr>
          <w:spacing w:val="-5"/>
        </w:rPr>
        <w:t>r.</w:t>
      </w:r>
    </w:p>
    <w:p>
      <w:pPr>
        <w:spacing w:before="118"/>
        <w:ind w:left="1224" w:right="0" w:firstLine="0"/>
        <w:jc w:val="left"/>
        <w:rPr>
          <w:rFonts w:ascii="Arial" w:hAnsi="Arial"/>
          <w:b/>
          <w:sz w:val="21"/>
        </w:rPr>
      </w:pPr>
      <w:r>
        <w:rPr>
          <w:rFonts w:ascii="Arial" w:hAnsi="Arial"/>
          <w:b/>
          <w:sz w:val="21"/>
        </w:rPr>
        <w:t>Column</w:t>
      </w:r>
      <w:r>
        <w:rPr>
          <w:rFonts w:ascii="Arial" w:hAnsi="Arial"/>
          <w:b/>
          <w:spacing w:val="-8"/>
          <w:sz w:val="21"/>
        </w:rPr>
        <w:t xml:space="preserve"> </w:t>
      </w:r>
      <w:r>
        <w:rPr>
          <w:rFonts w:ascii="Arial" w:hAnsi="Arial"/>
          <w:b/>
          <w:sz w:val="21"/>
        </w:rPr>
        <w:t>r</w:t>
      </w:r>
      <w:r>
        <w:rPr>
          <w:rFonts w:ascii="Arial" w:hAnsi="Arial"/>
          <w:b/>
          <w:spacing w:val="-7"/>
          <w:sz w:val="21"/>
        </w:rPr>
        <w:t xml:space="preserve"> </w:t>
      </w:r>
      <w:r>
        <w:rPr>
          <w:rFonts w:ascii="Arial" w:hAnsi="Arial"/>
          <w:b/>
          <w:sz w:val="21"/>
        </w:rPr>
        <w:t>–</w:t>
      </w:r>
      <w:r>
        <w:rPr>
          <w:rFonts w:ascii="Arial" w:hAnsi="Arial"/>
          <w:b/>
          <w:spacing w:val="-6"/>
          <w:sz w:val="21"/>
        </w:rPr>
        <w:t xml:space="preserve"> </w:t>
      </w:r>
      <w:r>
        <w:rPr>
          <w:rFonts w:ascii="Arial" w:hAnsi="Arial"/>
          <w:b/>
          <w:sz w:val="21"/>
        </w:rPr>
        <w:t>Non-Benefit</w:t>
      </w:r>
      <w:r>
        <w:rPr>
          <w:rFonts w:ascii="Arial" w:hAnsi="Arial"/>
          <w:b/>
          <w:spacing w:val="-9"/>
          <w:sz w:val="21"/>
        </w:rPr>
        <w:t xml:space="preserve"> </w:t>
      </w:r>
      <w:r>
        <w:rPr>
          <w:rFonts w:ascii="Arial" w:hAnsi="Arial"/>
          <w:b/>
          <w:sz w:val="21"/>
        </w:rPr>
        <w:t>Expense</w:t>
      </w:r>
      <w:r>
        <w:rPr>
          <w:rFonts w:ascii="Arial" w:hAnsi="Arial"/>
          <w:b/>
          <w:spacing w:val="-6"/>
          <w:sz w:val="21"/>
        </w:rPr>
        <w:t xml:space="preserve"> </w:t>
      </w:r>
      <w:r>
        <w:rPr>
          <w:rFonts w:ascii="Arial" w:hAnsi="Arial"/>
          <w:b/>
          <w:sz w:val="21"/>
        </w:rPr>
        <w:t>PMPM</w:t>
      </w:r>
      <w:r>
        <w:rPr>
          <w:rFonts w:ascii="Arial" w:hAnsi="Arial"/>
          <w:b/>
          <w:spacing w:val="-7"/>
          <w:sz w:val="21"/>
        </w:rPr>
        <w:t xml:space="preserve"> </w:t>
      </w:r>
      <w:r>
        <w:rPr>
          <w:rFonts w:ascii="Arial" w:hAnsi="Arial"/>
          <w:b/>
          <w:sz w:val="21"/>
        </w:rPr>
        <w:t>for</w:t>
      </w:r>
      <w:r>
        <w:rPr>
          <w:rFonts w:ascii="Arial" w:hAnsi="Arial"/>
          <w:b/>
          <w:spacing w:val="-9"/>
          <w:sz w:val="21"/>
        </w:rPr>
        <w:t xml:space="preserve"> </w:t>
      </w:r>
      <w:r>
        <w:rPr>
          <w:rFonts w:ascii="Arial" w:hAnsi="Arial"/>
          <w:b/>
          <w:sz w:val="21"/>
        </w:rPr>
        <w:t>A/B</w:t>
      </w:r>
      <w:r>
        <w:rPr>
          <w:rFonts w:ascii="Arial" w:hAnsi="Arial"/>
          <w:b/>
          <w:spacing w:val="-8"/>
          <w:sz w:val="21"/>
        </w:rPr>
        <w:t xml:space="preserve"> </w:t>
      </w:r>
      <w:r>
        <w:rPr>
          <w:rFonts w:ascii="Arial" w:hAnsi="Arial"/>
          <w:b/>
          <w:sz w:val="21"/>
        </w:rPr>
        <w:t>Mandatory</w:t>
      </w:r>
      <w:r>
        <w:rPr>
          <w:rFonts w:ascii="Arial" w:hAnsi="Arial"/>
          <w:b/>
          <w:spacing w:val="-6"/>
          <w:sz w:val="21"/>
        </w:rPr>
        <w:t xml:space="preserve"> </w:t>
      </w:r>
      <w:r>
        <w:rPr>
          <w:rFonts w:ascii="Arial" w:hAnsi="Arial"/>
          <w:b/>
          <w:sz w:val="21"/>
        </w:rPr>
        <w:t>Supplemental</w:t>
      </w:r>
      <w:r>
        <w:rPr>
          <w:rFonts w:ascii="Arial" w:hAnsi="Arial"/>
          <w:b/>
          <w:spacing w:val="-4"/>
          <w:sz w:val="21"/>
        </w:rPr>
        <w:t xml:space="preserve"> </w:t>
      </w:r>
      <w:r>
        <w:rPr>
          <w:rFonts w:ascii="Arial" w:hAnsi="Arial"/>
          <w:b/>
          <w:spacing w:val="-2"/>
          <w:sz w:val="21"/>
        </w:rPr>
        <w:t>Benefits</w:t>
      </w:r>
    </w:p>
    <w:p>
      <w:pPr>
        <w:pStyle w:val="BodyText"/>
        <w:spacing w:before="120"/>
        <w:ind w:left="1224" w:right="1481"/>
      </w:pPr>
      <w:r>
        <w:t>These</w:t>
      </w:r>
      <w:r>
        <w:rPr>
          <w:spacing w:val="-5"/>
        </w:rPr>
        <w:t xml:space="preserve"> </w:t>
      </w:r>
      <w:r>
        <w:t>values</w:t>
      </w:r>
      <w:r>
        <w:rPr>
          <w:spacing w:val="-3"/>
        </w:rPr>
        <w:t xml:space="preserve"> </w:t>
      </w:r>
      <w:r>
        <w:t>are</w:t>
      </w:r>
      <w:r>
        <w:rPr>
          <w:spacing w:val="-4"/>
        </w:rPr>
        <w:t xml:space="preserve"> </w:t>
      </w:r>
      <w:r>
        <w:t>calculated</w:t>
      </w:r>
      <w:r>
        <w:rPr>
          <w:spacing w:val="-4"/>
        </w:rPr>
        <w:t xml:space="preserve"> </w:t>
      </w:r>
      <w:r>
        <w:t>based</w:t>
      </w:r>
      <w:r>
        <w:rPr>
          <w:spacing w:val="-4"/>
        </w:rPr>
        <w:t xml:space="preserve"> </w:t>
      </w:r>
      <w:r>
        <w:t>on</w:t>
      </w:r>
      <w:r>
        <w:rPr>
          <w:spacing w:val="-4"/>
        </w:rPr>
        <w:t xml:space="preserve"> </w:t>
      </w:r>
      <w:r>
        <w:t>the</w:t>
      </w:r>
      <w:r>
        <w:rPr>
          <w:spacing w:val="-3"/>
        </w:rPr>
        <w:t xml:space="preserve"> </w:t>
      </w:r>
      <w:r>
        <w:t>relative</w:t>
      </w:r>
      <w:r>
        <w:rPr>
          <w:spacing w:val="-4"/>
        </w:rPr>
        <w:t xml:space="preserve"> </w:t>
      </w:r>
      <w:r>
        <w:t>proportion</w:t>
      </w:r>
      <w:r>
        <w:rPr>
          <w:spacing w:val="-4"/>
        </w:rPr>
        <w:t xml:space="preserve"> </w:t>
      </w:r>
      <w:r>
        <w:t>of</w:t>
      </w:r>
      <w:r>
        <w:rPr>
          <w:spacing w:val="-5"/>
        </w:rPr>
        <w:t xml:space="preserve"> </w:t>
      </w:r>
      <w:r>
        <w:t>A/B</w:t>
      </w:r>
      <w:r>
        <w:rPr>
          <w:spacing w:val="-4"/>
        </w:rPr>
        <w:t xml:space="preserve"> </w:t>
      </w:r>
      <w:r>
        <w:t>mandatory supplemental benefits, excluding the impact of the ESRD subsidy.</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Line</w:t>
      </w:r>
      <w:r>
        <w:rPr>
          <w:rFonts w:ascii="Arial" w:hAnsi="Arial"/>
          <w:b/>
          <w:spacing w:val="-4"/>
          <w:sz w:val="21"/>
        </w:rPr>
        <w:t xml:space="preserve"> </w:t>
      </w:r>
      <w:r>
        <w:rPr>
          <w:rFonts w:ascii="Arial" w:hAnsi="Arial"/>
          <w:b/>
          <w:sz w:val="21"/>
        </w:rPr>
        <w:t>v5</w:t>
      </w:r>
      <w:r>
        <w:rPr>
          <w:rFonts w:ascii="Arial" w:hAnsi="Arial"/>
          <w:b/>
          <w:spacing w:val="-3"/>
          <w:sz w:val="21"/>
        </w:rPr>
        <w:t xml:space="preserve"> </w:t>
      </w:r>
      <w:r>
        <w:rPr>
          <w:rFonts w:ascii="Arial" w:hAnsi="Arial"/>
          <w:b/>
          <w:sz w:val="21"/>
        </w:rPr>
        <w:t>–</w:t>
      </w:r>
      <w:r>
        <w:rPr>
          <w:rFonts w:ascii="Arial" w:hAnsi="Arial"/>
          <w:b/>
          <w:spacing w:val="-6"/>
          <w:sz w:val="21"/>
        </w:rPr>
        <w:t xml:space="preserve"> </w:t>
      </w:r>
      <w:r>
        <w:rPr>
          <w:rFonts w:ascii="Arial" w:hAnsi="Arial"/>
          <w:b/>
          <w:sz w:val="21"/>
        </w:rPr>
        <w:t>Total</w:t>
      </w:r>
      <w:r>
        <w:rPr>
          <w:rFonts w:ascii="Arial" w:hAnsi="Arial"/>
          <w:b/>
          <w:spacing w:val="-7"/>
          <w:sz w:val="21"/>
        </w:rPr>
        <w:t xml:space="preserve"> </w:t>
      </w:r>
      <w:r>
        <w:rPr>
          <w:rFonts w:ascii="Arial" w:hAnsi="Arial"/>
          <w:b/>
          <w:sz w:val="21"/>
        </w:rPr>
        <w:t>Non-Benefit</w:t>
      </w:r>
      <w:r>
        <w:rPr>
          <w:rFonts w:ascii="Arial" w:hAnsi="Arial"/>
          <w:b/>
          <w:spacing w:val="-4"/>
          <w:sz w:val="21"/>
        </w:rPr>
        <w:t xml:space="preserve"> </w:t>
      </w:r>
      <w:r>
        <w:rPr>
          <w:rFonts w:ascii="Arial" w:hAnsi="Arial"/>
          <w:b/>
          <w:spacing w:val="-2"/>
          <w:sz w:val="21"/>
        </w:rPr>
        <w:t>Expense</w:t>
      </w:r>
    </w:p>
    <w:p>
      <w:pPr>
        <w:spacing w:before="241"/>
        <w:ind w:left="1224" w:right="0" w:firstLine="0"/>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h</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5"/>
          <w:sz w:val="21"/>
        </w:rPr>
        <w:t xml:space="preserve"> </w:t>
      </w:r>
      <w:r>
        <w:rPr>
          <w:rFonts w:ascii="Arial" w:hAnsi="Arial"/>
          <w:b/>
          <w:sz w:val="21"/>
        </w:rPr>
        <w:t>Non-Benefit</w:t>
      </w:r>
      <w:r>
        <w:rPr>
          <w:rFonts w:ascii="Arial" w:hAnsi="Arial"/>
          <w:b/>
          <w:spacing w:val="-5"/>
          <w:sz w:val="21"/>
        </w:rPr>
        <w:t xml:space="preserve"> </w:t>
      </w:r>
      <w:r>
        <w:rPr>
          <w:rFonts w:ascii="Arial" w:hAnsi="Arial"/>
          <w:b/>
          <w:sz w:val="21"/>
        </w:rPr>
        <w:t>Expense</w:t>
      </w:r>
      <w:r>
        <w:rPr>
          <w:rFonts w:ascii="Arial" w:hAnsi="Arial"/>
          <w:b/>
          <w:spacing w:val="-5"/>
          <w:sz w:val="21"/>
        </w:rPr>
        <w:t xml:space="preserve"> </w:t>
      </w:r>
      <w:r>
        <w:rPr>
          <w:rFonts w:ascii="Arial" w:hAnsi="Arial"/>
          <w:b/>
          <w:spacing w:val="-4"/>
          <w:sz w:val="21"/>
        </w:rPr>
        <w:t>PMPM</w:t>
      </w:r>
    </w:p>
    <w:p>
      <w:pPr>
        <w:pStyle w:val="BodyText"/>
        <w:spacing w:before="120"/>
        <w:ind w:left="1224" w:right="1481"/>
      </w:pPr>
      <w:r>
        <w:t>The</w:t>
      </w:r>
      <w:r>
        <w:rPr>
          <w:spacing w:val="-4"/>
        </w:rPr>
        <w:t xml:space="preserve"> </w:t>
      </w:r>
      <w:r>
        <w:t>sum</w:t>
      </w:r>
      <w:r>
        <w:rPr>
          <w:spacing w:val="-2"/>
        </w:rPr>
        <w:t xml:space="preserve"> </w:t>
      </w:r>
      <w:r>
        <w:t>of</w:t>
      </w:r>
      <w:r>
        <w:rPr>
          <w:spacing w:val="-2"/>
        </w:rPr>
        <w:t xml:space="preserve"> </w:t>
      </w:r>
      <w:r>
        <w:t>lines</w:t>
      </w:r>
      <w:r>
        <w:rPr>
          <w:spacing w:val="-2"/>
        </w:rPr>
        <w:t xml:space="preserve"> </w:t>
      </w:r>
      <w:r>
        <w:t>v1</w:t>
      </w:r>
      <w:r>
        <w:rPr>
          <w:spacing w:val="-2"/>
        </w:rPr>
        <w:t xml:space="preserve"> </w:t>
      </w:r>
      <w:r>
        <w:t>through</w:t>
      </w:r>
      <w:r>
        <w:rPr>
          <w:spacing w:val="-3"/>
        </w:rPr>
        <w:t xml:space="preserve"> </w:t>
      </w:r>
      <w:r>
        <w:t>v4</w:t>
      </w:r>
      <w:r>
        <w:rPr>
          <w:spacing w:val="-2"/>
        </w:rPr>
        <w:t xml:space="preserve"> </w:t>
      </w:r>
      <w:r>
        <w:t>for</w:t>
      </w:r>
      <w:r>
        <w:rPr>
          <w:spacing w:val="-4"/>
        </w:rPr>
        <w:t xml:space="preserve"> </w:t>
      </w:r>
      <w:r>
        <w:t>Total</w:t>
      </w:r>
      <w:r>
        <w:rPr>
          <w:spacing w:val="-2"/>
        </w:rPr>
        <w:t xml:space="preserve"> </w:t>
      </w:r>
      <w:r>
        <w:t>Benefits.</w:t>
      </w:r>
      <w:r>
        <w:rPr>
          <w:spacing w:val="-2"/>
        </w:rPr>
        <w:t xml:space="preserve"> </w:t>
      </w:r>
      <w:r>
        <w:t>The</w:t>
      </w:r>
      <w:r>
        <w:rPr>
          <w:spacing w:val="-3"/>
        </w:rPr>
        <w:t xml:space="preserve"> </w:t>
      </w:r>
      <w:r>
        <w:t>value</w:t>
      </w:r>
      <w:r>
        <w:rPr>
          <w:spacing w:val="-3"/>
        </w:rPr>
        <w:t xml:space="preserve"> </w:t>
      </w:r>
      <w:r>
        <w:t>must</w:t>
      </w:r>
      <w:r>
        <w:rPr>
          <w:spacing w:val="-2"/>
        </w:rPr>
        <w:t xml:space="preserve"> </w:t>
      </w:r>
      <w:r>
        <w:t>be</w:t>
      </w:r>
      <w:r>
        <w:rPr>
          <w:spacing w:val="-3"/>
        </w:rPr>
        <w:t xml:space="preserve"> </w:t>
      </w:r>
      <w:r>
        <w:t>greater</w:t>
      </w:r>
      <w:r>
        <w:rPr>
          <w:spacing w:val="-2"/>
        </w:rPr>
        <w:t xml:space="preserve"> </w:t>
      </w:r>
      <w:r>
        <w:t>than</w:t>
      </w:r>
      <w:r>
        <w:rPr>
          <w:spacing w:val="-2"/>
        </w:rPr>
        <w:t xml:space="preserve"> </w:t>
      </w:r>
      <w:r>
        <w:t>or equal to zero.</w:t>
      </w:r>
    </w:p>
    <w:p>
      <w:pPr>
        <w:spacing w:before="118"/>
        <w:ind w:left="1224" w:right="1481" w:firstLine="0"/>
        <w:jc w:val="left"/>
        <w:rPr>
          <w:rFonts w:ascii="Arial" w:hAnsi="Arial"/>
          <w:b/>
          <w:sz w:val="21"/>
        </w:rPr>
      </w:pPr>
      <w:r>
        <w:rPr>
          <w:rFonts w:ascii="Arial" w:hAnsi="Arial"/>
          <w:b/>
          <w:sz w:val="21"/>
        </w:rPr>
        <w:t>Columns</w:t>
      </w:r>
      <w:r>
        <w:rPr>
          <w:rFonts w:ascii="Arial" w:hAnsi="Arial"/>
          <w:b/>
          <w:spacing w:val="-4"/>
          <w:sz w:val="21"/>
        </w:rPr>
        <w:t xml:space="preserve"> </w:t>
      </w:r>
      <w:r>
        <w:rPr>
          <w:rFonts w:ascii="Arial" w:hAnsi="Arial"/>
          <w:b/>
          <w:sz w:val="21"/>
        </w:rPr>
        <w:t>p</w:t>
      </w:r>
      <w:r>
        <w:rPr>
          <w:rFonts w:ascii="Arial" w:hAnsi="Arial"/>
          <w:b/>
          <w:spacing w:val="-4"/>
          <w:sz w:val="21"/>
        </w:rPr>
        <w:t xml:space="preserve"> </w:t>
      </w:r>
      <w:r>
        <w:rPr>
          <w:rFonts w:ascii="Arial" w:hAnsi="Arial"/>
          <w:b/>
          <w:sz w:val="21"/>
        </w:rPr>
        <w:t>and</w:t>
      </w:r>
      <w:r>
        <w:rPr>
          <w:rFonts w:ascii="Arial" w:hAnsi="Arial"/>
          <w:b/>
          <w:spacing w:val="-3"/>
          <w:sz w:val="21"/>
        </w:rPr>
        <w:t xml:space="preserve"> </w:t>
      </w:r>
      <w:r>
        <w:rPr>
          <w:rFonts w:ascii="Arial" w:hAnsi="Arial"/>
          <w:b/>
          <w:sz w:val="21"/>
        </w:rPr>
        <w:t>q</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Non-Benefit</w:t>
      </w:r>
      <w:r>
        <w:rPr>
          <w:rFonts w:ascii="Arial" w:hAnsi="Arial"/>
          <w:b/>
          <w:spacing w:val="-5"/>
          <w:sz w:val="21"/>
        </w:rPr>
        <w:t xml:space="preserve"> </w:t>
      </w:r>
      <w:r>
        <w:rPr>
          <w:rFonts w:ascii="Arial" w:hAnsi="Arial"/>
          <w:b/>
          <w:sz w:val="21"/>
        </w:rPr>
        <w:t>Expense</w:t>
      </w:r>
      <w:r>
        <w:rPr>
          <w:rFonts w:ascii="Arial" w:hAnsi="Arial"/>
          <w:b/>
          <w:spacing w:val="-2"/>
          <w:sz w:val="21"/>
        </w:rPr>
        <w:t xml:space="preserve"> </w:t>
      </w:r>
      <w:r>
        <w:rPr>
          <w:rFonts w:ascii="Arial" w:hAnsi="Arial"/>
          <w:b/>
          <w:sz w:val="21"/>
        </w:rPr>
        <w:t>PMPM</w:t>
      </w:r>
      <w:r>
        <w:rPr>
          <w:rFonts w:ascii="Arial" w:hAnsi="Arial"/>
          <w:b/>
          <w:spacing w:val="-5"/>
          <w:sz w:val="21"/>
        </w:rPr>
        <w:t xml:space="preserve"> </w:t>
      </w:r>
      <w:r>
        <w:rPr>
          <w:rFonts w:ascii="Arial" w:hAnsi="Arial"/>
          <w:b/>
          <w:sz w:val="21"/>
        </w:rPr>
        <w:t>for</w:t>
      </w:r>
      <w:r>
        <w:rPr>
          <w:rFonts w:ascii="Arial" w:hAnsi="Arial"/>
          <w:b/>
          <w:spacing w:val="-4"/>
          <w:sz w:val="21"/>
        </w:rPr>
        <w:t xml:space="preserve"> </w:t>
      </w:r>
      <w:r>
        <w:rPr>
          <w:rFonts w:ascii="Arial" w:hAnsi="Arial"/>
          <w:b/>
          <w:sz w:val="21"/>
        </w:rPr>
        <w:t>Additional</w:t>
      </w:r>
      <w:r>
        <w:rPr>
          <w:rFonts w:ascii="Arial" w:hAnsi="Arial"/>
          <w:b/>
          <w:spacing w:val="-5"/>
          <w:sz w:val="21"/>
        </w:rPr>
        <w:t xml:space="preserve"> </w:t>
      </w:r>
      <w:r>
        <w:rPr>
          <w:rFonts w:ascii="Arial" w:hAnsi="Arial"/>
          <w:b/>
          <w:sz w:val="21"/>
        </w:rPr>
        <w:t>Services</w:t>
      </w:r>
      <w:r>
        <w:rPr>
          <w:rFonts w:ascii="Arial" w:hAnsi="Arial"/>
          <w:b/>
          <w:spacing w:val="-4"/>
          <w:sz w:val="21"/>
        </w:rPr>
        <w:t xml:space="preserve"> </w:t>
      </w:r>
      <w:r>
        <w:rPr>
          <w:rFonts w:ascii="Arial" w:hAnsi="Arial"/>
          <w:b/>
          <w:sz w:val="21"/>
        </w:rPr>
        <w:t>and Reduction of A/B Cost Sharing</w:t>
      </w:r>
    </w:p>
    <w:p>
      <w:pPr>
        <w:pStyle w:val="BodyText"/>
        <w:spacing w:before="122"/>
        <w:ind w:left="1224" w:right="1524"/>
      </w:pPr>
      <w:r>
        <w:t>The</w:t>
      </w:r>
      <w:r>
        <w:rPr>
          <w:spacing w:val="-5"/>
        </w:rPr>
        <w:t xml:space="preserve"> </w:t>
      </w:r>
      <w:r>
        <w:t>total</w:t>
      </w:r>
      <w:r>
        <w:rPr>
          <w:spacing w:val="-3"/>
        </w:rPr>
        <w:t xml:space="preserve"> </w:t>
      </w:r>
      <w:r>
        <w:t>non-benefit</w:t>
      </w:r>
      <w:r>
        <w:rPr>
          <w:spacing w:val="-2"/>
        </w:rPr>
        <w:t xml:space="preserve"> </w:t>
      </w:r>
      <w:r>
        <w:t>expense</w:t>
      </w:r>
      <w:r>
        <w:rPr>
          <w:spacing w:val="-4"/>
        </w:rPr>
        <w:t xml:space="preserve"> </w:t>
      </w:r>
      <w:r>
        <w:t>for</w:t>
      </w:r>
      <w:r>
        <w:rPr>
          <w:spacing w:val="-3"/>
        </w:rPr>
        <w:t xml:space="preserve"> </w:t>
      </w:r>
      <w:r>
        <w:t>A/B</w:t>
      </w:r>
      <w:r>
        <w:rPr>
          <w:spacing w:val="-2"/>
        </w:rPr>
        <w:t xml:space="preserve"> </w:t>
      </w:r>
      <w:r>
        <w:t>mandatory</w:t>
      </w:r>
      <w:r>
        <w:rPr>
          <w:spacing w:val="-2"/>
        </w:rPr>
        <w:t xml:space="preserve"> </w:t>
      </w:r>
      <w:r>
        <w:t>supplemental</w:t>
      </w:r>
      <w:r>
        <w:rPr>
          <w:spacing w:val="-4"/>
        </w:rPr>
        <w:t xml:space="preserve"> </w:t>
      </w:r>
      <w:r>
        <w:t>benefits</w:t>
      </w:r>
      <w:r>
        <w:rPr>
          <w:spacing w:val="-4"/>
        </w:rPr>
        <w:t xml:space="preserve"> </w:t>
      </w:r>
      <w:r>
        <w:t>(column</w:t>
      </w:r>
      <w:r>
        <w:rPr>
          <w:spacing w:val="-2"/>
        </w:rPr>
        <w:t xml:space="preserve"> </w:t>
      </w:r>
      <w:r>
        <w:t>r)</w:t>
      </w:r>
      <w:r>
        <w:rPr>
          <w:spacing w:val="-3"/>
        </w:rPr>
        <w:t xml:space="preserve"> </w:t>
      </w:r>
      <w:r>
        <w:t>is allocated between additional services (column p) and reduction of A/B cost sharing (column q). The allocation is based on the relative proportions of additional services and the reduction of A/B cost sharing, excluding the impact of the ESRD subsidy.</w:t>
      </w:r>
    </w:p>
    <w:p>
      <w:pPr>
        <w:spacing w:before="238"/>
        <w:ind w:left="1224" w:right="1481" w:firstLine="0"/>
        <w:jc w:val="left"/>
        <w:rPr>
          <w:rFonts w:ascii="Arial" w:hAnsi="Arial"/>
          <w:b/>
          <w:sz w:val="21"/>
        </w:rPr>
      </w:pPr>
      <w:r>
        <w:rPr>
          <w:rFonts w:ascii="Arial" w:hAnsi="Arial"/>
          <w:b/>
          <w:sz w:val="21"/>
        </w:rPr>
        <w:t>Columns</w:t>
      </w:r>
      <w:r>
        <w:rPr>
          <w:rFonts w:ascii="Arial" w:hAnsi="Arial"/>
          <w:b/>
          <w:spacing w:val="-4"/>
          <w:sz w:val="21"/>
        </w:rPr>
        <w:t xml:space="preserve"> </w:t>
      </w:r>
      <w:r>
        <w:rPr>
          <w:rFonts w:ascii="Arial" w:hAnsi="Arial"/>
          <w:b/>
          <w:sz w:val="21"/>
        </w:rPr>
        <w:t>o</w:t>
      </w:r>
      <w:r>
        <w:rPr>
          <w:rFonts w:ascii="Arial" w:hAnsi="Arial"/>
          <w:b/>
          <w:spacing w:val="-4"/>
          <w:sz w:val="21"/>
        </w:rPr>
        <w:t xml:space="preserve"> </w:t>
      </w:r>
      <w:r>
        <w:rPr>
          <w:rFonts w:ascii="Arial" w:hAnsi="Arial"/>
          <w:b/>
          <w:sz w:val="21"/>
        </w:rPr>
        <w:t>and</w:t>
      </w:r>
      <w:r>
        <w:rPr>
          <w:rFonts w:ascii="Arial" w:hAnsi="Arial"/>
          <w:b/>
          <w:spacing w:val="-3"/>
          <w:sz w:val="21"/>
        </w:rPr>
        <w:t xml:space="preserve"> </w:t>
      </w:r>
      <w:r>
        <w:rPr>
          <w:rFonts w:ascii="Arial" w:hAnsi="Arial"/>
          <w:b/>
          <w:sz w:val="21"/>
        </w:rPr>
        <w:t>r</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Non-Benefit</w:t>
      </w:r>
      <w:r>
        <w:rPr>
          <w:rFonts w:ascii="Arial" w:hAnsi="Arial"/>
          <w:b/>
          <w:spacing w:val="-5"/>
          <w:sz w:val="21"/>
        </w:rPr>
        <w:t xml:space="preserve"> </w:t>
      </w:r>
      <w:r>
        <w:rPr>
          <w:rFonts w:ascii="Arial" w:hAnsi="Arial"/>
          <w:b/>
          <w:sz w:val="21"/>
        </w:rPr>
        <w:t>Expense</w:t>
      </w:r>
      <w:r>
        <w:rPr>
          <w:rFonts w:ascii="Arial" w:hAnsi="Arial"/>
          <w:b/>
          <w:spacing w:val="-3"/>
          <w:sz w:val="21"/>
        </w:rPr>
        <w:t xml:space="preserve"> </w:t>
      </w:r>
      <w:r>
        <w:rPr>
          <w:rFonts w:ascii="Arial" w:hAnsi="Arial"/>
          <w:b/>
          <w:sz w:val="21"/>
        </w:rPr>
        <w:t>PMPM</w:t>
      </w:r>
      <w:r>
        <w:rPr>
          <w:rFonts w:ascii="Arial" w:hAnsi="Arial"/>
          <w:b/>
          <w:spacing w:val="-4"/>
          <w:sz w:val="21"/>
        </w:rPr>
        <w:t xml:space="preserve"> </w:t>
      </w:r>
      <w:r>
        <w:rPr>
          <w:rFonts w:ascii="Arial" w:hAnsi="Arial"/>
          <w:b/>
          <w:sz w:val="21"/>
        </w:rPr>
        <w:t>for</w:t>
      </w:r>
      <w:r>
        <w:rPr>
          <w:rFonts w:ascii="Arial" w:hAnsi="Arial"/>
          <w:b/>
          <w:spacing w:val="-4"/>
          <w:sz w:val="21"/>
        </w:rPr>
        <w:t xml:space="preserve"> </w:t>
      </w:r>
      <w:r>
        <w:rPr>
          <w:rFonts w:ascii="Arial" w:hAnsi="Arial"/>
          <w:b/>
          <w:sz w:val="21"/>
        </w:rPr>
        <w:t>Medicare-Covered</w:t>
      </w:r>
      <w:r>
        <w:rPr>
          <w:rFonts w:ascii="Arial" w:hAnsi="Arial"/>
          <w:b/>
          <w:spacing w:val="-3"/>
          <w:sz w:val="21"/>
        </w:rPr>
        <w:t xml:space="preserve"> </w:t>
      </w:r>
      <w:r>
        <w:rPr>
          <w:rFonts w:ascii="Arial" w:hAnsi="Arial"/>
          <w:b/>
          <w:sz w:val="21"/>
        </w:rPr>
        <w:t>and</w:t>
      </w:r>
      <w:r>
        <w:rPr>
          <w:rFonts w:ascii="Arial" w:hAnsi="Arial"/>
          <w:b/>
          <w:spacing w:val="-3"/>
          <w:sz w:val="21"/>
        </w:rPr>
        <w:t xml:space="preserve"> </w:t>
      </w:r>
      <w:r>
        <w:rPr>
          <w:rFonts w:ascii="Arial" w:hAnsi="Arial"/>
          <w:b/>
          <w:sz w:val="21"/>
        </w:rPr>
        <w:t>A/B Mandatory Supplemental Benefits</w:t>
      </w:r>
    </w:p>
    <w:p>
      <w:pPr>
        <w:pStyle w:val="BodyText"/>
        <w:spacing w:before="122"/>
        <w:ind w:left="1224"/>
      </w:pPr>
      <w:r>
        <w:t>The</w:t>
      </w:r>
      <w:r>
        <w:rPr>
          <w:spacing w:val="-5"/>
        </w:rPr>
        <w:t xml:space="preserve"> </w:t>
      </w:r>
      <w:r>
        <w:t>sum of</w:t>
      </w:r>
      <w:r>
        <w:rPr>
          <w:spacing w:val="-1"/>
        </w:rPr>
        <w:t xml:space="preserve"> </w:t>
      </w:r>
      <w:r>
        <w:t>lines v1</w:t>
      </w:r>
      <w:r>
        <w:rPr>
          <w:spacing w:val="-1"/>
        </w:rPr>
        <w:t xml:space="preserve"> </w:t>
      </w:r>
      <w:r>
        <w:t>through</w:t>
      </w:r>
      <w:r>
        <w:rPr>
          <w:spacing w:val="-1"/>
        </w:rPr>
        <w:t xml:space="preserve"> </w:t>
      </w:r>
      <w:r>
        <w:t>v4.</w:t>
      </w:r>
      <w:r>
        <w:rPr>
          <w:spacing w:val="-1"/>
        </w:rPr>
        <w:t xml:space="preserve"> </w:t>
      </w:r>
      <w:r>
        <w:t>The</w:t>
      </w:r>
      <w:r>
        <w:rPr>
          <w:spacing w:val="-1"/>
        </w:rPr>
        <w:t xml:space="preserve"> </w:t>
      </w:r>
      <w:r>
        <w:t>value must</w:t>
      </w:r>
      <w:r>
        <w:rPr>
          <w:spacing w:val="-1"/>
        </w:rPr>
        <w:t xml:space="preserve"> </w:t>
      </w:r>
      <w:r>
        <w:t>be</w:t>
      </w:r>
      <w:r>
        <w:rPr>
          <w:spacing w:val="-1"/>
        </w:rPr>
        <w:t xml:space="preserve"> </w:t>
      </w:r>
      <w:r>
        <w:t>greater</w:t>
      </w:r>
      <w:r>
        <w:rPr>
          <w:spacing w:val="-1"/>
        </w:rPr>
        <w:t xml:space="preserve"> </w:t>
      </w:r>
      <w:r>
        <w:t>than or equal to</w:t>
      </w:r>
      <w:r>
        <w:rPr>
          <w:spacing w:val="2"/>
        </w:rPr>
        <w:t xml:space="preserve"> </w:t>
      </w:r>
      <w:r>
        <w:rPr>
          <w:spacing w:val="-2"/>
        </w:rPr>
        <w:t>zero.</w:t>
      </w:r>
    </w:p>
    <w:p>
      <w:pPr>
        <w:spacing w:before="240"/>
        <w:ind w:left="504" w:right="0" w:firstLine="0"/>
        <w:jc w:val="left"/>
        <w:rPr>
          <w:rFonts w:ascii="Arial" w:hAnsi="Arial"/>
          <w:b/>
          <w:sz w:val="21"/>
        </w:rPr>
      </w:pPr>
      <w:bookmarkStart w:id="202" w:name="Line w – Gain/Loss Margin"/>
      <w:bookmarkEnd w:id="202"/>
      <w:r>
        <w:rPr>
          <w:rFonts w:ascii="Arial" w:hAnsi="Arial"/>
          <w:b/>
          <w:sz w:val="21"/>
        </w:rPr>
        <w:t>Line</w:t>
      </w:r>
      <w:r>
        <w:rPr>
          <w:rFonts w:ascii="Arial" w:hAnsi="Arial"/>
          <w:b/>
          <w:spacing w:val="-7"/>
          <w:sz w:val="21"/>
        </w:rPr>
        <w:t xml:space="preserve"> </w:t>
      </w:r>
      <w:r>
        <w:rPr>
          <w:rFonts w:ascii="Arial" w:hAnsi="Arial"/>
          <w:b/>
          <w:sz w:val="21"/>
        </w:rPr>
        <w:t>w</w:t>
      </w:r>
      <w:r>
        <w:rPr>
          <w:rFonts w:ascii="Arial" w:hAnsi="Arial"/>
          <w:b/>
          <w:spacing w:val="-2"/>
          <w:sz w:val="21"/>
        </w:rPr>
        <w:t xml:space="preserve"> </w:t>
      </w:r>
      <w:r>
        <w:rPr>
          <w:rFonts w:ascii="Arial" w:hAnsi="Arial"/>
          <w:b/>
          <w:sz w:val="21"/>
        </w:rPr>
        <w:t>–</w:t>
      </w:r>
      <w:r>
        <w:rPr>
          <w:rFonts w:ascii="Arial" w:hAnsi="Arial"/>
          <w:b/>
          <w:spacing w:val="-4"/>
          <w:sz w:val="21"/>
        </w:rPr>
        <w:t xml:space="preserve"> </w:t>
      </w:r>
      <w:r>
        <w:rPr>
          <w:rFonts w:ascii="Arial" w:hAnsi="Arial"/>
          <w:b/>
          <w:sz w:val="21"/>
        </w:rPr>
        <w:t>Gain/Loss</w:t>
      </w:r>
      <w:r>
        <w:rPr>
          <w:rFonts w:ascii="Arial" w:hAnsi="Arial"/>
          <w:b/>
          <w:spacing w:val="-3"/>
          <w:sz w:val="21"/>
        </w:rPr>
        <w:t xml:space="preserve"> </w:t>
      </w:r>
      <w:r>
        <w:rPr>
          <w:rFonts w:ascii="Arial" w:hAnsi="Arial"/>
          <w:b/>
          <w:spacing w:val="-2"/>
          <w:sz w:val="21"/>
        </w:rPr>
        <w:t>Margin</w:t>
      </w:r>
    </w:p>
    <w:p>
      <w:pPr>
        <w:pStyle w:val="BodyText"/>
        <w:spacing w:before="121"/>
        <w:ind w:right="1481"/>
      </w:pPr>
      <w:r>
        <w:t>Enter</w:t>
      </w:r>
      <w:r>
        <w:rPr>
          <w:spacing w:val="-3"/>
        </w:rPr>
        <w:t xml:space="preserve"> </w:t>
      </w:r>
      <w:r>
        <w:t>the</w:t>
      </w:r>
      <w:r>
        <w:rPr>
          <w:spacing w:val="-2"/>
        </w:rPr>
        <w:t xml:space="preserve"> </w:t>
      </w:r>
      <w:r>
        <w:t>projected</w:t>
      </w:r>
      <w:r>
        <w:rPr>
          <w:spacing w:val="-2"/>
        </w:rPr>
        <w:t xml:space="preserve"> </w:t>
      </w:r>
      <w:r>
        <w:t>PMPM</w:t>
      </w:r>
      <w:r>
        <w:rPr>
          <w:spacing w:val="-3"/>
        </w:rPr>
        <w:t xml:space="preserve"> </w:t>
      </w:r>
      <w:r>
        <w:t>for</w:t>
      </w:r>
      <w:r>
        <w:rPr>
          <w:spacing w:val="-4"/>
        </w:rPr>
        <w:t xml:space="preserve"> </w:t>
      </w:r>
      <w:r>
        <w:t>the</w:t>
      </w:r>
      <w:r>
        <w:rPr>
          <w:spacing w:val="-2"/>
        </w:rPr>
        <w:t xml:space="preserve"> </w:t>
      </w:r>
      <w:r>
        <w:t>gain/loss</w:t>
      </w:r>
      <w:r>
        <w:rPr>
          <w:spacing w:val="-2"/>
        </w:rPr>
        <w:t xml:space="preserve"> </w:t>
      </w:r>
      <w:r>
        <w:t>margin</w:t>
      </w:r>
      <w:r>
        <w:rPr>
          <w:spacing w:val="-2"/>
        </w:rPr>
        <w:t xml:space="preserve"> </w:t>
      </w:r>
      <w:r>
        <w:t>in</w:t>
      </w:r>
      <w:r>
        <w:rPr>
          <w:spacing w:val="-2"/>
        </w:rPr>
        <w:t xml:space="preserve"> </w:t>
      </w:r>
      <w:r>
        <w:t>column</w:t>
      </w:r>
      <w:r>
        <w:rPr>
          <w:spacing w:val="-2"/>
        </w:rPr>
        <w:t xml:space="preserve"> </w:t>
      </w:r>
      <w:r>
        <w:t>h</w:t>
      </w:r>
      <w:r>
        <w:rPr>
          <w:spacing w:val="-2"/>
        </w:rPr>
        <w:t xml:space="preserve"> </w:t>
      </w:r>
      <w:r>
        <w:t>for</w:t>
      </w:r>
      <w:r>
        <w:rPr>
          <w:spacing w:val="-4"/>
        </w:rPr>
        <w:t xml:space="preserve"> </w:t>
      </w:r>
      <w:r>
        <w:t>total</w:t>
      </w:r>
      <w:r>
        <w:rPr>
          <w:spacing w:val="-2"/>
        </w:rPr>
        <w:t xml:space="preserve"> </w:t>
      </w:r>
      <w:r>
        <w:t>MA</w:t>
      </w:r>
      <w:r>
        <w:rPr>
          <w:spacing w:val="-3"/>
        </w:rPr>
        <w:t xml:space="preserve"> </w:t>
      </w:r>
      <w:r>
        <w:t>services.</w:t>
      </w:r>
      <w:r>
        <w:rPr>
          <w:spacing w:val="-1"/>
        </w:rPr>
        <w:t xml:space="preserve"> </w:t>
      </w:r>
      <w:r>
        <w:t>Do</w:t>
      </w:r>
      <w:r>
        <w:rPr>
          <w:spacing w:val="-2"/>
        </w:rPr>
        <w:t xml:space="preserve"> </w:t>
      </w:r>
      <w:r>
        <w:t>not leave this field blank.</w:t>
      </w:r>
    </w:p>
    <w:p>
      <w:pPr>
        <w:pStyle w:val="BodyText"/>
        <w:spacing w:before="120"/>
        <w:ind w:right="1472"/>
      </w:pPr>
      <w:r>
        <w:t>The gain/loss margin is distributed proportionately between Medicare-covered services and A/B</w:t>
      </w:r>
      <w:r>
        <w:rPr>
          <w:spacing w:val="-3"/>
        </w:rPr>
        <w:t xml:space="preserve"> </w:t>
      </w:r>
      <w:r>
        <w:t>mandatory</w:t>
      </w:r>
      <w:r>
        <w:rPr>
          <w:spacing w:val="-4"/>
        </w:rPr>
        <w:t xml:space="preserve"> </w:t>
      </w:r>
      <w:r>
        <w:t>supplemental</w:t>
      </w:r>
      <w:r>
        <w:rPr>
          <w:spacing w:val="-3"/>
        </w:rPr>
        <w:t xml:space="preserve"> </w:t>
      </w:r>
      <w:r>
        <w:t>benefits.</w:t>
      </w:r>
      <w:r>
        <w:rPr>
          <w:spacing w:val="-3"/>
        </w:rPr>
        <w:t xml:space="preserve"> </w:t>
      </w:r>
      <w:r>
        <w:t>The</w:t>
      </w:r>
      <w:r>
        <w:rPr>
          <w:spacing w:val="-2"/>
        </w:rPr>
        <w:t xml:space="preserve"> </w:t>
      </w:r>
      <w:r>
        <w:t>allocation</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3"/>
        </w:rPr>
        <w:t xml:space="preserve"> </w:t>
      </w:r>
      <w:r>
        <w:t>relative</w:t>
      </w:r>
      <w:r>
        <w:rPr>
          <w:spacing w:val="-4"/>
        </w:rPr>
        <w:t xml:space="preserve"> </w:t>
      </w:r>
      <w:r>
        <w:t>proportions</w:t>
      </w:r>
      <w:r>
        <w:rPr>
          <w:spacing w:val="-4"/>
        </w:rPr>
        <w:t xml:space="preserve"> </w:t>
      </w:r>
      <w:r>
        <w:t>of</w:t>
      </w:r>
      <w:r>
        <w:rPr>
          <w:spacing w:val="-3"/>
        </w:rPr>
        <w:t xml:space="preserve"> </w:t>
      </w:r>
      <w:r>
        <w:t>the medical</w:t>
      </w:r>
      <w:r>
        <w:rPr>
          <w:spacing w:val="-4"/>
        </w:rPr>
        <w:t xml:space="preserve"> </w:t>
      </w:r>
      <w:r>
        <w:t>expense</w:t>
      </w:r>
      <w:r>
        <w:rPr>
          <w:spacing w:val="-5"/>
        </w:rPr>
        <w:t xml:space="preserve"> </w:t>
      </w:r>
      <w:r>
        <w:t>requirements</w:t>
      </w:r>
      <w:r>
        <w:rPr>
          <w:spacing w:val="-5"/>
        </w:rPr>
        <w:t xml:space="preserve"> </w:t>
      </w:r>
      <w:r>
        <w:t>for</w:t>
      </w:r>
      <w:r>
        <w:rPr>
          <w:spacing w:val="-5"/>
        </w:rPr>
        <w:t xml:space="preserve"> </w:t>
      </w:r>
      <w:r>
        <w:t>Medicare-covered</w:t>
      </w:r>
      <w:r>
        <w:rPr>
          <w:spacing w:val="-4"/>
        </w:rPr>
        <w:t xml:space="preserve"> </w:t>
      </w:r>
      <w:r>
        <w:t>services</w:t>
      </w:r>
      <w:r>
        <w:rPr>
          <w:spacing w:val="-4"/>
        </w:rPr>
        <w:t xml:space="preserve"> </w:t>
      </w:r>
      <w:r>
        <w:t>and</w:t>
      </w:r>
      <w:r>
        <w:rPr>
          <w:spacing w:val="-4"/>
        </w:rPr>
        <w:t xml:space="preserve"> </w:t>
      </w:r>
      <w:r>
        <w:t>A/B</w:t>
      </w:r>
      <w:r>
        <w:rPr>
          <w:spacing w:val="-4"/>
        </w:rPr>
        <w:t xml:space="preserve"> </w:t>
      </w:r>
      <w:r>
        <w:t>mandatory</w:t>
      </w:r>
      <w:r>
        <w:rPr>
          <w:spacing w:val="-4"/>
        </w:rPr>
        <w:t xml:space="preserve"> </w:t>
      </w:r>
      <w:r>
        <w:t>supplemental benefits, excluding the PMPM impact of the ESRD subsidy.</w:t>
      </w:r>
    </w:p>
    <w:p>
      <w:pPr>
        <w:spacing w:before="241"/>
        <w:ind w:left="504" w:right="0" w:firstLine="0"/>
        <w:jc w:val="left"/>
        <w:rPr>
          <w:rFonts w:ascii="Arial" w:hAnsi="Arial"/>
          <w:b/>
          <w:sz w:val="21"/>
        </w:rPr>
      </w:pPr>
      <w:bookmarkStart w:id="203" w:name="Line x – Total Revenue Requirement"/>
      <w:bookmarkEnd w:id="203"/>
      <w:r>
        <w:rPr>
          <w:rFonts w:ascii="Arial" w:hAnsi="Arial"/>
          <w:b/>
          <w:sz w:val="21"/>
        </w:rPr>
        <w:t>Line</w:t>
      </w:r>
      <w:r>
        <w:rPr>
          <w:rFonts w:ascii="Arial" w:hAnsi="Arial"/>
          <w:b/>
          <w:spacing w:val="-4"/>
          <w:sz w:val="21"/>
        </w:rPr>
        <w:t xml:space="preserve"> </w:t>
      </w:r>
      <w:r>
        <w:rPr>
          <w:rFonts w:ascii="Arial" w:hAnsi="Arial"/>
          <w:b/>
          <w:sz w:val="21"/>
        </w:rPr>
        <w:t>x</w:t>
      </w:r>
      <w:r>
        <w:rPr>
          <w:rFonts w:ascii="Arial" w:hAnsi="Arial"/>
          <w:b/>
          <w:spacing w:val="-3"/>
          <w:sz w:val="21"/>
        </w:rPr>
        <w:t xml:space="preserve"> </w:t>
      </w:r>
      <w:r>
        <w:rPr>
          <w:rFonts w:ascii="Arial" w:hAnsi="Arial"/>
          <w:b/>
          <w:sz w:val="21"/>
        </w:rPr>
        <w:t>–</w:t>
      </w:r>
      <w:r>
        <w:rPr>
          <w:rFonts w:ascii="Arial" w:hAnsi="Arial"/>
          <w:b/>
          <w:spacing w:val="-6"/>
          <w:sz w:val="21"/>
        </w:rPr>
        <w:t xml:space="preserve"> </w:t>
      </w:r>
      <w:r>
        <w:rPr>
          <w:rFonts w:ascii="Arial" w:hAnsi="Arial"/>
          <w:b/>
          <w:sz w:val="21"/>
        </w:rPr>
        <w:t>Total</w:t>
      </w:r>
      <w:r>
        <w:rPr>
          <w:rFonts w:ascii="Arial" w:hAnsi="Arial"/>
          <w:b/>
          <w:spacing w:val="-4"/>
          <w:sz w:val="21"/>
        </w:rPr>
        <w:t xml:space="preserve"> </w:t>
      </w:r>
      <w:r>
        <w:rPr>
          <w:rFonts w:ascii="Arial" w:hAnsi="Arial"/>
          <w:b/>
          <w:sz w:val="21"/>
        </w:rPr>
        <w:t>Revenue</w:t>
      </w:r>
      <w:r>
        <w:rPr>
          <w:rFonts w:ascii="Arial" w:hAnsi="Arial"/>
          <w:b/>
          <w:spacing w:val="-3"/>
          <w:sz w:val="21"/>
        </w:rPr>
        <w:t xml:space="preserve"> </w:t>
      </w:r>
      <w:r>
        <w:rPr>
          <w:rFonts w:ascii="Arial" w:hAnsi="Arial"/>
          <w:b/>
          <w:spacing w:val="-2"/>
          <w:sz w:val="21"/>
        </w:rPr>
        <w:t>Requirement</w:t>
      </w:r>
    </w:p>
    <w:p>
      <w:pPr>
        <w:pStyle w:val="BodyText"/>
        <w:spacing w:before="118"/>
        <w:ind w:right="1481"/>
      </w:pPr>
      <w:r>
        <w:t>The</w:t>
      </w:r>
      <w:r>
        <w:rPr>
          <w:spacing w:val="-5"/>
        </w:rPr>
        <w:t xml:space="preserve"> </w:t>
      </w:r>
      <w:r>
        <w:t>sum</w:t>
      </w:r>
      <w:r>
        <w:rPr>
          <w:spacing w:val="-3"/>
        </w:rPr>
        <w:t xml:space="preserve"> </w:t>
      </w:r>
      <w:r>
        <w:t>of</w:t>
      </w:r>
      <w:r>
        <w:rPr>
          <w:spacing w:val="-3"/>
        </w:rPr>
        <w:t xml:space="preserve"> </w:t>
      </w:r>
      <w:r>
        <w:t>lines</w:t>
      </w:r>
      <w:r>
        <w:rPr>
          <w:spacing w:val="-4"/>
        </w:rPr>
        <w:t xml:space="preserve"> </w:t>
      </w:r>
      <w:r>
        <w:t>u</w:t>
      </w:r>
      <w:r>
        <w:rPr>
          <w:spacing w:val="-3"/>
        </w:rPr>
        <w:t xml:space="preserve"> </w:t>
      </w:r>
      <w:r>
        <w:t>(medical</w:t>
      </w:r>
      <w:r>
        <w:rPr>
          <w:spacing w:val="-3"/>
        </w:rPr>
        <w:t xml:space="preserve"> </w:t>
      </w:r>
      <w:r>
        <w:t>expense),</w:t>
      </w:r>
      <w:r>
        <w:rPr>
          <w:spacing w:val="-3"/>
        </w:rPr>
        <w:t xml:space="preserve"> </w:t>
      </w:r>
      <w:r>
        <w:t>v</w:t>
      </w:r>
      <w:r>
        <w:rPr>
          <w:spacing w:val="-3"/>
        </w:rPr>
        <w:t xml:space="preserve"> </w:t>
      </w:r>
      <w:r>
        <w:t>(non-benefit</w:t>
      </w:r>
      <w:r>
        <w:rPr>
          <w:spacing w:val="-3"/>
        </w:rPr>
        <w:t xml:space="preserve"> </w:t>
      </w:r>
      <w:r>
        <w:t>expense),</w:t>
      </w:r>
      <w:r>
        <w:rPr>
          <w:spacing w:val="-3"/>
        </w:rPr>
        <w:t xml:space="preserve"> </w:t>
      </w:r>
      <w:r>
        <w:t>and</w:t>
      </w:r>
      <w:r>
        <w:rPr>
          <w:spacing w:val="-3"/>
        </w:rPr>
        <w:t xml:space="preserve"> </w:t>
      </w:r>
      <w:r>
        <w:t>w</w:t>
      </w:r>
      <w:r>
        <w:rPr>
          <w:spacing w:val="-2"/>
        </w:rPr>
        <w:t xml:space="preserve"> </w:t>
      </w:r>
      <w:r>
        <w:t>(gain/loss</w:t>
      </w:r>
      <w:r>
        <w:rPr>
          <w:spacing w:val="-4"/>
        </w:rPr>
        <w:t xml:space="preserve"> </w:t>
      </w:r>
      <w:r>
        <w:t>margin).</w:t>
      </w:r>
      <w:r>
        <w:rPr>
          <w:spacing w:val="-3"/>
        </w:rPr>
        <w:t xml:space="preserve"> </w:t>
      </w:r>
      <w:r>
        <w:t>The value in column o is the total revenue requirement of the “Plan A/B Bid.”</w:t>
      </w:r>
    </w:p>
    <w:p>
      <w:pPr>
        <w:pStyle w:val="BodyText"/>
        <w:spacing w:after="0"/>
        <w:sectPr>
          <w:pgSz w:w="12240" w:h="15840"/>
          <w:pgMar w:top="960" w:right="0" w:bottom="940" w:left="1080" w:header="727" w:footer="747"/>
          <w:cols w:space="720"/>
        </w:sectPr>
      </w:pPr>
    </w:p>
    <w:p>
      <w:pPr>
        <w:pStyle w:val="BodyText"/>
        <w:spacing w:before="225"/>
        <w:ind w:left="0"/>
        <w:rPr>
          <w:sz w:val="21"/>
        </w:rPr>
      </w:pPr>
    </w:p>
    <w:p>
      <w:pPr>
        <w:spacing w:before="0"/>
        <w:ind w:left="504" w:right="0" w:firstLine="0"/>
        <w:jc w:val="left"/>
        <w:rPr>
          <w:rFonts w:ascii="Arial" w:hAnsi="Arial"/>
          <w:b/>
          <w:sz w:val="21"/>
        </w:rPr>
      </w:pPr>
      <w:bookmarkStart w:id="204" w:name="Lines y1 through y3 – Percentage of Reve"/>
      <w:bookmarkEnd w:id="204"/>
      <w:r>
        <w:rPr>
          <w:rFonts w:ascii="Arial" w:hAnsi="Arial"/>
          <w:b/>
          <w:sz w:val="21"/>
        </w:rPr>
        <w:t>Lines</w:t>
      </w:r>
      <w:r>
        <w:rPr>
          <w:rFonts w:ascii="Arial" w:hAnsi="Arial"/>
          <w:b/>
          <w:spacing w:val="-4"/>
          <w:sz w:val="21"/>
        </w:rPr>
        <w:t xml:space="preserve"> </w:t>
      </w:r>
      <w:r>
        <w:rPr>
          <w:rFonts w:ascii="Arial" w:hAnsi="Arial"/>
          <w:b/>
          <w:sz w:val="21"/>
        </w:rPr>
        <w:t>y1</w:t>
      </w:r>
      <w:r>
        <w:rPr>
          <w:rFonts w:ascii="Arial" w:hAnsi="Arial"/>
          <w:b/>
          <w:spacing w:val="-4"/>
          <w:sz w:val="21"/>
        </w:rPr>
        <w:t xml:space="preserve"> </w:t>
      </w:r>
      <w:r>
        <w:rPr>
          <w:rFonts w:ascii="Arial" w:hAnsi="Arial"/>
          <w:b/>
          <w:sz w:val="21"/>
        </w:rPr>
        <w:t>through</w:t>
      </w:r>
      <w:r>
        <w:rPr>
          <w:rFonts w:ascii="Arial" w:hAnsi="Arial"/>
          <w:b/>
          <w:spacing w:val="-3"/>
          <w:sz w:val="21"/>
        </w:rPr>
        <w:t xml:space="preserve"> </w:t>
      </w:r>
      <w:r>
        <w:rPr>
          <w:rFonts w:ascii="Arial" w:hAnsi="Arial"/>
          <w:b/>
          <w:sz w:val="21"/>
        </w:rPr>
        <w:t>y3</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Percentage</w:t>
      </w:r>
      <w:r>
        <w:rPr>
          <w:rFonts w:ascii="Arial" w:hAnsi="Arial"/>
          <w:b/>
          <w:spacing w:val="-4"/>
          <w:sz w:val="21"/>
        </w:rPr>
        <w:t xml:space="preserve"> </w:t>
      </w:r>
      <w:r>
        <w:rPr>
          <w:rFonts w:ascii="Arial" w:hAnsi="Arial"/>
          <w:b/>
          <w:sz w:val="21"/>
        </w:rPr>
        <w:t>of</w:t>
      </w:r>
      <w:r>
        <w:rPr>
          <w:rFonts w:ascii="Arial" w:hAnsi="Arial"/>
          <w:b/>
          <w:spacing w:val="-3"/>
          <w:sz w:val="21"/>
        </w:rPr>
        <w:t xml:space="preserve"> </w:t>
      </w:r>
      <w:r>
        <w:rPr>
          <w:rFonts w:ascii="Arial" w:hAnsi="Arial"/>
          <w:b/>
          <w:spacing w:val="-2"/>
          <w:sz w:val="21"/>
        </w:rPr>
        <w:t>Revenue</w:t>
      </w:r>
    </w:p>
    <w:p>
      <w:pPr>
        <w:pStyle w:val="BodyText"/>
        <w:spacing w:before="120"/>
        <w:ind w:right="1841"/>
      </w:pPr>
      <w:r>
        <w:t>These</w:t>
      </w:r>
      <w:r>
        <w:rPr>
          <w:spacing w:val="-5"/>
        </w:rPr>
        <w:t xml:space="preserve"> </w:t>
      </w:r>
      <w:r>
        <w:t>lines</w:t>
      </w:r>
      <w:r>
        <w:rPr>
          <w:spacing w:val="-5"/>
        </w:rPr>
        <w:t xml:space="preserve"> </w:t>
      </w:r>
      <w:r>
        <w:t>calculate</w:t>
      </w:r>
      <w:r>
        <w:rPr>
          <w:spacing w:val="-5"/>
        </w:rPr>
        <w:t xml:space="preserve"> </w:t>
      </w:r>
      <w:r>
        <w:t>the</w:t>
      </w:r>
      <w:r>
        <w:rPr>
          <w:spacing w:val="-3"/>
        </w:rPr>
        <w:t xml:space="preserve"> </w:t>
      </w:r>
      <w:r>
        <w:t>ratio</w:t>
      </w:r>
      <w:r>
        <w:rPr>
          <w:spacing w:val="-4"/>
        </w:rPr>
        <w:t xml:space="preserve"> </w:t>
      </w:r>
      <w:r>
        <w:t>of</w:t>
      </w:r>
      <w:r>
        <w:rPr>
          <w:spacing w:val="-4"/>
        </w:rPr>
        <w:t xml:space="preserve"> </w:t>
      </w:r>
      <w:r>
        <w:t>net</w:t>
      </w:r>
      <w:r>
        <w:rPr>
          <w:spacing w:val="-4"/>
        </w:rPr>
        <w:t xml:space="preserve"> </w:t>
      </w:r>
      <w:r>
        <w:t>medical</w:t>
      </w:r>
      <w:r>
        <w:rPr>
          <w:spacing w:val="-4"/>
        </w:rPr>
        <w:t xml:space="preserve"> </w:t>
      </w:r>
      <w:r>
        <w:t>expense,</w:t>
      </w:r>
      <w:r>
        <w:rPr>
          <w:spacing w:val="-4"/>
        </w:rPr>
        <w:t xml:space="preserve"> </w:t>
      </w:r>
      <w:r>
        <w:t>non-benefit</w:t>
      </w:r>
      <w:r>
        <w:rPr>
          <w:spacing w:val="-4"/>
        </w:rPr>
        <w:t xml:space="preserve"> </w:t>
      </w:r>
      <w:r>
        <w:t>expense,</w:t>
      </w:r>
      <w:r>
        <w:rPr>
          <w:spacing w:val="-2"/>
        </w:rPr>
        <w:t xml:space="preserve"> </w:t>
      </w:r>
      <w:r>
        <w:t>and</w:t>
      </w:r>
      <w:r>
        <w:rPr>
          <w:spacing w:val="-4"/>
        </w:rPr>
        <w:t xml:space="preserve"> </w:t>
      </w:r>
      <w:r>
        <w:t>gain/loss margin as a percentage of revenue.</w:t>
      </w:r>
    </w:p>
    <w:p>
      <w:pPr>
        <w:spacing w:before="241"/>
        <w:ind w:left="504" w:right="0" w:firstLine="0"/>
        <w:jc w:val="left"/>
        <w:rPr>
          <w:rFonts w:ascii="Arial" w:hAnsi="Arial"/>
          <w:b/>
          <w:sz w:val="21"/>
        </w:rPr>
      </w:pPr>
      <w:bookmarkStart w:id="205" w:name="Lines z1 through z2 – Related-Party Expe"/>
      <w:bookmarkEnd w:id="205"/>
      <w:r>
        <w:rPr>
          <w:rFonts w:ascii="Arial" w:hAnsi="Arial"/>
          <w:b/>
          <w:sz w:val="21"/>
        </w:rPr>
        <w:t>Lines</w:t>
      </w:r>
      <w:r>
        <w:rPr>
          <w:rFonts w:ascii="Arial" w:hAnsi="Arial"/>
          <w:b/>
          <w:spacing w:val="-5"/>
          <w:sz w:val="21"/>
        </w:rPr>
        <w:t xml:space="preserve"> </w:t>
      </w:r>
      <w:r>
        <w:rPr>
          <w:rFonts w:ascii="Arial" w:hAnsi="Arial"/>
          <w:b/>
          <w:sz w:val="21"/>
        </w:rPr>
        <w:t>z1</w:t>
      </w:r>
      <w:r>
        <w:rPr>
          <w:rFonts w:ascii="Arial" w:hAnsi="Arial"/>
          <w:b/>
          <w:spacing w:val="-5"/>
          <w:sz w:val="21"/>
        </w:rPr>
        <w:t xml:space="preserve"> </w:t>
      </w:r>
      <w:r>
        <w:rPr>
          <w:rFonts w:ascii="Arial" w:hAnsi="Arial"/>
          <w:b/>
          <w:sz w:val="21"/>
        </w:rPr>
        <w:t>through</w:t>
      </w:r>
      <w:r>
        <w:rPr>
          <w:rFonts w:ascii="Arial" w:hAnsi="Arial"/>
          <w:b/>
          <w:spacing w:val="-3"/>
          <w:sz w:val="21"/>
        </w:rPr>
        <w:t xml:space="preserve"> </w:t>
      </w:r>
      <w:r>
        <w:rPr>
          <w:rFonts w:ascii="Arial" w:hAnsi="Arial"/>
          <w:b/>
          <w:sz w:val="21"/>
        </w:rPr>
        <w:t>z2</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Related-Party</w:t>
      </w:r>
      <w:r>
        <w:rPr>
          <w:rFonts w:ascii="Arial" w:hAnsi="Arial"/>
          <w:b/>
          <w:spacing w:val="-4"/>
          <w:sz w:val="21"/>
        </w:rPr>
        <w:t xml:space="preserve"> </w:t>
      </w:r>
      <w:r>
        <w:rPr>
          <w:rFonts w:ascii="Arial" w:hAnsi="Arial"/>
          <w:b/>
          <w:spacing w:val="-2"/>
          <w:sz w:val="21"/>
        </w:rPr>
        <w:t>Expenses</w:t>
      </w:r>
    </w:p>
    <w:p>
      <w:pPr>
        <w:pStyle w:val="BodyText"/>
        <w:spacing w:before="118"/>
      </w:pPr>
      <w:r>
        <w:t>See</w:t>
      </w:r>
      <w:r>
        <w:rPr>
          <w:spacing w:val="-4"/>
        </w:rPr>
        <w:t xml:space="preserve"> </w:t>
      </w:r>
      <w:r>
        <w:t>the</w:t>
      </w:r>
      <w:r>
        <w:rPr>
          <w:spacing w:val="-1"/>
        </w:rPr>
        <w:t xml:space="preserve"> </w:t>
      </w:r>
      <w:r>
        <w:t>“Related-Party</w:t>
      </w:r>
      <w:r>
        <w:rPr>
          <w:spacing w:val="-1"/>
        </w:rPr>
        <w:t xml:space="preserve"> </w:t>
      </w:r>
      <w:r>
        <w:t>Arrangements”</w:t>
      </w:r>
      <w:r>
        <w:rPr>
          <w:spacing w:val="-1"/>
        </w:rPr>
        <w:t xml:space="preserve"> </w:t>
      </w:r>
      <w:r>
        <w:t>pricing</w:t>
      </w:r>
      <w:r>
        <w:rPr>
          <w:spacing w:val="-1"/>
        </w:rPr>
        <w:t xml:space="preserve"> </w:t>
      </w:r>
      <w:r>
        <w:t>consideration</w:t>
      </w:r>
      <w:r>
        <w:rPr>
          <w:spacing w:val="-1"/>
        </w:rPr>
        <w:t xml:space="preserve"> </w:t>
      </w:r>
      <w:r>
        <w:t>for</w:t>
      </w:r>
      <w:r>
        <w:rPr>
          <w:spacing w:val="-1"/>
        </w:rPr>
        <w:t xml:space="preserve"> </w:t>
      </w:r>
      <w:r>
        <w:t>more</w:t>
      </w:r>
      <w:r>
        <w:rPr>
          <w:spacing w:val="-2"/>
        </w:rPr>
        <w:t xml:space="preserve"> </w:t>
      </w:r>
      <w:r>
        <w:t>information</w:t>
      </w:r>
      <w:r>
        <w:rPr>
          <w:spacing w:val="-1"/>
        </w:rPr>
        <w:t xml:space="preserve"> </w:t>
      </w:r>
      <w:r>
        <w:rPr>
          <w:spacing w:val="-2"/>
        </w:rPr>
        <w:t>regarding</w:t>
      </w:r>
    </w:p>
    <w:p>
      <w:pPr>
        <w:pStyle w:val="BodyText"/>
      </w:pPr>
      <w:r>
        <w:t>related-party</w:t>
      </w:r>
      <w:r>
        <w:rPr>
          <w:spacing w:val="-4"/>
        </w:rPr>
        <w:t xml:space="preserve"> </w:t>
      </w:r>
      <w:r>
        <w:rPr>
          <w:spacing w:val="-2"/>
        </w:rPr>
        <w:t>requirements.</w:t>
      </w:r>
    </w:p>
    <w:p>
      <w:pPr>
        <w:pStyle w:val="ListParagraph"/>
        <w:numPr>
          <w:ilvl w:val="0"/>
          <w:numId w:val="43"/>
        </w:numPr>
        <w:tabs>
          <w:tab w:val="left" w:pos="1223"/>
        </w:tabs>
        <w:spacing w:before="121" w:after="0" w:line="240" w:lineRule="auto"/>
        <w:ind w:left="1223" w:right="0" w:hanging="359"/>
        <w:jc w:val="left"/>
        <w:rPr>
          <w:rFonts w:ascii="Arial" w:hAnsi="Arial"/>
          <w:b/>
          <w:sz w:val="21"/>
        </w:rPr>
      </w:pPr>
      <w:r>
        <w:rPr>
          <w:rFonts w:ascii="Arial" w:hAnsi="Arial"/>
          <w:b/>
          <w:sz w:val="21"/>
        </w:rPr>
        <w:t>Line</w:t>
      </w:r>
      <w:r>
        <w:rPr>
          <w:rFonts w:ascii="Arial" w:hAnsi="Arial"/>
          <w:b/>
          <w:spacing w:val="-6"/>
          <w:sz w:val="21"/>
        </w:rPr>
        <w:t xml:space="preserve"> </w:t>
      </w:r>
      <w:r>
        <w:rPr>
          <w:rFonts w:ascii="Arial" w:hAnsi="Arial"/>
          <w:b/>
          <w:sz w:val="21"/>
        </w:rPr>
        <w:t>z1</w:t>
      </w:r>
      <w:r>
        <w:rPr>
          <w:rFonts w:ascii="Arial" w:hAnsi="Arial"/>
          <w:b/>
          <w:spacing w:val="-6"/>
          <w:sz w:val="21"/>
        </w:rPr>
        <w:t xml:space="preserve"> </w:t>
      </w:r>
      <w:r>
        <w:rPr>
          <w:rFonts w:ascii="Arial" w:hAnsi="Arial"/>
          <w:b/>
          <w:sz w:val="21"/>
        </w:rPr>
        <w:t>–</w:t>
      </w:r>
      <w:r>
        <w:rPr>
          <w:rFonts w:ascii="Arial" w:hAnsi="Arial"/>
          <w:b/>
          <w:spacing w:val="-7"/>
          <w:sz w:val="21"/>
        </w:rPr>
        <w:t xml:space="preserve"> </w:t>
      </w:r>
      <w:r>
        <w:rPr>
          <w:rFonts w:ascii="Arial" w:hAnsi="Arial"/>
          <w:b/>
          <w:sz w:val="21"/>
        </w:rPr>
        <w:t>Related-Party</w:t>
      </w:r>
      <w:r>
        <w:rPr>
          <w:rFonts w:ascii="Arial" w:hAnsi="Arial"/>
          <w:b/>
          <w:spacing w:val="-8"/>
          <w:sz w:val="21"/>
        </w:rPr>
        <w:t xml:space="preserve"> </w:t>
      </w:r>
      <w:r>
        <w:rPr>
          <w:rFonts w:ascii="Arial" w:hAnsi="Arial"/>
          <w:b/>
          <w:sz w:val="21"/>
        </w:rPr>
        <w:t>and</w:t>
      </w:r>
      <w:r>
        <w:rPr>
          <w:rFonts w:ascii="Arial" w:hAnsi="Arial"/>
          <w:b/>
          <w:spacing w:val="-8"/>
          <w:sz w:val="21"/>
        </w:rPr>
        <w:t xml:space="preserve"> </w:t>
      </w:r>
      <w:r>
        <w:rPr>
          <w:rFonts w:ascii="Arial" w:hAnsi="Arial"/>
          <w:b/>
          <w:sz w:val="21"/>
        </w:rPr>
        <w:t>Same</w:t>
      </w:r>
      <w:r>
        <w:rPr>
          <w:rFonts w:ascii="Arial" w:hAnsi="Arial"/>
          <w:b/>
          <w:spacing w:val="-8"/>
          <w:sz w:val="21"/>
        </w:rPr>
        <w:t xml:space="preserve"> </w:t>
      </w:r>
      <w:r>
        <w:rPr>
          <w:rFonts w:ascii="Arial" w:hAnsi="Arial"/>
          <w:b/>
          <w:sz w:val="21"/>
        </w:rPr>
        <w:t>Tax</w:t>
      </w:r>
      <w:r>
        <w:rPr>
          <w:rFonts w:ascii="Arial" w:hAnsi="Arial"/>
          <w:b/>
          <w:spacing w:val="-6"/>
          <w:sz w:val="21"/>
        </w:rPr>
        <w:t xml:space="preserve"> </w:t>
      </w:r>
      <w:r>
        <w:rPr>
          <w:rFonts w:ascii="Arial" w:hAnsi="Arial"/>
          <w:b/>
          <w:sz w:val="21"/>
        </w:rPr>
        <w:t>Identification</w:t>
      </w:r>
      <w:r>
        <w:rPr>
          <w:rFonts w:ascii="Arial" w:hAnsi="Arial"/>
          <w:b/>
          <w:spacing w:val="-5"/>
          <w:sz w:val="21"/>
        </w:rPr>
        <w:t xml:space="preserve"> </w:t>
      </w:r>
      <w:r>
        <w:rPr>
          <w:rFonts w:ascii="Arial" w:hAnsi="Arial"/>
          <w:b/>
          <w:sz w:val="21"/>
        </w:rPr>
        <w:t>Number</w:t>
      </w:r>
      <w:r>
        <w:rPr>
          <w:rFonts w:ascii="Arial" w:hAnsi="Arial"/>
          <w:b/>
          <w:spacing w:val="-4"/>
          <w:sz w:val="21"/>
        </w:rPr>
        <w:t xml:space="preserve"> </w:t>
      </w:r>
      <w:r>
        <w:rPr>
          <w:rFonts w:ascii="Arial" w:hAnsi="Arial"/>
          <w:b/>
          <w:sz w:val="21"/>
        </w:rPr>
        <w:t>Allowed</w:t>
      </w:r>
      <w:r>
        <w:rPr>
          <w:rFonts w:ascii="Arial" w:hAnsi="Arial"/>
          <w:b/>
          <w:spacing w:val="-5"/>
          <w:sz w:val="21"/>
        </w:rPr>
        <w:t xml:space="preserve"> </w:t>
      </w:r>
      <w:r>
        <w:rPr>
          <w:rFonts w:ascii="Arial" w:hAnsi="Arial"/>
          <w:b/>
          <w:sz w:val="21"/>
        </w:rPr>
        <w:t>Cost</w:t>
      </w:r>
      <w:r>
        <w:rPr>
          <w:rFonts w:ascii="Arial" w:hAnsi="Arial"/>
          <w:b/>
          <w:spacing w:val="-5"/>
          <w:sz w:val="21"/>
        </w:rPr>
        <w:t xml:space="preserve"> </w:t>
      </w:r>
      <w:r>
        <w:rPr>
          <w:rFonts w:ascii="Arial" w:hAnsi="Arial"/>
          <w:b/>
          <w:spacing w:val="-4"/>
          <w:sz w:val="21"/>
        </w:rPr>
        <w:t>PMPM</w:t>
      </w:r>
    </w:p>
    <w:p>
      <w:pPr>
        <w:pStyle w:val="BodyText"/>
        <w:spacing w:before="120"/>
        <w:ind w:left="1224"/>
      </w:pPr>
      <w:r>
        <w:t>Enter</w:t>
      </w:r>
      <w:r>
        <w:rPr>
          <w:spacing w:val="-1"/>
        </w:rPr>
        <w:t xml:space="preserve"> </w:t>
      </w:r>
      <w:r>
        <w:t>the</w:t>
      </w:r>
      <w:r>
        <w:rPr>
          <w:spacing w:val="-2"/>
        </w:rPr>
        <w:t xml:space="preserve"> </w:t>
      </w:r>
      <w:r>
        <w:t>best</w:t>
      </w:r>
      <w:r>
        <w:rPr>
          <w:spacing w:val="-1"/>
        </w:rPr>
        <w:t xml:space="preserve"> </w:t>
      </w:r>
      <w:r>
        <w:t>estimate</w:t>
      </w:r>
      <w:r>
        <w:rPr>
          <w:spacing w:val="-1"/>
        </w:rPr>
        <w:t xml:space="preserve"> </w:t>
      </w:r>
      <w:r>
        <w:t>of the plan</w:t>
      </w:r>
      <w:r>
        <w:rPr>
          <w:spacing w:val="-1"/>
        </w:rPr>
        <w:t xml:space="preserve"> </w:t>
      </w:r>
      <w:r>
        <w:t>sponsor’s</w:t>
      </w:r>
      <w:r>
        <w:rPr>
          <w:spacing w:val="-1"/>
        </w:rPr>
        <w:t xml:space="preserve"> </w:t>
      </w:r>
      <w:r>
        <w:t>total</w:t>
      </w:r>
      <w:r>
        <w:rPr>
          <w:spacing w:val="-1"/>
        </w:rPr>
        <w:t xml:space="preserve"> </w:t>
      </w:r>
      <w:r>
        <w:t>allowed PMPM</w:t>
      </w:r>
      <w:r>
        <w:rPr>
          <w:spacing w:val="-2"/>
        </w:rPr>
        <w:t xml:space="preserve"> </w:t>
      </w:r>
      <w:r>
        <w:t>cost for</w:t>
      </w:r>
      <w:r>
        <w:rPr>
          <w:spacing w:val="-2"/>
        </w:rPr>
        <w:t xml:space="preserve"> </w:t>
      </w:r>
      <w:r>
        <w:t xml:space="preserve">the sum </w:t>
      </w:r>
      <w:r>
        <w:rPr>
          <w:spacing w:val="-5"/>
        </w:rPr>
        <w:t>of</w:t>
      </w:r>
    </w:p>
    <w:p>
      <w:pPr>
        <w:pStyle w:val="BodyText"/>
        <w:ind w:left="1224"/>
      </w:pPr>
      <w:r>
        <w:t xml:space="preserve">the </w:t>
      </w:r>
      <w:r>
        <w:rPr>
          <w:spacing w:val="-2"/>
        </w:rPr>
        <w:t>following:</w:t>
      </w:r>
    </w:p>
    <w:p>
      <w:pPr>
        <w:pStyle w:val="ListParagraph"/>
        <w:numPr>
          <w:ilvl w:val="0"/>
          <w:numId w:val="42"/>
        </w:numPr>
        <w:tabs>
          <w:tab w:val="left" w:pos="2303"/>
        </w:tabs>
        <w:spacing w:before="120" w:after="0" w:line="240" w:lineRule="auto"/>
        <w:ind w:left="2303" w:right="0" w:hanging="359"/>
        <w:jc w:val="left"/>
        <w:rPr>
          <w:sz w:val="24"/>
        </w:rPr>
      </w:pPr>
      <w:r>
        <w:rPr>
          <w:sz w:val="24"/>
        </w:rPr>
        <w:t>All</w:t>
      </w:r>
      <w:r>
        <w:rPr>
          <w:spacing w:val="-2"/>
          <w:sz w:val="24"/>
        </w:rPr>
        <w:t xml:space="preserve"> </w:t>
      </w:r>
      <w:r>
        <w:rPr>
          <w:sz w:val="24"/>
        </w:rPr>
        <w:t>related-party</w:t>
      </w:r>
      <w:r>
        <w:rPr>
          <w:spacing w:val="-1"/>
          <w:sz w:val="24"/>
        </w:rPr>
        <w:t xml:space="preserve"> </w:t>
      </w:r>
      <w:r>
        <w:rPr>
          <w:sz w:val="24"/>
        </w:rPr>
        <w:t>medical</w:t>
      </w:r>
      <w:r>
        <w:rPr>
          <w:spacing w:val="1"/>
          <w:sz w:val="24"/>
        </w:rPr>
        <w:t xml:space="preserve"> </w:t>
      </w:r>
      <w:r>
        <w:rPr>
          <w:sz w:val="24"/>
        </w:rPr>
        <w:t>services</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bid,</w:t>
      </w:r>
      <w:r>
        <w:rPr>
          <w:spacing w:val="-1"/>
          <w:sz w:val="24"/>
        </w:rPr>
        <w:t xml:space="preserve"> </w:t>
      </w:r>
      <w:r>
        <w:rPr>
          <w:spacing w:val="-5"/>
          <w:sz w:val="24"/>
        </w:rPr>
        <w:t>and</w:t>
      </w:r>
    </w:p>
    <w:p>
      <w:pPr>
        <w:pStyle w:val="ListParagraph"/>
        <w:numPr>
          <w:ilvl w:val="0"/>
          <w:numId w:val="42"/>
        </w:numPr>
        <w:tabs>
          <w:tab w:val="left" w:pos="2304"/>
        </w:tabs>
        <w:spacing w:before="121" w:after="0" w:line="240" w:lineRule="auto"/>
        <w:ind w:left="2304" w:right="2194" w:hanging="360"/>
        <w:jc w:val="left"/>
        <w:rPr>
          <w:sz w:val="24"/>
        </w:rPr>
      </w:pPr>
      <w:r>
        <w:rPr>
          <w:sz w:val="24"/>
        </w:rPr>
        <w:t>Services</w:t>
      </w:r>
      <w:r>
        <w:rPr>
          <w:spacing w:val="-5"/>
          <w:sz w:val="24"/>
        </w:rPr>
        <w:t xml:space="preserve"> </w:t>
      </w:r>
      <w:r>
        <w:rPr>
          <w:sz w:val="24"/>
        </w:rPr>
        <w:t>provided</w:t>
      </w:r>
      <w:r>
        <w:rPr>
          <w:spacing w:val="-5"/>
          <w:sz w:val="24"/>
        </w:rPr>
        <w:t xml:space="preserve"> </w:t>
      </w:r>
      <w:r>
        <w:rPr>
          <w:sz w:val="24"/>
        </w:rPr>
        <w:t>by</w:t>
      </w:r>
      <w:r>
        <w:rPr>
          <w:spacing w:val="-3"/>
          <w:sz w:val="24"/>
        </w:rPr>
        <w:t xml:space="preserve"> </w:t>
      </w:r>
      <w:r>
        <w:rPr>
          <w:sz w:val="24"/>
        </w:rPr>
        <w:t>entities</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same</w:t>
      </w:r>
      <w:r>
        <w:rPr>
          <w:spacing w:val="-4"/>
          <w:sz w:val="24"/>
        </w:rPr>
        <w:t xml:space="preserve"> </w:t>
      </w:r>
      <w:r>
        <w:rPr>
          <w:sz w:val="24"/>
        </w:rPr>
        <w:t>tax</w:t>
      </w:r>
      <w:r>
        <w:rPr>
          <w:spacing w:val="-5"/>
          <w:sz w:val="24"/>
        </w:rPr>
        <w:t xml:space="preserve"> </w:t>
      </w:r>
      <w:r>
        <w:rPr>
          <w:sz w:val="24"/>
        </w:rPr>
        <w:t>identification</w:t>
      </w:r>
      <w:r>
        <w:rPr>
          <w:spacing w:val="-5"/>
          <w:sz w:val="24"/>
        </w:rPr>
        <w:t xml:space="preserve"> </w:t>
      </w:r>
      <w:r>
        <w:rPr>
          <w:sz w:val="24"/>
        </w:rPr>
        <w:t>number reported in the bid.</w:t>
      </w:r>
    </w:p>
    <w:p>
      <w:pPr>
        <w:pStyle w:val="ListParagraph"/>
        <w:numPr>
          <w:ilvl w:val="0"/>
          <w:numId w:val="43"/>
        </w:numPr>
        <w:tabs>
          <w:tab w:val="left" w:pos="1223"/>
        </w:tabs>
        <w:spacing w:before="120" w:after="0" w:line="240" w:lineRule="auto"/>
        <w:ind w:left="1223" w:right="0" w:hanging="359"/>
        <w:jc w:val="left"/>
        <w:rPr>
          <w:rFonts w:ascii="Arial" w:hAnsi="Arial"/>
          <w:b/>
          <w:sz w:val="21"/>
        </w:rPr>
      </w:pPr>
      <w:r>
        <w:rPr>
          <w:rFonts w:ascii="Arial" w:hAnsi="Arial"/>
          <w:b/>
          <w:sz w:val="21"/>
        </w:rPr>
        <w:t>Line</w:t>
      </w:r>
      <w:r>
        <w:rPr>
          <w:rFonts w:ascii="Arial" w:hAnsi="Arial"/>
          <w:b/>
          <w:spacing w:val="-6"/>
          <w:sz w:val="21"/>
        </w:rPr>
        <w:t xml:space="preserve"> </w:t>
      </w:r>
      <w:r>
        <w:rPr>
          <w:rFonts w:ascii="Arial" w:hAnsi="Arial"/>
          <w:b/>
          <w:sz w:val="21"/>
        </w:rPr>
        <w:t>z2</w:t>
      </w:r>
      <w:r>
        <w:rPr>
          <w:rFonts w:ascii="Arial" w:hAnsi="Arial"/>
          <w:b/>
          <w:spacing w:val="-6"/>
          <w:sz w:val="21"/>
        </w:rPr>
        <w:t xml:space="preserve"> </w:t>
      </w:r>
      <w:r>
        <w:rPr>
          <w:rFonts w:ascii="Arial" w:hAnsi="Arial"/>
          <w:b/>
          <w:sz w:val="21"/>
        </w:rPr>
        <w:t>–</w:t>
      </w:r>
      <w:r>
        <w:rPr>
          <w:rFonts w:ascii="Arial" w:hAnsi="Arial"/>
          <w:b/>
          <w:spacing w:val="-8"/>
          <w:sz w:val="21"/>
        </w:rPr>
        <w:t xml:space="preserve"> </w:t>
      </w:r>
      <w:r>
        <w:rPr>
          <w:rFonts w:ascii="Arial" w:hAnsi="Arial"/>
          <w:b/>
          <w:sz w:val="21"/>
        </w:rPr>
        <w:t>Related-Party</w:t>
      </w:r>
      <w:r>
        <w:rPr>
          <w:rFonts w:ascii="Arial" w:hAnsi="Arial"/>
          <w:b/>
          <w:spacing w:val="-8"/>
          <w:sz w:val="21"/>
        </w:rPr>
        <w:t xml:space="preserve"> </w:t>
      </w:r>
      <w:r>
        <w:rPr>
          <w:rFonts w:ascii="Arial" w:hAnsi="Arial"/>
          <w:b/>
          <w:sz w:val="21"/>
        </w:rPr>
        <w:t>Non-Benefit</w:t>
      </w:r>
      <w:r>
        <w:rPr>
          <w:rFonts w:ascii="Arial" w:hAnsi="Arial"/>
          <w:b/>
          <w:spacing w:val="-7"/>
          <w:sz w:val="21"/>
        </w:rPr>
        <w:t xml:space="preserve"> </w:t>
      </w:r>
      <w:r>
        <w:rPr>
          <w:rFonts w:ascii="Arial" w:hAnsi="Arial"/>
          <w:b/>
          <w:sz w:val="21"/>
        </w:rPr>
        <w:t>Expense</w:t>
      </w:r>
      <w:r>
        <w:rPr>
          <w:rFonts w:ascii="Arial" w:hAnsi="Arial"/>
          <w:b/>
          <w:spacing w:val="-5"/>
          <w:sz w:val="21"/>
        </w:rPr>
        <w:t xml:space="preserve"> </w:t>
      </w:r>
      <w:r>
        <w:rPr>
          <w:rFonts w:ascii="Arial" w:hAnsi="Arial"/>
          <w:b/>
          <w:spacing w:val="-4"/>
          <w:sz w:val="21"/>
        </w:rPr>
        <w:t>PMPM</w:t>
      </w:r>
    </w:p>
    <w:p>
      <w:pPr>
        <w:pStyle w:val="BodyText"/>
        <w:spacing w:before="118"/>
        <w:ind w:left="1224" w:right="2076"/>
      </w:pPr>
      <w:r>
        <w:t>Enter</w:t>
      </w:r>
      <w:r>
        <w:rPr>
          <w:spacing w:val="-3"/>
        </w:rPr>
        <w:t xml:space="preserve"> </w:t>
      </w:r>
      <w:r>
        <w:t>the</w:t>
      </w:r>
      <w:r>
        <w:rPr>
          <w:spacing w:val="-5"/>
        </w:rPr>
        <w:t xml:space="preserve"> </w:t>
      </w:r>
      <w:r>
        <w:t>best</w:t>
      </w:r>
      <w:r>
        <w:rPr>
          <w:spacing w:val="-3"/>
        </w:rPr>
        <w:t xml:space="preserve"> </w:t>
      </w:r>
      <w:r>
        <w:t>estimate</w:t>
      </w:r>
      <w:r>
        <w:rPr>
          <w:spacing w:val="-4"/>
        </w:rPr>
        <w:t xml:space="preserve"> </w:t>
      </w:r>
      <w:r>
        <w:t>of</w:t>
      </w:r>
      <w:r>
        <w:rPr>
          <w:spacing w:val="-2"/>
        </w:rPr>
        <w:t xml:space="preserve"> </w:t>
      </w:r>
      <w:r>
        <w:t>the</w:t>
      </w:r>
      <w:r>
        <w:rPr>
          <w:spacing w:val="-3"/>
        </w:rPr>
        <w:t xml:space="preserve"> </w:t>
      </w:r>
      <w:r>
        <w:t>plan</w:t>
      </w:r>
      <w:r>
        <w:rPr>
          <w:spacing w:val="-3"/>
        </w:rPr>
        <w:t xml:space="preserve"> </w:t>
      </w:r>
      <w:r>
        <w:t>sponsor’s</w:t>
      </w:r>
      <w:r>
        <w:rPr>
          <w:spacing w:val="-4"/>
        </w:rPr>
        <w:t xml:space="preserve"> </w:t>
      </w:r>
      <w:r>
        <w:t>total</w:t>
      </w:r>
      <w:r>
        <w:rPr>
          <w:spacing w:val="-3"/>
        </w:rPr>
        <w:t xml:space="preserve"> </w:t>
      </w:r>
      <w:r>
        <w:t>PMPM</w:t>
      </w:r>
      <w:r>
        <w:rPr>
          <w:spacing w:val="-4"/>
        </w:rPr>
        <w:t xml:space="preserve"> </w:t>
      </w:r>
      <w:r>
        <w:t>cost</w:t>
      </w:r>
      <w:r>
        <w:rPr>
          <w:spacing w:val="-3"/>
        </w:rPr>
        <w:t xml:space="preserve"> </w:t>
      </w:r>
      <w:r>
        <w:t>for</w:t>
      </w:r>
      <w:r>
        <w:rPr>
          <w:spacing w:val="-4"/>
        </w:rPr>
        <w:t xml:space="preserve"> </w:t>
      </w:r>
      <w:r>
        <w:t>all</w:t>
      </w:r>
      <w:r>
        <w:rPr>
          <w:spacing w:val="-3"/>
        </w:rPr>
        <w:t xml:space="preserve"> </w:t>
      </w:r>
      <w:r>
        <w:t>related-party non-benefit expenses reported in the bid.</w:t>
      </w:r>
    </w:p>
    <w:p>
      <w:pPr>
        <w:pStyle w:val="BodyText"/>
        <w:spacing w:before="45"/>
        <w:ind w:left="0"/>
      </w:pPr>
    </w:p>
    <w:p>
      <w:pPr>
        <w:pStyle w:val="Heading2"/>
      </w:pPr>
      <w:bookmarkStart w:id="206" w:name="Section III – Development of Projected C"/>
      <w:bookmarkEnd w:id="206"/>
      <w:bookmarkStart w:id="207" w:name="_bookmark60"/>
      <w:bookmarkEnd w:id="207"/>
      <w:r>
        <w:rPr>
          <w:smallCaps/>
        </w:rPr>
        <w:t>Section</w:t>
      </w:r>
      <w:r>
        <w:rPr>
          <w:smallCaps/>
          <w:spacing w:val="-15"/>
        </w:rPr>
        <w:t xml:space="preserve"> </w:t>
      </w:r>
      <w:r>
        <w:rPr>
          <w:smallCaps/>
        </w:rPr>
        <w:t>III</w:t>
      </w:r>
      <w:r>
        <w:rPr>
          <w:smallCaps/>
          <w:spacing w:val="-15"/>
        </w:rPr>
        <w:t xml:space="preserve"> </w:t>
      </w:r>
      <w:r>
        <w:rPr>
          <w:smallCaps/>
        </w:rPr>
        <w:t>–</w:t>
      </w:r>
      <w:r>
        <w:rPr>
          <w:smallCaps/>
          <w:spacing w:val="-15"/>
        </w:rPr>
        <w:t xml:space="preserve"> </w:t>
      </w:r>
      <w:r>
        <w:rPr>
          <w:smallCaps/>
        </w:rPr>
        <w:t>Development</w:t>
      </w:r>
      <w:r>
        <w:rPr>
          <w:smallCaps/>
          <w:spacing w:val="-15"/>
        </w:rPr>
        <w:t xml:space="preserve"> </w:t>
      </w:r>
      <w:r>
        <w:rPr>
          <w:smallCaps/>
        </w:rPr>
        <w:t>of</w:t>
      </w:r>
      <w:r>
        <w:rPr>
          <w:smallCaps/>
          <w:spacing w:val="-14"/>
        </w:rPr>
        <w:t xml:space="preserve"> </w:t>
      </w:r>
      <w:r>
        <w:rPr>
          <w:smallCaps/>
        </w:rPr>
        <w:t>Projected</w:t>
      </w:r>
      <w:r>
        <w:rPr>
          <w:smallCaps/>
          <w:spacing w:val="-8"/>
        </w:rPr>
        <w:t xml:space="preserve"> </w:t>
      </w:r>
      <w:r>
        <w:rPr>
          <w:smallCaps/>
        </w:rPr>
        <w:t>Contract</w:t>
      </w:r>
      <w:r>
        <w:rPr>
          <w:smallCaps/>
          <w:spacing w:val="-8"/>
        </w:rPr>
        <w:t xml:space="preserve"> </w:t>
      </w:r>
      <w:r>
        <w:rPr>
          <w:smallCaps/>
        </w:rPr>
        <w:t>Year</w:t>
      </w:r>
      <w:r>
        <w:rPr>
          <w:smallCaps/>
          <w:spacing w:val="-9"/>
        </w:rPr>
        <w:t xml:space="preserve"> </w:t>
      </w:r>
      <w:r>
        <w:rPr>
          <w:smallCaps/>
        </w:rPr>
        <w:t>ESRD</w:t>
      </w:r>
      <w:r>
        <w:rPr>
          <w:smallCaps/>
          <w:spacing w:val="-14"/>
        </w:rPr>
        <w:t xml:space="preserve"> </w:t>
      </w:r>
      <w:r>
        <w:rPr>
          <w:smallCaps/>
          <w:spacing w:val="-2"/>
        </w:rPr>
        <w:t>“Subsidy”</w:t>
      </w:r>
    </w:p>
    <w:p>
      <w:pPr>
        <w:pStyle w:val="BodyText"/>
        <w:spacing w:before="180"/>
        <w:ind w:right="1841"/>
      </w:pPr>
      <w:r>
        <w:t>Section III allows for an adjustment to A/B mandatory supplemental benefits in line r of Section</w:t>
      </w:r>
      <w:r>
        <w:rPr>
          <w:spacing w:val="-3"/>
        </w:rPr>
        <w:t xml:space="preserve"> </w:t>
      </w:r>
      <w:r>
        <w:t>II.</w:t>
      </w:r>
      <w:r>
        <w:rPr>
          <w:spacing w:val="-3"/>
        </w:rPr>
        <w:t xml:space="preserve"> </w:t>
      </w:r>
      <w:r>
        <w:t>This</w:t>
      </w:r>
      <w:r>
        <w:rPr>
          <w:spacing w:val="-4"/>
        </w:rPr>
        <w:t xml:space="preserve"> </w:t>
      </w:r>
      <w:r>
        <w:t>adjustment</w:t>
      </w:r>
      <w:r>
        <w:rPr>
          <w:spacing w:val="-3"/>
        </w:rPr>
        <w:t xml:space="preserve"> </w:t>
      </w:r>
      <w:r>
        <w:t>is</w:t>
      </w:r>
      <w:r>
        <w:rPr>
          <w:spacing w:val="-3"/>
        </w:rPr>
        <w:t xml:space="preserve"> </w:t>
      </w:r>
      <w:r>
        <w:t>split</w:t>
      </w:r>
      <w:r>
        <w:rPr>
          <w:spacing w:val="-3"/>
        </w:rPr>
        <w:t xml:space="preserve"> </w:t>
      </w:r>
      <w:r>
        <w:t>into</w:t>
      </w:r>
      <w:r>
        <w:rPr>
          <w:spacing w:val="-3"/>
        </w:rPr>
        <w:t xml:space="preserve"> </w:t>
      </w:r>
      <w:r>
        <w:t>two</w:t>
      </w:r>
      <w:r>
        <w:rPr>
          <w:spacing w:val="-3"/>
        </w:rPr>
        <w:t xml:space="preserve"> </w:t>
      </w:r>
      <w:r>
        <w:t>sections:</w:t>
      </w:r>
      <w:r>
        <w:rPr>
          <w:spacing w:val="-1"/>
        </w:rPr>
        <w:t xml:space="preserve"> </w:t>
      </w:r>
      <w:r>
        <w:t>one</w:t>
      </w:r>
      <w:r>
        <w:rPr>
          <w:spacing w:val="-4"/>
        </w:rPr>
        <w:t xml:space="preserve"> </w:t>
      </w:r>
      <w:r>
        <w:t>for</w:t>
      </w:r>
      <w:r>
        <w:rPr>
          <w:spacing w:val="-5"/>
        </w:rPr>
        <w:t xml:space="preserve"> </w:t>
      </w:r>
      <w:r>
        <w:t>basic</w:t>
      </w:r>
      <w:r>
        <w:rPr>
          <w:spacing w:val="-3"/>
        </w:rPr>
        <w:t xml:space="preserve"> </w:t>
      </w:r>
      <w:r>
        <w:t>benefits</w:t>
      </w:r>
      <w:r>
        <w:rPr>
          <w:spacing w:val="-1"/>
        </w:rPr>
        <w:t xml:space="preserve"> </w:t>
      </w:r>
      <w:r>
        <w:t>and</w:t>
      </w:r>
      <w:r>
        <w:rPr>
          <w:spacing w:val="-3"/>
        </w:rPr>
        <w:t xml:space="preserve"> </w:t>
      </w:r>
      <w:r>
        <w:t>the</w:t>
      </w:r>
      <w:r>
        <w:rPr>
          <w:spacing w:val="-3"/>
        </w:rPr>
        <w:t xml:space="preserve"> </w:t>
      </w:r>
      <w:r>
        <w:t>other</w:t>
      </w:r>
      <w:r>
        <w:rPr>
          <w:spacing w:val="-3"/>
        </w:rPr>
        <w:t xml:space="preserve"> </w:t>
      </w:r>
      <w:r>
        <w:t>for supplemental benefits. Values entered in input cells must be greater than or equal to zero.</w:t>
      </w:r>
    </w:p>
    <w:p>
      <w:pPr>
        <w:pStyle w:val="BodyText"/>
        <w:spacing w:before="120"/>
        <w:ind w:right="1481"/>
      </w:pPr>
      <w:r>
        <w:t>Section</w:t>
      </w:r>
      <w:r>
        <w:rPr>
          <w:spacing w:val="-3"/>
        </w:rPr>
        <w:t xml:space="preserve"> </w:t>
      </w:r>
      <w:r>
        <w:t>III</w:t>
      </w:r>
      <w:r>
        <w:rPr>
          <w:spacing w:val="-3"/>
        </w:rPr>
        <w:t xml:space="preserve"> </w:t>
      </w:r>
      <w:r>
        <w:t>must</w:t>
      </w:r>
      <w:r>
        <w:rPr>
          <w:spacing w:val="-3"/>
        </w:rPr>
        <w:t xml:space="preserve"> </w:t>
      </w:r>
      <w:r>
        <w:t>be</w:t>
      </w:r>
      <w:r>
        <w:rPr>
          <w:spacing w:val="-3"/>
        </w:rPr>
        <w:t xml:space="preserve"> </w:t>
      </w:r>
      <w:r>
        <w:t>completed</w:t>
      </w:r>
      <w:r>
        <w:rPr>
          <w:spacing w:val="-3"/>
        </w:rPr>
        <w:t xml:space="preserve"> </w:t>
      </w:r>
      <w:r>
        <w:t>for</w:t>
      </w:r>
      <w:r>
        <w:rPr>
          <w:spacing w:val="-5"/>
        </w:rPr>
        <w:t xml:space="preserve"> </w:t>
      </w:r>
      <w:r>
        <w:t>all</w:t>
      </w:r>
      <w:r>
        <w:rPr>
          <w:spacing w:val="-1"/>
        </w:rPr>
        <w:t xml:space="preserve"> </w:t>
      </w:r>
      <w:r>
        <w:t>C-SNPs</w:t>
      </w:r>
      <w:r>
        <w:rPr>
          <w:spacing w:val="-3"/>
        </w:rPr>
        <w:t xml:space="preserve"> </w:t>
      </w:r>
      <w:r>
        <w:t>that</w:t>
      </w:r>
      <w:r>
        <w:rPr>
          <w:spacing w:val="-3"/>
        </w:rPr>
        <w:t xml:space="preserve"> </w:t>
      </w:r>
      <w:r>
        <w:t>target</w:t>
      </w:r>
      <w:r>
        <w:rPr>
          <w:spacing w:val="-3"/>
        </w:rPr>
        <w:t xml:space="preserve"> </w:t>
      </w:r>
      <w:r>
        <w:t>CKD.</w:t>
      </w:r>
      <w:r>
        <w:rPr>
          <w:spacing w:val="-3"/>
        </w:rPr>
        <w:t xml:space="preserve"> </w:t>
      </w:r>
      <w:r>
        <w:t>MAOs</w:t>
      </w:r>
      <w:r>
        <w:rPr>
          <w:spacing w:val="-4"/>
        </w:rPr>
        <w:t xml:space="preserve"> </w:t>
      </w:r>
      <w:r>
        <w:t>may</w:t>
      </w:r>
      <w:r>
        <w:rPr>
          <w:spacing w:val="-2"/>
        </w:rPr>
        <w:t xml:space="preserve"> </w:t>
      </w:r>
      <w:r>
        <w:t>choose</w:t>
      </w:r>
      <w:r>
        <w:rPr>
          <w:spacing w:val="-4"/>
        </w:rPr>
        <w:t xml:space="preserve"> </w:t>
      </w:r>
      <w:r>
        <w:t>whether</w:t>
      </w:r>
      <w:r>
        <w:rPr>
          <w:spacing w:val="-3"/>
        </w:rPr>
        <w:t xml:space="preserve"> </w:t>
      </w:r>
      <w:r>
        <w:t>to complete Section III for other plan types.</w:t>
      </w:r>
    </w:p>
    <w:p>
      <w:pPr>
        <w:spacing w:before="241"/>
        <w:ind w:left="504" w:right="0" w:firstLine="0"/>
        <w:jc w:val="left"/>
        <w:rPr>
          <w:rFonts w:ascii="Arial"/>
          <w:b/>
          <w:sz w:val="21"/>
        </w:rPr>
      </w:pPr>
      <w:bookmarkStart w:id="208" w:name="CY Member Months (entered by county)"/>
      <w:bookmarkEnd w:id="208"/>
      <w:r>
        <w:rPr>
          <w:rFonts w:ascii="Arial"/>
          <w:b/>
          <w:sz w:val="21"/>
        </w:rPr>
        <w:t>CY</w:t>
      </w:r>
      <w:r>
        <w:rPr>
          <w:rFonts w:ascii="Arial"/>
          <w:b/>
          <w:spacing w:val="-5"/>
          <w:sz w:val="21"/>
        </w:rPr>
        <w:t xml:space="preserve"> </w:t>
      </w:r>
      <w:r>
        <w:rPr>
          <w:rFonts w:ascii="Arial"/>
          <w:b/>
          <w:sz w:val="21"/>
        </w:rPr>
        <w:t>Member</w:t>
      </w:r>
      <w:r>
        <w:rPr>
          <w:rFonts w:ascii="Arial"/>
          <w:b/>
          <w:spacing w:val="-5"/>
          <w:sz w:val="21"/>
        </w:rPr>
        <w:t xml:space="preserve"> </w:t>
      </w:r>
      <w:r>
        <w:rPr>
          <w:rFonts w:ascii="Arial"/>
          <w:b/>
          <w:sz w:val="21"/>
        </w:rPr>
        <w:t>Months</w:t>
      </w:r>
      <w:r>
        <w:rPr>
          <w:rFonts w:ascii="Arial"/>
          <w:b/>
          <w:spacing w:val="-5"/>
          <w:sz w:val="21"/>
        </w:rPr>
        <w:t xml:space="preserve"> </w:t>
      </w:r>
      <w:r>
        <w:rPr>
          <w:rFonts w:ascii="Arial"/>
          <w:b/>
          <w:sz w:val="21"/>
        </w:rPr>
        <w:t>(entered</w:t>
      </w:r>
      <w:r>
        <w:rPr>
          <w:rFonts w:ascii="Arial"/>
          <w:b/>
          <w:spacing w:val="-5"/>
          <w:sz w:val="21"/>
        </w:rPr>
        <w:t xml:space="preserve"> </w:t>
      </w:r>
      <w:r>
        <w:rPr>
          <w:rFonts w:ascii="Arial"/>
          <w:b/>
          <w:sz w:val="21"/>
        </w:rPr>
        <w:t>by</w:t>
      </w:r>
      <w:r>
        <w:rPr>
          <w:rFonts w:ascii="Arial"/>
          <w:b/>
          <w:spacing w:val="-4"/>
          <w:sz w:val="21"/>
        </w:rPr>
        <w:t xml:space="preserve"> </w:t>
      </w:r>
      <w:r>
        <w:rPr>
          <w:rFonts w:ascii="Arial"/>
          <w:b/>
          <w:spacing w:val="-2"/>
          <w:sz w:val="21"/>
        </w:rPr>
        <w:t>county)</w:t>
      </w:r>
    </w:p>
    <w:p>
      <w:pPr>
        <w:pStyle w:val="BodyText"/>
        <w:spacing w:before="120"/>
      </w:pPr>
      <w:r>
        <w:t>This</w:t>
      </w:r>
      <w:r>
        <w:rPr>
          <w:spacing w:val="-3"/>
        </w:rPr>
        <w:t xml:space="preserve"> </w:t>
      </w:r>
      <w:r>
        <w:t>value</w:t>
      </w:r>
      <w:r>
        <w:rPr>
          <w:spacing w:val="-2"/>
        </w:rPr>
        <w:t xml:space="preserve"> </w:t>
      </w:r>
      <w:r>
        <w:t>is</w:t>
      </w:r>
      <w:r>
        <w:rPr>
          <w:spacing w:val="-3"/>
        </w:rPr>
        <w:t xml:space="preserve"> </w:t>
      </w:r>
      <w:r>
        <w:t>obtained</w:t>
      </w:r>
      <w:r>
        <w:rPr>
          <w:spacing w:val="-1"/>
        </w:rPr>
        <w:t xml:space="preserve"> </w:t>
      </w:r>
      <w:r>
        <w:t>from</w:t>
      </w:r>
      <w:r>
        <w:rPr>
          <w:spacing w:val="-1"/>
        </w:rPr>
        <w:t xml:space="preserve"> </w:t>
      </w:r>
      <w:r>
        <w:t>Worksheet</w:t>
      </w:r>
      <w:r>
        <w:rPr>
          <w:spacing w:val="-1"/>
        </w:rPr>
        <w:t xml:space="preserve"> </w:t>
      </w:r>
      <w:r>
        <w:rPr>
          <w:spacing w:val="-5"/>
        </w:rPr>
        <w:t>5.</w:t>
      </w:r>
    </w:p>
    <w:p>
      <w:pPr>
        <w:spacing w:before="241"/>
        <w:ind w:left="504" w:right="0" w:firstLine="0"/>
        <w:jc w:val="left"/>
        <w:rPr>
          <w:rFonts w:ascii="Arial"/>
          <w:b/>
          <w:sz w:val="21"/>
        </w:rPr>
      </w:pPr>
      <w:bookmarkStart w:id="209" w:name="CY ESRD Member Months"/>
      <w:bookmarkEnd w:id="209"/>
      <w:r>
        <w:rPr>
          <w:rFonts w:ascii="Arial"/>
          <w:b/>
          <w:sz w:val="21"/>
        </w:rPr>
        <w:t>CY</w:t>
      </w:r>
      <w:r>
        <w:rPr>
          <w:rFonts w:ascii="Arial"/>
          <w:b/>
          <w:spacing w:val="-7"/>
          <w:sz w:val="21"/>
        </w:rPr>
        <w:t xml:space="preserve"> </w:t>
      </w:r>
      <w:r>
        <w:rPr>
          <w:rFonts w:ascii="Arial"/>
          <w:b/>
          <w:sz w:val="21"/>
        </w:rPr>
        <w:t>ESRD</w:t>
      </w:r>
      <w:r>
        <w:rPr>
          <w:rFonts w:ascii="Arial"/>
          <w:b/>
          <w:spacing w:val="-3"/>
          <w:sz w:val="21"/>
        </w:rPr>
        <w:t xml:space="preserve"> </w:t>
      </w:r>
      <w:r>
        <w:rPr>
          <w:rFonts w:ascii="Arial"/>
          <w:b/>
          <w:sz w:val="21"/>
        </w:rPr>
        <w:t>Member</w:t>
      </w:r>
      <w:r>
        <w:rPr>
          <w:rFonts w:ascii="Arial"/>
          <w:b/>
          <w:spacing w:val="-4"/>
          <w:sz w:val="21"/>
        </w:rPr>
        <w:t xml:space="preserve"> </w:t>
      </w:r>
      <w:r>
        <w:rPr>
          <w:rFonts w:ascii="Arial"/>
          <w:b/>
          <w:spacing w:val="-2"/>
          <w:sz w:val="21"/>
        </w:rPr>
        <w:t>Months</w:t>
      </w:r>
    </w:p>
    <w:p>
      <w:pPr>
        <w:pStyle w:val="BodyText"/>
        <w:spacing w:before="118"/>
      </w:pPr>
      <w:r>
        <w:t>This</w:t>
      </w:r>
      <w:r>
        <w:rPr>
          <w:spacing w:val="-3"/>
        </w:rPr>
        <w:t xml:space="preserve"> </w:t>
      </w:r>
      <w:r>
        <w:t>value</w:t>
      </w:r>
      <w:r>
        <w:rPr>
          <w:spacing w:val="-2"/>
        </w:rPr>
        <w:t xml:space="preserve"> </w:t>
      </w:r>
      <w:r>
        <w:t>is</w:t>
      </w:r>
      <w:r>
        <w:rPr>
          <w:spacing w:val="-3"/>
        </w:rPr>
        <w:t xml:space="preserve"> </w:t>
      </w:r>
      <w:r>
        <w:t>obtained</w:t>
      </w:r>
      <w:r>
        <w:rPr>
          <w:spacing w:val="-1"/>
        </w:rPr>
        <w:t xml:space="preserve"> </w:t>
      </w:r>
      <w:r>
        <w:t>from</w:t>
      </w:r>
      <w:r>
        <w:rPr>
          <w:spacing w:val="-1"/>
        </w:rPr>
        <w:t xml:space="preserve"> </w:t>
      </w:r>
      <w:r>
        <w:t>Worksheet</w:t>
      </w:r>
      <w:r>
        <w:rPr>
          <w:spacing w:val="-1"/>
        </w:rPr>
        <w:t xml:space="preserve"> </w:t>
      </w:r>
      <w:r>
        <w:rPr>
          <w:spacing w:val="-5"/>
        </w:rPr>
        <w:t>5.</w:t>
      </w:r>
    </w:p>
    <w:p>
      <w:pPr>
        <w:spacing w:before="240"/>
        <w:ind w:left="504" w:right="0" w:firstLine="0"/>
        <w:jc w:val="left"/>
        <w:rPr>
          <w:rFonts w:ascii="Arial"/>
          <w:b/>
          <w:sz w:val="21"/>
        </w:rPr>
      </w:pPr>
      <w:bookmarkStart w:id="210" w:name="CY Out-of-Area (OOA) Member Months"/>
      <w:bookmarkEnd w:id="210"/>
      <w:r>
        <w:rPr>
          <w:rFonts w:ascii="Arial"/>
          <w:b/>
          <w:sz w:val="21"/>
        </w:rPr>
        <w:t>CY</w:t>
      </w:r>
      <w:r>
        <w:rPr>
          <w:rFonts w:ascii="Arial"/>
          <w:b/>
          <w:spacing w:val="-7"/>
          <w:sz w:val="21"/>
        </w:rPr>
        <w:t xml:space="preserve"> </w:t>
      </w:r>
      <w:r>
        <w:rPr>
          <w:rFonts w:ascii="Arial"/>
          <w:b/>
          <w:sz w:val="21"/>
        </w:rPr>
        <w:t>Out-of-Area</w:t>
      </w:r>
      <w:r>
        <w:rPr>
          <w:rFonts w:ascii="Arial"/>
          <w:b/>
          <w:spacing w:val="-7"/>
          <w:sz w:val="21"/>
        </w:rPr>
        <w:t xml:space="preserve"> </w:t>
      </w:r>
      <w:r>
        <w:rPr>
          <w:rFonts w:ascii="Arial"/>
          <w:b/>
          <w:sz w:val="21"/>
        </w:rPr>
        <w:t>(OOA)</w:t>
      </w:r>
      <w:r>
        <w:rPr>
          <w:rFonts w:ascii="Arial"/>
          <w:b/>
          <w:spacing w:val="-7"/>
          <w:sz w:val="21"/>
        </w:rPr>
        <w:t xml:space="preserve"> </w:t>
      </w:r>
      <w:r>
        <w:rPr>
          <w:rFonts w:ascii="Arial"/>
          <w:b/>
          <w:sz w:val="21"/>
        </w:rPr>
        <w:t>Member</w:t>
      </w:r>
      <w:r>
        <w:rPr>
          <w:rFonts w:ascii="Arial"/>
          <w:b/>
          <w:spacing w:val="-7"/>
          <w:sz w:val="21"/>
        </w:rPr>
        <w:t xml:space="preserve"> </w:t>
      </w:r>
      <w:r>
        <w:rPr>
          <w:rFonts w:ascii="Arial"/>
          <w:b/>
          <w:spacing w:val="-2"/>
          <w:sz w:val="21"/>
        </w:rPr>
        <w:t>Months</w:t>
      </w:r>
    </w:p>
    <w:p>
      <w:pPr>
        <w:pStyle w:val="BodyText"/>
        <w:spacing w:before="120"/>
      </w:pPr>
      <w:r>
        <w:t>This</w:t>
      </w:r>
      <w:r>
        <w:rPr>
          <w:spacing w:val="-3"/>
        </w:rPr>
        <w:t xml:space="preserve"> </w:t>
      </w:r>
      <w:r>
        <w:t>value</w:t>
      </w:r>
      <w:r>
        <w:rPr>
          <w:spacing w:val="-2"/>
        </w:rPr>
        <w:t xml:space="preserve"> </w:t>
      </w:r>
      <w:r>
        <w:t>is</w:t>
      </w:r>
      <w:r>
        <w:rPr>
          <w:spacing w:val="-3"/>
        </w:rPr>
        <w:t xml:space="preserve"> </w:t>
      </w:r>
      <w:r>
        <w:t>obtained</w:t>
      </w:r>
      <w:r>
        <w:rPr>
          <w:spacing w:val="-1"/>
        </w:rPr>
        <w:t xml:space="preserve"> </w:t>
      </w:r>
      <w:r>
        <w:t>from</w:t>
      </w:r>
      <w:r>
        <w:rPr>
          <w:spacing w:val="-1"/>
        </w:rPr>
        <w:t xml:space="preserve"> </w:t>
      </w:r>
      <w:r>
        <w:t>Worksheet</w:t>
      </w:r>
      <w:r>
        <w:rPr>
          <w:spacing w:val="-1"/>
        </w:rPr>
        <w:t xml:space="preserve"> </w:t>
      </w:r>
      <w:r>
        <w:rPr>
          <w:spacing w:val="-5"/>
        </w:rPr>
        <w:t>5.</w:t>
      </w:r>
    </w:p>
    <w:p>
      <w:pPr>
        <w:spacing w:before="242"/>
        <w:ind w:left="504" w:right="0" w:firstLine="0"/>
        <w:jc w:val="left"/>
        <w:rPr>
          <w:rFonts w:ascii="Arial"/>
          <w:b/>
          <w:sz w:val="21"/>
        </w:rPr>
      </w:pPr>
      <w:bookmarkStart w:id="211" w:name="Include ESRD &quot;subsidy&quot; in Total Revenue "/>
      <w:bookmarkEnd w:id="211"/>
      <w:r>
        <w:rPr>
          <w:rFonts w:ascii="Arial"/>
          <w:b/>
          <w:sz w:val="21"/>
        </w:rPr>
        <w:t>Include</w:t>
      </w:r>
      <w:r>
        <w:rPr>
          <w:rFonts w:ascii="Arial"/>
          <w:b/>
          <w:spacing w:val="-7"/>
          <w:sz w:val="21"/>
        </w:rPr>
        <w:t xml:space="preserve"> </w:t>
      </w:r>
      <w:r>
        <w:rPr>
          <w:rFonts w:ascii="Arial"/>
          <w:b/>
          <w:sz w:val="21"/>
        </w:rPr>
        <w:t>ESRD</w:t>
      </w:r>
      <w:r>
        <w:rPr>
          <w:rFonts w:ascii="Arial"/>
          <w:b/>
          <w:spacing w:val="-5"/>
          <w:sz w:val="21"/>
        </w:rPr>
        <w:t xml:space="preserve"> </w:t>
      </w:r>
      <w:r>
        <w:rPr>
          <w:rFonts w:ascii="Arial"/>
          <w:b/>
          <w:sz w:val="21"/>
        </w:rPr>
        <w:t>"subsidy"</w:t>
      </w:r>
      <w:r>
        <w:rPr>
          <w:rFonts w:ascii="Arial"/>
          <w:b/>
          <w:spacing w:val="-8"/>
          <w:sz w:val="21"/>
        </w:rPr>
        <w:t xml:space="preserve"> </w:t>
      </w:r>
      <w:r>
        <w:rPr>
          <w:rFonts w:ascii="Arial"/>
          <w:b/>
          <w:sz w:val="21"/>
        </w:rPr>
        <w:t>in</w:t>
      </w:r>
      <w:r>
        <w:rPr>
          <w:rFonts w:ascii="Arial"/>
          <w:b/>
          <w:spacing w:val="-6"/>
          <w:sz w:val="21"/>
        </w:rPr>
        <w:t xml:space="preserve"> </w:t>
      </w:r>
      <w:r>
        <w:rPr>
          <w:rFonts w:ascii="Arial"/>
          <w:b/>
          <w:sz w:val="21"/>
        </w:rPr>
        <w:t>Total</w:t>
      </w:r>
      <w:r>
        <w:rPr>
          <w:rFonts w:ascii="Arial"/>
          <w:b/>
          <w:spacing w:val="-7"/>
          <w:sz w:val="21"/>
        </w:rPr>
        <w:t xml:space="preserve"> </w:t>
      </w:r>
      <w:r>
        <w:rPr>
          <w:rFonts w:ascii="Arial"/>
          <w:b/>
          <w:sz w:val="21"/>
        </w:rPr>
        <w:t>Revenue</w:t>
      </w:r>
      <w:r>
        <w:rPr>
          <w:rFonts w:ascii="Arial"/>
          <w:b/>
          <w:spacing w:val="-6"/>
          <w:sz w:val="21"/>
        </w:rPr>
        <w:t xml:space="preserve"> </w:t>
      </w:r>
      <w:r>
        <w:rPr>
          <w:rFonts w:ascii="Arial"/>
          <w:b/>
          <w:spacing w:val="-2"/>
          <w:sz w:val="21"/>
        </w:rPr>
        <w:t>Requirement</w:t>
      </w:r>
    </w:p>
    <w:p>
      <w:pPr>
        <w:pStyle w:val="BodyText"/>
        <w:spacing w:before="120"/>
      </w:pPr>
      <w:r>
        <w:t>Enter</w:t>
      </w:r>
      <w:r>
        <w:rPr>
          <w:spacing w:val="-4"/>
        </w:rPr>
        <w:t xml:space="preserve"> </w:t>
      </w:r>
      <w:r>
        <w:t>“Y”</w:t>
      </w:r>
      <w:r>
        <w:rPr>
          <w:spacing w:val="-2"/>
        </w:rPr>
        <w:t xml:space="preserve"> </w:t>
      </w:r>
      <w:r>
        <w:t>if the</w:t>
      </w:r>
      <w:r>
        <w:rPr>
          <w:spacing w:val="-2"/>
        </w:rPr>
        <w:t xml:space="preserve"> </w:t>
      </w:r>
      <w:r>
        <w:t>plan is</w:t>
      </w:r>
      <w:r>
        <w:rPr>
          <w:spacing w:val="-1"/>
        </w:rPr>
        <w:t xml:space="preserve"> </w:t>
      </w:r>
      <w:r>
        <w:t>choosing to</w:t>
      </w:r>
      <w:r>
        <w:rPr>
          <w:spacing w:val="-1"/>
        </w:rPr>
        <w:t xml:space="preserve"> </w:t>
      </w:r>
      <w:r>
        <w:t>reflect the</w:t>
      </w:r>
      <w:r>
        <w:rPr>
          <w:spacing w:val="-2"/>
        </w:rPr>
        <w:t xml:space="preserve"> </w:t>
      </w:r>
      <w:r>
        <w:t>Total CY</w:t>
      </w:r>
      <w:r>
        <w:rPr>
          <w:spacing w:val="-2"/>
        </w:rPr>
        <w:t xml:space="preserve"> </w:t>
      </w:r>
      <w:r>
        <w:t>ESRD</w:t>
      </w:r>
      <w:r>
        <w:rPr>
          <w:spacing w:val="-1"/>
        </w:rPr>
        <w:t xml:space="preserve"> </w:t>
      </w:r>
      <w:r>
        <w:t>“subsidy”</w:t>
      </w:r>
      <w:r>
        <w:rPr>
          <w:spacing w:val="-1"/>
        </w:rPr>
        <w:t xml:space="preserve"> </w:t>
      </w:r>
      <w:r>
        <w:t>in line</w:t>
      </w:r>
      <w:r>
        <w:rPr>
          <w:spacing w:val="-2"/>
        </w:rPr>
        <w:t xml:space="preserve"> </w:t>
      </w:r>
      <w:r>
        <w:t>r of</w:t>
      </w:r>
      <w:r>
        <w:rPr>
          <w:spacing w:val="-2"/>
        </w:rPr>
        <w:t xml:space="preserve"> </w:t>
      </w:r>
      <w:r>
        <w:t>Section</w:t>
      </w:r>
      <w:r>
        <w:rPr>
          <w:spacing w:val="2"/>
        </w:rPr>
        <w:t xml:space="preserve"> </w:t>
      </w:r>
      <w:r>
        <w:rPr>
          <w:spacing w:val="-5"/>
        </w:rPr>
        <w:t>II.</w:t>
      </w:r>
    </w:p>
    <w:p>
      <w:pPr>
        <w:pStyle w:val="BodyText"/>
      </w:pPr>
      <w:r>
        <w:t>Otherwise,</w:t>
      </w:r>
      <w:r>
        <w:rPr>
          <w:spacing w:val="-5"/>
        </w:rPr>
        <w:t xml:space="preserve"> </w:t>
      </w:r>
      <w:r>
        <w:t>enter</w:t>
      </w:r>
      <w:r>
        <w:rPr>
          <w:spacing w:val="-2"/>
        </w:rPr>
        <w:t xml:space="preserve"> </w:t>
      </w:r>
      <w:r>
        <w:rPr>
          <w:spacing w:val="-4"/>
        </w:rPr>
        <w:t>“N”.</w:t>
      </w:r>
    </w:p>
    <w:p>
      <w:pPr>
        <w:spacing w:before="241"/>
        <w:ind w:left="504" w:right="0" w:firstLine="0"/>
        <w:jc w:val="left"/>
        <w:rPr>
          <w:rFonts w:ascii="Arial"/>
          <w:b/>
          <w:sz w:val="21"/>
        </w:rPr>
      </w:pPr>
      <w:bookmarkStart w:id="212" w:name="Basic Benefits"/>
      <w:bookmarkEnd w:id="212"/>
      <w:r>
        <w:rPr>
          <w:rFonts w:ascii="Arial"/>
          <w:b/>
          <w:sz w:val="21"/>
        </w:rPr>
        <w:t>Basic</w:t>
      </w:r>
      <w:r>
        <w:rPr>
          <w:rFonts w:ascii="Arial"/>
          <w:b/>
          <w:spacing w:val="-4"/>
          <w:sz w:val="21"/>
        </w:rPr>
        <w:t xml:space="preserve"> </w:t>
      </w:r>
      <w:r>
        <w:rPr>
          <w:rFonts w:ascii="Arial"/>
          <w:b/>
          <w:spacing w:val="-2"/>
          <w:sz w:val="21"/>
        </w:rPr>
        <w:t>Benefits</w:t>
      </w:r>
    </w:p>
    <w:p>
      <w:pPr>
        <w:pStyle w:val="BodyText"/>
        <w:spacing w:before="118"/>
        <w:ind w:right="1481"/>
      </w:pPr>
      <w:r>
        <w:t>See</w:t>
      </w:r>
      <w:r>
        <w:rPr>
          <w:spacing w:val="-4"/>
        </w:rPr>
        <w:t xml:space="preserve"> </w:t>
      </w:r>
      <w:r>
        <w:t>the</w:t>
      </w:r>
      <w:r>
        <w:rPr>
          <w:spacing w:val="-4"/>
        </w:rPr>
        <w:t xml:space="preserve"> </w:t>
      </w:r>
      <w:r>
        <w:t>“End-Stage</w:t>
      </w:r>
      <w:r>
        <w:rPr>
          <w:spacing w:val="-4"/>
        </w:rPr>
        <w:t xml:space="preserve"> </w:t>
      </w:r>
      <w:r>
        <w:t>Renal</w:t>
      </w:r>
      <w:r>
        <w:rPr>
          <w:spacing w:val="-4"/>
        </w:rPr>
        <w:t xml:space="preserve"> </w:t>
      </w:r>
      <w:r>
        <w:t>Disease</w:t>
      </w:r>
      <w:r>
        <w:rPr>
          <w:spacing w:val="-4"/>
        </w:rPr>
        <w:t xml:space="preserve"> </w:t>
      </w:r>
      <w:r>
        <w:t>(ESRD)”</w:t>
      </w:r>
      <w:r>
        <w:rPr>
          <w:spacing w:val="-4"/>
        </w:rPr>
        <w:t xml:space="preserve"> </w:t>
      </w:r>
      <w:r>
        <w:t>pricing</w:t>
      </w:r>
      <w:r>
        <w:rPr>
          <w:spacing w:val="-4"/>
        </w:rPr>
        <w:t xml:space="preserve"> </w:t>
      </w:r>
      <w:r>
        <w:t>consideration</w:t>
      </w:r>
      <w:r>
        <w:rPr>
          <w:spacing w:val="-4"/>
        </w:rPr>
        <w:t xml:space="preserve"> </w:t>
      </w:r>
      <w:r>
        <w:t>for</w:t>
      </w:r>
      <w:r>
        <w:rPr>
          <w:spacing w:val="-4"/>
        </w:rPr>
        <w:t xml:space="preserve"> </w:t>
      </w:r>
      <w:r>
        <w:t>more</w:t>
      </w:r>
      <w:r>
        <w:rPr>
          <w:spacing w:val="-3"/>
        </w:rPr>
        <w:t xml:space="preserve"> </w:t>
      </w:r>
      <w:r>
        <w:t>information</w:t>
      </w:r>
      <w:r>
        <w:rPr>
          <w:spacing w:val="-2"/>
        </w:rPr>
        <w:t xml:space="preserve"> </w:t>
      </w:r>
      <w:r>
        <w:t>about this section of the BPT.</w:t>
      </w:r>
    </w:p>
    <w:p>
      <w:pPr>
        <w:pStyle w:val="BodyText"/>
        <w:spacing w:after="0"/>
        <w:sectPr>
          <w:pgSz w:w="12240" w:h="15840"/>
          <w:pgMar w:top="960" w:right="0" w:bottom="940" w:left="1080" w:header="727" w:footer="747"/>
          <w:cols w:space="720"/>
        </w:sectPr>
      </w:pPr>
    </w:p>
    <w:p>
      <w:pPr>
        <w:pStyle w:val="BodyText"/>
        <w:spacing w:before="225"/>
        <w:ind w:left="0"/>
        <w:rPr>
          <w:sz w:val="21"/>
        </w:rPr>
      </w:pPr>
    </w:p>
    <w:p>
      <w:pPr>
        <w:spacing w:before="0"/>
        <w:ind w:left="504" w:right="0" w:firstLine="0"/>
        <w:jc w:val="left"/>
        <w:rPr>
          <w:rFonts w:ascii="Arial"/>
          <w:b/>
          <w:sz w:val="21"/>
        </w:rPr>
      </w:pPr>
      <w:bookmarkStart w:id="213" w:name="Supplemental Benefits"/>
      <w:bookmarkEnd w:id="213"/>
      <w:r>
        <w:rPr>
          <w:rFonts w:ascii="Arial"/>
          <w:b/>
          <w:sz w:val="21"/>
        </w:rPr>
        <w:t>Supplemental</w:t>
      </w:r>
      <w:r>
        <w:rPr>
          <w:rFonts w:ascii="Arial"/>
          <w:b/>
          <w:spacing w:val="-14"/>
          <w:sz w:val="21"/>
        </w:rPr>
        <w:t xml:space="preserve"> </w:t>
      </w:r>
      <w:r>
        <w:rPr>
          <w:rFonts w:ascii="Arial"/>
          <w:b/>
          <w:spacing w:val="-2"/>
          <w:sz w:val="21"/>
        </w:rPr>
        <w:t>Benefits</w:t>
      </w:r>
    </w:p>
    <w:p>
      <w:pPr>
        <w:pStyle w:val="BodyText"/>
        <w:spacing w:before="120"/>
      </w:pPr>
      <w:r>
        <w:t>See</w:t>
      </w:r>
      <w:r>
        <w:rPr>
          <w:spacing w:val="-5"/>
        </w:rPr>
        <w:t xml:space="preserve"> </w:t>
      </w:r>
      <w:r>
        <w:t>the</w:t>
      </w:r>
      <w:r>
        <w:rPr>
          <w:spacing w:val="-1"/>
        </w:rPr>
        <w:t xml:space="preserve"> </w:t>
      </w:r>
      <w:r>
        <w:t>“End-Stage</w:t>
      </w:r>
      <w:r>
        <w:rPr>
          <w:spacing w:val="-2"/>
        </w:rPr>
        <w:t xml:space="preserve"> </w:t>
      </w:r>
      <w:r>
        <w:t>Renal</w:t>
      </w:r>
      <w:r>
        <w:rPr>
          <w:spacing w:val="-1"/>
        </w:rPr>
        <w:t xml:space="preserve"> </w:t>
      </w:r>
      <w:r>
        <w:t>Disease</w:t>
      </w:r>
      <w:r>
        <w:rPr>
          <w:spacing w:val="-2"/>
        </w:rPr>
        <w:t xml:space="preserve"> </w:t>
      </w:r>
      <w:r>
        <w:t>(ESRD)”</w:t>
      </w:r>
      <w:r>
        <w:rPr>
          <w:spacing w:val="-2"/>
        </w:rPr>
        <w:t xml:space="preserve"> </w:t>
      </w:r>
      <w:r>
        <w:t>pricing</w:t>
      </w:r>
      <w:r>
        <w:rPr>
          <w:spacing w:val="-1"/>
        </w:rPr>
        <w:t xml:space="preserve"> </w:t>
      </w:r>
      <w:r>
        <w:t>consideration</w:t>
      </w:r>
      <w:r>
        <w:rPr>
          <w:spacing w:val="-1"/>
        </w:rPr>
        <w:t xml:space="preserve"> </w:t>
      </w:r>
      <w:r>
        <w:t>for</w:t>
      </w:r>
      <w:r>
        <w:rPr>
          <w:spacing w:val="-1"/>
        </w:rPr>
        <w:t xml:space="preserve"> </w:t>
      </w:r>
      <w:r>
        <w:t>more information</w:t>
      </w:r>
      <w:r>
        <w:rPr>
          <w:spacing w:val="-1"/>
        </w:rPr>
        <w:t xml:space="preserve"> </w:t>
      </w:r>
      <w:r>
        <w:rPr>
          <w:spacing w:val="-2"/>
        </w:rPr>
        <w:t>about</w:t>
      </w:r>
    </w:p>
    <w:p>
      <w:pPr>
        <w:pStyle w:val="BodyText"/>
        <w:spacing w:before="1"/>
      </w:pPr>
      <w:r>
        <w:t>this</w:t>
      </w:r>
      <w:r>
        <w:rPr>
          <w:spacing w:val="-4"/>
        </w:rPr>
        <w:t xml:space="preserve"> </w:t>
      </w:r>
      <w:r>
        <w:t>section of</w:t>
      </w:r>
      <w:r>
        <w:rPr>
          <w:spacing w:val="-2"/>
        </w:rPr>
        <w:t xml:space="preserve"> </w:t>
      </w:r>
      <w:r>
        <w:t xml:space="preserve">the </w:t>
      </w:r>
      <w:r>
        <w:rPr>
          <w:spacing w:val="-4"/>
        </w:rPr>
        <w:t>BPT.</w:t>
      </w:r>
    </w:p>
    <w:p>
      <w:pPr>
        <w:pStyle w:val="BodyText"/>
        <w:spacing w:before="44"/>
        <w:ind w:left="0"/>
      </w:pPr>
    </w:p>
    <w:p>
      <w:pPr>
        <w:pStyle w:val="Heading2"/>
        <w:spacing w:before="1"/>
      </w:pPr>
      <w:bookmarkStart w:id="214" w:name="Section IV – Projected Medicaid Data"/>
      <w:bookmarkEnd w:id="214"/>
      <w:bookmarkStart w:id="215" w:name="_bookmark61"/>
      <w:bookmarkEnd w:id="215"/>
      <w:r>
        <w:rPr>
          <w:smallCaps/>
        </w:rPr>
        <w:t>Section</w:t>
      </w:r>
      <w:r>
        <w:rPr>
          <w:smallCaps/>
          <w:spacing w:val="-15"/>
        </w:rPr>
        <w:t xml:space="preserve"> </w:t>
      </w:r>
      <w:r>
        <w:rPr>
          <w:smallCaps/>
        </w:rPr>
        <w:t>IV</w:t>
      </w:r>
      <w:r>
        <w:rPr>
          <w:smallCaps/>
          <w:spacing w:val="-15"/>
        </w:rPr>
        <w:t xml:space="preserve"> </w:t>
      </w:r>
      <w:r>
        <w:rPr>
          <w:smallCaps/>
        </w:rPr>
        <w:t>–</w:t>
      </w:r>
      <w:r>
        <w:rPr>
          <w:smallCaps/>
          <w:spacing w:val="-15"/>
        </w:rPr>
        <w:t xml:space="preserve"> </w:t>
      </w:r>
      <w:r>
        <w:rPr>
          <w:smallCaps/>
        </w:rPr>
        <w:t>Projected</w:t>
      </w:r>
      <w:r>
        <w:rPr>
          <w:smallCaps/>
          <w:spacing w:val="-13"/>
        </w:rPr>
        <w:t xml:space="preserve"> </w:t>
      </w:r>
      <w:r>
        <w:rPr>
          <w:smallCaps/>
        </w:rPr>
        <w:t>Medicaid</w:t>
      </w:r>
      <w:r>
        <w:rPr>
          <w:smallCaps/>
          <w:spacing w:val="-8"/>
        </w:rPr>
        <w:t xml:space="preserve"> </w:t>
      </w:r>
      <w:r>
        <w:rPr>
          <w:smallCaps/>
          <w:spacing w:val="-4"/>
        </w:rPr>
        <w:t>Data</w:t>
      </w:r>
    </w:p>
    <w:p>
      <w:pPr>
        <w:pStyle w:val="BodyText"/>
        <w:spacing w:before="176"/>
        <w:ind w:right="1536"/>
      </w:pPr>
      <w:r>
        <w:t>This</w:t>
      </w:r>
      <w:r>
        <w:rPr>
          <w:spacing w:val="-4"/>
        </w:rPr>
        <w:t xml:space="preserve"> </w:t>
      </w:r>
      <w:r>
        <w:t>section</w:t>
      </w:r>
      <w:r>
        <w:rPr>
          <w:spacing w:val="-3"/>
        </w:rPr>
        <w:t xml:space="preserve"> </w:t>
      </w:r>
      <w:r>
        <w:t>contains</w:t>
      </w:r>
      <w:r>
        <w:rPr>
          <w:spacing w:val="-4"/>
        </w:rPr>
        <w:t xml:space="preserve"> </w:t>
      </w:r>
      <w:r>
        <w:t>three</w:t>
      </w:r>
      <w:r>
        <w:rPr>
          <w:spacing w:val="-4"/>
        </w:rPr>
        <w:t xml:space="preserve"> </w:t>
      </w:r>
      <w:r>
        <w:t>input</w:t>
      </w:r>
      <w:r>
        <w:rPr>
          <w:spacing w:val="-3"/>
        </w:rPr>
        <w:t xml:space="preserve"> </w:t>
      </w:r>
      <w:r>
        <w:t>cells</w:t>
      </w:r>
      <w:r>
        <w:rPr>
          <w:spacing w:val="-3"/>
        </w:rPr>
        <w:t xml:space="preserve"> </w:t>
      </w:r>
      <w:r>
        <w:t>to</w:t>
      </w:r>
      <w:r>
        <w:rPr>
          <w:spacing w:val="-3"/>
        </w:rPr>
        <w:t xml:space="preserve"> </w:t>
      </w:r>
      <w:r>
        <w:t>capture</w:t>
      </w:r>
      <w:r>
        <w:rPr>
          <w:spacing w:val="-2"/>
        </w:rPr>
        <w:t xml:space="preserve"> </w:t>
      </w:r>
      <w:r>
        <w:t>Medicaid</w:t>
      </w:r>
      <w:r>
        <w:rPr>
          <w:spacing w:val="-3"/>
        </w:rPr>
        <w:t xml:space="preserve"> </w:t>
      </w:r>
      <w:r>
        <w:t>projected</w:t>
      </w:r>
      <w:r>
        <w:rPr>
          <w:spacing w:val="-4"/>
        </w:rPr>
        <w:t xml:space="preserve"> </w:t>
      </w:r>
      <w:r>
        <w:t>revenue</w:t>
      </w:r>
      <w:r>
        <w:rPr>
          <w:spacing w:val="-3"/>
        </w:rPr>
        <w:t xml:space="preserve"> </w:t>
      </w:r>
      <w:r>
        <w:t>and</w:t>
      </w:r>
      <w:r>
        <w:rPr>
          <w:spacing w:val="-3"/>
        </w:rPr>
        <w:t xml:space="preserve"> </w:t>
      </w:r>
      <w:r>
        <w:t>costs.</w:t>
      </w:r>
      <w:r>
        <w:rPr>
          <w:spacing w:val="-3"/>
        </w:rPr>
        <w:t xml:space="preserve"> </w:t>
      </w:r>
      <w:r>
        <w:t>Entries must be reported on a PMPM basis. Values must be greater than or equal to zero. See the “Dual-Eligible</w:t>
      </w:r>
      <w:r>
        <w:rPr>
          <w:spacing w:val="-4"/>
        </w:rPr>
        <w:t xml:space="preserve"> </w:t>
      </w:r>
      <w:r>
        <w:t>Beneficiaries”</w:t>
      </w:r>
      <w:r>
        <w:rPr>
          <w:spacing w:val="-4"/>
        </w:rPr>
        <w:t xml:space="preserve"> </w:t>
      </w:r>
      <w:r>
        <w:t>pricing</w:t>
      </w:r>
      <w:r>
        <w:rPr>
          <w:spacing w:val="-3"/>
        </w:rPr>
        <w:t xml:space="preserve"> </w:t>
      </w:r>
      <w:r>
        <w:t>consideration</w:t>
      </w:r>
      <w:r>
        <w:rPr>
          <w:spacing w:val="-3"/>
        </w:rPr>
        <w:t xml:space="preserve"> </w:t>
      </w:r>
      <w:r>
        <w:t>for</w:t>
      </w:r>
      <w:r>
        <w:rPr>
          <w:spacing w:val="-5"/>
        </w:rPr>
        <w:t xml:space="preserve"> </w:t>
      </w:r>
      <w:r>
        <w:t>more</w:t>
      </w:r>
      <w:r>
        <w:rPr>
          <w:spacing w:val="-4"/>
        </w:rPr>
        <w:t xml:space="preserve"> </w:t>
      </w:r>
      <w:r>
        <w:t>information</w:t>
      </w:r>
      <w:r>
        <w:rPr>
          <w:spacing w:val="-3"/>
        </w:rPr>
        <w:t xml:space="preserve"> </w:t>
      </w:r>
      <w:r>
        <w:t>about</w:t>
      </w:r>
      <w:r>
        <w:rPr>
          <w:spacing w:val="-3"/>
        </w:rPr>
        <w:t xml:space="preserve"> </w:t>
      </w:r>
      <w:r>
        <w:t>Medicaid</w:t>
      </w:r>
      <w:r>
        <w:rPr>
          <w:spacing w:val="-3"/>
        </w:rPr>
        <w:t xml:space="preserve"> </w:t>
      </w:r>
      <w:r>
        <w:t>data.</w:t>
      </w:r>
    </w:p>
    <w:p>
      <w:pPr>
        <w:pStyle w:val="BodyText"/>
        <w:spacing w:after="0"/>
        <w:sectPr>
          <w:pgSz w:w="12240" w:h="15840"/>
          <w:pgMar w:top="960" w:right="0" w:bottom="940" w:left="1080" w:header="727" w:footer="747"/>
          <w:cols w:space="720"/>
        </w:sectPr>
      </w:pPr>
    </w:p>
    <w:p>
      <w:pPr>
        <w:pStyle w:val="BodyText"/>
        <w:spacing w:before="264"/>
        <w:ind w:left="0"/>
        <w:rPr>
          <w:sz w:val="28"/>
        </w:rPr>
      </w:pPr>
    </w:p>
    <w:p>
      <w:pPr>
        <w:pStyle w:val="Heading1"/>
        <w:tabs>
          <w:tab w:val="left" w:pos="9750"/>
        </w:tabs>
        <w:rPr>
          <w:u w:val="none"/>
        </w:rPr>
      </w:pPr>
      <w:bookmarkStart w:id="216" w:name="MA Worksheet 5 – MA Benchmark PMPM"/>
      <w:bookmarkEnd w:id="216"/>
      <w:bookmarkStart w:id="217" w:name="_bookmark62"/>
      <w:bookmarkEnd w:id="217"/>
      <w:r>
        <w:rPr>
          <w:spacing w:val="-50"/>
          <w:u w:val="single"/>
        </w:rPr>
        <w:t xml:space="preserve"> </w:t>
      </w:r>
      <w:r>
        <w:rPr>
          <w:u w:val="single"/>
        </w:rPr>
        <w:t>MA</w:t>
      </w:r>
      <w:r>
        <w:rPr>
          <w:spacing w:val="-5"/>
          <w:u w:val="single"/>
        </w:rPr>
        <w:t xml:space="preserve"> </w:t>
      </w:r>
      <w:r>
        <w:rPr>
          <w:u w:val="single"/>
        </w:rPr>
        <w:t>WORKSHEET</w:t>
      </w:r>
      <w:r>
        <w:rPr>
          <w:spacing w:val="-2"/>
          <w:u w:val="single"/>
        </w:rPr>
        <w:t xml:space="preserve"> </w:t>
      </w:r>
      <w:r>
        <w:rPr>
          <w:u w:val="single"/>
        </w:rPr>
        <w:t>5</w:t>
      </w:r>
      <w:r>
        <w:rPr>
          <w:spacing w:val="-2"/>
          <w:u w:val="single"/>
        </w:rPr>
        <w:t xml:space="preserve"> </w:t>
      </w:r>
      <w:r>
        <w:rPr>
          <w:u w:val="single"/>
        </w:rPr>
        <w:t>–</w:t>
      </w:r>
      <w:r>
        <w:rPr>
          <w:spacing w:val="-5"/>
          <w:u w:val="single"/>
        </w:rPr>
        <w:t xml:space="preserve"> </w:t>
      </w:r>
      <w:r>
        <w:rPr>
          <w:u w:val="single"/>
        </w:rPr>
        <w:t>MA</w:t>
      </w:r>
      <w:r>
        <w:rPr>
          <w:spacing w:val="-6"/>
          <w:u w:val="single"/>
        </w:rPr>
        <w:t xml:space="preserve"> </w:t>
      </w:r>
      <w:r>
        <w:rPr>
          <w:u w:val="single"/>
        </w:rPr>
        <w:t>BENCHMARK</w:t>
      </w:r>
      <w:r>
        <w:rPr>
          <w:spacing w:val="-2"/>
          <w:u w:val="single"/>
        </w:rPr>
        <w:t xml:space="preserve"> </w:t>
      </w:r>
      <w:r>
        <w:rPr>
          <w:spacing w:val="-4"/>
          <w:u w:val="single"/>
        </w:rPr>
        <w:t>PMPM</w:t>
      </w:r>
      <w:r>
        <w:rPr>
          <w:u w:val="single"/>
        </w:rPr>
        <w:tab/>
      </w:r>
    </w:p>
    <w:p>
      <w:pPr>
        <w:pStyle w:val="BodyText"/>
        <w:spacing w:before="271"/>
        <w:ind w:right="1841"/>
      </w:pPr>
      <w:r>
        <w:t>This</w:t>
      </w:r>
      <w:r>
        <w:rPr>
          <w:spacing w:val="-4"/>
        </w:rPr>
        <w:t xml:space="preserve"> </w:t>
      </w:r>
      <w:r>
        <w:t>worksheet</w:t>
      </w:r>
      <w:r>
        <w:rPr>
          <w:spacing w:val="-4"/>
        </w:rPr>
        <w:t xml:space="preserve"> </w:t>
      </w:r>
      <w:r>
        <w:t>calculates</w:t>
      </w:r>
      <w:r>
        <w:rPr>
          <w:spacing w:val="-4"/>
        </w:rPr>
        <w:t xml:space="preserve"> </w:t>
      </w:r>
      <w:r>
        <w:t>the</w:t>
      </w:r>
      <w:r>
        <w:rPr>
          <w:spacing w:val="-4"/>
        </w:rPr>
        <w:t xml:space="preserve"> </w:t>
      </w:r>
      <w:r>
        <w:t>A/B</w:t>
      </w:r>
      <w:r>
        <w:rPr>
          <w:spacing w:val="-4"/>
        </w:rPr>
        <w:t xml:space="preserve"> </w:t>
      </w:r>
      <w:r>
        <w:t>benchmark</w:t>
      </w:r>
      <w:r>
        <w:rPr>
          <w:spacing w:val="-4"/>
        </w:rPr>
        <w:t xml:space="preserve"> </w:t>
      </w:r>
      <w:r>
        <w:t>and</w:t>
      </w:r>
      <w:r>
        <w:rPr>
          <w:spacing w:val="-2"/>
        </w:rPr>
        <w:t xml:space="preserve"> </w:t>
      </w:r>
      <w:r>
        <w:t>evaluates</w:t>
      </w:r>
      <w:r>
        <w:rPr>
          <w:spacing w:val="-4"/>
        </w:rPr>
        <w:t xml:space="preserve"> </w:t>
      </w:r>
      <w:r>
        <w:t>whether</w:t>
      </w:r>
      <w:r>
        <w:rPr>
          <w:spacing w:val="-5"/>
        </w:rPr>
        <w:t xml:space="preserve"> </w:t>
      </w:r>
      <w:r>
        <w:t>the</w:t>
      </w:r>
      <w:r>
        <w:rPr>
          <w:spacing w:val="-3"/>
        </w:rPr>
        <w:t xml:space="preserve"> </w:t>
      </w:r>
      <w:r>
        <w:t>bid</w:t>
      </w:r>
      <w:r>
        <w:rPr>
          <w:spacing w:val="-4"/>
        </w:rPr>
        <w:t xml:space="preserve"> </w:t>
      </w:r>
      <w:r>
        <w:t>generates</w:t>
      </w:r>
      <w:r>
        <w:rPr>
          <w:spacing w:val="-4"/>
        </w:rPr>
        <w:t xml:space="preserve"> </w:t>
      </w:r>
      <w:r>
        <w:t>a savings or the need to charge a basic member premium.</w:t>
      </w:r>
    </w:p>
    <w:p>
      <w:pPr>
        <w:pStyle w:val="BodyText"/>
        <w:spacing w:before="120"/>
      </w:pPr>
      <w:r>
        <w:t>Below</w:t>
      </w:r>
      <w:r>
        <w:rPr>
          <w:spacing w:val="-5"/>
        </w:rPr>
        <w:t xml:space="preserve"> </w:t>
      </w:r>
      <w:r>
        <w:t>is</w:t>
      </w:r>
      <w:r>
        <w:rPr>
          <w:spacing w:val="-1"/>
        </w:rPr>
        <w:t xml:space="preserve"> </w:t>
      </w:r>
      <w:r>
        <w:t>a</w:t>
      </w:r>
      <w:r>
        <w:rPr>
          <w:spacing w:val="-2"/>
        </w:rPr>
        <w:t xml:space="preserve"> </w:t>
      </w:r>
      <w:r>
        <w:t>brief</w:t>
      </w:r>
      <w:r>
        <w:rPr>
          <w:spacing w:val="-1"/>
        </w:rPr>
        <w:t xml:space="preserve"> </w:t>
      </w:r>
      <w:r>
        <w:t>description</w:t>
      </w:r>
      <w:r>
        <w:rPr>
          <w:spacing w:val="-1"/>
        </w:rPr>
        <w:t xml:space="preserve"> </w:t>
      </w:r>
      <w:r>
        <w:t>of</w:t>
      </w:r>
      <w:r>
        <w:rPr>
          <w:spacing w:val="-2"/>
        </w:rPr>
        <w:t xml:space="preserve"> </w:t>
      </w:r>
      <w:r>
        <w:t>the</w:t>
      </w:r>
      <w:r>
        <w:rPr>
          <w:spacing w:val="-3"/>
        </w:rPr>
        <w:t xml:space="preserve"> </w:t>
      </w:r>
      <w:r>
        <w:t>sections</w:t>
      </w:r>
      <w:r>
        <w:rPr>
          <w:spacing w:val="-2"/>
        </w:rPr>
        <w:t xml:space="preserve"> </w:t>
      </w:r>
      <w:r>
        <w:t>contained</w:t>
      </w:r>
      <w:r>
        <w:rPr>
          <w:spacing w:val="-1"/>
        </w:rPr>
        <w:t xml:space="preserve"> </w:t>
      </w:r>
      <w:r>
        <w:t>in</w:t>
      </w:r>
      <w:r>
        <w:rPr>
          <w:spacing w:val="-1"/>
        </w:rPr>
        <w:t xml:space="preserve"> </w:t>
      </w:r>
      <w:r>
        <w:t>this</w:t>
      </w:r>
      <w:r>
        <w:rPr>
          <w:spacing w:val="-2"/>
        </w:rPr>
        <w:t xml:space="preserve"> worksheet:</w:t>
      </w:r>
    </w:p>
    <w:p>
      <w:pPr>
        <w:pStyle w:val="ListParagraph"/>
        <w:numPr>
          <w:ilvl w:val="0"/>
          <w:numId w:val="41"/>
        </w:numPr>
        <w:tabs>
          <w:tab w:val="left" w:pos="1224"/>
          <w:tab w:val="left" w:pos="2664"/>
        </w:tabs>
        <w:spacing w:before="120" w:after="0" w:line="240" w:lineRule="auto"/>
        <w:ind w:left="1224" w:right="0" w:hanging="360"/>
        <w:jc w:val="left"/>
        <w:rPr>
          <w:sz w:val="24"/>
        </w:rPr>
      </w:pPr>
      <w:r>
        <w:rPr>
          <w:sz w:val="24"/>
        </w:rPr>
        <w:t>Section</w:t>
      </w:r>
      <w:r>
        <w:rPr>
          <w:spacing w:val="-2"/>
          <w:sz w:val="24"/>
        </w:rPr>
        <w:t xml:space="preserve"> </w:t>
      </w:r>
      <w:r>
        <w:rPr>
          <w:spacing w:val="-10"/>
          <w:sz w:val="24"/>
        </w:rPr>
        <w:t>I</w:t>
      </w:r>
      <w:r>
        <w:rPr>
          <w:sz w:val="24"/>
        </w:rPr>
        <w:tab/>
        <w:t>–</w:t>
      </w:r>
      <w:r>
        <w:rPr>
          <w:spacing w:val="-2"/>
          <w:sz w:val="24"/>
        </w:rPr>
        <w:t xml:space="preserve"> </w:t>
      </w:r>
      <w:r>
        <w:rPr>
          <w:sz w:val="24"/>
        </w:rPr>
        <w:t>General</w:t>
      </w:r>
      <w:r>
        <w:rPr>
          <w:spacing w:val="-1"/>
          <w:sz w:val="24"/>
        </w:rPr>
        <w:t xml:space="preserve"> </w:t>
      </w:r>
      <w:r>
        <w:rPr>
          <w:sz w:val="24"/>
        </w:rPr>
        <w:t>information</w:t>
      </w:r>
      <w:r>
        <w:rPr>
          <w:spacing w:val="-2"/>
          <w:sz w:val="24"/>
        </w:rPr>
        <w:t xml:space="preserve"> </w:t>
      </w:r>
      <w:r>
        <w:rPr>
          <w:sz w:val="24"/>
        </w:rPr>
        <w:t>entered</w:t>
      </w:r>
      <w:r>
        <w:rPr>
          <w:spacing w:val="-1"/>
          <w:sz w:val="24"/>
        </w:rPr>
        <w:t xml:space="preserve"> </w:t>
      </w:r>
      <w:r>
        <w:rPr>
          <w:sz w:val="24"/>
        </w:rPr>
        <w:t>on</w:t>
      </w:r>
      <w:r>
        <w:rPr>
          <w:spacing w:val="-1"/>
          <w:sz w:val="24"/>
        </w:rPr>
        <w:t xml:space="preserve"> </w:t>
      </w:r>
      <w:r>
        <w:rPr>
          <w:sz w:val="24"/>
        </w:rPr>
        <w:t>Worksheet</w:t>
      </w:r>
      <w:r>
        <w:rPr>
          <w:spacing w:val="-1"/>
          <w:sz w:val="24"/>
        </w:rPr>
        <w:t xml:space="preserve"> </w:t>
      </w:r>
      <w:r>
        <w:rPr>
          <w:spacing w:val="-5"/>
          <w:sz w:val="24"/>
        </w:rPr>
        <w:t>1.</w:t>
      </w:r>
    </w:p>
    <w:p>
      <w:pPr>
        <w:pStyle w:val="ListParagraph"/>
        <w:numPr>
          <w:ilvl w:val="0"/>
          <w:numId w:val="41"/>
        </w:numPr>
        <w:tabs>
          <w:tab w:val="left" w:pos="1224"/>
          <w:tab w:val="left" w:pos="2664"/>
        </w:tabs>
        <w:spacing w:before="0" w:after="0" w:line="240" w:lineRule="auto"/>
        <w:ind w:left="1224" w:right="0" w:hanging="360"/>
        <w:jc w:val="left"/>
        <w:rPr>
          <w:sz w:val="24"/>
        </w:rPr>
      </w:pPr>
      <w:r>
        <w:rPr>
          <w:sz w:val="24"/>
        </w:rPr>
        <w:t>Section</w:t>
      </w:r>
      <w:r>
        <w:rPr>
          <w:spacing w:val="-2"/>
          <w:sz w:val="24"/>
        </w:rPr>
        <w:t xml:space="preserve"> </w:t>
      </w:r>
      <w:r>
        <w:rPr>
          <w:spacing w:val="-5"/>
          <w:sz w:val="24"/>
        </w:rPr>
        <w:t>II</w:t>
      </w:r>
      <w:r>
        <w:rPr>
          <w:sz w:val="24"/>
        </w:rPr>
        <w:tab/>
        <w:t>–</w:t>
      </w:r>
      <w:r>
        <w:rPr>
          <w:spacing w:val="-3"/>
          <w:sz w:val="24"/>
        </w:rPr>
        <w:t xml:space="preserve"> </w:t>
      </w:r>
      <w:r>
        <w:rPr>
          <w:sz w:val="24"/>
        </w:rPr>
        <w:t>Summary</w:t>
      </w:r>
      <w:r>
        <w:rPr>
          <w:spacing w:val="-1"/>
          <w:sz w:val="24"/>
        </w:rPr>
        <w:t xml:space="preserve"> </w:t>
      </w:r>
      <w:r>
        <w:rPr>
          <w:sz w:val="24"/>
        </w:rPr>
        <w:t>of</w:t>
      </w:r>
      <w:r>
        <w:rPr>
          <w:spacing w:val="-1"/>
          <w:sz w:val="24"/>
        </w:rPr>
        <w:t xml:space="preserve"> </w:t>
      </w:r>
      <w:r>
        <w:rPr>
          <w:sz w:val="24"/>
        </w:rPr>
        <w:t>development</w:t>
      </w:r>
      <w:r>
        <w:rPr>
          <w:spacing w:val="-1"/>
          <w:sz w:val="24"/>
        </w:rPr>
        <w:t xml:space="preserve"> </w:t>
      </w:r>
      <w:r>
        <w:rPr>
          <w:sz w:val="24"/>
        </w:rPr>
        <w:t>of</w:t>
      </w:r>
      <w:r>
        <w:rPr>
          <w:spacing w:val="-1"/>
          <w:sz w:val="24"/>
        </w:rPr>
        <w:t xml:space="preserve"> </w:t>
      </w:r>
      <w:r>
        <w:rPr>
          <w:sz w:val="24"/>
        </w:rPr>
        <w:t>the benchmark</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pacing w:val="-4"/>
          <w:sz w:val="24"/>
        </w:rPr>
        <w:t>bid.</w:t>
      </w:r>
    </w:p>
    <w:p>
      <w:pPr>
        <w:pStyle w:val="ListParagraph"/>
        <w:numPr>
          <w:ilvl w:val="0"/>
          <w:numId w:val="41"/>
        </w:numPr>
        <w:tabs>
          <w:tab w:val="left" w:pos="1224"/>
          <w:tab w:val="left" w:pos="2664"/>
        </w:tabs>
        <w:spacing w:before="0" w:after="0" w:line="240" w:lineRule="auto"/>
        <w:ind w:left="1224" w:right="0" w:hanging="360"/>
        <w:jc w:val="left"/>
        <w:rPr>
          <w:sz w:val="24"/>
        </w:rPr>
      </w:pPr>
      <w:r>
        <w:rPr>
          <w:sz w:val="24"/>
        </w:rPr>
        <w:t>Section</w:t>
      </w:r>
      <w:r>
        <w:rPr>
          <w:spacing w:val="-2"/>
          <w:sz w:val="24"/>
        </w:rPr>
        <w:t xml:space="preserve"> </w:t>
      </w:r>
      <w:r>
        <w:rPr>
          <w:spacing w:val="-5"/>
          <w:sz w:val="24"/>
        </w:rPr>
        <w:t>III</w:t>
      </w:r>
      <w:r>
        <w:rPr>
          <w:sz w:val="24"/>
        </w:rPr>
        <w:tab/>
        <w:t>–</w:t>
      </w:r>
      <w:r>
        <w:rPr>
          <w:spacing w:val="-1"/>
          <w:sz w:val="24"/>
        </w:rPr>
        <w:t xml:space="preserve"> </w:t>
      </w:r>
      <w:r>
        <w:rPr>
          <w:sz w:val="24"/>
        </w:rPr>
        <w:t>Summary</w:t>
      </w:r>
      <w:r>
        <w:rPr>
          <w:spacing w:val="-1"/>
          <w:sz w:val="24"/>
        </w:rPr>
        <w:t xml:space="preserve"> </w:t>
      </w:r>
      <w:r>
        <w:rPr>
          <w:sz w:val="24"/>
        </w:rPr>
        <w:t>of</w:t>
      </w:r>
      <w:r>
        <w:rPr>
          <w:spacing w:val="-2"/>
          <w:sz w:val="24"/>
        </w:rPr>
        <w:t xml:space="preserve"> </w:t>
      </w:r>
      <w:r>
        <w:rPr>
          <w:sz w:val="24"/>
        </w:rPr>
        <w:t>development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savings</w:t>
      </w:r>
      <w:r>
        <w:rPr>
          <w:spacing w:val="-1"/>
          <w:sz w:val="24"/>
        </w:rPr>
        <w:t xml:space="preserve"> </w:t>
      </w:r>
      <w:r>
        <w:rPr>
          <w:sz w:val="24"/>
        </w:rPr>
        <w:t>or</w:t>
      </w:r>
      <w:r>
        <w:rPr>
          <w:spacing w:val="-1"/>
          <w:sz w:val="24"/>
        </w:rPr>
        <w:t xml:space="preserve"> </w:t>
      </w:r>
      <w:r>
        <w:rPr>
          <w:sz w:val="24"/>
        </w:rPr>
        <w:t>basic</w:t>
      </w:r>
      <w:r>
        <w:rPr>
          <w:spacing w:val="-2"/>
          <w:sz w:val="24"/>
        </w:rPr>
        <w:t xml:space="preserve"> </w:t>
      </w:r>
      <w:r>
        <w:rPr>
          <w:sz w:val="24"/>
        </w:rPr>
        <w:t xml:space="preserve">member </w:t>
      </w:r>
      <w:r>
        <w:rPr>
          <w:spacing w:val="-2"/>
          <w:sz w:val="24"/>
        </w:rPr>
        <w:t>premium.</w:t>
      </w:r>
    </w:p>
    <w:p>
      <w:pPr>
        <w:pStyle w:val="ListParagraph"/>
        <w:numPr>
          <w:ilvl w:val="0"/>
          <w:numId w:val="41"/>
        </w:numPr>
        <w:tabs>
          <w:tab w:val="left" w:pos="1224"/>
          <w:tab w:val="left" w:pos="2664"/>
        </w:tabs>
        <w:spacing w:before="0" w:after="0" w:line="240" w:lineRule="auto"/>
        <w:ind w:left="1224" w:right="1675" w:hanging="360"/>
        <w:jc w:val="left"/>
        <w:rPr>
          <w:sz w:val="24"/>
        </w:rPr>
      </w:pPr>
      <w:r>
        <w:rPr>
          <w:sz w:val="24"/>
        </w:rPr>
        <w:t>Section IV</w:t>
        <w:tab/>
        <w:t>–</w:t>
      </w:r>
      <w:r>
        <w:rPr>
          <w:spacing w:val="-5"/>
          <w:sz w:val="24"/>
        </w:rPr>
        <w:t xml:space="preserve"> </w:t>
      </w:r>
      <w:r>
        <w:rPr>
          <w:sz w:val="24"/>
        </w:rPr>
        <w:t>Development</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regional</w:t>
      </w:r>
      <w:r>
        <w:rPr>
          <w:spacing w:val="-5"/>
          <w:sz w:val="24"/>
        </w:rPr>
        <w:t xml:space="preserve"> </w:t>
      </w:r>
      <w:r>
        <w:rPr>
          <w:sz w:val="24"/>
        </w:rPr>
        <w:t>A/B</w:t>
      </w:r>
      <w:r>
        <w:rPr>
          <w:spacing w:val="-5"/>
          <w:sz w:val="24"/>
        </w:rPr>
        <w:t xml:space="preserve"> </w:t>
      </w:r>
      <w:r>
        <w:rPr>
          <w:sz w:val="24"/>
        </w:rPr>
        <w:t>benchmark</w:t>
      </w:r>
      <w:r>
        <w:rPr>
          <w:spacing w:val="-5"/>
          <w:sz w:val="24"/>
        </w:rPr>
        <w:t xml:space="preserve"> </w:t>
      </w:r>
      <w:r>
        <w:rPr>
          <w:sz w:val="24"/>
        </w:rPr>
        <w:t>(including</w:t>
      </w:r>
      <w:r>
        <w:rPr>
          <w:spacing w:val="-5"/>
          <w:sz w:val="24"/>
        </w:rPr>
        <w:t xml:space="preserve"> </w:t>
      </w:r>
      <w:r>
        <w:rPr>
          <w:sz w:val="24"/>
        </w:rPr>
        <w:t>the</w:t>
      </w:r>
      <w:r>
        <w:rPr>
          <w:spacing w:val="-5"/>
          <w:sz w:val="24"/>
        </w:rPr>
        <w:t xml:space="preserve"> </w:t>
      </w:r>
      <w:r>
        <w:rPr>
          <w:sz w:val="24"/>
        </w:rPr>
        <w:t>statutory component of the regional benchmark). Applies only to a “RPPO” plan type.</w:t>
      </w:r>
    </w:p>
    <w:p>
      <w:pPr>
        <w:pStyle w:val="ListParagraph"/>
        <w:numPr>
          <w:ilvl w:val="0"/>
          <w:numId w:val="41"/>
        </w:numPr>
        <w:tabs>
          <w:tab w:val="left" w:pos="1224"/>
          <w:tab w:val="left" w:pos="2664"/>
        </w:tabs>
        <w:spacing w:before="0" w:after="0" w:line="240" w:lineRule="auto"/>
        <w:ind w:left="1224" w:right="0" w:hanging="360"/>
        <w:jc w:val="left"/>
        <w:rPr>
          <w:sz w:val="24"/>
        </w:rPr>
      </w:pPr>
      <w:r>
        <w:rPr>
          <w:sz w:val="24"/>
        </w:rPr>
        <w:t>Section</w:t>
      </w:r>
      <w:r>
        <w:rPr>
          <w:spacing w:val="-2"/>
          <w:sz w:val="24"/>
        </w:rPr>
        <w:t xml:space="preserve"> </w:t>
      </w:r>
      <w:r>
        <w:rPr>
          <w:spacing w:val="-10"/>
          <w:sz w:val="24"/>
        </w:rPr>
        <w:t>V</w:t>
      </w:r>
      <w:r>
        <w:rPr>
          <w:sz w:val="24"/>
        </w:rPr>
        <w:tab/>
        <w:t>–</w:t>
      </w:r>
      <w:r>
        <w:rPr>
          <w:spacing w:val="-2"/>
          <w:sz w:val="24"/>
        </w:rPr>
        <w:t xml:space="preserve"> </w:t>
      </w:r>
      <w:r>
        <w:rPr>
          <w:sz w:val="24"/>
        </w:rPr>
        <w:t>Summary</w:t>
      </w:r>
      <w:r>
        <w:rPr>
          <w:spacing w:val="-1"/>
          <w:sz w:val="24"/>
        </w:rPr>
        <w:t xml:space="preserve"> </w:t>
      </w:r>
      <w:r>
        <w:rPr>
          <w:sz w:val="24"/>
        </w:rPr>
        <w:t>of</w:t>
      </w:r>
      <w:r>
        <w:rPr>
          <w:spacing w:val="-3"/>
          <w:sz w:val="24"/>
        </w:rPr>
        <w:t xml:space="preserve"> </w:t>
      </w:r>
      <w:r>
        <w:rPr>
          <w:sz w:val="24"/>
        </w:rPr>
        <w:t>Quality</w:t>
      </w:r>
      <w:r>
        <w:rPr>
          <w:spacing w:val="-1"/>
          <w:sz w:val="24"/>
        </w:rPr>
        <w:t xml:space="preserve"> </w:t>
      </w:r>
      <w:r>
        <w:rPr>
          <w:sz w:val="24"/>
        </w:rPr>
        <w:t>Bonus</w:t>
      </w:r>
      <w:r>
        <w:rPr>
          <w:spacing w:val="-2"/>
          <w:sz w:val="24"/>
        </w:rPr>
        <w:t xml:space="preserve"> </w:t>
      </w:r>
      <w:r>
        <w:rPr>
          <w:sz w:val="24"/>
        </w:rPr>
        <w:t>Rating</w:t>
      </w:r>
      <w:r>
        <w:rPr>
          <w:spacing w:val="-1"/>
          <w:sz w:val="24"/>
        </w:rPr>
        <w:t xml:space="preserve"> </w:t>
      </w:r>
      <w:r>
        <w:rPr>
          <w:sz w:val="24"/>
        </w:rPr>
        <w:t>information</w:t>
      </w:r>
      <w:r>
        <w:rPr>
          <w:spacing w:val="-1"/>
          <w:sz w:val="24"/>
        </w:rPr>
        <w:t xml:space="preserve"> </w:t>
      </w:r>
      <w:r>
        <w:rPr>
          <w:sz w:val="24"/>
        </w:rPr>
        <w:t>(from</w:t>
      </w:r>
      <w:r>
        <w:rPr>
          <w:spacing w:val="-1"/>
          <w:sz w:val="24"/>
        </w:rPr>
        <w:t xml:space="preserve"> </w:t>
      </w:r>
      <w:r>
        <w:rPr>
          <w:spacing w:val="-2"/>
          <w:sz w:val="24"/>
        </w:rPr>
        <w:t>CMS).</w:t>
      </w:r>
    </w:p>
    <w:p>
      <w:pPr>
        <w:pStyle w:val="ListParagraph"/>
        <w:numPr>
          <w:ilvl w:val="0"/>
          <w:numId w:val="41"/>
        </w:numPr>
        <w:tabs>
          <w:tab w:val="left" w:pos="1224"/>
          <w:tab w:val="left" w:pos="2664"/>
        </w:tabs>
        <w:spacing w:before="1" w:after="0" w:line="240" w:lineRule="auto"/>
        <w:ind w:left="1224" w:right="0" w:hanging="360"/>
        <w:jc w:val="left"/>
        <w:rPr>
          <w:sz w:val="24"/>
        </w:rPr>
      </w:pPr>
      <w:r>
        <w:rPr>
          <w:sz w:val="24"/>
        </w:rPr>
        <w:t>Section</w:t>
      </w:r>
      <w:r>
        <w:rPr>
          <w:spacing w:val="-2"/>
          <w:sz w:val="24"/>
        </w:rPr>
        <w:t xml:space="preserve"> </w:t>
      </w:r>
      <w:r>
        <w:rPr>
          <w:spacing w:val="-5"/>
          <w:sz w:val="24"/>
        </w:rPr>
        <w:t>VI</w:t>
      </w:r>
      <w:r>
        <w:rPr>
          <w:sz w:val="24"/>
        </w:rPr>
        <w:tab/>
        <w:t>–</w:t>
      </w:r>
      <w:r>
        <w:rPr>
          <w:spacing w:val="-3"/>
          <w:sz w:val="24"/>
        </w:rPr>
        <w:t xml:space="preserve"> </w:t>
      </w:r>
      <w:r>
        <w:rPr>
          <w:sz w:val="24"/>
        </w:rPr>
        <w:t>Projected</w:t>
      </w:r>
      <w:r>
        <w:rPr>
          <w:spacing w:val="-2"/>
          <w:sz w:val="24"/>
        </w:rPr>
        <w:t xml:space="preserve"> </w:t>
      </w:r>
      <w:r>
        <w:rPr>
          <w:sz w:val="24"/>
        </w:rPr>
        <w:t>bid-specific</w:t>
      </w:r>
      <w:r>
        <w:rPr>
          <w:spacing w:val="-3"/>
          <w:sz w:val="24"/>
        </w:rPr>
        <w:t xml:space="preserve"> </w:t>
      </w:r>
      <w:r>
        <w:rPr>
          <w:sz w:val="24"/>
        </w:rPr>
        <w:t>information based</w:t>
      </w:r>
      <w:r>
        <w:rPr>
          <w:spacing w:val="-1"/>
          <w:sz w:val="24"/>
        </w:rPr>
        <w:t xml:space="preserve"> </w:t>
      </w:r>
      <w:r>
        <w:rPr>
          <w:sz w:val="24"/>
        </w:rPr>
        <w:t>on</w:t>
      </w:r>
      <w:r>
        <w:rPr>
          <w:spacing w:val="-1"/>
          <w:sz w:val="24"/>
        </w:rPr>
        <w:t xml:space="preserve"> </w:t>
      </w:r>
      <w:r>
        <w:rPr>
          <w:sz w:val="24"/>
        </w:rPr>
        <w:t>projected</w:t>
      </w:r>
      <w:r>
        <w:rPr>
          <w:spacing w:val="-1"/>
          <w:sz w:val="24"/>
        </w:rPr>
        <w:t xml:space="preserve"> </w:t>
      </w:r>
      <w:r>
        <w:rPr>
          <w:spacing w:val="-2"/>
          <w:sz w:val="24"/>
        </w:rPr>
        <w:t>enrollment.</w:t>
      </w:r>
    </w:p>
    <w:p>
      <w:pPr>
        <w:pStyle w:val="ListParagraph"/>
        <w:numPr>
          <w:ilvl w:val="0"/>
          <w:numId w:val="41"/>
        </w:numPr>
        <w:tabs>
          <w:tab w:val="left" w:pos="1224"/>
          <w:tab w:val="left" w:pos="2664"/>
        </w:tabs>
        <w:spacing w:before="0" w:after="0" w:line="240" w:lineRule="auto"/>
        <w:ind w:left="1224" w:right="2165" w:hanging="360"/>
        <w:jc w:val="left"/>
        <w:rPr>
          <w:sz w:val="24"/>
        </w:rPr>
      </w:pPr>
      <w:r>
        <w:rPr>
          <w:sz w:val="24"/>
        </w:rPr>
        <w:t>Section VII</w:t>
        <w:tab/>
        <w:t>–</w:t>
      </w:r>
      <w:r>
        <w:rPr>
          <w:spacing w:val="-5"/>
          <w:sz w:val="24"/>
        </w:rPr>
        <w:t xml:space="preserve"> </w:t>
      </w:r>
      <w:r>
        <w:rPr>
          <w:sz w:val="24"/>
        </w:rPr>
        <w:t>Other</w:t>
      </w:r>
      <w:r>
        <w:rPr>
          <w:spacing w:val="-5"/>
          <w:sz w:val="24"/>
        </w:rPr>
        <w:t xml:space="preserve"> </w:t>
      </w:r>
      <w:r>
        <w:rPr>
          <w:sz w:val="24"/>
        </w:rPr>
        <w:t>Medicare</w:t>
      </w:r>
      <w:r>
        <w:rPr>
          <w:spacing w:val="-7"/>
          <w:sz w:val="24"/>
        </w:rPr>
        <w:t xml:space="preserve"> </w:t>
      </w:r>
      <w:r>
        <w:rPr>
          <w:sz w:val="24"/>
        </w:rPr>
        <w:t>information</w:t>
      </w:r>
      <w:r>
        <w:rPr>
          <w:spacing w:val="-5"/>
          <w:sz w:val="24"/>
        </w:rPr>
        <w:t xml:space="preserve"> </w:t>
      </w:r>
      <w:r>
        <w:rPr>
          <w:sz w:val="24"/>
        </w:rPr>
        <w:t>(populated</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 xml:space="preserve">enrollment </w:t>
      </w:r>
      <w:r>
        <w:rPr>
          <w:spacing w:val="-2"/>
          <w:sz w:val="24"/>
        </w:rPr>
        <w:t>projection).</w:t>
      </w:r>
    </w:p>
    <w:p>
      <w:pPr>
        <w:pStyle w:val="ListParagraph"/>
        <w:numPr>
          <w:ilvl w:val="0"/>
          <w:numId w:val="41"/>
        </w:numPr>
        <w:tabs>
          <w:tab w:val="left" w:pos="1224"/>
          <w:tab w:val="left" w:pos="2664"/>
        </w:tabs>
        <w:spacing w:before="0" w:after="0" w:line="240" w:lineRule="auto"/>
        <w:ind w:left="1224" w:right="0" w:hanging="360"/>
        <w:jc w:val="left"/>
        <w:rPr>
          <w:sz w:val="24"/>
        </w:rPr>
      </w:pPr>
      <w:r>
        <w:rPr>
          <w:sz w:val="24"/>
        </w:rPr>
        <w:t>Section</w:t>
      </w:r>
      <w:r>
        <w:rPr>
          <w:spacing w:val="-4"/>
          <w:sz w:val="24"/>
        </w:rPr>
        <w:t xml:space="preserve"> VIII</w:t>
      </w:r>
      <w:r>
        <w:rPr>
          <w:sz w:val="24"/>
        </w:rPr>
        <w:tab/>
        <w:t>–</w:t>
      </w:r>
      <w:r>
        <w:rPr>
          <w:spacing w:val="-2"/>
          <w:sz w:val="24"/>
        </w:rPr>
        <w:t xml:space="preserve"> </w:t>
      </w:r>
      <w:r>
        <w:rPr>
          <w:sz w:val="24"/>
        </w:rPr>
        <w:t>Projected</w:t>
      </w:r>
      <w:r>
        <w:rPr>
          <w:spacing w:val="-1"/>
          <w:sz w:val="24"/>
        </w:rPr>
        <w:t xml:space="preserve"> </w:t>
      </w:r>
      <w:r>
        <w:rPr>
          <w:sz w:val="24"/>
        </w:rPr>
        <w:t>CY</w:t>
      </w:r>
      <w:r>
        <w:rPr>
          <w:spacing w:val="-2"/>
          <w:sz w:val="24"/>
        </w:rPr>
        <w:t xml:space="preserve"> </w:t>
      </w:r>
      <w:r>
        <w:rPr>
          <w:sz w:val="24"/>
        </w:rPr>
        <w:t>Member</w:t>
      </w:r>
      <w:r>
        <w:rPr>
          <w:spacing w:val="-1"/>
          <w:sz w:val="24"/>
        </w:rPr>
        <w:t xml:space="preserve"> </w:t>
      </w:r>
      <w:r>
        <w:rPr>
          <w:spacing w:val="-2"/>
          <w:sz w:val="24"/>
        </w:rPr>
        <w:t>Months.</w:t>
      </w:r>
    </w:p>
    <w:p>
      <w:pPr>
        <w:pStyle w:val="BodyText"/>
        <w:spacing w:before="120"/>
      </w:pPr>
      <w:r>
        <w:t>The</w:t>
      </w:r>
      <w:r>
        <w:rPr>
          <w:spacing w:val="-5"/>
        </w:rPr>
        <w:t xml:space="preserve"> </w:t>
      </w:r>
      <w:r>
        <w:t>A/B</w:t>
      </w:r>
      <w:r>
        <w:rPr>
          <w:spacing w:val="-1"/>
        </w:rPr>
        <w:t xml:space="preserve"> </w:t>
      </w:r>
      <w:r>
        <w:t>benchmark</w:t>
      </w:r>
      <w:r>
        <w:rPr>
          <w:spacing w:val="1"/>
        </w:rPr>
        <w:t xml:space="preserve"> </w:t>
      </w:r>
      <w:r>
        <w:t>calculation</w:t>
      </w:r>
      <w:r>
        <w:rPr>
          <w:spacing w:val="-1"/>
        </w:rPr>
        <w:t xml:space="preserve"> </w:t>
      </w:r>
      <w:r>
        <w:t>is</w:t>
      </w:r>
      <w:r>
        <w:rPr>
          <w:spacing w:val="-1"/>
        </w:rPr>
        <w:t xml:space="preserve"> </w:t>
      </w:r>
      <w:r>
        <w:t>based</w:t>
      </w:r>
      <w:r>
        <w:rPr>
          <w:spacing w:val="-1"/>
        </w:rPr>
        <w:t xml:space="preserve"> </w:t>
      </w:r>
      <w:r>
        <w:t>on</w:t>
      </w:r>
      <w:r>
        <w:rPr>
          <w:spacing w:val="-1"/>
        </w:rPr>
        <w:t xml:space="preserve"> </w:t>
      </w:r>
      <w:r>
        <w:t>the</w:t>
      </w:r>
      <w:r>
        <w:rPr>
          <w:spacing w:val="-1"/>
        </w:rPr>
        <w:t xml:space="preserve"> </w:t>
      </w:r>
      <w:r>
        <w:t>following</w:t>
      </w:r>
      <w:r>
        <w:rPr>
          <w:spacing w:val="-1"/>
        </w:rPr>
        <w:t xml:space="preserve"> </w:t>
      </w:r>
      <w:r>
        <w:t xml:space="preserve">data </w:t>
      </w:r>
      <w:r>
        <w:rPr>
          <w:spacing w:val="-2"/>
        </w:rPr>
        <w:t>elements:</w:t>
      </w:r>
    </w:p>
    <w:p>
      <w:pPr>
        <w:pStyle w:val="ListParagraph"/>
        <w:numPr>
          <w:ilvl w:val="1"/>
          <w:numId w:val="41"/>
        </w:numPr>
        <w:tabs>
          <w:tab w:val="left" w:pos="1584"/>
        </w:tabs>
        <w:spacing w:before="122" w:after="0" w:line="237" w:lineRule="auto"/>
        <w:ind w:left="1584" w:right="2062" w:hanging="360"/>
        <w:jc w:val="left"/>
        <w:rPr>
          <w:sz w:val="24"/>
        </w:rPr>
      </w:pPr>
      <w:r>
        <w:rPr>
          <w:sz w:val="24"/>
        </w:rPr>
        <w:t>Service</w:t>
      </w:r>
      <w:r>
        <w:rPr>
          <w:spacing w:val="-5"/>
          <w:sz w:val="24"/>
        </w:rPr>
        <w:t xml:space="preserve"> </w:t>
      </w:r>
      <w:r>
        <w:rPr>
          <w:sz w:val="24"/>
        </w:rPr>
        <w:t>Area:</w:t>
      </w:r>
      <w:r>
        <w:rPr>
          <w:spacing w:val="-4"/>
          <w:sz w:val="24"/>
        </w:rPr>
        <w:t xml:space="preserve"> </w:t>
      </w:r>
      <w:r>
        <w:rPr>
          <w:sz w:val="24"/>
        </w:rPr>
        <w:t>Counties</w:t>
      </w:r>
      <w:r>
        <w:rPr>
          <w:spacing w:val="-2"/>
          <w:sz w:val="24"/>
        </w:rPr>
        <w:t xml:space="preserve"> </w:t>
      </w:r>
      <w:r>
        <w:rPr>
          <w:sz w:val="24"/>
        </w:rPr>
        <w:t>within</w:t>
      </w:r>
      <w:r>
        <w:rPr>
          <w:spacing w:val="-4"/>
          <w:sz w:val="24"/>
        </w:rPr>
        <w:t xml:space="preserve"> </w:t>
      </w:r>
      <w:r>
        <w:rPr>
          <w:sz w:val="24"/>
        </w:rPr>
        <w:t>the</w:t>
      </w:r>
      <w:r>
        <w:rPr>
          <w:spacing w:val="-4"/>
          <w:sz w:val="24"/>
        </w:rPr>
        <w:t xml:space="preserve"> </w:t>
      </w:r>
      <w:r>
        <w:rPr>
          <w:sz w:val="24"/>
        </w:rPr>
        <w:t>MA</w:t>
      </w:r>
      <w:r>
        <w:rPr>
          <w:spacing w:val="-5"/>
          <w:sz w:val="24"/>
        </w:rPr>
        <w:t xml:space="preserve"> </w:t>
      </w:r>
      <w:r>
        <w:rPr>
          <w:sz w:val="24"/>
        </w:rPr>
        <w:t>service</w:t>
      </w:r>
      <w:r>
        <w:rPr>
          <w:spacing w:val="-5"/>
          <w:sz w:val="24"/>
        </w:rPr>
        <w:t xml:space="preserve"> </w:t>
      </w:r>
      <w:r>
        <w:rPr>
          <w:sz w:val="24"/>
        </w:rPr>
        <w:t>area</w:t>
      </w:r>
      <w:r>
        <w:rPr>
          <w:spacing w:val="-5"/>
          <w:sz w:val="24"/>
        </w:rPr>
        <w:t xml:space="preserve"> </w:t>
      </w:r>
      <w:r>
        <w:rPr>
          <w:sz w:val="24"/>
        </w:rPr>
        <w:t>defined</w:t>
      </w:r>
      <w:r>
        <w:rPr>
          <w:spacing w:val="-4"/>
          <w:sz w:val="24"/>
        </w:rPr>
        <w:t xml:space="preserve"> </w:t>
      </w:r>
      <w:r>
        <w:rPr>
          <w:sz w:val="24"/>
        </w:rPr>
        <w:t>by</w:t>
      </w:r>
      <w:r>
        <w:rPr>
          <w:spacing w:val="-4"/>
          <w:sz w:val="24"/>
        </w:rPr>
        <w:t xml:space="preserve"> </w:t>
      </w:r>
      <w:r>
        <w:rPr>
          <w:sz w:val="24"/>
        </w:rPr>
        <w:t>their</w:t>
      </w:r>
      <w:r>
        <w:rPr>
          <w:spacing w:val="-5"/>
          <w:sz w:val="24"/>
        </w:rPr>
        <w:t xml:space="preserve"> </w:t>
      </w:r>
      <w:r>
        <w:rPr>
          <w:sz w:val="24"/>
        </w:rPr>
        <w:t>respective Social Security Administration (SSA) state-county codes.</w:t>
      </w:r>
    </w:p>
    <w:p>
      <w:pPr>
        <w:pStyle w:val="ListParagraph"/>
        <w:numPr>
          <w:ilvl w:val="1"/>
          <w:numId w:val="41"/>
        </w:numPr>
        <w:tabs>
          <w:tab w:val="left" w:pos="1584"/>
        </w:tabs>
        <w:spacing w:before="1" w:after="0" w:line="240" w:lineRule="auto"/>
        <w:ind w:left="1584" w:right="1810" w:hanging="360"/>
        <w:jc w:val="left"/>
        <w:rPr>
          <w:sz w:val="24"/>
        </w:rPr>
      </w:pPr>
      <w:r>
        <w:rPr>
          <w:sz w:val="24"/>
        </w:rPr>
        <w:t>Projected</w:t>
      </w:r>
      <w:r>
        <w:rPr>
          <w:spacing w:val="-5"/>
          <w:sz w:val="24"/>
        </w:rPr>
        <w:t xml:space="preserve"> </w:t>
      </w:r>
      <w:r>
        <w:rPr>
          <w:sz w:val="24"/>
        </w:rPr>
        <w:t>Member</w:t>
      </w:r>
      <w:r>
        <w:rPr>
          <w:spacing w:val="-6"/>
          <w:sz w:val="24"/>
        </w:rPr>
        <w:t xml:space="preserve"> </w:t>
      </w:r>
      <w:r>
        <w:rPr>
          <w:sz w:val="24"/>
        </w:rPr>
        <w:t>Months</w:t>
      </w:r>
      <w:r>
        <w:rPr>
          <w:spacing w:val="-6"/>
          <w:sz w:val="24"/>
        </w:rPr>
        <w:t xml:space="preserve"> </w:t>
      </w:r>
      <w:r>
        <w:rPr>
          <w:sz w:val="24"/>
        </w:rPr>
        <w:t>(excluding</w:t>
      </w:r>
      <w:r>
        <w:rPr>
          <w:spacing w:val="-5"/>
          <w:sz w:val="24"/>
        </w:rPr>
        <w:t xml:space="preserve"> </w:t>
      </w:r>
      <w:r>
        <w:rPr>
          <w:sz w:val="24"/>
        </w:rPr>
        <w:t>ESRD</w:t>
      </w:r>
      <w:r>
        <w:rPr>
          <w:spacing w:val="-4"/>
          <w:sz w:val="24"/>
        </w:rPr>
        <w:t xml:space="preserve"> </w:t>
      </w:r>
      <w:r>
        <w:rPr>
          <w:sz w:val="24"/>
        </w:rPr>
        <w:t>and</w:t>
      </w:r>
      <w:r>
        <w:rPr>
          <w:spacing w:val="-3"/>
          <w:sz w:val="24"/>
        </w:rPr>
        <w:t xml:space="preserve"> </w:t>
      </w:r>
      <w:r>
        <w:rPr>
          <w:sz w:val="24"/>
        </w:rPr>
        <w:t>hospice):</w:t>
      </w:r>
      <w:r>
        <w:rPr>
          <w:spacing w:val="-5"/>
          <w:sz w:val="24"/>
        </w:rPr>
        <w:t xml:space="preserve"> </w:t>
      </w:r>
      <w:r>
        <w:rPr>
          <w:sz w:val="24"/>
        </w:rPr>
        <w:t>Projected</w:t>
      </w:r>
      <w:r>
        <w:rPr>
          <w:spacing w:val="-5"/>
          <w:sz w:val="24"/>
        </w:rPr>
        <w:t xml:space="preserve"> </w:t>
      </w:r>
      <w:r>
        <w:rPr>
          <w:sz w:val="24"/>
        </w:rPr>
        <w:t>non-ESRD non-hospice member months, reported by county of the bid’s service area.</w:t>
      </w:r>
    </w:p>
    <w:p>
      <w:pPr>
        <w:pStyle w:val="ListParagraph"/>
        <w:numPr>
          <w:ilvl w:val="1"/>
          <w:numId w:val="41"/>
        </w:numPr>
        <w:tabs>
          <w:tab w:val="left" w:pos="1584"/>
        </w:tabs>
        <w:spacing w:before="0" w:after="0" w:line="240" w:lineRule="auto"/>
        <w:ind w:left="1584" w:right="1578" w:hanging="360"/>
        <w:jc w:val="left"/>
        <w:rPr>
          <w:sz w:val="24"/>
        </w:rPr>
      </w:pPr>
      <w:r>
        <w:rPr>
          <w:sz w:val="24"/>
        </w:rPr>
        <w:t>Projected</w:t>
      </w:r>
      <w:r>
        <w:rPr>
          <w:spacing w:val="-5"/>
          <w:sz w:val="24"/>
        </w:rPr>
        <w:t xml:space="preserve"> </w:t>
      </w:r>
      <w:r>
        <w:rPr>
          <w:sz w:val="24"/>
        </w:rPr>
        <w:t>Risk</w:t>
      </w:r>
      <w:r>
        <w:rPr>
          <w:spacing w:val="-5"/>
          <w:sz w:val="24"/>
        </w:rPr>
        <w:t xml:space="preserve"> </w:t>
      </w:r>
      <w:r>
        <w:rPr>
          <w:sz w:val="24"/>
        </w:rPr>
        <w:t>Factor</w:t>
      </w:r>
      <w:r>
        <w:rPr>
          <w:spacing w:val="-5"/>
          <w:sz w:val="24"/>
        </w:rPr>
        <w:t xml:space="preserve"> </w:t>
      </w:r>
      <w:r>
        <w:rPr>
          <w:sz w:val="24"/>
        </w:rPr>
        <w:t>(excluding</w:t>
      </w:r>
      <w:r>
        <w:rPr>
          <w:spacing w:val="-5"/>
          <w:sz w:val="24"/>
        </w:rPr>
        <w:t xml:space="preserve"> </w:t>
      </w:r>
      <w:r>
        <w:rPr>
          <w:sz w:val="24"/>
        </w:rPr>
        <w:t>ESRD</w:t>
      </w:r>
      <w:r>
        <w:rPr>
          <w:spacing w:val="-3"/>
          <w:sz w:val="24"/>
        </w:rPr>
        <w:t xml:space="preserve"> </w:t>
      </w:r>
      <w:r>
        <w:rPr>
          <w:sz w:val="24"/>
        </w:rPr>
        <w:t>and</w:t>
      </w:r>
      <w:r>
        <w:rPr>
          <w:spacing w:val="-5"/>
          <w:sz w:val="24"/>
        </w:rPr>
        <w:t xml:space="preserve"> </w:t>
      </w:r>
      <w:r>
        <w:rPr>
          <w:sz w:val="24"/>
        </w:rPr>
        <w:t>hospice):</w:t>
      </w:r>
      <w:r>
        <w:rPr>
          <w:spacing w:val="-5"/>
          <w:sz w:val="24"/>
        </w:rPr>
        <w:t xml:space="preserve"> </w:t>
      </w:r>
      <w:r>
        <w:rPr>
          <w:sz w:val="24"/>
        </w:rPr>
        <w:t>Projected</w:t>
      </w:r>
      <w:r>
        <w:rPr>
          <w:spacing w:val="-5"/>
          <w:sz w:val="24"/>
        </w:rPr>
        <w:t xml:space="preserve"> </w:t>
      </w:r>
      <w:r>
        <w:rPr>
          <w:sz w:val="24"/>
        </w:rPr>
        <w:t>average</w:t>
      </w:r>
      <w:r>
        <w:rPr>
          <w:spacing w:val="-4"/>
          <w:sz w:val="24"/>
        </w:rPr>
        <w:t xml:space="preserve"> </w:t>
      </w:r>
      <w:r>
        <w:rPr>
          <w:sz w:val="24"/>
        </w:rPr>
        <w:t>risk</w:t>
      </w:r>
      <w:r>
        <w:rPr>
          <w:spacing w:val="-5"/>
          <w:sz w:val="24"/>
        </w:rPr>
        <w:t xml:space="preserve"> </w:t>
      </w:r>
      <w:r>
        <w:rPr>
          <w:sz w:val="24"/>
        </w:rPr>
        <w:t>factor for non-ESRD non-hospice enrollees, reported by county of the bid’s service area.</w:t>
      </w:r>
    </w:p>
    <w:p>
      <w:pPr>
        <w:pStyle w:val="ListParagraph"/>
        <w:numPr>
          <w:ilvl w:val="1"/>
          <w:numId w:val="41"/>
        </w:numPr>
        <w:tabs>
          <w:tab w:val="left" w:pos="1584"/>
        </w:tabs>
        <w:spacing w:before="0" w:after="0" w:line="240" w:lineRule="auto"/>
        <w:ind w:left="1584" w:right="0" w:hanging="360"/>
        <w:jc w:val="left"/>
        <w:rPr>
          <w:sz w:val="24"/>
        </w:rPr>
      </w:pPr>
      <w:r>
        <w:rPr>
          <w:sz w:val="24"/>
        </w:rPr>
        <w:t>Medicare</w:t>
      </w:r>
      <w:r>
        <w:rPr>
          <w:spacing w:val="-4"/>
          <w:sz w:val="24"/>
        </w:rPr>
        <w:t xml:space="preserve"> </w:t>
      </w:r>
      <w:r>
        <w:rPr>
          <w:sz w:val="24"/>
        </w:rPr>
        <w:t>Secondary</w:t>
      </w:r>
      <w:r>
        <w:rPr>
          <w:spacing w:val="-1"/>
          <w:sz w:val="24"/>
        </w:rPr>
        <w:t xml:space="preserve"> </w:t>
      </w:r>
      <w:r>
        <w:rPr>
          <w:sz w:val="24"/>
        </w:rPr>
        <w:t>Payer</w:t>
      </w:r>
      <w:r>
        <w:rPr>
          <w:spacing w:val="-1"/>
          <w:sz w:val="24"/>
        </w:rPr>
        <w:t xml:space="preserve"> </w:t>
      </w:r>
      <w:r>
        <w:rPr>
          <w:sz w:val="24"/>
        </w:rPr>
        <w:t>Adjustment</w:t>
      </w:r>
      <w:r>
        <w:rPr>
          <w:spacing w:val="-1"/>
          <w:sz w:val="24"/>
        </w:rPr>
        <w:t xml:space="preserve"> </w:t>
      </w:r>
      <w:r>
        <w:rPr>
          <w:sz w:val="24"/>
        </w:rPr>
        <w:t>Factor:</w:t>
      </w:r>
      <w:r>
        <w:rPr>
          <w:spacing w:val="-1"/>
          <w:sz w:val="24"/>
        </w:rPr>
        <w:t xml:space="preserve"> </w:t>
      </w:r>
      <w:r>
        <w:rPr>
          <w:sz w:val="24"/>
        </w:rPr>
        <w:t>Factor</w:t>
      </w:r>
      <w:r>
        <w:rPr>
          <w:spacing w:val="-1"/>
          <w:sz w:val="24"/>
        </w:rPr>
        <w:t xml:space="preserve"> </w:t>
      </w:r>
      <w:r>
        <w:rPr>
          <w:sz w:val="24"/>
        </w:rPr>
        <w:t>relative</w:t>
      </w:r>
      <w:r>
        <w:rPr>
          <w:spacing w:val="-1"/>
          <w:sz w:val="24"/>
        </w:rPr>
        <w:t xml:space="preserve"> </w:t>
      </w:r>
      <w:r>
        <w:rPr>
          <w:sz w:val="24"/>
        </w:rPr>
        <w:t>to</w:t>
      </w:r>
      <w:r>
        <w:rPr>
          <w:spacing w:val="-1"/>
          <w:sz w:val="24"/>
        </w:rPr>
        <w:t xml:space="preserve"> </w:t>
      </w:r>
      <w:r>
        <w:rPr>
          <w:sz w:val="24"/>
        </w:rPr>
        <w:t>all</w:t>
      </w:r>
      <w:r>
        <w:rPr>
          <w:spacing w:val="-1"/>
          <w:sz w:val="24"/>
        </w:rPr>
        <w:t xml:space="preserve"> </w:t>
      </w:r>
      <w:r>
        <w:rPr>
          <w:spacing w:val="-2"/>
          <w:sz w:val="24"/>
        </w:rPr>
        <w:t>payments.</w:t>
      </w:r>
    </w:p>
    <w:p>
      <w:pPr>
        <w:pStyle w:val="ListParagraph"/>
        <w:numPr>
          <w:ilvl w:val="1"/>
          <w:numId w:val="41"/>
        </w:numPr>
        <w:tabs>
          <w:tab w:val="left" w:pos="1584"/>
        </w:tabs>
        <w:spacing w:before="1" w:after="0" w:line="240" w:lineRule="auto"/>
        <w:ind w:left="1584" w:right="1716" w:hanging="360"/>
        <w:jc w:val="left"/>
        <w:rPr>
          <w:sz w:val="24"/>
        </w:rPr>
      </w:pPr>
      <w:r>
        <w:rPr>
          <w:sz w:val="24"/>
        </w:rPr>
        <w:t>For regional PPO plans, the mix of Medicare beneficiaries (nationally) between original</w:t>
      </w:r>
      <w:r>
        <w:rPr>
          <w:spacing w:val="-4"/>
          <w:sz w:val="24"/>
        </w:rPr>
        <w:t xml:space="preserve"> </w:t>
      </w:r>
      <w:r>
        <w:rPr>
          <w:sz w:val="24"/>
        </w:rPr>
        <w:t>Medicare</w:t>
      </w:r>
      <w:r>
        <w:rPr>
          <w:spacing w:val="-5"/>
          <w:sz w:val="24"/>
        </w:rPr>
        <w:t xml:space="preserve"> </w:t>
      </w:r>
      <w:r>
        <w:rPr>
          <w:sz w:val="24"/>
        </w:rPr>
        <w:t>and</w:t>
      </w:r>
      <w:r>
        <w:rPr>
          <w:spacing w:val="-4"/>
          <w:sz w:val="24"/>
        </w:rPr>
        <w:t xml:space="preserve"> </w:t>
      </w:r>
      <w:r>
        <w:rPr>
          <w:sz w:val="24"/>
        </w:rPr>
        <w:t>Medicare</w:t>
      </w:r>
      <w:r>
        <w:rPr>
          <w:spacing w:val="-5"/>
          <w:sz w:val="24"/>
        </w:rPr>
        <w:t xml:space="preserve"> </w:t>
      </w:r>
      <w:r>
        <w:rPr>
          <w:sz w:val="24"/>
        </w:rPr>
        <w:t>Advantage</w:t>
      </w:r>
      <w:r>
        <w:rPr>
          <w:spacing w:val="-5"/>
          <w:sz w:val="24"/>
        </w:rPr>
        <w:t xml:space="preserve"> </w:t>
      </w:r>
      <w:r>
        <w:rPr>
          <w:sz w:val="24"/>
        </w:rPr>
        <w:t>(used</w:t>
      </w:r>
      <w:r>
        <w:rPr>
          <w:spacing w:val="-2"/>
          <w:sz w:val="24"/>
        </w:rPr>
        <w:t xml:space="preserve"> </w:t>
      </w:r>
      <w:r>
        <w:rPr>
          <w:sz w:val="24"/>
        </w:rPr>
        <w:t>to</w:t>
      </w:r>
      <w:r>
        <w:rPr>
          <w:spacing w:val="-4"/>
          <w:sz w:val="24"/>
        </w:rPr>
        <w:t xml:space="preserve"> </w:t>
      </w:r>
      <w:r>
        <w:rPr>
          <w:sz w:val="24"/>
        </w:rPr>
        <w:t>weight</w:t>
      </w:r>
      <w:r>
        <w:rPr>
          <w:spacing w:val="-4"/>
          <w:sz w:val="24"/>
        </w:rPr>
        <w:t xml:space="preserve"> </w:t>
      </w:r>
      <w:r>
        <w:rPr>
          <w:sz w:val="24"/>
        </w:rPr>
        <w:t>the</w:t>
      </w:r>
      <w:r>
        <w:rPr>
          <w:spacing w:val="-4"/>
          <w:sz w:val="24"/>
        </w:rPr>
        <w:t xml:space="preserve"> </w:t>
      </w:r>
      <w:r>
        <w:rPr>
          <w:sz w:val="24"/>
        </w:rPr>
        <w:t>statutory</w:t>
      </w:r>
      <w:r>
        <w:rPr>
          <w:spacing w:val="-4"/>
          <w:sz w:val="24"/>
        </w:rPr>
        <w:t xml:space="preserve"> </w:t>
      </w:r>
      <w:r>
        <w:rPr>
          <w:sz w:val="24"/>
        </w:rPr>
        <w:t>and</w:t>
      </w:r>
      <w:r>
        <w:rPr>
          <w:spacing w:val="-4"/>
          <w:sz w:val="24"/>
        </w:rPr>
        <w:t xml:space="preserve"> </w:t>
      </w:r>
      <w:r>
        <w:rPr>
          <w:sz w:val="24"/>
        </w:rPr>
        <w:t>plan bid components of the regional A/B benchmark).</w:t>
      </w:r>
    </w:p>
    <w:p>
      <w:pPr>
        <w:pStyle w:val="ListParagraph"/>
        <w:numPr>
          <w:ilvl w:val="1"/>
          <w:numId w:val="41"/>
        </w:numPr>
        <w:tabs>
          <w:tab w:val="left" w:pos="1584"/>
        </w:tabs>
        <w:spacing w:before="0" w:after="0" w:line="240" w:lineRule="auto"/>
        <w:ind w:left="1584" w:right="0" w:hanging="360"/>
        <w:jc w:val="left"/>
        <w:rPr>
          <w:sz w:val="24"/>
        </w:rPr>
      </w:pPr>
      <w:r>
        <w:rPr>
          <w:sz w:val="24"/>
        </w:rPr>
        <w:t>Quality</w:t>
      </w:r>
      <w:r>
        <w:rPr>
          <w:spacing w:val="-2"/>
          <w:sz w:val="24"/>
        </w:rPr>
        <w:t xml:space="preserve"> </w:t>
      </w:r>
      <w:r>
        <w:rPr>
          <w:sz w:val="24"/>
        </w:rPr>
        <w:t>Bonus</w:t>
      </w:r>
      <w:r>
        <w:rPr>
          <w:spacing w:val="-3"/>
          <w:sz w:val="24"/>
        </w:rPr>
        <w:t xml:space="preserve"> </w:t>
      </w:r>
      <w:r>
        <w:rPr>
          <w:sz w:val="24"/>
        </w:rPr>
        <w:t>Rating</w:t>
      </w:r>
      <w:r>
        <w:rPr>
          <w:spacing w:val="-2"/>
          <w:sz w:val="24"/>
        </w:rPr>
        <w:t xml:space="preserve"> </w:t>
      </w:r>
      <w:r>
        <w:rPr>
          <w:sz w:val="24"/>
        </w:rPr>
        <w:t>(from</w:t>
      </w:r>
      <w:r>
        <w:rPr>
          <w:spacing w:val="-2"/>
          <w:sz w:val="24"/>
        </w:rPr>
        <w:t xml:space="preserve"> </w:t>
      </w:r>
      <w:r>
        <w:rPr>
          <w:spacing w:val="-4"/>
          <w:sz w:val="24"/>
        </w:rPr>
        <w:t>CMS).</w:t>
      </w:r>
    </w:p>
    <w:p>
      <w:pPr>
        <w:pStyle w:val="BodyText"/>
        <w:spacing w:before="44"/>
        <w:ind w:left="0"/>
      </w:pPr>
    </w:p>
    <w:p>
      <w:pPr>
        <w:pStyle w:val="Heading2"/>
        <w:spacing w:before="1"/>
      </w:pPr>
      <w:bookmarkStart w:id="218" w:name="_bookmark63"/>
      <w:bookmarkEnd w:id="218"/>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79"/>
      </w:pPr>
      <w:r>
        <w:t>This</w:t>
      </w:r>
      <w:r>
        <w:rPr>
          <w:spacing w:val="-3"/>
        </w:rPr>
        <w:t xml:space="preserve"> </w:t>
      </w:r>
      <w:r>
        <w:t>section</w:t>
      </w:r>
      <w:r>
        <w:rPr>
          <w:spacing w:val="-2"/>
        </w:rPr>
        <w:t xml:space="preserve"> </w:t>
      </w:r>
      <w:r>
        <w:t>displays</w:t>
      </w:r>
      <w:r>
        <w:rPr>
          <w:spacing w:val="-3"/>
        </w:rPr>
        <w:t xml:space="preserve"> </w:t>
      </w:r>
      <w:r>
        <w:t>the</w:t>
      </w:r>
      <w:r>
        <w:rPr>
          <w:spacing w:val="-3"/>
        </w:rPr>
        <w:t xml:space="preserve"> </w:t>
      </w:r>
      <w:r>
        <w:t>information</w:t>
      </w:r>
      <w:r>
        <w:rPr>
          <w:spacing w:val="-2"/>
        </w:rPr>
        <w:t xml:space="preserve"> </w:t>
      </w:r>
      <w:r>
        <w:t>entered</w:t>
      </w:r>
      <w:r>
        <w:rPr>
          <w:spacing w:val="-2"/>
        </w:rPr>
        <w:t xml:space="preserve"> </w:t>
      </w:r>
      <w:r>
        <w:t>on</w:t>
      </w:r>
      <w:r>
        <w:rPr>
          <w:spacing w:val="2"/>
        </w:rPr>
        <w:t xml:space="preserve"> </w:t>
      </w:r>
      <w:r>
        <w:t>Worksheet</w:t>
      </w:r>
      <w:r>
        <w:rPr>
          <w:spacing w:val="-2"/>
        </w:rPr>
        <w:t xml:space="preserve"> </w:t>
      </w:r>
      <w:r>
        <w:t>1,</w:t>
      </w:r>
      <w:r>
        <w:rPr>
          <w:spacing w:val="-2"/>
        </w:rPr>
        <w:t xml:space="preserve"> </w:t>
      </w:r>
      <w:r>
        <w:t>Section</w:t>
      </w:r>
      <w:r>
        <w:rPr>
          <w:spacing w:val="-1"/>
        </w:rPr>
        <w:t xml:space="preserve"> </w:t>
      </w:r>
      <w:r>
        <w:rPr>
          <w:spacing w:val="-5"/>
        </w:rPr>
        <w:t>I.</w:t>
      </w:r>
    </w:p>
    <w:p>
      <w:pPr>
        <w:pStyle w:val="BodyText"/>
        <w:spacing w:before="45"/>
        <w:ind w:left="0"/>
      </w:pPr>
    </w:p>
    <w:p>
      <w:pPr>
        <w:pStyle w:val="Heading2"/>
      </w:pPr>
      <w:bookmarkStart w:id="219" w:name="Section II – Benchmark and Bid Developme"/>
      <w:bookmarkEnd w:id="219"/>
      <w:bookmarkStart w:id="220" w:name="_bookmark64"/>
      <w:bookmarkEnd w:id="220"/>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Benchmark</w:t>
      </w:r>
      <w:r>
        <w:rPr>
          <w:smallCaps/>
          <w:spacing w:val="-9"/>
        </w:rPr>
        <w:t xml:space="preserve"> </w:t>
      </w:r>
      <w:r>
        <w:rPr>
          <w:smallCaps/>
        </w:rPr>
        <w:t>and</w:t>
      </w:r>
      <w:r>
        <w:rPr>
          <w:smallCaps/>
          <w:spacing w:val="-4"/>
        </w:rPr>
        <w:t xml:space="preserve"> </w:t>
      </w:r>
      <w:r>
        <w:rPr>
          <w:smallCaps/>
        </w:rPr>
        <w:t>Bid</w:t>
      </w:r>
      <w:r>
        <w:rPr>
          <w:smallCaps/>
          <w:spacing w:val="-6"/>
        </w:rPr>
        <w:t xml:space="preserve"> </w:t>
      </w:r>
      <w:r>
        <w:rPr>
          <w:smallCaps/>
          <w:spacing w:val="-2"/>
        </w:rPr>
        <w:t>Development</w:t>
      </w:r>
    </w:p>
    <w:p>
      <w:pPr>
        <w:spacing w:before="240"/>
        <w:ind w:left="504" w:right="0" w:firstLine="0"/>
        <w:jc w:val="left"/>
        <w:rPr>
          <w:rFonts w:ascii="Arial" w:hAnsi="Arial"/>
          <w:b/>
          <w:sz w:val="21"/>
        </w:rPr>
      </w:pPr>
      <w:bookmarkStart w:id="221" w:name="Line 1 – Member Months (from Section VI)"/>
      <w:bookmarkEnd w:id="221"/>
      <w:r>
        <w:rPr>
          <w:rFonts w:ascii="Arial" w:hAnsi="Arial"/>
          <w:b/>
          <w:sz w:val="21"/>
        </w:rPr>
        <w:t>Line</w:t>
      </w:r>
      <w:r>
        <w:rPr>
          <w:rFonts w:ascii="Arial" w:hAnsi="Arial"/>
          <w:b/>
          <w:spacing w:val="-5"/>
          <w:sz w:val="21"/>
        </w:rPr>
        <w:t xml:space="preserve"> </w:t>
      </w:r>
      <w:r>
        <w:rPr>
          <w:rFonts w:ascii="Arial" w:hAnsi="Arial"/>
          <w:b/>
          <w:sz w:val="21"/>
        </w:rPr>
        <w:t>1</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Member</w:t>
      </w:r>
      <w:r>
        <w:rPr>
          <w:rFonts w:ascii="Arial" w:hAnsi="Arial"/>
          <w:b/>
          <w:spacing w:val="-5"/>
          <w:sz w:val="21"/>
        </w:rPr>
        <w:t xml:space="preserve"> </w:t>
      </w:r>
      <w:r>
        <w:rPr>
          <w:rFonts w:ascii="Arial" w:hAnsi="Arial"/>
          <w:b/>
          <w:sz w:val="21"/>
        </w:rPr>
        <w:t>Months</w:t>
      </w:r>
      <w:r>
        <w:rPr>
          <w:rFonts w:ascii="Arial" w:hAnsi="Arial"/>
          <w:b/>
          <w:spacing w:val="-6"/>
          <w:sz w:val="21"/>
        </w:rPr>
        <w:t xml:space="preserve"> </w:t>
      </w:r>
      <w:r>
        <w:rPr>
          <w:rFonts w:ascii="Arial" w:hAnsi="Arial"/>
          <w:b/>
          <w:sz w:val="21"/>
        </w:rPr>
        <w:t>(from</w:t>
      </w:r>
      <w:r>
        <w:rPr>
          <w:rFonts w:ascii="Arial" w:hAnsi="Arial"/>
          <w:b/>
          <w:spacing w:val="-6"/>
          <w:sz w:val="21"/>
        </w:rPr>
        <w:t xml:space="preserve"> </w:t>
      </w:r>
      <w:r>
        <w:rPr>
          <w:rFonts w:ascii="Arial" w:hAnsi="Arial"/>
          <w:b/>
          <w:sz w:val="21"/>
        </w:rPr>
        <w:t>Section</w:t>
      </w:r>
      <w:r>
        <w:rPr>
          <w:rFonts w:ascii="Arial" w:hAnsi="Arial"/>
          <w:b/>
          <w:spacing w:val="-3"/>
          <w:sz w:val="21"/>
        </w:rPr>
        <w:t xml:space="preserve"> </w:t>
      </w:r>
      <w:r>
        <w:rPr>
          <w:rFonts w:ascii="Arial" w:hAnsi="Arial"/>
          <w:b/>
          <w:spacing w:val="-5"/>
          <w:sz w:val="21"/>
        </w:rPr>
        <w:t>VI)</w:t>
      </w:r>
    </w:p>
    <w:p>
      <w:pPr>
        <w:pStyle w:val="BodyText"/>
        <w:spacing w:before="121"/>
        <w:ind w:right="1481"/>
      </w:pPr>
      <w:r>
        <w:t>The value for projected member months (including out-of-area but excluding ESRD and hospice) is obtained from Section VI</w:t>
      </w:r>
      <w:r>
        <w:rPr>
          <w:spacing w:val="-3"/>
        </w:rPr>
        <w:t xml:space="preserve"> </w:t>
      </w:r>
      <w:r>
        <w:t>(entered by county of the bid’s service area). You must enter</w:t>
      </w:r>
      <w:r>
        <w:rPr>
          <w:spacing w:val="-5"/>
        </w:rPr>
        <w:t xml:space="preserve"> </w:t>
      </w:r>
      <w:r>
        <w:t>the</w:t>
      </w:r>
      <w:r>
        <w:rPr>
          <w:spacing w:val="-4"/>
        </w:rPr>
        <w:t xml:space="preserve"> </w:t>
      </w:r>
      <w:r>
        <w:t>projected</w:t>
      </w:r>
      <w:r>
        <w:rPr>
          <w:spacing w:val="-4"/>
        </w:rPr>
        <w:t xml:space="preserve"> </w:t>
      </w:r>
      <w:r>
        <w:t>non-DE#</w:t>
      </w:r>
      <w:r>
        <w:rPr>
          <w:spacing w:val="-5"/>
        </w:rPr>
        <w:t xml:space="preserve"> </w:t>
      </w:r>
      <w:r>
        <w:t>member</w:t>
      </w:r>
      <w:r>
        <w:rPr>
          <w:spacing w:val="-4"/>
        </w:rPr>
        <w:t xml:space="preserve"> </w:t>
      </w:r>
      <w:r>
        <w:t>months</w:t>
      </w:r>
      <w:r>
        <w:rPr>
          <w:spacing w:val="-4"/>
        </w:rPr>
        <w:t xml:space="preserve"> </w:t>
      </w:r>
      <w:r>
        <w:t>(including</w:t>
      </w:r>
      <w:r>
        <w:rPr>
          <w:spacing w:val="-4"/>
        </w:rPr>
        <w:t xml:space="preserve"> </w:t>
      </w:r>
      <w:r>
        <w:t>non-DE#</w:t>
      </w:r>
      <w:r>
        <w:rPr>
          <w:spacing w:val="-5"/>
        </w:rPr>
        <w:t xml:space="preserve"> </w:t>
      </w:r>
      <w:r>
        <w:t>out-of-area).</w:t>
      </w:r>
      <w:r>
        <w:rPr>
          <w:spacing w:val="-4"/>
        </w:rPr>
        <w:t xml:space="preserve"> </w:t>
      </w:r>
      <w:r>
        <w:t>The</w:t>
      </w:r>
      <w:r>
        <w:rPr>
          <w:spacing w:val="-5"/>
        </w:rPr>
        <w:t xml:space="preserve"> </w:t>
      </w:r>
      <w:r>
        <w:t>value</w:t>
      </w:r>
      <w:r>
        <w:rPr>
          <w:spacing w:val="-4"/>
        </w:rPr>
        <w:t xml:space="preserve"> </w:t>
      </w:r>
      <w:r>
        <w:t>for DE# member months is calculated as the difference between the total and the non-DE# amounts. See the “Enrollment” pricing consideration for more information about projected member months.</w:t>
      </w:r>
    </w:p>
    <w:p>
      <w:pPr>
        <w:spacing w:before="240"/>
        <w:ind w:left="504" w:right="0" w:firstLine="0"/>
        <w:jc w:val="left"/>
        <w:rPr>
          <w:rFonts w:ascii="Arial" w:hAnsi="Arial"/>
          <w:b/>
          <w:sz w:val="21"/>
        </w:rPr>
      </w:pPr>
      <w:bookmarkStart w:id="222" w:name="Line 2 – Standardized A/B Benchmark (at "/>
      <w:bookmarkEnd w:id="222"/>
      <w:r>
        <w:rPr>
          <w:rFonts w:ascii="Arial" w:hAnsi="Arial"/>
          <w:b/>
          <w:sz w:val="21"/>
        </w:rPr>
        <w:t>Line</w:t>
      </w:r>
      <w:r>
        <w:rPr>
          <w:rFonts w:ascii="Arial" w:hAnsi="Arial"/>
          <w:b/>
          <w:spacing w:val="-7"/>
          <w:sz w:val="21"/>
        </w:rPr>
        <w:t xml:space="preserve"> </w:t>
      </w:r>
      <w:r>
        <w:rPr>
          <w:rFonts w:ascii="Arial" w:hAnsi="Arial"/>
          <w:b/>
          <w:sz w:val="21"/>
        </w:rPr>
        <w:t>2</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Standardized</w:t>
      </w:r>
      <w:r>
        <w:rPr>
          <w:rFonts w:ascii="Arial" w:hAnsi="Arial"/>
          <w:b/>
          <w:spacing w:val="-7"/>
          <w:sz w:val="21"/>
        </w:rPr>
        <w:t xml:space="preserve"> </w:t>
      </w:r>
      <w:r>
        <w:rPr>
          <w:rFonts w:ascii="Arial" w:hAnsi="Arial"/>
          <w:b/>
          <w:sz w:val="21"/>
        </w:rPr>
        <w:t>A/B</w:t>
      </w:r>
      <w:r>
        <w:rPr>
          <w:rFonts w:ascii="Arial" w:hAnsi="Arial"/>
          <w:b/>
          <w:spacing w:val="-3"/>
          <w:sz w:val="21"/>
        </w:rPr>
        <w:t xml:space="preserve"> </w:t>
      </w:r>
      <w:r>
        <w:rPr>
          <w:rFonts w:ascii="Arial" w:hAnsi="Arial"/>
          <w:b/>
          <w:sz w:val="21"/>
        </w:rPr>
        <w:t>Benchmark</w:t>
      </w:r>
      <w:r>
        <w:rPr>
          <w:rFonts w:ascii="Arial" w:hAnsi="Arial"/>
          <w:b/>
          <w:spacing w:val="-5"/>
          <w:sz w:val="21"/>
        </w:rPr>
        <w:t xml:space="preserve"> </w:t>
      </w:r>
      <w:r>
        <w:rPr>
          <w:rFonts w:ascii="Arial" w:hAnsi="Arial"/>
          <w:b/>
          <w:sz w:val="21"/>
        </w:rPr>
        <w:t>(at</w:t>
      </w:r>
      <w:r>
        <w:rPr>
          <w:rFonts w:ascii="Arial" w:hAnsi="Arial"/>
          <w:b/>
          <w:spacing w:val="-5"/>
          <w:sz w:val="21"/>
        </w:rPr>
        <w:t xml:space="preserve"> </w:t>
      </w:r>
      <w:r>
        <w:rPr>
          <w:rFonts w:ascii="Arial" w:hAnsi="Arial"/>
          <w:b/>
          <w:sz w:val="21"/>
        </w:rPr>
        <w:t>1.000</w:t>
      </w:r>
      <w:r>
        <w:rPr>
          <w:rFonts w:ascii="Arial" w:hAnsi="Arial"/>
          <w:b/>
          <w:spacing w:val="-6"/>
          <w:sz w:val="21"/>
        </w:rPr>
        <w:t xml:space="preserve"> </w:t>
      </w:r>
      <w:r>
        <w:rPr>
          <w:rFonts w:ascii="Arial" w:hAnsi="Arial"/>
          <w:b/>
          <w:sz w:val="21"/>
        </w:rPr>
        <w:t>Risk</w:t>
      </w:r>
      <w:r>
        <w:rPr>
          <w:rFonts w:ascii="Arial" w:hAnsi="Arial"/>
          <w:b/>
          <w:spacing w:val="-4"/>
          <w:sz w:val="21"/>
        </w:rPr>
        <w:t xml:space="preserve"> </w:t>
      </w:r>
      <w:r>
        <w:rPr>
          <w:rFonts w:ascii="Arial" w:hAnsi="Arial"/>
          <w:b/>
          <w:spacing w:val="-2"/>
          <w:sz w:val="21"/>
        </w:rPr>
        <w:t>Score)</w:t>
      </w:r>
    </w:p>
    <w:p>
      <w:pPr>
        <w:pStyle w:val="BodyText"/>
        <w:spacing w:before="118"/>
      </w:pPr>
      <w:r>
        <w:t>This</w:t>
      </w:r>
      <w:r>
        <w:rPr>
          <w:spacing w:val="-2"/>
        </w:rPr>
        <w:t xml:space="preserve"> </w:t>
      </w:r>
      <w:r>
        <w:t>value</w:t>
      </w:r>
      <w:r>
        <w:rPr>
          <w:spacing w:val="-2"/>
        </w:rPr>
        <w:t xml:space="preserve"> </w:t>
      </w:r>
      <w:r>
        <w:t>is</w:t>
      </w:r>
      <w:r>
        <w:rPr>
          <w:spacing w:val="-2"/>
        </w:rPr>
        <w:t xml:space="preserve"> </w:t>
      </w:r>
      <w:r>
        <w:t>obtained</w:t>
      </w:r>
      <w:r>
        <w:rPr>
          <w:spacing w:val="-1"/>
        </w:rPr>
        <w:t xml:space="preserve"> </w:t>
      </w:r>
      <w:r>
        <w:t>from Section IV for</w:t>
      </w:r>
      <w:r>
        <w:rPr>
          <w:spacing w:val="-3"/>
        </w:rPr>
        <w:t xml:space="preserve"> </w:t>
      </w:r>
      <w:r>
        <w:t>regional</w:t>
      </w:r>
      <w:r>
        <w:rPr>
          <w:spacing w:val="-1"/>
        </w:rPr>
        <w:t xml:space="preserve"> </w:t>
      </w:r>
      <w:r>
        <w:t>plans</w:t>
      </w:r>
      <w:r>
        <w:rPr>
          <w:spacing w:val="-2"/>
        </w:rPr>
        <w:t xml:space="preserve"> </w:t>
      </w:r>
      <w:r>
        <w:t>and from Section</w:t>
      </w:r>
      <w:r>
        <w:rPr>
          <w:spacing w:val="1"/>
        </w:rPr>
        <w:t xml:space="preserve"> </w:t>
      </w:r>
      <w:r>
        <w:t>VI</w:t>
      </w:r>
      <w:r>
        <w:rPr>
          <w:spacing w:val="-5"/>
        </w:rPr>
        <w:t xml:space="preserve"> </w:t>
      </w:r>
      <w:r>
        <w:t>for</w:t>
      </w:r>
      <w:r>
        <w:rPr>
          <w:spacing w:val="-3"/>
        </w:rPr>
        <w:t xml:space="preserve"> </w:t>
      </w:r>
      <w:r>
        <w:t xml:space="preserve">local </w:t>
      </w:r>
      <w:r>
        <w:rPr>
          <w:spacing w:val="-2"/>
        </w:rPr>
        <w:t>plans.</w:t>
      </w:r>
    </w:p>
    <w:p>
      <w:pPr>
        <w:pStyle w:val="BodyText"/>
        <w:spacing w:after="0"/>
        <w:sectPr>
          <w:headerReference w:type="default" r:id="rId35"/>
          <w:footerReference w:type="default" r:id="rId36"/>
          <w:pgSz w:w="12240" w:h="15840"/>
          <w:pgMar w:top="960" w:right="0" w:bottom="940" w:left="1080" w:header="727" w:footer="747"/>
          <w:cols w:space="720"/>
        </w:sectPr>
      </w:pPr>
    </w:p>
    <w:p>
      <w:pPr>
        <w:pStyle w:val="BodyText"/>
        <w:spacing w:before="225"/>
        <w:ind w:left="0"/>
        <w:rPr>
          <w:sz w:val="21"/>
        </w:rPr>
      </w:pPr>
    </w:p>
    <w:p>
      <w:pPr>
        <w:spacing w:before="0"/>
        <w:ind w:left="504" w:right="0" w:firstLine="0"/>
        <w:jc w:val="left"/>
        <w:rPr>
          <w:rFonts w:ascii="Arial" w:hAnsi="Arial"/>
          <w:b/>
          <w:sz w:val="21"/>
        </w:rPr>
      </w:pPr>
      <w:bookmarkStart w:id="223" w:name="Line 3 – Medicare Secondary Payer (MSP) "/>
      <w:bookmarkEnd w:id="223"/>
      <w:r>
        <w:rPr>
          <w:rFonts w:ascii="Arial" w:hAnsi="Arial"/>
          <w:b/>
          <w:sz w:val="21"/>
        </w:rPr>
        <w:t>Line</w:t>
      </w:r>
      <w:r>
        <w:rPr>
          <w:rFonts w:ascii="Arial" w:hAnsi="Arial"/>
          <w:b/>
          <w:spacing w:val="-6"/>
          <w:sz w:val="21"/>
        </w:rPr>
        <w:t xml:space="preserve"> </w:t>
      </w:r>
      <w:r>
        <w:rPr>
          <w:rFonts w:ascii="Arial" w:hAnsi="Arial"/>
          <w:b/>
          <w:sz w:val="21"/>
        </w:rPr>
        <w:t>3</w:t>
      </w:r>
      <w:r>
        <w:rPr>
          <w:rFonts w:ascii="Arial" w:hAnsi="Arial"/>
          <w:b/>
          <w:spacing w:val="-6"/>
          <w:sz w:val="21"/>
        </w:rPr>
        <w:t xml:space="preserve"> </w:t>
      </w:r>
      <w:r>
        <w:rPr>
          <w:rFonts w:ascii="Arial" w:hAnsi="Arial"/>
          <w:b/>
          <w:sz w:val="21"/>
        </w:rPr>
        <w:t>–</w:t>
      </w:r>
      <w:r>
        <w:rPr>
          <w:rFonts w:ascii="Arial" w:hAnsi="Arial"/>
          <w:b/>
          <w:spacing w:val="-5"/>
          <w:sz w:val="21"/>
        </w:rPr>
        <w:t xml:space="preserve"> </w:t>
      </w:r>
      <w:r>
        <w:rPr>
          <w:rFonts w:ascii="Arial" w:hAnsi="Arial"/>
          <w:b/>
          <w:sz w:val="21"/>
        </w:rPr>
        <w:t>Medicare</w:t>
      </w:r>
      <w:r>
        <w:rPr>
          <w:rFonts w:ascii="Arial" w:hAnsi="Arial"/>
          <w:b/>
          <w:spacing w:val="-9"/>
          <w:sz w:val="21"/>
        </w:rPr>
        <w:t xml:space="preserve"> </w:t>
      </w:r>
      <w:r>
        <w:rPr>
          <w:rFonts w:ascii="Arial" w:hAnsi="Arial"/>
          <w:b/>
          <w:sz w:val="21"/>
        </w:rPr>
        <w:t>Secondary</w:t>
      </w:r>
      <w:r>
        <w:rPr>
          <w:rFonts w:ascii="Arial" w:hAnsi="Arial"/>
          <w:b/>
          <w:spacing w:val="-6"/>
          <w:sz w:val="21"/>
        </w:rPr>
        <w:t xml:space="preserve"> </w:t>
      </w:r>
      <w:r>
        <w:rPr>
          <w:rFonts w:ascii="Arial" w:hAnsi="Arial"/>
          <w:b/>
          <w:sz w:val="21"/>
        </w:rPr>
        <w:t>Payer</w:t>
      </w:r>
      <w:r>
        <w:rPr>
          <w:rFonts w:ascii="Arial" w:hAnsi="Arial"/>
          <w:b/>
          <w:spacing w:val="-6"/>
          <w:sz w:val="21"/>
        </w:rPr>
        <w:t xml:space="preserve"> </w:t>
      </w:r>
      <w:r>
        <w:rPr>
          <w:rFonts w:ascii="Arial" w:hAnsi="Arial"/>
          <w:b/>
          <w:sz w:val="21"/>
        </w:rPr>
        <w:t>(MSP)</w:t>
      </w:r>
      <w:r>
        <w:rPr>
          <w:rFonts w:ascii="Arial" w:hAnsi="Arial"/>
          <w:b/>
          <w:spacing w:val="-8"/>
          <w:sz w:val="21"/>
        </w:rPr>
        <w:t xml:space="preserve"> </w:t>
      </w:r>
      <w:r>
        <w:rPr>
          <w:rFonts w:ascii="Arial" w:hAnsi="Arial"/>
          <w:b/>
          <w:spacing w:val="-2"/>
          <w:sz w:val="21"/>
        </w:rPr>
        <w:t>Adjustment</w:t>
      </w:r>
    </w:p>
    <w:p>
      <w:pPr>
        <w:pStyle w:val="BodyText"/>
        <w:spacing w:before="120"/>
      </w:pPr>
      <w:r>
        <w:t>User</w:t>
      </w:r>
      <w:r>
        <w:rPr>
          <w:spacing w:val="-1"/>
        </w:rPr>
        <w:t xml:space="preserve"> </w:t>
      </w:r>
      <w:r>
        <w:t>input</w:t>
      </w:r>
      <w:r>
        <w:rPr>
          <w:spacing w:val="-1"/>
        </w:rPr>
        <w:t xml:space="preserve"> </w:t>
      </w:r>
      <w:r>
        <w:t>is</w:t>
      </w:r>
      <w:r>
        <w:rPr>
          <w:spacing w:val="-2"/>
        </w:rPr>
        <w:t xml:space="preserve"> </w:t>
      </w:r>
      <w:r>
        <w:t>required.</w:t>
      </w:r>
      <w:r>
        <w:rPr>
          <w:spacing w:val="1"/>
        </w:rPr>
        <w:t xml:space="preserve"> </w:t>
      </w:r>
      <w:r>
        <w:t>Note</w:t>
      </w:r>
      <w:r>
        <w:rPr>
          <w:spacing w:val="-1"/>
        </w:rPr>
        <w:t xml:space="preserve"> </w:t>
      </w:r>
      <w:r>
        <w:t>that</w:t>
      </w:r>
      <w:r>
        <w:rPr>
          <w:spacing w:val="-1"/>
        </w:rPr>
        <w:t xml:space="preserve"> </w:t>
      </w:r>
      <w:r>
        <w:t>this</w:t>
      </w:r>
      <w:r>
        <w:rPr>
          <w:spacing w:val="-2"/>
        </w:rPr>
        <w:t xml:space="preserve"> </w:t>
      </w:r>
      <w:r>
        <w:t>field</w:t>
      </w:r>
      <w:r>
        <w:rPr>
          <w:spacing w:val="-1"/>
        </w:rPr>
        <w:t xml:space="preserve"> </w:t>
      </w:r>
      <w:r>
        <w:t>is</w:t>
      </w:r>
      <w:r>
        <w:rPr>
          <w:spacing w:val="-1"/>
        </w:rPr>
        <w:t xml:space="preserve"> </w:t>
      </w:r>
      <w:r>
        <w:t>formatted</w:t>
      </w:r>
      <w:r>
        <w:rPr>
          <w:spacing w:val="-1"/>
        </w:rPr>
        <w:t xml:space="preserve"> </w:t>
      </w:r>
      <w:r>
        <w:t>as</w:t>
      </w:r>
      <w:r>
        <w:rPr>
          <w:spacing w:val="-2"/>
        </w:rPr>
        <w:t xml:space="preserve"> </w:t>
      </w:r>
      <w:r>
        <w:t>a</w:t>
      </w:r>
      <w:r>
        <w:rPr>
          <w:spacing w:val="-2"/>
        </w:rPr>
        <w:t xml:space="preserve"> </w:t>
      </w:r>
      <w:r>
        <w:t>percentage;</w:t>
      </w:r>
      <w:r>
        <w:rPr>
          <w:spacing w:val="-1"/>
        </w:rPr>
        <w:t xml:space="preserve"> </w:t>
      </w:r>
      <w:r>
        <w:t>therefore,</w:t>
      </w:r>
      <w:r>
        <w:rPr>
          <w:spacing w:val="-1"/>
        </w:rPr>
        <w:t xml:space="preserve"> </w:t>
      </w:r>
      <w:r>
        <w:t>if</w:t>
      </w:r>
      <w:r>
        <w:rPr>
          <w:spacing w:val="-1"/>
        </w:rPr>
        <w:t xml:space="preserve"> </w:t>
      </w:r>
      <w:r>
        <w:t>the</w:t>
      </w:r>
      <w:r>
        <w:rPr>
          <w:spacing w:val="-2"/>
        </w:rPr>
        <w:t xml:space="preserve"> </w:t>
      </w:r>
      <w:r>
        <w:t>value</w:t>
      </w:r>
      <w:r>
        <w:rPr>
          <w:spacing w:val="-1"/>
        </w:rPr>
        <w:t xml:space="preserve"> </w:t>
      </w:r>
      <w:r>
        <w:rPr>
          <w:spacing w:val="-5"/>
        </w:rPr>
        <w:t>is</w:t>
      </w:r>
    </w:p>
    <w:p>
      <w:pPr>
        <w:pStyle w:val="BodyText"/>
        <w:spacing w:before="1"/>
        <w:ind w:right="1481"/>
      </w:pPr>
      <w:r>
        <w:t>2.53 percent, enter “2.53” or “0.0253”. Do not leave this field blank. If zero percent is the projected</w:t>
      </w:r>
      <w:r>
        <w:rPr>
          <w:spacing w:val="-3"/>
        </w:rPr>
        <w:t xml:space="preserve"> </w:t>
      </w:r>
      <w:r>
        <w:t>value,</w:t>
      </w:r>
      <w:r>
        <w:rPr>
          <w:spacing w:val="-3"/>
        </w:rPr>
        <w:t xml:space="preserve"> </w:t>
      </w:r>
      <w:r>
        <w:t>then</w:t>
      </w:r>
      <w:r>
        <w:rPr>
          <w:spacing w:val="-4"/>
        </w:rPr>
        <w:t xml:space="preserve"> </w:t>
      </w:r>
      <w:r>
        <w:t>enter</w:t>
      </w:r>
      <w:r>
        <w:rPr>
          <w:spacing w:val="-3"/>
        </w:rPr>
        <w:t xml:space="preserve"> </w:t>
      </w:r>
      <w:r>
        <w:t>zero</w:t>
      </w:r>
      <w:r>
        <w:rPr>
          <w:spacing w:val="-3"/>
        </w:rPr>
        <w:t xml:space="preserve"> </w:t>
      </w:r>
      <w:r>
        <w:t>(0)</w:t>
      </w:r>
      <w:r>
        <w:rPr>
          <w:spacing w:val="-4"/>
        </w:rPr>
        <w:t xml:space="preserve"> </w:t>
      </w:r>
      <w:r>
        <w:t>in</w:t>
      </w:r>
      <w:r>
        <w:rPr>
          <w:spacing w:val="-3"/>
        </w:rPr>
        <w:t xml:space="preserve"> </w:t>
      </w:r>
      <w:r>
        <w:t>this</w:t>
      </w:r>
      <w:r>
        <w:rPr>
          <w:spacing w:val="-4"/>
        </w:rPr>
        <w:t xml:space="preserve"> </w:t>
      </w:r>
      <w:r>
        <w:t>field.</w:t>
      </w:r>
      <w:r>
        <w:rPr>
          <w:spacing w:val="-3"/>
        </w:rPr>
        <w:t xml:space="preserve"> </w:t>
      </w:r>
      <w:r>
        <w:t>The</w:t>
      </w:r>
      <w:r>
        <w:rPr>
          <w:spacing w:val="-4"/>
        </w:rPr>
        <w:t xml:space="preserve"> </w:t>
      </w:r>
      <w:r>
        <w:t>value</w:t>
      </w:r>
      <w:r>
        <w:rPr>
          <w:spacing w:val="-3"/>
        </w:rPr>
        <w:t xml:space="preserve"> </w:t>
      </w:r>
      <w:r>
        <w:t>entered</w:t>
      </w:r>
      <w:r>
        <w:rPr>
          <w:spacing w:val="-3"/>
        </w:rPr>
        <w:t xml:space="preserve"> </w:t>
      </w:r>
      <w:r>
        <w:t>must</w:t>
      </w:r>
      <w:r>
        <w:rPr>
          <w:spacing w:val="-3"/>
        </w:rPr>
        <w:t xml:space="preserve"> </w:t>
      </w:r>
      <w:r>
        <w:t>be</w:t>
      </w:r>
      <w:r>
        <w:rPr>
          <w:spacing w:val="-2"/>
        </w:rPr>
        <w:t xml:space="preserve"> </w:t>
      </w:r>
      <w:r>
        <w:t>between</w:t>
      </w:r>
      <w:r>
        <w:rPr>
          <w:spacing w:val="-3"/>
        </w:rPr>
        <w:t xml:space="preserve"> </w:t>
      </w:r>
      <w:r>
        <w:t>0</w:t>
      </w:r>
      <w:r>
        <w:rPr>
          <w:spacing w:val="-2"/>
        </w:rPr>
        <w:t xml:space="preserve"> </w:t>
      </w:r>
      <w:r>
        <w:t>percent and 100 percent.</w:t>
      </w:r>
    </w:p>
    <w:p>
      <w:pPr>
        <w:spacing w:before="240"/>
        <w:ind w:left="504" w:right="0" w:firstLine="0"/>
        <w:jc w:val="left"/>
        <w:rPr>
          <w:rFonts w:ascii="Arial" w:hAnsi="Arial"/>
          <w:b/>
          <w:sz w:val="21"/>
        </w:rPr>
      </w:pPr>
      <w:bookmarkStart w:id="224" w:name="Line 4 – Weighted Average Risk Factor"/>
      <w:bookmarkEnd w:id="224"/>
      <w:r>
        <w:rPr>
          <w:rFonts w:ascii="Arial" w:hAnsi="Arial"/>
          <w:b/>
          <w:sz w:val="21"/>
        </w:rPr>
        <w:t>Line</w:t>
      </w:r>
      <w:r>
        <w:rPr>
          <w:rFonts w:ascii="Arial" w:hAnsi="Arial"/>
          <w:b/>
          <w:spacing w:val="-8"/>
          <w:sz w:val="21"/>
        </w:rPr>
        <w:t xml:space="preserve"> </w:t>
      </w:r>
      <w:r>
        <w:rPr>
          <w:rFonts w:ascii="Arial" w:hAnsi="Arial"/>
          <w:b/>
          <w:sz w:val="21"/>
        </w:rPr>
        <w:t>4</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Weighted</w:t>
      </w:r>
      <w:r>
        <w:rPr>
          <w:rFonts w:ascii="Arial" w:hAnsi="Arial"/>
          <w:b/>
          <w:spacing w:val="-7"/>
          <w:sz w:val="21"/>
        </w:rPr>
        <w:t xml:space="preserve"> </w:t>
      </w:r>
      <w:r>
        <w:rPr>
          <w:rFonts w:ascii="Arial" w:hAnsi="Arial"/>
          <w:b/>
          <w:sz w:val="21"/>
        </w:rPr>
        <w:t>Average</w:t>
      </w:r>
      <w:r>
        <w:rPr>
          <w:rFonts w:ascii="Arial" w:hAnsi="Arial"/>
          <w:b/>
          <w:spacing w:val="-5"/>
          <w:sz w:val="21"/>
        </w:rPr>
        <w:t xml:space="preserve"> </w:t>
      </w:r>
      <w:r>
        <w:rPr>
          <w:rFonts w:ascii="Arial" w:hAnsi="Arial"/>
          <w:b/>
          <w:sz w:val="21"/>
        </w:rPr>
        <w:t>Risk</w:t>
      </w:r>
      <w:r>
        <w:rPr>
          <w:rFonts w:ascii="Arial" w:hAnsi="Arial"/>
          <w:b/>
          <w:spacing w:val="-5"/>
          <w:sz w:val="21"/>
        </w:rPr>
        <w:t xml:space="preserve"> </w:t>
      </w:r>
      <w:r>
        <w:rPr>
          <w:rFonts w:ascii="Arial" w:hAnsi="Arial"/>
          <w:b/>
          <w:spacing w:val="-2"/>
          <w:sz w:val="21"/>
        </w:rPr>
        <w:t>Factor</w:t>
      </w:r>
    </w:p>
    <w:p>
      <w:pPr>
        <w:pStyle w:val="BodyText"/>
        <w:spacing w:before="118"/>
        <w:ind w:right="1443"/>
      </w:pPr>
      <w:r>
        <w:t>This</w:t>
      </w:r>
      <w:r>
        <w:rPr>
          <w:spacing w:val="-4"/>
        </w:rPr>
        <w:t xml:space="preserve"> </w:t>
      </w:r>
      <w:r>
        <w:t>member/payment-weighted</w:t>
      </w:r>
      <w:r>
        <w:rPr>
          <w:spacing w:val="-4"/>
        </w:rPr>
        <w:t xml:space="preserve"> </w:t>
      </w:r>
      <w:r>
        <w:t>average</w:t>
      </w:r>
      <w:r>
        <w:rPr>
          <w:spacing w:val="-5"/>
        </w:rPr>
        <w:t xml:space="preserve"> </w:t>
      </w:r>
      <w:r>
        <w:t>value</w:t>
      </w:r>
      <w:r>
        <w:rPr>
          <w:spacing w:val="-4"/>
        </w:rPr>
        <w:t xml:space="preserve"> </w:t>
      </w:r>
      <w:r>
        <w:t>is</w:t>
      </w:r>
      <w:r>
        <w:rPr>
          <w:spacing w:val="-2"/>
        </w:rPr>
        <w:t xml:space="preserve"> </w:t>
      </w:r>
      <w:r>
        <w:t>obtained</w:t>
      </w:r>
      <w:r>
        <w:rPr>
          <w:spacing w:val="-4"/>
        </w:rPr>
        <w:t xml:space="preserve"> </w:t>
      </w:r>
      <w:r>
        <w:t>from</w:t>
      </w:r>
      <w:r>
        <w:rPr>
          <w:spacing w:val="-3"/>
        </w:rPr>
        <w:t xml:space="preserve"> </w:t>
      </w:r>
      <w:r>
        <w:t>Section</w:t>
      </w:r>
      <w:r>
        <w:rPr>
          <w:spacing w:val="-4"/>
        </w:rPr>
        <w:t xml:space="preserve"> </w:t>
      </w:r>
      <w:r>
        <w:t>VI.</w:t>
      </w:r>
      <w:r>
        <w:rPr>
          <w:spacing w:val="-4"/>
        </w:rPr>
        <w:t xml:space="preserve"> </w:t>
      </w:r>
      <w:r>
        <w:t>You</w:t>
      </w:r>
      <w:r>
        <w:rPr>
          <w:spacing w:val="-4"/>
        </w:rPr>
        <w:t xml:space="preserve"> </w:t>
      </w:r>
      <w:r>
        <w:t>must</w:t>
      </w:r>
      <w:r>
        <w:rPr>
          <w:spacing w:val="-3"/>
        </w:rPr>
        <w:t xml:space="preserve"> </w:t>
      </w:r>
      <w:r>
        <w:t>enter</w:t>
      </w:r>
      <w:r>
        <w:rPr>
          <w:spacing w:val="-6"/>
        </w:rPr>
        <w:t xml:space="preserve"> </w:t>
      </w:r>
      <w:r>
        <w:t>the projected non-DE# value (including non-DE# out-of-area). The DE# value is calculated based on the total and the non-DE# amounts. The DE# risk factor default calculation may be overwritten by the user. See the “Projected Risk Score for CY2027” pricing consideration for more information about the DE# risk factor default calculation.</w:t>
      </w:r>
    </w:p>
    <w:p>
      <w:pPr>
        <w:pStyle w:val="BodyText"/>
        <w:spacing w:before="121"/>
        <w:ind w:right="1524"/>
      </w:pPr>
      <w:r>
        <w:t>If</w:t>
      </w:r>
      <w:r>
        <w:rPr>
          <w:spacing w:val="-3"/>
        </w:rPr>
        <w:t xml:space="preserve"> </w:t>
      </w:r>
      <w:r>
        <w:t>the</w:t>
      </w:r>
      <w:r>
        <w:rPr>
          <w:spacing w:val="-2"/>
        </w:rPr>
        <w:t xml:space="preserve"> </w:t>
      </w:r>
      <w:r>
        <w:t>value</w:t>
      </w:r>
      <w:r>
        <w:rPr>
          <w:spacing w:val="-1"/>
        </w:rPr>
        <w:t xml:space="preserve"> </w:t>
      </w:r>
      <w:r>
        <w:t>for</w:t>
      </w:r>
      <w:r>
        <w:rPr>
          <w:spacing w:val="-4"/>
        </w:rPr>
        <w:t xml:space="preserve"> </w:t>
      </w:r>
      <w:r>
        <w:t>DE#</w:t>
      </w:r>
      <w:r>
        <w:rPr>
          <w:spacing w:val="-2"/>
        </w:rPr>
        <w:t xml:space="preserve"> </w:t>
      </w:r>
      <w:r>
        <w:t>members</w:t>
      </w:r>
      <w:r>
        <w:rPr>
          <w:spacing w:val="-3"/>
        </w:rPr>
        <w:t xml:space="preserve"> </w:t>
      </w:r>
      <w:r>
        <w:t>equals</w:t>
      </w:r>
      <w:r>
        <w:rPr>
          <w:spacing w:val="-3"/>
        </w:rPr>
        <w:t xml:space="preserve"> </w:t>
      </w:r>
      <w:r>
        <w:t>zero,</w:t>
      </w:r>
      <w:r>
        <w:rPr>
          <w:spacing w:val="-2"/>
        </w:rPr>
        <w:t xml:space="preserve"> </w:t>
      </w:r>
      <w:r>
        <w:t>then</w:t>
      </w:r>
      <w:r>
        <w:rPr>
          <w:spacing w:val="-2"/>
        </w:rPr>
        <w:t xml:space="preserve"> </w:t>
      </w:r>
      <w:r>
        <w:t>the</w:t>
      </w:r>
      <w:r>
        <w:rPr>
          <w:spacing w:val="-3"/>
        </w:rPr>
        <w:t xml:space="preserve"> </w:t>
      </w:r>
      <w:r>
        <w:t>non-DE#</w:t>
      </w:r>
      <w:r>
        <w:rPr>
          <w:spacing w:val="-2"/>
        </w:rPr>
        <w:t xml:space="preserve"> </w:t>
      </w:r>
      <w:r>
        <w:t>risk</w:t>
      </w:r>
      <w:r>
        <w:rPr>
          <w:spacing w:val="-3"/>
        </w:rPr>
        <w:t xml:space="preserve"> </w:t>
      </w:r>
      <w:r>
        <w:t>factor</w:t>
      </w:r>
      <w:r>
        <w:rPr>
          <w:spacing w:val="-2"/>
        </w:rPr>
        <w:t xml:space="preserve"> </w:t>
      </w:r>
      <w:r>
        <w:t>must</w:t>
      </w:r>
      <w:r>
        <w:rPr>
          <w:spacing w:val="-2"/>
        </w:rPr>
        <w:t xml:space="preserve"> </w:t>
      </w:r>
      <w:r>
        <w:t>equal</w:t>
      </w:r>
      <w:r>
        <w:rPr>
          <w:spacing w:val="-2"/>
        </w:rPr>
        <w:t xml:space="preserve"> </w:t>
      </w:r>
      <w:r>
        <w:t>the</w:t>
      </w:r>
      <w:r>
        <w:rPr>
          <w:spacing w:val="-3"/>
        </w:rPr>
        <w:t xml:space="preserve"> </w:t>
      </w:r>
      <w:r>
        <w:t>total risk factor.</w:t>
      </w:r>
    </w:p>
    <w:p>
      <w:pPr>
        <w:spacing w:before="241"/>
        <w:ind w:left="504" w:right="0" w:firstLine="0"/>
        <w:jc w:val="left"/>
        <w:rPr>
          <w:rFonts w:ascii="Arial" w:hAnsi="Arial"/>
          <w:b/>
          <w:sz w:val="21"/>
        </w:rPr>
      </w:pPr>
      <w:bookmarkStart w:id="225" w:name="Line 5 – Conversion Factor"/>
      <w:bookmarkEnd w:id="225"/>
      <w:r>
        <w:rPr>
          <w:rFonts w:ascii="Arial" w:hAnsi="Arial"/>
          <w:b/>
          <w:sz w:val="21"/>
        </w:rPr>
        <w:t>Line</w:t>
      </w:r>
      <w:r>
        <w:rPr>
          <w:rFonts w:ascii="Arial" w:hAnsi="Arial"/>
          <w:b/>
          <w:spacing w:val="-6"/>
          <w:sz w:val="21"/>
        </w:rPr>
        <w:t xml:space="preserve"> </w:t>
      </w:r>
      <w:r>
        <w:rPr>
          <w:rFonts w:ascii="Arial" w:hAnsi="Arial"/>
          <w:b/>
          <w:sz w:val="21"/>
        </w:rPr>
        <w:t>5</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Conversion</w:t>
      </w:r>
      <w:r>
        <w:rPr>
          <w:rFonts w:ascii="Arial" w:hAnsi="Arial"/>
          <w:b/>
          <w:spacing w:val="-5"/>
          <w:sz w:val="21"/>
        </w:rPr>
        <w:t xml:space="preserve"> </w:t>
      </w:r>
      <w:r>
        <w:rPr>
          <w:rFonts w:ascii="Arial" w:hAnsi="Arial"/>
          <w:b/>
          <w:spacing w:val="-2"/>
          <w:sz w:val="21"/>
        </w:rPr>
        <w:t>Factor</w:t>
      </w:r>
    </w:p>
    <w:p>
      <w:pPr>
        <w:pStyle w:val="BodyText"/>
        <w:spacing w:before="120"/>
        <w:ind w:right="1481"/>
      </w:pPr>
      <w:r>
        <w:t>Calculated</w:t>
      </w:r>
      <w:r>
        <w:rPr>
          <w:spacing w:val="-2"/>
        </w:rPr>
        <w:t xml:space="preserve"> </w:t>
      </w:r>
      <w:r>
        <w:t>as</w:t>
      </w:r>
      <w:r>
        <w:rPr>
          <w:spacing w:val="-3"/>
        </w:rPr>
        <w:t xml:space="preserve"> </w:t>
      </w:r>
      <w:r>
        <w:t>(1.000</w:t>
      </w:r>
      <w:r>
        <w:rPr>
          <w:spacing w:val="-2"/>
        </w:rPr>
        <w:t xml:space="preserve"> </w:t>
      </w:r>
      <w:r>
        <w:t>minus</w:t>
      </w:r>
      <w:r>
        <w:rPr>
          <w:spacing w:val="-3"/>
        </w:rPr>
        <w:t xml:space="preserve"> </w:t>
      </w:r>
      <w:r>
        <w:t>line</w:t>
      </w:r>
      <w:r>
        <w:rPr>
          <w:spacing w:val="-2"/>
        </w:rPr>
        <w:t xml:space="preserve"> </w:t>
      </w:r>
      <w:r>
        <w:t>3)</w:t>
      </w:r>
      <w:r>
        <w:rPr>
          <w:spacing w:val="-2"/>
        </w:rPr>
        <w:t xml:space="preserve"> </w:t>
      </w:r>
      <w:r>
        <w:t>times</w:t>
      </w:r>
      <w:r>
        <w:rPr>
          <w:spacing w:val="-3"/>
        </w:rPr>
        <w:t xml:space="preserve"> </w:t>
      </w:r>
      <w:r>
        <w:t>line</w:t>
      </w:r>
      <w:r>
        <w:rPr>
          <w:spacing w:val="-3"/>
        </w:rPr>
        <w:t xml:space="preserve"> </w:t>
      </w:r>
      <w:r>
        <w:t>4.</w:t>
      </w:r>
      <w:r>
        <w:rPr>
          <w:spacing w:val="-2"/>
        </w:rPr>
        <w:t xml:space="preserve"> </w:t>
      </w:r>
      <w:r>
        <w:t>This</w:t>
      </w:r>
      <w:r>
        <w:rPr>
          <w:spacing w:val="-3"/>
        </w:rPr>
        <w:t xml:space="preserve"> </w:t>
      </w:r>
      <w:r>
        <w:t>is</w:t>
      </w:r>
      <w:r>
        <w:rPr>
          <w:spacing w:val="-3"/>
        </w:rPr>
        <w:t xml:space="preserve"> </w:t>
      </w:r>
      <w:r>
        <w:t>an</w:t>
      </w:r>
      <w:r>
        <w:rPr>
          <w:spacing w:val="-2"/>
        </w:rPr>
        <w:t xml:space="preserve"> </w:t>
      </w:r>
      <w:r>
        <w:t>intermediate</w:t>
      </w:r>
      <w:r>
        <w:rPr>
          <w:spacing w:val="-3"/>
        </w:rPr>
        <w:t xml:space="preserve"> </w:t>
      </w:r>
      <w:r>
        <w:t>step</w:t>
      </w:r>
      <w:r>
        <w:rPr>
          <w:spacing w:val="-2"/>
        </w:rPr>
        <w:t xml:space="preserve"> </w:t>
      </w:r>
      <w:r>
        <w:t>in</w:t>
      </w:r>
      <w:r>
        <w:rPr>
          <w:spacing w:val="-2"/>
        </w:rPr>
        <w:t xml:space="preserve"> </w:t>
      </w:r>
      <w:r>
        <w:t>the</w:t>
      </w:r>
      <w:r>
        <w:rPr>
          <w:spacing w:val="-3"/>
        </w:rPr>
        <w:t xml:space="preserve"> </w:t>
      </w:r>
      <w:r>
        <w:t xml:space="preserve">BPT </w:t>
      </w:r>
      <w:r>
        <w:rPr>
          <w:spacing w:val="-2"/>
        </w:rPr>
        <w:t>calculations.</w:t>
      </w:r>
    </w:p>
    <w:p>
      <w:pPr>
        <w:spacing w:before="241"/>
        <w:ind w:left="504" w:right="0" w:firstLine="0"/>
        <w:jc w:val="left"/>
        <w:rPr>
          <w:rFonts w:ascii="Arial" w:hAnsi="Arial"/>
          <w:b/>
          <w:sz w:val="21"/>
        </w:rPr>
      </w:pPr>
      <w:bookmarkStart w:id="226" w:name="Line 6 – Plan (or Regional) A/B Benchmar"/>
      <w:bookmarkEnd w:id="226"/>
      <w:r>
        <w:rPr>
          <w:rFonts w:ascii="Arial" w:hAnsi="Arial"/>
          <w:b/>
          <w:sz w:val="21"/>
        </w:rPr>
        <w:t>Line</w:t>
      </w:r>
      <w:r>
        <w:rPr>
          <w:rFonts w:ascii="Arial" w:hAnsi="Arial"/>
          <w:b/>
          <w:spacing w:val="-4"/>
          <w:sz w:val="21"/>
        </w:rPr>
        <w:t xml:space="preserve"> </w:t>
      </w:r>
      <w:r>
        <w:rPr>
          <w:rFonts w:ascii="Arial" w:hAnsi="Arial"/>
          <w:b/>
          <w:sz w:val="21"/>
        </w:rPr>
        <w:t>6</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Plan</w:t>
      </w:r>
      <w:r>
        <w:rPr>
          <w:rFonts w:ascii="Arial" w:hAnsi="Arial"/>
          <w:b/>
          <w:spacing w:val="-3"/>
          <w:sz w:val="21"/>
        </w:rPr>
        <w:t xml:space="preserve"> </w:t>
      </w:r>
      <w:r>
        <w:rPr>
          <w:rFonts w:ascii="Arial" w:hAnsi="Arial"/>
          <w:b/>
          <w:sz w:val="21"/>
        </w:rPr>
        <w:t>(or</w:t>
      </w:r>
      <w:r>
        <w:rPr>
          <w:rFonts w:ascii="Arial" w:hAnsi="Arial"/>
          <w:b/>
          <w:spacing w:val="-7"/>
          <w:sz w:val="21"/>
        </w:rPr>
        <w:t xml:space="preserve"> </w:t>
      </w:r>
      <w:r>
        <w:rPr>
          <w:rFonts w:ascii="Arial" w:hAnsi="Arial"/>
          <w:b/>
          <w:sz w:val="21"/>
        </w:rPr>
        <w:t>Regional)</w:t>
      </w:r>
      <w:r>
        <w:rPr>
          <w:rFonts w:ascii="Arial" w:hAnsi="Arial"/>
          <w:b/>
          <w:spacing w:val="-5"/>
          <w:sz w:val="21"/>
        </w:rPr>
        <w:t xml:space="preserve"> </w:t>
      </w:r>
      <w:r>
        <w:rPr>
          <w:rFonts w:ascii="Arial" w:hAnsi="Arial"/>
          <w:b/>
          <w:sz w:val="21"/>
        </w:rPr>
        <w:t>A/B</w:t>
      </w:r>
      <w:r>
        <w:rPr>
          <w:rFonts w:ascii="Arial" w:hAnsi="Arial"/>
          <w:b/>
          <w:spacing w:val="-2"/>
          <w:sz w:val="21"/>
        </w:rPr>
        <w:t xml:space="preserve"> Benchmark</w:t>
      </w:r>
    </w:p>
    <w:p>
      <w:pPr>
        <w:pStyle w:val="BodyText"/>
        <w:spacing w:before="117"/>
        <w:ind w:right="1524"/>
      </w:pPr>
      <w:r>
        <w:t>Calculated</w:t>
      </w:r>
      <w:r>
        <w:rPr>
          <w:spacing w:val="-2"/>
        </w:rPr>
        <w:t xml:space="preserve"> </w:t>
      </w:r>
      <w:r>
        <w:t>as</w:t>
      </w:r>
      <w:r>
        <w:rPr>
          <w:spacing w:val="-3"/>
        </w:rPr>
        <w:t xml:space="preserve"> </w:t>
      </w:r>
      <w:r>
        <w:t>line</w:t>
      </w:r>
      <w:r>
        <w:rPr>
          <w:spacing w:val="-3"/>
        </w:rPr>
        <w:t xml:space="preserve"> </w:t>
      </w:r>
      <w:r>
        <w:t>2</w:t>
      </w:r>
      <w:r>
        <w:rPr>
          <w:spacing w:val="-2"/>
        </w:rPr>
        <w:t xml:space="preserve"> </w:t>
      </w:r>
      <w:r>
        <w:t>times</w:t>
      </w:r>
      <w:r>
        <w:rPr>
          <w:spacing w:val="-3"/>
        </w:rPr>
        <w:t xml:space="preserve"> </w:t>
      </w:r>
      <w:r>
        <w:t>line</w:t>
      </w:r>
      <w:r>
        <w:rPr>
          <w:spacing w:val="-2"/>
        </w:rPr>
        <w:t xml:space="preserve"> </w:t>
      </w:r>
      <w:r>
        <w:t>5.</w:t>
      </w:r>
      <w:r>
        <w:rPr>
          <w:spacing w:val="-2"/>
        </w:rPr>
        <w:t xml:space="preserve"> </w:t>
      </w:r>
      <w:r>
        <w:t>The</w:t>
      </w:r>
      <w:r>
        <w:rPr>
          <w:spacing w:val="-3"/>
        </w:rPr>
        <w:t xml:space="preserve"> </w:t>
      </w:r>
      <w:r>
        <w:t>BPT</w:t>
      </w:r>
      <w:r>
        <w:rPr>
          <w:spacing w:val="-2"/>
        </w:rPr>
        <w:t xml:space="preserve"> </w:t>
      </w:r>
      <w:r>
        <w:t>finalization</w:t>
      </w:r>
      <w:r>
        <w:rPr>
          <w:spacing w:val="-2"/>
        </w:rPr>
        <w:t xml:space="preserve"> </w:t>
      </w:r>
      <w:r>
        <w:t>process</w:t>
      </w:r>
      <w:r>
        <w:rPr>
          <w:spacing w:val="-3"/>
        </w:rPr>
        <w:t xml:space="preserve"> </w:t>
      </w:r>
      <w:r>
        <w:t>will</w:t>
      </w:r>
      <w:r>
        <w:rPr>
          <w:spacing w:val="-2"/>
        </w:rPr>
        <w:t xml:space="preserve"> </w:t>
      </w:r>
      <w:r>
        <w:t>verify</w:t>
      </w:r>
      <w:r>
        <w:rPr>
          <w:spacing w:val="-2"/>
        </w:rPr>
        <w:t xml:space="preserve"> </w:t>
      </w:r>
      <w:r>
        <w:t>that</w:t>
      </w:r>
      <w:r>
        <w:rPr>
          <w:spacing w:val="-2"/>
        </w:rPr>
        <w:t xml:space="preserve"> </w:t>
      </w:r>
      <w:r>
        <w:t>this</w:t>
      </w:r>
      <w:r>
        <w:rPr>
          <w:spacing w:val="-3"/>
        </w:rPr>
        <w:t xml:space="preserve"> </w:t>
      </w:r>
      <w:r>
        <w:t>value</w:t>
      </w:r>
      <w:r>
        <w:rPr>
          <w:spacing w:val="-1"/>
        </w:rPr>
        <w:t xml:space="preserve"> </w:t>
      </w:r>
      <w:r>
        <w:t>must be greater than zero.</w:t>
      </w:r>
    </w:p>
    <w:p>
      <w:pPr>
        <w:spacing w:before="241"/>
        <w:ind w:left="504" w:right="0" w:firstLine="0"/>
        <w:jc w:val="left"/>
        <w:rPr>
          <w:rFonts w:ascii="Arial" w:hAnsi="Arial"/>
          <w:b/>
          <w:sz w:val="21"/>
        </w:rPr>
      </w:pPr>
      <w:bookmarkStart w:id="227" w:name="Line 7 – Plan A/B Bid"/>
      <w:bookmarkEnd w:id="227"/>
      <w:r>
        <w:rPr>
          <w:rFonts w:ascii="Arial" w:hAnsi="Arial"/>
          <w:b/>
          <w:sz w:val="21"/>
        </w:rPr>
        <w:t>Line</w:t>
      </w:r>
      <w:r>
        <w:rPr>
          <w:rFonts w:ascii="Arial" w:hAnsi="Arial"/>
          <w:b/>
          <w:spacing w:val="-4"/>
          <w:sz w:val="21"/>
        </w:rPr>
        <w:t xml:space="preserve"> </w:t>
      </w:r>
      <w:r>
        <w:rPr>
          <w:rFonts w:ascii="Arial" w:hAnsi="Arial"/>
          <w:b/>
          <w:sz w:val="21"/>
        </w:rPr>
        <w:t>7</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5"/>
          <w:sz w:val="21"/>
        </w:rPr>
        <w:t xml:space="preserve"> </w:t>
      </w:r>
      <w:r>
        <w:rPr>
          <w:rFonts w:ascii="Arial" w:hAnsi="Arial"/>
          <w:b/>
          <w:sz w:val="21"/>
        </w:rPr>
        <w:t>A/B</w:t>
      </w:r>
      <w:r>
        <w:rPr>
          <w:rFonts w:ascii="Arial" w:hAnsi="Arial"/>
          <w:b/>
          <w:spacing w:val="-4"/>
          <w:sz w:val="21"/>
        </w:rPr>
        <w:t xml:space="preserve"> </w:t>
      </w:r>
      <w:r>
        <w:rPr>
          <w:rFonts w:ascii="Arial" w:hAnsi="Arial"/>
          <w:b/>
          <w:spacing w:val="-5"/>
          <w:sz w:val="21"/>
        </w:rPr>
        <w:t>Bid</w:t>
      </w:r>
    </w:p>
    <w:p>
      <w:pPr>
        <w:pStyle w:val="BodyText"/>
        <w:spacing w:before="121"/>
        <w:ind w:right="1481"/>
      </w:pPr>
      <w:r>
        <w:t>This</w:t>
      </w:r>
      <w:r>
        <w:rPr>
          <w:spacing w:val="-4"/>
        </w:rPr>
        <w:t xml:space="preserve"> </w:t>
      </w:r>
      <w:r>
        <w:t>value</w:t>
      </w:r>
      <w:r>
        <w:rPr>
          <w:spacing w:val="-4"/>
        </w:rPr>
        <w:t xml:space="preserve"> </w:t>
      </w:r>
      <w:r>
        <w:t>is</w:t>
      </w:r>
      <w:r>
        <w:rPr>
          <w:spacing w:val="-4"/>
        </w:rPr>
        <w:t xml:space="preserve"> </w:t>
      </w:r>
      <w:r>
        <w:t>obtained</w:t>
      </w:r>
      <w:r>
        <w:rPr>
          <w:spacing w:val="-3"/>
        </w:rPr>
        <w:t xml:space="preserve"> </w:t>
      </w:r>
      <w:r>
        <w:t>from</w:t>
      </w:r>
      <w:r>
        <w:rPr>
          <w:spacing w:val="-2"/>
        </w:rPr>
        <w:t xml:space="preserve"> </w:t>
      </w:r>
      <w:r>
        <w:t>Worksheet</w:t>
      </w:r>
      <w:r>
        <w:rPr>
          <w:spacing w:val="-3"/>
        </w:rPr>
        <w:t xml:space="preserve"> </w:t>
      </w:r>
      <w:r>
        <w:t>4,</w:t>
      </w:r>
      <w:r>
        <w:rPr>
          <w:spacing w:val="-3"/>
        </w:rPr>
        <w:t xml:space="preserve"> </w:t>
      </w:r>
      <w:r>
        <w:t>rounded</w:t>
      </w:r>
      <w:r>
        <w:rPr>
          <w:spacing w:val="-1"/>
        </w:rPr>
        <w:t xml:space="preserve"> </w:t>
      </w:r>
      <w:r>
        <w:t>to</w:t>
      </w:r>
      <w:r>
        <w:rPr>
          <w:spacing w:val="-3"/>
        </w:rPr>
        <w:t xml:space="preserve"> </w:t>
      </w:r>
      <w:r>
        <w:t>two</w:t>
      </w:r>
      <w:r>
        <w:rPr>
          <w:spacing w:val="-3"/>
        </w:rPr>
        <w:t xml:space="preserve"> </w:t>
      </w:r>
      <w:r>
        <w:t>decimals.</w:t>
      </w:r>
      <w:r>
        <w:rPr>
          <w:spacing w:val="-3"/>
        </w:rPr>
        <w:t xml:space="preserve"> </w:t>
      </w:r>
      <w:r>
        <w:t>The</w:t>
      </w:r>
      <w:r>
        <w:rPr>
          <w:spacing w:val="-4"/>
        </w:rPr>
        <w:t xml:space="preserve"> </w:t>
      </w:r>
      <w:r>
        <w:t>BPT</w:t>
      </w:r>
      <w:r>
        <w:rPr>
          <w:spacing w:val="-3"/>
        </w:rPr>
        <w:t xml:space="preserve"> </w:t>
      </w:r>
      <w:r>
        <w:t>finalization process will verify that this value must be greater than zero.</w:t>
      </w:r>
    </w:p>
    <w:p>
      <w:pPr>
        <w:spacing w:before="240"/>
        <w:ind w:left="504" w:right="0" w:firstLine="0"/>
        <w:jc w:val="left"/>
        <w:rPr>
          <w:rFonts w:ascii="Arial" w:hAnsi="Arial"/>
          <w:b/>
          <w:sz w:val="21"/>
        </w:rPr>
      </w:pPr>
      <w:bookmarkStart w:id="228" w:name="Line 8 – Standardized A/B Bid (@ 1.000)"/>
      <w:bookmarkEnd w:id="228"/>
      <w:r>
        <w:rPr>
          <w:rFonts w:ascii="Arial" w:hAnsi="Arial"/>
          <w:b/>
          <w:sz w:val="21"/>
        </w:rPr>
        <w:t>Line</w:t>
      </w:r>
      <w:r>
        <w:rPr>
          <w:rFonts w:ascii="Arial" w:hAnsi="Arial"/>
          <w:b/>
          <w:spacing w:val="-5"/>
          <w:sz w:val="21"/>
        </w:rPr>
        <w:t xml:space="preserve"> </w:t>
      </w:r>
      <w:r>
        <w:rPr>
          <w:rFonts w:ascii="Arial" w:hAnsi="Arial"/>
          <w:b/>
          <w:sz w:val="21"/>
        </w:rPr>
        <w:t>8</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Standardized</w:t>
      </w:r>
      <w:r>
        <w:rPr>
          <w:rFonts w:ascii="Arial" w:hAnsi="Arial"/>
          <w:b/>
          <w:spacing w:val="-7"/>
          <w:sz w:val="21"/>
        </w:rPr>
        <w:t xml:space="preserve"> </w:t>
      </w:r>
      <w:r>
        <w:rPr>
          <w:rFonts w:ascii="Arial" w:hAnsi="Arial"/>
          <w:b/>
          <w:sz w:val="21"/>
        </w:rPr>
        <w:t>A/B</w:t>
      </w:r>
      <w:r>
        <w:rPr>
          <w:rFonts w:ascii="Arial" w:hAnsi="Arial"/>
          <w:b/>
          <w:spacing w:val="-3"/>
          <w:sz w:val="21"/>
        </w:rPr>
        <w:t xml:space="preserve"> </w:t>
      </w:r>
      <w:r>
        <w:rPr>
          <w:rFonts w:ascii="Arial" w:hAnsi="Arial"/>
          <w:b/>
          <w:sz w:val="21"/>
        </w:rPr>
        <w:t>Bid</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pacing w:val="-2"/>
          <w:sz w:val="21"/>
        </w:rPr>
        <w:t>1.000)</w:t>
      </w:r>
    </w:p>
    <w:p>
      <w:pPr>
        <w:pStyle w:val="BodyText"/>
        <w:spacing w:before="121"/>
      </w:pPr>
      <w:r>
        <w:t>Calculated</w:t>
      </w:r>
      <w:r>
        <w:rPr>
          <w:spacing w:val="-3"/>
        </w:rPr>
        <w:t xml:space="preserve"> </w:t>
      </w:r>
      <w:r>
        <w:t>as line</w:t>
      </w:r>
      <w:r>
        <w:rPr>
          <w:spacing w:val="-2"/>
        </w:rPr>
        <w:t xml:space="preserve"> </w:t>
      </w:r>
      <w:r>
        <w:t>7 divided</w:t>
      </w:r>
      <w:r>
        <w:rPr>
          <w:spacing w:val="-1"/>
        </w:rPr>
        <w:t xml:space="preserve"> </w:t>
      </w:r>
      <w:r>
        <w:t>by line</w:t>
      </w:r>
      <w:r>
        <w:rPr>
          <w:spacing w:val="-1"/>
        </w:rPr>
        <w:t xml:space="preserve"> </w:t>
      </w:r>
      <w:r>
        <w:t>5, and</w:t>
      </w:r>
      <w:r>
        <w:rPr>
          <w:spacing w:val="-1"/>
        </w:rPr>
        <w:t xml:space="preserve"> </w:t>
      </w:r>
      <w:r>
        <w:t>then</w:t>
      </w:r>
      <w:r>
        <w:rPr>
          <w:spacing w:val="-1"/>
        </w:rPr>
        <w:t xml:space="preserve"> </w:t>
      </w:r>
      <w:r>
        <w:t>rounded</w:t>
      </w:r>
      <w:r>
        <w:rPr>
          <w:spacing w:val="-1"/>
        </w:rPr>
        <w:t xml:space="preserve"> </w:t>
      </w:r>
      <w:r>
        <w:t xml:space="preserve">to two </w:t>
      </w:r>
      <w:r>
        <w:rPr>
          <w:spacing w:val="-2"/>
        </w:rPr>
        <w:t>decimals.</w:t>
      </w:r>
    </w:p>
    <w:p>
      <w:pPr>
        <w:pStyle w:val="BodyText"/>
        <w:spacing w:before="45"/>
        <w:ind w:left="0"/>
      </w:pPr>
    </w:p>
    <w:p>
      <w:pPr>
        <w:pStyle w:val="Heading2"/>
      </w:pPr>
      <w:bookmarkStart w:id="229" w:name="Section III – Savings/Basic Member Premi"/>
      <w:bookmarkEnd w:id="229"/>
      <w:bookmarkStart w:id="230" w:name="_bookmark65"/>
      <w:bookmarkEnd w:id="230"/>
      <w:r>
        <w:rPr>
          <w:smallCaps/>
        </w:rPr>
        <w:t>Section</w:t>
      </w:r>
      <w:r>
        <w:rPr>
          <w:smallCaps/>
          <w:spacing w:val="-15"/>
        </w:rPr>
        <w:t xml:space="preserve"> </w:t>
      </w:r>
      <w:r>
        <w:rPr>
          <w:smallCaps/>
        </w:rPr>
        <w:t>III</w:t>
      </w:r>
      <w:r>
        <w:rPr>
          <w:smallCaps/>
          <w:spacing w:val="-15"/>
        </w:rPr>
        <w:t xml:space="preserve"> </w:t>
      </w:r>
      <w:r>
        <w:rPr>
          <w:smallCaps/>
        </w:rPr>
        <w:t>–</w:t>
      </w:r>
      <w:r>
        <w:rPr>
          <w:smallCaps/>
          <w:spacing w:val="-15"/>
        </w:rPr>
        <w:t xml:space="preserve"> </w:t>
      </w:r>
      <w:r>
        <w:rPr>
          <w:smallCaps/>
        </w:rPr>
        <w:t>Savings/Basic</w:t>
      </w:r>
      <w:r>
        <w:rPr>
          <w:smallCaps/>
          <w:spacing w:val="-15"/>
        </w:rPr>
        <w:t xml:space="preserve"> </w:t>
      </w:r>
      <w:r>
        <w:rPr>
          <w:smallCaps/>
        </w:rPr>
        <w:t>Member</w:t>
      </w:r>
      <w:r>
        <w:rPr>
          <w:smallCaps/>
          <w:spacing w:val="-9"/>
        </w:rPr>
        <w:t xml:space="preserve"> </w:t>
      </w:r>
      <w:r>
        <w:rPr>
          <w:smallCaps/>
        </w:rPr>
        <w:t>Premium</w:t>
      </w:r>
      <w:r>
        <w:rPr>
          <w:smallCaps/>
          <w:spacing w:val="-9"/>
        </w:rPr>
        <w:t xml:space="preserve"> </w:t>
      </w:r>
      <w:r>
        <w:rPr>
          <w:smallCaps/>
          <w:spacing w:val="-2"/>
        </w:rPr>
        <w:t>Development</w:t>
      </w:r>
    </w:p>
    <w:p>
      <w:pPr>
        <w:spacing w:before="237"/>
        <w:ind w:left="504" w:right="0" w:firstLine="0"/>
        <w:jc w:val="left"/>
        <w:rPr>
          <w:rFonts w:ascii="Arial" w:hAnsi="Arial"/>
          <w:b/>
          <w:sz w:val="21"/>
        </w:rPr>
      </w:pPr>
      <w:bookmarkStart w:id="231" w:name="Line 1 – Savings"/>
      <w:bookmarkEnd w:id="231"/>
      <w:r>
        <w:rPr>
          <w:rFonts w:ascii="Arial" w:hAnsi="Arial"/>
          <w:b/>
          <w:sz w:val="21"/>
        </w:rPr>
        <w:t>Line</w:t>
      </w:r>
      <w:r>
        <w:rPr>
          <w:rFonts w:ascii="Arial" w:hAnsi="Arial"/>
          <w:b/>
          <w:spacing w:val="-2"/>
          <w:sz w:val="21"/>
        </w:rPr>
        <w:t xml:space="preserve"> </w:t>
      </w:r>
      <w:r>
        <w:rPr>
          <w:rFonts w:ascii="Arial" w:hAnsi="Arial"/>
          <w:b/>
          <w:sz w:val="21"/>
        </w:rPr>
        <w:t>1</w:t>
      </w:r>
      <w:r>
        <w:rPr>
          <w:rFonts w:ascii="Arial" w:hAnsi="Arial"/>
          <w:b/>
          <w:spacing w:val="-2"/>
          <w:sz w:val="21"/>
        </w:rPr>
        <w:t xml:space="preserve"> </w:t>
      </w:r>
      <w:r>
        <w:rPr>
          <w:rFonts w:ascii="Arial" w:hAnsi="Arial"/>
          <w:b/>
          <w:sz w:val="21"/>
        </w:rPr>
        <w:t>–</w:t>
      </w:r>
      <w:r>
        <w:rPr>
          <w:rFonts w:ascii="Arial" w:hAnsi="Arial"/>
          <w:b/>
          <w:spacing w:val="-2"/>
          <w:sz w:val="21"/>
        </w:rPr>
        <w:t xml:space="preserve"> Savings</w:t>
      </w:r>
    </w:p>
    <w:p>
      <w:pPr>
        <w:pStyle w:val="BodyText"/>
        <w:spacing w:before="120"/>
        <w:ind w:right="1481"/>
      </w:pPr>
      <w:r>
        <w:t>Calculated</w:t>
      </w:r>
      <w:r>
        <w:rPr>
          <w:spacing w:val="-3"/>
        </w:rPr>
        <w:t xml:space="preserve"> </w:t>
      </w:r>
      <w:r>
        <w:t>as</w:t>
      </w:r>
      <w:r>
        <w:rPr>
          <w:spacing w:val="-3"/>
        </w:rPr>
        <w:t xml:space="preserve"> </w:t>
      </w:r>
      <w:r>
        <w:t>the</w:t>
      </w:r>
      <w:r>
        <w:rPr>
          <w:spacing w:val="-4"/>
        </w:rPr>
        <w:t xml:space="preserve"> </w:t>
      </w:r>
      <w:r>
        <w:t>difference</w:t>
      </w:r>
      <w:r>
        <w:rPr>
          <w:spacing w:val="-4"/>
        </w:rPr>
        <w:t xml:space="preserve"> </w:t>
      </w:r>
      <w:r>
        <w:t>between</w:t>
      </w:r>
      <w:r>
        <w:rPr>
          <w:spacing w:val="-3"/>
        </w:rPr>
        <w:t xml:space="preserve"> </w:t>
      </w:r>
      <w:r>
        <w:t>the</w:t>
      </w:r>
      <w:r>
        <w:rPr>
          <w:spacing w:val="-2"/>
        </w:rPr>
        <w:t xml:space="preserve"> </w:t>
      </w:r>
      <w:r>
        <w:t>plan</w:t>
      </w:r>
      <w:r>
        <w:rPr>
          <w:spacing w:val="-2"/>
        </w:rPr>
        <w:t xml:space="preserve"> </w:t>
      </w:r>
      <w:r>
        <w:t>(or</w:t>
      </w:r>
      <w:r>
        <w:rPr>
          <w:spacing w:val="-2"/>
        </w:rPr>
        <w:t xml:space="preserve"> </w:t>
      </w:r>
      <w:r>
        <w:t>regional)</w:t>
      </w:r>
      <w:r>
        <w:rPr>
          <w:spacing w:val="-4"/>
        </w:rPr>
        <w:t xml:space="preserve"> </w:t>
      </w:r>
      <w:r>
        <w:t>A/B</w:t>
      </w:r>
      <w:r>
        <w:rPr>
          <w:spacing w:val="-3"/>
        </w:rPr>
        <w:t xml:space="preserve"> </w:t>
      </w:r>
      <w:r>
        <w:t>benchmark</w:t>
      </w:r>
      <w:r>
        <w:rPr>
          <w:spacing w:val="-2"/>
        </w:rPr>
        <w:t xml:space="preserve"> </w:t>
      </w:r>
      <w:r>
        <w:t>and</w:t>
      </w:r>
      <w:r>
        <w:rPr>
          <w:spacing w:val="-3"/>
        </w:rPr>
        <w:t xml:space="preserve"> </w:t>
      </w:r>
      <w:r>
        <w:t>the</w:t>
      </w:r>
      <w:r>
        <w:rPr>
          <w:spacing w:val="-3"/>
        </w:rPr>
        <w:t xml:space="preserve"> </w:t>
      </w:r>
      <w:r>
        <w:t>plan</w:t>
      </w:r>
      <w:r>
        <w:rPr>
          <w:spacing w:val="-3"/>
        </w:rPr>
        <w:t xml:space="preserve"> </w:t>
      </w:r>
      <w:r>
        <w:t>A/B bid, but not less than zero. This value is rounded to two decimals.</w:t>
      </w:r>
    </w:p>
    <w:p>
      <w:pPr>
        <w:spacing w:before="242"/>
        <w:ind w:left="504" w:right="0" w:firstLine="0"/>
        <w:jc w:val="left"/>
        <w:rPr>
          <w:rFonts w:ascii="Arial" w:hAnsi="Arial"/>
          <w:b/>
          <w:sz w:val="21"/>
        </w:rPr>
      </w:pPr>
      <w:bookmarkStart w:id="232" w:name="Line 2 – Rebate"/>
      <w:bookmarkEnd w:id="232"/>
      <w:r>
        <w:rPr>
          <w:rFonts w:ascii="Arial" w:hAnsi="Arial"/>
          <w:b/>
          <w:sz w:val="21"/>
        </w:rPr>
        <w:t>Line</w:t>
      </w:r>
      <w:r>
        <w:rPr>
          <w:rFonts w:ascii="Arial" w:hAnsi="Arial"/>
          <w:b/>
          <w:spacing w:val="-3"/>
          <w:sz w:val="21"/>
        </w:rPr>
        <w:t xml:space="preserve"> </w:t>
      </w:r>
      <w:r>
        <w:rPr>
          <w:rFonts w:ascii="Arial" w:hAnsi="Arial"/>
          <w:b/>
          <w:sz w:val="21"/>
        </w:rPr>
        <w:t>2</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pacing w:val="-2"/>
          <w:sz w:val="21"/>
        </w:rPr>
        <w:t>Rebate</w:t>
      </w:r>
    </w:p>
    <w:p>
      <w:pPr>
        <w:pStyle w:val="BodyText"/>
        <w:spacing w:before="120"/>
        <w:ind w:right="1481"/>
      </w:pPr>
      <w:r>
        <w:t>Calculated</w:t>
      </w:r>
      <w:r>
        <w:rPr>
          <w:spacing w:val="-3"/>
        </w:rPr>
        <w:t xml:space="preserve"> </w:t>
      </w:r>
      <w:r>
        <w:t>as</w:t>
      </w:r>
      <w:r>
        <w:rPr>
          <w:spacing w:val="-3"/>
        </w:rPr>
        <w:t xml:space="preserve"> </w:t>
      </w:r>
      <w:r>
        <w:t>Section</w:t>
      </w:r>
      <w:r>
        <w:rPr>
          <w:spacing w:val="-1"/>
        </w:rPr>
        <w:t xml:space="preserve"> </w:t>
      </w:r>
      <w:r>
        <w:t>III,</w:t>
      </w:r>
      <w:r>
        <w:rPr>
          <w:spacing w:val="-1"/>
        </w:rPr>
        <w:t xml:space="preserve"> </w:t>
      </w:r>
      <w:r>
        <w:t>line</w:t>
      </w:r>
      <w:r>
        <w:rPr>
          <w:spacing w:val="-4"/>
        </w:rPr>
        <w:t xml:space="preserve"> </w:t>
      </w:r>
      <w:r>
        <w:t>1</w:t>
      </w:r>
      <w:r>
        <w:rPr>
          <w:spacing w:val="-3"/>
        </w:rPr>
        <w:t xml:space="preserve"> </w:t>
      </w:r>
      <w:r>
        <w:t>(“Savings”)</w:t>
      </w:r>
      <w:r>
        <w:rPr>
          <w:spacing w:val="-3"/>
        </w:rPr>
        <w:t xml:space="preserve"> </w:t>
      </w:r>
      <w:r>
        <w:t>times</w:t>
      </w:r>
      <w:r>
        <w:rPr>
          <w:spacing w:val="-1"/>
        </w:rPr>
        <w:t xml:space="preserve"> </w:t>
      </w:r>
      <w:r>
        <w:t>Section</w:t>
      </w:r>
      <w:r>
        <w:rPr>
          <w:spacing w:val="-3"/>
        </w:rPr>
        <w:t xml:space="preserve"> </w:t>
      </w:r>
      <w:r>
        <w:t>V,</w:t>
      </w:r>
      <w:r>
        <w:rPr>
          <w:spacing w:val="-3"/>
        </w:rPr>
        <w:t xml:space="preserve"> </w:t>
      </w:r>
      <w:r>
        <w:t>line</w:t>
      </w:r>
      <w:r>
        <w:rPr>
          <w:spacing w:val="-4"/>
        </w:rPr>
        <w:t xml:space="preserve"> </w:t>
      </w:r>
      <w:r>
        <w:t>3</w:t>
      </w:r>
      <w:r>
        <w:rPr>
          <w:spacing w:val="-3"/>
        </w:rPr>
        <w:t xml:space="preserve"> </w:t>
      </w:r>
      <w:r>
        <w:t>(“Rebate</w:t>
      </w:r>
      <w:r>
        <w:rPr>
          <w:spacing w:val="-4"/>
        </w:rPr>
        <w:t xml:space="preserve"> </w:t>
      </w:r>
      <w:r>
        <w:t>%”).</w:t>
      </w:r>
      <w:r>
        <w:rPr>
          <w:spacing w:val="-3"/>
        </w:rPr>
        <w:t xml:space="preserve"> </w:t>
      </w:r>
      <w:r>
        <w:t>This</w:t>
      </w:r>
      <w:r>
        <w:rPr>
          <w:spacing w:val="-4"/>
        </w:rPr>
        <w:t xml:space="preserve"> </w:t>
      </w:r>
      <w:r>
        <w:t>value</w:t>
      </w:r>
      <w:r>
        <w:rPr>
          <w:spacing w:val="-3"/>
        </w:rPr>
        <w:t xml:space="preserve"> </w:t>
      </w:r>
      <w:r>
        <w:t>is rounded to two decimals.</w:t>
      </w:r>
    </w:p>
    <w:p>
      <w:pPr>
        <w:spacing w:before="241"/>
        <w:ind w:left="504" w:right="0" w:firstLine="0"/>
        <w:jc w:val="left"/>
        <w:rPr>
          <w:rFonts w:ascii="Arial" w:hAnsi="Arial"/>
          <w:b/>
          <w:sz w:val="21"/>
        </w:rPr>
      </w:pPr>
      <w:bookmarkStart w:id="233" w:name="Line 3 – Basic Member Premium"/>
      <w:bookmarkEnd w:id="233"/>
      <w:r>
        <w:rPr>
          <w:rFonts w:ascii="Arial" w:hAnsi="Arial"/>
          <w:b/>
          <w:sz w:val="21"/>
        </w:rPr>
        <w:t>Line</w:t>
      </w:r>
      <w:r>
        <w:rPr>
          <w:rFonts w:ascii="Arial" w:hAnsi="Arial"/>
          <w:b/>
          <w:spacing w:val="-4"/>
          <w:sz w:val="21"/>
        </w:rPr>
        <w:t xml:space="preserve"> </w:t>
      </w:r>
      <w:r>
        <w:rPr>
          <w:rFonts w:ascii="Arial" w:hAnsi="Arial"/>
          <w:b/>
          <w:sz w:val="21"/>
        </w:rPr>
        <w:t>3</w:t>
      </w:r>
      <w:r>
        <w:rPr>
          <w:rFonts w:ascii="Arial" w:hAnsi="Arial"/>
          <w:b/>
          <w:spacing w:val="-3"/>
          <w:sz w:val="21"/>
        </w:rPr>
        <w:t xml:space="preserve"> </w:t>
      </w:r>
      <w:r>
        <w:rPr>
          <w:rFonts w:ascii="Arial" w:hAnsi="Arial"/>
          <w:b/>
          <w:sz w:val="21"/>
        </w:rPr>
        <w:t>–</w:t>
      </w:r>
      <w:r>
        <w:rPr>
          <w:rFonts w:ascii="Arial" w:hAnsi="Arial"/>
          <w:b/>
          <w:spacing w:val="-6"/>
          <w:sz w:val="21"/>
        </w:rPr>
        <w:t xml:space="preserve"> </w:t>
      </w:r>
      <w:r>
        <w:rPr>
          <w:rFonts w:ascii="Arial" w:hAnsi="Arial"/>
          <w:b/>
          <w:sz w:val="21"/>
        </w:rPr>
        <w:t>Basic</w:t>
      </w:r>
      <w:r>
        <w:rPr>
          <w:rFonts w:ascii="Arial" w:hAnsi="Arial"/>
          <w:b/>
          <w:spacing w:val="-3"/>
          <w:sz w:val="21"/>
        </w:rPr>
        <w:t xml:space="preserve"> </w:t>
      </w:r>
      <w:r>
        <w:rPr>
          <w:rFonts w:ascii="Arial" w:hAnsi="Arial"/>
          <w:b/>
          <w:sz w:val="21"/>
        </w:rPr>
        <w:t>Member</w:t>
      </w:r>
      <w:r>
        <w:rPr>
          <w:rFonts w:ascii="Arial" w:hAnsi="Arial"/>
          <w:b/>
          <w:spacing w:val="-4"/>
          <w:sz w:val="21"/>
        </w:rPr>
        <w:t xml:space="preserve"> </w:t>
      </w:r>
      <w:r>
        <w:rPr>
          <w:rFonts w:ascii="Arial" w:hAnsi="Arial"/>
          <w:b/>
          <w:spacing w:val="-2"/>
          <w:sz w:val="21"/>
        </w:rPr>
        <w:t>Premium</w:t>
      </w:r>
    </w:p>
    <w:p>
      <w:pPr>
        <w:pStyle w:val="BodyText"/>
        <w:spacing w:before="118"/>
        <w:ind w:right="1481"/>
      </w:pPr>
      <w:r>
        <w:t>Calculated</w:t>
      </w:r>
      <w:r>
        <w:rPr>
          <w:spacing w:val="-3"/>
        </w:rPr>
        <w:t xml:space="preserve"> </w:t>
      </w:r>
      <w:r>
        <w:t>as</w:t>
      </w:r>
      <w:r>
        <w:rPr>
          <w:spacing w:val="-3"/>
        </w:rPr>
        <w:t xml:space="preserve"> </w:t>
      </w:r>
      <w:r>
        <w:t>the</w:t>
      </w:r>
      <w:r>
        <w:rPr>
          <w:spacing w:val="-4"/>
        </w:rPr>
        <w:t xml:space="preserve"> </w:t>
      </w:r>
      <w:r>
        <w:t>standardized</w:t>
      </w:r>
      <w:r>
        <w:rPr>
          <w:spacing w:val="-3"/>
        </w:rPr>
        <w:t xml:space="preserve"> </w:t>
      </w:r>
      <w:r>
        <w:t>A/B</w:t>
      </w:r>
      <w:r>
        <w:rPr>
          <w:spacing w:val="-2"/>
        </w:rPr>
        <w:t xml:space="preserve"> </w:t>
      </w:r>
      <w:r>
        <w:t>bid</w:t>
      </w:r>
      <w:r>
        <w:rPr>
          <w:spacing w:val="-3"/>
        </w:rPr>
        <w:t xml:space="preserve"> </w:t>
      </w:r>
      <w:r>
        <w:t>less</w:t>
      </w:r>
      <w:r>
        <w:rPr>
          <w:spacing w:val="-4"/>
        </w:rPr>
        <w:t xml:space="preserve"> </w:t>
      </w:r>
      <w:r>
        <w:t>the</w:t>
      </w:r>
      <w:r>
        <w:rPr>
          <w:spacing w:val="-4"/>
        </w:rPr>
        <w:t xml:space="preserve"> </w:t>
      </w:r>
      <w:r>
        <w:t>standardized</w:t>
      </w:r>
      <w:r>
        <w:rPr>
          <w:spacing w:val="-3"/>
        </w:rPr>
        <w:t xml:space="preserve"> </w:t>
      </w:r>
      <w:r>
        <w:t>A/B</w:t>
      </w:r>
      <w:r>
        <w:rPr>
          <w:spacing w:val="-3"/>
        </w:rPr>
        <w:t xml:space="preserve"> </w:t>
      </w:r>
      <w:r>
        <w:t>benchmark,</w:t>
      </w:r>
      <w:r>
        <w:rPr>
          <w:spacing w:val="-3"/>
        </w:rPr>
        <w:t xml:space="preserve"> </w:t>
      </w:r>
      <w:r>
        <w:t>but</w:t>
      </w:r>
      <w:r>
        <w:rPr>
          <w:spacing w:val="-3"/>
        </w:rPr>
        <w:t xml:space="preserve"> </w:t>
      </w:r>
      <w:r>
        <w:t>not</w:t>
      </w:r>
      <w:r>
        <w:rPr>
          <w:spacing w:val="-3"/>
        </w:rPr>
        <w:t xml:space="preserve"> </w:t>
      </w:r>
      <w:r>
        <w:t>less</w:t>
      </w:r>
      <w:r>
        <w:rPr>
          <w:spacing w:val="-4"/>
        </w:rPr>
        <w:t xml:space="preserve"> </w:t>
      </w:r>
      <w:r>
        <w:t>than zero. This value is rounded to two decimals.</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right="1443"/>
      </w:pPr>
      <w:r>
        <w:t>The</w:t>
      </w:r>
      <w:r>
        <w:rPr>
          <w:spacing w:val="-5"/>
        </w:rPr>
        <w:t xml:space="preserve"> </w:t>
      </w:r>
      <w:r>
        <w:t>BPT</w:t>
      </w:r>
      <w:r>
        <w:rPr>
          <w:spacing w:val="-3"/>
        </w:rPr>
        <w:t xml:space="preserve"> </w:t>
      </w:r>
      <w:r>
        <w:t>will</w:t>
      </w:r>
      <w:r>
        <w:rPr>
          <w:spacing w:val="-3"/>
        </w:rPr>
        <w:t xml:space="preserve"> </w:t>
      </w:r>
      <w:r>
        <w:t>not</w:t>
      </w:r>
      <w:r>
        <w:rPr>
          <w:spacing w:val="-3"/>
        </w:rPr>
        <w:t xml:space="preserve"> </w:t>
      </w:r>
      <w:r>
        <w:t>finalize</w:t>
      </w:r>
      <w:r>
        <w:rPr>
          <w:spacing w:val="-4"/>
        </w:rPr>
        <w:t xml:space="preserve"> </w:t>
      </w:r>
      <w:r>
        <w:t>if</w:t>
      </w:r>
      <w:r>
        <w:rPr>
          <w:spacing w:val="-3"/>
        </w:rPr>
        <w:t xml:space="preserve"> </w:t>
      </w:r>
      <w:r>
        <w:t>there</w:t>
      </w:r>
      <w:r>
        <w:rPr>
          <w:spacing w:val="-5"/>
        </w:rPr>
        <w:t xml:space="preserve"> </w:t>
      </w:r>
      <w:r>
        <w:t>are</w:t>
      </w:r>
      <w:r>
        <w:rPr>
          <w:spacing w:val="-5"/>
        </w:rPr>
        <w:t xml:space="preserve"> </w:t>
      </w:r>
      <w:r>
        <w:t>any</w:t>
      </w:r>
      <w:r>
        <w:rPr>
          <w:spacing w:val="-3"/>
        </w:rPr>
        <w:t xml:space="preserve"> </w:t>
      </w:r>
      <w:r>
        <w:t>invalid</w:t>
      </w:r>
      <w:r>
        <w:rPr>
          <w:spacing w:val="-3"/>
        </w:rPr>
        <w:t xml:space="preserve"> </w:t>
      </w:r>
      <w:r>
        <w:t>values</w:t>
      </w:r>
      <w:r>
        <w:rPr>
          <w:spacing w:val="-1"/>
        </w:rPr>
        <w:t xml:space="preserve"> </w:t>
      </w:r>
      <w:r>
        <w:t>(such</w:t>
      </w:r>
      <w:r>
        <w:rPr>
          <w:spacing w:val="-3"/>
        </w:rPr>
        <w:t xml:space="preserve"> </w:t>
      </w:r>
      <w:r>
        <w:t>as</w:t>
      </w:r>
      <w:r>
        <w:rPr>
          <w:spacing w:val="-1"/>
        </w:rPr>
        <w:t xml:space="preserve"> </w:t>
      </w:r>
      <w:r>
        <w:t>“#N/A”,</w:t>
      </w:r>
      <w:r>
        <w:rPr>
          <w:spacing w:val="-1"/>
        </w:rPr>
        <w:t xml:space="preserve"> </w:t>
      </w:r>
      <w:r>
        <w:t>“#DIV/0!”,</w:t>
      </w:r>
      <w:r>
        <w:rPr>
          <w:spacing w:val="-1"/>
        </w:rPr>
        <w:t xml:space="preserve"> </w:t>
      </w:r>
      <w:r>
        <w:t>“#REF!”, “#NAME?”, etc.) in this field.</w:t>
      </w:r>
    </w:p>
    <w:p>
      <w:pPr>
        <w:pStyle w:val="BodyText"/>
        <w:spacing w:before="45"/>
        <w:ind w:left="0"/>
      </w:pPr>
    </w:p>
    <w:p>
      <w:pPr>
        <w:pStyle w:val="Heading2"/>
      </w:pPr>
      <w:bookmarkStart w:id="234" w:name="Section IV – Standardized A/B Benchmark "/>
      <w:bookmarkEnd w:id="234"/>
      <w:bookmarkStart w:id="235" w:name="_bookmark66"/>
      <w:bookmarkEnd w:id="235"/>
      <w:r>
        <w:rPr>
          <w:smallCaps/>
        </w:rPr>
        <w:t>Section</w:t>
      </w:r>
      <w:r>
        <w:rPr>
          <w:smallCaps/>
          <w:spacing w:val="-15"/>
        </w:rPr>
        <w:t xml:space="preserve"> </w:t>
      </w:r>
      <w:r>
        <w:rPr>
          <w:smallCaps/>
        </w:rPr>
        <w:t>IV</w:t>
      </w:r>
      <w:r>
        <w:rPr>
          <w:smallCaps/>
          <w:spacing w:val="-15"/>
        </w:rPr>
        <w:t xml:space="preserve"> </w:t>
      </w:r>
      <w:r>
        <w:rPr>
          <w:smallCaps/>
        </w:rPr>
        <w:t>–</w:t>
      </w:r>
      <w:r>
        <w:rPr>
          <w:smallCaps/>
          <w:spacing w:val="-15"/>
        </w:rPr>
        <w:t xml:space="preserve"> </w:t>
      </w:r>
      <w:r>
        <w:rPr>
          <w:smallCaps/>
        </w:rPr>
        <w:t>Standardized</w:t>
      </w:r>
      <w:r>
        <w:rPr>
          <w:smallCaps/>
          <w:spacing w:val="-15"/>
        </w:rPr>
        <w:t xml:space="preserve"> </w:t>
      </w:r>
      <w:r>
        <w:rPr>
          <w:smallCaps/>
        </w:rPr>
        <w:t>A/B</w:t>
      </w:r>
      <w:r>
        <w:rPr>
          <w:smallCaps/>
          <w:spacing w:val="-15"/>
        </w:rPr>
        <w:t xml:space="preserve"> </w:t>
      </w:r>
      <w:r>
        <w:rPr>
          <w:smallCaps/>
        </w:rPr>
        <w:t>Benchmark</w:t>
      </w:r>
      <w:r>
        <w:rPr>
          <w:smallCaps/>
          <w:spacing w:val="-14"/>
        </w:rPr>
        <w:t xml:space="preserve"> </w:t>
      </w:r>
      <w:r>
        <w:rPr>
          <w:smallCaps/>
        </w:rPr>
        <w:t>–</w:t>
      </w:r>
      <w:r>
        <w:rPr>
          <w:smallCaps/>
          <w:spacing w:val="-15"/>
        </w:rPr>
        <w:t xml:space="preserve"> </w:t>
      </w:r>
      <w:r>
        <w:rPr>
          <w:smallCaps/>
        </w:rPr>
        <w:t>Regional</w:t>
      </w:r>
      <w:r>
        <w:rPr>
          <w:smallCaps/>
          <w:spacing w:val="-15"/>
        </w:rPr>
        <w:t xml:space="preserve"> </w:t>
      </w:r>
      <w:r>
        <w:rPr>
          <w:smallCaps/>
        </w:rPr>
        <w:t>PPO</w:t>
      </w:r>
      <w:r>
        <w:rPr>
          <w:smallCaps/>
          <w:spacing w:val="-14"/>
        </w:rPr>
        <w:t xml:space="preserve"> </w:t>
      </w:r>
      <w:r>
        <w:rPr>
          <w:smallCaps/>
        </w:rPr>
        <w:t>Plans</w:t>
      </w:r>
      <w:r>
        <w:rPr>
          <w:smallCaps/>
          <w:spacing w:val="-11"/>
        </w:rPr>
        <w:t xml:space="preserve"> </w:t>
      </w:r>
      <w:r>
        <w:rPr>
          <w:smallCaps/>
          <w:spacing w:val="-4"/>
        </w:rPr>
        <w:t>Only</w:t>
      </w:r>
    </w:p>
    <w:p>
      <w:pPr>
        <w:pStyle w:val="BodyText"/>
        <w:spacing w:before="179"/>
      </w:pPr>
      <w:r>
        <w:t>This</w:t>
      </w:r>
      <w:r>
        <w:rPr>
          <w:spacing w:val="-5"/>
        </w:rPr>
        <w:t xml:space="preserve"> </w:t>
      </w:r>
      <w:r>
        <w:t>section</w:t>
      </w:r>
      <w:r>
        <w:rPr>
          <w:spacing w:val="-1"/>
        </w:rPr>
        <w:t xml:space="preserve"> </w:t>
      </w:r>
      <w:r>
        <w:t>calculates</w:t>
      </w:r>
      <w:r>
        <w:rPr>
          <w:spacing w:val="-2"/>
        </w:rPr>
        <w:t xml:space="preserve"> </w:t>
      </w:r>
      <w:r>
        <w:t>the</w:t>
      </w:r>
      <w:r>
        <w:rPr>
          <w:spacing w:val="-2"/>
        </w:rPr>
        <w:t xml:space="preserve"> </w:t>
      </w:r>
      <w:r>
        <w:t>standardized</w:t>
      </w:r>
      <w:r>
        <w:rPr>
          <w:spacing w:val="-1"/>
        </w:rPr>
        <w:t xml:space="preserve"> </w:t>
      </w:r>
      <w:r>
        <w:t>A/B</w:t>
      </w:r>
      <w:r>
        <w:rPr>
          <w:spacing w:val="-2"/>
        </w:rPr>
        <w:t xml:space="preserve"> </w:t>
      </w:r>
      <w:r>
        <w:t>benchmark</w:t>
      </w:r>
      <w:r>
        <w:rPr>
          <w:spacing w:val="-1"/>
        </w:rPr>
        <w:t xml:space="preserve"> </w:t>
      </w:r>
      <w:r>
        <w:t>for</w:t>
      </w:r>
      <w:r>
        <w:rPr>
          <w:spacing w:val="-3"/>
        </w:rPr>
        <w:t xml:space="preserve"> </w:t>
      </w:r>
      <w:r>
        <w:t>regional</w:t>
      </w:r>
      <w:r>
        <w:rPr>
          <w:spacing w:val="-1"/>
        </w:rPr>
        <w:t xml:space="preserve"> </w:t>
      </w:r>
      <w:r>
        <w:t>PPO</w:t>
      </w:r>
      <w:r>
        <w:rPr>
          <w:spacing w:val="-2"/>
        </w:rPr>
        <w:t xml:space="preserve"> plans.</w:t>
      </w:r>
    </w:p>
    <w:p>
      <w:pPr>
        <w:spacing w:before="241"/>
        <w:ind w:left="504" w:right="0" w:firstLine="0"/>
        <w:jc w:val="left"/>
        <w:rPr>
          <w:rFonts w:ascii="Arial" w:hAnsi="Arial"/>
          <w:b/>
          <w:sz w:val="21"/>
        </w:rPr>
      </w:pPr>
      <w:bookmarkStart w:id="236" w:name="Line 1 – Statutory Component for Region"/>
      <w:bookmarkEnd w:id="236"/>
      <w:r>
        <w:rPr>
          <w:rFonts w:ascii="Arial" w:hAnsi="Arial"/>
          <w:b/>
          <w:sz w:val="21"/>
        </w:rPr>
        <w:t>Line</w:t>
      </w:r>
      <w:r>
        <w:rPr>
          <w:rFonts w:ascii="Arial" w:hAnsi="Arial"/>
          <w:b/>
          <w:spacing w:val="-6"/>
          <w:sz w:val="21"/>
        </w:rPr>
        <w:t xml:space="preserve"> </w:t>
      </w:r>
      <w:r>
        <w:rPr>
          <w:rFonts w:ascii="Arial" w:hAnsi="Arial"/>
          <w:b/>
          <w:sz w:val="21"/>
        </w:rPr>
        <w:t>1</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Statutory</w:t>
      </w:r>
      <w:r>
        <w:rPr>
          <w:rFonts w:ascii="Arial" w:hAnsi="Arial"/>
          <w:b/>
          <w:spacing w:val="-5"/>
          <w:sz w:val="21"/>
        </w:rPr>
        <w:t xml:space="preserve"> </w:t>
      </w:r>
      <w:r>
        <w:rPr>
          <w:rFonts w:ascii="Arial" w:hAnsi="Arial"/>
          <w:b/>
          <w:sz w:val="21"/>
        </w:rPr>
        <w:t>Component</w:t>
      </w:r>
      <w:r>
        <w:rPr>
          <w:rFonts w:ascii="Arial" w:hAnsi="Arial"/>
          <w:b/>
          <w:spacing w:val="-4"/>
          <w:sz w:val="21"/>
        </w:rPr>
        <w:t xml:space="preserve"> </w:t>
      </w:r>
      <w:r>
        <w:rPr>
          <w:rFonts w:ascii="Arial" w:hAnsi="Arial"/>
          <w:b/>
          <w:sz w:val="21"/>
        </w:rPr>
        <w:t>for</w:t>
      </w:r>
      <w:r>
        <w:rPr>
          <w:rFonts w:ascii="Arial" w:hAnsi="Arial"/>
          <w:b/>
          <w:spacing w:val="-5"/>
          <w:sz w:val="21"/>
        </w:rPr>
        <w:t xml:space="preserve"> </w:t>
      </w:r>
      <w:r>
        <w:rPr>
          <w:rFonts w:ascii="Arial" w:hAnsi="Arial"/>
          <w:b/>
          <w:spacing w:val="-2"/>
          <w:sz w:val="21"/>
        </w:rPr>
        <w:t>Region</w:t>
      </w:r>
    </w:p>
    <w:p>
      <w:pPr>
        <w:pStyle w:val="BodyText"/>
        <w:spacing w:before="118"/>
        <w:ind w:right="2212"/>
      </w:pPr>
      <w:r>
        <w:t>The</w:t>
      </w:r>
      <w:r>
        <w:rPr>
          <w:spacing w:val="-5"/>
        </w:rPr>
        <w:t xml:space="preserve"> </w:t>
      </w:r>
      <w:r>
        <w:t>PMPM</w:t>
      </w:r>
      <w:r>
        <w:rPr>
          <w:spacing w:val="-4"/>
        </w:rPr>
        <w:t xml:space="preserve"> </w:t>
      </w:r>
      <w:r>
        <w:t>amount,</w:t>
      </w:r>
      <w:r>
        <w:rPr>
          <w:spacing w:val="-3"/>
        </w:rPr>
        <w:t xml:space="preserve"> </w:t>
      </w:r>
      <w:r>
        <w:t>defined</w:t>
      </w:r>
      <w:r>
        <w:rPr>
          <w:spacing w:val="-3"/>
        </w:rPr>
        <w:t xml:space="preserve"> </w:t>
      </w:r>
      <w:r>
        <w:t>by</w:t>
      </w:r>
      <w:r>
        <w:rPr>
          <w:spacing w:val="-3"/>
        </w:rPr>
        <w:t xml:space="preserve"> </w:t>
      </w:r>
      <w:r>
        <w:t>region,</w:t>
      </w:r>
      <w:r>
        <w:rPr>
          <w:spacing w:val="-3"/>
        </w:rPr>
        <w:t xml:space="preserve"> </w:t>
      </w:r>
      <w:r>
        <w:t>is</w:t>
      </w:r>
      <w:r>
        <w:rPr>
          <w:spacing w:val="-4"/>
        </w:rPr>
        <w:t xml:space="preserve"> </w:t>
      </w:r>
      <w:r>
        <w:t>pre-populated</w:t>
      </w:r>
      <w:r>
        <w:rPr>
          <w:spacing w:val="-3"/>
        </w:rPr>
        <w:t xml:space="preserve"> </w:t>
      </w:r>
      <w:r>
        <w:t>by</w:t>
      </w:r>
      <w:r>
        <w:rPr>
          <w:spacing w:val="-3"/>
        </w:rPr>
        <w:t xml:space="preserve"> </w:t>
      </w:r>
      <w:r>
        <w:t>CMS.</w:t>
      </w:r>
      <w:r>
        <w:rPr>
          <w:spacing w:val="-3"/>
        </w:rPr>
        <w:t xml:space="preserve"> </w:t>
      </w:r>
      <w:r>
        <w:t>The</w:t>
      </w:r>
      <w:r>
        <w:rPr>
          <w:spacing w:val="-4"/>
        </w:rPr>
        <w:t xml:space="preserve"> </w:t>
      </w:r>
      <w:r>
        <w:t>weighting</w:t>
      </w:r>
      <w:r>
        <w:rPr>
          <w:spacing w:val="-3"/>
        </w:rPr>
        <w:t xml:space="preserve"> </w:t>
      </w:r>
      <w:r>
        <w:t>is</w:t>
      </w:r>
      <w:r>
        <w:rPr>
          <w:spacing w:val="-4"/>
        </w:rPr>
        <w:t xml:space="preserve"> </w:t>
      </w:r>
      <w:r>
        <w:t>also pre-populated in the BPT by CMS.</w:t>
      </w:r>
    </w:p>
    <w:p>
      <w:pPr>
        <w:spacing w:before="241"/>
        <w:ind w:left="504" w:right="0" w:firstLine="0"/>
        <w:jc w:val="left"/>
        <w:rPr>
          <w:rFonts w:ascii="Arial" w:hAnsi="Arial"/>
          <w:b/>
          <w:sz w:val="21"/>
        </w:rPr>
      </w:pPr>
      <w:bookmarkStart w:id="237" w:name="Line 2 – Plan Bid Component"/>
      <w:bookmarkEnd w:id="237"/>
      <w:r>
        <w:rPr>
          <w:rFonts w:ascii="Arial" w:hAnsi="Arial"/>
          <w:b/>
          <w:sz w:val="21"/>
        </w:rPr>
        <w:t>Line</w:t>
      </w:r>
      <w:r>
        <w:rPr>
          <w:rFonts w:ascii="Arial" w:hAnsi="Arial"/>
          <w:b/>
          <w:spacing w:val="-3"/>
          <w:sz w:val="21"/>
        </w:rPr>
        <w:t xml:space="preserve"> </w:t>
      </w:r>
      <w:r>
        <w:rPr>
          <w:rFonts w:ascii="Arial" w:hAnsi="Arial"/>
          <w:b/>
          <w:sz w:val="21"/>
        </w:rPr>
        <w:t>2</w:t>
      </w:r>
      <w:r>
        <w:rPr>
          <w:rFonts w:ascii="Arial" w:hAnsi="Arial"/>
          <w:b/>
          <w:spacing w:val="-4"/>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4"/>
          <w:sz w:val="21"/>
        </w:rPr>
        <w:t xml:space="preserve"> </w:t>
      </w:r>
      <w:r>
        <w:rPr>
          <w:rFonts w:ascii="Arial" w:hAnsi="Arial"/>
          <w:b/>
          <w:sz w:val="21"/>
        </w:rPr>
        <w:t>Bid</w:t>
      </w:r>
      <w:r>
        <w:rPr>
          <w:rFonts w:ascii="Arial" w:hAnsi="Arial"/>
          <w:b/>
          <w:spacing w:val="-2"/>
          <w:sz w:val="21"/>
        </w:rPr>
        <w:t xml:space="preserve"> Component</w:t>
      </w:r>
    </w:p>
    <w:p>
      <w:pPr>
        <w:pStyle w:val="BodyText"/>
        <w:spacing w:before="120"/>
        <w:ind w:right="1481"/>
      </w:pPr>
      <w:r>
        <w:t>The</w:t>
      </w:r>
      <w:r>
        <w:rPr>
          <w:spacing w:val="-5"/>
        </w:rPr>
        <w:t xml:space="preserve"> </w:t>
      </w:r>
      <w:r>
        <w:t>plan</w:t>
      </w:r>
      <w:r>
        <w:rPr>
          <w:spacing w:val="-3"/>
        </w:rPr>
        <w:t xml:space="preserve"> </w:t>
      </w:r>
      <w:r>
        <w:t>bid</w:t>
      </w:r>
      <w:r>
        <w:rPr>
          <w:spacing w:val="-3"/>
        </w:rPr>
        <w:t xml:space="preserve"> </w:t>
      </w:r>
      <w:r>
        <w:t>component</w:t>
      </w:r>
      <w:r>
        <w:rPr>
          <w:spacing w:val="-1"/>
        </w:rPr>
        <w:t xml:space="preserve"> </w:t>
      </w:r>
      <w:r>
        <w:t>of</w:t>
      </w:r>
      <w:r>
        <w:rPr>
          <w:spacing w:val="-3"/>
        </w:rPr>
        <w:t xml:space="preserve"> </w:t>
      </w:r>
      <w:r>
        <w:t>the</w:t>
      </w:r>
      <w:r>
        <w:rPr>
          <w:spacing w:val="-5"/>
        </w:rPr>
        <w:t xml:space="preserve"> </w:t>
      </w:r>
      <w:r>
        <w:t>MA</w:t>
      </w:r>
      <w:r>
        <w:rPr>
          <w:spacing w:val="-4"/>
        </w:rPr>
        <w:t xml:space="preserve"> </w:t>
      </w:r>
      <w:r>
        <w:t>regional</w:t>
      </w:r>
      <w:r>
        <w:rPr>
          <w:spacing w:val="-3"/>
        </w:rPr>
        <w:t xml:space="preserve"> </w:t>
      </w:r>
      <w:r>
        <w:t>PPO</w:t>
      </w:r>
      <w:r>
        <w:rPr>
          <w:spacing w:val="-4"/>
        </w:rPr>
        <w:t xml:space="preserve"> </w:t>
      </w:r>
      <w:r>
        <w:t>benchmark</w:t>
      </w:r>
      <w:r>
        <w:rPr>
          <w:spacing w:val="-3"/>
        </w:rPr>
        <w:t xml:space="preserve"> </w:t>
      </w:r>
      <w:r>
        <w:t>will</w:t>
      </w:r>
      <w:r>
        <w:rPr>
          <w:spacing w:val="-3"/>
        </w:rPr>
        <w:t xml:space="preserve"> </w:t>
      </w:r>
      <w:r>
        <w:t>be</w:t>
      </w:r>
      <w:r>
        <w:rPr>
          <w:spacing w:val="-2"/>
        </w:rPr>
        <w:t xml:space="preserve"> </w:t>
      </w:r>
      <w:r>
        <w:t>announced</w:t>
      </w:r>
      <w:r>
        <w:rPr>
          <w:spacing w:val="-3"/>
        </w:rPr>
        <w:t xml:space="preserve"> </w:t>
      </w:r>
      <w:r>
        <w:t>by</w:t>
      </w:r>
      <w:r>
        <w:rPr>
          <w:spacing w:val="-3"/>
        </w:rPr>
        <w:t xml:space="preserve"> </w:t>
      </w:r>
      <w:r>
        <w:t>CMS</w:t>
      </w:r>
      <w:r>
        <w:rPr>
          <w:spacing w:val="-3"/>
        </w:rPr>
        <w:t xml:space="preserve"> </w:t>
      </w:r>
      <w:r>
        <w:t>after the bids are submitted. It will likely be announced at the same time that the Part D national average monthly bid amount is announced (typically in July).</w:t>
      </w:r>
    </w:p>
    <w:p>
      <w:pPr>
        <w:pStyle w:val="BodyText"/>
        <w:spacing w:before="121"/>
      </w:pPr>
      <w:r>
        <w:t>MAOs</w:t>
      </w:r>
      <w:r>
        <w:rPr>
          <w:spacing w:val="-2"/>
        </w:rPr>
        <w:t xml:space="preserve"> </w:t>
      </w:r>
      <w:r>
        <w:t>may</w:t>
      </w:r>
      <w:r>
        <w:rPr>
          <w:spacing w:val="-1"/>
        </w:rPr>
        <w:t xml:space="preserve"> </w:t>
      </w:r>
      <w:r>
        <w:t>input an</w:t>
      </w:r>
      <w:r>
        <w:rPr>
          <w:spacing w:val="-1"/>
        </w:rPr>
        <w:t xml:space="preserve"> </w:t>
      </w:r>
      <w:r>
        <w:t>estimated average regional</w:t>
      </w:r>
      <w:r>
        <w:rPr>
          <w:spacing w:val="1"/>
        </w:rPr>
        <w:t xml:space="preserve"> </w:t>
      </w:r>
      <w:r>
        <w:t>PPO</w:t>
      </w:r>
      <w:r>
        <w:rPr>
          <w:spacing w:val="-1"/>
        </w:rPr>
        <w:t xml:space="preserve"> </w:t>
      </w:r>
      <w:r>
        <w:t>bid</w:t>
      </w:r>
      <w:r>
        <w:rPr>
          <w:spacing w:val="-1"/>
        </w:rPr>
        <w:t xml:space="preserve"> </w:t>
      </w:r>
      <w:r>
        <w:t>amount in</w:t>
      </w:r>
      <w:r>
        <w:rPr>
          <w:spacing w:val="-1"/>
        </w:rPr>
        <w:t xml:space="preserve"> </w:t>
      </w:r>
      <w:r>
        <w:t>their</w:t>
      </w:r>
      <w:r>
        <w:rPr>
          <w:spacing w:val="-1"/>
        </w:rPr>
        <w:t xml:space="preserve"> </w:t>
      </w:r>
      <w:r>
        <w:t>initial</w:t>
      </w:r>
      <w:r>
        <w:rPr>
          <w:spacing w:val="-1"/>
        </w:rPr>
        <w:t xml:space="preserve"> </w:t>
      </w:r>
      <w:r>
        <w:t xml:space="preserve">bid </w:t>
      </w:r>
      <w:r>
        <w:rPr>
          <w:spacing w:val="-2"/>
        </w:rPr>
        <w:t>submission.</w:t>
      </w:r>
    </w:p>
    <w:p>
      <w:pPr>
        <w:pStyle w:val="BodyText"/>
        <w:spacing w:before="120"/>
        <w:ind w:right="1524"/>
      </w:pPr>
      <w:r>
        <w:t>For bids that are submitted prior to the announcement of the regional PPO bid averages, there are two options for completing this field: (i) leave the cell blank, in which case the plan’s submitted</w:t>
      </w:r>
      <w:r>
        <w:rPr>
          <w:spacing w:val="-3"/>
        </w:rPr>
        <w:t xml:space="preserve"> </w:t>
      </w:r>
      <w:r>
        <w:t>standardized</w:t>
      </w:r>
      <w:r>
        <w:rPr>
          <w:spacing w:val="-2"/>
        </w:rPr>
        <w:t xml:space="preserve"> </w:t>
      </w:r>
      <w:r>
        <w:t>bid</w:t>
      </w:r>
      <w:r>
        <w:rPr>
          <w:spacing w:val="-2"/>
        </w:rPr>
        <w:t xml:space="preserve"> </w:t>
      </w:r>
      <w:r>
        <w:t>(Section</w:t>
      </w:r>
      <w:r>
        <w:rPr>
          <w:spacing w:val="-2"/>
        </w:rPr>
        <w:t xml:space="preserve"> </w:t>
      </w:r>
      <w:r>
        <w:t>II,</w:t>
      </w:r>
      <w:r>
        <w:rPr>
          <w:spacing w:val="-2"/>
        </w:rPr>
        <w:t xml:space="preserve"> </w:t>
      </w:r>
      <w:r>
        <w:t>line</w:t>
      </w:r>
      <w:r>
        <w:rPr>
          <w:spacing w:val="-3"/>
        </w:rPr>
        <w:t xml:space="preserve"> </w:t>
      </w:r>
      <w:r>
        <w:t>8)</w:t>
      </w:r>
      <w:r>
        <w:rPr>
          <w:spacing w:val="-2"/>
        </w:rPr>
        <w:t xml:space="preserve"> </w:t>
      </w:r>
      <w:r>
        <w:t>is</w:t>
      </w:r>
      <w:r>
        <w:rPr>
          <w:spacing w:val="-3"/>
        </w:rPr>
        <w:t xml:space="preserve"> </w:t>
      </w:r>
      <w:r>
        <w:t>used</w:t>
      </w:r>
      <w:r>
        <w:rPr>
          <w:spacing w:val="-2"/>
        </w:rPr>
        <w:t xml:space="preserve"> </w:t>
      </w:r>
      <w:r>
        <w:t>as</w:t>
      </w:r>
      <w:r>
        <w:rPr>
          <w:spacing w:val="-3"/>
        </w:rPr>
        <w:t xml:space="preserve"> </w:t>
      </w:r>
      <w:r>
        <w:t>the</w:t>
      </w:r>
      <w:r>
        <w:rPr>
          <w:spacing w:val="-2"/>
        </w:rPr>
        <w:t xml:space="preserve"> </w:t>
      </w:r>
      <w:r>
        <w:t>plan</w:t>
      </w:r>
      <w:r>
        <w:rPr>
          <w:spacing w:val="-2"/>
        </w:rPr>
        <w:t xml:space="preserve"> </w:t>
      </w:r>
      <w:r>
        <w:t>bid</w:t>
      </w:r>
      <w:r>
        <w:rPr>
          <w:spacing w:val="-2"/>
        </w:rPr>
        <w:t xml:space="preserve"> </w:t>
      </w:r>
      <w:r>
        <w:t>component,</w:t>
      </w:r>
      <w:r>
        <w:rPr>
          <w:spacing w:val="-2"/>
        </w:rPr>
        <w:t xml:space="preserve"> </w:t>
      </w:r>
      <w:r>
        <w:t>or</w:t>
      </w:r>
      <w:r>
        <w:rPr>
          <w:spacing w:val="-2"/>
        </w:rPr>
        <w:t xml:space="preserve"> </w:t>
      </w:r>
      <w:r>
        <w:t>(ii)</w:t>
      </w:r>
      <w:r>
        <w:rPr>
          <w:spacing w:val="-2"/>
        </w:rPr>
        <w:t xml:space="preserve"> </w:t>
      </w:r>
      <w:r>
        <w:t>input</w:t>
      </w:r>
      <w:r>
        <w:rPr>
          <w:spacing w:val="-2"/>
        </w:rPr>
        <w:t xml:space="preserve"> </w:t>
      </w:r>
      <w:r>
        <w:t>a reasonable estimate of the average regional PPO bid for the region. The MA regional PPO announcement includes the weighted-average MA regional PPO bid for each region. MAOs will be instructed at the time of the announcement to submit revised regional PPO MA BPTs with</w:t>
      </w:r>
      <w:r>
        <w:rPr>
          <w:spacing w:val="-2"/>
        </w:rPr>
        <w:t xml:space="preserve"> </w:t>
      </w:r>
      <w:r>
        <w:t>the</w:t>
      </w:r>
      <w:r>
        <w:rPr>
          <w:spacing w:val="-3"/>
        </w:rPr>
        <w:t xml:space="preserve"> </w:t>
      </w:r>
      <w:r>
        <w:t>applicable</w:t>
      </w:r>
      <w:r>
        <w:rPr>
          <w:spacing w:val="-2"/>
        </w:rPr>
        <w:t xml:space="preserve"> </w:t>
      </w:r>
      <w:r>
        <w:t>average</w:t>
      </w:r>
      <w:r>
        <w:rPr>
          <w:spacing w:val="-2"/>
        </w:rPr>
        <w:t xml:space="preserve"> </w:t>
      </w:r>
      <w:r>
        <w:t>regional</w:t>
      </w:r>
      <w:r>
        <w:rPr>
          <w:spacing w:val="-3"/>
        </w:rPr>
        <w:t xml:space="preserve"> </w:t>
      </w:r>
      <w:r>
        <w:t>PPO</w:t>
      </w:r>
      <w:r>
        <w:rPr>
          <w:spacing w:val="-3"/>
        </w:rPr>
        <w:t xml:space="preserve"> </w:t>
      </w:r>
      <w:r>
        <w:t>bid</w:t>
      </w:r>
      <w:r>
        <w:rPr>
          <w:spacing w:val="-2"/>
        </w:rPr>
        <w:t xml:space="preserve"> </w:t>
      </w:r>
      <w:r>
        <w:t>amount</w:t>
      </w:r>
      <w:r>
        <w:rPr>
          <w:spacing w:val="-2"/>
        </w:rPr>
        <w:t xml:space="preserve"> </w:t>
      </w:r>
      <w:r>
        <w:t>entered</w:t>
      </w:r>
      <w:r>
        <w:rPr>
          <w:spacing w:val="-2"/>
        </w:rPr>
        <w:t xml:space="preserve"> </w:t>
      </w:r>
      <w:r>
        <w:t>in</w:t>
      </w:r>
      <w:r>
        <w:rPr>
          <w:spacing w:val="-2"/>
        </w:rPr>
        <w:t xml:space="preserve"> </w:t>
      </w:r>
      <w:r>
        <w:t>line</w:t>
      </w:r>
      <w:r>
        <w:rPr>
          <w:spacing w:val="-2"/>
        </w:rPr>
        <w:t xml:space="preserve"> </w:t>
      </w:r>
      <w:r>
        <w:t>2.</w:t>
      </w:r>
      <w:r>
        <w:rPr>
          <w:spacing w:val="-2"/>
        </w:rPr>
        <w:t xml:space="preserve"> </w:t>
      </w:r>
      <w:r>
        <w:t>Any changes</w:t>
      </w:r>
      <w:r>
        <w:rPr>
          <w:spacing w:val="-3"/>
        </w:rPr>
        <w:t xml:space="preserve"> </w:t>
      </w:r>
      <w:r>
        <w:t>in</w:t>
      </w:r>
      <w:r>
        <w:rPr>
          <w:spacing w:val="-2"/>
        </w:rPr>
        <w:t xml:space="preserve"> </w:t>
      </w:r>
      <w:r>
        <w:t>rebates due to the actual plan bid component must be reallocated at the same time. Appendix E contains additional guidance regarding the rebate reallocation period.</w:t>
      </w:r>
    </w:p>
    <w:p>
      <w:pPr>
        <w:spacing w:before="241"/>
        <w:ind w:left="504" w:right="0" w:firstLine="0"/>
        <w:jc w:val="left"/>
        <w:rPr>
          <w:rFonts w:ascii="Arial" w:hAnsi="Arial"/>
          <w:b/>
          <w:sz w:val="21"/>
        </w:rPr>
      </w:pPr>
      <w:bookmarkStart w:id="238" w:name="Line 3 – Standardized A/B Benchmark"/>
      <w:bookmarkEnd w:id="238"/>
      <w:r>
        <w:rPr>
          <w:rFonts w:ascii="Arial" w:hAnsi="Arial"/>
          <w:b/>
          <w:sz w:val="21"/>
        </w:rPr>
        <w:t>Line</w:t>
      </w:r>
      <w:r>
        <w:rPr>
          <w:rFonts w:ascii="Arial" w:hAnsi="Arial"/>
          <w:b/>
          <w:spacing w:val="-5"/>
          <w:sz w:val="21"/>
        </w:rPr>
        <w:t xml:space="preserve"> </w:t>
      </w:r>
      <w:r>
        <w:rPr>
          <w:rFonts w:ascii="Arial" w:hAnsi="Arial"/>
          <w:b/>
          <w:sz w:val="21"/>
        </w:rPr>
        <w:t>3</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Standardized</w:t>
      </w:r>
      <w:r>
        <w:rPr>
          <w:rFonts w:ascii="Arial" w:hAnsi="Arial"/>
          <w:b/>
          <w:spacing w:val="-6"/>
          <w:sz w:val="21"/>
        </w:rPr>
        <w:t xml:space="preserve"> </w:t>
      </w:r>
      <w:r>
        <w:rPr>
          <w:rFonts w:ascii="Arial" w:hAnsi="Arial"/>
          <w:b/>
          <w:sz w:val="21"/>
        </w:rPr>
        <w:t>A/B</w:t>
      </w:r>
      <w:r>
        <w:rPr>
          <w:rFonts w:ascii="Arial" w:hAnsi="Arial"/>
          <w:b/>
          <w:spacing w:val="-3"/>
          <w:sz w:val="21"/>
        </w:rPr>
        <w:t xml:space="preserve"> </w:t>
      </w:r>
      <w:r>
        <w:rPr>
          <w:rFonts w:ascii="Arial" w:hAnsi="Arial"/>
          <w:b/>
          <w:spacing w:val="-2"/>
          <w:sz w:val="21"/>
        </w:rPr>
        <w:t>Benchmark</w:t>
      </w:r>
    </w:p>
    <w:p>
      <w:pPr>
        <w:pStyle w:val="BodyText"/>
        <w:spacing w:before="120"/>
        <w:ind w:right="1492"/>
      </w:pPr>
      <w:r>
        <w:t>This</w:t>
      </w:r>
      <w:r>
        <w:rPr>
          <w:spacing w:val="-3"/>
        </w:rPr>
        <w:t xml:space="preserve"> </w:t>
      </w:r>
      <w:r>
        <w:t>line</w:t>
      </w:r>
      <w:r>
        <w:rPr>
          <w:spacing w:val="-2"/>
        </w:rPr>
        <w:t xml:space="preserve"> </w:t>
      </w:r>
      <w:r>
        <w:t>is</w:t>
      </w:r>
      <w:r>
        <w:rPr>
          <w:spacing w:val="-3"/>
        </w:rPr>
        <w:t xml:space="preserve"> </w:t>
      </w:r>
      <w:r>
        <w:t>calculated</w:t>
      </w:r>
      <w:r>
        <w:rPr>
          <w:spacing w:val="-2"/>
        </w:rPr>
        <w:t xml:space="preserve"> </w:t>
      </w:r>
      <w:r>
        <w:t>as the</w:t>
      </w:r>
      <w:r>
        <w:rPr>
          <w:spacing w:val="-2"/>
        </w:rPr>
        <w:t xml:space="preserve"> </w:t>
      </w:r>
      <w:r>
        <w:t>weighted</w:t>
      </w:r>
      <w:r>
        <w:rPr>
          <w:spacing w:val="-2"/>
        </w:rPr>
        <w:t xml:space="preserve"> </w:t>
      </w:r>
      <w:r>
        <w:t>average</w:t>
      </w:r>
      <w:r>
        <w:rPr>
          <w:spacing w:val="-3"/>
        </w:rPr>
        <w:t xml:space="preserve"> </w:t>
      </w:r>
      <w:r>
        <w:t>of</w:t>
      </w:r>
      <w:r>
        <w:rPr>
          <w:spacing w:val="-2"/>
        </w:rPr>
        <w:t xml:space="preserve"> </w:t>
      </w:r>
      <w:r>
        <w:t>lines</w:t>
      </w:r>
      <w:r>
        <w:rPr>
          <w:spacing w:val="-3"/>
        </w:rPr>
        <w:t xml:space="preserve"> </w:t>
      </w:r>
      <w:r>
        <w:t>1</w:t>
      </w:r>
      <w:r>
        <w:rPr>
          <w:spacing w:val="-2"/>
        </w:rPr>
        <w:t xml:space="preserve"> </w:t>
      </w:r>
      <w:r>
        <w:t>and</w:t>
      </w:r>
      <w:r>
        <w:rPr>
          <w:spacing w:val="-2"/>
        </w:rPr>
        <w:t xml:space="preserve"> </w:t>
      </w:r>
      <w:r>
        <w:t>2</w:t>
      </w:r>
      <w:r>
        <w:rPr>
          <w:spacing w:val="-2"/>
        </w:rPr>
        <w:t xml:space="preserve"> </w:t>
      </w:r>
      <w:r>
        <w:t>(if</w:t>
      </w:r>
      <w:r>
        <w:rPr>
          <w:spacing w:val="-2"/>
        </w:rPr>
        <w:t xml:space="preserve"> </w:t>
      </w:r>
      <w:r>
        <w:t>line</w:t>
      </w:r>
      <w:r>
        <w:rPr>
          <w:spacing w:val="-3"/>
        </w:rPr>
        <w:t xml:space="preserve"> </w:t>
      </w:r>
      <w:r>
        <w:t>2</w:t>
      </w:r>
      <w:r>
        <w:rPr>
          <w:spacing w:val="-2"/>
        </w:rPr>
        <w:t xml:space="preserve"> </w:t>
      </w:r>
      <w:r>
        <w:t>has a</w:t>
      </w:r>
      <w:r>
        <w:rPr>
          <w:spacing w:val="-3"/>
        </w:rPr>
        <w:t xml:space="preserve"> </w:t>
      </w:r>
      <w:r>
        <w:t>value</w:t>
      </w:r>
      <w:r>
        <w:rPr>
          <w:spacing w:val="-2"/>
        </w:rPr>
        <w:t xml:space="preserve"> </w:t>
      </w:r>
      <w:r>
        <w:t>entered). If line</w:t>
      </w:r>
      <w:r>
        <w:rPr>
          <w:spacing w:val="-1"/>
        </w:rPr>
        <w:t xml:space="preserve"> </w:t>
      </w:r>
      <w:r>
        <w:t>2 does</w:t>
      </w:r>
      <w:r>
        <w:rPr>
          <w:spacing w:val="-1"/>
        </w:rPr>
        <w:t xml:space="preserve"> </w:t>
      </w:r>
      <w:r>
        <w:t>not have</w:t>
      </w:r>
      <w:r>
        <w:rPr>
          <w:spacing w:val="-1"/>
        </w:rPr>
        <w:t xml:space="preserve"> </w:t>
      </w:r>
      <w:r>
        <w:t>a</w:t>
      </w:r>
      <w:r>
        <w:rPr>
          <w:spacing w:val="-1"/>
        </w:rPr>
        <w:t xml:space="preserve"> </w:t>
      </w:r>
      <w:r>
        <w:t>value entered (that is, if</w:t>
      </w:r>
      <w:r>
        <w:rPr>
          <w:spacing w:val="-1"/>
        </w:rPr>
        <w:t xml:space="preserve"> </w:t>
      </w:r>
      <w:r>
        <w:t>the MAO</w:t>
      </w:r>
      <w:r>
        <w:rPr>
          <w:spacing w:val="-1"/>
        </w:rPr>
        <w:t xml:space="preserve"> </w:t>
      </w:r>
      <w:r>
        <w:t>has</w:t>
      </w:r>
      <w:r>
        <w:rPr>
          <w:spacing w:val="-1"/>
        </w:rPr>
        <w:t xml:space="preserve"> </w:t>
      </w:r>
      <w:r>
        <w:t>not entered an estimated value</w:t>
      </w:r>
      <w:r>
        <w:rPr>
          <w:spacing w:val="-1"/>
        </w:rPr>
        <w:t xml:space="preserve"> </w:t>
      </w:r>
      <w:r>
        <w:t xml:space="preserve">for a pre-announcement bid submission), the amount from Section II, line 8 is used in the </w:t>
      </w:r>
      <w:r>
        <w:rPr>
          <w:spacing w:val="-2"/>
        </w:rPr>
        <w:t>calculation.</w:t>
      </w:r>
    </w:p>
    <w:p>
      <w:pPr>
        <w:pStyle w:val="BodyText"/>
        <w:spacing w:before="45"/>
        <w:ind w:left="0"/>
      </w:pPr>
    </w:p>
    <w:p>
      <w:pPr>
        <w:pStyle w:val="Heading2"/>
      </w:pPr>
      <w:bookmarkStart w:id="239" w:name="Section V – Quality Rating"/>
      <w:bookmarkEnd w:id="239"/>
      <w:bookmarkStart w:id="240" w:name="_bookmark67"/>
      <w:bookmarkEnd w:id="240"/>
      <w:r>
        <w:rPr>
          <w:smallCaps/>
        </w:rPr>
        <w:t>Section</w:t>
      </w:r>
      <w:r>
        <w:rPr>
          <w:smallCaps/>
          <w:spacing w:val="-13"/>
        </w:rPr>
        <w:t xml:space="preserve"> </w:t>
      </w:r>
      <w:r>
        <w:rPr>
          <w:smallCaps/>
        </w:rPr>
        <w:t>V</w:t>
      </w:r>
      <w:r>
        <w:rPr>
          <w:smallCaps/>
          <w:spacing w:val="-15"/>
        </w:rPr>
        <w:t xml:space="preserve"> </w:t>
      </w:r>
      <w:r>
        <w:rPr>
          <w:smallCaps/>
        </w:rPr>
        <w:t>–</w:t>
      </w:r>
      <w:r>
        <w:rPr>
          <w:smallCaps/>
          <w:spacing w:val="-15"/>
        </w:rPr>
        <w:t xml:space="preserve"> </w:t>
      </w:r>
      <w:r>
        <w:rPr>
          <w:smallCaps/>
        </w:rPr>
        <w:t>Quality</w:t>
      </w:r>
      <w:r>
        <w:rPr>
          <w:smallCaps/>
          <w:spacing w:val="-7"/>
        </w:rPr>
        <w:t xml:space="preserve"> </w:t>
      </w:r>
      <w:r>
        <w:rPr>
          <w:smallCaps/>
          <w:spacing w:val="-2"/>
        </w:rPr>
        <w:t>Rating</w:t>
      </w:r>
    </w:p>
    <w:p>
      <w:pPr>
        <w:pStyle w:val="BodyText"/>
        <w:spacing w:before="177"/>
        <w:ind w:right="1481"/>
      </w:pPr>
      <w:r>
        <w:t>This section captures quality rating information released by CMS. See the “Affordable Care Act”</w:t>
      </w:r>
      <w:r>
        <w:rPr>
          <w:spacing w:val="-3"/>
        </w:rPr>
        <w:t xml:space="preserve"> </w:t>
      </w:r>
      <w:r>
        <w:t>pricing</w:t>
      </w:r>
      <w:r>
        <w:rPr>
          <w:spacing w:val="-3"/>
        </w:rPr>
        <w:t xml:space="preserve"> </w:t>
      </w:r>
      <w:r>
        <w:t>consideration</w:t>
      </w:r>
      <w:r>
        <w:rPr>
          <w:spacing w:val="-3"/>
        </w:rPr>
        <w:t xml:space="preserve"> </w:t>
      </w:r>
      <w:r>
        <w:t>for</w:t>
      </w:r>
      <w:r>
        <w:rPr>
          <w:spacing w:val="-5"/>
        </w:rPr>
        <w:t xml:space="preserve"> </w:t>
      </w:r>
      <w:r>
        <w:t>more</w:t>
      </w:r>
      <w:r>
        <w:rPr>
          <w:spacing w:val="-5"/>
        </w:rPr>
        <w:t xml:space="preserve"> </w:t>
      </w:r>
      <w:r>
        <w:t>information</w:t>
      </w:r>
      <w:r>
        <w:rPr>
          <w:spacing w:val="-3"/>
        </w:rPr>
        <w:t xml:space="preserve"> </w:t>
      </w:r>
      <w:r>
        <w:t>about</w:t>
      </w:r>
      <w:r>
        <w:rPr>
          <w:spacing w:val="-3"/>
        </w:rPr>
        <w:t xml:space="preserve"> </w:t>
      </w:r>
      <w:r>
        <w:t>QBP</w:t>
      </w:r>
      <w:r>
        <w:rPr>
          <w:spacing w:val="-3"/>
        </w:rPr>
        <w:t xml:space="preserve"> </w:t>
      </w:r>
      <w:r>
        <w:t>star</w:t>
      </w:r>
      <w:r>
        <w:rPr>
          <w:spacing w:val="-4"/>
        </w:rPr>
        <w:t xml:space="preserve"> </w:t>
      </w:r>
      <w:r>
        <w:t>ratings</w:t>
      </w:r>
      <w:r>
        <w:rPr>
          <w:spacing w:val="-4"/>
        </w:rPr>
        <w:t xml:space="preserve"> </w:t>
      </w:r>
      <w:r>
        <w:t>and</w:t>
      </w:r>
      <w:r>
        <w:rPr>
          <w:spacing w:val="-3"/>
        </w:rPr>
        <w:t xml:space="preserve"> </w:t>
      </w:r>
      <w:r>
        <w:t>rebate</w:t>
      </w:r>
      <w:r>
        <w:rPr>
          <w:spacing w:val="-3"/>
        </w:rPr>
        <w:t xml:space="preserve"> </w:t>
      </w:r>
      <w:r>
        <w:t>percentages.</w:t>
      </w:r>
    </w:p>
    <w:p>
      <w:pPr>
        <w:spacing w:before="241"/>
        <w:ind w:left="504" w:right="0" w:firstLine="0"/>
        <w:jc w:val="left"/>
        <w:rPr>
          <w:rFonts w:ascii="Arial" w:hAnsi="Arial"/>
          <w:b/>
          <w:sz w:val="21"/>
        </w:rPr>
      </w:pPr>
      <w:bookmarkStart w:id="241" w:name="Line 1 – Quality Bonus Rating (per CMS)"/>
      <w:bookmarkEnd w:id="241"/>
      <w:r>
        <w:rPr>
          <w:rFonts w:ascii="Arial" w:hAnsi="Arial"/>
          <w:b/>
          <w:sz w:val="21"/>
        </w:rPr>
        <w:t>Line</w:t>
      </w:r>
      <w:r>
        <w:rPr>
          <w:rFonts w:ascii="Arial" w:hAnsi="Arial"/>
          <w:b/>
          <w:spacing w:val="-5"/>
          <w:sz w:val="21"/>
        </w:rPr>
        <w:t xml:space="preserve"> </w:t>
      </w:r>
      <w:r>
        <w:rPr>
          <w:rFonts w:ascii="Arial" w:hAnsi="Arial"/>
          <w:b/>
          <w:sz w:val="21"/>
        </w:rPr>
        <w:t>1</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Quality</w:t>
      </w:r>
      <w:r>
        <w:rPr>
          <w:rFonts w:ascii="Arial" w:hAnsi="Arial"/>
          <w:b/>
          <w:spacing w:val="-4"/>
          <w:sz w:val="21"/>
        </w:rPr>
        <w:t xml:space="preserve"> </w:t>
      </w:r>
      <w:r>
        <w:rPr>
          <w:rFonts w:ascii="Arial" w:hAnsi="Arial"/>
          <w:b/>
          <w:sz w:val="21"/>
        </w:rPr>
        <w:t>Bonus</w:t>
      </w:r>
      <w:r>
        <w:rPr>
          <w:rFonts w:ascii="Arial" w:hAnsi="Arial"/>
          <w:b/>
          <w:spacing w:val="-4"/>
          <w:sz w:val="21"/>
        </w:rPr>
        <w:t xml:space="preserve"> </w:t>
      </w:r>
      <w:r>
        <w:rPr>
          <w:rFonts w:ascii="Arial" w:hAnsi="Arial"/>
          <w:b/>
          <w:sz w:val="21"/>
        </w:rPr>
        <w:t>Rating</w:t>
      </w:r>
      <w:r>
        <w:rPr>
          <w:rFonts w:ascii="Arial" w:hAnsi="Arial"/>
          <w:b/>
          <w:spacing w:val="-3"/>
          <w:sz w:val="21"/>
        </w:rPr>
        <w:t xml:space="preserve"> </w:t>
      </w:r>
      <w:r>
        <w:rPr>
          <w:rFonts w:ascii="Arial" w:hAnsi="Arial"/>
          <w:b/>
          <w:sz w:val="21"/>
        </w:rPr>
        <w:t>(per</w:t>
      </w:r>
      <w:r>
        <w:rPr>
          <w:rFonts w:ascii="Arial" w:hAnsi="Arial"/>
          <w:b/>
          <w:spacing w:val="-7"/>
          <w:sz w:val="21"/>
        </w:rPr>
        <w:t xml:space="preserve"> </w:t>
      </w:r>
      <w:r>
        <w:rPr>
          <w:rFonts w:ascii="Arial" w:hAnsi="Arial"/>
          <w:b/>
          <w:spacing w:val="-4"/>
          <w:sz w:val="21"/>
        </w:rPr>
        <w:t>CMS)</w:t>
      </w:r>
    </w:p>
    <w:p>
      <w:pPr>
        <w:pStyle w:val="BodyText"/>
        <w:spacing w:before="121"/>
        <w:ind w:right="1481"/>
      </w:pPr>
      <w:r>
        <w:t>Enter the numeric quality bonus rating (that is, QBP “star rating”) released by CMS for the contract (that is, a numeric value from “1.0” through “5.0”) or leave the cell blank. The value entered</w:t>
      </w:r>
      <w:r>
        <w:rPr>
          <w:spacing w:val="-3"/>
        </w:rPr>
        <w:t xml:space="preserve"> </w:t>
      </w:r>
      <w:r>
        <w:t>in</w:t>
      </w:r>
      <w:r>
        <w:rPr>
          <w:spacing w:val="-3"/>
        </w:rPr>
        <w:t xml:space="preserve"> </w:t>
      </w:r>
      <w:r>
        <w:t>the</w:t>
      </w:r>
      <w:r>
        <w:rPr>
          <w:spacing w:val="-4"/>
        </w:rPr>
        <w:t xml:space="preserve"> </w:t>
      </w:r>
      <w:r>
        <w:t>BPT</w:t>
      </w:r>
      <w:r>
        <w:rPr>
          <w:spacing w:val="-3"/>
        </w:rPr>
        <w:t xml:space="preserve"> </w:t>
      </w:r>
      <w:r>
        <w:t>will</w:t>
      </w:r>
      <w:r>
        <w:rPr>
          <w:spacing w:val="-3"/>
        </w:rPr>
        <w:t xml:space="preserve"> </w:t>
      </w:r>
      <w:r>
        <w:t>be</w:t>
      </w:r>
      <w:r>
        <w:rPr>
          <w:spacing w:val="-3"/>
        </w:rPr>
        <w:t xml:space="preserve"> </w:t>
      </w:r>
      <w:r>
        <w:t>validated</w:t>
      </w:r>
      <w:r>
        <w:rPr>
          <w:spacing w:val="-3"/>
        </w:rPr>
        <w:t xml:space="preserve"> </w:t>
      </w:r>
      <w:r>
        <w:t>upon</w:t>
      </w:r>
      <w:r>
        <w:rPr>
          <w:spacing w:val="-3"/>
        </w:rPr>
        <w:t xml:space="preserve"> </w:t>
      </w:r>
      <w:r>
        <w:t>upload.</w:t>
      </w:r>
      <w:r>
        <w:rPr>
          <w:spacing w:val="-1"/>
        </w:rPr>
        <w:t xml:space="preserve"> </w:t>
      </w:r>
      <w:r>
        <w:t>(That</w:t>
      </w:r>
      <w:r>
        <w:rPr>
          <w:spacing w:val="-3"/>
        </w:rPr>
        <w:t xml:space="preserve"> </w:t>
      </w:r>
      <w:r>
        <w:t>is,</w:t>
      </w:r>
      <w:r>
        <w:rPr>
          <w:spacing w:val="-3"/>
        </w:rPr>
        <w:t xml:space="preserve"> </w:t>
      </w:r>
      <w:r>
        <w:t>if</w:t>
      </w:r>
      <w:r>
        <w:rPr>
          <w:spacing w:val="-3"/>
        </w:rPr>
        <w:t xml:space="preserve"> </w:t>
      </w:r>
      <w:r>
        <w:t>the</w:t>
      </w:r>
      <w:r>
        <w:rPr>
          <w:spacing w:val="-4"/>
        </w:rPr>
        <w:t xml:space="preserve"> </w:t>
      </w:r>
      <w:r>
        <w:t>BPT</w:t>
      </w:r>
      <w:r>
        <w:rPr>
          <w:spacing w:val="-3"/>
        </w:rPr>
        <w:t xml:space="preserve"> </w:t>
      </w:r>
      <w:r>
        <w:t>value</w:t>
      </w:r>
      <w:r>
        <w:rPr>
          <w:spacing w:val="-2"/>
        </w:rPr>
        <w:t xml:space="preserve"> </w:t>
      </w:r>
      <w:r>
        <w:t>does</w:t>
      </w:r>
      <w:r>
        <w:rPr>
          <w:spacing w:val="-4"/>
        </w:rPr>
        <w:t xml:space="preserve"> </w:t>
      </w:r>
      <w:r>
        <w:t>not</w:t>
      </w:r>
      <w:r>
        <w:rPr>
          <w:spacing w:val="-3"/>
        </w:rPr>
        <w:t xml:space="preserve"> </w:t>
      </w:r>
      <w:r>
        <w:t>match</w:t>
      </w:r>
      <w:r>
        <w:rPr>
          <w:spacing w:val="-3"/>
        </w:rPr>
        <w:t xml:space="preserve"> </w:t>
      </w:r>
      <w:r>
        <w:t>the value released by CMS in HPMS, the upload will be rejected.)</w:t>
      </w:r>
    </w:p>
    <w:p>
      <w:pPr>
        <w:pStyle w:val="BodyText"/>
        <w:spacing w:after="0"/>
        <w:sectPr>
          <w:pgSz w:w="12240" w:h="15840"/>
          <w:pgMar w:top="960" w:right="0" w:bottom="940" w:left="1080" w:header="727" w:footer="747"/>
          <w:cols w:space="720"/>
        </w:sectPr>
      </w:pPr>
    </w:p>
    <w:p>
      <w:pPr>
        <w:pStyle w:val="BodyText"/>
        <w:spacing w:before="225"/>
        <w:ind w:left="0"/>
        <w:rPr>
          <w:sz w:val="21"/>
        </w:rPr>
      </w:pPr>
    </w:p>
    <w:p>
      <w:pPr>
        <w:spacing w:before="0"/>
        <w:ind w:left="504" w:right="0" w:firstLine="0"/>
        <w:jc w:val="left"/>
        <w:rPr>
          <w:rFonts w:ascii="Arial" w:hAnsi="Arial"/>
          <w:b/>
          <w:sz w:val="21"/>
        </w:rPr>
      </w:pPr>
      <w:bookmarkStart w:id="242" w:name="Line 2 – New/Low Indicator (per CMS)"/>
      <w:bookmarkEnd w:id="242"/>
      <w:r>
        <w:rPr>
          <w:rFonts w:ascii="Arial" w:hAnsi="Arial"/>
          <w:b/>
          <w:sz w:val="21"/>
        </w:rPr>
        <w:t>Line</w:t>
      </w:r>
      <w:r>
        <w:rPr>
          <w:rFonts w:ascii="Arial" w:hAnsi="Arial"/>
          <w:b/>
          <w:spacing w:val="-5"/>
          <w:sz w:val="21"/>
        </w:rPr>
        <w:t xml:space="preserve"> </w:t>
      </w:r>
      <w:r>
        <w:rPr>
          <w:rFonts w:ascii="Arial" w:hAnsi="Arial"/>
          <w:b/>
          <w:sz w:val="21"/>
        </w:rPr>
        <w:t>2</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New/Low</w:t>
      </w:r>
      <w:r>
        <w:rPr>
          <w:rFonts w:ascii="Arial" w:hAnsi="Arial"/>
          <w:b/>
          <w:spacing w:val="-4"/>
          <w:sz w:val="21"/>
        </w:rPr>
        <w:t xml:space="preserve"> </w:t>
      </w:r>
      <w:r>
        <w:rPr>
          <w:rFonts w:ascii="Arial" w:hAnsi="Arial"/>
          <w:b/>
          <w:sz w:val="21"/>
        </w:rPr>
        <w:t>Indicator</w:t>
      </w:r>
      <w:r>
        <w:rPr>
          <w:rFonts w:ascii="Arial" w:hAnsi="Arial"/>
          <w:b/>
          <w:spacing w:val="-5"/>
          <w:sz w:val="21"/>
        </w:rPr>
        <w:t xml:space="preserve"> </w:t>
      </w:r>
      <w:r>
        <w:rPr>
          <w:rFonts w:ascii="Arial" w:hAnsi="Arial"/>
          <w:b/>
          <w:sz w:val="21"/>
        </w:rPr>
        <w:t>(per</w:t>
      </w:r>
      <w:r>
        <w:rPr>
          <w:rFonts w:ascii="Arial" w:hAnsi="Arial"/>
          <w:b/>
          <w:spacing w:val="-5"/>
          <w:sz w:val="21"/>
        </w:rPr>
        <w:t xml:space="preserve"> </w:t>
      </w:r>
      <w:r>
        <w:rPr>
          <w:rFonts w:ascii="Arial" w:hAnsi="Arial"/>
          <w:b/>
          <w:spacing w:val="-4"/>
          <w:sz w:val="21"/>
        </w:rPr>
        <w:t>CMS)</w:t>
      </w:r>
    </w:p>
    <w:p>
      <w:pPr>
        <w:pStyle w:val="BodyText"/>
        <w:spacing w:before="120"/>
        <w:ind w:right="1481"/>
      </w:pPr>
      <w:r>
        <w:t>Enter</w:t>
      </w:r>
      <w:r>
        <w:rPr>
          <w:spacing w:val="-2"/>
        </w:rPr>
        <w:t xml:space="preserve"> </w:t>
      </w:r>
      <w:r>
        <w:t>the</w:t>
      </w:r>
      <w:r>
        <w:rPr>
          <w:spacing w:val="-4"/>
        </w:rPr>
        <w:t xml:space="preserve"> </w:t>
      </w:r>
      <w:r>
        <w:t>new/low</w:t>
      </w:r>
      <w:r>
        <w:rPr>
          <w:spacing w:val="-3"/>
        </w:rPr>
        <w:t xml:space="preserve"> </w:t>
      </w:r>
      <w:r>
        <w:t>indicator</w:t>
      </w:r>
      <w:r>
        <w:rPr>
          <w:spacing w:val="-2"/>
        </w:rPr>
        <w:t xml:space="preserve"> </w:t>
      </w:r>
      <w:r>
        <w:t>released</w:t>
      </w:r>
      <w:r>
        <w:rPr>
          <w:spacing w:val="-2"/>
        </w:rPr>
        <w:t xml:space="preserve"> </w:t>
      </w:r>
      <w:r>
        <w:t>by</w:t>
      </w:r>
      <w:r>
        <w:rPr>
          <w:spacing w:val="-2"/>
        </w:rPr>
        <w:t xml:space="preserve"> </w:t>
      </w:r>
      <w:r>
        <w:t>CMS</w:t>
      </w:r>
      <w:r>
        <w:rPr>
          <w:spacing w:val="-2"/>
        </w:rPr>
        <w:t xml:space="preserve"> </w:t>
      </w:r>
      <w:r>
        <w:t>for</w:t>
      </w:r>
      <w:r>
        <w:rPr>
          <w:spacing w:val="-4"/>
        </w:rPr>
        <w:t xml:space="preserve"> </w:t>
      </w:r>
      <w:r>
        <w:t>the</w:t>
      </w:r>
      <w:r>
        <w:rPr>
          <w:spacing w:val="-2"/>
        </w:rPr>
        <w:t xml:space="preserve"> </w:t>
      </w:r>
      <w:r>
        <w:t>contract.</w:t>
      </w:r>
      <w:r>
        <w:rPr>
          <w:spacing w:val="-2"/>
        </w:rPr>
        <w:t xml:space="preserve"> </w:t>
      </w:r>
      <w:r>
        <w:t>The</w:t>
      </w:r>
      <w:r>
        <w:rPr>
          <w:spacing w:val="-3"/>
        </w:rPr>
        <w:t xml:space="preserve"> </w:t>
      </w:r>
      <w:r>
        <w:t>four</w:t>
      </w:r>
      <w:r>
        <w:rPr>
          <w:spacing w:val="-3"/>
        </w:rPr>
        <w:t xml:space="preserve"> </w:t>
      </w:r>
      <w:r>
        <w:t>valid</w:t>
      </w:r>
      <w:r>
        <w:rPr>
          <w:spacing w:val="-2"/>
        </w:rPr>
        <w:t xml:space="preserve"> </w:t>
      </w:r>
      <w:r>
        <w:t>options</w:t>
      </w:r>
      <w:r>
        <w:rPr>
          <w:spacing w:val="-3"/>
        </w:rPr>
        <w:t xml:space="preserve"> </w:t>
      </w:r>
      <w:r>
        <w:t>are</w:t>
      </w:r>
      <w:r>
        <w:rPr>
          <w:spacing w:val="-3"/>
        </w:rPr>
        <w:t xml:space="preserve"> </w:t>
      </w:r>
      <w:r>
        <w:t xml:space="preserve">as </w:t>
      </w:r>
      <w:r>
        <w:rPr>
          <w:spacing w:val="-2"/>
        </w:rPr>
        <w:t>follows:</w:t>
      </w:r>
    </w:p>
    <w:p>
      <w:pPr>
        <w:pStyle w:val="ListParagraph"/>
        <w:numPr>
          <w:ilvl w:val="0"/>
          <w:numId w:val="40"/>
        </w:numPr>
        <w:tabs>
          <w:tab w:val="left" w:pos="1584"/>
        </w:tabs>
        <w:spacing w:before="121" w:after="0" w:line="240" w:lineRule="auto"/>
        <w:ind w:left="1584" w:right="0" w:hanging="360"/>
        <w:jc w:val="left"/>
        <w:rPr>
          <w:sz w:val="24"/>
        </w:rPr>
      </w:pPr>
      <w:r>
        <w:rPr>
          <w:spacing w:val="-2"/>
          <w:sz w:val="24"/>
        </w:rPr>
        <w:t>“Low”</w:t>
      </w:r>
    </w:p>
    <w:p>
      <w:pPr>
        <w:pStyle w:val="ListParagraph"/>
        <w:numPr>
          <w:ilvl w:val="0"/>
          <w:numId w:val="40"/>
        </w:numPr>
        <w:tabs>
          <w:tab w:val="left" w:pos="1584"/>
        </w:tabs>
        <w:spacing w:before="0" w:after="0" w:line="240" w:lineRule="auto"/>
        <w:ind w:left="1584" w:right="0" w:hanging="360"/>
        <w:jc w:val="left"/>
        <w:rPr>
          <w:sz w:val="24"/>
        </w:rPr>
      </w:pPr>
      <w:r>
        <w:rPr>
          <w:sz w:val="24"/>
        </w:rPr>
        <w:t>“New</w:t>
      </w:r>
      <w:r>
        <w:rPr>
          <w:spacing w:val="-2"/>
          <w:sz w:val="24"/>
        </w:rPr>
        <w:t xml:space="preserve"> </w:t>
      </w:r>
      <w:r>
        <w:rPr>
          <w:sz w:val="24"/>
        </w:rPr>
        <w:t>contract</w:t>
      </w:r>
      <w:r>
        <w:rPr>
          <w:spacing w:val="-2"/>
          <w:sz w:val="24"/>
        </w:rPr>
        <w:t xml:space="preserve"> </w:t>
      </w:r>
      <w:r>
        <w:rPr>
          <w:sz w:val="24"/>
        </w:rPr>
        <w:t>under</w:t>
      </w:r>
      <w:r>
        <w:rPr>
          <w:spacing w:val="-2"/>
          <w:sz w:val="24"/>
        </w:rPr>
        <w:t xml:space="preserve"> </w:t>
      </w:r>
      <w:r>
        <w:rPr>
          <w:sz w:val="24"/>
        </w:rPr>
        <w:t>new</w:t>
      </w:r>
      <w:r>
        <w:rPr>
          <w:spacing w:val="-2"/>
          <w:sz w:val="24"/>
        </w:rPr>
        <w:t xml:space="preserve"> </w:t>
      </w:r>
      <w:r>
        <w:rPr>
          <w:sz w:val="24"/>
        </w:rPr>
        <w:t>parent</w:t>
      </w:r>
      <w:r>
        <w:rPr>
          <w:spacing w:val="-1"/>
          <w:sz w:val="24"/>
        </w:rPr>
        <w:t xml:space="preserve"> </w:t>
      </w:r>
      <w:r>
        <w:rPr>
          <w:spacing w:val="-4"/>
          <w:sz w:val="24"/>
        </w:rPr>
        <w:t>org”</w:t>
      </w:r>
    </w:p>
    <w:p>
      <w:pPr>
        <w:pStyle w:val="ListParagraph"/>
        <w:numPr>
          <w:ilvl w:val="0"/>
          <w:numId w:val="40"/>
        </w:numPr>
        <w:tabs>
          <w:tab w:val="left" w:pos="1584"/>
        </w:tabs>
        <w:spacing w:before="0" w:after="0" w:line="240" w:lineRule="auto"/>
        <w:ind w:left="1584" w:right="0" w:hanging="360"/>
        <w:jc w:val="left"/>
        <w:rPr>
          <w:sz w:val="24"/>
        </w:rPr>
      </w:pPr>
      <w:r>
        <w:rPr>
          <w:sz w:val="24"/>
        </w:rPr>
        <w:t>“New</w:t>
      </w:r>
      <w:r>
        <w:rPr>
          <w:spacing w:val="-4"/>
          <w:sz w:val="24"/>
        </w:rPr>
        <w:t xml:space="preserve"> </w:t>
      </w:r>
      <w:r>
        <w:rPr>
          <w:sz w:val="24"/>
        </w:rPr>
        <w:t>contract</w:t>
      </w:r>
      <w:r>
        <w:rPr>
          <w:spacing w:val="-2"/>
          <w:sz w:val="24"/>
        </w:rPr>
        <w:t xml:space="preserve"> </w:t>
      </w:r>
      <w:r>
        <w:rPr>
          <w:sz w:val="24"/>
        </w:rPr>
        <w:t>under</w:t>
      </w:r>
      <w:r>
        <w:rPr>
          <w:spacing w:val="-2"/>
          <w:sz w:val="24"/>
        </w:rPr>
        <w:t xml:space="preserve"> </w:t>
      </w:r>
      <w:r>
        <w:rPr>
          <w:sz w:val="24"/>
        </w:rPr>
        <w:t>existing</w:t>
      </w:r>
      <w:r>
        <w:rPr>
          <w:spacing w:val="-2"/>
          <w:sz w:val="24"/>
        </w:rPr>
        <w:t xml:space="preserve"> </w:t>
      </w:r>
      <w:r>
        <w:rPr>
          <w:sz w:val="24"/>
        </w:rPr>
        <w:t>parent</w:t>
      </w:r>
      <w:r>
        <w:rPr>
          <w:spacing w:val="-2"/>
          <w:sz w:val="24"/>
        </w:rPr>
        <w:t xml:space="preserve"> </w:t>
      </w:r>
      <w:r>
        <w:rPr>
          <w:spacing w:val="-4"/>
          <w:sz w:val="24"/>
        </w:rPr>
        <w:t>org”</w:t>
      </w:r>
    </w:p>
    <w:p>
      <w:pPr>
        <w:pStyle w:val="ListParagraph"/>
        <w:numPr>
          <w:ilvl w:val="0"/>
          <w:numId w:val="40"/>
        </w:numPr>
        <w:tabs>
          <w:tab w:val="left" w:pos="1584"/>
        </w:tabs>
        <w:spacing w:before="0" w:after="0" w:line="240" w:lineRule="auto"/>
        <w:ind w:left="1584" w:right="0" w:hanging="360"/>
        <w:jc w:val="left"/>
        <w:rPr>
          <w:sz w:val="24"/>
        </w:rPr>
      </w:pPr>
      <w:r>
        <w:rPr>
          <w:sz w:val="24"/>
        </w:rPr>
        <w:t>“Not</w:t>
      </w:r>
      <w:r>
        <w:rPr>
          <w:spacing w:val="-1"/>
          <w:sz w:val="24"/>
        </w:rPr>
        <w:t xml:space="preserve"> </w:t>
      </w:r>
      <w:r>
        <w:rPr>
          <w:spacing w:val="-2"/>
          <w:sz w:val="24"/>
        </w:rPr>
        <w:t>applicable”</w:t>
      </w:r>
    </w:p>
    <w:p>
      <w:pPr>
        <w:pStyle w:val="BodyText"/>
        <w:spacing w:before="120"/>
        <w:ind w:right="1492"/>
      </w:pPr>
      <w:r>
        <w:t>If the new/low indicator is applicable, the text entered in the BPT will be validated upon upload.</w:t>
      </w:r>
      <w:r>
        <w:rPr>
          <w:spacing w:val="-2"/>
        </w:rPr>
        <w:t xml:space="preserve"> </w:t>
      </w:r>
      <w:r>
        <w:t>(That</w:t>
      </w:r>
      <w:r>
        <w:rPr>
          <w:spacing w:val="-2"/>
        </w:rPr>
        <w:t xml:space="preserve"> </w:t>
      </w:r>
      <w:r>
        <w:t>is,</w:t>
      </w:r>
      <w:r>
        <w:rPr>
          <w:spacing w:val="-2"/>
        </w:rPr>
        <w:t xml:space="preserve"> </w:t>
      </w:r>
      <w:r>
        <w:t>if</w:t>
      </w:r>
      <w:r>
        <w:rPr>
          <w:spacing w:val="-2"/>
        </w:rPr>
        <w:t xml:space="preserve"> </w:t>
      </w:r>
      <w:r>
        <w:t>the</w:t>
      </w:r>
      <w:r>
        <w:rPr>
          <w:spacing w:val="-3"/>
        </w:rPr>
        <w:t xml:space="preserve"> </w:t>
      </w:r>
      <w:r>
        <w:t>BPT</w:t>
      </w:r>
      <w:r>
        <w:rPr>
          <w:spacing w:val="-2"/>
        </w:rPr>
        <w:t xml:space="preserve"> </w:t>
      </w:r>
      <w:r>
        <w:t>text</w:t>
      </w:r>
      <w:r>
        <w:rPr>
          <w:spacing w:val="-2"/>
        </w:rPr>
        <w:t xml:space="preserve"> </w:t>
      </w:r>
      <w:r>
        <w:t>does</w:t>
      </w:r>
      <w:r>
        <w:rPr>
          <w:spacing w:val="-3"/>
        </w:rPr>
        <w:t xml:space="preserve"> </w:t>
      </w:r>
      <w:r>
        <w:t>not</w:t>
      </w:r>
      <w:r>
        <w:rPr>
          <w:spacing w:val="-2"/>
        </w:rPr>
        <w:t xml:space="preserve"> </w:t>
      </w:r>
      <w:r>
        <w:t>match</w:t>
      </w:r>
      <w:r>
        <w:rPr>
          <w:spacing w:val="-2"/>
        </w:rPr>
        <w:t xml:space="preserve"> </w:t>
      </w:r>
      <w:r>
        <w:t>the</w:t>
      </w:r>
      <w:r>
        <w:rPr>
          <w:spacing w:val="-3"/>
        </w:rPr>
        <w:t xml:space="preserve"> </w:t>
      </w:r>
      <w:r>
        <w:t>text</w:t>
      </w:r>
      <w:r>
        <w:rPr>
          <w:spacing w:val="-2"/>
        </w:rPr>
        <w:t xml:space="preserve"> </w:t>
      </w:r>
      <w:r>
        <w:t>released</w:t>
      </w:r>
      <w:r>
        <w:rPr>
          <w:spacing w:val="-2"/>
        </w:rPr>
        <w:t xml:space="preserve"> </w:t>
      </w:r>
      <w:r>
        <w:t>by</w:t>
      </w:r>
      <w:r>
        <w:rPr>
          <w:spacing w:val="-2"/>
        </w:rPr>
        <w:t xml:space="preserve"> </w:t>
      </w:r>
      <w:r>
        <w:t>CMS in</w:t>
      </w:r>
      <w:r>
        <w:rPr>
          <w:spacing w:val="-2"/>
        </w:rPr>
        <w:t xml:space="preserve"> </w:t>
      </w:r>
      <w:r>
        <w:t>HPMS,</w:t>
      </w:r>
      <w:r>
        <w:rPr>
          <w:spacing w:val="-2"/>
        </w:rPr>
        <w:t xml:space="preserve"> </w:t>
      </w:r>
      <w:r>
        <w:t>the</w:t>
      </w:r>
      <w:r>
        <w:rPr>
          <w:spacing w:val="-2"/>
        </w:rPr>
        <w:t xml:space="preserve"> </w:t>
      </w:r>
      <w:r>
        <w:t>upload will be rejected.)</w:t>
      </w:r>
    </w:p>
    <w:p>
      <w:pPr>
        <w:spacing w:before="241"/>
        <w:ind w:left="504" w:right="0" w:firstLine="0"/>
        <w:jc w:val="left"/>
        <w:rPr>
          <w:rFonts w:ascii="Arial" w:hAnsi="Arial"/>
          <w:b/>
          <w:sz w:val="21"/>
        </w:rPr>
      </w:pPr>
      <w:bookmarkStart w:id="243" w:name="Line 3 – Rebate Percentage"/>
      <w:bookmarkEnd w:id="243"/>
      <w:r>
        <w:rPr>
          <w:rFonts w:ascii="Arial" w:hAnsi="Arial"/>
          <w:b/>
          <w:sz w:val="21"/>
        </w:rPr>
        <w:t>Line</w:t>
      </w:r>
      <w:r>
        <w:rPr>
          <w:rFonts w:ascii="Arial" w:hAnsi="Arial"/>
          <w:b/>
          <w:spacing w:val="-3"/>
          <w:sz w:val="21"/>
        </w:rPr>
        <w:t xml:space="preserve"> </w:t>
      </w:r>
      <w:r>
        <w:rPr>
          <w:rFonts w:ascii="Arial" w:hAnsi="Arial"/>
          <w:b/>
          <w:sz w:val="21"/>
        </w:rPr>
        <w:t>3</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Rebate</w:t>
      </w:r>
      <w:r>
        <w:rPr>
          <w:rFonts w:ascii="Arial" w:hAnsi="Arial"/>
          <w:b/>
          <w:spacing w:val="-2"/>
          <w:sz w:val="21"/>
        </w:rPr>
        <w:t xml:space="preserve"> Percentage</w:t>
      </w:r>
    </w:p>
    <w:p>
      <w:pPr>
        <w:pStyle w:val="BodyText"/>
        <w:spacing w:before="118"/>
      </w:pPr>
      <w:r>
        <w:t>The</w:t>
      </w:r>
      <w:r>
        <w:rPr>
          <w:spacing w:val="-3"/>
        </w:rPr>
        <w:t xml:space="preserve"> </w:t>
      </w:r>
      <w:r>
        <w:t>BPT</w:t>
      </w:r>
      <w:r>
        <w:rPr>
          <w:spacing w:val="-1"/>
        </w:rPr>
        <w:t xml:space="preserve"> </w:t>
      </w:r>
      <w:r>
        <w:t>computes</w:t>
      </w:r>
      <w:r>
        <w:rPr>
          <w:spacing w:val="-1"/>
        </w:rPr>
        <w:t xml:space="preserve"> </w:t>
      </w:r>
      <w:r>
        <w:t>the</w:t>
      </w:r>
      <w:r>
        <w:rPr>
          <w:spacing w:val="-1"/>
        </w:rPr>
        <w:t xml:space="preserve"> </w:t>
      </w:r>
      <w:r>
        <w:t>rebate</w:t>
      </w:r>
      <w:r>
        <w:rPr>
          <w:spacing w:val="-1"/>
        </w:rPr>
        <w:t xml:space="preserve"> </w:t>
      </w:r>
      <w:r>
        <w:t>percentage</w:t>
      </w:r>
      <w:r>
        <w:rPr>
          <w:spacing w:val="-2"/>
        </w:rPr>
        <w:t xml:space="preserve"> </w:t>
      </w:r>
      <w:r>
        <w:t>that</w:t>
      </w:r>
      <w:r>
        <w:rPr>
          <w:spacing w:val="1"/>
        </w:rPr>
        <w:t xml:space="preserve"> </w:t>
      </w:r>
      <w:r>
        <w:t>is</w:t>
      </w:r>
      <w:r>
        <w:rPr>
          <w:spacing w:val="-1"/>
        </w:rPr>
        <w:t xml:space="preserve"> </w:t>
      </w:r>
      <w:r>
        <w:t>used</w:t>
      </w:r>
      <w:r>
        <w:rPr>
          <w:spacing w:val="-1"/>
        </w:rPr>
        <w:t xml:space="preserve"> </w:t>
      </w:r>
      <w:r>
        <w:t>in</w:t>
      </w:r>
      <w:r>
        <w:rPr>
          <w:spacing w:val="-1"/>
        </w:rPr>
        <w:t xml:space="preserve"> </w:t>
      </w:r>
      <w:r>
        <w:t>Section</w:t>
      </w:r>
      <w:r>
        <w:rPr>
          <w:spacing w:val="-1"/>
        </w:rPr>
        <w:t xml:space="preserve"> </w:t>
      </w:r>
      <w:r>
        <w:t>III,</w:t>
      </w:r>
      <w:r>
        <w:rPr>
          <w:spacing w:val="-1"/>
        </w:rPr>
        <w:t xml:space="preserve"> </w:t>
      </w:r>
      <w:r>
        <w:t xml:space="preserve">line </w:t>
      </w:r>
      <w:r>
        <w:rPr>
          <w:spacing w:val="-5"/>
        </w:rPr>
        <w:t>2.</w:t>
      </w:r>
    </w:p>
    <w:p>
      <w:pPr>
        <w:pStyle w:val="BodyText"/>
        <w:spacing w:before="45"/>
        <w:ind w:left="0"/>
      </w:pPr>
    </w:p>
    <w:p>
      <w:pPr>
        <w:pStyle w:val="Heading2"/>
      </w:pPr>
      <w:bookmarkStart w:id="244" w:name="Section VI – County-Level Detail and Ser"/>
      <w:bookmarkEnd w:id="244"/>
      <w:bookmarkStart w:id="245" w:name="_bookmark68"/>
      <w:bookmarkEnd w:id="245"/>
      <w:r>
        <w:rPr>
          <w:smallCaps/>
        </w:rPr>
        <w:t>Section</w:t>
      </w:r>
      <w:r>
        <w:rPr>
          <w:smallCaps/>
          <w:spacing w:val="-15"/>
        </w:rPr>
        <w:t xml:space="preserve"> </w:t>
      </w:r>
      <w:r>
        <w:rPr>
          <w:smallCaps/>
        </w:rPr>
        <w:t>VI</w:t>
      </w:r>
      <w:r>
        <w:rPr>
          <w:smallCaps/>
          <w:spacing w:val="-15"/>
        </w:rPr>
        <w:t xml:space="preserve"> </w:t>
      </w:r>
      <w:r>
        <w:rPr>
          <w:smallCaps/>
        </w:rPr>
        <w:t>–</w:t>
      </w:r>
      <w:r>
        <w:rPr>
          <w:smallCaps/>
          <w:spacing w:val="-15"/>
        </w:rPr>
        <w:t xml:space="preserve"> </w:t>
      </w:r>
      <w:r>
        <w:rPr>
          <w:smallCaps/>
        </w:rPr>
        <w:t>County-Level</w:t>
      </w:r>
      <w:r>
        <w:rPr>
          <w:smallCaps/>
          <w:spacing w:val="-9"/>
        </w:rPr>
        <w:t xml:space="preserve"> </w:t>
      </w:r>
      <w:r>
        <w:rPr>
          <w:smallCaps/>
        </w:rPr>
        <w:t>Detail</w:t>
      </w:r>
      <w:r>
        <w:rPr>
          <w:smallCaps/>
          <w:spacing w:val="-7"/>
        </w:rPr>
        <w:t xml:space="preserve"> </w:t>
      </w:r>
      <w:r>
        <w:rPr>
          <w:smallCaps/>
        </w:rPr>
        <w:t>and</w:t>
      </w:r>
      <w:r>
        <w:rPr>
          <w:smallCaps/>
          <w:spacing w:val="-6"/>
        </w:rPr>
        <w:t xml:space="preserve"> </w:t>
      </w:r>
      <w:r>
        <w:rPr>
          <w:smallCaps/>
        </w:rPr>
        <w:t>Service</w:t>
      </w:r>
      <w:r>
        <w:rPr>
          <w:smallCaps/>
          <w:spacing w:val="-7"/>
        </w:rPr>
        <w:t xml:space="preserve"> </w:t>
      </w:r>
      <w:r>
        <w:rPr>
          <w:smallCaps/>
        </w:rPr>
        <w:t>Area</w:t>
      </w:r>
      <w:r>
        <w:rPr>
          <w:smallCaps/>
          <w:spacing w:val="-7"/>
        </w:rPr>
        <w:t xml:space="preserve"> </w:t>
      </w:r>
      <w:r>
        <w:rPr>
          <w:smallCaps/>
          <w:spacing w:val="-2"/>
        </w:rPr>
        <w:t>Summary</w:t>
      </w:r>
    </w:p>
    <w:p>
      <w:pPr>
        <w:pStyle w:val="BodyText"/>
        <w:spacing w:before="179"/>
        <w:ind w:right="2113"/>
      </w:pPr>
      <w:r>
        <w:t>This</w:t>
      </w:r>
      <w:r>
        <w:rPr>
          <w:spacing w:val="-5"/>
        </w:rPr>
        <w:t xml:space="preserve"> </w:t>
      </w:r>
      <w:r>
        <w:t>section</w:t>
      </w:r>
      <w:r>
        <w:rPr>
          <w:spacing w:val="-4"/>
        </w:rPr>
        <w:t xml:space="preserve"> </w:t>
      </w:r>
      <w:r>
        <w:t>contains</w:t>
      </w:r>
      <w:r>
        <w:rPr>
          <w:spacing w:val="-5"/>
        </w:rPr>
        <w:t xml:space="preserve"> </w:t>
      </w:r>
      <w:r>
        <w:t>detailed</w:t>
      </w:r>
      <w:r>
        <w:rPr>
          <w:spacing w:val="-4"/>
        </w:rPr>
        <w:t xml:space="preserve"> </w:t>
      </w:r>
      <w:r>
        <w:t>data</w:t>
      </w:r>
      <w:r>
        <w:rPr>
          <w:spacing w:val="-4"/>
        </w:rPr>
        <w:t xml:space="preserve"> </w:t>
      </w:r>
      <w:r>
        <w:t>by</w:t>
      </w:r>
      <w:r>
        <w:rPr>
          <w:spacing w:val="-4"/>
        </w:rPr>
        <w:t xml:space="preserve"> </w:t>
      </w:r>
      <w:r>
        <w:t>county</w:t>
      </w:r>
      <w:r>
        <w:rPr>
          <w:spacing w:val="-2"/>
        </w:rPr>
        <w:t xml:space="preserve"> </w:t>
      </w:r>
      <w:r>
        <w:t>and</w:t>
      </w:r>
      <w:r>
        <w:rPr>
          <w:spacing w:val="-2"/>
        </w:rPr>
        <w:t xml:space="preserve"> </w:t>
      </w:r>
      <w:r>
        <w:t>develops</w:t>
      </w:r>
      <w:r>
        <w:rPr>
          <w:spacing w:val="-1"/>
        </w:rPr>
        <w:t xml:space="preserve"> </w:t>
      </w:r>
      <w:r>
        <w:t>bid-specific</w:t>
      </w:r>
      <w:r>
        <w:rPr>
          <w:spacing w:val="-5"/>
        </w:rPr>
        <w:t xml:space="preserve"> </w:t>
      </w:r>
      <w:r>
        <w:t>county-level</w:t>
      </w:r>
      <w:r>
        <w:rPr>
          <w:spacing w:val="-4"/>
        </w:rPr>
        <w:t xml:space="preserve"> </w:t>
      </w:r>
      <w:r>
        <w:t>MA payment</w:t>
      </w:r>
      <w:r>
        <w:rPr>
          <w:spacing w:val="-1"/>
        </w:rPr>
        <w:t xml:space="preserve"> </w:t>
      </w:r>
      <w:r>
        <w:t>rates. For</w:t>
      </w:r>
      <w:r>
        <w:rPr>
          <w:spacing w:val="-1"/>
        </w:rPr>
        <w:t xml:space="preserve"> </w:t>
      </w:r>
      <w:r>
        <w:t>most bids,</w:t>
      </w:r>
      <w:r>
        <w:rPr>
          <w:spacing w:val="-1"/>
        </w:rPr>
        <w:t xml:space="preserve"> </w:t>
      </w:r>
      <w:r>
        <w:t>the</w:t>
      </w:r>
      <w:r>
        <w:rPr>
          <w:spacing w:val="-1"/>
        </w:rPr>
        <w:t xml:space="preserve"> </w:t>
      </w:r>
      <w:r>
        <w:t>only</w:t>
      </w:r>
      <w:r>
        <w:rPr>
          <w:spacing w:val="-1"/>
        </w:rPr>
        <w:t xml:space="preserve"> </w:t>
      </w:r>
      <w:r>
        <w:t>user</w:t>
      </w:r>
      <w:r>
        <w:rPr>
          <w:spacing w:val="-3"/>
        </w:rPr>
        <w:t xml:space="preserve"> </w:t>
      </w:r>
      <w:r>
        <w:t>inputs</w:t>
      </w:r>
      <w:r>
        <w:rPr>
          <w:spacing w:val="-2"/>
        </w:rPr>
        <w:t xml:space="preserve"> </w:t>
      </w:r>
      <w:r>
        <w:t>are</w:t>
      </w:r>
      <w:r>
        <w:rPr>
          <w:spacing w:val="-3"/>
        </w:rPr>
        <w:t xml:space="preserve"> </w:t>
      </w:r>
      <w:r>
        <w:t>the</w:t>
      </w:r>
      <w:r>
        <w:rPr>
          <w:spacing w:val="-2"/>
        </w:rPr>
        <w:t xml:space="preserve"> </w:t>
      </w:r>
      <w:r>
        <w:t>state-county</w:t>
      </w:r>
      <w:r>
        <w:rPr>
          <w:spacing w:val="-1"/>
        </w:rPr>
        <w:t xml:space="preserve"> </w:t>
      </w:r>
      <w:r>
        <w:t>codes</w:t>
      </w:r>
      <w:r>
        <w:rPr>
          <w:spacing w:val="-1"/>
        </w:rPr>
        <w:t xml:space="preserve"> </w:t>
      </w:r>
      <w:r>
        <w:t>(column</w:t>
      </w:r>
      <w:r>
        <w:rPr>
          <w:spacing w:val="-1"/>
        </w:rPr>
        <w:t xml:space="preserve"> </w:t>
      </w:r>
      <w:r>
        <w:t>b), projected member months (column e), projected risk factors (column f) by county, and out-of-area enrollment data. Entries must reflect bid-specific non-ESRD non-hospice</w:t>
      </w:r>
    </w:p>
    <w:p>
      <w:pPr>
        <w:pStyle w:val="BodyText"/>
        <w:ind w:right="1964"/>
        <w:jc w:val="both"/>
      </w:pPr>
      <w:r>
        <w:t>enrollment</w:t>
      </w:r>
      <w:r>
        <w:rPr>
          <w:spacing w:val="-3"/>
        </w:rPr>
        <w:t xml:space="preserve"> </w:t>
      </w:r>
      <w:r>
        <w:t>projections</w:t>
      </w:r>
      <w:r>
        <w:rPr>
          <w:spacing w:val="-4"/>
        </w:rPr>
        <w:t xml:space="preserve"> </w:t>
      </w:r>
      <w:r>
        <w:t>for</w:t>
      </w:r>
      <w:r>
        <w:rPr>
          <w:spacing w:val="-3"/>
        </w:rPr>
        <w:t xml:space="preserve"> </w:t>
      </w:r>
      <w:r>
        <w:t>each</w:t>
      </w:r>
      <w:r>
        <w:rPr>
          <w:spacing w:val="-2"/>
        </w:rPr>
        <w:t xml:space="preserve"> </w:t>
      </w:r>
      <w:r>
        <w:t>county</w:t>
      </w:r>
      <w:r>
        <w:rPr>
          <w:spacing w:val="-3"/>
        </w:rPr>
        <w:t xml:space="preserve"> </w:t>
      </w:r>
      <w:r>
        <w:t>within</w:t>
      </w:r>
      <w:r>
        <w:rPr>
          <w:spacing w:val="-3"/>
        </w:rPr>
        <w:t xml:space="preserve"> </w:t>
      </w:r>
      <w:r>
        <w:t>the</w:t>
      </w:r>
      <w:r>
        <w:rPr>
          <w:spacing w:val="-4"/>
        </w:rPr>
        <w:t xml:space="preserve"> </w:t>
      </w:r>
      <w:r>
        <w:t>service</w:t>
      </w:r>
      <w:r>
        <w:rPr>
          <w:spacing w:val="-2"/>
        </w:rPr>
        <w:t xml:space="preserve"> </w:t>
      </w:r>
      <w:r>
        <w:t>area,</w:t>
      </w:r>
      <w:r>
        <w:rPr>
          <w:spacing w:val="-3"/>
        </w:rPr>
        <w:t xml:space="preserve"> </w:t>
      </w:r>
      <w:r>
        <w:t>including</w:t>
      </w:r>
      <w:r>
        <w:rPr>
          <w:spacing w:val="-3"/>
        </w:rPr>
        <w:t xml:space="preserve"> </w:t>
      </w:r>
      <w:r>
        <w:t>the</w:t>
      </w:r>
      <w:r>
        <w:rPr>
          <w:spacing w:val="-3"/>
        </w:rPr>
        <w:t xml:space="preserve"> </w:t>
      </w:r>
      <w:r>
        <w:t>case</w:t>
      </w:r>
      <w:r>
        <w:rPr>
          <w:spacing w:val="-4"/>
        </w:rPr>
        <w:t xml:space="preserve"> </w:t>
      </w:r>
      <w:r>
        <w:t>in</w:t>
      </w:r>
      <w:r>
        <w:rPr>
          <w:spacing w:val="-3"/>
        </w:rPr>
        <w:t xml:space="preserve"> </w:t>
      </w:r>
      <w:r>
        <w:t>which member</w:t>
      </w:r>
      <w:r>
        <w:rPr>
          <w:spacing w:val="-3"/>
        </w:rPr>
        <w:t xml:space="preserve"> </w:t>
      </w:r>
      <w:r>
        <w:t>months</w:t>
      </w:r>
      <w:r>
        <w:rPr>
          <w:spacing w:val="-3"/>
        </w:rPr>
        <w:t xml:space="preserve"> </w:t>
      </w:r>
      <w:r>
        <w:t>are</w:t>
      </w:r>
      <w:r>
        <w:rPr>
          <w:spacing w:val="-5"/>
        </w:rPr>
        <w:t xml:space="preserve"> </w:t>
      </w:r>
      <w:r>
        <w:t>projected</w:t>
      </w:r>
      <w:r>
        <w:rPr>
          <w:spacing w:val="-3"/>
        </w:rPr>
        <w:t xml:space="preserve"> </w:t>
      </w:r>
      <w:r>
        <w:t>to</w:t>
      </w:r>
      <w:r>
        <w:rPr>
          <w:spacing w:val="-3"/>
        </w:rPr>
        <w:t xml:space="preserve"> </w:t>
      </w:r>
      <w:r>
        <w:t>be</w:t>
      </w:r>
      <w:r>
        <w:rPr>
          <w:spacing w:val="-2"/>
        </w:rPr>
        <w:t xml:space="preserve"> </w:t>
      </w:r>
      <w:r>
        <w:t>zero.</w:t>
      </w:r>
      <w:r>
        <w:rPr>
          <w:spacing w:val="-3"/>
        </w:rPr>
        <w:t xml:space="preserve"> </w:t>
      </w:r>
      <w:r>
        <w:t>There</w:t>
      </w:r>
      <w:r>
        <w:rPr>
          <w:spacing w:val="-5"/>
        </w:rPr>
        <w:t xml:space="preserve"> </w:t>
      </w:r>
      <w:r>
        <w:t>is</w:t>
      </w:r>
      <w:r>
        <w:rPr>
          <w:spacing w:val="-1"/>
        </w:rPr>
        <w:t xml:space="preserve"> </w:t>
      </w:r>
      <w:r>
        <w:t>no</w:t>
      </w:r>
      <w:r>
        <w:rPr>
          <w:spacing w:val="-3"/>
        </w:rPr>
        <w:t xml:space="preserve"> </w:t>
      </w:r>
      <w:r>
        <w:t>requirement</w:t>
      </w:r>
      <w:r>
        <w:rPr>
          <w:spacing w:val="-3"/>
        </w:rPr>
        <w:t xml:space="preserve"> </w:t>
      </w:r>
      <w:r>
        <w:t>to</w:t>
      </w:r>
      <w:r>
        <w:rPr>
          <w:spacing w:val="-3"/>
        </w:rPr>
        <w:t xml:space="preserve"> </w:t>
      </w:r>
      <w:r>
        <w:t>enter</w:t>
      </w:r>
      <w:r>
        <w:rPr>
          <w:spacing w:val="-2"/>
        </w:rPr>
        <w:t xml:space="preserve"> </w:t>
      </w:r>
      <w:r>
        <w:t>member</w:t>
      </w:r>
      <w:r>
        <w:rPr>
          <w:spacing w:val="-3"/>
        </w:rPr>
        <w:t xml:space="preserve"> </w:t>
      </w:r>
      <w:r>
        <w:t>months greater than zero in order to generate a county level payment rate.</w:t>
      </w:r>
    </w:p>
    <w:p>
      <w:pPr>
        <w:pStyle w:val="BodyText"/>
        <w:spacing w:before="121"/>
        <w:ind w:right="1481"/>
      </w:pPr>
      <w:r>
        <w:t>As</w:t>
      </w:r>
      <w:r>
        <w:rPr>
          <w:spacing w:val="-4"/>
        </w:rPr>
        <w:t xml:space="preserve"> </w:t>
      </w:r>
      <w:r>
        <w:t>with</w:t>
      </w:r>
      <w:r>
        <w:rPr>
          <w:spacing w:val="-3"/>
        </w:rPr>
        <w:t xml:space="preserve"> </w:t>
      </w:r>
      <w:r>
        <w:t>all</w:t>
      </w:r>
      <w:r>
        <w:rPr>
          <w:spacing w:val="-3"/>
        </w:rPr>
        <w:t xml:space="preserve"> </w:t>
      </w:r>
      <w:r>
        <w:t>aspects</w:t>
      </w:r>
      <w:r>
        <w:rPr>
          <w:spacing w:val="-4"/>
        </w:rPr>
        <w:t xml:space="preserve"> </w:t>
      </w:r>
      <w:r>
        <w:t>of</w:t>
      </w:r>
      <w:r>
        <w:rPr>
          <w:spacing w:val="-3"/>
        </w:rPr>
        <w:t xml:space="preserve"> </w:t>
      </w:r>
      <w:r>
        <w:t>the</w:t>
      </w:r>
      <w:r>
        <w:rPr>
          <w:spacing w:val="-2"/>
        </w:rPr>
        <w:t xml:space="preserve"> </w:t>
      </w:r>
      <w:r>
        <w:t>projections</w:t>
      </w:r>
      <w:r>
        <w:rPr>
          <w:spacing w:val="-4"/>
        </w:rPr>
        <w:t xml:space="preserve"> </w:t>
      </w:r>
      <w:r>
        <w:t>for</w:t>
      </w:r>
      <w:r>
        <w:rPr>
          <w:spacing w:val="-3"/>
        </w:rPr>
        <w:t xml:space="preserve"> </w:t>
      </w:r>
      <w:r>
        <w:t>MA-PD</w:t>
      </w:r>
      <w:r>
        <w:rPr>
          <w:spacing w:val="-2"/>
        </w:rPr>
        <w:t xml:space="preserve"> </w:t>
      </w:r>
      <w:r>
        <w:t>plans,</w:t>
      </w:r>
      <w:r>
        <w:rPr>
          <w:spacing w:val="-3"/>
        </w:rPr>
        <w:t xml:space="preserve"> </w:t>
      </w:r>
      <w:r>
        <w:t>the</w:t>
      </w:r>
      <w:r>
        <w:rPr>
          <w:spacing w:val="-4"/>
        </w:rPr>
        <w:t xml:space="preserve"> </w:t>
      </w:r>
      <w:r>
        <w:t>enrollment</w:t>
      </w:r>
      <w:r>
        <w:rPr>
          <w:spacing w:val="-3"/>
        </w:rPr>
        <w:t xml:space="preserve"> </w:t>
      </w:r>
      <w:r>
        <w:t>and</w:t>
      </w:r>
      <w:r>
        <w:rPr>
          <w:spacing w:val="-2"/>
        </w:rPr>
        <w:t xml:space="preserve"> </w:t>
      </w:r>
      <w:r>
        <w:t>risk</w:t>
      </w:r>
      <w:r>
        <w:rPr>
          <w:spacing w:val="-2"/>
        </w:rPr>
        <w:t xml:space="preserve"> </w:t>
      </w:r>
      <w:r>
        <w:t>factors</w:t>
      </w:r>
      <w:r>
        <w:rPr>
          <w:spacing w:val="-3"/>
        </w:rPr>
        <w:t xml:space="preserve"> </w:t>
      </w:r>
      <w:r>
        <w:t>for</w:t>
      </w:r>
      <w:r>
        <w:rPr>
          <w:spacing w:val="-3"/>
        </w:rPr>
        <w:t xml:space="preserve"> </w:t>
      </w:r>
      <w:r>
        <w:t>the MA bid must be based on a population consistent with the corresponding Part D bid.</w:t>
      </w:r>
    </w:p>
    <w:p>
      <w:pPr>
        <w:pStyle w:val="BodyText"/>
        <w:spacing w:before="120"/>
        <w:ind w:right="1841"/>
      </w:pPr>
      <w:r>
        <w:t>Payment</w:t>
      </w:r>
      <w:r>
        <w:rPr>
          <w:spacing w:val="-4"/>
        </w:rPr>
        <w:t xml:space="preserve"> </w:t>
      </w:r>
      <w:r>
        <w:t>rates</w:t>
      </w:r>
      <w:r>
        <w:rPr>
          <w:spacing w:val="-5"/>
        </w:rPr>
        <w:t xml:space="preserve"> </w:t>
      </w:r>
      <w:r>
        <w:t>for</w:t>
      </w:r>
      <w:r>
        <w:rPr>
          <w:spacing w:val="-3"/>
        </w:rPr>
        <w:t xml:space="preserve"> </w:t>
      </w:r>
      <w:r>
        <w:t>regional</w:t>
      </w:r>
      <w:r>
        <w:rPr>
          <w:spacing w:val="-3"/>
        </w:rPr>
        <w:t xml:space="preserve"> </w:t>
      </w:r>
      <w:r>
        <w:t>PPOs</w:t>
      </w:r>
      <w:r>
        <w:rPr>
          <w:spacing w:val="-4"/>
        </w:rPr>
        <w:t xml:space="preserve"> </w:t>
      </w:r>
      <w:r>
        <w:t>may</w:t>
      </w:r>
      <w:r>
        <w:rPr>
          <w:spacing w:val="-5"/>
        </w:rPr>
        <w:t xml:space="preserve"> </w:t>
      </w:r>
      <w:r>
        <w:t>be</w:t>
      </w:r>
      <w:r>
        <w:rPr>
          <w:spacing w:val="-5"/>
        </w:rPr>
        <w:t xml:space="preserve"> </w:t>
      </w:r>
      <w:r>
        <w:t>developed</w:t>
      </w:r>
      <w:r>
        <w:rPr>
          <w:spacing w:val="-4"/>
        </w:rPr>
        <w:t xml:space="preserve"> </w:t>
      </w:r>
      <w:r>
        <w:t>using</w:t>
      </w:r>
      <w:r>
        <w:rPr>
          <w:spacing w:val="-4"/>
        </w:rPr>
        <w:t xml:space="preserve"> </w:t>
      </w:r>
      <w:r>
        <w:t>plan-provided</w:t>
      </w:r>
      <w:r>
        <w:rPr>
          <w:spacing w:val="-4"/>
        </w:rPr>
        <w:t xml:space="preserve"> </w:t>
      </w:r>
      <w:r>
        <w:t>geographic</w:t>
      </w:r>
      <w:r>
        <w:rPr>
          <w:spacing w:val="-4"/>
        </w:rPr>
        <w:t xml:space="preserve"> </w:t>
      </w:r>
      <w:r>
        <w:t>intra-service area rate (ISAR) factors on a case-by-case basis, as explained in the “Regional Preferred Provider Organizations (RPPOs)” pricing consideration.</w:t>
      </w:r>
    </w:p>
    <w:p>
      <w:pPr>
        <w:pStyle w:val="BodyText"/>
        <w:spacing w:before="120"/>
        <w:ind w:right="1443"/>
      </w:pPr>
      <w:r>
        <w:t>The</w:t>
      </w:r>
      <w:r>
        <w:rPr>
          <w:spacing w:val="-5"/>
        </w:rPr>
        <w:t xml:space="preserve"> </w:t>
      </w:r>
      <w:r>
        <w:t>BPT</w:t>
      </w:r>
      <w:r>
        <w:rPr>
          <w:spacing w:val="-3"/>
        </w:rPr>
        <w:t xml:space="preserve"> </w:t>
      </w:r>
      <w:r>
        <w:t>will</w:t>
      </w:r>
      <w:r>
        <w:rPr>
          <w:spacing w:val="-3"/>
        </w:rPr>
        <w:t xml:space="preserve"> </w:t>
      </w:r>
      <w:r>
        <w:t>not</w:t>
      </w:r>
      <w:r>
        <w:rPr>
          <w:spacing w:val="-3"/>
        </w:rPr>
        <w:t xml:space="preserve"> </w:t>
      </w:r>
      <w:r>
        <w:t>finalize</w:t>
      </w:r>
      <w:r>
        <w:rPr>
          <w:spacing w:val="-4"/>
        </w:rPr>
        <w:t xml:space="preserve"> </w:t>
      </w:r>
      <w:r>
        <w:t>if</w:t>
      </w:r>
      <w:r>
        <w:rPr>
          <w:spacing w:val="-3"/>
        </w:rPr>
        <w:t xml:space="preserve"> </w:t>
      </w:r>
      <w:r>
        <w:t>there</w:t>
      </w:r>
      <w:r>
        <w:rPr>
          <w:spacing w:val="-5"/>
        </w:rPr>
        <w:t xml:space="preserve"> </w:t>
      </w:r>
      <w:r>
        <w:t>are</w:t>
      </w:r>
      <w:r>
        <w:rPr>
          <w:spacing w:val="-5"/>
        </w:rPr>
        <w:t xml:space="preserve"> </w:t>
      </w:r>
      <w:r>
        <w:t>any</w:t>
      </w:r>
      <w:r>
        <w:rPr>
          <w:spacing w:val="-3"/>
        </w:rPr>
        <w:t xml:space="preserve"> </w:t>
      </w:r>
      <w:r>
        <w:t>invalid</w:t>
      </w:r>
      <w:r>
        <w:rPr>
          <w:spacing w:val="-3"/>
        </w:rPr>
        <w:t xml:space="preserve"> </w:t>
      </w:r>
      <w:r>
        <w:t>values</w:t>
      </w:r>
      <w:r>
        <w:rPr>
          <w:spacing w:val="-1"/>
        </w:rPr>
        <w:t xml:space="preserve"> </w:t>
      </w:r>
      <w:r>
        <w:t>(such</w:t>
      </w:r>
      <w:r>
        <w:rPr>
          <w:spacing w:val="-3"/>
        </w:rPr>
        <w:t xml:space="preserve"> </w:t>
      </w:r>
      <w:r>
        <w:t>as</w:t>
      </w:r>
      <w:r>
        <w:rPr>
          <w:spacing w:val="-1"/>
        </w:rPr>
        <w:t xml:space="preserve"> </w:t>
      </w:r>
      <w:r>
        <w:t>“#N/A”,</w:t>
      </w:r>
      <w:r>
        <w:rPr>
          <w:spacing w:val="-1"/>
        </w:rPr>
        <w:t xml:space="preserve"> </w:t>
      </w:r>
      <w:r>
        <w:t>“#DIV/0!”,</w:t>
      </w:r>
      <w:r>
        <w:rPr>
          <w:spacing w:val="-1"/>
        </w:rPr>
        <w:t xml:space="preserve"> </w:t>
      </w:r>
      <w:r>
        <w:t>“#REF!”, “#NAME?”, etc.) in Section VI.</w:t>
      </w:r>
    </w:p>
    <w:p>
      <w:pPr>
        <w:spacing w:before="241"/>
        <w:ind w:left="504" w:right="0" w:firstLine="0"/>
        <w:jc w:val="left"/>
        <w:rPr>
          <w:rFonts w:ascii="Arial" w:hAnsi="Arial"/>
          <w:b/>
          <w:sz w:val="21"/>
        </w:rPr>
      </w:pPr>
      <w:bookmarkStart w:id="246" w:name="Line 1 – Use of Plan-Provided ISAR Facto"/>
      <w:bookmarkEnd w:id="246"/>
      <w:r>
        <w:rPr>
          <w:rFonts w:ascii="Arial" w:hAnsi="Arial"/>
          <w:b/>
          <w:sz w:val="21"/>
        </w:rPr>
        <w:t>Line</w:t>
      </w:r>
      <w:r>
        <w:rPr>
          <w:rFonts w:ascii="Arial" w:hAnsi="Arial"/>
          <w:b/>
          <w:spacing w:val="-4"/>
          <w:sz w:val="21"/>
        </w:rPr>
        <w:t xml:space="preserve"> </w:t>
      </w:r>
      <w:r>
        <w:rPr>
          <w:rFonts w:ascii="Arial" w:hAnsi="Arial"/>
          <w:b/>
          <w:sz w:val="21"/>
        </w:rPr>
        <w:t>1</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Use</w:t>
      </w:r>
      <w:r>
        <w:rPr>
          <w:rFonts w:ascii="Arial" w:hAnsi="Arial"/>
          <w:b/>
          <w:spacing w:val="-6"/>
          <w:sz w:val="21"/>
        </w:rPr>
        <w:t xml:space="preserve"> </w:t>
      </w:r>
      <w:r>
        <w:rPr>
          <w:rFonts w:ascii="Arial" w:hAnsi="Arial"/>
          <w:b/>
          <w:sz w:val="21"/>
        </w:rPr>
        <w:t>of</w:t>
      </w:r>
      <w:r>
        <w:rPr>
          <w:rFonts w:ascii="Arial" w:hAnsi="Arial"/>
          <w:b/>
          <w:spacing w:val="-4"/>
          <w:sz w:val="21"/>
        </w:rPr>
        <w:t xml:space="preserve"> </w:t>
      </w:r>
      <w:r>
        <w:rPr>
          <w:rFonts w:ascii="Arial" w:hAnsi="Arial"/>
          <w:b/>
          <w:sz w:val="21"/>
        </w:rPr>
        <w:t>Plan-Provided</w:t>
      </w:r>
      <w:r>
        <w:rPr>
          <w:rFonts w:ascii="Arial" w:hAnsi="Arial"/>
          <w:b/>
          <w:spacing w:val="-3"/>
          <w:sz w:val="21"/>
        </w:rPr>
        <w:t xml:space="preserve"> </w:t>
      </w:r>
      <w:r>
        <w:rPr>
          <w:rFonts w:ascii="Arial" w:hAnsi="Arial"/>
          <w:b/>
          <w:sz w:val="21"/>
        </w:rPr>
        <w:t>ISAR</w:t>
      </w:r>
      <w:r>
        <w:rPr>
          <w:rFonts w:ascii="Arial" w:hAnsi="Arial"/>
          <w:b/>
          <w:spacing w:val="-2"/>
          <w:sz w:val="21"/>
        </w:rPr>
        <w:t xml:space="preserve"> Factors</w:t>
      </w:r>
    </w:p>
    <w:p>
      <w:pPr>
        <w:pStyle w:val="BodyText"/>
        <w:spacing w:before="120"/>
      </w:pPr>
      <w:r>
        <w:t>Regional</w:t>
      </w:r>
      <w:r>
        <w:rPr>
          <w:spacing w:val="-2"/>
        </w:rPr>
        <w:t xml:space="preserve"> </w:t>
      </w:r>
      <w:r>
        <w:t>plans</w:t>
      </w:r>
      <w:r>
        <w:rPr>
          <w:spacing w:val="-2"/>
        </w:rPr>
        <w:t xml:space="preserve"> </w:t>
      </w:r>
      <w:r>
        <w:t>that</w:t>
      </w:r>
      <w:r>
        <w:rPr>
          <w:spacing w:val="-1"/>
        </w:rPr>
        <w:t xml:space="preserve"> </w:t>
      </w:r>
      <w:r>
        <w:t>wish</w:t>
      </w:r>
      <w:r>
        <w:rPr>
          <w:spacing w:val="-2"/>
        </w:rPr>
        <w:t xml:space="preserve"> </w:t>
      </w:r>
      <w:r>
        <w:t>to</w:t>
      </w:r>
      <w:r>
        <w:rPr>
          <w:spacing w:val="-1"/>
        </w:rPr>
        <w:t xml:space="preserve"> </w:t>
      </w:r>
      <w:r>
        <w:t>use</w:t>
      </w:r>
      <w:r>
        <w:rPr>
          <w:spacing w:val="-2"/>
        </w:rPr>
        <w:t xml:space="preserve"> </w:t>
      </w:r>
      <w:r>
        <w:t>ISAR</w:t>
      </w:r>
      <w:r>
        <w:rPr>
          <w:spacing w:val="-2"/>
        </w:rPr>
        <w:t xml:space="preserve"> </w:t>
      </w:r>
      <w:r>
        <w:t>factors</w:t>
      </w:r>
      <w:r>
        <w:rPr>
          <w:spacing w:val="-2"/>
        </w:rPr>
        <w:t xml:space="preserve"> </w:t>
      </w:r>
      <w:r>
        <w:t>to</w:t>
      </w:r>
      <w:r>
        <w:rPr>
          <w:spacing w:val="-1"/>
        </w:rPr>
        <w:t xml:space="preserve"> </w:t>
      </w:r>
      <w:r>
        <w:t>develop</w:t>
      </w:r>
      <w:r>
        <w:rPr>
          <w:spacing w:val="-2"/>
        </w:rPr>
        <w:t xml:space="preserve"> </w:t>
      </w:r>
      <w:r>
        <w:t>their</w:t>
      </w:r>
      <w:r>
        <w:rPr>
          <w:spacing w:val="-1"/>
        </w:rPr>
        <w:t xml:space="preserve"> </w:t>
      </w:r>
      <w:r>
        <w:t>county</w:t>
      </w:r>
      <w:r>
        <w:rPr>
          <w:spacing w:val="-1"/>
        </w:rPr>
        <w:t xml:space="preserve"> </w:t>
      </w:r>
      <w:r>
        <w:t>payment</w:t>
      </w:r>
      <w:r>
        <w:rPr>
          <w:spacing w:val="-2"/>
        </w:rPr>
        <w:t xml:space="preserve"> </w:t>
      </w:r>
      <w:r>
        <w:t>rates</w:t>
      </w:r>
      <w:r>
        <w:rPr>
          <w:spacing w:val="-2"/>
        </w:rPr>
        <w:t xml:space="preserve"> </w:t>
      </w:r>
      <w:r>
        <w:t>must</w:t>
      </w:r>
      <w:r>
        <w:rPr>
          <w:spacing w:val="-1"/>
        </w:rPr>
        <w:t xml:space="preserve"> </w:t>
      </w:r>
      <w:r>
        <w:rPr>
          <w:spacing w:val="-2"/>
        </w:rPr>
        <w:t>enter</w:t>
      </w:r>
    </w:p>
    <w:p>
      <w:pPr>
        <w:pStyle w:val="BodyText"/>
        <w:jc w:val="both"/>
      </w:pPr>
      <w:r>
        <w:t>“Yes”.</w:t>
      </w:r>
      <w:r>
        <w:rPr>
          <w:spacing w:val="-1"/>
        </w:rPr>
        <w:t xml:space="preserve"> </w:t>
      </w:r>
      <w:r>
        <w:t>(Technical</w:t>
      </w:r>
      <w:r>
        <w:rPr>
          <w:spacing w:val="-1"/>
        </w:rPr>
        <w:t xml:space="preserve"> </w:t>
      </w:r>
      <w:r>
        <w:t>note:</w:t>
      </w:r>
      <w:r>
        <w:rPr>
          <w:spacing w:val="1"/>
        </w:rPr>
        <w:t xml:space="preserve"> </w:t>
      </w:r>
      <w:r>
        <w:t>Do</w:t>
      </w:r>
      <w:r>
        <w:rPr>
          <w:spacing w:val="-1"/>
        </w:rPr>
        <w:t xml:space="preserve"> </w:t>
      </w:r>
      <w:r>
        <w:t>not</w:t>
      </w:r>
      <w:r>
        <w:rPr>
          <w:spacing w:val="-1"/>
        </w:rPr>
        <w:t xml:space="preserve"> </w:t>
      </w:r>
      <w:r>
        <w:t>enter</w:t>
      </w:r>
      <w:r>
        <w:rPr>
          <w:spacing w:val="-3"/>
        </w:rPr>
        <w:t xml:space="preserve"> </w:t>
      </w:r>
      <w:r>
        <w:t>“Y”</w:t>
      </w:r>
      <w:r>
        <w:rPr>
          <w:spacing w:val="-3"/>
        </w:rPr>
        <w:t xml:space="preserve"> </w:t>
      </w:r>
      <w:r>
        <w:t>in this</w:t>
      </w:r>
      <w:r>
        <w:rPr>
          <w:spacing w:val="-2"/>
        </w:rPr>
        <w:t xml:space="preserve"> </w:t>
      </w:r>
      <w:r>
        <w:t>field;</w:t>
      </w:r>
      <w:r>
        <w:rPr>
          <w:spacing w:val="-1"/>
        </w:rPr>
        <w:t xml:space="preserve"> </w:t>
      </w:r>
      <w:r>
        <w:t>enter</w:t>
      </w:r>
      <w:r>
        <w:rPr>
          <w:spacing w:val="-1"/>
        </w:rPr>
        <w:t xml:space="preserve"> </w:t>
      </w:r>
      <w:r>
        <w:t>the</w:t>
      </w:r>
      <w:r>
        <w:rPr>
          <w:spacing w:val="-3"/>
        </w:rPr>
        <w:t xml:space="preserve"> </w:t>
      </w:r>
      <w:r>
        <w:t>entire</w:t>
      </w:r>
      <w:r>
        <w:rPr>
          <w:spacing w:val="-1"/>
        </w:rPr>
        <w:t xml:space="preserve"> </w:t>
      </w:r>
      <w:r>
        <w:t xml:space="preserve">word </w:t>
      </w:r>
      <w:r>
        <w:rPr>
          <w:spacing w:val="-2"/>
        </w:rPr>
        <w:t>“Yes”.)</w:t>
      </w:r>
    </w:p>
    <w:p>
      <w:pPr>
        <w:spacing w:before="241"/>
        <w:ind w:left="504" w:right="0" w:firstLine="0"/>
        <w:jc w:val="left"/>
        <w:rPr>
          <w:rFonts w:ascii="Arial" w:hAnsi="Arial"/>
          <w:b/>
          <w:sz w:val="21"/>
        </w:rPr>
      </w:pPr>
      <w:bookmarkStart w:id="247" w:name="Line 2 – Total or Weighted Average for t"/>
      <w:bookmarkEnd w:id="247"/>
      <w:r>
        <w:rPr>
          <w:rFonts w:ascii="Arial" w:hAnsi="Arial"/>
          <w:b/>
          <w:sz w:val="21"/>
        </w:rPr>
        <w:t>Line</w:t>
      </w:r>
      <w:r>
        <w:rPr>
          <w:rFonts w:ascii="Arial" w:hAnsi="Arial"/>
          <w:b/>
          <w:spacing w:val="-7"/>
          <w:sz w:val="21"/>
        </w:rPr>
        <w:t xml:space="preserve"> </w:t>
      </w:r>
      <w:r>
        <w:rPr>
          <w:rFonts w:ascii="Arial" w:hAnsi="Arial"/>
          <w:b/>
          <w:sz w:val="21"/>
        </w:rPr>
        <w:t>2</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Total</w:t>
      </w:r>
      <w:r>
        <w:rPr>
          <w:rFonts w:ascii="Arial" w:hAnsi="Arial"/>
          <w:b/>
          <w:spacing w:val="-6"/>
          <w:sz w:val="21"/>
        </w:rPr>
        <w:t xml:space="preserve"> </w:t>
      </w:r>
      <w:r>
        <w:rPr>
          <w:rFonts w:ascii="Arial" w:hAnsi="Arial"/>
          <w:b/>
          <w:sz w:val="21"/>
        </w:rPr>
        <w:t>or</w:t>
      </w:r>
      <w:r>
        <w:rPr>
          <w:rFonts w:ascii="Arial" w:hAnsi="Arial"/>
          <w:b/>
          <w:spacing w:val="-4"/>
          <w:sz w:val="21"/>
        </w:rPr>
        <w:t xml:space="preserve"> </w:t>
      </w:r>
      <w:r>
        <w:rPr>
          <w:rFonts w:ascii="Arial" w:hAnsi="Arial"/>
          <w:b/>
          <w:sz w:val="21"/>
        </w:rPr>
        <w:t>Weighted</w:t>
      </w:r>
      <w:r>
        <w:rPr>
          <w:rFonts w:ascii="Arial" w:hAnsi="Arial"/>
          <w:b/>
          <w:spacing w:val="-4"/>
          <w:sz w:val="21"/>
        </w:rPr>
        <w:t xml:space="preserve"> </w:t>
      </w:r>
      <w:r>
        <w:rPr>
          <w:rFonts w:ascii="Arial" w:hAnsi="Arial"/>
          <w:b/>
          <w:sz w:val="21"/>
        </w:rPr>
        <w:t>Average</w:t>
      </w:r>
      <w:r>
        <w:rPr>
          <w:rFonts w:ascii="Arial" w:hAnsi="Arial"/>
          <w:b/>
          <w:spacing w:val="-5"/>
          <w:sz w:val="21"/>
        </w:rPr>
        <w:t xml:space="preserve"> </w:t>
      </w:r>
      <w:r>
        <w:rPr>
          <w:rFonts w:ascii="Arial" w:hAnsi="Arial"/>
          <w:b/>
          <w:sz w:val="21"/>
        </w:rPr>
        <w:t>for</w:t>
      </w:r>
      <w:r>
        <w:rPr>
          <w:rFonts w:ascii="Arial" w:hAnsi="Arial"/>
          <w:b/>
          <w:spacing w:val="-4"/>
          <w:sz w:val="21"/>
        </w:rPr>
        <w:t xml:space="preserve"> </w:t>
      </w:r>
      <w:r>
        <w:rPr>
          <w:rFonts w:ascii="Arial" w:hAnsi="Arial"/>
          <w:b/>
          <w:sz w:val="21"/>
        </w:rPr>
        <w:t>the</w:t>
      </w:r>
      <w:r>
        <w:rPr>
          <w:rFonts w:ascii="Arial" w:hAnsi="Arial"/>
          <w:b/>
          <w:spacing w:val="-4"/>
          <w:sz w:val="21"/>
        </w:rPr>
        <w:t xml:space="preserve"> </w:t>
      </w:r>
      <w:r>
        <w:rPr>
          <w:rFonts w:ascii="Arial" w:hAnsi="Arial"/>
          <w:b/>
          <w:sz w:val="21"/>
        </w:rPr>
        <w:t>Service</w:t>
      </w:r>
      <w:r>
        <w:rPr>
          <w:rFonts w:ascii="Arial" w:hAnsi="Arial"/>
          <w:b/>
          <w:spacing w:val="-4"/>
          <w:sz w:val="21"/>
        </w:rPr>
        <w:t xml:space="preserve"> Area</w:t>
      </w:r>
    </w:p>
    <w:p>
      <w:pPr>
        <w:pStyle w:val="BodyText"/>
        <w:spacing w:before="118"/>
        <w:ind w:right="2040"/>
        <w:jc w:val="both"/>
      </w:pPr>
      <w:r>
        <w:t>The</w:t>
      </w:r>
      <w:r>
        <w:rPr>
          <w:spacing w:val="-6"/>
        </w:rPr>
        <w:t xml:space="preserve"> </w:t>
      </w:r>
      <w:r>
        <w:t>county-level</w:t>
      </w:r>
      <w:r>
        <w:rPr>
          <w:spacing w:val="-4"/>
        </w:rPr>
        <w:t xml:space="preserve"> </w:t>
      </w:r>
      <w:r>
        <w:t>data</w:t>
      </w:r>
      <w:r>
        <w:rPr>
          <w:spacing w:val="-5"/>
        </w:rPr>
        <w:t xml:space="preserve"> </w:t>
      </w:r>
      <w:r>
        <w:t>are</w:t>
      </w:r>
      <w:r>
        <w:rPr>
          <w:spacing w:val="-4"/>
        </w:rPr>
        <w:t xml:space="preserve"> </w:t>
      </w:r>
      <w:r>
        <w:t>summarized</w:t>
      </w:r>
      <w:r>
        <w:rPr>
          <w:spacing w:val="-4"/>
        </w:rPr>
        <w:t xml:space="preserve"> </w:t>
      </w:r>
      <w:r>
        <w:t>in</w:t>
      </w:r>
      <w:r>
        <w:rPr>
          <w:spacing w:val="-4"/>
        </w:rPr>
        <w:t xml:space="preserve"> </w:t>
      </w:r>
      <w:r>
        <w:t>this</w:t>
      </w:r>
      <w:r>
        <w:rPr>
          <w:spacing w:val="-5"/>
        </w:rPr>
        <w:t xml:space="preserve"> </w:t>
      </w:r>
      <w:r>
        <w:t>line,</w:t>
      </w:r>
      <w:r>
        <w:rPr>
          <w:spacing w:val="-4"/>
        </w:rPr>
        <w:t xml:space="preserve"> </w:t>
      </w:r>
      <w:r>
        <w:t>weighted</w:t>
      </w:r>
      <w:r>
        <w:rPr>
          <w:spacing w:val="-4"/>
        </w:rPr>
        <w:t xml:space="preserve"> </w:t>
      </w:r>
      <w:r>
        <w:t>by</w:t>
      </w:r>
      <w:r>
        <w:rPr>
          <w:spacing w:val="-4"/>
        </w:rPr>
        <w:t xml:space="preserve"> </w:t>
      </w:r>
      <w:r>
        <w:t>projected</w:t>
      </w:r>
      <w:r>
        <w:rPr>
          <w:spacing w:val="-4"/>
        </w:rPr>
        <w:t xml:space="preserve"> </w:t>
      </w:r>
      <w:r>
        <w:t>member</w:t>
      </w:r>
      <w:r>
        <w:rPr>
          <w:spacing w:val="-4"/>
        </w:rPr>
        <w:t xml:space="preserve"> </w:t>
      </w:r>
      <w:r>
        <w:t>months (including out-of-area in row 38). The projected risk factors are also weighted by</w:t>
      </w:r>
    </w:p>
    <w:p>
      <w:pPr>
        <w:pStyle w:val="BodyText"/>
        <w:jc w:val="both"/>
      </w:pPr>
      <w:r>
        <w:t>MA</w:t>
      </w:r>
      <w:r>
        <w:rPr>
          <w:spacing w:val="-2"/>
        </w:rPr>
        <w:t xml:space="preserve"> </w:t>
      </w:r>
      <w:r>
        <w:t xml:space="preserve">Ratebook </w:t>
      </w:r>
      <w:r>
        <w:rPr>
          <w:spacing w:val="-2"/>
        </w:rPr>
        <w:t>rates.</w:t>
      </w:r>
    </w:p>
    <w:p>
      <w:pPr>
        <w:pStyle w:val="BodyText"/>
        <w:spacing w:after="0"/>
        <w:jc w:val="both"/>
        <w:sectPr>
          <w:pgSz w:w="12240" w:h="15840"/>
          <w:pgMar w:top="960" w:right="0" w:bottom="940" w:left="1080" w:header="727" w:footer="747"/>
          <w:cols w:space="720"/>
        </w:sectPr>
      </w:pPr>
    </w:p>
    <w:p>
      <w:pPr>
        <w:pStyle w:val="BodyText"/>
        <w:spacing w:before="225"/>
        <w:ind w:left="0"/>
        <w:rPr>
          <w:sz w:val="21"/>
        </w:rPr>
      </w:pPr>
    </w:p>
    <w:p>
      <w:pPr>
        <w:spacing w:before="0"/>
        <w:ind w:left="504" w:right="0" w:firstLine="0"/>
        <w:jc w:val="left"/>
        <w:rPr>
          <w:rFonts w:ascii="Arial" w:hAnsi="Arial"/>
          <w:b/>
          <w:sz w:val="21"/>
        </w:rPr>
      </w:pPr>
      <w:bookmarkStart w:id="248" w:name="Line 3 – County-Level Detail"/>
      <w:bookmarkEnd w:id="248"/>
      <w:r>
        <w:rPr>
          <w:rFonts w:ascii="Arial" w:hAnsi="Arial"/>
          <w:b/>
          <w:sz w:val="21"/>
        </w:rPr>
        <w:t>Line</w:t>
      </w:r>
      <w:r>
        <w:rPr>
          <w:rFonts w:ascii="Arial" w:hAnsi="Arial"/>
          <w:b/>
          <w:spacing w:val="-5"/>
          <w:sz w:val="21"/>
        </w:rPr>
        <w:t xml:space="preserve"> </w:t>
      </w:r>
      <w:r>
        <w:rPr>
          <w:rFonts w:ascii="Arial" w:hAnsi="Arial"/>
          <w:b/>
          <w:sz w:val="21"/>
        </w:rPr>
        <w:t>3</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County-Level</w:t>
      </w:r>
      <w:r>
        <w:rPr>
          <w:rFonts w:ascii="Arial" w:hAnsi="Arial"/>
          <w:b/>
          <w:spacing w:val="-5"/>
          <w:sz w:val="21"/>
        </w:rPr>
        <w:t xml:space="preserve"> </w:t>
      </w:r>
      <w:r>
        <w:rPr>
          <w:rFonts w:ascii="Arial" w:hAnsi="Arial"/>
          <w:b/>
          <w:spacing w:val="-2"/>
          <w:sz w:val="21"/>
        </w:rPr>
        <w:t>Detail</w:t>
      </w:r>
    </w:p>
    <w:p>
      <w:pPr>
        <w:pStyle w:val="ListParagraph"/>
        <w:numPr>
          <w:ilvl w:val="0"/>
          <w:numId w:val="39"/>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b</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State-County</w:t>
      </w:r>
      <w:r>
        <w:rPr>
          <w:rFonts w:ascii="Arial" w:hAnsi="Arial"/>
          <w:b/>
          <w:spacing w:val="-5"/>
          <w:sz w:val="21"/>
        </w:rPr>
        <w:t xml:space="preserve"> </w:t>
      </w:r>
      <w:r>
        <w:rPr>
          <w:rFonts w:ascii="Arial" w:hAnsi="Arial"/>
          <w:b/>
          <w:spacing w:val="-4"/>
          <w:sz w:val="21"/>
        </w:rPr>
        <w:t>Code</w:t>
      </w:r>
    </w:p>
    <w:p>
      <w:pPr>
        <w:pStyle w:val="BodyText"/>
        <w:spacing w:before="118"/>
        <w:ind w:left="1224" w:right="1481"/>
      </w:pPr>
      <w:r>
        <w:t>Enter</w:t>
      </w:r>
      <w:r>
        <w:rPr>
          <w:spacing w:val="-4"/>
        </w:rPr>
        <w:t xml:space="preserve"> </w:t>
      </w:r>
      <w:r>
        <w:t>the</w:t>
      </w:r>
      <w:r>
        <w:rPr>
          <w:spacing w:val="-5"/>
        </w:rPr>
        <w:t xml:space="preserve"> </w:t>
      </w:r>
      <w:r>
        <w:t>Social</w:t>
      </w:r>
      <w:r>
        <w:rPr>
          <w:spacing w:val="-4"/>
        </w:rPr>
        <w:t xml:space="preserve"> </w:t>
      </w:r>
      <w:r>
        <w:t>Security</w:t>
      </w:r>
      <w:r>
        <w:rPr>
          <w:spacing w:val="-2"/>
        </w:rPr>
        <w:t xml:space="preserve"> </w:t>
      </w:r>
      <w:r>
        <w:t>Administration</w:t>
      </w:r>
      <w:r>
        <w:rPr>
          <w:spacing w:val="-4"/>
        </w:rPr>
        <w:t xml:space="preserve"> </w:t>
      </w:r>
      <w:r>
        <w:t>(SSA)</w:t>
      </w:r>
      <w:r>
        <w:rPr>
          <w:spacing w:val="-4"/>
        </w:rPr>
        <w:t xml:space="preserve"> </w:t>
      </w:r>
      <w:r>
        <w:t>state-county</w:t>
      </w:r>
      <w:r>
        <w:rPr>
          <w:spacing w:val="-4"/>
        </w:rPr>
        <w:t xml:space="preserve"> </w:t>
      </w:r>
      <w:r>
        <w:t>codes</w:t>
      </w:r>
      <w:r>
        <w:rPr>
          <w:spacing w:val="-5"/>
        </w:rPr>
        <w:t xml:space="preserve"> </w:t>
      </w:r>
      <w:r>
        <w:t>that</w:t>
      </w:r>
      <w:r>
        <w:rPr>
          <w:spacing w:val="-4"/>
        </w:rPr>
        <w:t xml:space="preserve"> </w:t>
      </w:r>
      <w:r>
        <w:t>define</w:t>
      </w:r>
      <w:r>
        <w:rPr>
          <w:spacing w:val="-5"/>
        </w:rPr>
        <w:t xml:space="preserve"> </w:t>
      </w:r>
      <w:r>
        <w:t>the</w:t>
      </w:r>
      <w:r>
        <w:rPr>
          <w:spacing w:val="-4"/>
        </w:rPr>
        <w:t xml:space="preserve"> </w:t>
      </w:r>
      <w:r>
        <w:t>MA service area, in accordance with the following:</w:t>
      </w:r>
    </w:p>
    <w:p>
      <w:pPr>
        <w:pStyle w:val="ListParagraph"/>
        <w:numPr>
          <w:ilvl w:val="1"/>
          <w:numId w:val="39"/>
        </w:numPr>
        <w:tabs>
          <w:tab w:val="left" w:pos="1584"/>
        </w:tabs>
        <w:spacing w:before="120" w:after="0" w:line="240" w:lineRule="auto"/>
        <w:ind w:left="1584" w:right="1690" w:hanging="360"/>
        <w:jc w:val="left"/>
        <w:rPr>
          <w:sz w:val="24"/>
        </w:rPr>
      </w:pPr>
      <w:r>
        <w:rPr>
          <w:sz w:val="24"/>
        </w:rPr>
        <w:t>Each state-county code must be entered as a text input (that is, must include a preceding apostrophe) and must include all leading zeroes (for example, ‘01000). This field is formatted as the “General” format in Excel, in order to support the functionality</w:t>
      </w:r>
      <w:r>
        <w:rPr>
          <w:spacing w:val="-4"/>
          <w:sz w:val="24"/>
        </w:rPr>
        <w:t xml:space="preserve"> </w:t>
      </w:r>
      <w:r>
        <w:rPr>
          <w:sz w:val="24"/>
        </w:rPr>
        <w:t>to</w:t>
      </w:r>
      <w:r>
        <w:rPr>
          <w:spacing w:val="-4"/>
          <w:sz w:val="24"/>
        </w:rPr>
        <w:t xml:space="preserve"> </w:t>
      </w:r>
      <w:r>
        <w:rPr>
          <w:sz w:val="24"/>
        </w:rPr>
        <w:t>link</w:t>
      </w:r>
      <w:r>
        <w:rPr>
          <w:spacing w:val="-4"/>
          <w:sz w:val="24"/>
        </w:rPr>
        <w:t xml:space="preserve"> </w:t>
      </w:r>
      <w:r>
        <w:rPr>
          <w:sz w:val="24"/>
        </w:rPr>
        <w:t>spreadsheets.</w:t>
      </w:r>
      <w:r>
        <w:rPr>
          <w:spacing w:val="-4"/>
          <w:sz w:val="24"/>
        </w:rPr>
        <w:t xml:space="preserve"> </w:t>
      </w:r>
      <w:r>
        <w:rPr>
          <w:sz w:val="24"/>
        </w:rPr>
        <w:t>Therefore,</w:t>
      </w:r>
      <w:r>
        <w:rPr>
          <w:spacing w:val="-4"/>
          <w:sz w:val="24"/>
        </w:rPr>
        <w:t xml:space="preserve"> </w:t>
      </w:r>
      <w:r>
        <w:rPr>
          <w:sz w:val="24"/>
        </w:rPr>
        <w:t>county</w:t>
      </w:r>
      <w:r>
        <w:rPr>
          <w:spacing w:val="-4"/>
          <w:sz w:val="24"/>
        </w:rPr>
        <w:t xml:space="preserve"> </w:t>
      </w:r>
      <w:r>
        <w:rPr>
          <w:sz w:val="24"/>
        </w:rPr>
        <w:t>codes</w:t>
      </w:r>
      <w:r>
        <w:rPr>
          <w:spacing w:val="-5"/>
          <w:sz w:val="24"/>
        </w:rPr>
        <w:t xml:space="preserve"> </w:t>
      </w:r>
      <w:r>
        <w:rPr>
          <w:sz w:val="24"/>
        </w:rPr>
        <w:t>must</w:t>
      </w:r>
      <w:r>
        <w:rPr>
          <w:spacing w:val="-4"/>
          <w:sz w:val="24"/>
        </w:rPr>
        <w:t xml:space="preserve"> </w:t>
      </w:r>
      <w:r>
        <w:rPr>
          <w:sz w:val="24"/>
        </w:rPr>
        <w:t>be</w:t>
      </w:r>
      <w:r>
        <w:rPr>
          <w:spacing w:val="-4"/>
          <w:sz w:val="24"/>
        </w:rPr>
        <w:t xml:space="preserve"> </w:t>
      </w:r>
      <w:r>
        <w:rPr>
          <w:sz w:val="24"/>
        </w:rPr>
        <w:t>entered</w:t>
      </w:r>
      <w:r>
        <w:rPr>
          <w:spacing w:val="-4"/>
          <w:sz w:val="24"/>
        </w:rPr>
        <w:t xml:space="preserve"> </w:t>
      </w:r>
      <w:r>
        <w:rPr>
          <w:sz w:val="24"/>
        </w:rPr>
        <w:t>as</w:t>
      </w:r>
      <w:r>
        <w:rPr>
          <w:spacing w:val="-5"/>
          <w:sz w:val="24"/>
        </w:rPr>
        <w:t xml:space="preserve"> </w:t>
      </w:r>
      <w:r>
        <w:rPr>
          <w:sz w:val="24"/>
        </w:rPr>
        <w:t>text (that is, using a preceding apostrophe) and must include any leading zeroes.</w:t>
      </w:r>
    </w:p>
    <w:p>
      <w:pPr>
        <w:pStyle w:val="ListParagraph"/>
        <w:numPr>
          <w:ilvl w:val="1"/>
          <w:numId w:val="39"/>
        </w:numPr>
        <w:tabs>
          <w:tab w:val="left" w:pos="1584"/>
        </w:tabs>
        <w:spacing w:before="0" w:after="0" w:line="240" w:lineRule="auto"/>
        <w:ind w:left="1584" w:right="1508" w:hanging="360"/>
        <w:jc w:val="left"/>
        <w:rPr>
          <w:sz w:val="24"/>
        </w:rPr>
      </w:pPr>
      <w:r>
        <w:rPr>
          <w:sz w:val="24"/>
        </w:rPr>
        <w:t>If the service area has more than one county, do not leave any blank rows between the</w:t>
      </w:r>
      <w:r>
        <w:rPr>
          <w:spacing w:val="-3"/>
          <w:sz w:val="24"/>
        </w:rPr>
        <w:t xml:space="preserve"> </w:t>
      </w:r>
      <w:r>
        <w:rPr>
          <w:sz w:val="24"/>
        </w:rPr>
        <w:t>first</w:t>
      </w:r>
      <w:r>
        <w:rPr>
          <w:spacing w:val="-3"/>
          <w:sz w:val="24"/>
        </w:rPr>
        <w:t xml:space="preserve"> </w:t>
      </w:r>
      <w:r>
        <w:rPr>
          <w:sz w:val="24"/>
        </w:rPr>
        <w:t>and</w:t>
      </w:r>
      <w:r>
        <w:rPr>
          <w:spacing w:val="-3"/>
          <w:sz w:val="24"/>
        </w:rPr>
        <w:t xml:space="preserve"> </w:t>
      </w:r>
      <w:r>
        <w:rPr>
          <w:sz w:val="24"/>
        </w:rPr>
        <w:t>last</w:t>
      </w:r>
      <w:r>
        <w:rPr>
          <w:spacing w:val="-2"/>
          <w:sz w:val="24"/>
        </w:rPr>
        <w:t xml:space="preserve"> </w:t>
      </w:r>
      <w:r>
        <w:rPr>
          <w:sz w:val="24"/>
        </w:rPr>
        <w:t>state-county</w:t>
      </w:r>
      <w:r>
        <w:rPr>
          <w:spacing w:val="-3"/>
          <w:sz w:val="24"/>
        </w:rPr>
        <w:t xml:space="preserve"> </w:t>
      </w:r>
      <w:r>
        <w:rPr>
          <w:sz w:val="24"/>
        </w:rPr>
        <w:t>code</w:t>
      </w:r>
      <w:r>
        <w:rPr>
          <w:spacing w:val="-5"/>
          <w:sz w:val="24"/>
        </w:rPr>
        <w:t xml:space="preserve"> </w:t>
      </w:r>
      <w:r>
        <w:rPr>
          <w:sz w:val="24"/>
        </w:rPr>
        <w:t>entered.</w:t>
      </w:r>
      <w:r>
        <w:rPr>
          <w:spacing w:val="-3"/>
          <w:sz w:val="24"/>
        </w:rPr>
        <w:t xml:space="preserve"> </w:t>
      </w:r>
      <w:r>
        <w:rPr>
          <w:sz w:val="24"/>
        </w:rPr>
        <w:t>Also,</w:t>
      </w:r>
      <w:r>
        <w:rPr>
          <w:spacing w:val="-1"/>
          <w:sz w:val="24"/>
        </w:rPr>
        <w:t xml:space="preserve"> </w:t>
      </w:r>
      <w:r>
        <w:rPr>
          <w:sz w:val="24"/>
        </w:rPr>
        <w:t>do</w:t>
      </w:r>
      <w:r>
        <w:rPr>
          <w:spacing w:val="-3"/>
          <w:sz w:val="24"/>
        </w:rPr>
        <w:t xml:space="preserve"> </w:t>
      </w:r>
      <w:r>
        <w:rPr>
          <w:sz w:val="24"/>
        </w:rPr>
        <w:t>not</w:t>
      </w:r>
      <w:r>
        <w:rPr>
          <w:spacing w:val="-3"/>
          <w:sz w:val="24"/>
        </w:rPr>
        <w:t xml:space="preserve"> </w:t>
      </w:r>
      <w:r>
        <w:rPr>
          <w:sz w:val="24"/>
        </w:rPr>
        <w:t>leave</w:t>
      </w:r>
      <w:r>
        <w:rPr>
          <w:spacing w:val="-4"/>
          <w:sz w:val="24"/>
        </w:rPr>
        <w:t xml:space="preserve"> </w:t>
      </w:r>
      <w:r>
        <w:rPr>
          <w:sz w:val="24"/>
        </w:rPr>
        <w:t>blank</w:t>
      </w:r>
      <w:r>
        <w:rPr>
          <w:spacing w:val="-3"/>
          <w:sz w:val="24"/>
        </w:rPr>
        <w:t xml:space="preserve"> </w:t>
      </w:r>
      <w:r>
        <w:rPr>
          <w:sz w:val="24"/>
        </w:rPr>
        <w:t>rows</w:t>
      </w:r>
      <w:r>
        <w:rPr>
          <w:spacing w:val="-2"/>
          <w:sz w:val="24"/>
        </w:rPr>
        <w:t xml:space="preserve"> </w:t>
      </w:r>
      <w:r>
        <w:rPr>
          <w:sz w:val="24"/>
        </w:rPr>
        <w:t>before</w:t>
      </w:r>
      <w:r>
        <w:rPr>
          <w:spacing w:val="-4"/>
          <w:sz w:val="24"/>
        </w:rPr>
        <w:t xml:space="preserve"> </w:t>
      </w:r>
      <w:r>
        <w:rPr>
          <w:sz w:val="24"/>
        </w:rPr>
        <w:t>the first county code entered.</w:t>
      </w:r>
    </w:p>
    <w:p>
      <w:pPr>
        <w:pStyle w:val="ListParagraph"/>
        <w:numPr>
          <w:ilvl w:val="1"/>
          <w:numId w:val="39"/>
        </w:numPr>
        <w:tabs>
          <w:tab w:val="left" w:pos="1584"/>
        </w:tabs>
        <w:spacing w:before="1" w:after="0" w:line="240" w:lineRule="auto"/>
        <w:ind w:left="1584" w:right="0" w:hanging="360"/>
        <w:jc w:val="left"/>
        <w:rPr>
          <w:sz w:val="24"/>
        </w:rPr>
      </w:pPr>
      <w:r>
        <w:rPr>
          <w:sz w:val="24"/>
        </w:rPr>
        <w:t>Do</w:t>
      </w:r>
      <w:r>
        <w:rPr>
          <w:spacing w:val="-1"/>
          <w:sz w:val="24"/>
        </w:rPr>
        <w:t xml:space="preserve"> </w:t>
      </w:r>
      <w:r>
        <w:rPr>
          <w:sz w:val="24"/>
        </w:rPr>
        <w:t>not enter</w:t>
      </w:r>
      <w:r>
        <w:rPr>
          <w:spacing w:val="-2"/>
          <w:sz w:val="24"/>
        </w:rPr>
        <w:t xml:space="preserve"> </w:t>
      </w:r>
      <w:r>
        <w:rPr>
          <w:sz w:val="24"/>
        </w:rPr>
        <w:t>the same</w:t>
      </w:r>
      <w:r>
        <w:rPr>
          <w:spacing w:val="-2"/>
          <w:sz w:val="24"/>
        </w:rPr>
        <w:t xml:space="preserve"> </w:t>
      </w:r>
      <w:r>
        <w:rPr>
          <w:sz w:val="24"/>
        </w:rPr>
        <w:t>state-county code</w:t>
      </w:r>
      <w:r>
        <w:rPr>
          <w:spacing w:val="-1"/>
          <w:sz w:val="24"/>
        </w:rPr>
        <w:t xml:space="preserve"> </w:t>
      </w:r>
      <w:r>
        <w:rPr>
          <w:sz w:val="24"/>
        </w:rPr>
        <w:t>more</w:t>
      </w:r>
      <w:r>
        <w:rPr>
          <w:spacing w:val="-2"/>
          <w:sz w:val="24"/>
        </w:rPr>
        <w:t xml:space="preserve"> </w:t>
      </w:r>
      <w:r>
        <w:rPr>
          <w:sz w:val="24"/>
        </w:rPr>
        <w:t>than</w:t>
      </w:r>
      <w:r>
        <w:rPr>
          <w:spacing w:val="1"/>
          <w:sz w:val="24"/>
        </w:rPr>
        <w:t xml:space="preserve"> </w:t>
      </w:r>
      <w:r>
        <w:rPr>
          <w:spacing w:val="-2"/>
          <w:sz w:val="24"/>
        </w:rPr>
        <w:t>once.</w:t>
      </w:r>
    </w:p>
    <w:p>
      <w:pPr>
        <w:pStyle w:val="ListParagraph"/>
        <w:numPr>
          <w:ilvl w:val="1"/>
          <w:numId w:val="39"/>
        </w:numPr>
        <w:tabs>
          <w:tab w:val="left" w:pos="1584"/>
        </w:tabs>
        <w:spacing w:before="0" w:after="0" w:line="240" w:lineRule="auto"/>
        <w:ind w:left="1584" w:right="0" w:hanging="360"/>
        <w:jc w:val="left"/>
        <w:rPr>
          <w:sz w:val="24"/>
        </w:rPr>
      </w:pPr>
      <w:r>
        <w:rPr>
          <w:sz w:val="24"/>
        </w:rPr>
        <w:t>Do</w:t>
      </w:r>
      <w:r>
        <w:rPr>
          <w:spacing w:val="-2"/>
          <w:sz w:val="24"/>
        </w:rPr>
        <w:t xml:space="preserve"> </w:t>
      </w:r>
      <w:r>
        <w:rPr>
          <w:sz w:val="24"/>
        </w:rPr>
        <w:t>not</w:t>
      </w:r>
      <w:r>
        <w:rPr>
          <w:spacing w:val="-1"/>
          <w:sz w:val="24"/>
        </w:rPr>
        <w:t xml:space="preserve"> </w:t>
      </w:r>
      <w:r>
        <w:rPr>
          <w:sz w:val="24"/>
        </w:rPr>
        <w:t>insert</w:t>
      </w:r>
      <w:r>
        <w:rPr>
          <w:spacing w:val="-1"/>
          <w:sz w:val="24"/>
        </w:rPr>
        <w:t xml:space="preserve"> </w:t>
      </w:r>
      <w:r>
        <w:rPr>
          <w:sz w:val="24"/>
        </w:rPr>
        <w:t>any</w:t>
      </w:r>
      <w:r>
        <w:rPr>
          <w:spacing w:val="-1"/>
          <w:sz w:val="24"/>
        </w:rPr>
        <w:t xml:space="preserve"> </w:t>
      </w:r>
      <w:r>
        <w:rPr>
          <w:sz w:val="24"/>
        </w:rPr>
        <w:t>additional</w:t>
      </w:r>
      <w:r>
        <w:rPr>
          <w:spacing w:val="-1"/>
          <w:sz w:val="24"/>
        </w:rPr>
        <w:t xml:space="preserve"> </w:t>
      </w:r>
      <w:r>
        <w:rPr>
          <w:sz w:val="24"/>
        </w:rPr>
        <w:t>rows</w:t>
      </w:r>
      <w:r>
        <w:rPr>
          <w:spacing w:val="-2"/>
          <w:sz w:val="24"/>
        </w:rPr>
        <w:t xml:space="preserve"> </w:t>
      </w:r>
      <w:r>
        <w:rPr>
          <w:sz w:val="24"/>
        </w:rPr>
        <w:t>in</w:t>
      </w:r>
      <w:r>
        <w:rPr>
          <w:spacing w:val="-1"/>
          <w:sz w:val="24"/>
        </w:rPr>
        <w:t xml:space="preserve"> </w:t>
      </w:r>
      <w:r>
        <w:rPr>
          <w:sz w:val="24"/>
        </w:rPr>
        <w:t>the</w:t>
      </w:r>
      <w:r>
        <w:rPr>
          <w:spacing w:val="-2"/>
          <w:sz w:val="24"/>
        </w:rPr>
        <w:t xml:space="preserve"> worksheet.</w:t>
      </w:r>
    </w:p>
    <w:p>
      <w:pPr>
        <w:pStyle w:val="ListParagraph"/>
        <w:numPr>
          <w:ilvl w:val="1"/>
          <w:numId w:val="39"/>
        </w:numPr>
        <w:tabs>
          <w:tab w:val="left" w:pos="1584"/>
        </w:tabs>
        <w:spacing w:before="0" w:after="0" w:line="240" w:lineRule="auto"/>
        <w:ind w:left="1584" w:right="1576" w:hanging="360"/>
        <w:jc w:val="left"/>
        <w:rPr>
          <w:sz w:val="24"/>
        </w:rPr>
      </w:pPr>
      <w:r>
        <w:rPr>
          <w:sz w:val="24"/>
        </w:rPr>
        <w:t>Do</w:t>
      </w:r>
      <w:r>
        <w:rPr>
          <w:spacing w:val="-4"/>
          <w:sz w:val="24"/>
        </w:rPr>
        <w:t xml:space="preserve"> </w:t>
      </w:r>
      <w:r>
        <w:rPr>
          <w:sz w:val="24"/>
        </w:rPr>
        <w:t>not</w:t>
      </w:r>
      <w:r>
        <w:rPr>
          <w:spacing w:val="-4"/>
          <w:sz w:val="24"/>
        </w:rPr>
        <w:t xml:space="preserve"> </w:t>
      </w:r>
      <w:r>
        <w:rPr>
          <w:sz w:val="24"/>
        </w:rPr>
        <w:t>input</w:t>
      </w:r>
      <w:r>
        <w:rPr>
          <w:spacing w:val="-4"/>
          <w:sz w:val="24"/>
        </w:rPr>
        <w:t xml:space="preserve"> </w:t>
      </w:r>
      <w:r>
        <w:rPr>
          <w:sz w:val="24"/>
        </w:rPr>
        <w:t>the</w:t>
      </w:r>
      <w:r>
        <w:rPr>
          <w:spacing w:val="-4"/>
          <w:sz w:val="24"/>
        </w:rPr>
        <w:t xml:space="preserve"> </w:t>
      </w:r>
      <w:r>
        <w:rPr>
          <w:sz w:val="24"/>
        </w:rPr>
        <w:t>out-of-area</w:t>
      </w:r>
      <w:r>
        <w:rPr>
          <w:spacing w:val="-5"/>
          <w:sz w:val="24"/>
        </w:rPr>
        <w:t xml:space="preserve"> </w:t>
      </w:r>
      <w:r>
        <w:rPr>
          <w:sz w:val="24"/>
        </w:rPr>
        <w:t>county,</w:t>
      </w:r>
      <w:r>
        <w:rPr>
          <w:spacing w:val="-2"/>
          <w:sz w:val="24"/>
        </w:rPr>
        <w:t xml:space="preserve"> </w:t>
      </w:r>
      <w:r>
        <w:rPr>
          <w:sz w:val="24"/>
        </w:rPr>
        <w:t>“99999”</w:t>
      </w:r>
      <w:r>
        <w:rPr>
          <w:spacing w:val="-5"/>
          <w:sz w:val="24"/>
        </w:rPr>
        <w:t xml:space="preserve"> </w:t>
      </w:r>
      <w:r>
        <w:rPr>
          <w:sz w:val="24"/>
        </w:rPr>
        <w:t>in</w:t>
      </w:r>
      <w:r>
        <w:rPr>
          <w:spacing w:val="-4"/>
          <w:sz w:val="24"/>
        </w:rPr>
        <w:t xml:space="preserve"> </w:t>
      </w:r>
      <w:r>
        <w:rPr>
          <w:sz w:val="24"/>
        </w:rPr>
        <w:t>rows</w:t>
      </w:r>
      <w:r>
        <w:rPr>
          <w:spacing w:val="-4"/>
          <w:sz w:val="24"/>
        </w:rPr>
        <w:t xml:space="preserve"> </w:t>
      </w:r>
      <w:r>
        <w:rPr>
          <w:sz w:val="24"/>
        </w:rPr>
        <w:t>39</w:t>
      </w:r>
      <w:r>
        <w:rPr>
          <w:spacing w:val="-4"/>
          <w:sz w:val="24"/>
        </w:rPr>
        <w:t xml:space="preserve"> </w:t>
      </w:r>
      <w:r>
        <w:rPr>
          <w:sz w:val="24"/>
        </w:rPr>
        <w:t>through</w:t>
      </w:r>
      <w:r>
        <w:rPr>
          <w:spacing w:val="-4"/>
          <w:sz w:val="24"/>
        </w:rPr>
        <w:t xml:space="preserve"> </w:t>
      </w:r>
      <w:r>
        <w:rPr>
          <w:sz w:val="24"/>
        </w:rPr>
        <w:t>9999.</w:t>
      </w:r>
      <w:r>
        <w:rPr>
          <w:spacing w:val="-4"/>
          <w:sz w:val="24"/>
        </w:rPr>
        <w:t xml:space="preserve"> </w:t>
      </w:r>
      <w:r>
        <w:rPr>
          <w:sz w:val="24"/>
        </w:rPr>
        <w:t>Out-of-area enrollees must be captured in row 38.</w:t>
      </w:r>
    </w:p>
    <w:p>
      <w:pPr>
        <w:pStyle w:val="ListParagraph"/>
        <w:numPr>
          <w:ilvl w:val="1"/>
          <w:numId w:val="39"/>
        </w:numPr>
        <w:tabs>
          <w:tab w:val="left" w:pos="1584"/>
        </w:tabs>
        <w:spacing w:before="0" w:after="0" w:line="240" w:lineRule="auto"/>
        <w:ind w:left="1584" w:right="1551" w:hanging="360"/>
        <w:jc w:val="left"/>
        <w:rPr>
          <w:sz w:val="24"/>
        </w:rPr>
      </w:pPr>
      <w:r>
        <w:rPr>
          <w:sz w:val="24"/>
        </w:rPr>
        <w:t>The</w:t>
      </w:r>
      <w:r>
        <w:rPr>
          <w:spacing w:val="-5"/>
          <w:sz w:val="24"/>
        </w:rPr>
        <w:t xml:space="preserve"> </w:t>
      </w:r>
      <w:r>
        <w:rPr>
          <w:sz w:val="24"/>
        </w:rPr>
        <w:t>county</w:t>
      </w:r>
      <w:r>
        <w:rPr>
          <w:spacing w:val="-3"/>
          <w:sz w:val="24"/>
        </w:rPr>
        <w:t xml:space="preserve"> </w:t>
      </w:r>
      <w:r>
        <w:rPr>
          <w:sz w:val="24"/>
        </w:rPr>
        <w:t>codes</w:t>
      </w:r>
      <w:r>
        <w:rPr>
          <w:spacing w:val="-1"/>
          <w:sz w:val="24"/>
        </w:rPr>
        <w:t xml:space="preserve"> </w:t>
      </w:r>
      <w:r>
        <w:rPr>
          <w:sz w:val="24"/>
        </w:rPr>
        <w:t>entered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BPT</w:t>
      </w:r>
      <w:r>
        <w:rPr>
          <w:spacing w:val="-3"/>
          <w:sz w:val="24"/>
        </w:rPr>
        <w:t xml:space="preserve"> </w:t>
      </w:r>
      <w:r>
        <w:rPr>
          <w:sz w:val="24"/>
        </w:rPr>
        <w:t>must</w:t>
      </w:r>
      <w:r>
        <w:rPr>
          <w:spacing w:val="-3"/>
          <w:sz w:val="24"/>
        </w:rPr>
        <w:t xml:space="preserve"> </w:t>
      </w:r>
      <w:r>
        <w:rPr>
          <w:sz w:val="24"/>
        </w:rPr>
        <w:t>match</w:t>
      </w:r>
      <w:r>
        <w:rPr>
          <w:spacing w:val="-6"/>
          <w:sz w:val="24"/>
        </w:rPr>
        <w:t xml:space="preserve"> </w:t>
      </w:r>
      <w:r>
        <w:rPr>
          <w:sz w:val="24"/>
        </w:rPr>
        <w:t>the</w:t>
      </w:r>
      <w:r>
        <w:rPr>
          <w:spacing w:val="-3"/>
          <w:sz w:val="24"/>
        </w:rPr>
        <w:t xml:space="preserve"> </w:t>
      </w:r>
      <w:r>
        <w:rPr>
          <w:sz w:val="24"/>
        </w:rPr>
        <w:t>service</w:t>
      </w:r>
      <w:r>
        <w:rPr>
          <w:spacing w:val="-2"/>
          <w:sz w:val="24"/>
        </w:rPr>
        <w:t xml:space="preserve"> </w:t>
      </w:r>
      <w:r>
        <w:rPr>
          <w:sz w:val="24"/>
        </w:rPr>
        <w:t>area</w:t>
      </w:r>
      <w:r>
        <w:rPr>
          <w:spacing w:val="-4"/>
          <w:sz w:val="24"/>
        </w:rPr>
        <w:t xml:space="preserve"> </w:t>
      </w:r>
      <w:r>
        <w:rPr>
          <w:sz w:val="24"/>
        </w:rPr>
        <w:t>defined</w:t>
      </w:r>
      <w:r>
        <w:rPr>
          <w:spacing w:val="-3"/>
          <w:sz w:val="24"/>
        </w:rPr>
        <w:t xml:space="preserve"> </w:t>
      </w:r>
      <w:r>
        <w:rPr>
          <w:sz w:val="24"/>
        </w:rPr>
        <w:t>in</w:t>
      </w:r>
      <w:r>
        <w:rPr>
          <w:spacing w:val="-3"/>
          <w:sz w:val="24"/>
        </w:rPr>
        <w:t xml:space="preserve"> </w:t>
      </w:r>
      <w:r>
        <w:rPr>
          <w:sz w:val="24"/>
        </w:rPr>
        <w:t>HPMS by the MAO. Any service area discrepancies between the BPT and HPMS may result in delays during bid review and could affect the approval timeline of the bid.</w:t>
      </w:r>
    </w:p>
    <w:p>
      <w:pPr>
        <w:pStyle w:val="BodyText"/>
        <w:spacing w:before="120"/>
        <w:ind w:left="1224" w:right="1492"/>
      </w:pPr>
      <w:r>
        <w:t>Technical</w:t>
      </w:r>
      <w:r>
        <w:rPr>
          <w:spacing w:val="-3"/>
        </w:rPr>
        <w:t xml:space="preserve"> </w:t>
      </w:r>
      <w:r>
        <w:t>note: In</w:t>
      </w:r>
      <w:r>
        <w:rPr>
          <w:spacing w:val="-1"/>
        </w:rPr>
        <w:t xml:space="preserve"> </w:t>
      </w:r>
      <w:r>
        <w:t>the</w:t>
      </w:r>
      <w:r>
        <w:rPr>
          <w:spacing w:val="-3"/>
        </w:rPr>
        <w:t xml:space="preserve"> </w:t>
      </w:r>
      <w:r>
        <w:t>“finalized”</w:t>
      </w:r>
      <w:r>
        <w:rPr>
          <w:spacing w:val="-4"/>
        </w:rPr>
        <w:t xml:space="preserve"> </w:t>
      </w:r>
      <w:r>
        <w:t>MA</w:t>
      </w:r>
      <w:r>
        <w:rPr>
          <w:spacing w:val="-4"/>
        </w:rPr>
        <w:t xml:space="preserve"> </w:t>
      </w:r>
      <w:r>
        <w:t>BPT</w:t>
      </w:r>
      <w:r>
        <w:rPr>
          <w:spacing w:val="-3"/>
        </w:rPr>
        <w:t xml:space="preserve"> </w:t>
      </w:r>
      <w:r>
        <w:t>file,</w:t>
      </w:r>
      <w:r>
        <w:rPr>
          <w:spacing w:val="-3"/>
        </w:rPr>
        <w:t xml:space="preserve"> </w:t>
      </w:r>
      <w:r>
        <w:t>the</w:t>
      </w:r>
      <w:r>
        <w:rPr>
          <w:spacing w:val="-4"/>
        </w:rPr>
        <w:t xml:space="preserve"> </w:t>
      </w:r>
      <w:r>
        <w:t>county-level</w:t>
      </w:r>
      <w:r>
        <w:rPr>
          <w:spacing w:val="-3"/>
        </w:rPr>
        <w:t xml:space="preserve"> </w:t>
      </w:r>
      <w:r>
        <w:t>section</w:t>
      </w:r>
      <w:r>
        <w:rPr>
          <w:spacing w:val="-3"/>
        </w:rPr>
        <w:t xml:space="preserve"> </w:t>
      </w:r>
      <w:r>
        <w:t>will</w:t>
      </w:r>
      <w:r>
        <w:rPr>
          <w:spacing w:val="-3"/>
        </w:rPr>
        <w:t xml:space="preserve"> </w:t>
      </w:r>
      <w:r>
        <w:t>be</w:t>
      </w:r>
      <w:r>
        <w:rPr>
          <w:spacing w:val="-4"/>
        </w:rPr>
        <w:t xml:space="preserve"> </w:t>
      </w:r>
      <w:r>
        <w:t>sorted in a descending order, based on the county codes entered in column b. See the BPT technical instructions for further information.</w:t>
      </w:r>
    </w:p>
    <w:p>
      <w:pPr>
        <w:pStyle w:val="ListParagraph"/>
        <w:numPr>
          <w:ilvl w:val="0"/>
          <w:numId w:val="39"/>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2"/>
          <w:sz w:val="21"/>
        </w:rPr>
        <w:t xml:space="preserve"> </w:t>
      </w:r>
      <w:r>
        <w:rPr>
          <w:rFonts w:ascii="Arial" w:hAnsi="Arial"/>
          <w:b/>
          <w:sz w:val="21"/>
        </w:rPr>
        <w:t>c</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pacing w:val="-2"/>
          <w:sz w:val="21"/>
        </w:rPr>
        <w:t>State</w:t>
      </w:r>
    </w:p>
    <w:p>
      <w:pPr>
        <w:pStyle w:val="BodyText"/>
        <w:spacing w:before="120"/>
        <w:ind w:left="1224" w:right="1841"/>
      </w:pPr>
      <w:r>
        <w:t>The</w:t>
      </w:r>
      <w:r>
        <w:rPr>
          <w:spacing w:val="-5"/>
        </w:rPr>
        <w:t xml:space="preserve"> </w:t>
      </w:r>
      <w:r>
        <w:t>BPT</w:t>
      </w:r>
      <w:r>
        <w:rPr>
          <w:spacing w:val="-4"/>
        </w:rPr>
        <w:t xml:space="preserve"> </w:t>
      </w:r>
      <w:r>
        <w:t>will</w:t>
      </w:r>
      <w:r>
        <w:rPr>
          <w:spacing w:val="-4"/>
        </w:rPr>
        <w:t xml:space="preserve"> </w:t>
      </w:r>
      <w:r>
        <w:t>display</w:t>
      </w:r>
      <w:r>
        <w:rPr>
          <w:spacing w:val="-4"/>
        </w:rPr>
        <w:t xml:space="preserve"> </w:t>
      </w:r>
      <w:r>
        <w:t>the</w:t>
      </w:r>
      <w:r>
        <w:rPr>
          <w:spacing w:val="-4"/>
        </w:rPr>
        <w:t xml:space="preserve"> </w:t>
      </w:r>
      <w:r>
        <w:t>applicable</w:t>
      </w:r>
      <w:r>
        <w:rPr>
          <w:spacing w:val="-4"/>
        </w:rPr>
        <w:t xml:space="preserve"> </w:t>
      </w:r>
      <w:r>
        <w:t>state</w:t>
      </w:r>
      <w:r>
        <w:rPr>
          <w:spacing w:val="-4"/>
        </w:rPr>
        <w:t xml:space="preserve"> </w:t>
      </w:r>
      <w:r>
        <w:t>name</w:t>
      </w:r>
      <w:r>
        <w:rPr>
          <w:spacing w:val="-4"/>
        </w:rPr>
        <w:t xml:space="preserve"> </w:t>
      </w:r>
      <w:r>
        <w:t>based</w:t>
      </w:r>
      <w:r>
        <w:rPr>
          <w:spacing w:val="-4"/>
        </w:rPr>
        <w:t xml:space="preserve"> </w:t>
      </w:r>
      <w:r>
        <w:t>on</w:t>
      </w:r>
      <w:r>
        <w:rPr>
          <w:spacing w:val="-4"/>
        </w:rPr>
        <w:t xml:space="preserve"> </w:t>
      </w:r>
      <w:r>
        <w:t>the</w:t>
      </w:r>
      <w:r>
        <w:rPr>
          <w:spacing w:val="-4"/>
        </w:rPr>
        <w:t xml:space="preserve"> </w:t>
      </w:r>
      <w:r>
        <w:t>corresponding</w:t>
      </w:r>
      <w:r>
        <w:rPr>
          <w:spacing w:val="-2"/>
        </w:rPr>
        <w:t xml:space="preserve"> </w:t>
      </w:r>
      <w:r>
        <w:t>code entered in column b. No user entry is required.</w:t>
      </w:r>
    </w:p>
    <w:p>
      <w:pPr>
        <w:pStyle w:val="ListParagraph"/>
        <w:numPr>
          <w:ilvl w:val="0"/>
          <w:numId w:val="39"/>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d</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z w:val="21"/>
        </w:rPr>
        <w:t>County</w:t>
      </w:r>
      <w:r>
        <w:rPr>
          <w:rFonts w:ascii="Arial" w:hAnsi="Arial"/>
          <w:b/>
          <w:spacing w:val="-3"/>
          <w:sz w:val="21"/>
        </w:rPr>
        <w:t xml:space="preserve"> </w:t>
      </w:r>
      <w:r>
        <w:rPr>
          <w:rFonts w:ascii="Arial" w:hAnsi="Arial"/>
          <w:b/>
          <w:spacing w:val="-4"/>
          <w:sz w:val="21"/>
        </w:rPr>
        <w:t>Name</w:t>
      </w:r>
    </w:p>
    <w:p>
      <w:pPr>
        <w:pStyle w:val="BodyText"/>
        <w:spacing w:before="118"/>
        <w:ind w:left="1224" w:right="1481"/>
      </w:pPr>
      <w:r>
        <w:t>The</w:t>
      </w:r>
      <w:r>
        <w:rPr>
          <w:spacing w:val="-5"/>
        </w:rPr>
        <w:t xml:space="preserve"> </w:t>
      </w:r>
      <w:r>
        <w:t>BPT</w:t>
      </w:r>
      <w:r>
        <w:rPr>
          <w:spacing w:val="-3"/>
        </w:rPr>
        <w:t xml:space="preserve"> </w:t>
      </w:r>
      <w:r>
        <w:t>will</w:t>
      </w:r>
      <w:r>
        <w:rPr>
          <w:spacing w:val="-4"/>
        </w:rPr>
        <w:t xml:space="preserve"> </w:t>
      </w:r>
      <w:r>
        <w:t>display</w:t>
      </w:r>
      <w:r>
        <w:rPr>
          <w:spacing w:val="-3"/>
        </w:rPr>
        <w:t xml:space="preserve"> </w:t>
      </w:r>
      <w:r>
        <w:t>the</w:t>
      </w:r>
      <w:r>
        <w:rPr>
          <w:spacing w:val="-4"/>
        </w:rPr>
        <w:t xml:space="preserve"> </w:t>
      </w:r>
      <w:r>
        <w:t>applicable</w:t>
      </w:r>
      <w:r>
        <w:rPr>
          <w:spacing w:val="-3"/>
        </w:rPr>
        <w:t xml:space="preserve"> </w:t>
      </w:r>
      <w:r>
        <w:t>county</w:t>
      </w:r>
      <w:r>
        <w:rPr>
          <w:spacing w:val="-4"/>
        </w:rPr>
        <w:t xml:space="preserve"> </w:t>
      </w:r>
      <w:r>
        <w:t>name</w:t>
      </w:r>
      <w:r>
        <w:rPr>
          <w:spacing w:val="-3"/>
        </w:rPr>
        <w:t xml:space="preserve"> </w:t>
      </w:r>
      <w:r>
        <w:t>based</w:t>
      </w:r>
      <w:r>
        <w:rPr>
          <w:spacing w:val="-3"/>
        </w:rPr>
        <w:t xml:space="preserve"> </w:t>
      </w:r>
      <w:r>
        <w:t>on</w:t>
      </w:r>
      <w:r>
        <w:rPr>
          <w:spacing w:val="-4"/>
        </w:rPr>
        <w:t xml:space="preserve"> </w:t>
      </w:r>
      <w:r>
        <w:t>the</w:t>
      </w:r>
      <w:r>
        <w:rPr>
          <w:spacing w:val="-3"/>
        </w:rPr>
        <w:t xml:space="preserve"> </w:t>
      </w:r>
      <w:r>
        <w:t>corresponding</w:t>
      </w:r>
      <w:r>
        <w:rPr>
          <w:spacing w:val="-4"/>
        </w:rPr>
        <w:t xml:space="preserve"> </w:t>
      </w:r>
      <w:r>
        <w:t>code entered in column b. No user entry is required.</w:t>
      </w:r>
    </w:p>
    <w:p>
      <w:pPr>
        <w:pStyle w:val="ListParagraph"/>
        <w:numPr>
          <w:ilvl w:val="0"/>
          <w:numId w:val="39"/>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e</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Projected</w:t>
      </w:r>
      <w:r>
        <w:rPr>
          <w:rFonts w:ascii="Arial" w:hAnsi="Arial"/>
          <w:b/>
          <w:spacing w:val="-4"/>
          <w:sz w:val="21"/>
        </w:rPr>
        <w:t xml:space="preserve"> </w:t>
      </w:r>
      <w:r>
        <w:rPr>
          <w:rFonts w:ascii="Arial" w:hAnsi="Arial"/>
          <w:b/>
          <w:sz w:val="21"/>
        </w:rPr>
        <w:t>Member</w:t>
      </w:r>
      <w:r>
        <w:rPr>
          <w:rFonts w:ascii="Arial" w:hAnsi="Arial"/>
          <w:b/>
          <w:spacing w:val="-4"/>
          <w:sz w:val="21"/>
        </w:rPr>
        <w:t xml:space="preserve"> </w:t>
      </w:r>
      <w:r>
        <w:rPr>
          <w:rFonts w:ascii="Arial" w:hAnsi="Arial"/>
          <w:b/>
          <w:spacing w:val="-2"/>
          <w:sz w:val="21"/>
        </w:rPr>
        <w:t>Months</w:t>
      </w:r>
    </w:p>
    <w:p>
      <w:pPr>
        <w:pStyle w:val="BodyText"/>
        <w:spacing w:before="120"/>
        <w:ind w:left="1224" w:right="1443"/>
      </w:pPr>
      <w:r>
        <w:t>Enter the projected contract year member months for each county in the service area. The</w:t>
      </w:r>
      <w:r>
        <w:rPr>
          <w:spacing w:val="-4"/>
        </w:rPr>
        <w:t xml:space="preserve"> </w:t>
      </w:r>
      <w:r>
        <w:t>projected</w:t>
      </w:r>
      <w:r>
        <w:rPr>
          <w:spacing w:val="-3"/>
        </w:rPr>
        <w:t xml:space="preserve"> </w:t>
      </w:r>
      <w:r>
        <w:t>member</w:t>
      </w:r>
      <w:r>
        <w:rPr>
          <w:spacing w:val="-3"/>
        </w:rPr>
        <w:t xml:space="preserve"> </w:t>
      </w:r>
      <w:r>
        <w:t>months</w:t>
      </w:r>
      <w:r>
        <w:rPr>
          <w:spacing w:val="-3"/>
        </w:rPr>
        <w:t xml:space="preserve"> </w:t>
      </w:r>
      <w:r>
        <w:t>must</w:t>
      </w:r>
      <w:r>
        <w:rPr>
          <w:spacing w:val="-3"/>
        </w:rPr>
        <w:t xml:space="preserve"> </w:t>
      </w:r>
      <w:r>
        <w:t>include</w:t>
      </w:r>
      <w:r>
        <w:rPr>
          <w:spacing w:val="-3"/>
        </w:rPr>
        <w:t xml:space="preserve"> </w:t>
      </w:r>
      <w:r>
        <w:t>both</w:t>
      </w:r>
      <w:r>
        <w:rPr>
          <w:spacing w:val="-6"/>
        </w:rPr>
        <w:t xml:space="preserve"> </w:t>
      </w:r>
      <w:r>
        <w:t>aged</w:t>
      </w:r>
      <w:r>
        <w:rPr>
          <w:spacing w:val="-3"/>
        </w:rPr>
        <w:t xml:space="preserve"> </w:t>
      </w:r>
      <w:r>
        <w:t>and</w:t>
      </w:r>
      <w:r>
        <w:rPr>
          <w:spacing w:val="-3"/>
        </w:rPr>
        <w:t xml:space="preserve"> </w:t>
      </w:r>
      <w:r>
        <w:t>disabled</w:t>
      </w:r>
      <w:r>
        <w:rPr>
          <w:spacing w:val="-3"/>
        </w:rPr>
        <w:t xml:space="preserve"> </w:t>
      </w:r>
      <w:r>
        <w:t>members,</w:t>
      </w:r>
      <w:r>
        <w:rPr>
          <w:spacing w:val="-2"/>
        </w:rPr>
        <w:t xml:space="preserve"> </w:t>
      </w:r>
      <w:r>
        <w:t>as</w:t>
      </w:r>
      <w:r>
        <w:rPr>
          <w:spacing w:val="-4"/>
        </w:rPr>
        <w:t xml:space="preserve"> </w:t>
      </w:r>
      <w:r>
        <w:t>well</w:t>
      </w:r>
      <w:r>
        <w:rPr>
          <w:spacing w:val="-3"/>
        </w:rPr>
        <w:t xml:space="preserve"> </w:t>
      </w:r>
      <w:r>
        <w:t>as DE# and non-DE# members, but exclude ESRD and hospice members. Enter</w:t>
      </w:r>
    </w:p>
    <w:p>
      <w:pPr>
        <w:pStyle w:val="BodyText"/>
        <w:ind w:left="1224"/>
      </w:pPr>
      <w:r>
        <w:t>Out-of-area</w:t>
      </w:r>
      <w:r>
        <w:rPr>
          <w:spacing w:val="-4"/>
        </w:rPr>
        <w:t xml:space="preserve"> </w:t>
      </w:r>
      <w:r>
        <w:t>projected</w:t>
      </w:r>
      <w:r>
        <w:rPr>
          <w:spacing w:val="-2"/>
        </w:rPr>
        <w:t xml:space="preserve"> </w:t>
      </w:r>
      <w:r>
        <w:t>member</w:t>
      </w:r>
      <w:r>
        <w:rPr>
          <w:spacing w:val="-2"/>
        </w:rPr>
        <w:t xml:space="preserve"> </w:t>
      </w:r>
      <w:r>
        <w:t>months</w:t>
      </w:r>
      <w:r>
        <w:rPr>
          <w:spacing w:val="-2"/>
        </w:rPr>
        <w:t xml:space="preserve"> </w:t>
      </w:r>
      <w:r>
        <w:t>in</w:t>
      </w:r>
      <w:r>
        <w:rPr>
          <w:spacing w:val="-2"/>
        </w:rPr>
        <w:t xml:space="preserve"> </w:t>
      </w:r>
      <w:r>
        <w:t>row</w:t>
      </w:r>
      <w:r>
        <w:rPr>
          <w:spacing w:val="-2"/>
        </w:rPr>
        <w:t xml:space="preserve"> </w:t>
      </w:r>
      <w:r>
        <w:rPr>
          <w:spacing w:val="-5"/>
        </w:rPr>
        <w:t>38.</w:t>
      </w:r>
    </w:p>
    <w:p>
      <w:pPr>
        <w:pStyle w:val="BodyText"/>
        <w:spacing w:before="121"/>
        <w:ind w:left="1224" w:right="1481"/>
      </w:pPr>
      <w:r>
        <w:t>See</w:t>
      </w:r>
      <w:r>
        <w:rPr>
          <w:spacing w:val="-6"/>
        </w:rPr>
        <w:t xml:space="preserve"> </w:t>
      </w:r>
      <w:r>
        <w:t>the</w:t>
      </w:r>
      <w:r>
        <w:rPr>
          <w:spacing w:val="-5"/>
        </w:rPr>
        <w:t xml:space="preserve"> </w:t>
      </w:r>
      <w:r>
        <w:t>“Enrollment”</w:t>
      </w:r>
      <w:r>
        <w:rPr>
          <w:spacing w:val="-6"/>
        </w:rPr>
        <w:t xml:space="preserve"> </w:t>
      </w:r>
      <w:r>
        <w:t>pricing</w:t>
      </w:r>
      <w:r>
        <w:rPr>
          <w:spacing w:val="-5"/>
        </w:rPr>
        <w:t xml:space="preserve"> </w:t>
      </w:r>
      <w:r>
        <w:t>consideration</w:t>
      </w:r>
      <w:r>
        <w:rPr>
          <w:spacing w:val="-5"/>
        </w:rPr>
        <w:t xml:space="preserve"> </w:t>
      </w:r>
      <w:r>
        <w:t>for</w:t>
      </w:r>
      <w:r>
        <w:rPr>
          <w:spacing w:val="-5"/>
        </w:rPr>
        <w:t xml:space="preserve"> </w:t>
      </w:r>
      <w:r>
        <w:t>more</w:t>
      </w:r>
      <w:r>
        <w:rPr>
          <w:spacing w:val="-6"/>
        </w:rPr>
        <w:t xml:space="preserve"> </w:t>
      </w:r>
      <w:r>
        <w:t>information</w:t>
      </w:r>
      <w:r>
        <w:rPr>
          <w:spacing w:val="-5"/>
        </w:rPr>
        <w:t xml:space="preserve"> </w:t>
      </w:r>
      <w:r>
        <w:t>about</w:t>
      </w:r>
      <w:r>
        <w:rPr>
          <w:spacing w:val="-5"/>
        </w:rPr>
        <w:t xml:space="preserve"> </w:t>
      </w:r>
      <w:r>
        <w:t>projected member months.</w:t>
      </w:r>
    </w:p>
    <w:p>
      <w:pPr>
        <w:pStyle w:val="BodyText"/>
        <w:spacing w:before="120"/>
        <w:ind w:left="1224" w:right="1481"/>
      </w:pPr>
      <w:r>
        <w:t>Technical</w:t>
      </w:r>
      <w:r>
        <w:rPr>
          <w:spacing w:val="-3"/>
        </w:rPr>
        <w:t xml:space="preserve"> </w:t>
      </w:r>
      <w:r>
        <w:t>note:</w:t>
      </w:r>
      <w:r>
        <w:rPr>
          <w:spacing w:val="-2"/>
        </w:rPr>
        <w:t xml:space="preserve"> </w:t>
      </w:r>
      <w:r>
        <w:t>The</w:t>
      </w:r>
      <w:r>
        <w:rPr>
          <w:spacing w:val="-4"/>
        </w:rPr>
        <w:t xml:space="preserve"> </w:t>
      </w:r>
      <w:r>
        <w:t>data</w:t>
      </w:r>
      <w:r>
        <w:rPr>
          <w:spacing w:val="-2"/>
        </w:rPr>
        <w:t xml:space="preserve"> </w:t>
      </w:r>
      <w:r>
        <w:t>will</w:t>
      </w:r>
      <w:r>
        <w:rPr>
          <w:spacing w:val="-3"/>
        </w:rPr>
        <w:t xml:space="preserve"> </w:t>
      </w:r>
      <w:r>
        <w:t>display</w:t>
      </w:r>
      <w:r>
        <w:rPr>
          <w:spacing w:val="-3"/>
        </w:rPr>
        <w:t xml:space="preserve"> </w:t>
      </w:r>
      <w:r>
        <w:t>as</w:t>
      </w:r>
      <w:r>
        <w:rPr>
          <w:spacing w:val="-4"/>
        </w:rPr>
        <w:t xml:space="preserve"> </w:t>
      </w:r>
      <w:r>
        <w:t>whole</w:t>
      </w:r>
      <w:r>
        <w:rPr>
          <w:spacing w:val="-4"/>
        </w:rPr>
        <w:t xml:space="preserve"> </w:t>
      </w:r>
      <w:r>
        <w:t>values</w:t>
      </w:r>
      <w:r>
        <w:rPr>
          <w:spacing w:val="-4"/>
        </w:rPr>
        <w:t xml:space="preserve"> </w:t>
      </w:r>
      <w:r>
        <w:t>but</w:t>
      </w:r>
      <w:r>
        <w:rPr>
          <w:spacing w:val="-3"/>
        </w:rPr>
        <w:t xml:space="preserve"> </w:t>
      </w:r>
      <w:r>
        <w:t>can</w:t>
      </w:r>
      <w:r>
        <w:rPr>
          <w:spacing w:val="-3"/>
        </w:rPr>
        <w:t xml:space="preserve"> </w:t>
      </w:r>
      <w:r>
        <w:t>be</w:t>
      </w:r>
      <w:r>
        <w:rPr>
          <w:spacing w:val="-2"/>
        </w:rPr>
        <w:t xml:space="preserve"> </w:t>
      </w:r>
      <w:r>
        <w:t>entered</w:t>
      </w:r>
      <w:r>
        <w:rPr>
          <w:spacing w:val="-3"/>
        </w:rPr>
        <w:t xml:space="preserve"> </w:t>
      </w:r>
      <w:r>
        <w:t>with</w:t>
      </w:r>
      <w:r>
        <w:rPr>
          <w:spacing w:val="-3"/>
        </w:rPr>
        <w:t xml:space="preserve"> </w:t>
      </w:r>
      <w:r>
        <w:t xml:space="preserve">decimal </w:t>
      </w:r>
      <w:r>
        <w:rPr>
          <w:spacing w:val="-2"/>
        </w:rPr>
        <w:t>places.</w:t>
      </w:r>
    </w:p>
    <w:p>
      <w:pPr>
        <w:pStyle w:val="BodyText"/>
        <w:spacing w:before="120"/>
        <w:ind w:left="1224" w:right="1481"/>
      </w:pPr>
      <w:r>
        <w:t>If</w:t>
      </w:r>
      <w:r>
        <w:rPr>
          <w:spacing w:val="-5"/>
        </w:rPr>
        <w:t xml:space="preserve"> </w:t>
      </w:r>
      <w:r>
        <w:t>member</w:t>
      </w:r>
      <w:r>
        <w:rPr>
          <w:spacing w:val="-3"/>
        </w:rPr>
        <w:t xml:space="preserve"> </w:t>
      </w:r>
      <w:r>
        <w:t>months</w:t>
      </w:r>
      <w:r>
        <w:rPr>
          <w:spacing w:val="-4"/>
        </w:rPr>
        <w:t xml:space="preserve"> </w:t>
      </w:r>
      <w:r>
        <w:t>are</w:t>
      </w:r>
      <w:r>
        <w:rPr>
          <w:spacing w:val="-4"/>
        </w:rPr>
        <w:t xml:space="preserve"> </w:t>
      </w:r>
      <w:r>
        <w:t>entered</w:t>
      </w:r>
      <w:r>
        <w:rPr>
          <w:spacing w:val="-3"/>
        </w:rPr>
        <w:t xml:space="preserve"> </w:t>
      </w:r>
      <w:r>
        <w:t>in</w:t>
      </w:r>
      <w:r>
        <w:rPr>
          <w:spacing w:val="-3"/>
        </w:rPr>
        <w:t xml:space="preserve"> </w:t>
      </w:r>
      <w:r>
        <w:t>a</w:t>
      </w:r>
      <w:r>
        <w:rPr>
          <w:spacing w:val="-3"/>
        </w:rPr>
        <w:t xml:space="preserve"> </w:t>
      </w:r>
      <w:r>
        <w:t>particular</w:t>
      </w:r>
      <w:r>
        <w:rPr>
          <w:spacing w:val="-5"/>
        </w:rPr>
        <w:t xml:space="preserve"> </w:t>
      </w:r>
      <w:r>
        <w:t>row</w:t>
      </w:r>
      <w:r>
        <w:rPr>
          <w:spacing w:val="-2"/>
        </w:rPr>
        <w:t xml:space="preserve"> </w:t>
      </w:r>
      <w:r>
        <w:t>of</w:t>
      </w:r>
      <w:r>
        <w:rPr>
          <w:spacing w:val="-3"/>
        </w:rPr>
        <w:t xml:space="preserve"> </w:t>
      </w:r>
      <w:r>
        <w:t>column</w:t>
      </w:r>
      <w:r>
        <w:rPr>
          <w:spacing w:val="-3"/>
        </w:rPr>
        <w:t xml:space="preserve"> </w:t>
      </w:r>
      <w:r>
        <w:t>e,</w:t>
      </w:r>
      <w:r>
        <w:rPr>
          <w:spacing w:val="-3"/>
        </w:rPr>
        <w:t xml:space="preserve"> </w:t>
      </w:r>
      <w:r>
        <w:t>then</w:t>
      </w:r>
      <w:r>
        <w:rPr>
          <w:spacing w:val="-3"/>
        </w:rPr>
        <w:t xml:space="preserve"> </w:t>
      </w:r>
      <w:r>
        <w:t>a corresponding county code and a risk factor must be entered in columns b and f, respectively.</w:t>
      </w:r>
    </w:p>
    <w:p>
      <w:pPr>
        <w:pStyle w:val="BodyText"/>
        <w:spacing w:after="0"/>
        <w:sectPr>
          <w:pgSz w:w="12240" w:h="15840"/>
          <w:pgMar w:top="960" w:right="0" w:bottom="940" w:left="1080" w:header="727" w:footer="747"/>
          <w:cols w:space="720"/>
        </w:sectPr>
      </w:pPr>
    </w:p>
    <w:p>
      <w:pPr>
        <w:pStyle w:val="BodyText"/>
        <w:spacing w:before="225"/>
        <w:ind w:left="0"/>
        <w:rPr>
          <w:sz w:val="21"/>
        </w:rPr>
      </w:pPr>
    </w:p>
    <w:p>
      <w:pPr>
        <w:pStyle w:val="ListParagraph"/>
        <w:numPr>
          <w:ilvl w:val="0"/>
          <w:numId w:val="39"/>
        </w:numPr>
        <w:tabs>
          <w:tab w:val="left" w:pos="1223"/>
        </w:tabs>
        <w:spacing w:before="0" w:after="0" w:line="240" w:lineRule="auto"/>
        <w:ind w:left="1223"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f</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Projected</w:t>
      </w:r>
      <w:r>
        <w:rPr>
          <w:rFonts w:ascii="Arial" w:hAnsi="Arial"/>
          <w:b/>
          <w:spacing w:val="-3"/>
          <w:sz w:val="21"/>
        </w:rPr>
        <w:t xml:space="preserve"> </w:t>
      </w:r>
      <w:r>
        <w:rPr>
          <w:rFonts w:ascii="Arial" w:hAnsi="Arial"/>
          <w:b/>
          <w:sz w:val="21"/>
        </w:rPr>
        <w:t>Risk</w:t>
      </w:r>
      <w:r>
        <w:rPr>
          <w:rFonts w:ascii="Arial" w:hAnsi="Arial"/>
          <w:b/>
          <w:spacing w:val="-3"/>
          <w:sz w:val="21"/>
        </w:rPr>
        <w:t xml:space="preserve"> </w:t>
      </w:r>
      <w:r>
        <w:rPr>
          <w:rFonts w:ascii="Arial" w:hAnsi="Arial"/>
          <w:b/>
          <w:spacing w:val="-2"/>
          <w:sz w:val="21"/>
        </w:rPr>
        <w:t>Factors</w:t>
      </w:r>
    </w:p>
    <w:p>
      <w:pPr>
        <w:pStyle w:val="BodyText"/>
        <w:spacing w:before="120"/>
        <w:ind w:left="1224" w:right="1481"/>
      </w:pPr>
      <w:r>
        <w:t>Enter</w:t>
      </w:r>
      <w:r>
        <w:rPr>
          <w:spacing w:val="-4"/>
        </w:rPr>
        <w:t xml:space="preserve"> </w:t>
      </w:r>
      <w:r>
        <w:t>the</w:t>
      </w:r>
      <w:r>
        <w:rPr>
          <w:spacing w:val="-6"/>
        </w:rPr>
        <w:t xml:space="preserve"> </w:t>
      </w:r>
      <w:r>
        <w:t>risk</w:t>
      </w:r>
      <w:r>
        <w:rPr>
          <w:spacing w:val="-4"/>
        </w:rPr>
        <w:t xml:space="preserve"> </w:t>
      </w:r>
      <w:r>
        <w:t>factors</w:t>
      </w:r>
      <w:r>
        <w:rPr>
          <w:spacing w:val="-5"/>
        </w:rPr>
        <w:t xml:space="preserve"> </w:t>
      </w:r>
      <w:r>
        <w:t>for</w:t>
      </w:r>
      <w:r>
        <w:rPr>
          <w:spacing w:val="-3"/>
        </w:rPr>
        <w:t xml:space="preserve"> </w:t>
      </w:r>
      <w:r>
        <w:t>the</w:t>
      </w:r>
      <w:r>
        <w:rPr>
          <w:spacing w:val="-4"/>
        </w:rPr>
        <w:t xml:space="preserve"> </w:t>
      </w:r>
      <w:r>
        <w:t>projected</w:t>
      </w:r>
      <w:r>
        <w:rPr>
          <w:spacing w:val="-4"/>
        </w:rPr>
        <w:t xml:space="preserve"> </w:t>
      </w:r>
      <w:r>
        <w:t>non-ESRD</w:t>
      </w:r>
      <w:r>
        <w:rPr>
          <w:spacing w:val="-4"/>
        </w:rPr>
        <w:t xml:space="preserve"> </w:t>
      </w:r>
      <w:r>
        <w:t>non-hospice</w:t>
      </w:r>
      <w:r>
        <w:rPr>
          <w:spacing w:val="-5"/>
        </w:rPr>
        <w:t xml:space="preserve"> </w:t>
      </w:r>
      <w:r>
        <w:t>membership</w:t>
      </w:r>
      <w:r>
        <w:rPr>
          <w:spacing w:val="-2"/>
        </w:rPr>
        <w:t xml:space="preserve"> </w:t>
      </w:r>
      <w:r>
        <w:t>by</w:t>
      </w:r>
      <w:r>
        <w:rPr>
          <w:spacing w:val="-4"/>
        </w:rPr>
        <w:t xml:space="preserve"> </w:t>
      </w:r>
      <w:r>
        <w:t>county. The risk factors for out-of-area members must be entered in row 38.</w:t>
      </w:r>
    </w:p>
    <w:p>
      <w:pPr>
        <w:pStyle w:val="BodyText"/>
        <w:spacing w:before="121"/>
        <w:ind w:left="1224" w:right="1481"/>
      </w:pPr>
      <w:r>
        <w:t>If</w:t>
      </w:r>
      <w:r>
        <w:rPr>
          <w:spacing w:val="-5"/>
        </w:rPr>
        <w:t xml:space="preserve"> </w:t>
      </w:r>
      <w:r>
        <w:t>a</w:t>
      </w:r>
      <w:r>
        <w:rPr>
          <w:spacing w:val="-4"/>
        </w:rPr>
        <w:t xml:space="preserve"> </w:t>
      </w:r>
      <w:r>
        <w:t>risk</w:t>
      </w:r>
      <w:r>
        <w:rPr>
          <w:spacing w:val="-3"/>
        </w:rPr>
        <w:t xml:space="preserve"> </w:t>
      </w:r>
      <w:r>
        <w:t>factor</w:t>
      </w:r>
      <w:r>
        <w:rPr>
          <w:spacing w:val="-3"/>
        </w:rPr>
        <w:t xml:space="preserve"> </w:t>
      </w:r>
      <w:r>
        <w:t>is</w:t>
      </w:r>
      <w:r>
        <w:rPr>
          <w:spacing w:val="-4"/>
        </w:rPr>
        <w:t xml:space="preserve"> </w:t>
      </w:r>
      <w:r>
        <w:t>entered</w:t>
      </w:r>
      <w:r>
        <w:rPr>
          <w:spacing w:val="-1"/>
        </w:rPr>
        <w:t xml:space="preserve"> </w:t>
      </w:r>
      <w:r>
        <w:t>in</w:t>
      </w:r>
      <w:r>
        <w:rPr>
          <w:spacing w:val="-3"/>
        </w:rPr>
        <w:t xml:space="preserve"> </w:t>
      </w:r>
      <w:r>
        <w:t>a</w:t>
      </w:r>
      <w:r>
        <w:rPr>
          <w:spacing w:val="-3"/>
        </w:rPr>
        <w:t xml:space="preserve"> </w:t>
      </w:r>
      <w:r>
        <w:t>particular</w:t>
      </w:r>
      <w:r>
        <w:rPr>
          <w:spacing w:val="-3"/>
        </w:rPr>
        <w:t xml:space="preserve"> </w:t>
      </w:r>
      <w:r>
        <w:t>row</w:t>
      </w:r>
      <w:r>
        <w:rPr>
          <w:spacing w:val="-5"/>
        </w:rPr>
        <w:t xml:space="preserve"> </w:t>
      </w:r>
      <w:r>
        <w:t>of</w:t>
      </w:r>
      <w:r>
        <w:rPr>
          <w:spacing w:val="-2"/>
        </w:rPr>
        <w:t xml:space="preserve"> </w:t>
      </w:r>
      <w:r>
        <w:t>column</w:t>
      </w:r>
      <w:r>
        <w:rPr>
          <w:spacing w:val="-3"/>
        </w:rPr>
        <w:t xml:space="preserve"> </w:t>
      </w:r>
      <w:r>
        <w:t>f,</w:t>
      </w:r>
      <w:r>
        <w:rPr>
          <w:spacing w:val="-3"/>
        </w:rPr>
        <w:t xml:space="preserve"> </w:t>
      </w:r>
      <w:r>
        <w:t>then</w:t>
      </w:r>
      <w:r>
        <w:rPr>
          <w:spacing w:val="-3"/>
        </w:rPr>
        <w:t xml:space="preserve"> </w:t>
      </w:r>
      <w:r>
        <w:t>a</w:t>
      </w:r>
      <w:r>
        <w:rPr>
          <w:spacing w:val="-4"/>
        </w:rPr>
        <w:t xml:space="preserve"> </w:t>
      </w:r>
      <w:r>
        <w:t>corresponding</w:t>
      </w:r>
      <w:r>
        <w:rPr>
          <w:spacing w:val="-3"/>
        </w:rPr>
        <w:t xml:space="preserve"> </w:t>
      </w:r>
      <w:r>
        <w:t>county code must be entered in column b.</w:t>
      </w:r>
    </w:p>
    <w:p>
      <w:pPr>
        <w:pStyle w:val="ListParagraph"/>
        <w:numPr>
          <w:ilvl w:val="0"/>
          <w:numId w:val="39"/>
        </w:numPr>
        <w:tabs>
          <w:tab w:val="left" w:pos="1223"/>
        </w:tabs>
        <w:spacing w:before="120" w:after="0" w:line="240" w:lineRule="auto"/>
        <w:ind w:left="1223"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g</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Plan-Provided</w:t>
      </w:r>
      <w:r>
        <w:rPr>
          <w:rFonts w:ascii="Arial" w:hAnsi="Arial"/>
          <w:b/>
          <w:spacing w:val="-5"/>
          <w:sz w:val="21"/>
        </w:rPr>
        <w:t xml:space="preserve"> </w:t>
      </w:r>
      <w:r>
        <w:rPr>
          <w:rFonts w:ascii="Arial" w:hAnsi="Arial"/>
          <w:b/>
          <w:sz w:val="21"/>
        </w:rPr>
        <w:t>ISAR</w:t>
      </w:r>
      <w:r>
        <w:rPr>
          <w:rFonts w:ascii="Arial" w:hAnsi="Arial"/>
          <w:b/>
          <w:spacing w:val="-4"/>
          <w:sz w:val="21"/>
        </w:rPr>
        <w:t xml:space="preserve"> </w:t>
      </w:r>
      <w:r>
        <w:rPr>
          <w:rFonts w:ascii="Arial" w:hAnsi="Arial"/>
          <w:b/>
          <w:spacing w:val="-2"/>
          <w:sz w:val="21"/>
        </w:rPr>
        <w:t>Factors</w:t>
      </w:r>
    </w:p>
    <w:p>
      <w:pPr>
        <w:pStyle w:val="BodyText"/>
        <w:spacing w:before="118"/>
        <w:ind w:left="1224"/>
      </w:pPr>
      <w:r>
        <w:t>If</w:t>
      </w:r>
      <w:r>
        <w:rPr>
          <w:spacing w:val="-5"/>
        </w:rPr>
        <w:t xml:space="preserve"> </w:t>
      </w:r>
      <w:r>
        <w:t>the</w:t>
      </w:r>
      <w:r>
        <w:rPr>
          <w:spacing w:val="-2"/>
        </w:rPr>
        <w:t xml:space="preserve"> </w:t>
      </w:r>
      <w:r>
        <w:t>MAO</w:t>
      </w:r>
      <w:r>
        <w:rPr>
          <w:spacing w:val="-2"/>
        </w:rPr>
        <w:t xml:space="preserve"> </w:t>
      </w:r>
      <w:r>
        <w:t>has</w:t>
      </w:r>
      <w:r>
        <w:rPr>
          <w:spacing w:val="-2"/>
        </w:rPr>
        <w:t xml:space="preserve"> </w:t>
      </w:r>
      <w:r>
        <w:t>support</w:t>
      </w:r>
      <w:r>
        <w:rPr>
          <w:spacing w:val="-1"/>
        </w:rPr>
        <w:t xml:space="preserve"> </w:t>
      </w:r>
      <w:r>
        <w:t>for</w:t>
      </w:r>
      <w:r>
        <w:rPr>
          <w:spacing w:val="-1"/>
        </w:rPr>
        <w:t xml:space="preserve"> </w:t>
      </w:r>
      <w:r>
        <w:t>plan-specific ISAR</w:t>
      </w:r>
      <w:r>
        <w:rPr>
          <w:spacing w:val="-1"/>
        </w:rPr>
        <w:t xml:space="preserve"> </w:t>
      </w:r>
      <w:r>
        <w:t>factors</w:t>
      </w:r>
      <w:r>
        <w:rPr>
          <w:spacing w:val="-1"/>
        </w:rPr>
        <w:t xml:space="preserve"> </w:t>
      </w:r>
      <w:r>
        <w:t>for</w:t>
      </w:r>
      <w:r>
        <w:rPr>
          <w:spacing w:val="-3"/>
        </w:rPr>
        <w:t xml:space="preserve"> </w:t>
      </w:r>
      <w:r>
        <w:t>a regional</w:t>
      </w:r>
      <w:r>
        <w:rPr>
          <w:spacing w:val="-2"/>
        </w:rPr>
        <w:t xml:space="preserve"> </w:t>
      </w:r>
      <w:r>
        <w:t>PPO,</w:t>
      </w:r>
      <w:r>
        <w:rPr>
          <w:spacing w:val="1"/>
        </w:rPr>
        <w:t xml:space="preserve"> </w:t>
      </w:r>
      <w:r>
        <w:rPr>
          <w:spacing w:val="-2"/>
        </w:rPr>
        <w:t>then—</w:t>
      </w:r>
    </w:p>
    <w:p>
      <w:pPr>
        <w:pStyle w:val="ListParagraph"/>
        <w:numPr>
          <w:ilvl w:val="1"/>
          <w:numId w:val="39"/>
        </w:numPr>
        <w:tabs>
          <w:tab w:val="left" w:pos="1584"/>
        </w:tabs>
        <w:spacing w:before="120" w:after="0" w:line="240" w:lineRule="auto"/>
        <w:ind w:left="1584" w:right="0" w:hanging="360"/>
        <w:jc w:val="left"/>
        <w:rPr>
          <w:sz w:val="24"/>
        </w:rPr>
      </w:pPr>
      <w:r>
        <w:rPr>
          <w:sz w:val="24"/>
        </w:rPr>
        <w:t>Enter</w:t>
      </w:r>
      <w:r>
        <w:rPr>
          <w:spacing w:val="-3"/>
          <w:sz w:val="24"/>
        </w:rPr>
        <w:t xml:space="preserve"> </w:t>
      </w:r>
      <w:r>
        <w:rPr>
          <w:sz w:val="24"/>
        </w:rPr>
        <w:t>“Yes”</w:t>
      </w:r>
      <w:r>
        <w:rPr>
          <w:spacing w:val="-2"/>
          <w:sz w:val="24"/>
        </w:rPr>
        <w:t xml:space="preserve"> </w:t>
      </w:r>
      <w:r>
        <w:rPr>
          <w:sz w:val="24"/>
        </w:rPr>
        <w:t>in</w:t>
      </w:r>
      <w:r>
        <w:rPr>
          <w:spacing w:val="-1"/>
          <w:sz w:val="24"/>
        </w:rPr>
        <w:t xml:space="preserve"> </w:t>
      </w:r>
      <w:r>
        <w:rPr>
          <w:sz w:val="24"/>
        </w:rPr>
        <w:t>line 1,</w:t>
      </w:r>
      <w:r>
        <w:rPr>
          <w:spacing w:val="-1"/>
          <w:sz w:val="24"/>
        </w:rPr>
        <w:t xml:space="preserve"> </w:t>
      </w:r>
      <w:r>
        <w:rPr>
          <w:sz w:val="24"/>
        </w:rPr>
        <w:t>in</w:t>
      </w:r>
      <w:r>
        <w:rPr>
          <w:spacing w:val="-1"/>
          <w:sz w:val="24"/>
        </w:rPr>
        <w:t xml:space="preserve"> </w:t>
      </w:r>
      <w:r>
        <w:rPr>
          <w:sz w:val="24"/>
        </w:rPr>
        <w:t>response to</w:t>
      </w:r>
      <w:r>
        <w:rPr>
          <w:spacing w:val="-1"/>
          <w:sz w:val="24"/>
        </w:rPr>
        <w:t xml:space="preserve"> </w:t>
      </w:r>
      <w:r>
        <w:rPr>
          <w:sz w:val="24"/>
        </w:rPr>
        <w:t>the</w:t>
      </w:r>
      <w:r>
        <w:rPr>
          <w:spacing w:val="-1"/>
          <w:sz w:val="24"/>
        </w:rPr>
        <w:t xml:space="preserve"> </w:t>
      </w:r>
      <w:r>
        <w:rPr>
          <w:sz w:val="24"/>
        </w:rPr>
        <w:t>question</w:t>
      </w:r>
      <w:r>
        <w:rPr>
          <w:spacing w:val="2"/>
          <w:sz w:val="24"/>
        </w:rPr>
        <w:t xml:space="preserve"> </w:t>
      </w:r>
      <w:r>
        <w:rPr>
          <w:sz w:val="24"/>
        </w:rPr>
        <w:t>“Use</w:t>
      </w:r>
      <w:r>
        <w:rPr>
          <w:spacing w:val="-3"/>
          <w:sz w:val="24"/>
        </w:rPr>
        <w:t xml:space="preserve"> </w:t>
      </w:r>
      <w:r>
        <w:rPr>
          <w:sz w:val="24"/>
        </w:rPr>
        <w:t>of</w:t>
      </w:r>
      <w:r>
        <w:rPr>
          <w:spacing w:val="-1"/>
          <w:sz w:val="24"/>
        </w:rPr>
        <w:t xml:space="preserve"> </w:t>
      </w:r>
      <w:r>
        <w:rPr>
          <w:sz w:val="24"/>
        </w:rPr>
        <w:t>plan-provided</w:t>
      </w:r>
      <w:r>
        <w:rPr>
          <w:spacing w:val="2"/>
          <w:sz w:val="24"/>
        </w:rPr>
        <w:t xml:space="preserve"> </w:t>
      </w:r>
      <w:r>
        <w:rPr>
          <w:spacing w:val="-2"/>
          <w:sz w:val="24"/>
        </w:rPr>
        <w:t>ISAR?”</w:t>
      </w:r>
    </w:p>
    <w:p>
      <w:pPr>
        <w:pStyle w:val="BodyText"/>
        <w:ind w:left="1584"/>
      </w:pPr>
      <w:r>
        <w:t>(Technical</w:t>
      </w:r>
      <w:r>
        <w:rPr>
          <w:spacing w:val="-3"/>
        </w:rPr>
        <w:t xml:space="preserve"> </w:t>
      </w:r>
      <w:r>
        <w:t>note: Do not</w:t>
      </w:r>
      <w:r>
        <w:rPr>
          <w:spacing w:val="-1"/>
        </w:rPr>
        <w:t xml:space="preserve"> </w:t>
      </w:r>
      <w:r>
        <w:t>enter</w:t>
      </w:r>
      <w:r>
        <w:rPr>
          <w:spacing w:val="-2"/>
        </w:rPr>
        <w:t xml:space="preserve"> </w:t>
      </w:r>
      <w:r>
        <w:t>“Y”</w:t>
      </w:r>
      <w:r>
        <w:rPr>
          <w:spacing w:val="-3"/>
        </w:rPr>
        <w:t xml:space="preserve"> </w:t>
      </w:r>
      <w:r>
        <w:t>in this</w:t>
      </w:r>
      <w:r>
        <w:rPr>
          <w:spacing w:val="-2"/>
        </w:rPr>
        <w:t xml:space="preserve"> </w:t>
      </w:r>
      <w:r>
        <w:t>field; enter</w:t>
      </w:r>
      <w:r>
        <w:rPr>
          <w:spacing w:val="-1"/>
        </w:rPr>
        <w:t xml:space="preserve"> </w:t>
      </w:r>
      <w:r>
        <w:t>the</w:t>
      </w:r>
      <w:r>
        <w:rPr>
          <w:spacing w:val="-2"/>
        </w:rPr>
        <w:t xml:space="preserve"> </w:t>
      </w:r>
      <w:r>
        <w:t>entire</w:t>
      </w:r>
      <w:r>
        <w:rPr>
          <w:spacing w:val="-2"/>
        </w:rPr>
        <w:t xml:space="preserve"> </w:t>
      </w:r>
      <w:r>
        <w:t xml:space="preserve">word </w:t>
      </w:r>
      <w:r>
        <w:rPr>
          <w:spacing w:val="-2"/>
        </w:rPr>
        <w:t>“Yes”.)</w:t>
      </w:r>
    </w:p>
    <w:p>
      <w:pPr>
        <w:pStyle w:val="ListParagraph"/>
        <w:numPr>
          <w:ilvl w:val="1"/>
          <w:numId w:val="39"/>
        </w:numPr>
        <w:tabs>
          <w:tab w:val="left" w:pos="1584"/>
        </w:tabs>
        <w:spacing w:before="0" w:after="0" w:line="240" w:lineRule="auto"/>
        <w:ind w:left="1584" w:right="2093" w:hanging="360"/>
        <w:jc w:val="left"/>
        <w:rPr>
          <w:sz w:val="24"/>
        </w:rPr>
      </w:pPr>
      <w:r>
        <w:rPr>
          <w:sz w:val="24"/>
        </w:rPr>
        <w:t>Enter</w:t>
      </w:r>
      <w:r>
        <w:rPr>
          <w:spacing w:val="-4"/>
          <w:sz w:val="24"/>
        </w:rPr>
        <w:t xml:space="preserve"> </w:t>
      </w:r>
      <w:r>
        <w:rPr>
          <w:sz w:val="24"/>
        </w:rPr>
        <w:t>the</w:t>
      </w:r>
      <w:r>
        <w:rPr>
          <w:spacing w:val="-5"/>
          <w:sz w:val="24"/>
        </w:rPr>
        <w:t xml:space="preserve"> </w:t>
      </w:r>
      <w:r>
        <w:rPr>
          <w:sz w:val="24"/>
        </w:rPr>
        <w:t>plan-provided</w:t>
      </w:r>
      <w:r>
        <w:rPr>
          <w:spacing w:val="-2"/>
          <w:sz w:val="24"/>
        </w:rPr>
        <w:t xml:space="preserve"> </w:t>
      </w:r>
      <w:r>
        <w:rPr>
          <w:sz w:val="24"/>
        </w:rPr>
        <w:t>ISAR</w:t>
      </w:r>
      <w:r>
        <w:rPr>
          <w:spacing w:val="-4"/>
          <w:sz w:val="24"/>
        </w:rPr>
        <w:t xml:space="preserve"> </w:t>
      </w:r>
      <w:r>
        <w:rPr>
          <w:sz w:val="24"/>
        </w:rPr>
        <w:t>factors</w:t>
      </w:r>
      <w:r>
        <w:rPr>
          <w:spacing w:val="-5"/>
          <w:sz w:val="24"/>
        </w:rPr>
        <w:t xml:space="preserve"> </w:t>
      </w:r>
      <w:r>
        <w:rPr>
          <w:sz w:val="24"/>
        </w:rPr>
        <w:t>in</w:t>
      </w:r>
      <w:r>
        <w:rPr>
          <w:spacing w:val="-4"/>
          <w:sz w:val="24"/>
        </w:rPr>
        <w:t xml:space="preserve"> </w:t>
      </w:r>
      <w:r>
        <w:rPr>
          <w:sz w:val="24"/>
        </w:rPr>
        <w:t>column</w:t>
      </w:r>
      <w:r>
        <w:rPr>
          <w:spacing w:val="-4"/>
          <w:sz w:val="24"/>
        </w:rPr>
        <w:t xml:space="preserve"> </w:t>
      </w:r>
      <w:r>
        <w:rPr>
          <w:sz w:val="24"/>
        </w:rPr>
        <w:t>g</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county-level</w:t>
      </w:r>
      <w:r>
        <w:rPr>
          <w:spacing w:val="-3"/>
          <w:sz w:val="24"/>
        </w:rPr>
        <w:t xml:space="preserve"> </w:t>
      </w:r>
      <w:r>
        <w:rPr>
          <w:sz w:val="24"/>
        </w:rPr>
        <w:t>section. Factors can be in the form of either PMPM values or a relative scale.</w:t>
      </w:r>
    </w:p>
    <w:p>
      <w:pPr>
        <w:pStyle w:val="ListParagraph"/>
        <w:numPr>
          <w:ilvl w:val="0"/>
          <w:numId w:val="39"/>
        </w:numPr>
        <w:tabs>
          <w:tab w:val="left" w:pos="1223"/>
        </w:tabs>
        <w:spacing w:before="122" w:after="0" w:line="240" w:lineRule="auto"/>
        <w:ind w:left="1223"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h</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z w:val="21"/>
        </w:rPr>
        <w:t>MA</w:t>
      </w:r>
      <w:r>
        <w:rPr>
          <w:rFonts w:ascii="Arial" w:hAnsi="Arial"/>
          <w:b/>
          <w:spacing w:val="-5"/>
          <w:sz w:val="21"/>
        </w:rPr>
        <w:t xml:space="preserve"> </w:t>
      </w:r>
      <w:r>
        <w:rPr>
          <w:rFonts w:ascii="Arial" w:hAnsi="Arial"/>
          <w:b/>
          <w:sz w:val="21"/>
        </w:rPr>
        <w:t>Risk</w:t>
      </w:r>
      <w:r>
        <w:rPr>
          <w:rFonts w:ascii="Arial" w:hAnsi="Arial"/>
          <w:b/>
          <w:spacing w:val="-5"/>
          <w:sz w:val="21"/>
        </w:rPr>
        <w:t xml:space="preserve"> </w:t>
      </w:r>
      <w:r>
        <w:rPr>
          <w:rFonts w:ascii="Arial" w:hAnsi="Arial"/>
          <w:b/>
          <w:sz w:val="21"/>
        </w:rPr>
        <w:t>Ratebook:</w:t>
      </w:r>
      <w:r>
        <w:rPr>
          <w:rFonts w:ascii="Arial" w:hAnsi="Arial"/>
          <w:b/>
          <w:spacing w:val="-6"/>
          <w:sz w:val="21"/>
        </w:rPr>
        <w:t xml:space="preserve"> </w:t>
      </w:r>
      <w:r>
        <w:rPr>
          <w:rFonts w:ascii="Arial" w:hAnsi="Arial"/>
          <w:b/>
          <w:spacing w:val="-2"/>
          <w:sz w:val="21"/>
        </w:rPr>
        <w:t>Unadjusted</w:t>
      </w:r>
    </w:p>
    <w:p>
      <w:pPr>
        <w:pStyle w:val="BodyText"/>
        <w:spacing w:before="120"/>
        <w:ind w:left="1224" w:right="1524"/>
      </w:pPr>
      <w:r>
        <w:t>The BPT will display the applicable published ratebook risk rates for the contract period.</w:t>
      </w:r>
      <w:r>
        <w:rPr>
          <w:spacing w:val="-1"/>
        </w:rPr>
        <w:t xml:space="preserve"> </w:t>
      </w:r>
      <w:r>
        <w:t>If</w:t>
      </w:r>
      <w:r>
        <w:rPr>
          <w:spacing w:val="-3"/>
        </w:rPr>
        <w:t xml:space="preserve"> </w:t>
      </w:r>
      <w:r>
        <w:t>enrollee</w:t>
      </w:r>
      <w:r>
        <w:rPr>
          <w:spacing w:val="-4"/>
        </w:rPr>
        <w:t xml:space="preserve"> </w:t>
      </w:r>
      <w:r>
        <w:t>type</w:t>
      </w:r>
      <w:r>
        <w:rPr>
          <w:spacing w:val="-3"/>
        </w:rPr>
        <w:t xml:space="preserve"> </w:t>
      </w:r>
      <w:r>
        <w:t>is</w:t>
      </w:r>
      <w:r>
        <w:rPr>
          <w:spacing w:val="-1"/>
        </w:rPr>
        <w:t xml:space="preserve"> </w:t>
      </w:r>
      <w:r>
        <w:t>“A/B,”</w:t>
      </w:r>
      <w:r>
        <w:rPr>
          <w:spacing w:val="-4"/>
        </w:rPr>
        <w:t xml:space="preserve"> </w:t>
      </w:r>
      <w:r>
        <w:t>the</w:t>
      </w:r>
      <w:r>
        <w:rPr>
          <w:spacing w:val="-3"/>
        </w:rPr>
        <w:t xml:space="preserve"> </w:t>
      </w:r>
      <w:r>
        <w:t>amounts</w:t>
      </w:r>
      <w:r>
        <w:rPr>
          <w:spacing w:val="-4"/>
        </w:rPr>
        <w:t xml:space="preserve"> </w:t>
      </w:r>
      <w:r>
        <w:t>shown</w:t>
      </w:r>
      <w:r>
        <w:rPr>
          <w:spacing w:val="-3"/>
        </w:rPr>
        <w:t xml:space="preserve"> </w:t>
      </w:r>
      <w:r>
        <w:t>are</w:t>
      </w:r>
      <w:r>
        <w:rPr>
          <w:spacing w:val="-5"/>
        </w:rPr>
        <w:t xml:space="preserve"> </w:t>
      </w:r>
      <w:r>
        <w:t>the</w:t>
      </w:r>
      <w:r>
        <w:rPr>
          <w:spacing w:val="-3"/>
        </w:rPr>
        <w:t xml:space="preserve"> </w:t>
      </w:r>
      <w:r>
        <w:t>total</w:t>
      </w:r>
      <w:r>
        <w:rPr>
          <w:spacing w:val="-3"/>
        </w:rPr>
        <w:t xml:space="preserve"> </w:t>
      </w:r>
      <w:r>
        <w:t>of</w:t>
      </w:r>
      <w:r>
        <w:rPr>
          <w:spacing w:val="-2"/>
        </w:rPr>
        <w:t xml:space="preserve"> </w:t>
      </w:r>
      <w:r>
        <w:t>Part</w:t>
      </w:r>
      <w:r>
        <w:rPr>
          <w:spacing w:val="-3"/>
        </w:rPr>
        <w:t xml:space="preserve"> </w:t>
      </w:r>
      <w:r>
        <w:t>A</w:t>
      </w:r>
      <w:r>
        <w:rPr>
          <w:spacing w:val="-2"/>
        </w:rPr>
        <w:t xml:space="preserve"> </w:t>
      </w:r>
      <w:r>
        <w:t>and</w:t>
      </w:r>
      <w:r>
        <w:rPr>
          <w:spacing w:val="-3"/>
        </w:rPr>
        <w:t xml:space="preserve"> </w:t>
      </w:r>
      <w:r>
        <w:t>Part</w:t>
      </w:r>
      <w:r>
        <w:rPr>
          <w:spacing w:val="-3"/>
        </w:rPr>
        <w:t xml:space="preserve"> </w:t>
      </w:r>
      <w:r>
        <w:t>B. If enrollee type is “Part B-Only,” the amount shown is the Part B rate.</w:t>
      </w:r>
    </w:p>
    <w:p>
      <w:pPr>
        <w:pStyle w:val="ListParagraph"/>
        <w:numPr>
          <w:ilvl w:val="0"/>
          <w:numId w:val="39"/>
        </w:numPr>
        <w:tabs>
          <w:tab w:val="left" w:pos="1223"/>
        </w:tabs>
        <w:spacing w:before="120" w:after="0" w:line="240" w:lineRule="auto"/>
        <w:ind w:left="1223"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i</w:t>
      </w:r>
      <w:r>
        <w:rPr>
          <w:rFonts w:ascii="Arial" w:hAnsi="Arial"/>
          <w:b/>
          <w:spacing w:val="-6"/>
          <w:sz w:val="21"/>
        </w:rPr>
        <w:t xml:space="preserve"> </w:t>
      </w:r>
      <w:r>
        <w:rPr>
          <w:rFonts w:ascii="Arial" w:hAnsi="Arial"/>
          <w:b/>
          <w:sz w:val="21"/>
        </w:rPr>
        <w:t>–</w:t>
      </w:r>
      <w:r>
        <w:rPr>
          <w:rFonts w:ascii="Arial" w:hAnsi="Arial"/>
          <w:b/>
          <w:spacing w:val="-5"/>
          <w:sz w:val="21"/>
        </w:rPr>
        <w:t xml:space="preserve"> </w:t>
      </w:r>
      <w:r>
        <w:rPr>
          <w:rFonts w:ascii="Arial" w:hAnsi="Arial"/>
          <w:b/>
          <w:sz w:val="21"/>
        </w:rPr>
        <w:t>MA</w:t>
      </w:r>
      <w:r>
        <w:rPr>
          <w:rFonts w:ascii="Arial" w:hAnsi="Arial"/>
          <w:b/>
          <w:spacing w:val="-6"/>
          <w:sz w:val="21"/>
        </w:rPr>
        <w:t xml:space="preserve"> </w:t>
      </w:r>
      <w:r>
        <w:rPr>
          <w:rFonts w:ascii="Arial" w:hAnsi="Arial"/>
          <w:b/>
          <w:sz w:val="21"/>
        </w:rPr>
        <w:t>Risk</w:t>
      </w:r>
      <w:r>
        <w:rPr>
          <w:rFonts w:ascii="Arial" w:hAnsi="Arial"/>
          <w:b/>
          <w:spacing w:val="-6"/>
          <w:sz w:val="21"/>
        </w:rPr>
        <w:t xml:space="preserve"> </w:t>
      </w:r>
      <w:r>
        <w:rPr>
          <w:rFonts w:ascii="Arial" w:hAnsi="Arial"/>
          <w:b/>
          <w:sz w:val="21"/>
        </w:rPr>
        <w:t>Ratebook:</w:t>
      </w:r>
      <w:r>
        <w:rPr>
          <w:rFonts w:ascii="Arial" w:hAnsi="Arial"/>
          <w:b/>
          <w:spacing w:val="-5"/>
          <w:sz w:val="21"/>
        </w:rPr>
        <w:t xml:space="preserve"> </w:t>
      </w:r>
      <w:r>
        <w:rPr>
          <w:rFonts w:ascii="Arial" w:hAnsi="Arial"/>
          <w:b/>
          <w:sz w:val="21"/>
        </w:rPr>
        <w:t>Risk-</w:t>
      </w:r>
      <w:r>
        <w:rPr>
          <w:rFonts w:ascii="Arial" w:hAnsi="Arial"/>
          <w:b/>
          <w:spacing w:val="-2"/>
          <w:sz w:val="21"/>
        </w:rPr>
        <w:t>Adjusted</w:t>
      </w:r>
    </w:p>
    <w:p>
      <w:pPr>
        <w:pStyle w:val="BodyText"/>
        <w:spacing w:before="118"/>
        <w:ind w:left="1224" w:right="1524"/>
      </w:pPr>
      <w:r>
        <w:t>The</w:t>
      </w:r>
      <w:r>
        <w:rPr>
          <w:spacing w:val="-5"/>
        </w:rPr>
        <w:t xml:space="preserve"> </w:t>
      </w:r>
      <w:r>
        <w:t>BPT</w:t>
      </w:r>
      <w:r>
        <w:rPr>
          <w:spacing w:val="-3"/>
        </w:rPr>
        <w:t xml:space="preserve"> </w:t>
      </w:r>
      <w:r>
        <w:t>will</w:t>
      </w:r>
      <w:r>
        <w:rPr>
          <w:spacing w:val="-3"/>
        </w:rPr>
        <w:t xml:space="preserve"> </w:t>
      </w:r>
      <w:r>
        <w:t>calculate</w:t>
      </w:r>
      <w:r>
        <w:rPr>
          <w:spacing w:val="-3"/>
        </w:rPr>
        <w:t xml:space="preserve"> </w:t>
      </w:r>
      <w:r>
        <w:t>the</w:t>
      </w:r>
      <w:r>
        <w:rPr>
          <w:spacing w:val="-4"/>
        </w:rPr>
        <w:t xml:space="preserve"> </w:t>
      </w:r>
      <w:r>
        <w:t>risk-adjusted</w:t>
      </w:r>
      <w:r>
        <w:rPr>
          <w:spacing w:val="-3"/>
        </w:rPr>
        <w:t xml:space="preserve"> </w:t>
      </w:r>
      <w:r>
        <w:t>rates</w:t>
      </w:r>
      <w:r>
        <w:rPr>
          <w:spacing w:val="-4"/>
        </w:rPr>
        <w:t xml:space="preserve"> </w:t>
      </w:r>
      <w:r>
        <w:t>based</w:t>
      </w:r>
      <w:r>
        <w:rPr>
          <w:spacing w:val="-3"/>
        </w:rPr>
        <w:t xml:space="preserve"> </w:t>
      </w:r>
      <w:r>
        <w:t>on</w:t>
      </w:r>
      <w:r>
        <w:rPr>
          <w:spacing w:val="-3"/>
        </w:rPr>
        <w:t xml:space="preserve"> </w:t>
      </w:r>
      <w:r>
        <w:t>the</w:t>
      </w:r>
      <w:r>
        <w:rPr>
          <w:spacing w:val="-3"/>
        </w:rPr>
        <w:t xml:space="preserve"> </w:t>
      </w:r>
      <w:r>
        <w:t>rates</w:t>
      </w:r>
      <w:r>
        <w:rPr>
          <w:spacing w:val="-4"/>
        </w:rPr>
        <w:t xml:space="preserve"> </w:t>
      </w:r>
      <w:r>
        <w:t>in</w:t>
      </w:r>
      <w:r>
        <w:rPr>
          <w:spacing w:val="-1"/>
        </w:rPr>
        <w:t xml:space="preserve"> </w:t>
      </w:r>
      <w:r>
        <w:t>column</w:t>
      </w:r>
      <w:r>
        <w:rPr>
          <w:spacing w:val="-3"/>
        </w:rPr>
        <w:t xml:space="preserve"> </w:t>
      </w:r>
      <w:r>
        <w:t>h</w:t>
      </w:r>
      <w:r>
        <w:rPr>
          <w:spacing w:val="-3"/>
        </w:rPr>
        <w:t xml:space="preserve"> </w:t>
      </w:r>
      <w:r>
        <w:t>and</w:t>
      </w:r>
      <w:r>
        <w:rPr>
          <w:spacing w:val="-3"/>
        </w:rPr>
        <w:t xml:space="preserve"> </w:t>
      </w:r>
      <w:r>
        <w:t>the risk factors entered in column f.</w:t>
      </w:r>
    </w:p>
    <w:p>
      <w:pPr>
        <w:pStyle w:val="ListParagraph"/>
        <w:numPr>
          <w:ilvl w:val="0"/>
          <w:numId w:val="39"/>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2"/>
          <w:sz w:val="21"/>
        </w:rPr>
        <w:t xml:space="preserve"> </w:t>
      </w:r>
      <w:r>
        <w:rPr>
          <w:rFonts w:ascii="Arial" w:hAnsi="Arial"/>
          <w:b/>
          <w:sz w:val="21"/>
        </w:rPr>
        <w:t>j</w:t>
      </w:r>
      <w:r>
        <w:rPr>
          <w:rFonts w:ascii="Arial" w:hAnsi="Arial"/>
          <w:b/>
          <w:spacing w:val="-5"/>
          <w:sz w:val="21"/>
        </w:rPr>
        <w:t xml:space="preserve"> </w:t>
      </w:r>
      <w:r>
        <w:rPr>
          <w:rFonts w:ascii="Arial" w:hAnsi="Arial"/>
          <w:b/>
          <w:sz w:val="21"/>
        </w:rPr>
        <w:t>–</w:t>
      </w:r>
      <w:r>
        <w:rPr>
          <w:rFonts w:ascii="Arial" w:hAnsi="Arial"/>
          <w:b/>
          <w:spacing w:val="-3"/>
          <w:sz w:val="21"/>
        </w:rPr>
        <w:t xml:space="preserve"> </w:t>
      </w:r>
      <w:r>
        <w:rPr>
          <w:rFonts w:ascii="Arial" w:hAnsi="Arial"/>
          <w:b/>
          <w:sz w:val="21"/>
        </w:rPr>
        <w:t>ISAR</w:t>
      </w:r>
      <w:r>
        <w:rPr>
          <w:rFonts w:ascii="Arial" w:hAnsi="Arial"/>
          <w:b/>
          <w:spacing w:val="-4"/>
          <w:sz w:val="21"/>
        </w:rPr>
        <w:t xml:space="preserve"> Scale</w:t>
      </w:r>
    </w:p>
    <w:p>
      <w:pPr>
        <w:pStyle w:val="BodyText"/>
        <w:spacing w:before="120"/>
        <w:ind w:left="1224" w:right="1524"/>
      </w:pPr>
      <w:r>
        <w:t>The</w:t>
      </w:r>
      <w:r>
        <w:rPr>
          <w:spacing w:val="-5"/>
        </w:rPr>
        <w:t xml:space="preserve"> </w:t>
      </w:r>
      <w:r>
        <w:t>BPT</w:t>
      </w:r>
      <w:r>
        <w:rPr>
          <w:spacing w:val="-3"/>
        </w:rPr>
        <w:t xml:space="preserve"> </w:t>
      </w:r>
      <w:r>
        <w:t>will</w:t>
      </w:r>
      <w:r>
        <w:rPr>
          <w:spacing w:val="-3"/>
        </w:rPr>
        <w:t xml:space="preserve"> </w:t>
      </w:r>
      <w:r>
        <w:t>calculate</w:t>
      </w:r>
      <w:r>
        <w:rPr>
          <w:spacing w:val="-3"/>
        </w:rPr>
        <w:t xml:space="preserve"> </w:t>
      </w:r>
      <w:r>
        <w:t>the</w:t>
      </w:r>
      <w:r>
        <w:rPr>
          <w:spacing w:val="-2"/>
        </w:rPr>
        <w:t xml:space="preserve"> </w:t>
      </w:r>
      <w:r>
        <w:t>ISAR</w:t>
      </w:r>
      <w:r>
        <w:rPr>
          <w:spacing w:val="-3"/>
        </w:rPr>
        <w:t xml:space="preserve"> </w:t>
      </w:r>
      <w:r>
        <w:t>scale</w:t>
      </w:r>
      <w:r>
        <w:rPr>
          <w:spacing w:val="-3"/>
        </w:rPr>
        <w:t xml:space="preserve"> </w:t>
      </w:r>
      <w:r>
        <w:t>based</w:t>
      </w:r>
      <w:r>
        <w:rPr>
          <w:spacing w:val="-3"/>
        </w:rPr>
        <w:t xml:space="preserve"> </w:t>
      </w:r>
      <w:r>
        <w:t>on</w:t>
      </w:r>
      <w:r>
        <w:rPr>
          <w:spacing w:val="-3"/>
        </w:rPr>
        <w:t xml:space="preserve"> </w:t>
      </w:r>
      <w:r>
        <w:t>either</w:t>
      </w:r>
      <w:r>
        <w:rPr>
          <w:spacing w:val="-3"/>
        </w:rPr>
        <w:t xml:space="preserve"> </w:t>
      </w:r>
      <w:r>
        <w:t>the</w:t>
      </w:r>
      <w:r>
        <w:rPr>
          <w:spacing w:val="-5"/>
        </w:rPr>
        <w:t xml:space="preserve"> </w:t>
      </w:r>
      <w:r>
        <w:t>plan-provided</w:t>
      </w:r>
      <w:r>
        <w:rPr>
          <w:spacing w:val="-1"/>
        </w:rPr>
        <w:t xml:space="preserve"> </w:t>
      </w:r>
      <w:r>
        <w:t>ISAR</w:t>
      </w:r>
      <w:r>
        <w:rPr>
          <w:spacing w:val="-3"/>
        </w:rPr>
        <w:t xml:space="preserve"> </w:t>
      </w:r>
      <w:r>
        <w:t>factors in column g (if provided) or the ratebook rates in column h.</w:t>
      </w:r>
    </w:p>
    <w:p>
      <w:pPr>
        <w:pStyle w:val="ListParagraph"/>
        <w:numPr>
          <w:ilvl w:val="0"/>
          <w:numId w:val="39"/>
        </w:numPr>
        <w:tabs>
          <w:tab w:val="left" w:pos="1223"/>
        </w:tabs>
        <w:spacing w:before="121" w:after="0" w:line="240" w:lineRule="auto"/>
        <w:ind w:left="1223" w:right="0" w:hanging="359"/>
        <w:jc w:val="left"/>
        <w:rPr>
          <w:rFonts w:ascii="Arial" w:hAnsi="Arial"/>
          <w:b/>
          <w:sz w:val="21"/>
        </w:rPr>
      </w:pPr>
      <w:r>
        <w:rPr>
          <w:rFonts w:ascii="Arial" w:hAnsi="Arial"/>
          <w:b/>
          <w:sz w:val="21"/>
        </w:rPr>
        <w:t>Column</w:t>
      </w:r>
      <w:r>
        <w:rPr>
          <w:rFonts w:ascii="Arial" w:hAnsi="Arial"/>
          <w:b/>
          <w:spacing w:val="-5"/>
          <w:sz w:val="21"/>
        </w:rPr>
        <w:t xml:space="preserve"> </w:t>
      </w:r>
      <w:r>
        <w:rPr>
          <w:rFonts w:ascii="Arial" w:hAnsi="Arial"/>
          <w:b/>
          <w:sz w:val="21"/>
        </w:rPr>
        <w:t>k</w:t>
      </w:r>
      <w:r>
        <w:rPr>
          <w:rFonts w:ascii="Arial" w:hAnsi="Arial"/>
          <w:b/>
          <w:spacing w:val="-6"/>
          <w:sz w:val="21"/>
        </w:rPr>
        <w:t xml:space="preserve"> </w:t>
      </w:r>
      <w:r>
        <w:rPr>
          <w:rFonts w:ascii="Arial" w:hAnsi="Arial"/>
          <w:b/>
          <w:sz w:val="21"/>
        </w:rPr>
        <w:t>–</w:t>
      </w:r>
      <w:r>
        <w:rPr>
          <w:rFonts w:ascii="Arial" w:hAnsi="Arial"/>
          <w:b/>
          <w:spacing w:val="-5"/>
          <w:sz w:val="21"/>
        </w:rPr>
        <w:t xml:space="preserve"> </w:t>
      </w:r>
      <w:r>
        <w:rPr>
          <w:rFonts w:ascii="Arial" w:hAnsi="Arial"/>
          <w:b/>
          <w:sz w:val="21"/>
        </w:rPr>
        <w:t>ISAR-Adjusted</w:t>
      </w:r>
      <w:r>
        <w:rPr>
          <w:rFonts w:ascii="Arial" w:hAnsi="Arial"/>
          <w:b/>
          <w:spacing w:val="-5"/>
          <w:sz w:val="21"/>
        </w:rPr>
        <w:t xml:space="preserve"> Bid</w:t>
      </w:r>
    </w:p>
    <w:p>
      <w:pPr>
        <w:pStyle w:val="BodyText"/>
        <w:spacing w:before="121"/>
        <w:ind w:left="1224" w:right="1481"/>
      </w:pPr>
      <w:r>
        <w:t>The</w:t>
      </w:r>
      <w:r>
        <w:rPr>
          <w:spacing w:val="-5"/>
        </w:rPr>
        <w:t xml:space="preserve"> </w:t>
      </w:r>
      <w:r>
        <w:t>BPT</w:t>
      </w:r>
      <w:r>
        <w:rPr>
          <w:spacing w:val="-3"/>
        </w:rPr>
        <w:t xml:space="preserve"> </w:t>
      </w:r>
      <w:r>
        <w:t>will</w:t>
      </w:r>
      <w:r>
        <w:rPr>
          <w:spacing w:val="-3"/>
        </w:rPr>
        <w:t xml:space="preserve"> </w:t>
      </w:r>
      <w:r>
        <w:t>calculate</w:t>
      </w:r>
      <w:r>
        <w:rPr>
          <w:spacing w:val="-3"/>
        </w:rPr>
        <w:t xml:space="preserve"> </w:t>
      </w:r>
      <w:r>
        <w:t>the</w:t>
      </w:r>
      <w:r>
        <w:rPr>
          <w:spacing w:val="-2"/>
        </w:rPr>
        <w:t xml:space="preserve"> </w:t>
      </w:r>
      <w:r>
        <w:t>ISAR-adjusted</w:t>
      </w:r>
      <w:r>
        <w:rPr>
          <w:spacing w:val="-3"/>
        </w:rPr>
        <w:t xml:space="preserve"> </w:t>
      </w:r>
      <w:r>
        <w:t>bid</w:t>
      </w:r>
      <w:r>
        <w:rPr>
          <w:spacing w:val="-3"/>
        </w:rPr>
        <w:t xml:space="preserve"> </w:t>
      </w:r>
      <w:r>
        <w:t>based</w:t>
      </w:r>
      <w:r>
        <w:rPr>
          <w:spacing w:val="-3"/>
        </w:rPr>
        <w:t xml:space="preserve"> </w:t>
      </w:r>
      <w:r>
        <w:t>on</w:t>
      </w:r>
      <w:r>
        <w:rPr>
          <w:spacing w:val="-3"/>
        </w:rPr>
        <w:t xml:space="preserve"> </w:t>
      </w:r>
      <w:r>
        <w:t>the</w:t>
      </w:r>
      <w:r>
        <w:rPr>
          <w:spacing w:val="-2"/>
        </w:rPr>
        <w:t xml:space="preserve"> </w:t>
      </w:r>
      <w:r>
        <w:t>ISAR</w:t>
      </w:r>
      <w:r>
        <w:rPr>
          <w:spacing w:val="-3"/>
        </w:rPr>
        <w:t xml:space="preserve"> </w:t>
      </w:r>
      <w:r>
        <w:t>scale</w:t>
      </w:r>
      <w:r>
        <w:rPr>
          <w:spacing w:val="-3"/>
        </w:rPr>
        <w:t xml:space="preserve"> </w:t>
      </w:r>
      <w:r>
        <w:t>in</w:t>
      </w:r>
      <w:r>
        <w:rPr>
          <w:spacing w:val="-1"/>
        </w:rPr>
        <w:t xml:space="preserve"> </w:t>
      </w:r>
      <w:r>
        <w:t>column</w:t>
      </w:r>
      <w:r>
        <w:rPr>
          <w:spacing w:val="-3"/>
        </w:rPr>
        <w:t xml:space="preserve"> </w:t>
      </w:r>
      <w:r>
        <w:t>j</w:t>
      </w:r>
      <w:r>
        <w:rPr>
          <w:spacing w:val="-3"/>
        </w:rPr>
        <w:t xml:space="preserve"> </w:t>
      </w:r>
      <w:r>
        <w:t>and the standardized A/B bid in Section II. Note that the payment rates represent coverage for Medicare Part A and Part B (except for Part B-only plans). The values will then be separated into Part A and Part B payment rates in columns l and m.</w:t>
      </w:r>
    </w:p>
    <w:p>
      <w:pPr>
        <w:pStyle w:val="ListParagraph"/>
        <w:numPr>
          <w:ilvl w:val="0"/>
          <w:numId w:val="39"/>
        </w:numPr>
        <w:tabs>
          <w:tab w:val="left" w:pos="1223"/>
        </w:tabs>
        <w:spacing w:before="120" w:after="0" w:line="240" w:lineRule="auto"/>
        <w:ind w:left="1223" w:right="0" w:hanging="359"/>
        <w:jc w:val="left"/>
        <w:rPr>
          <w:rFonts w:ascii="Arial" w:hAnsi="Arial"/>
          <w:b/>
          <w:sz w:val="21"/>
        </w:rPr>
      </w:pPr>
      <w:r>
        <w:rPr>
          <w:rFonts w:ascii="Arial" w:hAnsi="Arial"/>
          <w:b/>
          <w:sz w:val="21"/>
        </w:rPr>
        <w:t>Columns</w:t>
      </w:r>
      <w:r>
        <w:rPr>
          <w:rFonts w:ascii="Arial" w:hAnsi="Arial"/>
          <w:b/>
          <w:spacing w:val="-4"/>
          <w:sz w:val="21"/>
        </w:rPr>
        <w:t xml:space="preserve"> </w:t>
      </w:r>
      <w:r>
        <w:rPr>
          <w:rFonts w:ascii="Arial" w:hAnsi="Arial"/>
          <w:b/>
          <w:sz w:val="21"/>
        </w:rPr>
        <w:t>l</w:t>
      </w:r>
      <w:r>
        <w:rPr>
          <w:rFonts w:ascii="Arial" w:hAnsi="Arial"/>
          <w:b/>
          <w:spacing w:val="-5"/>
          <w:sz w:val="21"/>
        </w:rPr>
        <w:t xml:space="preserve"> </w:t>
      </w:r>
      <w:r>
        <w:rPr>
          <w:rFonts w:ascii="Arial" w:hAnsi="Arial"/>
          <w:b/>
          <w:sz w:val="21"/>
        </w:rPr>
        <w:t>through</w:t>
      </w:r>
      <w:r>
        <w:rPr>
          <w:rFonts w:ascii="Arial" w:hAnsi="Arial"/>
          <w:b/>
          <w:spacing w:val="-2"/>
          <w:sz w:val="21"/>
        </w:rPr>
        <w:t xml:space="preserve"> </w:t>
      </w:r>
      <w:r>
        <w:rPr>
          <w:rFonts w:ascii="Arial" w:hAnsi="Arial"/>
          <w:b/>
          <w:sz w:val="21"/>
        </w:rPr>
        <w:t>m</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Risk</w:t>
      </w:r>
      <w:r>
        <w:rPr>
          <w:rFonts w:ascii="Arial" w:hAnsi="Arial"/>
          <w:b/>
          <w:spacing w:val="-4"/>
          <w:sz w:val="21"/>
        </w:rPr>
        <w:t xml:space="preserve"> </w:t>
      </w:r>
      <w:r>
        <w:rPr>
          <w:rFonts w:ascii="Arial" w:hAnsi="Arial"/>
          <w:b/>
          <w:sz w:val="21"/>
        </w:rPr>
        <w:t>Payment</w:t>
      </w:r>
      <w:r>
        <w:rPr>
          <w:rFonts w:ascii="Arial" w:hAnsi="Arial"/>
          <w:b/>
          <w:spacing w:val="-6"/>
          <w:sz w:val="21"/>
        </w:rPr>
        <w:t xml:space="preserve"> </w:t>
      </w:r>
      <w:r>
        <w:rPr>
          <w:rFonts w:ascii="Arial" w:hAnsi="Arial"/>
          <w:b/>
          <w:spacing w:val="-2"/>
          <w:sz w:val="21"/>
        </w:rPr>
        <w:t>Rates</w:t>
      </w:r>
    </w:p>
    <w:p>
      <w:pPr>
        <w:pStyle w:val="BodyText"/>
        <w:spacing w:before="118"/>
        <w:ind w:left="1224" w:right="1481"/>
      </w:pPr>
      <w:r>
        <w:t>These</w:t>
      </w:r>
      <w:r>
        <w:rPr>
          <w:spacing w:val="-4"/>
        </w:rPr>
        <w:t xml:space="preserve"> </w:t>
      </w:r>
      <w:r>
        <w:t>columns</w:t>
      </w:r>
      <w:r>
        <w:rPr>
          <w:spacing w:val="-4"/>
        </w:rPr>
        <w:t xml:space="preserve"> </w:t>
      </w:r>
      <w:r>
        <w:t>are</w:t>
      </w:r>
      <w:r>
        <w:rPr>
          <w:spacing w:val="-4"/>
        </w:rPr>
        <w:t xml:space="preserve"> </w:t>
      </w:r>
      <w:r>
        <w:t>calculated</w:t>
      </w:r>
      <w:r>
        <w:rPr>
          <w:spacing w:val="-3"/>
        </w:rPr>
        <w:t xml:space="preserve"> </w:t>
      </w:r>
      <w:r>
        <w:t>based</w:t>
      </w:r>
      <w:r>
        <w:rPr>
          <w:spacing w:val="-3"/>
        </w:rPr>
        <w:t xml:space="preserve"> </w:t>
      </w:r>
      <w:r>
        <w:t>on</w:t>
      </w:r>
      <w:r>
        <w:rPr>
          <w:spacing w:val="-3"/>
        </w:rPr>
        <w:t xml:space="preserve"> </w:t>
      </w:r>
      <w:r>
        <w:t>the</w:t>
      </w:r>
      <w:r>
        <w:rPr>
          <w:spacing w:val="-2"/>
        </w:rPr>
        <w:t xml:space="preserve"> </w:t>
      </w:r>
      <w:r>
        <w:t>ISAR-adjusted</w:t>
      </w:r>
      <w:r>
        <w:rPr>
          <w:spacing w:val="-3"/>
        </w:rPr>
        <w:t xml:space="preserve"> </w:t>
      </w:r>
      <w:r>
        <w:t>bid</w:t>
      </w:r>
      <w:r>
        <w:rPr>
          <w:spacing w:val="-3"/>
        </w:rPr>
        <w:t xml:space="preserve"> </w:t>
      </w:r>
      <w:r>
        <w:t>in</w:t>
      </w:r>
      <w:r>
        <w:rPr>
          <w:spacing w:val="-3"/>
        </w:rPr>
        <w:t xml:space="preserve"> </w:t>
      </w:r>
      <w:r>
        <w:t>column</w:t>
      </w:r>
      <w:r>
        <w:rPr>
          <w:spacing w:val="-3"/>
        </w:rPr>
        <w:t xml:space="preserve"> </w:t>
      </w:r>
      <w:r>
        <w:t>k</w:t>
      </w:r>
      <w:r>
        <w:rPr>
          <w:spacing w:val="-3"/>
        </w:rPr>
        <w:t xml:space="preserve"> </w:t>
      </w:r>
      <w:r>
        <w:t>and</w:t>
      </w:r>
      <w:r>
        <w:rPr>
          <w:spacing w:val="-3"/>
        </w:rPr>
        <w:t xml:space="preserve"> </w:t>
      </w:r>
      <w:r>
        <w:t>the</w:t>
      </w:r>
      <w:r>
        <w:rPr>
          <w:spacing w:val="-3"/>
        </w:rPr>
        <w:t xml:space="preserve"> </w:t>
      </w:r>
      <w:r>
        <w:t>risk ratebook proportions for Part A and Part B.</w:t>
      </w:r>
    </w:p>
    <w:p>
      <w:pPr>
        <w:pStyle w:val="BodyText"/>
        <w:spacing w:before="45"/>
        <w:ind w:left="0"/>
      </w:pPr>
    </w:p>
    <w:p>
      <w:pPr>
        <w:pStyle w:val="Heading2"/>
        <w:jc w:val="both"/>
      </w:pPr>
      <w:bookmarkStart w:id="249" w:name="Section VII – Other Medicare Information"/>
      <w:bookmarkEnd w:id="249"/>
      <w:bookmarkStart w:id="250" w:name="_bookmark69"/>
      <w:bookmarkEnd w:id="250"/>
      <w:r>
        <w:rPr>
          <w:smallCaps/>
        </w:rPr>
        <w:t>Section</w:t>
      </w:r>
      <w:r>
        <w:rPr>
          <w:smallCaps/>
          <w:spacing w:val="-15"/>
        </w:rPr>
        <w:t xml:space="preserve"> </w:t>
      </w:r>
      <w:r>
        <w:rPr>
          <w:smallCaps/>
        </w:rPr>
        <w:t>VII</w:t>
      </w:r>
      <w:r>
        <w:rPr>
          <w:smallCaps/>
          <w:spacing w:val="-15"/>
        </w:rPr>
        <w:t xml:space="preserve"> </w:t>
      </w:r>
      <w:r>
        <w:rPr>
          <w:smallCaps/>
        </w:rPr>
        <w:t>–</w:t>
      </w:r>
      <w:r>
        <w:rPr>
          <w:smallCaps/>
          <w:spacing w:val="-15"/>
        </w:rPr>
        <w:t xml:space="preserve"> </w:t>
      </w:r>
      <w:r>
        <w:rPr>
          <w:smallCaps/>
        </w:rPr>
        <w:t>Other</w:t>
      </w:r>
      <w:r>
        <w:rPr>
          <w:smallCaps/>
          <w:spacing w:val="-11"/>
        </w:rPr>
        <w:t xml:space="preserve"> </w:t>
      </w:r>
      <w:r>
        <w:rPr>
          <w:smallCaps/>
        </w:rPr>
        <w:t>Medicare</w:t>
      </w:r>
      <w:r>
        <w:rPr>
          <w:smallCaps/>
          <w:spacing w:val="-7"/>
        </w:rPr>
        <w:t xml:space="preserve"> </w:t>
      </w:r>
      <w:r>
        <w:rPr>
          <w:smallCaps/>
          <w:spacing w:val="-2"/>
        </w:rPr>
        <w:t>Information</w:t>
      </w:r>
    </w:p>
    <w:p>
      <w:pPr>
        <w:pStyle w:val="BodyText"/>
        <w:spacing w:before="180"/>
        <w:ind w:right="1973"/>
        <w:jc w:val="both"/>
      </w:pPr>
      <w:r>
        <w:t>This</w:t>
      </w:r>
      <w:r>
        <w:rPr>
          <w:spacing w:val="-4"/>
        </w:rPr>
        <w:t xml:space="preserve"> </w:t>
      </w:r>
      <w:r>
        <w:t>section</w:t>
      </w:r>
      <w:r>
        <w:rPr>
          <w:spacing w:val="-3"/>
        </w:rPr>
        <w:t xml:space="preserve"> </w:t>
      </w:r>
      <w:r>
        <w:t>contains</w:t>
      </w:r>
      <w:r>
        <w:rPr>
          <w:spacing w:val="-4"/>
        </w:rPr>
        <w:t xml:space="preserve"> </w:t>
      </w:r>
      <w:r>
        <w:t>county-level</w:t>
      </w:r>
      <w:r>
        <w:rPr>
          <w:spacing w:val="-3"/>
        </w:rPr>
        <w:t xml:space="preserve"> </w:t>
      </w:r>
      <w:r>
        <w:t>Medicare</w:t>
      </w:r>
      <w:r>
        <w:rPr>
          <w:spacing w:val="-5"/>
        </w:rPr>
        <w:t xml:space="preserve"> </w:t>
      </w:r>
      <w:r>
        <w:t>information</w:t>
      </w:r>
      <w:r>
        <w:rPr>
          <w:spacing w:val="-3"/>
        </w:rPr>
        <w:t xml:space="preserve"> </w:t>
      </w:r>
      <w:r>
        <w:t>used</w:t>
      </w:r>
      <w:r>
        <w:rPr>
          <w:spacing w:val="-3"/>
        </w:rPr>
        <w:t xml:space="preserve"> </w:t>
      </w:r>
      <w:r>
        <w:t>in</w:t>
      </w:r>
      <w:r>
        <w:rPr>
          <w:spacing w:val="-3"/>
        </w:rPr>
        <w:t xml:space="preserve"> </w:t>
      </w:r>
      <w:r>
        <w:t>the</w:t>
      </w:r>
      <w:r>
        <w:rPr>
          <w:spacing w:val="-3"/>
        </w:rPr>
        <w:t xml:space="preserve"> </w:t>
      </w:r>
      <w:r>
        <w:t>BPT</w:t>
      </w:r>
      <w:r>
        <w:rPr>
          <w:spacing w:val="-3"/>
        </w:rPr>
        <w:t xml:space="preserve"> </w:t>
      </w:r>
      <w:r>
        <w:t>and</w:t>
      </w:r>
      <w:r>
        <w:rPr>
          <w:spacing w:val="-3"/>
        </w:rPr>
        <w:t xml:space="preserve"> </w:t>
      </w:r>
      <w:r>
        <w:t>is</w:t>
      </w:r>
      <w:r>
        <w:rPr>
          <w:spacing w:val="-2"/>
        </w:rPr>
        <w:t xml:space="preserve"> </w:t>
      </w:r>
      <w:r>
        <w:t>populated based on the county codes input in column b and the projected member</w:t>
      </w:r>
      <w:r>
        <w:rPr>
          <w:spacing w:val="-1"/>
        </w:rPr>
        <w:t xml:space="preserve"> </w:t>
      </w:r>
      <w:r>
        <w:t>months entered in column e.</w:t>
      </w:r>
    </w:p>
    <w:p>
      <w:pPr>
        <w:pStyle w:val="BodyText"/>
        <w:spacing w:before="120"/>
        <w:ind w:right="1469"/>
        <w:jc w:val="both"/>
      </w:pPr>
      <w:r>
        <w:t>The</w:t>
      </w:r>
      <w:r>
        <w:rPr>
          <w:spacing w:val="-5"/>
        </w:rPr>
        <w:t xml:space="preserve"> </w:t>
      </w:r>
      <w:r>
        <w:t>BPT</w:t>
      </w:r>
      <w:r>
        <w:rPr>
          <w:spacing w:val="-3"/>
        </w:rPr>
        <w:t xml:space="preserve"> </w:t>
      </w:r>
      <w:r>
        <w:t>will</w:t>
      </w:r>
      <w:r>
        <w:rPr>
          <w:spacing w:val="-3"/>
        </w:rPr>
        <w:t xml:space="preserve"> </w:t>
      </w:r>
      <w:r>
        <w:t>not</w:t>
      </w:r>
      <w:r>
        <w:rPr>
          <w:spacing w:val="-3"/>
        </w:rPr>
        <w:t xml:space="preserve"> </w:t>
      </w:r>
      <w:r>
        <w:t>finalize</w:t>
      </w:r>
      <w:r>
        <w:rPr>
          <w:spacing w:val="-4"/>
        </w:rPr>
        <w:t xml:space="preserve"> </w:t>
      </w:r>
      <w:r>
        <w:t>if</w:t>
      </w:r>
      <w:r>
        <w:rPr>
          <w:spacing w:val="-3"/>
        </w:rPr>
        <w:t xml:space="preserve"> </w:t>
      </w:r>
      <w:r>
        <w:t>there</w:t>
      </w:r>
      <w:r>
        <w:rPr>
          <w:spacing w:val="-5"/>
        </w:rPr>
        <w:t xml:space="preserve"> </w:t>
      </w:r>
      <w:r>
        <w:t>are</w:t>
      </w:r>
      <w:r>
        <w:rPr>
          <w:spacing w:val="-5"/>
        </w:rPr>
        <w:t xml:space="preserve"> </w:t>
      </w:r>
      <w:r>
        <w:t>any</w:t>
      </w:r>
      <w:r>
        <w:rPr>
          <w:spacing w:val="-3"/>
        </w:rPr>
        <w:t xml:space="preserve"> </w:t>
      </w:r>
      <w:r>
        <w:t>invalid</w:t>
      </w:r>
      <w:r>
        <w:rPr>
          <w:spacing w:val="-3"/>
        </w:rPr>
        <w:t xml:space="preserve"> </w:t>
      </w:r>
      <w:r>
        <w:t>values</w:t>
      </w:r>
      <w:r>
        <w:rPr>
          <w:spacing w:val="-1"/>
        </w:rPr>
        <w:t xml:space="preserve"> </w:t>
      </w:r>
      <w:r>
        <w:t>(such</w:t>
      </w:r>
      <w:r>
        <w:rPr>
          <w:spacing w:val="-3"/>
        </w:rPr>
        <w:t xml:space="preserve"> </w:t>
      </w:r>
      <w:r>
        <w:t>as</w:t>
      </w:r>
      <w:r>
        <w:rPr>
          <w:spacing w:val="-1"/>
        </w:rPr>
        <w:t xml:space="preserve"> </w:t>
      </w:r>
      <w:r>
        <w:t>“#N/A”,</w:t>
      </w:r>
      <w:r>
        <w:rPr>
          <w:spacing w:val="-1"/>
        </w:rPr>
        <w:t xml:space="preserve"> </w:t>
      </w:r>
      <w:r>
        <w:t>“#DIV/0!”,</w:t>
      </w:r>
      <w:r>
        <w:rPr>
          <w:spacing w:val="-1"/>
        </w:rPr>
        <w:t xml:space="preserve"> </w:t>
      </w:r>
      <w:r>
        <w:t>“#REF!”, “#NAME?”, etc.) in Section VII.</w:t>
      </w:r>
    </w:p>
    <w:p>
      <w:pPr>
        <w:pStyle w:val="BodyText"/>
        <w:spacing w:after="0"/>
        <w:jc w:val="both"/>
        <w:sectPr>
          <w:pgSz w:w="12240" w:h="15840"/>
          <w:pgMar w:top="960" w:right="0" w:bottom="940" w:left="1080" w:header="727" w:footer="747"/>
          <w:cols w:space="720"/>
        </w:sectPr>
      </w:pPr>
    </w:p>
    <w:p>
      <w:pPr>
        <w:pStyle w:val="BodyText"/>
        <w:spacing w:before="225"/>
        <w:ind w:left="0"/>
        <w:rPr>
          <w:sz w:val="21"/>
        </w:rPr>
      </w:pPr>
    </w:p>
    <w:p>
      <w:pPr>
        <w:spacing w:before="0"/>
        <w:ind w:left="504" w:right="0" w:firstLine="0"/>
        <w:jc w:val="left"/>
        <w:rPr>
          <w:rFonts w:ascii="Arial" w:hAnsi="Arial"/>
          <w:b/>
          <w:sz w:val="21"/>
        </w:rPr>
      </w:pPr>
      <w:bookmarkStart w:id="251" w:name="Columns n through p – Original Medicare "/>
      <w:bookmarkEnd w:id="251"/>
      <w:r>
        <w:rPr>
          <w:rFonts w:ascii="Arial" w:hAnsi="Arial"/>
          <w:b/>
          <w:sz w:val="21"/>
        </w:rPr>
        <w:t>Columns</w:t>
      </w:r>
      <w:r>
        <w:rPr>
          <w:rFonts w:ascii="Arial" w:hAnsi="Arial"/>
          <w:b/>
          <w:spacing w:val="-9"/>
          <w:sz w:val="21"/>
        </w:rPr>
        <w:t xml:space="preserve"> </w:t>
      </w:r>
      <w:r>
        <w:rPr>
          <w:rFonts w:ascii="Arial" w:hAnsi="Arial"/>
          <w:b/>
          <w:sz w:val="21"/>
        </w:rPr>
        <w:t>n</w:t>
      </w:r>
      <w:r>
        <w:rPr>
          <w:rFonts w:ascii="Arial" w:hAnsi="Arial"/>
          <w:b/>
          <w:spacing w:val="-5"/>
          <w:sz w:val="21"/>
        </w:rPr>
        <w:t xml:space="preserve"> </w:t>
      </w:r>
      <w:r>
        <w:rPr>
          <w:rFonts w:ascii="Arial" w:hAnsi="Arial"/>
          <w:b/>
          <w:sz w:val="21"/>
        </w:rPr>
        <w:t>through</w:t>
      </w:r>
      <w:r>
        <w:rPr>
          <w:rFonts w:ascii="Arial" w:hAnsi="Arial"/>
          <w:b/>
          <w:spacing w:val="-5"/>
          <w:sz w:val="21"/>
        </w:rPr>
        <w:t xml:space="preserve"> </w:t>
      </w:r>
      <w:r>
        <w:rPr>
          <w:rFonts w:ascii="Arial" w:hAnsi="Arial"/>
          <w:b/>
          <w:sz w:val="21"/>
        </w:rPr>
        <w:t>p</w:t>
      </w:r>
      <w:r>
        <w:rPr>
          <w:rFonts w:ascii="Arial" w:hAnsi="Arial"/>
          <w:b/>
          <w:spacing w:val="-5"/>
          <w:sz w:val="21"/>
        </w:rPr>
        <w:t xml:space="preserve"> </w:t>
      </w:r>
      <w:r>
        <w:rPr>
          <w:rFonts w:ascii="Arial" w:hAnsi="Arial"/>
          <w:b/>
          <w:sz w:val="21"/>
        </w:rPr>
        <w:t>–</w:t>
      </w:r>
      <w:r>
        <w:rPr>
          <w:rFonts w:ascii="Arial" w:hAnsi="Arial"/>
          <w:b/>
          <w:spacing w:val="-8"/>
          <w:sz w:val="21"/>
        </w:rPr>
        <w:t xml:space="preserve"> </w:t>
      </w:r>
      <w:r>
        <w:rPr>
          <w:rFonts w:ascii="Arial" w:hAnsi="Arial"/>
          <w:b/>
          <w:sz w:val="21"/>
        </w:rPr>
        <w:t>Original</w:t>
      </w:r>
      <w:r>
        <w:rPr>
          <w:rFonts w:ascii="Arial" w:hAnsi="Arial"/>
          <w:b/>
          <w:spacing w:val="-7"/>
          <w:sz w:val="21"/>
        </w:rPr>
        <w:t xml:space="preserve"> </w:t>
      </w:r>
      <w:r>
        <w:rPr>
          <w:rFonts w:ascii="Arial" w:hAnsi="Arial"/>
          <w:b/>
          <w:sz w:val="21"/>
        </w:rPr>
        <w:t>Medicare</w:t>
      </w:r>
      <w:r>
        <w:rPr>
          <w:rFonts w:ascii="Arial" w:hAnsi="Arial"/>
          <w:b/>
          <w:spacing w:val="-6"/>
          <w:sz w:val="21"/>
        </w:rPr>
        <w:t xml:space="preserve"> </w:t>
      </w:r>
      <w:r>
        <w:rPr>
          <w:rFonts w:ascii="Arial" w:hAnsi="Arial"/>
          <w:b/>
          <w:sz w:val="21"/>
        </w:rPr>
        <w:t>Cost-Sharing</w:t>
      </w:r>
      <w:r>
        <w:rPr>
          <w:rFonts w:ascii="Arial" w:hAnsi="Arial"/>
          <w:b/>
          <w:spacing w:val="-8"/>
          <w:sz w:val="21"/>
        </w:rPr>
        <w:t xml:space="preserve"> </w:t>
      </w:r>
      <w:r>
        <w:rPr>
          <w:rFonts w:ascii="Arial" w:hAnsi="Arial"/>
          <w:b/>
          <w:sz w:val="21"/>
        </w:rPr>
        <w:t>Proportional</w:t>
      </w:r>
      <w:r>
        <w:rPr>
          <w:rFonts w:ascii="Arial" w:hAnsi="Arial"/>
          <w:b/>
          <w:spacing w:val="-6"/>
          <w:sz w:val="21"/>
        </w:rPr>
        <w:t xml:space="preserve"> </w:t>
      </w:r>
      <w:r>
        <w:rPr>
          <w:rFonts w:ascii="Arial" w:hAnsi="Arial"/>
          <w:b/>
          <w:spacing w:val="-2"/>
          <w:sz w:val="21"/>
        </w:rPr>
        <w:t>Factors</w:t>
      </w:r>
    </w:p>
    <w:p>
      <w:pPr>
        <w:pStyle w:val="BodyText"/>
        <w:spacing w:before="120"/>
        <w:ind w:right="1481"/>
      </w:pPr>
      <w:r>
        <w:t>These</w:t>
      </w:r>
      <w:r>
        <w:rPr>
          <w:spacing w:val="-4"/>
        </w:rPr>
        <w:t xml:space="preserve"> </w:t>
      </w:r>
      <w:r>
        <w:t>columns</w:t>
      </w:r>
      <w:r>
        <w:rPr>
          <w:spacing w:val="-4"/>
        </w:rPr>
        <w:t xml:space="preserve"> </w:t>
      </w:r>
      <w:r>
        <w:t>are</w:t>
      </w:r>
      <w:r>
        <w:rPr>
          <w:spacing w:val="-4"/>
        </w:rPr>
        <w:t xml:space="preserve"> </w:t>
      </w:r>
      <w:r>
        <w:t>populated</w:t>
      </w:r>
      <w:r>
        <w:rPr>
          <w:spacing w:val="-3"/>
        </w:rPr>
        <w:t xml:space="preserve"> </w:t>
      </w:r>
      <w:r>
        <w:t>based</w:t>
      </w:r>
      <w:r>
        <w:rPr>
          <w:spacing w:val="-3"/>
        </w:rPr>
        <w:t xml:space="preserve"> </w:t>
      </w:r>
      <w:r>
        <w:t>on</w:t>
      </w:r>
      <w:r>
        <w:rPr>
          <w:spacing w:val="-3"/>
        </w:rPr>
        <w:t xml:space="preserve"> </w:t>
      </w:r>
      <w:r>
        <w:t>the</w:t>
      </w:r>
      <w:r>
        <w:rPr>
          <w:spacing w:val="-2"/>
        </w:rPr>
        <w:t xml:space="preserve"> </w:t>
      </w:r>
      <w:r>
        <w:t>enrollment</w:t>
      </w:r>
      <w:r>
        <w:rPr>
          <w:spacing w:val="-3"/>
        </w:rPr>
        <w:t xml:space="preserve"> </w:t>
      </w:r>
      <w:r>
        <w:t>projections</w:t>
      </w:r>
      <w:r>
        <w:rPr>
          <w:spacing w:val="-4"/>
        </w:rPr>
        <w:t xml:space="preserve"> </w:t>
      </w:r>
      <w:r>
        <w:t>and</w:t>
      </w:r>
      <w:r>
        <w:rPr>
          <w:spacing w:val="-3"/>
        </w:rPr>
        <w:t xml:space="preserve"> </w:t>
      </w:r>
      <w:r>
        <w:t>are</w:t>
      </w:r>
      <w:r>
        <w:rPr>
          <w:spacing w:val="-2"/>
        </w:rPr>
        <w:t xml:space="preserve"> </w:t>
      </w:r>
      <w:r>
        <w:t>used</w:t>
      </w:r>
      <w:r>
        <w:rPr>
          <w:spacing w:val="-3"/>
        </w:rPr>
        <w:t xml:space="preserve"> </w:t>
      </w:r>
      <w:r>
        <w:t>in</w:t>
      </w:r>
      <w:r>
        <w:rPr>
          <w:spacing w:val="-3"/>
        </w:rPr>
        <w:t xml:space="preserve"> </w:t>
      </w:r>
      <w:r>
        <w:t>column k</w:t>
      </w:r>
      <w:r>
        <w:rPr>
          <w:spacing w:val="-3"/>
        </w:rPr>
        <w:t xml:space="preserve"> </w:t>
      </w:r>
      <w:r>
        <w:t>of Worksheet 4, Section IIA.</w:t>
      </w:r>
    </w:p>
    <w:p>
      <w:pPr>
        <w:spacing w:before="241"/>
        <w:ind w:left="504" w:right="0" w:firstLine="0"/>
        <w:jc w:val="left"/>
        <w:rPr>
          <w:rFonts w:ascii="Arial" w:hAnsi="Arial"/>
          <w:b/>
          <w:sz w:val="21"/>
        </w:rPr>
      </w:pPr>
      <w:bookmarkStart w:id="252" w:name="Columns q through s – FFS Costs Used to "/>
      <w:bookmarkEnd w:id="252"/>
      <w:r>
        <w:rPr>
          <w:rFonts w:ascii="Arial" w:hAnsi="Arial"/>
          <w:b/>
          <w:sz w:val="21"/>
        </w:rPr>
        <w:t>Columns</w:t>
      </w:r>
      <w:r>
        <w:rPr>
          <w:rFonts w:ascii="Arial" w:hAnsi="Arial"/>
          <w:b/>
          <w:spacing w:val="-7"/>
          <w:sz w:val="21"/>
        </w:rPr>
        <w:t xml:space="preserve"> </w:t>
      </w:r>
      <w:r>
        <w:rPr>
          <w:rFonts w:ascii="Arial" w:hAnsi="Arial"/>
          <w:b/>
          <w:sz w:val="21"/>
        </w:rPr>
        <w:t>q</w:t>
      </w:r>
      <w:r>
        <w:rPr>
          <w:rFonts w:ascii="Arial" w:hAnsi="Arial"/>
          <w:b/>
          <w:spacing w:val="-3"/>
          <w:sz w:val="21"/>
        </w:rPr>
        <w:t xml:space="preserve"> </w:t>
      </w:r>
      <w:r>
        <w:rPr>
          <w:rFonts w:ascii="Arial" w:hAnsi="Arial"/>
          <w:b/>
          <w:sz w:val="21"/>
        </w:rPr>
        <w:t>through</w:t>
      </w:r>
      <w:r>
        <w:rPr>
          <w:rFonts w:ascii="Arial" w:hAnsi="Arial"/>
          <w:b/>
          <w:spacing w:val="-4"/>
          <w:sz w:val="21"/>
        </w:rPr>
        <w:t xml:space="preserve"> </w:t>
      </w:r>
      <w:r>
        <w:rPr>
          <w:rFonts w:ascii="Arial" w:hAnsi="Arial"/>
          <w:b/>
          <w:sz w:val="21"/>
        </w:rPr>
        <w:t>s</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FFS</w:t>
      </w:r>
      <w:r>
        <w:rPr>
          <w:rFonts w:ascii="Arial" w:hAnsi="Arial"/>
          <w:b/>
          <w:spacing w:val="-5"/>
          <w:sz w:val="21"/>
        </w:rPr>
        <w:t xml:space="preserve"> </w:t>
      </w:r>
      <w:r>
        <w:rPr>
          <w:rFonts w:ascii="Arial" w:hAnsi="Arial"/>
          <w:b/>
          <w:sz w:val="21"/>
        </w:rPr>
        <w:t>Costs</w:t>
      </w:r>
      <w:r>
        <w:rPr>
          <w:rFonts w:ascii="Arial" w:hAnsi="Arial"/>
          <w:b/>
          <w:spacing w:val="-6"/>
          <w:sz w:val="21"/>
        </w:rPr>
        <w:t xml:space="preserve"> </w:t>
      </w:r>
      <w:r>
        <w:rPr>
          <w:rFonts w:ascii="Arial" w:hAnsi="Arial"/>
          <w:b/>
          <w:sz w:val="21"/>
        </w:rPr>
        <w:t>Used</w:t>
      </w:r>
      <w:r>
        <w:rPr>
          <w:rFonts w:ascii="Arial" w:hAnsi="Arial"/>
          <w:b/>
          <w:spacing w:val="-4"/>
          <w:sz w:val="21"/>
        </w:rPr>
        <w:t xml:space="preserve"> </w:t>
      </w:r>
      <w:r>
        <w:rPr>
          <w:rFonts w:ascii="Arial" w:hAnsi="Arial"/>
          <w:b/>
          <w:sz w:val="21"/>
        </w:rPr>
        <w:t>to</w:t>
      </w:r>
      <w:r>
        <w:rPr>
          <w:rFonts w:ascii="Arial" w:hAnsi="Arial"/>
          <w:b/>
          <w:spacing w:val="-4"/>
          <w:sz w:val="21"/>
        </w:rPr>
        <w:t xml:space="preserve"> </w:t>
      </w:r>
      <w:r>
        <w:rPr>
          <w:rFonts w:ascii="Arial" w:hAnsi="Arial"/>
          <w:b/>
          <w:sz w:val="21"/>
        </w:rPr>
        <w:t>Weight</w:t>
      </w:r>
      <w:r>
        <w:rPr>
          <w:rFonts w:ascii="Arial" w:hAnsi="Arial"/>
          <w:b/>
          <w:spacing w:val="-4"/>
          <w:sz w:val="21"/>
        </w:rPr>
        <w:t xml:space="preserve"> </w:t>
      </w:r>
      <w:r>
        <w:rPr>
          <w:rFonts w:ascii="Arial" w:hAnsi="Arial"/>
          <w:b/>
          <w:sz w:val="21"/>
        </w:rPr>
        <w:t>Original</w:t>
      </w:r>
      <w:r>
        <w:rPr>
          <w:rFonts w:ascii="Arial" w:hAnsi="Arial"/>
          <w:b/>
          <w:spacing w:val="-6"/>
          <w:sz w:val="21"/>
        </w:rPr>
        <w:t xml:space="preserve"> </w:t>
      </w:r>
      <w:r>
        <w:rPr>
          <w:rFonts w:ascii="Arial" w:hAnsi="Arial"/>
          <w:b/>
          <w:sz w:val="21"/>
        </w:rPr>
        <w:t>Medicare</w:t>
      </w:r>
      <w:r>
        <w:rPr>
          <w:rFonts w:ascii="Arial" w:hAnsi="Arial"/>
          <w:b/>
          <w:spacing w:val="-4"/>
          <w:sz w:val="21"/>
        </w:rPr>
        <w:t xml:space="preserve"> </w:t>
      </w:r>
      <w:r>
        <w:rPr>
          <w:rFonts w:ascii="Arial" w:hAnsi="Arial"/>
          <w:b/>
          <w:sz w:val="21"/>
        </w:rPr>
        <w:t>Cost</w:t>
      </w:r>
      <w:r>
        <w:rPr>
          <w:rFonts w:ascii="Arial" w:hAnsi="Arial"/>
          <w:b/>
          <w:spacing w:val="-5"/>
          <w:sz w:val="21"/>
        </w:rPr>
        <w:t xml:space="preserve"> </w:t>
      </w:r>
      <w:r>
        <w:rPr>
          <w:rFonts w:ascii="Arial" w:hAnsi="Arial"/>
          <w:b/>
          <w:spacing w:val="-2"/>
          <w:sz w:val="21"/>
        </w:rPr>
        <w:t>Sharing</w:t>
      </w:r>
    </w:p>
    <w:p>
      <w:pPr>
        <w:pStyle w:val="BodyText"/>
        <w:spacing w:before="118"/>
        <w:ind w:right="1481"/>
      </w:pPr>
      <w:r>
        <w:t>These</w:t>
      </w:r>
      <w:r>
        <w:rPr>
          <w:spacing w:val="-4"/>
        </w:rPr>
        <w:t xml:space="preserve"> </w:t>
      </w:r>
      <w:r>
        <w:t>columns</w:t>
      </w:r>
      <w:r>
        <w:rPr>
          <w:spacing w:val="-4"/>
        </w:rPr>
        <w:t xml:space="preserve"> </w:t>
      </w:r>
      <w:r>
        <w:t>are</w:t>
      </w:r>
      <w:r>
        <w:rPr>
          <w:spacing w:val="-4"/>
        </w:rPr>
        <w:t xml:space="preserve"> </w:t>
      </w:r>
      <w:r>
        <w:t>populated</w:t>
      </w:r>
      <w:r>
        <w:rPr>
          <w:spacing w:val="-3"/>
        </w:rPr>
        <w:t xml:space="preserve"> </w:t>
      </w:r>
      <w:r>
        <w:t>based</w:t>
      </w:r>
      <w:r>
        <w:rPr>
          <w:spacing w:val="-3"/>
        </w:rPr>
        <w:t xml:space="preserve"> </w:t>
      </w:r>
      <w:r>
        <w:t>on</w:t>
      </w:r>
      <w:r>
        <w:rPr>
          <w:spacing w:val="-3"/>
        </w:rPr>
        <w:t xml:space="preserve"> </w:t>
      </w:r>
      <w:r>
        <w:t>the</w:t>
      </w:r>
      <w:r>
        <w:rPr>
          <w:spacing w:val="-2"/>
        </w:rPr>
        <w:t xml:space="preserve"> </w:t>
      </w:r>
      <w:r>
        <w:t>enrollment</w:t>
      </w:r>
      <w:r>
        <w:rPr>
          <w:spacing w:val="-3"/>
        </w:rPr>
        <w:t xml:space="preserve"> </w:t>
      </w:r>
      <w:r>
        <w:t>projections</w:t>
      </w:r>
      <w:r>
        <w:rPr>
          <w:spacing w:val="-4"/>
        </w:rPr>
        <w:t xml:space="preserve"> </w:t>
      </w:r>
      <w:r>
        <w:t>and</w:t>
      </w:r>
      <w:r>
        <w:rPr>
          <w:spacing w:val="-3"/>
        </w:rPr>
        <w:t xml:space="preserve"> </w:t>
      </w:r>
      <w:r>
        <w:t>are</w:t>
      </w:r>
      <w:r>
        <w:rPr>
          <w:spacing w:val="-2"/>
        </w:rPr>
        <w:t xml:space="preserve"> </w:t>
      </w:r>
      <w:r>
        <w:t>used</w:t>
      </w:r>
      <w:r>
        <w:rPr>
          <w:spacing w:val="-3"/>
        </w:rPr>
        <w:t xml:space="preserve"> </w:t>
      </w:r>
      <w:r>
        <w:t>in</w:t>
      </w:r>
      <w:r>
        <w:rPr>
          <w:spacing w:val="-3"/>
        </w:rPr>
        <w:t xml:space="preserve"> </w:t>
      </w:r>
      <w:r>
        <w:t>the</w:t>
      </w:r>
      <w:r>
        <w:rPr>
          <w:spacing w:val="-4"/>
        </w:rPr>
        <w:t xml:space="preserve"> </w:t>
      </w:r>
      <w:r>
        <w:t>weighted averages (row 36) of columns n through p.</w:t>
      </w:r>
    </w:p>
    <w:p>
      <w:pPr>
        <w:spacing w:before="241"/>
        <w:ind w:left="504" w:right="0" w:firstLine="0"/>
        <w:jc w:val="left"/>
        <w:rPr>
          <w:rFonts w:ascii="Arial" w:hAnsi="Arial"/>
          <w:b/>
          <w:sz w:val="21"/>
        </w:rPr>
      </w:pPr>
      <w:bookmarkStart w:id="253" w:name="Columns t through u – Metropolitan Stati"/>
      <w:bookmarkEnd w:id="253"/>
      <w:r>
        <w:rPr>
          <w:rFonts w:ascii="Arial" w:hAnsi="Arial"/>
          <w:b/>
          <w:sz w:val="21"/>
        </w:rPr>
        <w:t>Columns</w:t>
      </w:r>
      <w:r>
        <w:rPr>
          <w:rFonts w:ascii="Arial" w:hAnsi="Arial"/>
          <w:b/>
          <w:spacing w:val="-5"/>
          <w:sz w:val="21"/>
        </w:rPr>
        <w:t xml:space="preserve"> </w:t>
      </w:r>
      <w:r>
        <w:rPr>
          <w:rFonts w:ascii="Arial" w:hAnsi="Arial"/>
          <w:b/>
          <w:sz w:val="21"/>
        </w:rPr>
        <w:t>t</w:t>
      </w:r>
      <w:r>
        <w:rPr>
          <w:rFonts w:ascii="Arial" w:hAnsi="Arial"/>
          <w:b/>
          <w:spacing w:val="-5"/>
          <w:sz w:val="21"/>
        </w:rPr>
        <w:t xml:space="preserve"> </w:t>
      </w:r>
      <w:r>
        <w:rPr>
          <w:rFonts w:ascii="Arial" w:hAnsi="Arial"/>
          <w:b/>
          <w:sz w:val="21"/>
        </w:rPr>
        <w:t>through</w:t>
      </w:r>
      <w:r>
        <w:rPr>
          <w:rFonts w:ascii="Arial" w:hAnsi="Arial"/>
          <w:b/>
          <w:spacing w:val="-7"/>
          <w:sz w:val="21"/>
        </w:rPr>
        <w:t xml:space="preserve"> </w:t>
      </w:r>
      <w:r>
        <w:rPr>
          <w:rFonts w:ascii="Arial" w:hAnsi="Arial"/>
          <w:b/>
          <w:sz w:val="21"/>
        </w:rPr>
        <w:t>u</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Metropolitan</w:t>
      </w:r>
      <w:r>
        <w:rPr>
          <w:rFonts w:ascii="Arial" w:hAnsi="Arial"/>
          <w:b/>
          <w:spacing w:val="-5"/>
          <w:sz w:val="21"/>
        </w:rPr>
        <w:t xml:space="preserve"> </w:t>
      </w:r>
      <w:r>
        <w:rPr>
          <w:rFonts w:ascii="Arial" w:hAnsi="Arial"/>
          <w:b/>
          <w:sz w:val="21"/>
        </w:rPr>
        <w:t>Statistical</w:t>
      </w:r>
      <w:r>
        <w:rPr>
          <w:rFonts w:ascii="Arial" w:hAnsi="Arial"/>
          <w:b/>
          <w:spacing w:val="-5"/>
          <w:sz w:val="21"/>
        </w:rPr>
        <w:t xml:space="preserve"> </w:t>
      </w:r>
      <w:r>
        <w:rPr>
          <w:rFonts w:ascii="Arial" w:hAnsi="Arial"/>
          <w:b/>
          <w:sz w:val="21"/>
        </w:rPr>
        <w:t>Area</w:t>
      </w:r>
      <w:r>
        <w:rPr>
          <w:rFonts w:ascii="Arial" w:hAnsi="Arial"/>
          <w:b/>
          <w:spacing w:val="-4"/>
          <w:sz w:val="21"/>
        </w:rPr>
        <w:t xml:space="preserve"> </w:t>
      </w:r>
      <w:r>
        <w:rPr>
          <w:rFonts w:ascii="Arial" w:hAnsi="Arial"/>
          <w:b/>
          <w:spacing w:val="-2"/>
          <w:sz w:val="21"/>
        </w:rPr>
        <w:t>(MSA)</w:t>
      </w:r>
    </w:p>
    <w:p>
      <w:pPr>
        <w:pStyle w:val="BodyText"/>
        <w:spacing w:before="120"/>
        <w:ind w:right="1443"/>
      </w:pPr>
      <w:r>
        <w:t>These columns are populated based on the enrollment projections. The names shown are based on metropolitan and micropolitan statistical areas as defined by the Office of Management and Budget.</w:t>
      </w:r>
      <w:r>
        <w:rPr>
          <w:spacing w:val="-3"/>
        </w:rPr>
        <w:t xml:space="preserve"> </w:t>
      </w:r>
      <w:r>
        <w:t>Though</w:t>
      </w:r>
      <w:r>
        <w:rPr>
          <w:spacing w:val="-3"/>
        </w:rPr>
        <w:t xml:space="preserve"> </w:t>
      </w:r>
      <w:r>
        <w:t>this</w:t>
      </w:r>
      <w:r>
        <w:rPr>
          <w:spacing w:val="-4"/>
        </w:rPr>
        <w:t xml:space="preserve"> </w:t>
      </w:r>
      <w:r>
        <w:t>information</w:t>
      </w:r>
      <w:r>
        <w:rPr>
          <w:spacing w:val="-3"/>
        </w:rPr>
        <w:t xml:space="preserve"> </w:t>
      </w:r>
      <w:r>
        <w:t>is</w:t>
      </w:r>
      <w:r>
        <w:rPr>
          <w:spacing w:val="-2"/>
        </w:rPr>
        <w:t xml:space="preserve"> </w:t>
      </w:r>
      <w:r>
        <w:t>not</w:t>
      </w:r>
      <w:r>
        <w:rPr>
          <w:spacing w:val="-3"/>
        </w:rPr>
        <w:t xml:space="preserve"> </w:t>
      </w:r>
      <w:r>
        <w:t>directly</w:t>
      </w:r>
      <w:r>
        <w:rPr>
          <w:spacing w:val="-3"/>
        </w:rPr>
        <w:t xml:space="preserve"> </w:t>
      </w:r>
      <w:r>
        <w:t>used</w:t>
      </w:r>
      <w:r>
        <w:rPr>
          <w:spacing w:val="-3"/>
        </w:rPr>
        <w:t xml:space="preserve"> </w:t>
      </w:r>
      <w:r>
        <w:t>in</w:t>
      </w:r>
      <w:r>
        <w:rPr>
          <w:spacing w:val="-3"/>
        </w:rPr>
        <w:t xml:space="preserve"> </w:t>
      </w:r>
      <w:r>
        <w:t>the</w:t>
      </w:r>
      <w:r>
        <w:rPr>
          <w:spacing w:val="-4"/>
        </w:rPr>
        <w:t xml:space="preserve"> </w:t>
      </w:r>
      <w:r>
        <w:t>BPT</w:t>
      </w:r>
      <w:r>
        <w:rPr>
          <w:spacing w:val="-3"/>
        </w:rPr>
        <w:t xml:space="preserve"> </w:t>
      </w:r>
      <w:r>
        <w:t>calculations,</w:t>
      </w:r>
      <w:r>
        <w:rPr>
          <w:spacing w:val="-1"/>
        </w:rPr>
        <w:t xml:space="preserve"> </w:t>
      </w:r>
      <w:r>
        <w:t>it</w:t>
      </w:r>
      <w:r>
        <w:rPr>
          <w:spacing w:val="-3"/>
        </w:rPr>
        <w:t xml:space="preserve"> </w:t>
      </w:r>
      <w:r>
        <w:t>is</w:t>
      </w:r>
      <w:r>
        <w:rPr>
          <w:spacing w:val="-3"/>
        </w:rPr>
        <w:t xml:space="preserve"> </w:t>
      </w:r>
      <w:r>
        <w:t>used</w:t>
      </w:r>
      <w:r>
        <w:rPr>
          <w:spacing w:val="-3"/>
        </w:rPr>
        <w:t xml:space="preserve"> </w:t>
      </w:r>
      <w:r>
        <w:t>by</w:t>
      </w:r>
      <w:r>
        <w:rPr>
          <w:spacing w:val="-4"/>
        </w:rPr>
        <w:t xml:space="preserve"> </w:t>
      </w:r>
      <w:r>
        <w:t>CMS during bid reviews.</w:t>
      </w:r>
    </w:p>
    <w:p>
      <w:pPr>
        <w:pStyle w:val="BodyText"/>
        <w:spacing w:before="46"/>
        <w:ind w:left="0"/>
      </w:pPr>
    </w:p>
    <w:p>
      <w:pPr>
        <w:pStyle w:val="Heading2"/>
      </w:pPr>
      <w:bookmarkStart w:id="254" w:name="Section VIII – Projected CY Member Month"/>
      <w:bookmarkEnd w:id="254"/>
      <w:bookmarkStart w:id="255" w:name="_bookmark70"/>
      <w:bookmarkEnd w:id="255"/>
      <w:r>
        <w:rPr>
          <w:smallCaps/>
        </w:rPr>
        <w:t>Section</w:t>
      </w:r>
      <w:r>
        <w:rPr>
          <w:smallCaps/>
          <w:spacing w:val="-15"/>
        </w:rPr>
        <w:t xml:space="preserve"> </w:t>
      </w:r>
      <w:r>
        <w:rPr>
          <w:smallCaps/>
        </w:rPr>
        <w:t>VIII</w:t>
      </w:r>
      <w:r>
        <w:rPr>
          <w:smallCaps/>
          <w:spacing w:val="-15"/>
        </w:rPr>
        <w:t xml:space="preserve"> </w:t>
      </w:r>
      <w:r>
        <w:rPr>
          <w:smallCaps/>
        </w:rPr>
        <w:t>–</w:t>
      </w:r>
      <w:r>
        <w:rPr>
          <w:smallCaps/>
          <w:spacing w:val="-15"/>
        </w:rPr>
        <w:t xml:space="preserve"> </w:t>
      </w:r>
      <w:r>
        <w:rPr>
          <w:smallCaps/>
        </w:rPr>
        <w:t>Projected</w:t>
      </w:r>
      <w:r>
        <w:rPr>
          <w:smallCaps/>
          <w:spacing w:val="-14"/>
        </w:rPr>
        <w:t xml:space="preserve"> </w:t>
      </w:r>
      <w:r>
        <w:rPr>
          <w:smallCaps/>
        </w:rPr>
        <w:t>CY</w:t>
      </w:r>
      <w:r>
        <w:rPr>
          <w:smallCaps/>
          <w:spacing w:val="-15"/>
        </w:rPr>
        <w:t xml:space="preserve"> </w:t>
      </w:r>
      <w:r>
        <w:rPr>
          <w:smallCaps/>
        </w:rPr>
        <w:t>Member</w:t>
      </w:r>
      <w:r>
        <w:rPr>
          <w:smallCaps/>
          <w:spacing w:val="-7"/>
        </w:rPr>
        <w:t xml:space="preserve"> </w:t>
      </w:r>
      <w:r>
        <w:rPr>
          <w:smallCaps/>
          <w:spacing w:val="-2"/>
        </w:rPr>
        <w:t>Months</w:t>
      </w:r>
    </w:p>
    <w:p>
      <w:pPr>
        <w:pStyle w:val="BodyText"/>
        <w:spacing w:before="179"/>
      </w:pPr>
      <w:r>
        <w:t>This</w:t>
      </w:r>
      <w:r>
        <w:rPr>
          <w:spacing w:val="-4"/>
        </w:rPr>
        <w:t xml:space="preserve"> </w:t>
      </w:r>
      <w:r>
        <w:t>section</w:t>
      </w:r>
      <w:r>
        <w:rPr>
          <w:spacing w:val="-2"/>
        </w:rPr>
        <w:t xml:space="preserve"> </w:t>
      </w:r>
      <w:r>
        <w:t>captures and</w:t>
      </w:r>
      <w:r>
        <w:rPr>
          <w:spacing w:val="-1"/>
        </w:rPr>
        <w:t xml:space="preserve"> </w:t>
      </w:r>
      <w:r>
        <w:t>summarizes</w:t>
      </w:r>
      <w:r>
        <w:rPr>
          <w:spacing w:val="-3"/>
        </w:rPr>
        <w:t xml:space="preserve"> </w:t>
      </w:r>
      <w:r>
        <w:t>the</w:t>
      </w:r>
      <w:r>
        <w:rPr>
          <w:spacing w:val="-3"/>
        </w:rPr>
        <w:t xml:space="preserve"> </w:t>
      </w:r>
      <w:r>
        <w:t>various</w:t>
      </w:r>
      <w:r>
        <w:rPr>
          <w:spacing w:val="-3"/>
        </w:rPr>
        <w:t xml:space="preserve"> </w:t>
      </w:r>
      <w:r>
        <w:t>components</w:t>
      </w:r>
      <w:r>
        <w:rPr>
          <w:spacing w:val="-3"/>
        </w:rPr>
        <w:t xml:space="preserve"> </w:t>
      </w:r>
      <w:r>
        <w:t>of</w:t>
      </w:r>
      <w:r>
        <w:rPr>
          <w:spacing w:val="-2"/>
        </w:rPr>
        <w:t xml:space="preserve"> </w:t>
      </w:r>
      <w:r>
        <w:t>the</w:t>
      </w:r>
      <w:r>
        <w:rPr>
          <w:spacing w:val="-1"/>
        </w:rPr>
        <w:t xml:space="preserve"> </w:t>
      </w:r>
      <w:r>
        <w:t>bid’s</w:t>
      </w:r>
      <w:r>
        <w:rPr>
          <w:spacing w:val="-1"/>
        </w:rPr>
        <w:t xml:space="preserve"> </w:t>
      </w:r>
      <w:r>
        <w:t>member</w:t>
      </w:r>
      <w:r>
        <w:rPr>
          <w:spacing w:val="-2"/>
        </w:rPr>
        <w:t xml:space="preserve"> months.</w:t>
      </w:r>
    </w:p>
    <w:p>
      <w:pPr>
        <w:spacing w:before="241"/>
        <w:ind w:left="504" w:right="0" w:firstLine="0"/>
        <w:jc w:val="left"/>
        <w:rPr>
          <w:rFonts w:ascii="Arial" w:hAnsi="Arial"/>
          <w:b/>
          <w:sz w:val="21"/>
        </w:rPr>
      </w:pPr>
      <w:bookmarkStart w:id="256" w:name="Line 1 – Member Months entered by county"/>
      <w:bookmarkEnd w:id="256"/>
      <w:r>
        <w:rPr>
          <w:rFonts w:ascii="Arial" w:hAnsi="Arial"/>
          <w:b/>
          <w:sz w:val="21"/>
        </w:rPr>
        <w:t>Line</w:t>
      </w:r>
      <w:r>
        <w:rPr>
          <w:rFonts w:ascii="Arial" w:hAnsi="Arial"/>
          <w:b/>
          <w:spacing w:val="-8"/>
          <w:sz w:val="21"/>
        </w:rPr>
        <w:t xml:space="preserve"> </w:t>
      </w:r>
      <w:r>
        <w:rPr>
          <w:rFonts w:ascii="Arial" w:hAnsi="Arial"/>
          <w:b/>
          <w:sz w:val="21"/>
        </w:rPr>
        <w:t>1</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Member</w:t>
      </w:r>
      <w:r>
        <w:rPr>
          <w:rFonts w:ascii="Arial" w:hAnsi="Arial"/>
          <w:b/>
          <w:spacing w:val="-6"/>
          <w:sz w:val="21"/>
        </w:rPr>
        <w:t xml:space="preserve"> </w:t>
      </w:r>
      <w:r>
        <w:rPr>
          <w:rFonts w:ascii="Arial" w:hAnsi="Arial"/>
          <w:b/>
          <w:sz w:val="21"/>
        </w:rPr>
        <w:t>Months</w:t>
      </w:r>
      <w:r>
        <w:rPr>
          <w:rFonts w:ascii="Arial" w:hAnsi="Arial"/>
          <w:b/>
          <w:spacing w:val="-7"/>
          <w:sz w:val="21"/>
        </w:rPr>
        <w:t xml:space="preserve"> </w:t>
      </w:r>
      <w:r>
        <w:rPr>
          <w:rFonts w:ascii="Arial" w:hAnsi="Arial"/>
          <w:b/>
          <w:sz w:val="21"/>
        </w:rPr>
        <w:t>entered</w:t>
      </w:r>
      <w:r>
        <w:rPr>
          <w:rFonts w:ascii="Arial" w:hAnsi="Arial"/>
          <w:b/>
          <w:spacing w:val="-4"/>
          <w:sz w:val="21"/>
        </w:rPr>
        <w:t xml:space="preserve"> </w:t>
      </w:r>
      <w:r>
        <w:rPr>
          <w:rFonts w:ascii="Arial" w:hAnsi="Arial"/>
          <w:b/>
          <w:sz w:val="21"/>
        </w:rPr>
        <w:t>by</w:t>
      </w:r>
      <w:r>
        <w:rPr>
          <w:rFonts w:ascii="Arial" w:hAnsi="Arial"/>
          <w:b/>
          <w:spacing w:val="-5"/>
          <w:sz w:val="21"/>
        </w:rPr>
        <w:t xml:space="preserve"> </w:t>
      </w:r>
      <w:r>
        <w:rPr>
          <w:rFonts w:ascii="Arial" w:hAnsi="Arial"/>
          <w:b/>
          <w:sz w:val="21"/>
        </w:rPr>
        <w:t>county</w:t>
      </w:r>
      <w:r>
        <w:rPr>
          <w:rFonts w:ascii="Arial" w:hAnsi="Arial"/>
          <w:b/>
          <w:spacing w:val="-5"/>
          <w:sz w:val="21"/>
        </w:rPr>
        <w:t xml:space="preserve"> </w:t>
      </w:r>
      <w:r>
        <w:rPr>
          <w:rFonts w:ascii="Arial" w:hAnsi="Arial"/>
          <w:b/>
          <w:sz w:val="21"/>
        </w:rPr>
        <w:t>(from</w:t>
      </w:r>
      <w:r>
        <w:rPr>
          <w:rFonts w:ascii="Arial" w:hAnsi="Arial"/>
          <w:b/>
          <w:spacing w:val="-6"/>
          <w:sz w:val="21"/>
        </w:rPr>
        <w:t xml:space="preserve"> </w:t>
      </w:r>
      <w:r>
        <w:rPr>
          <w:rFonts w:ascii="Arial" w:hAnsi="Arial"/>
          <w:b/>
          <w:sz w:val="21"/>
        </w:rPr>
        <w:t>Section</w:t>
      </w:r>
      <w:r>
        <w:rPr>
          <w:rFonts w:ascii="Arial" w:hAnsi="Arial"/>
          <w:b/>
          <w:spacing w:val="-4"/>
          <w:sz w:val="21"/>
        </w:rPr>
        <w:t xml:space="preserve"> </w:t>
      </w:r>
      <w:r>
        <w:rPr>
          <w:rFonts w:ascii="Arial" w:hAnsi="Arial"/>
          <w:b/>
          <w:spacing w:val="-5"/>
          <w:sz w:val="21"/>
        </w:rPr>
        <w:t>VI)</w:t>
      </w:r>
    </w:p>
    <w:p>
      <w:pPr>
        <w:pStyle w:val="BodyText"/>
        <w:spacing w:before="118"/>
      </w:pPr>
      <w:r>
        <w:t>This</w:t>
      </w:r>
      <w:r>
        <w:rPr>
          <w:spacing w:val="-2"/>
        </w:rPr>
        <w:t xml:space="preserve"> </w:t>
      </w:r>
      <w:r>
        <w:t>value</w:t>
      </w:r>
      <w:r>
        <w:rPr>
          <w:spacing w:val="-2"/>
        </w:rPr>
        <w:t xml:space="preserve"> </w:t>
      </w:r>
      <w:r>
        <w:t>is</w:t>
      </w:r>
      <w:r>
        <w:rPr>
          <w:spacing w:val="-2"/>
        </w:rPr>
        <w:t xml:space="preserve"> </w:t>
      </w:r>
      <w:r>
        <w:t>obtained</w:t>
      </w:r>
      <w:r>
        <w:rPr>
          <w:spacing w:val="-1"/>
        </w:rPr>
        <w:t xml:space="preserve"> </w:t>
      </w:r>
      <w:r>
        <w:t>from</w:t>
      </w:r>
      <w:r>
        <w:rPr>
          <w:spacing w:val="-1"/>
        </w:rPr>
        <w:t xml:space="preserve"> </w:t>
      </w:r>
      <w:r>
        <w:t>Section</w:t>
      </w:r>
      <w:r>
        <w:rPr>
          <w:spacing w:val="-1"/>
        </w:rPr>
        <w:t xml:space="preserve"> </w:t>
      </w:r>
      <w:r>
        <w:rPr>
          <w:spacing w:val="-5"/>
        </w:rPr>
        <w:t>VI.</w:t>
      </w:r>
    </w:p>
    <w:p>
      <w:pPr>
        <w:spacing w:before="240"/>
        <w:ind w:left="504" w:right="0" w:firstLine="0"/>
        <w:jc w:val="left"/>
        <w:rPr>
          <w:rFonts w:ascii="Arial" w:hAnsi="Arial"/>
          <w:b/>
          <w:sz w:val="21"/>
        </w:rPr>
      </w:pPr>
      <w:bookmarkStart w:id="257" w:name="Line 2 – ESRD Member Months"/>
      <w:bookmarkEnd w:id="257"/>
      <w:r>
        <w:rPr>
          <w:rFonts w:ascii="Arial" w:hAnsi="Arial"/>
          <w:b/>
          <w:sz w:val="21"/>
        </w:rPr>
        <w:t>Line</w:t>
      </w:r>
      <w:r>
        <w:rPr>
          <w:rFonts w:ascii="Arial" w:hAnsi="Arial"/>
          <w:b/>
          <w:spacing w:val="-5"/>
          <w:sz w:val="21"/>
        </w:rPr>
        <w:t xml:space="preserve"> </w:t>
      </w:r>
      <w:r>
        <w:rPr>
          <w:rFonts w:ascii="Arial" w:hAnsi="Arial"/>
          <w:b/>
          <w:sz w:val="21"/>
        </w:rPr>
        <w:t>2</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ESRD</w:t>
      </w:r>
      <w:r>
        <w:rPr>
          <w:rFonts w:ascii="Arial" w:hAnsi="Arial"/>
          <w:b/>
          <w:spacing w:val="-3"/>
          <w:sz w:val="21"/>
        </w:rPr>
        <w:t xml:space="preserve"> </w:t>
      </w:r>
      <w:r>
        <w:rPr>
          <w:rFonts w:ascii="Arial" w:hAnsi="Arial"/>
          <w:b/>
          <w:sz w:val="21"/>
        </w:rPr>
        <w:t>Member</w:t>
      </w:r>
      <w:r>
        <w:rPr>
          <w:rFonts w:ascii="Arial" w:hAnsi="Arial"/>
          <w:b/>
          <w:spacing w:val="-6"/>
          <w:sz w:val="21"/>
        </w:rPr>
        <w:t xml:space="preserve"> </w:t>
      </w:r>
      <w:r>
        <w:rPr>
          <w:rFonts w:ascii="Arial" w:hAnsi="Arial"/>
          <w:b/>
          <w:spacing w:val="-2"/>
          <w:sz w:val="21"/>
        </w:rPr>
        <w:t>Months</w:t>
      </w:r>
    </w:p>
    <w:p>
      <w:pPr>
        <w:pStyle w:val="BodyText"/>
        <w:spacing w:before="120"/>
        <w:ind w:right="1481"/>
      </w:pPr>
      <w:r>
        <w:t>Enter</w:t>
      </w:r>
      <w:r>
        <w:rPr>
          <w:spacing w:val="-2"/>
        </w:rPr>
        <w:t xml:space="preserve"> </w:t>
      </w:r>
      <w:r>
        <w:t>the</w:t>
      </w:r>
      <w:r>
        <w:rPr>
          <w:spacing w:val="-4"/>
        </w:rPr>
        <w:t xml:space="preserve"> </w:t>
      </w:r>
      <w:r>
        <w:t>projected</w:t>
      </w:r>
      <w:r>
        <w:rPr>
          <w:spacing w:val="-2"/>
        </w:rPr>
        <w:t xml:space="preserve"> </w:t>
      </w:r>
      <w:r>
        <w:t>CY</w:t>
      </w:r>
      <w:r>
        <w:rPr>
          <w:spacing w:val="-3"/>
        </w:rPr>
        <w:t xml:space="preserve"> </w:t>
      </w:r>
      <w:r>
        <w:t>ESRD</w:t>
      </w:r>
      <w:r>
        <w:rPr>
          <w:spacing w:val="-3"/>
        </w:rPr>
        <w:t xml:space="preserve"> </w:t>
      </w:r>
      <w:r>
        <w:t>member</w:t>
      </w:r>
      <w:r>
        <w:rPr>
          <w:spacing w:val="-4"/>
        </w:rPr>
        <w:t xml:space="preserve"> </w:t>
      </w:r>
      <w:r>
        <w:t>months.</w:t>
      </w:r>
      <w:r>
        <w:rPr>
          <w:spacing w:val="-2"/>
        </w:rPr>
        <w:t xml:space="preserve"> </w:t>
      </w:r>
      <w:r>
        <w:t>Do</w:t>
      </w:r>
      <w:r>
        <w:rPr>
          <w:spacing w:val="-2"/>
        </w:rPr>
        <w:t xml:space="preserve"> </w:t>
      </w:r>
      <w:r>
        <w:t>not</w:t>
      </w:r>
      <w:r>
        <w:rPr>
          <w:spacing w:val="-2"/>
        </w:rPr>
        <w:t xml:space="preserve"> </w:t>
      </w:r>
      <w:r>
        <w:t>leave</w:t>
      </w:r>
      <w:r>
        <w:rPr>
          <w:spacing w:val="-3"/>
        </w:rPr>
        <w:t xml:space="preserve"> </w:t>
      </w:r>
      <w:r>
        <w:t>this</w:t>
      </w:r>
      <w:r>
        <w:rPr>
          <w:spacing w:val="-3"/>
        </w:rPr>
        <w:t xml:space="preserve"> </w:t>
      </w:r>
      <w:r>
        <w:t>field</w:t>
      </w:r>
      <w:r>
        <w:rPr>
          <w:spacing w:val="-2"/>
        </w:rPr>
        <w:t xml:space="preserve"> </w:t>
      </w:r>
      <w:r>
        <w:t>blank.</w:t>
      </w:r>
      <w:r>
        <w:rPr>
          <w:spacing w:val="-2"/>
        </w:rPr>
        <w:t xml:space="preserve"> </w:t>
      </w:r>
      <w:r>
        <w:t>If</w:t>
      </w:r>
      <w:r>
        <w:rPr>
          <w:spacing w:val="-2"/>
        </w:rPr>
        <w:t xml:space="preserve"> </w:t>
      </w:r>
      <w:r>
        <w:t>no</w:t>
      </w:r>
      <w:r>
        <w:rPr>
          <w:spacing w:val="-2"/>
        </w:rPr>
        <w:t xml:space="preserve"> </w:t>
      </w:r>
      <w:r>
        <w:t>ESRD enrollees are expected during the contract period, then enter a zero (0) in this field.</w:t>
      </w:r>
    </w:p>
    <w:p>
      <w:pPr>
        <w:pStyle w:val="BodyText"/>
        <w:spacing w:before="121"/>
      </w:pPr>
      <w:r>
        <w:t>This</w:t>
      </w:r>
      <w:r>
        <w:rPr>
          <w:spacing w:val="-2"/>
        </w:rPr>
        <w:t xml:space="preserve"> </w:t>
      </w:r>
      <w:r>
        <w:t>amount</w:t>
      </w:r>
      <w:r>
        <w:rPr>
          <w:spacing w:val="-1"/>
        </w:rPr>
        <w:t xml:space="preserve"> </w:t>
      </w:r>
      <w:r>
        <w:t>is</w:t>
      </w:r>
      <w:r>
        <w:rPr>
          <w:spacing w:val="-2"/>
        </w:rPr>
        <w:t xml:space="preserve"> </w:t>
      </w:r>
      <w:r>
        <w:t>used</w:t>
      </w:r>
      <w:r>
        <w:rPr>
          <w:spacing w:val="-1"/>
        </w:rPr>
        <w:t xml:space="preserve"> </w:t>
      </w:r>
      <w:r>
        <w:t>on</w:t>
      </w:r>
      <w:r>
        <w:rPr>
          <w:spacing w:val="-1"/>
        </w:rPr>
        <w:t xml:space="preserve"> </w:t>
      </w:r>
      <w:r>
        <w:t>Worksheet</w:t>
      </w:r>
      <w:r>
        <w:rPr>
          <w:spacing w:val="-1"/>
        </w:rPr>
        <w:t xml:space="preserve"> </w:t>
      </w:r>
      <w:r>
        <w:t>4</w:t>
      </w:r>
      <w:r>
        <w:rPr>
          <w:spacing w:val="-1"/>
        </w:rPr>
        <w:t xml:space="preserve"> </w:t>
      </w:r>
      <w:r>
        <w:t xml:space="preserve">Section </w:t>
      </w:r>
      <w:r>
        <w:rPr>
          <w:spacing w:val="-4"/>
        </w:rPr>
        <w:t>III.</w:t>
      </w:r>
    </w:p>
    <w:p>
      <w:pPr>
        <w:spacing w:before="241"/>
        <w:ind w:left="504" w:right="0" w:firstLine="0"/>
        <w:jc w:val="left"/>
        <w:rPr>
          <w:rFonts w:ascii="Arial" w:hAnsi="Arial"/>
          <w:b/>
          <w:sz w:val="21"/>
        </w:rPr>
      </w:pPr>
      <w:bookmarkStart w:id="258" w:name="Line 3 – Hospice Member Months"/>
      <w:bookmarkEnd w:id="258"/>
      <w:r>
        <w:rPr>
          <w:rFonts w:ascii="Arial" w:hAnsi="Arial"/>
          <w:b/>
          <w:sz w:val="21"/>
        </w:rPr>
        <w:t>Line</w:t>
      </w:r>
      <w:r>
        <w:rPr>
          <w:rFonts w:ascii="Arial" w:hAnsi="Arial"/>
          <w:b/>
          <w:spacing w:val="-5"/>
          <w:sz w:val="21"/>
        </w:rPr>
        <w:t xml:space="preserve"> </w:t>
      </w:r>
      <w:r>
        <w:rPr>
          <w:rFonts w:ascii="Arial" w:hAnsi="Arial"/>
          <w:b/>
          <w:sz w:val="21"/>
        </w:rPr>
        <w:t>3</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Hospice</w:t>
      </w:r>
      <w:r>
        <w:rPr>
          <w:rFonts w:ascii="Arial" w:hAnsi="Arial"/>
          <w:b/>
          <w:spacing w:val="-5"/>
          <w:sz w:val="21"/>
        </w:rPr>
        <w:t xml:space="preserve"> </w:t>
      </w:r>
      <w:r>
        <w:rPr>
          <w:rFonts w:ascii="Arial" w:hAnsi="Arial"/>
          <w:b/>
          <w:sz w:val="21"/>
        </w:rPr>
        <w:t>Member</w:t>
      </w:r>
      <w:r>
        <w:rPr>
          <w:rFonts w:ascii="Arial" w:hAnsi="Arial"/>
          <w:b/>
          <w:spacing w:val="-5"/>
          <w:sz w:val="21"/>
        </w:rPr>
        <w:t xml:space="preserve"> </w:t>
      </w:r>
      <w:r>
        <w:rPr>
          <w:rFonts w:ascii="Arial" w:hAnsi="Arial"/>
          <w:b/>
          <w:spacing w:val="-2"/>
          <w:sz w:val="21"/>
        </w:rPr>
        <w:t>Months</w:t>
      </w:r>
    </w:p>
    <w:p>
      <w:pPr>
        <w:pStyle w:val="BodyText"/>
        <w:spacing w:before="117"/>
        <w:ind w:right="1481"/>
      </w:pPr>
      <w:r>
        <w:t>Enter</w:t>
      </w:r>
      <w:r>
        <w:rPr>
          <w:spacing w:val="-3"/>
        </w:rPr>
        <w:t xml:space="preserve"> </w:t>
      </w:r>
      <w:r>
        <w:t>the</w:t>
      </w:r>
      <w:r>
        <w:rPr>
          <w:spacing w:val="-5"/>
        </w:rPr>
        <w:t xml:space="preserve"> </w:t>
      </w:r>
      <w:r>
        <w:t>projected</w:t>
      </w:r>
      <w:r>
        <w:rPr>
          <w:spacing w:val="-3"/>
        </w:rPr>
        <w:t xml:space="preserve"> </w:t>
      </w:r>
      <w:r>
        <w:t>CY</w:t>
      </w:r>
      <w:r>
        <w:rPr>
          <w:spacing w:val="-4"/>
        </w:rPr>
        <w:t xml:space="preserve"> </w:t>
      </w:r>
      <w:r>
        <w:t>hospice</w:t>
      </w:r>
      <w:r>
        <w:rPr>
          <w:spacing w:val="-4"/>
        </w:rPr>
        <w:t xml:space="preserve"> </w:t>
      </w:r>
      <w:r>
        <w:t>member</w:t>
      </w:r>
      <w:r>
        <w:rPr>
          <w:spacing w:val="-3"/>
        </w:rPr>
        <w:t xml:space="preserve"> </w:t>
      </w:r>
      <w:r>
        <w:t>months.</w:t>
      </w:r>
      <w:r>
        <w:rPr>
          <w:spacing w:val="-1"/>
        </w:rPr>
        <w:t xml:space="preserve"> </w:t>
      </w:r>
      <w:r>
        <w:t>Do</w:t>
      </w:r>
      <w:r>
        <w:rPr>
          <w:spacing w:val="-3"/>
        </w:rPr>
        <w:t xml:space="preserve"> </w:t>
      </w:r>
      <w:r>
        <w:t>not</w:t>
      </w:r>
      <w:r>
        <w:rPr>
          <w:spacing w:val="-3"/>
        </w:rPr>
        <w:t xml:space="preserve"> </w:t>
      </w:r>
      <w:r>
        <w:t>leave</w:t>
      </w:r>
      <w:r>
        <w:rPr>
          <w:spacing w:val="-4"/>
        </w:rPr>
        <w:t xml:space="preserve"> </w:t>
      </w:r>
      <w:r>
        <w:t>this</w:t>
      </w:r>
      <w:r>
        <w:rPr>
          <w:spacing w:val="-4"/>
        </w:rPr>
        <w:t xml:space="preserve"> </w:t>
      </w:r>
      <w:r>
        <w:t>field</w:t>
      </w:r>
      <w:r>
        <w:rPr>
          <w:spacing w:val="-3"/>
        </w:rPr>
        <w:t xml:space="preserve"> </w:t>
      </w:r>
      <w:r>
        <w:t>blank.</w:t>
      </w:r>
      <w:r>
        <w:rPr>
          <w:spacing w:val="-1"/>
        </w:rPr>
        <w:t xml:space="preserve"> </w:t>
      </w:r>
      <w:r>
        <w:t>If</w:t>
      </w:r>
      <w:r>
        <w:rPr>
          <w:spacing w:val="-3"/>
        </w:rPr>
        <w:t xml:space="preserve"> </w:t>
      </w:r>
      <w:r>
        <w:t>no</w:t>
      </w:r>
      <w:r>
        <w:rPr>
          <w:spacing w:val="-3"/>
        </w:rPr>
        <w:t xml:space="preserve"> </w:t>
      </w:r>
      <w:r>
        <w:t>hospice enrollees are expected during the contract period, then enter a zero (0) in this field.</w:t>
      </w:r>
    </w:p>
    <w:p>
      <w:pPr>
        <w:spacing w:before="241"/>
        <w:ind w:left="504" w:right="0" w:firstLine="0"/>
        <w:jc w:val="left"/>
        <w:rPr>
          <w:rFonts w:ascii="Arial" w:hAnsi="Arial"/>
          <w:b/>
          <w:sz w:val="21"/>
        </w:rPr>
      </w:pPr>
      <w:bookmarkStart w:id="259" w:name="Line 4 – Out-of-Area (OOA) Member Months"/>
      <w:bookmarkEnd w:id="259"/>
      <w:r>
        <w:rPr>
          <w:rFonts w:ascii="Arial" w:hAnsi="Arial"/>
          <w:b/>
          <w:sz w:val="21"/>
        </w:rPr>
        <w:t>Line</w:t>
      </w:r>
      <w:r>
        <w:rPr>
          <w:rFonts w:ascii="Arial" w:hAnsi="Arial"/>
          <w:b/>
          <w:spacing w:val="-6"/>
          <w:sz w:val="21"/>
        </w:rPr>
        <w:t xml:space="preserve"> </w:t>
      </w:r>
      <w:r>
        <w:rPr>
          <w:rFonts w:ascii="Arial" w:hAnsi="Arial"/>
          <w:b/>
          <w:sz w:val="21"/>
        </w:rPr>
        <w:t>4</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Out-of-Area</w:t>
      </w:r>
      <w:r>
        <w:rPr>
          <w:rFonts w:ascii="Arial" w:hAnsi="Arial"/>
          <w:b/>
          <w:spacing w:val="-5"/>
          <w:sz w:val="21"/>
        </w:rPr>
        <w:t xml:space="preserve"> </w:t>
      </w:r>
      <w:r>
        <w:rPr>
          <w:rFonts w:ascii="Arial" w:hAnsi="Arial"/>
          <w:b/>
          <w:sz w:val="21"/>
        </w:rPr>
        <w:t>(OOA)</w:t>
      </w:r>
      <w:r>
        <w:rPr>
          <w:rFonts w:ascii="Arial" w:hAnsi="Arial"/>
          <w:b/>
          <w:spacing w:val="-6"/>
          <w:sz w:val="21"/>
        </w:rPr>
        <w:t xml:space="preserve"> </w:t>
      </w:r>
      <w:r>
        <w:rPr>
          <w:rFonts w:ascii="Arial" w:hAnsi="Arial"/>
          <w:b/>
          <w:sz w:val="21"/>
        </w:rPr>
        <w:t>Member</w:t>
      </w:r>
      <w:r>
        <w:rPr>
          <w:rFonts w:ascii="Arial" w:hAnsi="Arial"/>
          <w:b/>
          <w:spacing w:val="-6"/>
          <w:sz w:val="21"/>
        </w:rPr>
        <w:t xml:space="preserve"> </w:t>
      </w:r>
      <w:r>
        <w:rPr>
          <w:rFonts w:ascii="Arial" w:hAnsi="Arial"/>
          <w:b/>
          <w:spacing w:val="-2"/>
          <w:sz w:val="21"/>
        </w:rPr>
        <w:t>Months</w:t>
      </w:r>
    </w:p>
    <w:p>
      <w:pPr>
        <w:pStyle w:val="BodyText"/>
        <w:spacing w:before="120"/>
      </w:pPr>
      <w:r>
        <w:t>This</w:t>
      </w:r>
      <w:r>
        <w:rPr>
          <w:spacing w:val="-3"/>
        </w:rPr>
        <w:t xml:space="preserve"> </w:t>
      </w:r>
      <w:r>
        <w:t>value</w:t>
      </w:r>
      <w:r>
        <w:rPr>
          <w:spacing w:val="-2"/>
        </w:rPr>
        <w:t xml:space="preserve"> </w:t>
      </w:r>
      <w:r>
        <w:t>is</w:t>
      </w:r>
      <w:r>
        <w:rPr>
          <w:spacing w:val="-2"/>
        </w:rPr>
        <w:t xml:space="preserve"> </w:t>
      </w:r>
      <w:r>
        <w:t>obtained</w:t>
      </w:r>
      <w:r>
        <w:rPr>
          <w:spacing w:val="-1"/>
        </w:rPr>
        <w:t xml:space="preserve"> </w:t>
      </w:r>
      <w:r>
        <w:t>from Section</w:t>
      </w:r>
      <w:r>
        <w:rPr>
          <w:spacing w:val="-1"/>
        </w:rPr>
        <w:t xml:space="preserve"> </w:t>
      </w:r>
      <w:r>
        <w:rPr>
          <w:spacing w:val="-5"/>
        </w:rPr>
        <w:t>VI.</w:t>
      </w:r>
    </w:p>
    <w:p>
      <w:pPr>
        <w:spacing w:before="241"/>
        <w:ind w:left="504" w:right="0" w:firstLine="0"/>
        <w:jc w:val="left"/>
        <w:rPr>
          <w:rFonts w:ascii="Arial" w:hAnsi="Arial"/>
          <w:b/>
          <w:sz w:val="21"/>
        </w:rPr>
      </w:pPr>
      <w:bookmarkStart w:id="260" w:name="Line 5 – Total Member Months"/>
      <w:bookmarkEnd w:id="260"/>
      <w:r>
        <w:rPr>
          <w:rFonts w:ascii="Arial" w:hAnsi="Arial"/>
          <w:b/>
          <w:sz w:val="21"/>
        </w:rPr>
        <w:t>Line</w:t>
      </w:r>
      <w:r>
        <w:rPr>
          <w:rFonts w:ascii="Arial" w:hAnsi="Arial"/>
          <w:b/>
          <w:spacing w:val="-4"/>
          <w:sz w:val="21"/>
        </w:rPr>
        <w:t xml:space="preserve"> </w:t>
      </w:r>
      <w:r>
        <w:rPr>
          <w:rFonts w:ascii="Arial" w:hAnsi="Arial"/>
          <w:b/>
          <w:sz w:val="21"/>
        </w:rPr>
        <w:t>5</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3"/>
          <w:sz w:val="21"/>
        </w:rPr>
        <w:t xml:space="preserve"> </w:t>
      </w:r>
      <w:r>
        <w:rPr>
          <w:rFonts w:ascii="Arial" w:hAnsi="Arial"/>
          <w:b/>
          <w:sz w:val="21"/>
        </w:rPr>
        <w:t>Member</w:t>
      </w:r>
      <w:r>
        <w:rPr>
          <w:rFonts w:ascii="Arial" w:hAnsi="Arial"/>
          <w:b/>
          <w:spacing w:val="-4"/>
          <w:sz w:val="21"/>
        </w:rPr>
        <w:t xml:space="preserve"> </w:t>
      </w:r>
      <w:r>
        <w:rPr>
          <w:rFonts w:ascii="Arial" w:hAnsi="Arial"/>
          <w:b/>
          <w:spacing w:val="-2"/>
          <w:sz w:val="21"/>
        </w:rPr>
        <w:t>Months</w:t>
      </w:r>
    </w:p>
    <w:p>
      <w:pPr>
        <w:pStyle w:val="BodyText"/>
        <w:spacing w:before="120"/>
      </w:pPr>
      <w:r>
        <w:t>Calculated</w:t>
      </w:r>
      <w:r>
        <w:rPr>
          <w:spacing w:val="-1"/>
        </w:rPr>
        <w:t xml:space="preserve"> </w:t>
      </w:r>
      <w:r>
        <w:t>as</w:t>
      </w:r>
      <w:r>
        <w:rPr>
          <w:spacing w:val="-1"/>
        </w:rPr>
        <w:t xml:space="preserve"> </w:t>
      </w:r>
      <w:r>
        <w:t>the</w:t>
      </w:r>
      <w:r>
        <w:rPr>
          <w:spacing w:val="-1"/>
        </w:rPr>
        <w:t xml:space="preserve"> </w:t>
      </w:r>
      <w:r>
        <w:t>sum of lines 1</w:t>
      </w:r>
      <w:r>
        <w:rPr>
          <w:spacing w:val="-1"/>
        </w:rPr>
        <w:t xml:space="preserve"> </w:t>
      </w:r>
      <w:r>
        <w:t xml:space="preserve">through </w:t>
      </w:r>
      <w:r>
        <w:rPr>
          <w:spacing w:val="-5"/>
        </w:rPr>
        <w:t>4.</w:t>
      </w:r>
    </w:p>
    <w:p>
      <w:pPr>
        <w:pStyle w:val="BodyText"/>
        <w:spacing w:before="121"/>
        <w:ind w:right="1841"/>
      </w:pPr>
      <w:r>
        <w:t>The</w:t>
      </w:r>
      <w:r>
        <w:rPr>
          <w:spacing w:val="-4"/>
        </w:rPr>
        <w:t xml:space="preserve"> </w:t>
      </w:r>
      <w:r>
        <w:t>enrollment</w:t>
      </w:r>
      <w:r>
        <w:rPr>
          <w:spacing w:val="-3"/>
        </w:rPr>
        <w:t xml:space="preserve"> </w:t>
      </w:r>
      <w:r>
        <w:t>for</w:t>
      </w:r>
      <w:r>
        <w:rPr>
          <w:spacing w:val="-4"/>
        </w:rPr>
        <w:t xml:space="preserve"> </w:t>
      </w:r>
      <w:r>
        <w:t>the</w:t>
      </w:r>
      <w:r>
        <w:rPr>
          <w:spacing w:val="-4"/>
        </w:rPr>
        <w:t xml:space="preserve"> </w:t>
      </w:r>
      <w:r>
        <w:t>MA</w:t>
      </w:r>
      <w:r>
        <w:rPr>
          <w:spacing w:val="-3"/>
        </w:rPr>
        <w:t xml:space="preserve"> </w:t>
      </w:r>
      <w:r>
        <w:t>bid</w:t>
      </w:r>
      <w:r>
        <w:rPr>
          <w:spacing w:val="-3"/>
        </w:rPr>
        <w:t xml:space="preserve"> </w:t>
      </w:r>
      <w:r>
        <w:t>must</w:t>
      </w:r>
      <w:r>
        <w:rPr>
          <w:spacing w:val="-2"/>
        </w:rPr>
        <w:t xml:space="preserve"> </w:t>
      </w:r>
      <w:r>
        <w:t>be</w:t>
      </w:r>
      <w:r>
        <w:rPr>
          <w:spacing w:val="-4"/>
        </w:rPr>
        <w:t xml:space="preserve"> </w:t>
      </w:r>
      <w:r>
        <w:t>based</w:t>
      </w:r>
      <w:r>
        <w:rPr>
          <w:spacing w:val="-3"/>
        </w:rPr>
        <w:t xml:space="preserve"> </w:t>
      </w:r>
      <w:r>
        <w:t>on</w:t>
      </w:r>
      <w:r>
        <w:rPr>
          <w:spacing w:val="-3"/>
        </w:rPr>
        <w:t xml:space="preserve"> </w:t>
      </w:r>
      <w:r>
        <w:t>a</w:t>
      </w:r>
      <w:r>
        <w:rPr>
          <w:spacing w:val="-2"/>
        </w:rPr>
        <w:t xml:space="preserve"> </w:t>
      </w:r>
      <w:r>
        <w:t>population</w:t>
      </w:r>
      <w:r>
        <w:rPr>
          <w:spacing w:val="-3"/>
        </w:rPr>
        <w:t xml:space="preserve"> </w:t>
      </w:r>
      <w:r>
        <w:t>consistent</w:t>
      </w:r>
      <w:r>
        <w:rPr>
          <w:spacing w:val="-3"/>
        </w:rPr>
        <w:t xml:space="preserve"> </w:t>
      </w:r>
      <w:r>
        <w:t>with</w:t>
      </w:r>
      <w:r>
        <w:rPr>
          <w:spacing w:val="-3"/>
        </w:rPr>
        <w:t xml:space="preserve"> </w:t>
      </w:r>
      <w:r>
        <w:t>the corresponding Part D bid.</w:t>
      </w:r>
    </w:p>
    <w:p>
      <w:pPr>
        <w:pStyle w:val="BodyText"/>
        <w:spacing w:after="0"/>
        <w:sectPr>
          <w:pgSz w:w="12240" w:h="15840"/>
          <w:pgMar w:top="960" w:right="0" w:bottom="940" w:left="1080" w:header="727" w:footer="747"/>
          <w:cols w:space="720"/>
        </w:sectPr>
      </w:pPr>
    </w:p>
    <w:p>
      <w:pPr>
        <w:pStyle w:val="BodyText"/>
        <w:spacing w:before="264"/>
        <w:ind w:left="0"/>
        <w:rPr>
          <w:sz w:val="28"/>
        </w:rPr>
      </w:pPr>
    </w:p>
    <w:p>
      <w:pPr>
        <w:pStyle w:val="Heading1"/>
        <w:tabs>
          <w:tab w:val="left" w:pos="9750"/>
        </w:tabs>
        <w:rPr>
          <w:u w:val="none"/>
        </w:rPr>
      </w:pPr>
      <w:bookmarkStart w:id="261" w:name="MA Worksheet 6 – MA Bid Summary"/>
      <w:bookmarkEnd w:id="261"/>
      <w:bookmarkStart w:id="262" w:name="_bookmark71"/>
      <w:bookmarkEnd w:id="262"/>
      <w:r>
        <w:rPr>
          <w:spacing w:val="-50"/>
          <w:u w:val="single"/>
        </w:rPr>
        <w:t xml:space="preserve"> </w:t>
      </w:r>
      <w:r>
        <w:rPr>
          <w:u w:val="single"/>
        </w:rPr>
        <w:t>MA</w:t>
      </w:r>
      <w:r>
        <w:rPr>
          <w:spacing w:val="-4"/>
          <w:u w:val="single"/>
        </w:rPr>
        <w:t xml:space="preserve"> </w:t>
      </w:r>
      <w:r>
        <w:rPr>
          <w:u w:val="single"/>
        </w:rPr>
        <w:t>WORKSHEET</w:t>
      </w:r>
      <w:r>
        <w:rPr>
          <w:spacing w:val="-1"/>
          <w:u w:val="single"/>
        </w:rPr>
        <w:t xml:space="preserve"> </w:t>
      </w:r>
      <w:r>
        <w:rPr>
          <w:u w:val="single"/>
        </w:rPr>
        <w:t>6</w:t>
      </w:r>
      <w:r>
        <w:rPr>
          <w:spacing w:val="-1"/>
          <w:u w:val="single"/>
        </w:rPr>
        <w:t xml:space="preserve"> </w:t>
      </w:r>
      <w:r>
        <w:rPr>
          <w:u w:val="single"/>
        </w:rPr>
        <w:t>–</w:t>
      </w:r>
      <w:r>
        <w:rPr>
          <w:spacing w:val="-5"/>
          <w:u w:val="single"/>
        </w:rPr>
        <w:t xml:space="preserve"> </w:t>
      </w:r>
      <w:r>
        <w:rPr>
          <w:u w:val="single"/>
        </w:rPr>
        <w:t>MA</w:t>
      </w:r>
      <w:r>
        <w:rPr>
          <w:spacing w:val="-5"/>
          <w:u w:val="single"/>
        </w:rPr>
        <w:t xml:space="preserve"> </w:t>
      </w:r>
      <w:r>
        <w:rPr>
          <w:u w:val="single"/>
        </w:rPr>
        <w:t xml:space="preserve">BID </w:t>
      </w:r>
      <w:r>
        <w:rPr>
          <w:spacing w:val="-2"/>
          <w:u w:val="single"/>
        </w:rPr>
        <w:t>SUMMARY</w:t>
      </w:r>
      <w:r>
        <w:rPr>
          <w:u w:val="single"/>
        </w:rPr>
        <w:tab/>
      </w:r>
    </w:p>
    <w:p>
      <w:pPr>
        <w:pStyle w:val="BodyText"/>
        <w:spacing w:before="271"/>
        <w:ind w:right="1481"/>
      </w:pPr>
      <w:r>
        <w:t>Worksheet</w:t>
      </w:r>
      <w:r>
        <w:rPr>
          <w:spacing w:val="-3"/>
        </w:rPr>
        <w:t xml:space="preserve"> </w:t>
      </w:r>
      <w:r>
        <w:t>6</w:t>
      </w:r>
      <w:r>
        <w:rPr>
          <w:spacing w:val="-3"/>
        </w:rPr>
        <w:t xml:space="preserve"> </w:t>
      </w:r>
      <w:r>
        <w:t>summarizes</w:t>
      </w:r>
      <w:r>
        <w:rPr>
          <w:spacing w:val="-1"/>
        </w:rPr>
        <w:t xml:space="preserve"> </w:t>
      </w:r>
      <w:r>
        <w:t>the</w:t>
      </w:r>
      <w:r>
        <w:rPr>
          <w:spacing w:val="-3"/>
        </w:rPr>
        <w:t xml:space="preserve"> </w:t>
      </w:r>
      <w:r>
        <w:t>results</w:t>
      </w:r>
      <w:r>
        <w:rPr>
          <w:spacing w:val="-4"/>
        </w:rPr>
        <w:t xml:space="preserve"> </w:t>
      </w:r>
      <w:r>
        <w:t>of</w:t>
      </w:r>
      <w:r>
        <w:rPr>
          <w:spacing w:val="-3"/>
        </w:rPr>
        <w:t xml:space="preserve"> </w:t>
      </w:r>
      <w:r>
        <w:t>the</w:t>
      </w:r>
      <w:r>
        <w:rPr>
          <w:spacing w:val="-4"/>
        </w:rPr>
        <w:t xml:space="preserve"> </w:t>
      </w:r>
      <w:r>
        <w:t>calculations</w:t>
      </w:r>
      <w:r>
        <w:rPr>
          <w:spacing w:val="-4"/>
        </w:rPr>
        <w:t xml:space="preserve"> </w:t>
      </w:r>
      <w:r>
        <w:t>of</w:t>
      </w:r>
      <w:r>
        <w:rPr>
          <w:spacing w:val="-3"/>
        </w:rPr>
        <w:t xml:space="preserve"> </w:t>
      </w:r>
      <w:r>
        <w:t>the</w:t>
      </w:r>
      <w:r>
        <w:rPr>
          <w:spacing w:val="-2"/>
        </w:rPr>
        <w:t xml:space="preserve"> </w:t>
      </w:r>
      <w:r>
        <w:t>BPT.</w:t>
      </w:r>
      <w:r>
        <w:rPr>
          <w:spacing w:val="-3"/>
        </w:rPr>
        <w:t xml:space="preserve"> </w:t>
      </w:r>
      <w:r>
        <w:t>In</w:t>
      </w:r>
      <w:r>
        <w:rPr>
          <w:spacing w:val="-3"/>
        </w:rPr>
        <w:t xml:space="preserve"> </w:t>
      </w:r>
      <w:r>
        <w:t>addition,</w:t>
      </w:r>
      <w:r>
        <w:rPr>
          <w:spacing w:val="-3"/>
        </w:rPr>
        <w:t xml:space="preserve"> </w:t>
      </w:r>
      <w:r>
        <w:t>some</w:t>
      </w:r>
      <w:r>
        <w:rPr>
          <w:spacing w:val="-3"/>
        </w:rPr>
        <w:t xml:space="preserve"> </w:t>
      </w:r>
      <w:r>
        <w:t>user inputs are required as described below.</w:t>
      </w:r>
    </w:p>
    <w:p>
      <w:pPr>
        <w:pStyle w:val="BodyText"/>
        <w:spacing w:before="45"/>
        <w:ind w:left="0"/>
      </w:pPr>
    </w:p>
    <w:p>
      <w:pPr>
        <w:pStyle w:val="Heading2"/>
      </w:pPr>
      <w:bookmarkStart w:id="263" w:name="_bookmark72"/>
      <w:bookmarkEnd w:id="263"/>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79"/>
      </w:pPr>
      <w:r>
        <w:t>This</w:t>
      </w:r>
      <w:r>
        <w:rPr>
          <w:spacing w:val="-3"/>
        </w:rPr>
        <w:t xml:space="preserve"> </w:t>
      </w:r>
      <w:r>
        <w:t>section</w:t>
      </w:r>
      <w:r>
        <w:rPr>
          <w:spacing w:val="-2"/>
        </w:rPr>
        <w:t xml:space="preserve"> </w:t>
      </w:r>
      <w:r>
        <w:t>displays</w:t>
      </w:r>
      <w:r>
        <w:rPr>
          <w:spacing w:val="-3"/>
        </w:rPr>
        <w:t xml:space="preserve"> </w:t>
      </w:r>
      <w:r>
        <w:t>the</w:t>
      </w:r>
      <w:r>
        <w:rPr>
          <w:spacing w:val="-3"/>
        </w:rPr>
        <w:t xml:space="preserve"> </w:t>
      </w:r>
      <w:r>
        <w:t>information</w:t>
      </w:r>
      <w:r>
        <w:rPr>
          <w:spacing w:val="-2"/>
        </w:rPr>
        <w:t xml:space="preserve"> </w:t>
      </w:r>
      <w:r>
        <w:t>entered</w:t>
      </w:r>
      <w:r>
        <w:rPr>
          <w:spacing w:val="-2"/>
        </w:rPr>
        <w:t xml:space="preserve"> </w:t>
      </w:r>
      <w:r>
        <w:t>on</w:t>
      </w:r>
      <w:r>
        <w:rPr>
          <w:spacing w:val="2"/>
        </w:rPr>
        <w:t xml:space="preserve"> </w:t>
      </w:r>
      <w:r>
        <w:t>Worksheet</w:t>
      </w:r>
      <w:r>
        <w:rPr>
          <w:spacing w:val="-2"/>
        </w:rPr>
        <w:t xml:space="preserve"> </w:t>
      </w:r>
      <w:r>
        <w:t>1,</w:t>
      </w:r>
      <w:r>
        <w:rPr>
          <w:spacing w:val="-2"/>
        </w:rPr>
        <w:t xml:space="preserve"> </w:t>
      </w:r>
      <w:r>
        <w:t>Section</w:t>
      </w:r>
      <w:r>
        <w:rPr>
          <w:spacing w:val="-1"/>
        </w:rPr>
        <w:t xml:space="preserve"> </w:t>
      </w:r>
      <w:r>
        <w:rPr>
          <w:spacing w:val="-5"/>
        </w:rPr>
        <w:t>I.</w:t>
      </w:r>
    </w:p>
    <w:p>
      <w:pPr>
        <w:pStyle w:val="BodyText"/>
        <w:spacing w:before="45"/>
        <w:ind w:left="0"/>
      </w:pPr>
    </w:p>
    <w:p>
      <w:pPr>
        <w:pStyle w:val="Heading2"/>
      </w:pPr>
      <w:bookmarkStart w:id="264" w:name="Section II – Other Information"/>
      <w:bookmarkEnd w:id="264"/>
      <w:bookmarkStart w:id="265" w:name="_bookmark73"/>
      <w:bookmarkEnd w:id="265"/>
      <w:r>
        <w:rPr>
          <w:smallCaps/>
        </w:rPr>
        <w:t>Section</w:t>
      </w:r>
      <w:r>
        <w:rPr>
          <w:smallCaps/>
          <w:spacing w:val="-13"/>
        </w:rPr>
        <w:t xml:space="preserve"> </w:t>
      </w:r>
      <w:r>
        <w:rPr>
          <w:smallCaps/>
        </w:rPr>
        <w:t>II</w:t>
      </w:r>
      <w:r>
        <w:rPr>
          <w:smallCaps/>
          <w:spacing w:val="-15"/>
        </w:rPr>
        <w:t xml:space="preserve"> </w:t>
      </w:r>
      <w:r>
        <w:rPr>
          <w:smallCaps/>
        </w:rPr>
        <w:t>–</w:t>
      </w:r>
      <w:r>
        <w:rPr>
          <w:smallCaps/>
          <w:spacing w:val="-15"/>
        </w:rPr>
        <w:t xml:space="preserve"> </w:t>
      </w:r>
      <w:r>
        <w:rPr>
          <w:smallCaps/>
        </w:rPr>
        <w:t>Other</w:t>
      </w:r>
      <w:r>
        <w:rPr>
          <w:smallCaps/>
          <w:spacing w:val="-4"/>
        </w:rPr>
        <w:t xml:space="preserve"> </w:t>
      </w:r>
      <w:r>
        <w:rPr>
          <w:smallCaps/>
          <w:spacing w:val="-2"/>
        </w:rPr>
        <w:t>Information</w:t>
      </w:r>
    </w:p>
    <w:p>
      <w:pPr>
        <w:spacing w:before="238"/>
        <w:ind w:left="504" w:right="0" w:firstLine="0"/>
        <w:jc w:val="left"/>
        <w:rPr>
          <w:rFonts w:ascii="Arial" w:hAnsi="Arial"/>
          <w:b/>
          <w:sz w:val="21"/>
        </w:rPr>
      </w:pPr>
      <w:bookmarkStart w:id="266" w:name="SUBSECTION A – Part B Information"/>
      <w:bookmarkEnd w:id="266"/>
      <w:r>
        <w:rPr>
          <w:rFonts w:ascii="Arial" w:hAnsi="Arial"/>
          <w:b/>
          <w:sz w:val="21"/>
        </w:rPr>
        <w:t>SUBSECTION</w:t>
      </w:r>
      <w:r>
        <w:rPr>
          <w:rFonts w:ascii="Arial" w:hAnsi="Arial"/>
          <w:b/>
          <w:spacing w:val="-4"/>
          <w:sz w:val="21"/>
        </w:rPr>
        <w:t xml:space="preserve"> </w:t>
      </w:r>
      <w:r>
        <w:rPr>
          <w:rFonts w:ascii="Arial" w:hAnsi="Arial"/>
          <w:b/>
          <w:sz w:val="21"/>
        </w:rPr>
        <w:t>A</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Part</w:t>
      </w:r>
      <w:r>
        <w:rPr>
          <w:rFonts w:ascii="Arial" w:hAnsi="Arial"/>
          <w:b/>
          <w:spacing w:val="-6"/>
          <w:sz w:val="21"/>
        </w:rPr>
        <w:t xml:space="preserve"> </w:t>
      </w:r>
      <w:r>
        <w:rPr>
          <w:rFonts w:ascii="Arial" w:hAnsi="Arial"/>
          <w:b/>
          <w:sz w:val="21"/>
        </w:rPr>
        <w:t>B</w:t>
      </w:r>
      <w:r>
        <w:rPr>
          <w:rFonts w:ascii="Arial" w:hAnsi="Arial"/>
          <w:b/>
          <w:spacing w:val="-4"/>
          <w:sz w:val="21"/>
        </w:rPr>
        <w:t xml:space="preserve"> </w:t>
      </w:r>
      <w:r>
        <w:rPr>
          <w:rFonts w:ascii="Arial" w:hAnsi="Arial"/>
          <w:b/>
          <w:spacing w:val="-2"/>
          <w:sz w:val="21"/>
        </w:rPr>
        <w:t>Information</w:t>
      </w:r>
    </w:p>
    <w:p>
      <w:pPr>
        <w:pStyle w:val="BodyText"/>
        <w:spacing w:before="121"/>
        <w:ind w:right="1841"/>
      </w:pPr>
      <w:r>
        <w:t>See</w:t>
      </w:r>
      <w:r>
        <w:rPr>
          <w:spacing w:val="-5"/>
        </w:rPr>
        <w:t xml:space="preserve"> </w:t>
      </w:r>
      <w:r>
        <w:t>the</w:t>
      </w:r>
      <w:r>
        <w:rPr>
          <w:spacing w:val="-5"/>
        </w:rPr>
        <w:t xml:space="preserve"> </w:t>
      </w:r>
      <w:r>
        <w:t>“Part</w:t>
      </w:r>
      <w:r>
        <w:rPr>
          <w:spacing w:val="-4"/>
        </w:rPr>
        <w:t xml:space="preserve"> </w:t>
      </w:r>
      <w:r>
        <w:t>B</w:t>
      </w:r>
      <w:r>
        <w:rPr>
          <w:spacing w:val="-4"/>
        </w:rPr>
        <w:t xml:space="preserve"> </w:t>
      </w:r>
      <w:r>
        <w:t>Premium</w:t>
      </w:r>
      <w:r>
        <w:rPr>
          <w:spacing w:val="-4"/>
        </w:rPr>
        <w:t xml:space="preserve"> </w:t>
      </w:r>
      <w:r>
        <w:t>and</w:t>
      </w:r>
      <w:r>
        <w:rPr>
          <w:spacing w:val="-4"/>
        </w:rPr>
        <w:t xml:space="preserve"> </w:t>
      </w:r>
      <w:r>
        <w:t>Buydown”</w:t>
      </w:r>
      <w:r>
        <w:rPr>
          <w:spacing w:val="-5"/>
        </w:rPr>
        <w:t xml:space="preserve"> </w:t>
      </w:r>
      <w:r>
        <w:t>pricing</w:t>
      </w:r>
      <w:r>
        <w:rPr>
          <w:spacing w:val="-4"/>
        </w:rPr>
        <w:t xml:space="preserve"> </w:t>
      </w:r>
      <w:r>
        <w:t>consideration</w:t>
      </w:r>
      <w:r>
        <w:rPr>
          <w:spacing w:val="-4"/>
        </w:rPr>
        <w:t xml:space="preserve"> </w:t>
      </w:r>
      <w:r>
        <w:t>for</w:t>
      </w:r>
      <w:r>
        <w:rPr>
          <w:spacing w:val="-6"/>
        </w:rPr>
        <w:t xml:space="preserve"> </w:t>
      </w:r>
      <w:r>
        <w:t>further</w:t>
      </w:r>
      <w:r>
        <w:rPr>
          <w:spacing w:val="-4"/>
        </w:rPr>
        <w:t xml:space="preserve"> </w:t>
      </w:r>
      <w:r>
        <w:t>information regarding allocating rebates to buy down the Part B premium.</w:t>
      </w:r>
    </w:p>
    <w:p>
      <w:pPr>
        <w:spacing w:before="240"/>
        <w:ind w:left="504" w:right="0" w:firstLine="0"/>
        <w:jc w:val="left"/>
        <w:rPr>
          <w:rFonts w:ascii="Arial" w:hAnsi="Arial"/>
          <w:b/>
          <w:sz w:val="21"/>
        </w:rPr>
      </w:pPr>
      <w:bookmarkStart w:id="267" w:name="Line 1 – Maximum Part B Premium Buydown "/>
      <w:bookmarkEnd w:id="267"/>
      <w:r>
        <w:rPr>
          <w:rFonts w:ascii="Arial" w:hAnsi="Arial"/>
          <w:b/>
          <w:sz w:val="21"/>
        </w:rPr>
        <w:t>Line</w:t>
      </w:r>
      <w:r>
        <w:rPr>
          <w:rFonts w:ascii="Arial" w:hAnsi="Arial"/>
          <w:b/>
          <w:spacing w:val="-4"/>
          <w:sz w:val="21"/>
        </w:rPr>
        <w:t xml:space="preserve"> </w:t>
      </w:r>
      <w:r>
        <w:rPr>
          <w:rFonts w:ascii="Arial" w:hAnsi="Arial"/>
          <w:b/>
          <w:sz w:val="21"/>
        </w:rPr>
        <w:t>1</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Maximum</w:t>
      </w:r>
      <w:r>
        <w:rPr>
          <w:rFonts w:ascii="Arial" w:hAnsi="Arial"/>
          <w:b/>
          <w:spacing w:val="-7"/>
          <w:sz w:val="21"/>
        </w:rPr>
        <w:t xml:space="preserve"> </w:t>
      </w:r>
      <w:r>
        <w:rPr>
          <w:rFonts w:ascii="Arial" w:hAnsi="Arial"/>
          <w:b/>
          <w:sz w:val="21"/>
        </w:rPr>
        <w:t>Part</w:t>
      </w:r>
      <w:r>
        <w:rPr>
          <w:rFonts w:ascii="Arial" w:hAnsi="Arial"/>
          <w:b/>
          <w:spacing w:val="-5"/>
          <w:sz w:val="21"/>
        </w:rPr>
        <w:t xml:space="preserve"> </w:t>
      </w:r>
      <w:r>
        <w:rPr>
          <w:rFonts w:ascii="Arial" w:hAnsi="Arial"/>
          <w:b/>
          <w:sz w:val="21"/>
        </w:rPr>
        <w:t>B</w:t>
      </w:r>
      <w:r>
        <w:rPr>
          <w:rFonts w:ascii="Arial" w:hAnsi="Arial"/>
          <w:b/>
          <w:spacing w:val="-3"/>
          <w:sz w:val="21"/>
        </w:rPr>
        <w:t xml:space="preserve"> </w:t>
      </w:r>
      <w:r>
        <w:rPr>
          <w:rFonts w:ascii="Arial" w:hAnsi="Arial"/>
          <w:b/>
          <w:sz w:val="21"/>
        </w:rPr>
        <w:t>Premium</w:t>
      </w:r>
      <w:r>
        <w:rPr>
          <w:rFonts w:ascii="Arial" w:hAnsi="Arial"/>
          <w:b/>
          <w:spacing w:val="-7"/>
          <w:sz w:val="21"/>
        </w:rPr>
        <w:t xml:space="preserve"> </w:t>
      </w:r>
      <w:r>
        <w:rPr>
          <w:rFonts w:ascii="Arial" w:hAnsi="Arial"/>
          <w:b/>
          <w:sz w:val="21"/>
        </w:rPr>
        <w:t>Buydown</w:t>
      </w:r>
      <w:r>
        <w:rPr>
          <w:rFonts w:ascii="Arial" w:hAnsi="Arial"/>
          <w:b/>
          <w:spacing w:val="-3"/>
          <w:sz w:val="21"/>
        </w:rPr>
        <w:t xml:space="preserve"> </w:t>
      </w:r>
      <w:r>
        <w:rPr>
          <w:rFonts w:ascii="Arial" w:hAnsi="Arial"/>
          <w:b/>
          <w:sz w:val="21"/>
        </w:rPr>
        <w:t>Amount,</w:t>
      </w:r>
      <w:r>
        <w:rPr>
          <w:rFonts w:ascii="Arial" w:hAnsi="Arial"/>
          <w:b/>
          <w:spacing w:val="-5"/>
          <w:sz w:val="21"/>
        </w:rPr>
        <w:t xml:space="preserve"> </w:t>
      </w:r>
      <w:r>
        <w:rPr>
          <w:rFonts w:ascii="Arial" w:hAnsi="Arial"/>
          <w:b/>
          <w:sz w:val="21"/>
        </w:rPr>
        <w:t>per</w:t>
      </w:r>
      <w:r>
        <w:rPr>
          <w:rFonts w:ascii="Arial" w:hAnsi="Arial"/>
          <w:b/>
          <w:spacing w:val="-4"/>
          <w:sz w:val="21"/>
        </w:rPr>
        <w:t xml:space="preserve"> </w:t>
      </w:r>
      <w:r>
        <w:rPr>
          <w:rFonts w:ascii="Arial" w:hAnsi="Arial"/>
          <w:b/>
          <w:spacing w:val="-5"/>
          <w:sz w:val="21"/>
        </w:rPr>
        <w:t>CMS</w:t>
      </w:r>
    </w:p>
    <w:p>
      <w:pPr>
        <w:pStyle w:val="BodyText"/>
        <w:spacing w:before="121"/>
      </w:pPr>
      <w:r>
        <w:t>This</w:t>
      </w:r>
      <w:r>
        <w:rPr>
          <w:spacing w:val="-4"/>
        </w:rPr>
        <w:t xml:space="preserve"> </w:t>
      </w:r>
      <w:r>
        <w:t>value</w:t>
      </w:r>
      <w:r>
        <w:rPr>
          <w:spacing w:val="-2"/>
        </w:rPr>
        <w:t xml:space="preserve"> </w:t>
      </w:r>
      <w:r>
        <w:t>is</w:t>
      </w:r>
      <w:r>
        <w:rPr>
          <w:spacing w:val="-2"/>
        </w:rPr>
        <w:t xml:space="preserve"> </w:t>
      </w:r>
      <w:r>
        <w:t>pre-populated by</w:t>
      </w:r>
      <w:r>
        <w:rPr>
          <w:spacing w:val="-1"/>
        </w:rPr>
        <w:t xml:space="preserve"> </w:t>
      </w:r>
      <w:r>
        <w:t>CMS</w:t>
      </w:r>
      <w:r>
        <w:rPr>
          <w:spacing w:val="1"/>
        </w:rPr>
        <w:t xml:space="preserve"> </w:t>
      </w:r>
      <w:r>
        <w:t>at the</w:t>
      </w:r>
      <w:r>
        <w:rPr>
          <w:spacing w:val="-2"/>
        </w:rPr>
        <w:t xml:space="preserve"> </w:t>
      </w:r>
      <w:r>
        <w:t>time</w:t>
      </w:r>
      <w:r>
        <w:rPr>
          <w:spacing w:val="-1"/>
        </w:rPr>
        <w:t xml:space="preserve"> </w:t>
      </w:r>
      <w:r>
        <w:t>that the</w:t>
      </w:r>
      <w:r>
        <w:rPr>
          <w:spacing w:val="-1"/>
        </w:rPr>
        <w:t xml:space="preserve"> </w:t>
      </w:r>
      <w:r>
        <w:t>BPT</w:t>
      </w:r>
      <w:r>
        <w:rPr>
          <w:spacing w:val="-1"/>
        </w:rPr>
        <w:t xml:space="preserve"> </w:t>
      </w:r>
      <w:r>
        <w:t>is</w:t>
      </w:r>
      <w:r>
        <w:rPr>
          <w:spacing w:val="-1"/>
        </w:rPr>
        <w:t xml:space="preserve"> </w:t>
      </w:r>
      <w:r>
        <w:rPr>
          <w:spacing w:val="-2"/>
        </w:rPr>
        <w:t>released.</w:t>
      </w:r>
    </w:p>
    <w:p>
      <w:pPr>
        <w:spacing w:before="2" w:line="480" w:lineRule="atLeast"/>
        <w:ind w:left="504" w:right="4717" w:firstLine="0"/>
        <w:jc w:val="left"/>
        <w:rPr>
          <w:rFonts w:ascii="Arial" w:hAnsi="Arial"/>
          <w:b/>
          <w:sz w:val="21"/>
        </w:rPr>
      </w:pPr>
      <w:bookmarkStart w:id="268" w:name="SUBSECTION B – Rebate Allocation for Par"/>
      <w:bookmarkEnd w:id="268"/>
      <w:r>
        <w:rPr>
          <w:rFonts w:ascii="Arial" w:hAnsi="Arial"/>
          <w:b/>
          <w:sz w:val="21"/>
        </w:rPr>
        <w:t>SUBSECTION</w:t>
      </w:r>
      <w:r>
        <w:rPr>
          <w:rFonts w:ascii="Arial" w:hAnsi="Arial"/>
          <w:b/>
          <w:spacing w:val="-6"/>
          <w:sz w:val="21"/>
        </w:rPr>
        <w:t xml:space="preserve"> </w:t>
      </w:r>
      <w:r>
        <w:rPr>
          <w:rFonts w:ascii="Arial" w:hAnsi="Arial"/>
          <w:b/>
          <w:sz w:val="21"/>
        </w:rPr>
        <w:t>B</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Rebate</w:t>
      </w:r>
      <w:r>
        <w:rPr>
          <w:rFonts w:ascii="Arial" w:hAnsi="Arial"/>
          <w:b/>
          <w:spacing w:val="-6"/>
          <w:sz w:val="21"/>
        </w:rPr>
        <w:t xml:space="preserve"> </w:t>
      </w:r>
      <w:r>
        <w:rPr>
          <w:rFonts w:ascii="Arial" w:hAnsi="Arial"/>
          <w:b/>
          <w:sz w:val="21"/>
        </w:rPr>
        <w:t>Allocation</w:t>
      </w:r>
      <w:r>
        <w:rPr>
          <w:rFonts w:ascii="Arial" w:hAnsi="Arial"/>
          <w:b/>
          <w:spacing w:val="-4"/>
          <w:sz w:val="21"/>
        </w:rPr>
        <w:t xml:space="preserve"> </w:t>
      </w:r>
      <w:r>
        <w:rPr>
          <w:rFonts w:ascii="Arial" w:hAnsi="Arial"/>
          <w:b/>
          <w:sz w:val="21"/>
        </w:rPr>
        <w:t>for</w:t>
      </w:r>
      <w:r>
        <w:rPr>
          <w:rFonts w:ascii="Arial" w:hAnsi="Arial"/>
          <w:b/>
          <w:spacing w:val="-4"/>
          <w:sz w:val="21"/>
        </w:rPr>
        <w:t xml:space="preserve"> </w:t>
      </w:r>
      <w:r>
        <w:rPr>
          <w:rFonts w:ascii="Arial" w:hAnsi="Arial"/>
          <w:b/>
          <w:sz w:val="21"/>
        </w:rPr>
        <w:t>Part</w:t>
      </w:r>
      <w:r>
        <w:rPr>
          <w:rFonts w:ascii="Arial" w:hAnsi="Arial"/>
          <w:b/>
          <w:spacing w:val="-6"/>
          <w:sz w:val="21"/>
        </w:rPr>
        <w:t xml:space="preserve"> </w:t>
      </w:r>
      <w:r>
        <w:rPr>
          <w:rFonts w:ascii="Arial" w:hAnsi="Arial"/>
          <w:b/>
          <w:sz w:val="21"/>
        </w:rPr>
        <w:t>B</w:t>
      </w:r>
      <w:r>
        <w:rPr>
          <w:rFonts w:ascii="Arial" w:hAnsi="Arial"/>
          <w:b/>
          <w:spacing w:val="-4"/>
          <w:sz w:val="21"/>
        </w:rPr>
        <w:t xml:space="preserve"> </w:t>
      </w:r>
      <w:r>
        <w:rPr>
          <w:rFonts w:ascii="Arial" w:hAnsi="Arial"/>
          <w:b/>
          <w:sz w:val="21"/>
        </w:rPr>
        <w:t xml:space="preserve">Premium </w:t>
      </w:r>
      <w:bookmarkStart w:id="269" w:name="Line 1 – PMPM Rebate Allocation for Part"/>
      <w:bookmarkEnd w:id="269"/>
      <w:r>
        <w:rPr>
          <w:rFonts w:ascii="Arial" w:hAnsi="Arial"/>
          <w:b/>
          <w:sz w:val="21"/>
        </w:rPr>
        <w:t>Lin</w:t>
      </w:r>
      <w:r>
        <w:rPr>
          <w:rFonts w:ascii="Arial" w:hAnsi="Arial"/>
          <w:b/>
          <w:sz w:val="21"/>
        </w:rPr>
        <w:t>e 1 – PMPM Rebate Allocation for Part B Premium</w:t>
      </w:r>
    </w:p>
    <w:p>
      <w:pPr>
        <w:pStyle w:val="BodyText"/>
        <w:spacing w:before="120"/>
      </w:pPr>
      <w:r>
        <w:t>Enter</w:t>
      </w:r>
      <w:r>
        <w:rPr>
          <w:spacing w:val="-3"/>
        </w:rPr>
        <w:t xml:space="preserve"> </w:t>
      </w:r>
      <w:r>
        <w:t>the</w:t>
      </w:r>
      <w:r>
        <w:rPr>
          <w:spacing w:val="-3"/>
        </w:rPr>
        <w:t xml:space="preserve"> </w:t>
      </w:r>
      <w:r>
        <w:t>PMPM</w:t>
      </w:r>
      <w:r>
        <w:rPr>
          <w:spacing w:val="-1"/>
        </w:rPr>
        <w:t xml:space="preserve"> </w:t>
      </w:r>
      <w:r>
        <w:t>amount</w:t>
      </w:r>
      <w:r>
        <w:rPr>
          <w:spacing w:val="-1"/>
        </w:rPr>
        <w:t xml:space="preserve"> </w:t>
      </w:r>
      <w:r>
        <w:t>of</w:t>
      </w:r>
      <w:r>
        <w:rPr>
          <w:spacing w:val="-1"/>
        </w:rPr>
        <w:t xml:space="preserve"> </w:t>
      </w:r>
      <w:r>
        <w:t>rebates</w:t>
      </w:r>
      <w:r>
        <w:rPr>
          <w:spacing w:val="-1"/>
        </w:rPr>
        <w:t xml:space="preserve"> </w:t>
      </w:r>
      <w:r>
        <w:t>to</w:t>
      </w:r>
      <w:r>
        <w:rPr>
          <w:spacing w:val="-1"/>
        </w:rPr>
        <w:t xml:space="preserve"> </w:t>
      </w:r>
      <w:r>
        <w:t>reduce</w:t>
      </w:r>
      <w:r>
        <w:rPr>
          <w:spacing w:val="-2"/>
        </w:rPr>
        <w:t xml:space="preserve"> </w:t>
      </w:r>
      <w:r>
        <w:t>the</w:t>
      </w:r>
      <w:r>
        <w:rPr>
          <w:spacing w:val="3"/>
        </w:rPr>
        <w:t xml:space="preserve"> </w:t>
      </w:r>
      <w:r>
        <w:t>Part</w:t>
      </w:r>
      <w:r>
        <w:rPr>
          <w:spacing w:val="-1"/>
        </w:rPr>
        <w:t xml:space="preserve"> </w:t>
      </w:r>
      <w:r>
        <w:t xml:space="preserve">B </w:t>
      </w:r>
      <w:r>
        <w:rPr>
          <w:spacing w:val="-2"/>
        </w:rPr>
        <w:t>premium.</w:t>
      </w:r>
    </w:p>
    <w:p>
      <w:pPr>
        <w:spacing w:before="241"/>
        <w:ind w:left="504" w:right="0" w:firstLine="0"/>
        <w:jc w:val="left"/>
        <w:rPr>
          <w:rFonts w:ascii="Arial" w:hAnsi="Arial"/>
          <w:b/>
          <w:sz w:val="21"/>
        </w:rPr>
      </w:pPr>
      <w:bookmarkStart w:id="270" w:name="Line 2 – Rounded Part B Rebate Allocatio"/>
      <w:bookmarkEnd w:id="270"/>
      <w:r>
        <w:rPr>
          <w:rFonts w:ascii="Arial" w:hAnsi="Arial"/>
          <w:b/>
          <w:sz w:val="21"/>
        </w:rPr>
        <w:t>Line</w:t>
      </w:r>
      <w:r>
        <w:rPr>
          <w:rFonts w:ascii="Arial" w:hAnsi="Arial"/>
          <w:b/>
          <w:spacing w:val="-4"/>
          <w:sz w:val="21"/>
        </w:rPr>
        <w:t xml:space="preserve"> </w:t>
      </w:r>
      <w:r>
        <w:rPr>
          <w:rFonts w:ascii="Arial" w:hAnsi="Arial"/>
          <w:b/>
          <w:sz w:val="21"/>
        </w:rPr>
        <w:t>2</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Rounded</w:t>
      </w:r>
      <w:r>
        <w:rPr>
          <w:rFonts w:ascii="Arial" w:hAnsi="Arial"/>
          <w:b/>
          <w:spacing w:val="-2"/>
          <w:sz w:val="21"/>
        </w:rPr>
        <w:t xml:space="preserve"> </w:t>
      </w:r>
      <w:r>
        <w:rPr>
          <w:rFonts w:ascii="Arial" w:hAnsi="Arial"/>
          <w:b/>
          <w:sz w:val="21"/>
        </w:rPr>
        <w:t>Part</w:t>
      </w:r>
      <w:r>
        <w:rPr>
          <w:rFonts w:ascii="Arial" w:hAnsi="Arial"/>
          <w:b/>
          <w:spacing w:val="-6"/>
          <w:sz w:val="21"/>
        </w:rPr>
        <w:t xml:space="preserve"> </w:t>
      </w:r>
      <w:r>
        <w:rPr>
          <w:rFonts w:ascii="Arial" w:hAnsi="Arial"/>
          <w:b/>
          <w:sz w:val="21"/>
        </w:rPr>
        <w:t>B</w:t>
      </w:r>
      <w:r>
        <w:rPr>
          <w:rFonts w:ascii="Arial" w:hAnsi="Arial"/>
          <w:b/>
          <w:spacing w:val="-4"/>
          <w:sz w:val="21"/>
        </w:rPr>
        <w:t xml:space="preserve"> </w:t>
      </w:r>
      <w:r>
        <w:rPr>
          <w:rFonts w:ascii="Arial" w:hAnsi="Arial"/>
          <w:b/>
          <w:sz w:val="21"/>
        </w:rPr>
        <w:t>Rebate</w:t>
      </w:r>
      <w:r>
        <w:rPr>
          <w:rFonts w:ascii="Arial" w:hAnsi="Arial"/>
          <w:b/>
          <w:spacing w:val="-4"/>
          <w:sz w:val="21"/>
        </w:rPr>
        <w:t xml:space="preserve"> </w:t>
      </w:r>
      <w:r>
        <w:rPr>
          <w:rFonts w:ascii="Arial" w:hAnsi="Arial"/>
          <w:b/>
          <w:spacing w:val="-2"/>
          <w:sz w:val="21"/>
        </w:rPr>
        <w:t>Allocation</w:t>
      </w:r>
    </w:p>
    <w:p>
      <w:pPr>
        <w:pStyle w:val="BodyText"/>
        <w:spacing w:before="118"/>
        <w:ind w:right="1481"/>
      </w:pPr>
      <w:r>
        <w:t>The</w:t>
      </w:r>
      <w:r>
        <w:rPr>
          <w:spacing w:val="-5"/>
        </w:rPr>
        <w:t xml:space="preserve"> </w:t>
      </w:r>
      <w:r>
        <w:t>PMPM</w:t>
      </w:r>
      <w:r>
        <w:rPr>
          <w:spacing w:val="-4"/>
        </w:rPr>
        <w:t xml:space="preserve"> </w:t>
      </w:r>
      <w:r>
        <w:t>amount</w:t>
      </w:r>
      <w:r>
        <w:rPr>
          <w:spacing w:val="-3"/>
        </w:rPr>
        <w:t xml:space="preserve"> </w:t>
      </w:r>
      <w:r>
        <w:t>entered</w:t>
      </w:r>
      <w:r>
        <w:rPr>
          <w:spacing w:val="-3"/>
        </w:rPr>
        <w:t xml:space="preserve"> </w:t>
      </w:r>
      <w:r>
        <w:t>in</w:t>
      </w:r>
      <w:r>
        <w:rPr>
          <w:spacing w:val="-3"/>
        </w:rPr>
        <w:t xml:space="preserve"> </w:t>
      </w:r>
      <w:r>
        <w:t>line</w:t>
      </w:r>
      <w:r>
        <w:rPr>
          <w:spacing w:val="-3"/>
        </w:rPr>
        <w:t xml:space="preserve"> </w:t>
      </w:r>
      <w:r>
        <w:t>1</w:t>
      </w:r>
      <w:r>
        <w:rPr>
          <w:spacing w:val="-3"/>
        </w:rPr>
        <w:t xml:space="preserve"> </w:t>
      </w:r>
      <w:r>
        <w:t>is</w:t>
      </w:r>
      <w:r>
        <w:rPr>
          <w:spacing w:val="-4"/>
        </w:rPr>
        <w:t xml:space="preserve"> </w:t>
      </w:r>
      <w:r>
        <w:t>rounded</w:t>
      </w:r>
      <w:r>
        <w:rPr>
          <w:spacing w:val="-3"/>
        </w:rPr>
        <w:t xml:space="preserve"> </w:t>
      </w:r>
      <w:r>
        <w:t>to</w:t>
      </w:r>
      <w:r>
        <w:rPr>
          <w:spacing w:val="-3"/>
        </w:rPr>
        <w:t xml:space="preserve"> </w:t>
      </w:r>
      <w:r>
        <w:t>one</w:t>
      </w:r>
      <w:r>
        <w:rPr>
          <w:spacing w:val="-3"/>
        </w:rPr>
        <w:t xml:space="preserve"> </w:t>
      </w:r>
      <w:r>
        <w:t>decimal</w:t>
      </w:r>
      <w:r>
        <w:rPr>
          <w:spacing w:val="-3"/>
        </w:rPr>
        <w:t xml:space="preserve"> </w:t>
      </w:r>
      <w:r>
        <w:t>(that</w:t>
      </w:r>
      <w:r>
        <w:rPr>
          <w:spacing w:val="-3"/>
        </w:rPr>
        <w:t xml:space="preserve"> </w:t>
      </w:r>
      <w:r>
        <w:t>is,</w:t>
      </w:r>
      <w:r>
        <w:rPr>
          <w:spacing w:val="-3"/>
        </w:rPr>
        <w:t xml:space="preserve"> </w:t>
      </w:r>
      <w:r>
        <w:t>the</w:t>
      </w:r>
      <w:r>
        <w:rPr>
          <w:spacing w:val="-2"/>
        </w:rPr>
        <w:t xml:space="preserve"> </w:t>
      </w:r>
      <w:r>
        <w:t>nearest</w:t>
      </w:r>
      <w:r>
        <w:rPr>
          <w:spacing w:val="-3"/>
        </w:rPr>
        <w:t xml:space="preserve"> </w:t>
      </w:r>
      <w:r>
        <w:t>dime)</w:t>
      </w:r>
      <w:r>
        <w:rPr>
          <w:spacing w:val="-5"/>
        </w:rPr>
        <w:t xml:space="preserve"> </w:t>
      </w:r>
      <w:r>
        <w:t>to comply with withhold system requirements.</w:t>
      </w:r>
    </w:p>
    <w:p>
      <w:pPr>
        <w:spacing w:before="2" w:line="480" w:lineRule="atLeast"/>
        <w:ind w:left="504" w:right="6570" w:firstLine="0"/>
        <w:jc w:val="left"/>
        <w:rPr>
          <w:rFonts w:ascii="Arial" w:hAnsi="Arial"/>
          <w:b/>
          <w:sz w:val="21"/>
        </w:rPr>
      </w:pPr>
      <w:bookmarkStart w:id="271" w:name="SUBSECTION C – Rebate Allocations"/>
      <w:bookmarkEnd w:id="271"/>
      <w:r>
        <w:rPr>
          <w:rFonts w:ascii="Arial" w:hAnsi="Arial"/>
          <w:b/>
          <w:sz w:val="21"/>
        </w:rPr>
        <w:t>SUBSECTION</w:t>
      </w:r>
      <w:r>
        <w:rPr>
          <w:rFonts w:ascii="Arial" w:hAnsi="Arial"/>
          <w:b/>
          <w:spacing w:val="-10"/>
          <w:sz w:val="21"/>
        </w:rPr>
        <w:t xml:space="preserve"> </w:t>
      </w:r>
      <w:r>
        <w:rPr>
          <w:rFonts w:ascii="Arial" w:hAnsi="Arial"/>
          <w:b/>
          <w:sz w:val="21"/>
        </w:rPr>
        <w:t>C</w:t>
      </w:r>
      <w:r>
        <w:rPr>
          <w:rFonts w:ascii="Arial" w:hAnsi="Arial"/>
          <w:b/>
          <w:spacing w:val="-8"/>
          <w:sz w:val="21"/>
        </w:rPr>
        <w:t xml:space="preserve"> </w:t>
      </w:r>
      <w:r>
        <w:rPr>
          <w:rFonts w:ascii="Arial" w:hAnsi="Arial"/>
          <w:b/>
          <w:sz w:val="21"/>
        </w:rPr>
        <w:t>–</w:t>
      </w:r>
      <w:r>
        <w:rPr>
          <w:rFonts w:ascii="Arial" w:hAnsi="Arial"/>
          <w:b/>
          <w:spacing w:val="-9"/>
          <w:sz w:val="21"/>
        </w:rPr>
        <w:t xml:space="preserve"> </w:t>
      </w:r>
      <w:r>
        <w:rPr>
          <w:rFonts w:ascii="Arial" w:hAnsi="Arial"/>
          <w:b/>
          <w:sz w:val="21"/>
        </w:rPr>
        <w:t>Rebate</w:t>
      </w:r>
      <w:r>
        <w:rPr>
          <w:rFonts w:ascii="Arial" w:hAnsi="Arial"/>
          <w:b/>
          <w:spacing w:val="-10"/>
          <w:sz w:val="21"/>
        </w:rPr>
        <w:t xml:space="preserve"> </w:t>
      </w:r>
      <w:r>
        <w:rPr>
          <w:rFonts w:ascii="Arial" w:hAnsi="Arial"/>
          <w:b/>
          <w:sz w:val="21"/>
        </w:rPr>
        <w:t xml:space="preserve">Allocations </w:t>
      </w:r>
      <w:bookmarkStart w:id="272" w:name="Line 1 – Reduce A/B Cost Sharing"/>
      <w:bookmarkEnd w:id="272"/>
      <w:r>
        <w:rPr>
          <w:rFonts w:ascii="Arial" w:hAnsi="Arial"/>
          <w:b/>
          <w:sz w:val="21"/>
        </w:rPr>
        <w:t>Lin</w:t>
      </w:r>
      <w:r>
        <w:rPr>
          <w:rFonts w:ascii="Arial" w:hAnsi="Arial"/>
          <w:b/>
          <w:sz w:val="21"/>
        </w:rPr>
        <w:t>e 1 – Reduce A/B Cost Sharing</w:t>
      </w:r>
    </w:p>
    <w:p>
      <w:pPr>
        <w:pStyle w:val="BodyText"/>
        <w:spacing w:before="123"/>
      </w:pPr>
      <w:r>
        <w:t>Enter</w:t>
      </w:r>
      <w:r>
        <w:rPr>
          <w:spacing w:val="-3"/>
        </w:rPr>
        <w:t xml:space="preserve"> </w:t>
      </w:r>
      <w:r>
        <w:t>the</w:t>
      </w:r>
      <w:r>
        <w:rPr>
          <w:spacing w:val="-3"/>
        </w:rPr>
        <w:t xml:space="preserve"> </w:t>
      </w:r>
      <w:r>
        <w:t>PMPM</w:t>
      </w:r>
      <w:r>
        <w:rPr>
          <w:spacing w:val="-2"/>
        </w:rPr>
        <w:t xml:space="preserve"> </w:t>
      </w:r>
      <w:r>
        <w:t>amount of</w:t>
      </w:r>
      <w:r>
        <w:rPr>
          <w:spacing w:val="-1"/>
        </w:rPr>
        <w:t xml:space="preserve"> </w:t>
      </w:r>
      <w:r>
        <w:t>rebates</w:t>
      </w:r>
      <w:r>
        <w:rPr>
          <w:spacing w:val="-2"/>
        </w:rPr>
        <w:t xml:space="preserve"> </w:t>
      </w:r>
      <w:r>
        <w:t>to reduce</w:t>
      </w:r>
      <w:r>
        <w:rPr>
          <w:spacing w:val="-1"/>
        </w:rPr>
        <w:t xml:space="preserve"> </w:t>
      </w:r>
      <w:r>
        <w:t>A/B</w:t>
      </w:r>
      <w:r>
        <w:rPr>
          <w:spacing w:val="-1"/>
        </w:rPr>
        <w:t xml:space="preserve"> </w:t>
      </w:r>
      <w:r>
        <w:t xml:space="preserve">cost </w:t>
      </w:r>
      <w:r>
        <w:rPr>
          <w:spacing w:val="-2"/>
        </w:rPr>
        <w:t>sharing.</w:t>
      </w:r>
    </w:p>
    <w:p>
      <w:pPr>
        <w:spacing w:before="240"/>
        <w:ind w:left="504" w:right="0" w:firstLine="0"/>
        <w:jc w:val="left"/>
        <w:rPr>
          <w:rFonts w:ascii="Arial" w:hAnsi="Arial"/>
          <w:b/>
          <w:sz w:val="21"/>
        </w:rPr>
      </w:pPr>
      <w:bookmarkStart w:id="273" w:name="Line 2 – Other A/B Mandatory Supplementa"/>
      <w:bookmarkEnd w:id="273"/>
      <w:r>
        <w:rPr>
          <w:rFonts w:ascii="Arial" w:hAnsi="Arial"/>
          <w:b/>
          <w:sz w:val="21"/>
        </w:rPr>
        <w:t>Line</w:t>
      </w:r>
      <w:r>
        <w:rPr>
          <w:rFonts w:ascii="Arial" w:hAnsi="Arial"/>
          <w:b/>
          <w:spacing w:val="-7"/>
          <w:sz w:val="21"/>
        </w:rPr>
        <w:t xml:space="preserve"> </w:t>
      </w:r>
      <w:r>
        <w:rPr>
          <w:rFonts w:ascii="Arial" w:hAnsi="Arial"/>
          <w:b/>
          <w:sz w:val="21"/>
        </w:rPr>
        <w:t>2</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Other</w:t>
      </w:r>
      <w:r>
        <w:rPr>
          <w:rFonts w:ascii="Arial" w:hAnsi="Arial"/>
          <w:b/>
          <w:spacing w:val="-7"/>
          <w:sz w:val="21"/>
        </w:rPr>
        <w:t xml:space="preserve"> </w:t>
      </w:r>
      <w:r>
        <w:rPr>
          <w:rFonts w:ascii="Arial" w:hAnsi="Arial"/>
          <w:b/>
          <w:sz w:val="21"/>
        </w:rPr>
        <w:t>A/B</w:t>
      </w:r>
      <w:r>
        <w:rPr>
          <w:rFonts w:ascii="Arial" w:hAnsi="Arial"/>
          <w:b/>
          <w:spacing w:val="-5"/>
          <w:sz w:val="21"/>
        </w:rPr>
        <w:t xml:space="preserve"> </w:t>
      </w:r>
      <w:r>
        <w:rPr>
          <w:rFonts w:ascii="Arial" w:hAnsi="Arial"/>
          <w:b/>
          <w:sz w:val="21"/>
        </w:rPr>
        <w:t>Mandatory</w:t>
      </w:r>
      <w:r>
        <w:rPr>
          <w:rFonts w:ascii="Arial" w:hAnsi="Arial"/>
          <w:b/>
          <w:spacing w:val="-7"/>
          <w:sz w:val="21"/>
        </w:rPr>
        <w:t xml:space="preserve"> </w:t>
      </w:r>
      <w:r>
        <w:rPr>
          <w:rFonts w:ascii="Arial" w:hAnsi="Arial"/>
          <w:b/>
          <w:sz w:val="21"/>
        </w:rPr>
        <w:t>Supplemental</w:t>
      </w:r>
      <w:r>
        <w:rPr>
          <w:rFonts w:ascii="Arial" w:hAnsi="Arial"/>
          <w:b/>
          <w:spacing w:val="-6"/>
          <w:sz w:val="21"/>
        </w:rPr>
        <w:t xml:space="preserve"> </w:t>
      </w:r>
      <w:r>
        <w:rPr>
          <w:rFonts w:ascii="Arial" w:hAnsi="Arial"/>
          <w:b/>
          <w:spacing w:val="-2"/>
          <w:sz w:val="21"/>
        </w:rPr>
        <w:t>Benefits</w:t>
      </w:r>
    </w:p>
    <w:p>
      <w:pPr>
        <w:pStyle w:val="BodyText"/>
        <w:spacing w:before="118"/>
        <w:ind w:right="1841"/>
      </w:pPr>
      <w:r>
        <w:t>Enter</w:t>
      </w:r>
      <w:r>
        <w:rPr>
          <w:spacing w:val="-3"/>
        </w:rPr>
        <w:t xml:space="preserve"> </w:t>
      </w:r>
      <w:r>
        <w:t>the</w:t>
      </w:r>
      <w:r>
        <w:rPr>
          <w:spacing w:val="-5"/>
        </w:rPr>
        <w:t xml:space="preserve"> </w:t>
      </w:r>
      <w:r>
        <w:t>PMPM</w:t>
      </w:r>
      <w:r>
        <w:rPr>
          <w:spacing w:val="-4"/>
        </w:rPr>
        <w:t xml:space="preserve"> </w:t>
      </w:r>
      <w:r>
        <w:t>amount</w:t>
      </w:r>
      <w:r>
        <w:rPr>
          <w:spacing w:val="-2"/>
        </w:rPr>
        <w:t xml:space="preserve"> </w:t>
      </w:r>
      <w:r>
        <w:t>of</w:t>
      </w:r>
      <w:r>
        <w:rPr>
          <w:spacing w:val="-3"/>
        </w:rPr>
        <w:t xml:space="preserve"> </w:t>
      </w:r>
      <w:r>
        <w:t>rebates</w:t>
      </w:r>
      <w:r>
        <w:rPr>
          <w:spacing w:val="-4"/>
        </w:rPr>
        <w:t xml:space="preserve"> </w:t>
      </w:r>
      <w:r>
        <w:t>to</w:t>
      </w:r>
      <w:r>
        <w:rPr>
          <w:spacing w:val="-3"/>
        </w:rPr>
        <w:t xml:space="preserve"> </w:t>
      </w:r>
      <w:r>
        <w:t>apply</w:t>
      </w:r>
      <w:r>
        <w:rPr>
          <w:spacing w:val="-3"/>
        </w:rPr>
        <w:t xml:space="preserve"> </w:t>
      </w:r>
      <w:r>
        <w:t>toward</w:t>
      </w:r>
      <w:r>
        <w:rPr>
          <w:spacing w:val="-3"/>
        </w:rPr>
        <w:t xml:space="preserve"> </w:t>
      </w:r>
      <w:r>
        <w:t>other</w:t>
      </w:r>
      <w:r>
        <w:rPr>
          <w:spacing w:val="-5"/>
        </w:rPr>
        <w:t xml:space="preserve"> </w:t>
      </w:r>
      <w:r>
        <w:t>A/B</w:t>
      </w:r>
      <w:r>
        <w:rPr>
          <w:spacing w:val="-3"/>
        </w:rPr>
        <w:t xml:space="preserve"> </w:t>
      </w:r>
      <w:r>
        <w:t>mandatory</w:t>
      </w:r>
      <w:r>
        <w:rPr>
          <w:spacing w:val="-3"/>
        </w:rPr>
        <w:t xml:space="preserve"> </w:t>
      </w:r>
      <w:r>
        <w:t xml:space="preserve">supplemental </w:t>
      </w:r>
      <w:r>
        <w:rPr>
          <w:spacing w:val="-2"/>
        </w:rPr>
        <w:t>benefits.</w:t>
      </w:r>
    </w:p>
    <w:p>
      <w:pPr>
        <w:pStyle w:val="BodyText"/>
        <w:spacing w:before="46"/>
        <w:ind w:left="0"/>
      </w:pPr>
    </w:p>
    <w:p>
      <w:pPr>
        <w:pStyle w:val="Heading2"/>
      </w:pPr>
      <w:bookmarkStart w:id="274" w:name="Section III – Plan A/B Bid Summary"/>
      <w:bookmarkEnd w:id="274"/>
      <w:bookmarkStart w:id="275" w:name="_bookmark74"/>
      <w:bookmarkEnd w:id="275"/>
      <w:r>
        <w:rPr>
          <w:smallCaps/>
        </w:rPr>
        <w:t>Section</w:t>
      </w:r>
      <w:r>
        <w:rPr>
          <w:smallCaps/>
          <w:spacing w:val="-15"/>
        </w:rPr>
        <w:t xml:space="preserve"> </w:t>
      </w:r>
      <w:r>
        <w:rPr>
          <w:smallCaps/>
        </w:rPr>
        <w:t>III</w:t>
      </w:r>
      <w:r>
        <w:rPr>
          <w:smallCaps/>
          <w:spacing w:val="-15"/>
        </w:rPr>
        <w:t xml:space="preserve"> </w:t>
      </w:r>
      <w:r>
        <w:rPr>
          <w:smallCaps/>
        </w:rPr>
        <w:t>–</w:t>
      </w:r>
      <w:r>
        <w:rPr>
          <w:smallCaps/>
          <w:spacing w:val="-15"/>
        </w:rPr>
        <w:t xml:space="preserve"> </w:t>
      </w:r>
      <w:r>
        <w:rPr>
          <w:smallCaps/>
        </w:rPr>
        <w:t>Plan</w:t>
      </w:r>
      <w:r>
        <w:rPr>
          <w:smallCaps/>
          <w:spacing w:val="-8"/>
        </w:rPr>
        <w:t xml:space="preserve"> </w:t>
      </w:r>
      <w:r>
        <w:rPr>
          <w:smallCaps/>
        </w:rPr>
        <w:t>A/B</w:t>
      </w:r>
      <w:r>
        <w:rPr>
          <w:smallCaps/>
          <w:spacing w:val="-15"/>
        </w:rPr>
        <w:t xml:space="preserve"> </w:t>
      </w:r>
      <w:r>
        <w:rPr>
          <w:smallCaps/>
        </w:rPr>
        <w:t>Bid</w:t>
      </w:r>
      <w:r>
        <w:rPr>
          <w:smallCaps/>
          <w:spacing w:val="-5"/>
        </w:rPr>
        <w:t xml:space="preserve"> </w:t>
      </w:r>
      <w:r>
        <w:rPr>
          <w:smallCaps/>
          <w:spacing w:val="-2"/>
        </w:rPr>
        <w:t>Summary</w:t>
      </w:r>
    </w:p>
    <w:p>
      <w:pPr>
        <w:pStyle w:val="BodyText"/>
        <w:spacing w:before="179"/>
      </w:pPr>
      <w:r>
        <w:t>Section</w:t>
      </w:r>
      <w:r>
        <w:rPr>
          <w:spacing w:val="-3"/>
        </w:rPr>
        <w:t xml:space="preserve"> </w:t>
      </w:r>
      <w:r>
        <w:t>III</w:t>
      </w:r>
      <w:r>
        <w:rPr>
          <w:spacing w:val="-3"/>
        </w:rPr>
        <w:t xml:space="preserve"> </w:t>
      </w:r>
      <w:r>
        <w:t>summarizes</w:t>
      </w:r>
      <w:r>
        <w:rPr>
          <w:spacing w:val="-2"/>
        </w:rPr>
        <w:t xml:space="preserve"> </w:t>
      </w:r>
      <w:r>
        <w:t>the</w:t>
      </w:r>
      <w:r>
        <w:rPr>
          <w:spacing w:val="-1"/>
        </w:rPr>
        <w:t xml:space="preserve"> </w:t>
      </w:r>
      <w:r>
        <w:t>BPT</w:t>
      </w:r>
      <w:r>
        <w:rPr>
          <w:spacing w:val="-1"/>
        </w:rPr>
        <w:t xml:space="preserve"> </w:t>
      </w:r>
      <w:r>
        <w:t>information</w:t>
      </w:r>
      <w:r>
        <w:rPr>
          <w:spacing w:val="-1"/>
        </w:rPr>
        <w:t xml:space="preserve"> </w:t>
      </w:r>
      <w:r>
        <w:t>in</w:t>
      </w:r>
      <w:r>
        <w:rPr>
          <w:spacing w:val="-1"/>
        </w:rPr>
        <w:t xml:space="preserve"> </w:t>
      </w:r>
      <w:r>
        <w:t>three</w:t>
      </w:r>
      <w:r>
        <w:rPr>
          <w:spacing w:val="-2"/>
        </w:rPr>
        <w:t xml:space="preserve"> subsections.</w:t>
      </w:r>
    </w:p>
    <w:p>
      <w:pPr>
        <w:pStyle w:val="ListParagraph"/>
        <w:numPr>
          <w:ilvl w:val="1"/>
          <w:numId w:val="39"/>
        </w:numPr>
        <w:tabs>
          <w:tab w:val="left" w:pos="1584"/>
        </w:tabs>
        <w:spacing w:before="120" w:after="0" w:line="240" w:lineRule="auto"/>
        <w:ind w:left="1584" w:right="1809" w:hanging="360"/>
        <w:jc w:val="left"/>
        <w:rPr>
          <w:sz w:val="24"/>
        </w:rPr>
      </w:pPr>
      <w:r>
        <w:rPr>
          <w:sz w:val="24"/>
        </w:rPr>
        <w:t>Subsection</w:t>
      </w:r>
      <w:r>
        <w:rPr>
          <w:spacing w:val="-3"/>
          <w:sz w:val="24"/>
        </w:rPr>
        <w:t xml:space="preserve"> </w:t>
      </w:r>
      <w:r>
        <w:rPr>
          <w:sz w:val="24"/>
        </w:rPr>
        <w:t>A</w:t>
      </w:r>
      <w:r>
        <w:rPr>
          <w:spacing w:val="-3"/>
          <w:sz w:val="24"/>
        </w:rPr>
        <w:t xml:space="preserve"> </w:t>
      </w:r>
      <w:r>
        <w:rPr>
          <w:sz w:val="24"/>
        </w:rPr>
        <w:t>is</w:t>
      </w:r>
      <w:r>
        <w:rPr>
          <w:spacing w:val="-4"/>
          <w:sz w:val="24"/>
        </w:rPr>
        <w:t xml:space="preserve"> </w:t>
      </w:r>
      <w:r>
        <w:rPr>
          <w:sz w:val="24"/>
        </w:rPr>
        <w:t>an</w:t>
      </w:r>
      <w:r>
        <w:rPr>
          <w:spacing w:val="-3"/>
          <w:sz w:val="24"/>
        </w:rPr>
        <w:t xml:space="preserve"> </w:t>
      </w:r>
      <w:r>
        <w:rPr>
          <w:sz w:val="24"/>
        </w:rPr>
        <w:t>overview</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plan</w:t>
      </w:r>
      <w:r>
        <w:rPr>
          <w:spacing w:val="-3"/>
          <w:sz w:val="24"/>
        </w:rPr>
        <w:t xml:space="preserve"> </w:t>
      </w:r>
      <w:r>
        <w:rPr>
          <w:sz w:val="24"/>
        </w:rPr>
        <w:t>A/B</w:t>
      </w:r>
      <w:r>
        <w:rPr>
          <w:spacing w:val="-2"/>
          <w:sz w:val="24"/>
        </w:rPr>
        <w:t xml:space="preserve"> </w:t>
      </w:r>
      <w:r>
        <w:rPr>
          <w:sz w:val="24"/>
        </w:rPr>
        <w:t>bid</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costs</w:t>
      </w:r>
      <w:r>
        <w:rPr>
          <w:spacing w:val="-3"/>
          <w:sz w:val="24"/>
        </w:rPr>
        <w:t xml:space="preserve"> </w:t>
      </w:r>
      <w:r>
        <w:rPr>
          <w:sz w:val="24"/>
        </w:rPr>
        <w:t>of</w:t>
      </w:r>
      <w:r>
        <w:rPr>
          <w:spacing w:val="-3"/>
          <w:sz w:val="24"/>
        </w:rPr>
        <w:t xml:space="preserve"> </w:t>
      </w:r>
      <w:r>
        <w:rPr>
          <w:sz w:val="24"/>
        </w:rPr>
        <w:t>A/B</w:t>
      </w:r>
      <w:r>
        <w:rPr>
          <w:spacing w:val="-3"/>
          <w:sz w:val="24"/>
        </w:rPr>
        <w:t xml:space="preserve"> </w:t>
      </w:r>
      <w:r>
        <w:rPr>
          <w:sz w:val="24"/>
        </w:rPr>
        <w:t>mandatory supplemental benefits, and it also displays certain benchmark and risk score information from Worksheet 5.</w:t>
      </w:r>
    </w:p>
    <w:p>
      <w:pPr>
        <w:pStyle w:val="ListParagraph"/>
        <w:numPr>
          <w:ilvl w:val="1"/>
          <w:numId w:val="39"/>
        </w:numPr>
        <w:tabs>
          <w:tab w:val="left" w:pos="1584"/>
        </w:tabs>
        <w:spacing w:before="0" w:after="0" w:line="240" w:lineRule="auto"/>
        <w:ind w:left="1584" w:right="0" w:hanging="360"/>
        <w:jc w:val="left"/>
        <w:rPr>
          <w:sz w:val="24"/>
        </w:rPr>
      </w:pPr>
      <w:r>
        <w:rPr>
          <w:sz w:val="24"/>
        </w:rPr>
        <w:t>Subsection</w:t>
      </w:r>
      <w:r>
        <w:rPr>
          <w:spacing w:val="-5"/>
          <w:sz w:val="24"/>
        </w:rPr>
        <w:t xml:space="preserve"> </w:t>
      </w:r>
      <w:r>
        <w:rPr>
          <w:sz w:val="24"/>
        </w:rPr>
        <w:t>B</w:t>
      </w:r>
      <w:r>
        <w:rPr>
          <w:spacing w:val="-1"/>
          <w:sz w:val="24"/>
        </w:rPr>
        <w:t xml:space="preserve"> </w:t>
      </w:r>
      <w:r>
        <w:rPr>
          <w:sz w:val="24"/>
        </w:rPr>
        <w:t>contains</w:t>
      </w:r>
      <w:r>
        <w:rPr>
          <w:spacing w:val="-3"/>
          <w:sz w:val="24"/>
        </w:rPr>
        <w:t xml:space="preserve"> </w:t>
      </w:r>
      <w:r>
        <w:rPr>
          <w:sz w:val="24"/>
        </w:rPr>
        <w:t>the</w:t>
      </w:r>
      <w:r>
        <w:rPr>
          <w:spacing w:val="-3"/>
          <w:sz w:val="24"/>
        </w:rPr>
        <w:t xml:space="preserve"> </w:t>
      </w:r>
      <w:r>
        <w:rPr>
          <w:sz w:val="24"/>
        </w:rPr>
        <w:t>MA</w:t>
      </w:r>
      <w:r>
        <w:rPr>
          <w:spacing w:val="-3"/>
          <w:sz w:val="24"/>
        </w:rPr>
        <w:t xml:space="preserve"> </w:t>
      </w:r>
      <w:r>
        <w:rPr>
          <w:sz w:val="24"/>
        </w:rPr>
        <w:t>rebate</w:t>
      </w:r>
      <w:r>
        <w:rPr>
          <w:spacing w:val="-2"/>
          <w:sz w:val="24"/>
        </w:rPr>
        <w:t xml:space="preserve"> allocation.</w:t>
      </w:r>
    </w:p>
    <w:p>
      <w:pPr>
        <w:pStyle w:val="ListParagraph"/>
        <w:spacing w:after="0" w:line="240" w:lineRule="auto"/>
        <w:jc w:val="left"/>
        <w:rPr>
          <w:sz w:val="24"/>
        </w:rPr>
        <w:sectPr>
          <w:headerReference w:type="default" r:id="rId37"/>
          <w:footerReference w:type="default" r:id="rId38"/>
          <w:pgSz w:w="12240" w:h="15840"/>
          <w:pgMar w:top="960" w:right="0" w:bottom="940" w:left="1080" w:header="727" w:footer="747"/>
          <w:cols w:space="720"/>
        </w:sectPr>
      </w:pPr>
    </w:p>
    <w:p>
      <w:pPr>
        <w:pStyle w:val="BodyText"/>
        <w:spacing w:before="190"/>
        <w:ind w:left="0"/>
      </w:pPr>
    </w:p>
    <w:p>
      <w:pPr>
        <w:pStyle w:val="ListParagraph"/>
        <w:numPr>
          <w:ilvl w:val="1"/>
          <w:numId w:val="39"/>
        </w:numPr>
        <w:tabs>
          <w:tab w:val="left" w:pos="1584"/>
        </w:tabs>
        <w:spacing w:before="0" w:after="0" w:line="240" w:lineRule="auto"/>
        <w:ind w:left="1584" w:right="2220" w:hanging="360"/>
        <w:jc w:val="left"/>
        <w:rPr>
          <w:sz w:val="24"/>
        </w:rPr>
      </w:pPr>
      <w:r>
        <w:rPr>
          <w:sz w:val="24"/>
        </w:rPr>
        <w:t>Subsection</w:t>
      </w:r>
      <w:r>
        <w:rPr>
          <w:spacing w:val="-3"/>
          <w:sz w:val="24"/>
        </w:rPr>
        <w:t xml:space="preserve"> </w:t>
      </w:r>
      <w:r>
        <w:rPr>
          <w:sz w:val="24"/>
        </w:rPr>
        <w:t>C</w:t>
      </w:r>
      <w:r>
        <w:rPr>
          <w:spacing w:val="-3"/>
          <w:sz w:val="24"/>
        </w:rPr>
        <w:t xml:space="preserve"> </w:t>
      </w:r>
      <w:r>
        <w:rPr>
          <w:sz w:val="24"/>
        </w:rPr>
        <w:t>develops</w:t>
      </w:r>
      <w:r>
        <w:rPr>
          <w:spacing w:val="-4"/>
          <w:sz w:val="24"/>
        </w:rPr>
        <w:t xml:space="preserve"> </w:t>
      </w:r>
      <w:r>
        <w:rPr>
          <w:sz w:val="24"/>
        </w:rPr>
        <w:t>the</w:t>
      </w:r>
      <w:r>
        <w:rPr>
          <w:spacing w:val="-4"/>
          <w:sz w:val="24"/>
        </w:rPr>
        <w:t xml:space="preserve"> </w:t>
      </w:r>
      <w:r>
        <w:rPr>
          <w:sz w:val="24"/>
        </w:rPr>
        <w:t>MA</w:t>
      </w:r>
      <w:r>
        <w:rPr>
          <w:spacing w:val="-4"/>
          <w:sz w:val="24"/>
        </w:rPr>
        <w:t xml:space="preserve"> </w:t>
      </w:r>
      <w:r>
        <w:rPr>
          <w:sz w:val="24"/>
        </w:rPr>
        <w:t>premium</w:t>
      </w:r>
      <w:r>
        <w:rPr>
          <w:spacing w:val="-3"/>
          <w:sz w:val="24"/>
        </w:rPr>
        <w:t xml:space="preserve"> </w:t>
      </w:r>
      <w:r>
        <w:rPr>
          <w:sz w:val="24"/>
        </w:rPr>
        <w:t>and</w:t>
      </w:r>
      <w:r>
        <w:rPr>
          <w:spacing w:val="-3"/>
          <w:sz w:val="24"/>
        </w:rPr>
        <w:t xml:space="preserve"> </w:t>
      </w:r>
      <w:r>
        <w:rPr>
          <w:sz w:val="24"/>
        </w:rPr>
        <w:t>requires</w:t>
      </w:r>
      <w:r>
        <w:rPr>
          <w:spacing w:val="-4"/>
          <w:sz w:val="24"/>
        </w:rPr>
        <w:t xml:space="preserve"> </w:t>
      </w:r>
      <w:r>
        <w:rPr>
          <w:sz w:val="24"/>
        </w:rPr>
        <w:t>the</w:t>
      </w:r>
      <w:r>
        <w:rPr>
          <w:spacing w:val="-3"/>
          <w:sz w:val="24"/>
        </w:rPr>
        <w:t xml:space="preserve"> </w:t>
      </w:r>
      <w:r>
        <w:rPr>
          <w:sz w:val="24"/>
        </w:rPr>
        <w:t>input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Part</w:t>
      </w:r>
      <w:r>
        <w:rPr>
          <w:spacing w:val="-1"/>
          <w:sz w:val="24"/>
        </w:rPr>
        <w:t xml:space="preserve"> </w:t>
      </w:r>
      <w:r>
        <w:rPr>
          <w:sz w:val="24"/>
        </w:rPr>
        <w:t>D premium information. Consistent with previous worksheets, any optional supplemental benefits/premiums are to be excluded.</w:t>
      </w:r>
    </w:p>
    <w:p>
      <w:pPr>
        <w:spacing w:before="241"/>
        <w:ind w:left="504" w:right="0" w:firstLine="0"/>
        <w:jc w:val="left"/>
        <w:rPr>
          <w:rFonts w:ascii="Arial" w:hAnsi="Arial"/>
          <w:b/>
          <w:sz w:val="21"/>
        </w:rPr>
      </w:pPr>
      <w:bookmarkStart w:id="276" w:name="SUBSECTION A – Overview"/>
      <w:bookmarkEnd w:id="276"/>
      <w:r>
        <w:rPr>
          <w:rFonts w:ascii="Arial" w:hAnsi="Arial"/>
          <w:b/>
          <w:sz w:val="21"/>
        </w:rPr>
        <w:t>SUBSECTION</w:t>
      </w:r>
      <w:r>
        <w:rPr>
          <w:rFonts w:ascii="Arial" w:hAnsi="Arial"/>
          <w:b/>
          <w:spacing w:val="-6"/>
          <w:sz w:val="21"/>
        </w:rPr>
        <w:t xml:space="preserve"> </w:t>
      </w:r>
      <w:r>
        <w:rPr>
          <w:rFonts w:ascii="Arial" w:hAnsi="Arial"/>
          <w:b/>
          <w:sz w:val="21"/>
        </w:rPr>
        <w:t>A</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pacing w:val="-2"/>
          <w:sz w:val="21"/>
        </w:rPr>
        <w:t>Overview</w:t>
      </w:r>
    </w:p>
    <w:p>
      <w:pPr>
        <w:pStyle w:val="BodyText"/>
        <w:spacing w:before="120"/>
      </w:pPr>
      <w:r>
        <w:t>This</w:t>
      </w:r>
      <w:r>
        <w:rPr>
          <w:spacing w:val="-4"/>
        </w:rPr>
        <w:t xml:space="preserve"> </w:t>
      </w:r>
      <w:r>
        <w:t>section</w:t>
      </w:r>
      <w:r>
        <w:rPr>
          <w:spacing w:val="-2"/>
        </w:rPr>
        <w:t xml:space="preserve"> </w:t>
      </w:r>
      <w:r>
        <w:t>summarizes</w:t>
      </w:r>
      <w:r>
        <w:rPr>
          <w:spacing w:val="-1"/>
        </w:rPr>
        <w:t xml:space="preserve"> </w:t>
      </w:r>
      <w:r>
        <w:t>information</w:t>
      </w:r>
      <w:r>
        <w:rPr>
          <w:spacing w:val="-2"/>
        </w:rPr>
        <w:t xml:space="preserve"> </w:t>
      </w:r>
      <w:r>
        <w:t>entered</w:t>
      </w:r>
      <w:r>
        <w:rPr>
          <w:spacing w:val="-3"/>
        </w:rPr>
        <w:t xml:space="preserve"> </w:t>
      </w:r>
      <w:r>
        <w:t>on</w:t>
      </w:r>
      <w:r>
        <w:rPr>
          <w:spacing w:val="-2"/>
        </w:rPr>
        <w:t xml:space="preserve"> </w:t>
      </w:r>
      <w:r>
        <w:t>previous</w:t>
      </w:r>
      <w:r>
        <w:rPr>
          <w:spacing w:val="-2"/>
        </w:rPr>
        <w:t xml:space="preserve"> worksheets.</w:t>
      </w:r>
    </w:p>
    <w:p>
      <w:pPr>
        <w:spacing w:before="241"/>
        <w:ind w:left="504" w:right="0" w:firstLine="0"/>
        <w:jc w:val="left"/>
        <w:rPr>
          <w:rFonts w:ascii="Arial" w:hAnsi="Arial"/>
          <w:b/>
          <w:sz w:val="21"/>
        </w:rPr>
      </w:pPr>
      <w:bookmarkStart w:id="277" w:name="Line 1 – Net Medical Cost"/>
      <w:bookmarkEnd w:id="277"/>
      <w:r>
        <w:rPr>
          <w:rFonts w:ascii="Arial" w:hAnsi="Arial"/>
          <w:b/>
          <w:sz w:val="21"/>
        </w:rPr>
        <w:t>Line</w:t>
      </w:r>
      <w:r>
        <w:rPr>
          <w:rFonts w:ascii="Arial" w:hAnsi="Arial"/>
          <w:b/>
          <w:spacing w:val="-3"/>
          <w:sz w:val="21"/>
        </w:rPr>
        <w:t xml:space="preserve"> </w:t>
      </w:r>
      <w:r>
        <w:rPr>
          <w:rFonts w:ascii="Arial" w:hAnsi="Arial"/>
          <w:b/>
          <w:sz w:val="21"/>
        </w:rPr>
        <w:t>1</w:t>
      </w:r>
      <w:r>
        <w:rPr>
          <w:rFonts w:ascii="Arial" w:hAnsi="Arial"/>
          <w:b/>
          <w:spacing w:val="-2"/>
          <w:sz w:val="21"/>
        </w:rPr>
        <w:t xml:space="preserve"> </w:t>
      </w:r>
      <w:r>
        <w:rPr>
          <w:rFonts w:ascii="Arial" w:hAnsi="Arial"/>
          <w:b/>
          <w:sz w:val="21"/>
        </w:rPr>
        <w:t>–</w:t>
      </w:r>
      <w:r>
        <w:rPr>
          <w:rFonts w:ascii="Arial" w:hAnsi="Arial"/>
          <w:b/>
          <w:spacing w:val="-5"/>
          <w:sz w:val="21"/>
        </w:rPr>
        <w:t xml:space="preserve"> </w:t>
      </w:r>
      <w:r>
        <w:rPr>
          <w:rFonts w:ascii="Arial" w:hAnsi="Arial"/>
          <w:b/>
          <w:sz w:val="21"/>
        </w:rPr>
        <w:t>Net</w:t>
      </w:r>
      <w:r>
        <w:rPr>
          <w:rFonts w:ascii="Arial" w:hAnsi="Arial"/>
          <w:b/>
          <w:spacing w:val="-3"/>
          <w:sz w:val="21"/>
        </w:rPr>
        <w:t xml:space="preserve"> </w:t>
      </w:r>
      <w:r>
        <w:rPr>
          <w:rFonts w:ascii="Arial" w:hAnsi="Arial"/>
          <w:b/>
          <w:sz w:val="21"/>
        </w:rPr>
        <w:t>Medical</w:t>
      </w:r>
      <w:r>
        <w:rPr>
          <w:rFonts w:ascii="Arial" w:hAnsi="Arial"/>
          <w:b/>
          <w:spacing w:val="-3"/>
          <w:sz w:val="21"/>
        </w:rPr>
        <w:t xml:space="preserve"> </w:t>
      </w:r>
      <w:r>
        <w:rPr>
          <w:rFonts w:ascii="Arial" w:hAnsi="Arial"/>
          <w:b/>
          <w:spacing w:val="-4"/>
          <w:sz w:val="21"/>
        </w:rPr>
        <w:t>Cost</w:t>
      </w:r>
    </w:p>
    <w:p>
      <w:pPr>
        <w:pStyle w:val="BodyText"/>
        <w:spacing w:before="118"/>
      </w:pPr>
      <w:r>
        <w:t>These</w:t>
      </w:r>
      <w:r>
        <w:rPr>
          <w:spacing w:val="-2"/>
        </w:rPr>
        <w:t xml:space="preserve"> </w:t>
      </w:r>
      <w:r>
        <w:t>amounts</w:t>
      </w:r>
      <w:r>
        <w:rPr>
          <w:spacing w:val="-1"/>
        </w:rPr>
        <w:t xml:space="preserve"> </w:t>
      </w:r>
      <w:r>
        <w:t>are</w:t>
      </w:r>
      <w:r>
        <w:rPr>
          <w:spacing w:val="-2"/>
        </w:rPr>
        <w:t xml:space="preserve"> </w:t>
      </w:r>
      <w:r>
        <w:t>obtained</w:t>
      </w:r>
      <w:r>
        <w:rPr>
          <w:spacing w:val="-1"/>
        </w:rPr>
        <w:t xml:space="preserve"> </w:t>
      </w:r>
      <w:r>
        <w:t>from Worksheet</w:t>
      </w:r>
      <w:r>
        <w:rPr>
          <w:spacing w:val="-1"/>
        </w:rPr>
        <w:t xml:space="preserve"> </w:t>
      </w:r>
      <w:r>
        <w:rPr>
          <w:spacing w:val="-5"/>
        </w:rPr>
        <w:t>4.</w:t>
      </w:r>
    </w:p>
    <w:p>
      <w:pPr>
        <w:spacing w:before="240"/>
        <w:ind w:left="504" w:right="0" w:firstLine="0"/>
        <w:jc w:val="left"/>
        <w:rPr>
          <w:rFonts w:ascii="Arial" w:hAnsi="Arial"/>
          <w:b/>
          <w:sz w:val="21"/>
        </w:rPr>
      </w:pPr>
      <w:bookmarkStart w:id="278" w:name="Line 2 – Non-Benefit Expenses"/>
      <w:bookmarkEnd w:id="278"/>
      <w:r>
        <w:rPr>
          <w:rFonts w:ascii="Arial" w:hAnsi="Arial"/>
          <w:b/>
          <w:sz w:val="21"/>
        </w:rPr>
        <w:t>Line</w:t>
      </w:r>
      <w:r>
        <w:rPr>
          <w:rFonts w:ascii="Arial" w:hAnsi="Arial"/>
          <w:b/>
          <w:spacing w:val="-5"/>
          <w:sz w:val="21"/>
        </w:rPr>
        <w:t xml:space="preserve"> </w:t>
      </w:r>
      <w:r>
        <w:rPr>
          <w:rFonts w:ascii="Arial" w:hAnsi="Arial"/>
          <w:b/>
          <w:sz w:val="21"/>
        </w:rPr>
        <w:t>2</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Non-Benefit</w:t>
      </w:r>
      <w:r>
        <w:rPr>
          <w:rFonts w:ascii="Arial" w:hAnsi="Arial"/>
          <w:b/>
          <w:spacing w:val="-4"/>
          <w:sz w:val="21"/>
        </w:rPr>
        <w:t xml:space="preserve"> </w:t>
      </w:r>
      <w:r>
        <w:rPr>
          <w:rFonts w:ascii="Arial" w:hAnsi="Arial"/>
          <w:b/>
          <w:spacing w:val="-2"/>
          <w:sz w:val="21"/>
        </w:rPr>
        <w:t>Expenses</w:t>
      </w:r>
    </w:p>
    <w:p>
      <w:pPr>
        <w:pStyle w:val="BodyText"/>
        <w:spacing w:before="121"/>
      </w:pPr>
      <w:r>
        <w:t>These</w:t>
      </w:r>
      <w:r>
        <w:rPr>
          <w:spacing w:val="-2"/>
        </w:rPr>
        <w:t xml:space="preserve"> </w:t>
      </w:r>
      <w:r>
        <w:t>amounts</w:t>
      </w:r>
      <w:r>
        <w:rPr>
          <w:spacing w:val="-2"/>
        </w:rPr>
        <w:t xml:space="preserve"> </w:t>
      </w:r>
      <w:r>
        <w:t>are</w:t>
      </w:r>
      <w:r>
        <w:rPr>
          <w:spacing w:val="-2"/>
        </w:rPr>
        <w:t xml:space="preserve"> </w:t>
      </w:r>
      <w:r>
        <w:t>obtained</w:t>
      </w:r>
      <w:r>
        <w:rPr>
          <w:spacing w:val="-1"/>
        </w:rPr>
        <w:t xml:space="preserve"> </w:t>
      </w:r>
      <w:r>
        <w:t>from Worksheet</w:t>
      </w:r>
      <w:r>
        <w:rPr>
          <w:spacing w:val="-1"/>
        </w:rPr>
        <w:t xml:space="preserve"> </w:t>
      </w:r>
      <w:r>
        <w:rPr>
          <w:spacing w:val="-5"/>
        </w:rPr>
        <w:t>4.</w:t>
      </w:r>
    </w:p>
    <w:p>
      <w:pPr>
        <w:spacing w:before="241"/>
        <w:ind w:left="504" w:right="0" w:firstLine="0"/>
        <w:jc w:val="left"/>
        <w:rPr>
          <w:rFonts w:ascii="Arial" w:hAnsi="Arial"/>
          <w:b/>
          <w:sz w:val="21"/>
        </w:rPr>
      </w:pPr>
      <w:bookmarkStart w:id="279" w:name="Line 3 – Gain/Loss Margin"/>
      <w:bookmarkEnd w:id="279"/>
      <w:r>
        <w:rPr>
          <w:rFonts w:ascii="Arial" w:hAnsi="Arial"/>
          <w:b/>
          <w:sz w:val="21"/>
        </w:rPr>
        <w:t>Line</w:t>
      </w:r>
      <w:r>
        <w:rPr>
          <w:rFonts w:ascii="Arial" w:hAnsi="Arial"/>
          <w:b/>
          <w:spacing w:val="-4"/>
          <w:sz w:val="21"/>
        </w:rPr>
        <w:t xml:space="preserve"> </w:t>
      </w:r>
      <w:r>
        <w:rPr>
          <w:rFonts w:ascii="Arial" w:hAnsi="Arial"/>
          <w:b/>
          <w:sz w:val="21"/>
        </w:rPr>
        <w:t>3</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Gain/Loss</w:t>
      </w:r>
      <w:r>
        <w:rPr>
          <w:rFonts w:ascii="Arial" w:hAnsi="Arial"/>
          <w:b/>
          <w:spacing w:val="-4"/>
          <w:sz w:val="21"/>
        </w:rPr>
        <w:t xml:space="preserve"> </w:t>
      </w:r>
      <w:r>
        <w:rPr>
          <w:rFonts w:ascii="Arial" w:hAnsi="Arial"/>
          <w:b/>
          <w:spacing w:val="-2"/>
          <w:sz w:val="21"/>
        </w:rPr>
        <w:t>Margin</w:t>
      </w:r>
    </w:p>
    <w:p>
      <w:pPr>
        <w:pStyle w:val="BodyText"/>
        <w:spacing w:before="118"/>
        <w:ind w:right="1481"/>
      </w:pPr>
      <w:r>
        <w:t>These</w:t>
      </w:r>
      <w:r>
        <w:rPr>
          <w:spacing w:val="-4"/>
        </w:rPr>
        <w:t xml:space="preserve"> </w:t>
      </w:r>
      <w:r>
        <w:t>amounts</w:t>
      </w:r>
      <w:r>
        <w:rPr>
          <w:spacing w:val="-4"/>
        </w:rPr>
        <w:t xml:space="preserve"> </w:t>
      </w:r>
      <w:r>
        <w:t>reflect</w:t>
      </w:r>
      <w:r>
        <w:rPr>
          <w:spacing w:val="-3"/>
        </w:rPr>
        <w:t xml:space="preserve"> </w:t>
      </w:r>
      <w:r>
        <w:t>the</w:t>
      </w:r>
      <w:r>
        <w:rPr>
          <w:spacing w:val="-4"/>
        </w:rPr>
        <w:t xml:space="preserve"> </w:t>
      </w:r>
      <w:r>
        <w:t>estimated</w:t>
      </w:r>
      <w:r>
        <w:rPr>
          <w:spacing w:val="-3"/>
        </w:rPr>
        <w:t xml:space="preserve"> </w:t>
      </w:r>
      <w:r>
        <w:t>net</w:t>
      </w:r>
      <w:r>
        <w:rPr>
          <w:spacing w:val="-3"/>
        </w:rPr>
        <w:t xml:space="preserve"> </w:t>
      </w:r>
      <w:r>
        <w:t>gain/loss</w:t>
      </w:r>
      <w:r>
        <w:rPr>
          <w:spacing w:val="-4"/>
        </w:rPr>
        <w:t xml:space="preserve"> </w:t>
      </w:r>
      <w:r>
        <w:t>for</w:t>
      </w:r>
      <w:r>
        <w:rPr>
          <w:spacing w:val="-4"/>
        </w:rPr>
        <w:t xml:space="preserve"> </w:t>
      </w:r>
      <w:r>
        <w:t>the</w:t>
      </w:r>
      <w:r>
        <w:rPr>
          <w:spacing w:val="-2"/>
        </w:rPr>
        <w:t xml:space="preserve"> </w:t>
      </w:r>
      <w:r>
        <w:t>bid,</w:t>
      </w:r>
      <w:r>
        <w:rPr>
          <w:spacing w:val="-3"/>
        </w:rPr>
        <w:t xml:space="preserve"> </w:t>
      </w:r>
      <w:r>
        <w:t>including</w:t>
      </w:r>
      <w:r>
        <w:rPr>
          <w:spacing w:val="-3"/>
        </w:rPr>
        <w:t xml:space="preserve"> </w:t>
      </w:r>
      <w:r>
        <w:t>the</w:t>
      </w:r>
      <w:r>
        <w:rPr>
          <w:spacing w:val="-2"/>
        </w:rPr>
        <w:t xml:space="preserve"> </w:t>
      </w:r>
      <w:r>
        <w:t>amount</w:t>
      </w:r>
      <w:r>
        <w:rPr>
          <w:spacing w:val="-3"/>
        </w:rPr>
        <w:t xml:space="preserve"> </w:t>
      </w:r>
      <w:r>
        <w:t>of</w:t>
      </w:r>
      <w:r>
        <w:rPr>
          <w:spacing w:val="-3"/>
        </w:rPr>
        <w:t xml:space="preserve"> </w:t>
      </w:r>
      <w:r>
        <w:t>risk margin desired. These amounts are obtained from Worksheet 4.</w:t>
      </w:r>
    </w:p>
    <w:p>
      <w:pPr>
        <w:spacing w:before="240"/>
        <w:ind w:left="504" w:right="0" w:firstLine="0"/>
        <w:jc w:val="left"/>
        <w:rPr>
          <w:rFonts w:ascii="Arial" w:hAnsi="Arial"/>
          <w:b/>
          <w:sz w:val="21"/>
        </w:rPr>
      </w:pPr>
      <w:bookmarkStart w:id="280" w:name="Line 4 – Total Revenue Requirement"/>
      <w:bookmarkEnd w:id="280"/>
      <w:r>
        <w:rPr>
          <w:rFonts w:ascii="Arial" w:hAnsi="Arial"/>
          <w:b/>
          <w:sz w:val="21"/>
        </w:rPr>
        <w:t>Line</w:t>
      </w:r>
      <w:r>
        <w:rPr>
          <w:rFonts w:ascii="Arial" w:hAnsi="Arial"/>
          <w:b/>
          <w:spacing w:val="-4"/>
          <w:sz w:val="21"/>
        </w:rPr>
        <w:t xml:space="preserve"> </w:t>
      </w:r>
      <w:r>
        <w:rPr>
          <w:rFonts w:ascii="Arial" w:hAnsi="Arial"/>
          <w:b/>
          <w:sz w:val="21"/>
        </w:rPr>
        <w:t>4</w:t>
      </w:r>
      <w:r>
        <w:rPr>
          <w:rFonts w:ascii="Arial" w:hAnsi="Arial"/>
          <w:b/>
          <w:spacing w:val="-3"/>
          <w:sz w:val="21"/>
        </w:rPr>
        <w:t xml:space="preserve"> </w:t>
      </w:r>
      <w:r>
        <w:rPr>
          <w:rFonts w:ascii="Arial" w:hAnsi="Arial"/>
          <w:b/>
          <w:sz w:val="21"/>
        </w:rPr>
        <w:t>–</w:t>
      </w:r>
      <w:r>
        <w:rPr>
          <w:rFonts w:ascii="Arial" w:hAnsi="Arial"/>
          <w:b/>
          <w:spacing w:val="-6"/>
          <w:sz w:val="21"/>
        </w:rPr>
        <w:t xml:space="preserve"> </w:t>
      </w:r>
      <w:r>
        <w:rPr>
          <w:rFonts w:ascii="Arial" w:hAnsi="Arial"/>
          <w:b/>
          <w:sz w:val="21"/>
        </w:rPr>
        <w:t>Total</w:t>
      </w:r>
      <w:r>
        <w:rPr>
          <w:rFonts w:ascii="Arial" w:hAnsi="Arial"/>
          <w:b/>
          <w:spacing w:val="-4"/>
          <w:sz w:val="21"/>
        </w:rPr>
        <w:t xml:space="preserve"> </w:t>
      </w:r>
      <w:r>
        <w:rPr>
          <w:rFonts w:ascii="Arial" w:hAnsi="Arial"/>
          <w:b/>
          <w:sz w:val="21"/>
        </w:rPr>
        <w:t>Revenue</w:t>
      </w:r>
      <w:r>
        <w:rPr>
          <w:rFonts w:ascii="Arial" w:hAnsi="Arial"/>
          <w:b/>
          <w:spacing w:val="-3"/>
          <w:sz w:val="21"/>
        </w:rPr>
        <w:t xml:space="preserve"> </w:t>
      </w:r>
      <w:r>
        <w:rPr>
          <w:rFonts w:ascii="Arial" w:hAnsi="Arial"/>
          <w:b/>
          <w:spacing w:val="-2"/>
          <w:sz w:val="21"/>
        </w:rPr>
        <w:t>Requirement</w:t>
      </w:r>
    </w:p>
    <w:p>
      <w:pPr>
        <w:pStyle w:val="BodyText"/>
        <w:spacing w:before="121"/>
        <w:ind w:right="1481"/>
      </w:pPr>
      <w:r>
        <w:t>The</w:t>
      </w:r>
      <w:r>
        <w:rPr>
          <w:spacing w:val="-4"/>
        </w:rPr>
        <w:t xml:space="preserve"> </w:t>
      </w:r>
      <w:r>
        <w:t>sum</w:t>
      </w:r>
      <w:r>
        <w:rPr>
          <w:spacing w:val="-2"/>
        </w:rPr>
        <w:t xml:space="preserve"> </w:t>
      </w:r>
      <w:r>
        <w:t>of</w:t>
      </w:r>
      <w:r>
        <w:rPr>
          <w:spacing w:val="-2"/>
        </w:rPr>
        <w:t xml:space="preserve"> </w:t>
      </w:r>
      <w:r>
        <w:t>lines</w:t>
      </w:r>
      <w:r>
        <w:rPr>
          <w:spacing w:val="-2"/>
        </w:rPr>
        <w:t xml:space="preserve"> </w:t>
      </w:r>
      <w:r>
        <w:t>1</w:t>
      </w:r>
      <w:r>
        <w:rPr>
          <w:spacing w:val="-2"/>
        </w:rPr>
        <w:t xml:space="preserve"> </w:t>
      </w:r>
      <w:r>
        <w:t>through</w:t>
      </w:r>
      <w:r>
        <w:rPr>
          <w:spacing w:val="-2"/>
        </w:rPr>
        <w:t xml:space="preserve"> </w:t>
      </w:r>
      <w:r>
        <w:t>3.</w:t>
      </w:r>
      <w:r>
        <w:rPr>
          <w:spacing w:val="-2"/>
        </w:rPr>
        <w:t xml:space="preserve"> </w:t>
      </w:r>
      <w:r>
        <w:t>These</w:t>
      </w:r>
      <w:r>
        <w:rPr>
          <w:spacing w:val="-3"/>
        </w:rPr>
        <w:t xml:space="preserve"> </w:t>
      </w:r>
      <w:r>
        <w:t>amounts</w:t>
      </w:r>
      <w:r>
        <w:rPr>
          <w:spacing w:val="-3"/>
        </w:rPr>
        <w:t xml:space="preserve"> </w:t>
      </w:r>
      <w:r>
        <w:t>are</w:t>
      </w:r>
      <w:r>
        <w:rPr>
          <w:spacing w:val="-2"/>
        </w:rPr>
        <w:t xml:space="preserve"> </w:t>
      </w:r>
      <w:r>
        <w:t>the</w:t>
      </w:r>
      <w:r>
        <w:rPr>
          <w:spacing w:val="-2"/>
        </w:rPr>
        <w:t xml:space="preserve"> </w:t>
      </w:r>
      <w:r>
        <w:t>required</w:t>
      </w:r>
      <w:r>
        <w:rPr>
          <w:spacing w:val="-1"/>
        </w:rPr>
        <w:t xml:space="preserve"> </w:t>
      </w:r>
      <w:r>
        <w:t>revenue</w:t>
      </w:r>
      <w:r>
        <w:rPr>
          <w:spacing w:val="-3"/>
        </w:rPr>
        <w:t xml:space="preserve"> </w:t>
      </w:r>
      <w:r>
        <w:t>at</w:t>
      </w:r>
      <w:r>
        <w:rPr>
          <w:spacing w:val="-2"/>
        </w:rPr>
        <w:t xml:space="preserve"> </w:t>
      </w:r>
      <w:r>
        <w:t>the</w:t>
      </w:r>
      <w:r>
        <w:rPr>
          <w:spacing w:val="-2"/>
        </w:rPr>
        <w:t xml:space="preserve"> </w:t>
      </w:r>
      <w:r>
        <w:t>bid’s</w:t>
      </w:r>
      <w:r>
        <w:rPr>
          <w:spacing w:val="-3"/>
        </w:rPr>
        <w:t xml:space="preserve"> </w:t>
      </w:r>
      <w:r>
        <w:t>risk</w:t>
      </w:r>
      <w:r>
        <w:rPr>
          <w:spacing w:val="-2"/>
        </w:rPr>
        <w:t xml:space="preserve"> </w:t>
      </w:r>
      <w:r>
        <w:t>factor and are calculated prior to any rebate allocation.</w:t>
      </w:r>
    </w:p>
    <w:p>
      <w:pPr>
        <w:spacing w:before="240"/>
        <w:ind w:left="504" w:right="0" w:firstLine="0"/>
        <w:jc w:val="left"/>
        <w:rPr>
          <w:rFonts w:ascii="Arial" w:hAnsi="Arial"/>
          <w:b/>
          <w:sz w:val="21"/>
        </w:rPr>
      </w:pPr>
      <w:bookmarkStart w:id="281" w:name="Line 5 – Standardized A/B Benchmark"/>
      <w:bookmarkEnd w:id="281"/>
      <w:r>
        <w:rPr>
          <w:rFonts w:ascii="Arial" w:hAnsi="Arial"/>
          <w:b/>
          <w:sz w:val="21"/>
        </w:rPr>
        <w:t>Line</w:t>
      </w:r>
      <w:r>
        <w:rPr>
          <w:rFonts w:ascii="Arial" w:hAnsi="Arial"/>
          <w:b/>
          <w:spacing w:val="-5"/>
          <w:sz w:val="21"/>
        </w:rPr>
        <w:t xml:space="preserve"> </w:t>
      </w:r>
      <w:r>
        <w:rPr>
          <w:rFonts w:ascii="Arial" w:hAnsi="Arial"/>
          <w:b/>
          <w:sz w:val="21"/>
        </w:rPr>
        <w:t>5</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Standardized</w:t>
      </w:r>
      <w:r>
        <w:rPr>
          <w:rFonts w:ascii="Arial" w:hAnsi="Arial"/>
          <w:b/>
          <w:spacing w:val="-6"/>
          <w:sz w:val="21"/>
        </w:rPr>
        <w:t xml:space="preserve"> </w:t>
      </w:r>
      <w:r>
        <w:rPr>
          <w:rFonts w:ascii="Arial" w:hAnsi="Arial"/>
          <w:b/>
          <w:sz w:val="21"/>
        </w:rPr>
        <w:t>A/B</w:t>
      </w:r>
      <w:r>
        <w:rPr>
          <w:rFonts w:ascii="Arial" w:hAnsi="Arial"/>
          <w:b/>
          <w:spacing w:val="-3"/>
          <w:sz w:val="21"/>
        </w:rPr>
        <w:t xml:space="preserve"> </w:t>
      </w:r>
      <w:r>
        <w:rPr>
          <w:rFonts w:ascii="Arial" w:hAnsi="Arial"/>
          <w:b/>
          <w:spacing w:val="-2"/>
          <w:sz w:val="21"/>
        </w:rPr>
        <w:t>Benchmark</w:t>
      </w:r>
    </w:p>
    <w:p>
      <w:pPr>
        <w:pStyle w:val="BodyText"/>
        <w:spacing w:before="121"/>
      </w:pPr>
      <w:r>
        <w:t>This</w:t>
      </w:r>
      <w:r>
        <w:rPr>
          <w:spacing w:val="-3"/>
        </w:rPr>
        <w:t xml:space="preserve"> </w:t>
      </w:r>
      <w:r>
        <w:t>amount</w:t>
      </w:r>
      <w:r>
        <w:rPr>
          <w:spacing w:val="-1"/>
        </w:rPr>
        <w:t xml:space="preserve"> </w:t>
      </w:r>
      <w:r>
        <w:t>is</w:t>
      </w:r>
      <w:r>
        <w:rPr>
          <w:spacing w:val="-2"/>
        </w:rPr>
        <w:t xml:space="preserve"> </w:t>
      </w:r>
      <w:r>
        <w:t>obtained</w:t>
      </w:r>
      <w:r>
        <w:rPr>
          <w:spacing w:val="-2"/>
        </w:rPr>
        <w:t xml:space="preserve"> </w:t>
      </w:r>
      <w:r>
        <w:t>from</w:t>
      </w:r>
      <w:r>
        <w:rPr>
          <w:spacing w:val="-1"/>
        </w:rPr>
        <w:t xml:space="preserve"> </w:t>
      </w:r>
      <w:r>
        <w:t>Worksheet</w:t>
      </w:r>
      <w:r>
        <w:rPr>
          <w:spacing w:val="-1"/>
        </w:rPr>
        <w:t xml:space="preserve"> </w:t>
      </w:r>
      <w:r>
        <w:rPr>
          <w:spacing w:val="-5"/>
        </w:rPr>
        <w:t>5.</w:t>
      </w:r>
    </w:p>
    <w:p>
      <w:pPr>
        <w:spacing w:before="241"/>
        <w:ind w:left="504" w:right="0" w:firstLine="0"/>
        <w:jc w:val="left"/>
        <w:rPr>
          <w:rFonts w:ascii="Arial" w:hAnsi="Arial"/>
          <w:b/>
          <w:sz w:val="21"/>
        </w:rPr>
      </w:pPr>
      <w:bookmarkStart w:id="282" w:name="Line 6 – Plan A/B Benchmark (or Regional"/>
      <w:bookmarkEnd w:id="282"/>
      <w:r>
        <w:rPr>
          <w:rFonts w:ascii="Arial" w:hAnsi="Arial"/>
          <w:b/>
          <w:sz w:val="21"/>
        </w:rPr>
        <w:t>Line</w:t>
      </w:r>
      <w:r>
        <w:rPr>
          <w:rFonts w:ascii="Arial" w:hAnsi="Arial"/>
          <w:b/>
          <w:spacing w:val="-5"/>
          <w:sz w:val="21"/>
        </w:rPr>
        <w:t xml:space="preserve"> </w:t>
      </w:r>
      <w:r>
        <w:rPr>
          <w:rFonts w:ascii="Arial" w:hAnsi="Arial"/>
          <w:b/>
          <w:sz w:val="21"/>
        </w:rPr>
        <w:t>6</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Plan</w:t>
      </w:r>
      <w:r>
        <w:rPr>
          <w:rFonts w:ascii="Arial" w:hAnsi="Arial"/>
          <w:b/>
          <w:spacing w:val="-6"/>
          <w:sz w:val="21"/>
        </w:rPr>
        <w:t xml:space="preserve"> </w:t>
      </w:r>
      <w:r>
        <w:rPr>
          <w:rFonts w:ascii="Arial" w:hAnsi="Arial"/>
          <w:b/>
          <w:sz w:val="21"/>
        </w:rPr>
        <w:t>A/B</w:t>
      </w:r>
      <w:r>
        <w:rPr>
          <w:rFonts w:ascii="Arial" w:hAnsi="Arial"/>
          <w:b/>
          <w:spacing w:val="-6"/>
          <w:sz w:val="21"/>
        </w:rPr>
        <w:t xml:space="preserve"> </w:t>
      </w:r>
      <w:r>
        <w:rPr>
          <w:rFonts w:ascii="Arial" w:hAnsi="Arial"/>
          <w:b/>
          <w:sz w:val="21"/>
        </w:rPr>
        <w:t>Benchmark</w:t>
      </w:r>
      <w:r>
        <w:rPr>
          <w:rFonts w:ascii="Arial" w:hAnsi="Arial"/>
          <w:b/>
          <w:spacing w:val="-5"/>
          <w:sz w:val="21"/>
        </w:rPr>
        <w:t xml:space="preserve"> </w:t>
      </w:r>
      <w:r>
        <w:rPr>
          <w:rFonts w:ascii="Arial" w:hAnsi="Arial"/>
          <w:b/>
          <w:sz w:val="21"/>
        </w:rPr>
        <w:t>(or</w:t>
      </w:r>
      <w:r>
        <w:rPr>
          <w:rFonts w:ascii="Arial" w:hAnsi="Arial"/>
          <w:b/>
          <w:spacing w:val="-4"/>
          <w:sz w:val="21"/>
        </w:rPr>
        <w:t xml:space="preserve"> </w:t>
      </w:r>
      <w:r>
        <w:rPr>
          <w:rFonts w:ascii="Arial" w:hAnsi="Arial"/>
          <w:b/>
          <w:sz w:val="21"/>
        </w:rPr>
        <w:t>Regional</w:t>
      </w:r>
      <w:r>
        <w:rPr>
          <w:rFonts w:ascii="Arial" w:hAnsi="Arial"/>
          <w:b/>
          <w:spacing w:val="-9"/>
          <w:sz w:val="21"/>
        </w:rPr>
        <w:t xml:space="preserve"> </w:t>
      </w:r>
      <w:r>
        <w:rPr>
          <w:rFonts w:ascii="Arial" w:hAnsi="Arial"/>
          <w:b/>
          <w:sz w:val="21"/>
        </w:rPr>
        <w:t>A/B</w:t>
      </w:r>
      <w:r>
        <w:rPr>
          <w:rFonts w:ascii="Arial" w:hAnsi="Arial"/>
          <w:b/>
          <w:spacing w:val="-6"/>
          <w:sz w:val="21"/>
        </w:rPr>
        <w:t xml:space="preserve"> </w:t>
      </w:r>
      <w:r>
        <w:rPr>
          <w:rFonts w:ascii="Arial" w:hAnsi="Arial"/>
          <w:b/>
          <w:sz w:val="21"/>
        </w:rPr>
        <w:t>Benchmark</w:t>
      </w:r>
      <w:r>
        <w:rPr>
          <w:rFonts w:ascii="Arial" w:hAnsi="Arial"/>
          <w:b/>
          <w:spacing w:val="-4"/>
          <w:sz w:val="21"/>
        </w:rPr>
        <w:t xml:space="preserve"> </w:t>
      </w:r>
      <w:r>
        <w:rPr>
          <w:rFonts w:ascii="Arial" w:hAnsi="Arial"/>
          <w:b/>
          <w:sz w:val="21"/>
        </w:rPr>
        <w:t>for</w:t>
      </w:r>
      <w:r>
        <w:rPr>
          <w:rFonts w:ascii="Arial" w:hAnsi="Arial"/>
          <w:b/>
          <w:spacing w:val="-5"/>
          <w:sz w:val="21"/>
        </w:rPr>
        <w:t xml:space="preserve"> </w:t>
      </w:r>
      <w:r>
        <w:rPr>
          <w:rFonts w:ascii="Arial" w:hAnsi="Arial"/>
          <w:b/>
          <w:sz w:val="21"/>
        </w:rPr>
        <w:t>Regional</w:t>
      </w:r>
      <w:r>
        <w:rPr>
          <w:rFonts w:ascii="Arial" w:hAnsi="Arial"/>
          <w:b/>
          <w:spacing w:val="-5"/>
          <w:sz w:val="21"/>
        </w:rPr>
        <w:t xml:space="preserve"> </w:t>
      </w:r>
      <w:r>
        <w:rPr>
          <w:rFonts w:ascii="Arial" w:hAnsi="Arial"/>
          <w:b/>
          <w:sz w:val="21"/>
        </w:rPr>
        <w:t>PPO</w:t>
      </w:r>
      <w:r>
        <w:rPr>
          <w:rFonts w:ascii="Arial" w:hAnsi="Arial"/>
          <w:b/>
          <w:spacing w:val="-6"/>
          <w:sz w:val="21"/>
        </w:rPr>
        <w:t xml:space="preserve"> </w:t>
      </w:r>
      <w:r>
        <w:rPr>
          <w:rFonts w:ascii="Arial" w:hAnsi="Arial"/>
          <w:b/>
          <w:spacing w:val="-2"/>
          <w:sz w:val="21"/>
        </w:rPr>
        <w:t>Plans)</w:t>
      </w:r>
    </w:p>
    <w:p>
      <w:pPr>
        <w:pStyle w:val="BodyText"/>
        <w:spacing w:before="118"/>
      </w:pPr>
      <w:r>
        <w:t>This</w:t>
      </w:r>
      <w:r>
        <w:rPr>
          <w:spacing w:val="-3"/>
        </w:rPr>
        <w:t xml:space="preserve"> </w:t>
      </w:r>
      <w:r>
        <w:t>amount</w:t>
      </w:r>
      <w:r>
        <w:rPr>
          <w:spacing w:val="-1"/>
        </w:rPr>
        <w:t xml:space="preserve"> </w:t>
      </w:r>
      <w:r>
        <w:t>is</w:t>
      </w:r>
      <w:r>
        <w:rPr>
          <w:spacing w:val="-2"/>
        </w:rPr>
        <w:t xml:space="preserve"> </w:t>
      </w:r>
      <w:r>
        <w:t>obtained</w:t>
      </w:r>
      <w:r>
        <w:rPr>
          <w:spacing w:val="-2"/>
        </w:rPr>
        <w:t xml:space="preserve"> </w:t>
      </w:r>
      <w:r>
        <w:t>from</w:t>
      </w:r>
      <w:r>
        <w:rPr>
          <w:spacing w:val="-1"/>
        </w:rPr>
        <w:t xml:space="preserve"> </w:t>
      </w:r>
      <w:r>
        <w:t>Worksheet</w:t>
      </w:r>
      <w:r>
        <w:rPr>
          <w:spacing w:val="-1"/>
        </w:rPr>
        <w:t xml:space="preserve"> </w:t>
      </w:r>
      <w:r>
        <w:rPr>
          <w:spacing w:val="-5"/>
        </w:rPr>
        <w:t>5.</w:t>
      </w:r>
    </w:p>
    <w:p>
      <w:pPr>
        <w:spacing w:before="240"/>
        <w:ind w:left="504" w:right="0" w:firstLine="0"/>
        <w:jc w:val="left"/>
        <w:rPr>
          <w:rFonts w:ascii="Arial" w:hAnsi="Arial"/>
          <w:b/>
          <w:sz w:val="21"/>
        </w:rPr>
      </w:pPr>
      <w:bookmarkStart w:id="283" w:name="Line 7 – Risk Factor"/>
      <w:bookmarkEnd w:id="283"/>
      <w:r>
        <w:rPr>
          <w:rFonts w:ascii="Arial" w:hAnsi="Arial"/>
          <w:b/>
          <w:sz w:val="21"/>
        </w:rPr>
        <w:t>Line</w:t>
      </w:r>
      <w:r>
        <w:rPr>
          <w:rFonts w:ascii="Arial" w:hAnsi="Arial"/>
          <w:b/>
          <w:spacing w:val="-3"/>
          <w:sz w:val="21"/>
        </w:rPr>
        <w:t xml:space="preserve"> </w:t>
      </w:r>
      <w:r>
        <w:rPr>
          <w:rFonts w:ascii="Arial" w:hAnsi="Arial"/>
          <w:b/>
          <w:sz w:val="21"/>
        </w:rPr>
        <w:t>7</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Risk</w:t>
      </w:r>
      <w:r>
        <w:rPr>
          <w:rFonts w:ascii="Arial" w:hAnsi="Arial"/>
          <w:b/>
          <w:spacing w:val="-2"/>
          <w:sz w:val="21"/>
        </w:rPr>
        <w:t xml:space="preserve"> Factor</w:t>
      </w:r>
    </w:p>
    <w:p>
      <w:pPr>
        <w:pStyle w:val="BodyText"/>
        <w:spacing w:before="121"/>
      </w:pPr>
      <w:r>
        <w:t>This</w:t>
      </w:r>
      <w:r>
        <w:rPr>
          <w:spacing w:val="-3"/>
        </w:rPr>
        <w:t xml:space="preserve"> </w:t>
      </w:r>
      <w:r>
        <w:t>amount</w:t>
      </w:r>
      <w:r>
        <w:rPr>
          <w:spacing w:val="-1"/>
        </w:rPr>
        <w:t xml:space="preserve"> </w:t>
      </w:r>
      <w:r>
        <w:t>is</w:t>
      </w:r>
      <w:r>
        <w:rPr>
          <w:spacing w:val="-2"/>
        </w:rPr>
        <w:t xml:space="preserve"> </w:t>
      </w:r>
      <w:r>
        <w:t>obtained</w:t>
      </w:r>
      <w:r>
        <w:rPr>
          <w:spacing w:val="-2"/>
        </w:rPr>
        <w:t xml:space="preserve"> </w:t>
      </w:r>
      <w:r>
        <w:t>from</w:t>
      </w:r>
      <w:r>
        <w:rPr>
          <w:spacing w:val="-1"/>
        </w:rPr>
        <w:t xml:space="preserve"> </w:t>
      </w:r>
      <w:r>
        <w:t>Worksheet</w:t>
      </w:r>
      <w:r>
        <w:rPr>
          <w:spacing w:val="-1"/>
        </w:rPr>
        <w:t xml:space="preserve"> </w:t>
      </w:r>
      <w:r>
        <w:rPr>
          <w:spacing w:val="-5"/>
        </w:rPr>
        <w:t>5.</w:t>
      </w:r>
    </w:p>
    <w:p>
      <w:pPr>
        <w:spacing w:before="240"/>
        <w:ind w:left="504" w:right="0" w:firstLine="0"/>
        <w:jc w:val="left"/>
        <w:rPr>
          <w:rFonts w:ascii="Arial" w:hAnsi="Arial"/>
          <w:b/>
          <w:sz w:val="21"/>
        </w:rPr>
      </w:pPr>
      <w:bookmarkStart w:id="284" w:name="Line 8 – Conversion Factor"/>
      <w:bookmarkEnd w:id="284"/>
      <w:r>
        <w:rPr>
          <w:rFonts w:ascii="Arial" w:hAnsi="Arial"/>
          <w:b/>
          <w:sz w:val="21"/>
        </w:rPr>
        <w:t>Line</w:t>
      </w:r>
      <w:r>
        <w:rPr>
          <w:rFonts w:ascii="Arial" w:hAnsi="Arial"/>
          <w:b/>
          <w:spacing w:val="-6"/>
          <w:sz w:val="21"/>
        </w:rPr>
        <w:t xml:space="preserve"> </w:t>
      </w:r>
      <w:r>
        <w:rPr>
          <w:rFonts w:ascii="Arial" w:hAnsi="Arial"/>
          <w:b/>
          <w:sz w:val="21"/>
        </w:rPr>
        <w:t>8</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Conversion</w:t>
      </w:r>
      <w:r>
        <w:rPr>
          <w:rFonts w:ascii="Arial" w:hAnsi="Arial"/>
          <w:b/>
          <w:spacing w:val="-5"/>
          <w:sz w:val="21"/>
        </w:rPr>
        <w:t xml:space="preserve"> </w:t>
      </w:r>
      <w:r>
        <w:rPr>
          <w:rFonts w:ascii="Arial" w:hAnsi="Arial"/>
          <w:b/>
          <w:spacing w:val="-2"/>
          <w:sz w:val="21"/>
        </w:rPr>
        <w:t>Factor</w:t>
      </w:r>
    </w:p>
    <w:p>
      <w:pPr>
        <w:pStyle w:val="BodyText"/>
        <w:spacing w:before="118"/>
      </w:pPr>
      <w:r>
        <w:t>This</w:t>
      </w:r>
      <w:r>
        <w:rPr>
          <w:spacing w:val="-3"/>
        </w:rPr>
        <w:t xml:space="preserve"> </w:t>
      </w:r>
      <w:r>
        <w:t>amount</w:t>
      </w:r>
      <w:r>
        <w:rPr>
          <w:spacing w:val="-1"/>
        </w:rPr>
        <w:t xml:space="preserve"> </w:t>
      </w:r>
      <w:r>
        <w:t>is</w:t>
      </w:r>
      <w:r>
        <w:rPr>
          <w:spacing w:val="-2"/>
        </w:rPr>
        <w:t xml:space="preserve"> </w:t>
      </w:r>
      <w:r>
        <w:t>obtained</w:t>
      </w:r>
      <w:r>
        <w:rPr>
          <w:spacing w:val="-2"/>
        </w:rPr>
        <w:t xml:space="preserve"> </w:t>
      </w:r>
      <w:r>
        <w:t>from</w:t>
      </w:r>
      <w:r>
        <w:rPr>
          <w:spacing w:val="-1"/>
        </w:rPr>
        <w:t xml:space="preserve"> </w:t>
      </w:r>
      <w:r>
        <w:t>Worksheet</w:t>
      </w:r>
      <w:r>
        <w:rPr>
          <w:spacing w:val="-1"/>
        </w:rPr>
        <w:t xml:space="preserve"> </w:t>
      </w:r>
      <w:r>
        <w:rPr>
          <w:spacing w:val="-5"/>
        </w:rPr>
        <w:t>5.</w:t>
      </w:r>
    </w:p>
    <w:p>
      <w:pPr>
        <w:spacing w:before="241"/>
        <w:ind w:left="504" w:right="0" w:firstLine="0"/>
        <w:jc w:val="left"/>
        <w:rPr>
          <w:rFonts w:ascii="Arial" w:hAnsi="Arial"/>
          <w:b/>
          <w:sz w:val="21"/>
        </w:rPr>
      </w:pPr>
      <w:bookmarkStart w:id="285" w:name="SUBSECTION B – MA Rebate Allocation"/>
      <w:bookmarkEnd w:id="285"/>
      <w:r>
        <w:rPr>
          <w:rFonts w:ascii="Arial" w:hAnsi="Arial"/>
          <w:b/>
          <w:sz w:val="21"/>
        </w:rPr>
        <w:t>SUBSECTION</w:t>
      </w:r>
      <w:r>
        <w:rPr>
          <w:rFonts w:ascii="Arial" w:hAnsi="Arial"/>
          <w:b/>
          <w:spacing w:val="-5"/>
          <w:sz w:val="21"/>
        </w:rPr>
        <w:t xml:space="preserve"> </w:t>
      </w:r>
      <w:r>
        <w:rPr>
          <w:rFonts w:ascii="Arial" w:hAnsi="Arial"/>
          <w:b/>
          <w:sz w:val="21"/>
        </w:rPr>
        <w:t>B</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MA</w:t>
      </w:r>
      <w:r>
        <w:rPr>
          <w:rFonts w:ascii="Arial" w:hAnsi="Arial"/>
          <w:b/>
          <w:spacing w:val="-6"/>
          <w:sz w:val="21"/>
        </w:rPr>
        <w:t xml:space="preserve"> </w:t>
      </w:r>
      <w:r>
        <w:rPr>
          <w:rFonts w:ascii="Arial" w:hAnsi="Arial"/>
          <w:b/>
          <w:sz w:val="21"/>
        </w:rPr>
        <w:t>Rebate</w:t>
      </w:r>
      <w:r>
        <w:rPr>
          <w:rFonts w:ascii="Arial" w:hAnsi="Arial"/>
          <w:b/>
          <w:spacing w:val="-6"/>
          <w:sz w:val="21"/>
        </w:rPr>
        <w:t xml:space="preserve"> </w:t>
      </w:r>
      <w:r>
        <w:rPr>
          <w:rFonts w:ascii="Arial" w:hAnsi="Arial"/>
          <w:b/>
          <w:spacing w:val="-2"/>
          <w:sz w:val="21"/>
        </w:rPr>
        <w:t>Allocation</w:t>
      </w:r>
    </w:p>
    <w:p>
      <w:pPr>
        <w:pStyle w:val="BodyText"/>
        <w:spacing w:before="120"/>
      </w:pPr>
      <w:r>
        <w:t>MAOs</w:t>
      </w:r>
      <w:r>
        <w:rPr>
          <w:spacing w:val="-4"/>
        </w:rPr>
        <w:t xml:space="preserve"> </w:t>
      </w:r>
      <w:r>
        <w:t>may</w:t>
      </w:r>
      <w:r>
        <w:rPr>
          <w:spacing w:val="-1"/>
        </w:rPr>
        <w:t xml:space="preserve"> </w:t>
      </w:r>
      <w:r>
        <w:t>choose</w:t>
      </w:r>
      <w:r>
        <w:rPr>
          <w:spacing w:val="-2"/>
        </w:rPr>
        <w:t xml:space="preserve"> </w:t>
      </w:r>
      <w:r>
        <w:t>which of the</w:t>
      </w:r>
      <w:r>
        <w:rPr>
          <w:spacing w:val="-3"/>
        </w:rPr>
        <w:t xml:space="preserve"> </w:t>
      </w:r>
      <w:r>
        <w:t>following category, or</w:t>
      </w:r>
      <w:r>
        <w:rPr>
          <w:spacing w:val="-3"/>
        </w:rPr>
        <w:t xml:space="preserve"> </w:t>
      </w:r>
      <w:r>
        <w:t>categories, in which</w:t>
      </w:r>
      <w:r>
        <w:rPr>
          <w:spacing w:val="-1"/>
        </w:rPr>
        <w:t xml:space="preserve"> </w:t>
      </w:r>
      <w:r>
        <w:t xml:space="preserve">to allocate </w:t>
      </w:r>
      <w:r>
        <w:rPr>
          <w:spacing w:val="-2"/>
        </w:rPr>
        <w:t>rebates:</w:t>
      </w:r>
    </w:p>
    <w:p>
      <w:pPr>
        <w:pStyle w:val="ListParagraph"/>
        <w:numPr>
          <w:ilvl w:val="1"/>
          <w:numId w:val="39"/>
        </w:numPr>
        <w:tabs>
          <w:tab w:val="left" w:pos="1584"/>
        </w:tabs>
        <w:spacing w:before="121" w:after="0" w:line="240" w:lineRule="auto"/>
        <w:ind w:left="1584" w:right="0" w:hanging="360"/>
        <w:jc w:val="left"/>
        <w:rPr>
          <w:sz w:val="24"/>
        </w:rPr>
      </w:pPr>
      <w:r>
        <w:rPr>
          <w:sz w:val="24"/>
        </w:rPr>
        <w:t>Reduce</w:t>
      </w:r>
      <w:r>
        <w:rPr>
          <w:spacing w:val="-2"/>
          <w:sz w:val="24"/>
        </w:rPr>
        <w:t xml:space="preserve"> </w:t>
      </w:r>
      <w:r>
        <w:rPr>
          <w:sz w:val="24"/>
        </w:rPr>
        <w:t>A/B</w:t>
      </w:r>
      <w:r>
        <w:rPr>
          <w:spacing w:val="-1"/>
          <w:sz w:val="24"/>
        </w:rPr>
        <w:t xml:space="preserve"> </w:t>
      </w:r>
      <w:r>
        <w:rPr>
          <w:sz w:val="24"/>
        </w:rPr>
        <w:t>cost</w:t>
      </w:r>
      <w:r>
        <w:rPr>
          <w:spacing w:val="-1"/>
          <w:sz w:val="24"/>
        </w:rPr>
        <w:t xml:space="preserve"> </w:t>
      </w:r>
      <w:r>
        <w:rPr>
          <w:spacing w:val="-2"/>
          <w:sz w:val="24"/>
        </w:rPr>
        <w:t>sharing.</w:t>
      </w:r>
    </w:p>
    <w:p>
      <w:pPr>
        <w:pStyle w:val="ListParagraph"/>
        <w:numPr>
          <w:ilvl w:val="1"/>
          <w:numId w:val="39"/>
        </w:numPr>
        <w:tabs>
          <w:tab w:val="left" w:pos="1584"/>
        </w:tabs>
        <w:spacing w:before="0" w:after="0" w:line="240" w:lineRule="auto"/>
        <w:ind w:left="1584" w:right="0" w:hanging="360"/>
        <w:jc w:val="left"/>
        <w:rPr>
          <w:sz w:val="24"/>
        </w:rPr>
      </w:pPr>
      <w:r>
        <w:rPr>
          <w:sz w:val="24"/>
        </w:rPr>
        <w:t>Other</w:t>
      </w:r>
      <w:r>
        <w:rPr>
          <w:spacing w:val="-1"/>
          <w:sz w:val="24"/>
        </w:rPr>
        <w:t xml:space="preserve"> </w:t>
      </w:r>
      <w:r>
        <w:rPr>
          <w:sz w:val="24"/>
        </w:rPr>
        <w:t>A/B</w:t>
      </w:r>
      <w:r>
        <w:rPr>
          <w:spacing w:val="-1"/>
          <w:sz w:val="24"/>
        </w:rPr>
        <w:t xml:space="preserve"> </w:t>
      </w:r>
      <w:r>
        <w:rPr>
          <w:sz w:val="24"/>
        </w:rPr>
        <w:t>mandatory</w:t>
      </w:r>
      <w:r>
        <w:rPr>
          <w:spacing w:val="-1"/>
          <w:sz w:val="24"/>
        </w:rPr>
        <w:t xml:space="preserve"> </w:t>
      </w:r>
      <w:r>
        <w:rPr>
          <w:sz w:val="24"/>
        </w:rPr>
        <w:t>supplemental</w:t>
      </w:r>
      <w:r>
        <w:rPr>
          <w:spacing w:val="-1"/>
          <w:sz w:val="24"/>
        </w:rPr>
        <w:t xml:space="preserve"> </w:t>
      </w:r>
      <w:r>
        <w:rPr>
          <w:spacing w:val="-2"/>
          <w:sz w:val="24"/>
        </w:rPr>
        <w:t>benefits.</w:t>
      </w:r>
    </w:p>
    <w:p>
      <w:pPr>
        <w:pStyle w:val="ListParagraph"/>
        <w:numPr>
          <w:ilvl w:val="1"/>
          <w:numId w:val="39"/>
        </w:numPr>
        <w:tabs>
          <w:tab w:val="left" w:pos="1584"/>
        </w:tabs>
        <w:spacing w:before="0" w:after="0" w:line="240" w:lineRule="auto"/>
        <w:ind w:left="1584" w:right="0" w:hanging="360"/>
        <w:jc w:val="left"/>
        <w:rPr>
          <w:sz w:val="24"/>
        </w:rPr>
      </w:pPr>
      <w:r>
        <w:rPr>
          <w:sz w:val="24"/>
        </w:rPr>
        <w:t>Part</w:t>
      </w:r>
      <w:r>
        <w:rPr>
          <w:spacing w:val="-1"/>
          <w:sz w:val="24"/>
        </w:rPr>
        <w:t xml:space="preserve"> </w:t>
      </w:r>
      <w:r>
        <w:rPr>
          <w:sz w:val="24"/>
        </w:rPr>
        <w:t>B</w:t>
      </w:r>
      <w:r>
        <w:rPr>
          <w:spacing w:val="-1"/>
          <w:sz w:val="24"/>
        </w:rPr>
        <w:t xml:space="preserve"> </w:t>
      </w:r>
      <w:r>
        <w:rPr>
          <w:sz w:val="24"/>
        </w:rPr>
        <w:t xml:space="preserve">premium </w:t>
      </w:r>
      <w:r>
        <w:rPr>
          <w:spacing w:val="-2"/>
          <w:sz w:val="24"/>
        </w:rPr>
        <w:t>buydown.</w:t>
      </w:r>
    </w:p>
    <w:p>
      <w:pPr>
        <w:pStyle w:val="ListParagraph"/>
        <w:numPr>
          <w:ilvl w:val="1"/>
          <w:numId w:val="39"/>
        </w:numPr>
        <w:tabs>
          <w:tab w:val="left" w:pos="1584"/>
        </w:tabs>
        <w:spacing w:before="0" w:after="0" w:line="240" w:lineRule="auto"/>
        <w:ind w:left="1584" w:right="0" w:hanging="360"/>
        <w:jc w:val="left"/>
        <w:rPr>
          <w:sz w:val="24"/>
        </w:rPr>
      </w:pPr>
      <w:r>
        <w:rPr>
          <w:sz w:val="24"/>
        </w:rPr>
        <w:t>Part</w:t>
      </w:r>
      <w:r>
        <w:rPr>
          <w:spacing w:val="-1"/>
          <w:sz w:val="24"/>
        </w:rPr>
        <w:t xml:space="preserve"> </w:t>
      </w:r>
      <w:r>
        <w:rPr>
          <w:sz w:val="24"/>
        </w:rPr>
        <w:t>D</w:t>
      </w:r>
      <w:r>
        <w:rPr>
          <w:spacing w:val="-1"/>
          <w:sz w:val="24"/>
        </w:rPr>
        <w:t xml:space="preserve"> </w:t>
      </w:r>
      <w:r>
        <w:rPr>
          <w:sz w:val="24"/>
        </w:rPr>
        <w:t>basic</w:t>
      </w:r>
      <w:r>
        <w:rPr>
          <w:spacing w:val="-1"/>
          <w:sz w:val="24"/>
        </w:rPr>
        <w:t xml:space="preserve"> </w:t>
      </w:r>
      <w:r>
        <w:rPr>
          <w:sz w:val="24"/>
        </w:rPr>
        <w:t>premium</w:t>
      </w:r>
      <w:r>
        <w:rPr>
          <w:spacing w:val="1"/>
          <w:sz w:val="24"/>
        </w:rPr>
        <w:t xml:space="preserve"> </w:t>
      </w:r>
      <w:r>
        <w:rPr>
          <w:spacing w:val="-2"/>
          <w:sz w:val="24"/>
        </w:rPr>
        <w:t>buydown.</w:t>
      </w:r>
    </w:p>
    <w:p>
      <w:pPr>
        <w:pStyle w:val="ListParagraph"/>
        <w:numPr>
          <w:ilvl w:val="1"/>
          <w:numId w:val="39"/>
        </w:numPr>
        <w:tabs>
          <w:tab w:val="left" w:pos="1584"/>
        </w:tabs>
        <w:spacing w:before="0" w:after="0" w:line="240" w:lineRule="auto"/>
        <w:ind w:left="1584" w:right="0" w:hanging="360"/>
        <w:jc w:val="left"/>
        <w:rPr>
          <w:sz w:val="24"/>
        </w:rPr>
      </w:pPr>
      <w:r>
        <w:rPr>
          <w:sz w:val="24"/>
        </w:rPr>
        <w:t>Part</w:t>
      </w:r>
      <w:r>
        <w:rPr>
          <w:spacing w:val="-1"/>
          <w:sz w:val="24"/>
        </w:rPr>
        <w:t xml:space="preserve"> </w:t>
      </w:r>
      <w:r>
        <w:rPr>
          <w:sz w:val="24"/>
        </w:rPr>
        <w:t>D</w:t>
      </w:r>
      <w:r>
        <w:rPr>
          <w:spacing w:val="-1"/>
          <w:sz w:val="24"/>
        </w:rPr>
        <w:t xml:space="preserve"> </w:t>
      </w:r>
      <w:r>
        <w:rPr>
          <w:sz w:val="24"/>
        </w:rPr>
        <w:t>supplemental</w:t>
      </w:r>
      <w:r>
        <w:rPr>
          <w:spacing w:val="-1"/>
          <w:sz w:val="24"/>
        </w:rPr>
        <w:t xml:space="preserve"> </w:t>
      </w:r>
      <w:r>
        <w:rPr>
          <w:sz w:val="24"/>
        </w:rPr>
        <w:t>premium</w:t>
      </w:r>
      <w:r>
        <w:rPr>
          <w:spacing w:val="1"/>
          <w:sz w:val="24"/>
        </w:rPr>
        <w:t xml:space="preserve"> </w:t>
      </w:r>
      <w:r>
        <w:rPr>
          <w:spacing w:val="-2"/>
          <w:sz w:val="24"/>
        </w:rPr>
        <w:t>buydown.</w:t>
      </w:r>
    </w:p>
    <w:p>
      <w:pPr>
        <w:pStyle w:val="BodyText"/>
        <w:spacing w:before="120"/>
        <w:ind w:right="1841"/>
      </w:pPr>
      <w:r>
        <w:t>See</w:t>
      </w:r>
      <w:r>
        <w:rPr>
          <w:spacing w:val="-4"/>
        </w:rPr>
        <w:t xml:space="preserve"> </w:t>
      </w:r>
      <w:r>
        <w:t>Appendix</w:t>
      </w:r>
      <w:r>
        <w:rPr>
          <w:spacing w:val="-3"/>
        </w:rPr>
        <w:t xml:space="preserve"> </w:t>
      </w:r>
      <w:r>
        <w:t>E</w:t>
      </w:r>
      <w:r>
        <w:rPr>
          <w:spacing w:val="-4"/>
        </w:rPr>
        <w:t xml:space="preserve"> </w:t>
      </w:r>
      <w:r>
        <w:t>for</w:t>
      </w:r>
      <w:r>
        <w:rPr>
          <w:spacing w:val="-3"/>
        </w:rPr>
        <w:t xml:space="preserve"> </w:t>
      </w:r>
      <w:r>
        <w:t>information</w:t>
      </w:r>
      <w:r>
        <w:rPr>
          <w:spacing w:val="-3"/>
        </w:rPr>
        <w:t xml:space="preserve"> </w:t>
      </w:r>
      <w:r>
        <w:t>regarding</w:t>
      </w:r>
      <w:r>
        <w:rPr>
          <w:spacing w:val="-3"/>
        </w:rPr>
        <w:t xml:space="preserve"> </w:t>
      </w:r>
      <w:r>
        <w:t>the</w:t>
      </w:r>
      <w:r>
        <w:rPr>
          <w:spacing w:val="-3"/>
        </w:rPr>
        <w:t xml:space="preserve"> </w:t>
      </w:r>
      <w:r>
        <w:t>reallocation</w:t>
      </w:r>
      <w:r>
        <w:rPr>
          <w:spacing w:val="-3"/>
        </w:rPr>
        <w:t xml:space="preserve"> </w:t>
      </w:r>
      <w:r>
        <w:t>of</w:t>
      </w:r>
      <w:r>
        <w:rPr>
          <w:spacing w:val="-4"/>
        </w:rPr>
        <w:t xml:space="preserve"> </w:t>
      </w:r>
      <w:r>
        <w:t>rebates</w:t>
      </w:r>
      <w:r>
        <w:rPr>
          <w:spacing w:val="-4"/>
        </w:rPr>
        <w:t xml:space="preserve"> </w:t>
      </w:r>
      <w:r>
        <w:t>(permitted</w:t>
      </w:r>
      <w:r>
        <w:rPr>
          <w:spacing w:val="-3"/>
        </w:rPr>
        <w:t xml:space="preserve"> </w:t>
      </w:r>
      <w:r>
        <w:t>for</w:t>
      </w:r>
      <w:r>
        <w:rPr>
          <w:spacing w:val="-5"/>
        </w:rPr>
        <w:t xml:space="preserve"> </w:t>
      </w:r>
      <w:r>
        <w:t>certain bids) after the publication of the Part D and MA regional benchmarks.</w:t>
      </w:r>
    </w:p>
    <w:p>
      <w:pPr>
        <w:pStyle w:val="BodyText"/>
        <w:spacing w:after="0"/>
        <w:sectPr>
          <w:pgSz w:w="12240" w:h="15840"/>
          <w:pgMar w:top="960" w:right="0" w:bottom="940" w:left="1080" w:header="727" w:footer="747"/>
          <w:cols w:space="720"/>
        </w:sectPr>
      </w:pPr>
    </w:p>
    <w:p>
      <w:pPr>
        <w:pStyle w:val="BodyText"/>
        <w:spacing w:before="225"/>
        <w:ind w:left="0"/>
        <w:rPr>
          <w:sz w:val="21"/>
        </w:rPr>
      </w:pPr>
    </w:p>
    <w:p>
      <w:pPr>
        <w:spacing w:before="0"/>
        <w:ind w:left="504" w:right="0" w:firstLine="0"/>
        <w:jc w:val="left"/>
        <w:rPr>
          <w:rFonts w:ascii="Arial" w:hAnsi="Arial"/>
          <w:b/>
          <w:sz w:val="21"/>
        </w:rPr>
      </w:pPr>
      <w:bookmarkStart w:id="286" w:name="Line 1 – MA Rebate"/>
      <w:bookmarkEnd w:id="286"/>
      <w:r>
        <w:rPr>
          <w:rFonts w:ascii="Arial" w:hAnsi="Arial"/>
          <w:b/>
          <w:sz w:val="21"/>
        </w:rPr>
        <w:t>Line</w:t>
      </w:r>
      <w:r>
        <w:rPr>
          <w:rFonts w:ascii="Arial" w:hAnsi="Arial"/>
          <w:b/>
          <w:spacing w:val="-3"/>
          <w:sz w:val="21"/>
        </w:rPr>
        <w:t xml:space="preserve"> </w:t>
      </w:r>
      <w:r>
        <w:rPr>
          <w:rFonts w:ascii="Arial" w:hAnsi="Arial"/>
          <w:b/>
          <w:sz w:val="21"/>
        </w:rPr>
        <w:t>1</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MA</w:t>
      </w:r>
      <w:r>
        <w:rPr>
          <w:rFonts w:ascii="Arial" w:hAnsi="Arial"/>
          <w:b/>
          <w:spacing w:val="-1"/>
          <w:sz w:val="21"/>
        </w:rPr>
        <w:t xml:space="preserve"> </w:t>
      </w:r>
      <w:r>
        <w:rPr>
          <w:rFonts w:ascii="Arial" w:hAnsi="Arial"/>
          <w:b/>
          <w:spacing w:val="-2"/>
          <w:sz w:val="21"/>
        </w:rPr>
        <w:t>Rebate</w:t>
      </w:r>
    </w:p>
    <w:p>
      <w:pPr>
        <w:pStyle w:val="BodyText"/>
        <w:spacing w:before="120"/>
      </w:pPr>
      <w:r>
        <w:t>This</w:t>
      </w:r>
      <w:r>
        <w:rPr>
          <w:spacing w:val="-3"/>
        </w:rPr>
        <w:t xml:space="preserve"> </w:t>
      </w:r>
      <w:r>
        <w:t>amount</w:t>
      </w:r>
      <w:r>
        <w:rPr>
          <w:spacing w:val="-1"/>
        </w:rPr>
        <w:t xml:space="preserve"> </w:t>
      </w:r>
      <w:r>
        <w:t>is</w:t>
      </w:r>
      <w:r>
        <w:rPr>
          <w:spacing w:val="-2"/>
        </w:rPr>
        <w:t xml:space="preserve"> </w:t>
      </w:r>
      <w:r>
        <w:t>obtained</w:t>
      </w:r>
      <w:r>
        <w:rPr>
          <w:spacing w:val="-2"/>
        </w:rPr>
        <w:t xml:space="preserve"> </w:t>
      </w:r>
      <w:r>
        <w:t>from</w:t>
      </w:r>
      <w:r>
        <w:rPr>
          <w:spacing w:val="-1"/>
        </w:rPr>
        <w:t xml:space="preserve"> </w:t>
      </w:r>
      <w:r>
        <w:t>Worksheet</w:t>
      </w:r>
      <w:r>
        <w:rPr>
          <w:spacing w:val="-1"/>
        </w:rPr>
        <w:t xml:space="preserve"> </w:t>
      </w:r>
      <w:r>
        <w:rPr>
          <w:spacing w:val="-5"/>
        </w:rPr>
        <w:t>5.</w:t>
      </w:r>
    </w:p>
    <w:p>
      <w:pPr>
        <w:pStyle w:val="BodyText"/>
        <w:spacing w:before="121"/>
        <w:ind w:right="1443"/>
      </w:pPr>
      <w:r>
        <w:t>The</w:t>
      </w:r>
      <w:r>
        <w:rPr>
          <w:spacing w:val="-5"/>
        </w:rPr>
        <w:t xml:space="preserve"> </w:t>
      </w:r>
      <w:r>
        <w:t>BPT</w:t>
      </w:r>
      <w:r>
        <w:rPr>
          <w:spacing w:val="-3"/>
        </w:rPr>
        <w:t xml:space="preserve"> </w:t>
      </w:r>
      <w:r>
        <w:t>will</w:t>
      </w:r>
      <w:r>
        <w:rPr>
          <w:spacing w:val="-3"/>
        </w:rPr>
        <w:t xml:space="preserve"> </w:t>
      </w:r>
      <w:r>
        <w:t>not</w:t>
      </w:r>
      <w:r>
        <w:rPr>
          <w:spacing w:val="-3"/>
        </w:rPr>
        <w:t xml:space="preserve"> </w:t>
      </w:r>
      <w:r>
        <w:t>finalize</w:t>
      </w:r>
      <w:r>
        <w:rPr>
          <w:spacing w:val="-4"/>
        </w:rPr>
        <w:t xml:space="preserve"> </w:t>
      </w:r>
      <w:r>
        <w:t>if</w:t>
      </w:r>
      <w:r>
        <w:rPr>
          <w:spacing w:val="-3"/>
        </w:rPr>
        <w:t xml:space="preserve"> </w:t>
      </w:r>
      <w:r>
        <w:t>there</w:t>
      </w:r>
      <w:r>
        <w:rPr>
          <w:spacing w:val="-5"/>
        </w:rPr>
        <w:t xml:space="preserve"> </w:t>
      </w:r>
      <w:r>
        <w:t>are</w:t>
      </w:r>
      <w:r>
        <w:rPr>
          <w:spacing w:val="-5"/>
        </w:rPr>
        <w:t xml:space="preserve"> </w:t>
      </w:r>
      <w:r>
        <w:t>any</w:t>
      </w:r>
      <w:r>
        <w:rPr>
          <w:spacing w:val="-3"/>
        </w:rPr>
        <w:t xml:space="preserve"> </w:t>
      </w:r>
      <w:r>
        <w:t>invalid</w:t>
      </w:r>
      <w:r>
        <w:rPr>
          <w:spacing w:val="-3"/>
        </w:rPr>
        <w:t xml:space="preserve"> </w:t>
      </w:r>
      <w:r>
        <w:t>values</w:t>
      </w:r>
      <w:r>
        <w:rPr>
          <w:spacing w:val="-1"/>
        </w:rPr>
        <w:t xml:space="preserve"> </w:t>
      </w:r>
      <w:r>
        <w:t>(such</w:t>
      </w:r>
      <w:r>
        <w:rPr>
          <w:spacing w:val="-3"/>
        </w:rPr>
        <w:t xml:space="preserve"> </w:t>
      </w:r>
      <w:r>
        <w:t>as</w:t>
      </w:r>
      <w:r>
        <w:rPr>
          <w:spacing w:val="-1"/>
        </w:rPr>
        <w:t xml:space="preserve"> </w:t>
      </w:r>
      <w:r>
        <w:t>“#N/A”,</w:t>
      </w:r>
      <w:r>
        <w:rPr>
          <w:spacing w:val="-1"/>
        </w:rPr>
        <w:t xml:space="preserve"> </w:t>
      </w:r>
      <w:r>
        <w:t>“#DIV/0!”,</w:t>
      </w:r>
      <w:r>
        <w:rPr>
          <w:spacing w:val="-1"/>
        </w:rPr>
        <w:t xml:space="preserve"> </w:t>
      </w:r>
      <w:r>
        <w:t>“#REF!”, “#NAME?”, etc.) in this field.</w:t>
      </w:r>
    </w:p>
    <w:p>
      <w:pPr>
        <w:spacing w:before="240"/>
        <w:ind w:left="504" w:right="0" w:firstLine="0"/>
        <w:jc w:val="left"/>
        <w:rPr>
          <w:rFonts w:ascii="Arial" w:hAnsi="Arial"/>
          <w:b/>
          <w:sz w:val="21"/>
        </w:rPr>
      </w:pPr>
      <w:bookmarkStart w:id="287" w:name="Lines 2 through 6 – Rebate Allocations b"/>
      <w:bookmarkEnd w:id="287"/>
      <w:r>
        <w:rPr>
          <w:rFonts w:ascii="Arial" w:hAnsi="Arial"/>
          <w:b/>
          <w:sz w:val="21"/>
        </w:rPr>
        <w:t>Lines</w:t>
      </w:r>
      <w:r>
        <w:rPr>
          <w:rFonts w:ascii="Arial" w:hAnsi="Arial"/>
          <w:b/>
          <w:spacing w:val="-5"/>
          <w:sz w:val="21"/>
        </w:rPr>
        <w:t xml:space="preserve"> </w:t>
      </w:r>
      <w:r>
        <w:rPr>
          <w:rFonts w:ascii="Arial" w:hAnsi="Arial"/>
          <w:b/>
          <w:sz w:val="21"/>
        </w:rPr>
        <w:t>2</w:t>
      </w:r>
      <w:r>
        <w:rPr>
          <w:rFonts w:ascii="Arial" w:hAnsi="Arial"/>
          <w:b/>
          <w:spacing w:val="-5"/>
          <w:sz w:val="21"/>
        </w:rPr>
        <w:t xml:space="preserve"> </w:t>
      </w:r>
      <w:r>
        <w:rPr>
          <w:rFonts w:ascii="Arial" w:hAnsi="Arial"/>
          <w:b/>
          <w:sz w:val="21"/>
        </w:rPr>
        <w:t>through</w:t>
      </w:r>
      <w:r>
        <w:rPr>
          <w:rFonts w:ascii="Arial" w:hAnsi="Arial"/>
          <w:b/>
          <w:spacing w:val="-4"/>
          <w:sz w:val="21"/>
        </w:rPr>
        <w:t xml:space="preserve"> </w:t>
      </w:r>
      <w:r>
        <w:rPr>
          <w:rFonts w:ascii="Arial" w:hAnsi="Arial"/>
          <w:b/>
          <w:sz w:val="21"/>
        </w:rPr>
        <w:t>6</w:t>
      </w:r>
      <w:r>
        <w:rPr>
          <w:rFonts w:ascii="Arial" w:hAnsi="Arial"/>
          <w:b/>
          <w:spacing w:val="-6"/>
          <w:sz w:val="21"/>
        </w:rPr>
        <w:t xml:space="preserve"> </w:t>
      </w:r>
      <w:r>
        <w:rPr>
          <w:rFonts w:ascii="Arial" w:hAnsi="Arial"/>
          <w:b/>
          <w:sz w:val="21"/>
        </w:rPr>
        <w:t>–</w:t>
      </w:r>
      <w:r>
        <w:rPr>
          <w:rFonts w:ascii="Arial" w:hAnsi="Arial"/>
          <w:b/>
          <w:spacing w:val="-4"/>
          <w:sz w:val="21"/>
        </w:rPr>
        <w:t xml:space="preserve"> </w:t>
      </w:r>
      <w:r>
        <w:rPr>
          <w:rFonts w:ascii="Arial" w:hAnsi="Arial"/>
          <w:b/>
          <w:sz w:val="21"/>
        </w:rPr>
        <w:t>Rebate</w:t>
      </w:r>
      <w:r>
        <w:rPr>
          <w:rFonts w:ascii="Arial" w:hAnsi="Arial"/>
          <w:b/>
          <w:spacing w:val="-6"/>
          <w:sz w:val="21"/>
        </w:rPr>
        <w:t xml:space="preserve"> </w:t>
      </w:r>
      <w:r>
        <w:rPr>
          <w:rFonts w:ascii="Arial" w:hAnsi="Arial"/>
          <w:b/>
          <w:sz w:val="21"/>
        </w:rPr>
        <w:t>Allocations</w:t>
      </w:r>
      <w:r>
        <w:rPr>
          <w:rFonts w:ascii="Arial" w:hAnsi="Arial"/>
          <w:b/>
          <w:spacing w:val="-5"/>
          <w:sz w:val="21"/>
        </w:rPr>
        <w:t xml:space="preserve"> </w:t>
      </w:r>
      <w:r>
        <w:rPr>
          <w:rFonts w:ascii="Arial" w:hAnsi="Arial"/>
          <w:b/>
          <w:sz w:val="21"/>
        </w:rPr>
        <w:t>by</w:t>
      </w:r>
      <w:r>
        <w:rPr>
          <w:rFonts w:ascii="Arial" w:hAnsi="Arial"/>
          <w:b/>
          <w:spacing w:val="-6"/>
          <w:sz w:val="21"/>
        </w:rPr>
        <w:t xml:space="preserve"> </w:t>
      </w:r>
      <w:r>
        <w:rPr>
          <w:rFonts w:ascii="Arial" w:hAnsi="Arial"/>
          <w:b/>
          <w:spacing w:val="-2"/>
          <w:sz w:val="21"/>
        </w:rPr>
        <w:t>Category</w:t>
      </w:r>
    </w:p>
    <w:p>
      <w:pPr>
        <w:pStyle w:val="BodyText"/>
        <w:spacing w:before="118"/>
        <w:ind w:right="1481"/>
      </w:pPr>
      <w:r>
        <w:t>The</w:t>
      </w:r>
      <w:r>
        <w:rPr>
          <w:spacing w:val="-4"/>
        </w:rPr>
        <w:t xml:space="preserve"> </w:t>
      </w:r>
      <w:r>
        <w:t>fourth</w:t>
      </w:r>
      <w:r>
        <w:rPr>
          <w:spacing w:val="-2"/>
        </w:rPr>
        <w:t xml:space="preserve"> </w:t>
      </w:r>
      <w:r>
        <w:t>column</w:t>
      </w:r>
      <w:r>
        <w:rPr>
          <w:spacing w:val="-2"/>
        </w:rPr>
        <w:t xml:space="preserve"> </w:t>
      </w:r>
      <w:r>
        <w:t>displays</w:t>
      </w:r>
      <w:r>
        <w:rPr>
          <w:spacing w:val="-3"/>
        </w:rPr>
        <w:t xml:space="preserve"> </w:t>
      </w:r>
      <w:r>
        <w:t>the</w:t>
      </w:r>
      <w:r>
        <w:rPr>
          <w:spacing w:val="-2"/>
        </w:rPr>
        <w:t xml:space="preserve"> </w:t>
      </w:r>
      <w:r>
        <w:t>portion</w:t>
      </w:r>
      <w:r>
        <w:rPr>
          <w:spacing w:val="-2"/>
        </w:rPr>
        <w:t xml:space="preserve"> </w:t>
      </w:r>
      <w:r>
        <w:t>of</w:t>
      </w:r>
      <w:r>
        <w:rPr>
          <w:spacing w:val="-2"/>
        </w:rPr>
        <w:t xml:space="preserve"> </w:t>
      </w:r>
      <w:r>
        <w:t>the</w:t>
      </w:r>
      <w:r>
        <w:rPr>
          <w:spacing w:val="-3"/>
        </w:rPr>
        <w:t xml:space="preserve"> </w:t>
      </w:r>
      <w:r>
        <w:t>total</w:t>
      </w:r>
      <w:r>
        <w:rPr>
          <w:spacing w:val="-2"/>
        </w:rPr>
        <w:t xml:space="preserve"> </w:t>
      </w:r>
      <w:r>
        <w:t>MA</w:t>
      </w:r>
      <w:r>
        <w:rPr>
          <w:spacing w:val="-3"/>
        </w:rPr>
        <w:t xml:space="preserve"> </w:t>
      </w:r>
      <w:r>
        <w:t>rebate</w:t>
      </w:r>
      <w:r>
        <w:rPr>
          <w:spacing w:val="-2"/>
        </w:rPr>
        <w:t xml:space="preserve"> </w:t>
      </w:r>
      <w:r>
        <w:t>that</w:t>
      </w:r>
      <w:r>
        <w:rPr>
          <w:spacing w:val="-2"/>
        </w:rPr>
        <w:t xml:space="preserve"> </w:t>
      </w:r>
      <w:r>
        <w:t>is</w:t>
      </w:r>
      <w:r>
        <w:rPr>
          <w:spacing w:val="-3"/>
        </w:rPr>
        <w:t xml:space="preserve"> </w:t>
      </w:r>
      <w:r>
        <w:t>allocated</w:t>
      </w:r>
      <w:r>
        <w:rPr>
          <w:spacing w:val="-2"/>
        </w:rPr>
        <w:t xml:space="preserve"> </w:t>
      </w:r>
      <w:r>
        <w:t>to</w:t>
      </w:r>
      <w:r>
        <w:rPr>
          <w:spacing w:val="-2"/>
        </w:rPr>
        <w:t xml:space="preserve"> </w:t>
      </w:r>
      <w:r>
        <w:t>each</w:t>
      </w:r>
      <w:r>
        <w:rPr>
          <w:spacing w:val="-2"/>
        </w:rPr>
        <w:t xml:space="preserve"> </w:t>
      </w:r>
      <w:r>
        <w:t>of</w:t>
      </w:r>
      <w:r>
        <w:rPr>
          <w:spacing w:val="-2"/>
        </w:rPr>
        <w:t xml:space="preserve"> </w:t>
      </w:r>
      <w:r>
        <w:t>the rebate options. Note that the rebate allocations are entered in separate sections of this worksheet,</w:t>
      </w:r>
      <w:r>
        <w:rPr>
          <w:spacing w:val="-2"/>
        </w:rPr>
        <w:t xml:space="preserve"> </w:t>
      </w:r>
      <w:r>
        <w:t>to</w:t>
      </w:r>
      <w:r>
        <w:rPr>
          <w:spacing w:val="-2"/>
        </w:rPr>
        <w:t xml:space="preserve"> </w:t>
      </w:r>
      <w:r>
        <w:t>ensure</w:t>
      </w:r>
      <w:r>
        <w:rPr>
          <w:spacing w:val="-3"/>
        </w:rPr>
        <w:t xml:space="preserve"> </w:t>
      </w:r>
      <w:r>
        <w:t>that the</w:t>
      </w:r>
      <w:r>
        <w:rPr>
          <w:spacing w:val="-2"/>
        </w:rPr>
        <w:t xml:space="preserve"> </w:t>
      </w:r>
      <w:r>
        <w:t>rebate</w:t>
      </w:r>
      <w:r>
        <w:rPr>
          <w:spacing w:val="-1"/>
        </w:rPr>
        <w:t xml:space="preserve"> </w:t>
      </w:r>
      <w:r>
        <w:t>allocations</w:t>
      </w:r>
      <w:r>
        <w:rPr>
          <w:spacing w:val="-3"/>
        </w:rPr>
        <w:t xml:space="preserve"> </w:t>
      </w:r>
      <w:r>
        <w:t>are</w:t>
      </w:r>
      <w:r>
        <w:rPr>
          <w:spacing w:val="-1"/>
        </w:rPr>
        <w:t xml:space="preserve"> </w:t>
      </w:r>
      <w:r>
        <w:t>rounded</w:t>
      </w:r>
      <w:r>
        <w:rPr>
          <w:spacing w:val="-2"/>
        </w:rPr>
        <w:t xml:space="preserve"> </w:t>
      </w:r>
      <w:r>
        <w:t>to</w:t>
      </w:r>
      <w:r>
        <w:rPr>
          <w:spacing w:val="-2"/>
        </w:rPr>
        <w:t xml:space="preserve"> </w:t>
      </w:r>
      <w:r>
        <w:t>comply</w:t>
      </w:r>
      <w:r>
        <w:rPr>
          <w:spacing w:val="-2"/>
        </w:rPr>
        <w:t xml:space="preserve"> </w:t>
      </w:r>
      <w:r>
        <w:t>with</w:t>
      </w:r>
      <w:r>
        <w:rPr>
          <w:spacing w:val="-2"/>
        </w:rPr>
        <w:t xml:space="preserve"> </w:t>
      </w:r>
      <w:r>
        <w:t>withhold</w:t>
      </w:r>
      <w:r>
        <w:rPr>
          <w:spacing w:val="-2"/>
        </w:rPr>
        <w:t xml:space="preserve"> </w:t>
      </w:r>
      <w:r>
        <w:t xml:space="preserve">system </w:t>
      </w:r>
      <w:r>
        <w:rPr>
          <w:spacing w:val="-2"/>
        </w:rPr>
        <w:t>requirements.</w:t>
      </w:r>
    </w:p>
    <w:p>
      <w:pPr>
        <w:pStyle w:val="BodyText"/>
        <w:spacing w:before="120"/>
        <w:ind w:right="1481"/>
      </w:pPr>
      <w:r>
        <w:t>The first three columns distribute the allocated rebate among medical expenses, non-benefit expenses,</w:t>
      </w:r>
      <w:r>
        <w:rPr>
          <w:spacing w:val="-3"/>
        </w:rPr>
        <w:t xml:space="preserve"> </w:t>
      </w:r>
      <w:r>
        <w:t>and</w:t>
      </w:r>
      <w:r>
        <w:rPr>
          <w:spacing w:val="-3"/>
        </w:rPr>
        <w:t xml:space="preserve"> </w:t>
      </w:r>
      <w:r>
        <w:t>gain/loss</w:t>
      </w:r>
      <w:r>
        <w:rPr>
          <w:spacing w:val="-2"/>
        </w:rPr>
        <w:t xml:space="preserve"> </w:t>
      </w:r>
      <w:r>
        <w:t>margin</w:t>
      </w:r>
      <w:r>
        <w:rPr>
          <w:spacing w:val="-3"/>
        </w:rPr>
        <w:t xml:space="preserve"> </w:t>
      </w:r>
      <w:r>
        <w:t>in</w:t>
      </w:r>
      <w:r>
        <w:rPr>
          <w:spacing w:val="-3"/>
        </w:rPr>
        <w:t xml:space="preserve"> </w:t>
      </w:r>
      <w:r>
        <w:t>the</w:t>
      </w:r>
      <w:r>
        <w:rPr>
          <w:spacing w:val="-4"/>
        </w:rPr>
        <w:t xml:space="preserve"> </w:t>
      </w:r>
      <w:r>
        <w:t>same</w:t>
      </w:r>
      <w:r>
        <w:rPr>
          <w:spacing w:val="-3"/>
        </w:rPr>
        <w:t xml:space="preserve"> </w:t>
      </w:r>
      <w:r>
        <w:t>proportion</w:t>
      </w:r>
      <w:r>
        <w:rPr>
          <w:spacing w:val="-2"/>
        </w:rPr>
        <w:t xml:space="preserve"> </w:t>
      </w:r>
      <w:r>
        <w:t>that</w:t>
      </w:r>
      <w:r>
        <w:rPr>
          <w:spacing w:val="-3"/>
        </w:rPr>
        <w:t xml:space="preserve"> </w:t>
      </w:r>
      <w:r>
        <w:t>was</w:t>
      </w:r>
      <w:r>
        <w:rPr>
          <w:spacing w:val="-3"/>
        </w:rPr>
        <w:t xml:space="preserve"> </w:t>
      </w:r>
      <w:r>
        <w:t>used</w:t>
      </w:r>
      <w:r>
        <w:rPr>
          <w:spacing w:val="-3"/>
        </w:rPr>
        <w:t xml:space="preserve"> </w:t>
      </w:r>
      <w:r>
        <w:t>in</w:t>
      </w:r>
      <w:r>
        <w:rPr>
          <w:spacing w:val="-3"/>
        </w:rPr>
        <w:t xml:space="preserve"> </w:t>
      </w:r>
      <w:r>
        <w:t>Worksheet</w:t>
      </w:r>
      <w:r>
        <w:rPr>
          <w:spacing w:val="-2"/>
        </w:rPr>
        <w:t xml:space="preserve"> </w:t>
      </w:r>
      <w:r>
        <w:t>4.</w:t>
      </w:r>
      <w:r>
        <w:rPr>
          <w:spacing w:val="-3"/>
        </w:rPr>
        <w:t xml:space="preserve"> </w:t>
      </w:r>
      <w:r>
        <w:t>The</w:t>
      </w:r>
      <w:r>
        <w:rPr>
          <w:spacing w:val="-2"/>
        </w:rPr>
        <w:t xml:space="preserve"> </w:t>
      </w:r>
      <w:r>
        <w:t>fifth column contains the maximum value that applies to each rebate category. See the “Rebate Allocations” pricing consideration for more information on rebate allocation.</w:t>
      </w:r>
    </w:p>
    <w:p>
      <w:pPr>
        <w:pStyle w:val="BodyText"/>
        <w:spacing w:before="121"/>
        <w:ind w:right="1443"/>
      </w:pPr>
      <w:r>
        <w:t>The</w:t>
      </w:r>
      <w:r>
        <w:rPr>
          <w:spacing w:val="-5"/>
        </w:rPr>
        <w:t xml:space="preserve"> </w:t>
      </w:r>
      <w:r>
        <w:t>BPT</w:t>
      </w:r>
      <w:r>
        <w:rPr>
          <w:spacing w:val="-3"/>
        </w:rPr>
        <w:t xml:space="preserve"> </w:t>
      </w:r>
      <w:r>
        <w:t>will</w:t>
      </w:r>
      <w:r>
        <w:rPr>
          <w:spacing w:val="-3"/>
        </w:rPr>
        <w:t xml:space="preserve"> </w:t>
      </w:r>
      <w:r>
        <w:t>not</w:t>
      </w:r>
      <w:r>
        <w:rPr>
          <w:spacing w:val="-3"/>
        </w:rPr>
        <w:t xml:space="preserve"> </w:t>
      </w:r>
      <w:r>
        <w:t>finalize</w:t>
      </w:r>
      <w:r>
        <w:rPr>
          <w:spacing w:val="-4"/>
        </w:rPr>
        <w:t xml:space="preserve"> </w:t>
      </w:r>
      <w:r>
        <w:t>if</w:t>
      </w:r>
      <w:r>
        <w:rPr>
          <w:spacing w:val="-3"/>
        </w:rPr>
        <w:t xml:space="preserve"> </w:t>
      </w:r>
      <w:r>
        <w:t>there</w:t>
      </w:r>
      <w:r>
        <w:rPr>
          <w:spacing w:val="-5"/>
        </w:rPr>
        <w:t xml:space="preserve"> </w:t>
      </w:r>
      <w:r>
        <w:t>are</w:t>
      </w:r>
      <w:r>
        <w:rPr>
          <w:spacing w:val="-5"/>
        </w:rPr>
        <w:t xml:space="preserve"> </w:t>
      </w:r>
      <w:r>
        <w:t>any</w:t>
      </w:r>
      <w:r>
        <w:rPr>
          <w:spacing w:val="-3"/>
        </w:rPr>
        <w:t xml:space="preserve"> </w:t>
      </w:r>
      <w:r>
        <w:t>invalid</w:t>
      </w:r>
      <w:r>
        <w:rPr>
          <w:spacing w:val="-3"/>
        </w:rPr>
        <w:t xml:space="preserve"> </w:t>
      </w:r>
      <w:r>
        <w:t>values</w:t>
      </w:r>
      <w:r>
        <w:rPr>
          <w:spacing w:val="-1"/>
        </w:rPr>
        <w:t xml:space="preserve"> </w:t>
      </w:r>
      <w:r>
        <w:t>(such</w:t>
      </w:r>
      <w:r>
        <w:rPr>
          <w:spacing w:val="-3"/>
        </w:rPr>
        <w:t xml:space="preserve"> </w:t>
      </w:r>
      <w:r>
        <w:t>as</w:t>
      </w:r>
      <w:r>
        <w:rPr>
          <w:spacing w:val="-1"/>
        </w:rPr>
        <w:t xml:space="preserve"> </w:t>
      </w:r>
      <w:r>
        <w:t>“#N/A”,</w:t>
      </w:r>
      <w:r>
        <w:rPr>
          <w:spacing w:val="-1"/>
        </w:rPr>
        <w:t xml:space="preserve"> </w:t>
      </w:r>
      <w:r>
        <w:t>“#DIV/0!”,</w:t>
      </w:r>
      <w:r>
        <w:rPr>
          <w:spacing w:val="-1"/>
        </w:rPr>
        <w:t xml:space="preserve"> </w:t>
      </w:r>
      <w:r>
        <w:t>“#REF!”, “#NAME?”, etc.) in these fields.</w:t>
      </w:r>
    </w:p>
    <w:p>
      <w:pPr>
        <w:spacing w:before="241"/>
        <w:ind w:left="504" w:right="0" w:firstLine="0"/>
        <w:jc w:val="left"/>
        <w:rPr>
          <w:rFonts w:ascii="Arial" w:hAnsi="Arial"/>
          <w:b/>
          <w:sz w:val="21"/>
        </w:rPr>
      </w:pPr>
      <w:bookmarkStart w:id="288" w:name="Line 7 – Total Rebate Allocated"/>
      <w:bookmarkEnd w:id="288"/>
      <w:r>
        <w:rPr>
          <w:rFonts w:ascii="Arial" w:hAnsi="Arial"/>
          <w:b/>
          <w:sz w:val="21"/>
        </w:rPr>
        <w:t>Line</w:t>
      </w:r>
      <w:r>
        <w:rPr>
          <w:rFonts w:ascii="Arial" w:hAnsi="Arial"/>
          <w:b/>
          <w:spacing w:val="-4"/>
          <w:sz w:val="21"/>
        </w:rPr>
        <w:t xml:space="preserve"> </w:t>
      </w:r>
      <w:r>
        <w:rPr>
          <w:rFonts w:ascii="Arial" w:hAnsi="Arial"/>
          <w:b/>
          <w:sz w:val="21"/>
        </w:rPr>
        <w:t>7</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3"/>
          <w:sz w:val="21"/>
        </w:rPr>
        <w:t xml:space="preserve"> </w:t>
      </w:r>
      <w:r>
        <w:rPr>
          <w:rFonts w:ascii="Arial" w:hAnsi="Arial"/>
          <w:b/>
          <w:sz w:val="21"/>
        </w:rPr>
        <w:t>Rebate</w:t>
      </w:r>
      <w:r>
        <w:rPr>
          <w:rFonts w:ascii="Arial" w:hAnsi="Arial"/>
          <w:b/>
          <w:spacing w:val="-4"/>
          <w:sz w:val="21"/>
        </w:rPr>
        <w:t xml:space="preserve"> </w:t>
      </w:r>
      <w:r>
        <w:rPr>
          <w:rFonts w:ascii="Arial" w:hAnsi="Arial"/>
          <w:b/>
          <w:spacing w:val="-2"/>
          <w:sz w:val="21"/>
        </w:rPr>
        <w:t>Allocated</w:t>
      </w:r>
    </w:p>
    <w:p>
      <w:pPr>
        <w:pStyle w:val="BodyText"/>
        <w:spacing w:before="120"/>
      </w:pPr>
      <w:r>
        <w:t>The</w:t>
      </w:r>
      <w:r>
        <w:rPr>
          <w:spacing w:val="-3"/>
        </w:rPr>
        <w:t xml:space="preserve"> </w:t>
      </w:r>
      <w:r>
        <w:t>sum</w:t>
      </w:r>
      <w:r>
        <w:rPr>
          <w:spacing w:val="-1"/>
        </w:rPr>
        <w:t xml:space="preserve"> </w:t>
      </w:r>
      <w:r>
        <w:t>of lines</w:t>
      </w:r>
      <w:r>
        <w:rPr>
          <w:spacing w:val="-2"/>
        </w:rPr>
        <w:t xml:space="preserve"> </w:t>
      </w:r>
      <w:r>
        <w:t>2 through</w:t>
      </w:r>
      <w:r>
        <w:rPr>
          <w:spacing w:val="-1"/>
        </w:rPr>
        <w:t xml:space="preserve"> </w:t>
      </w:r>
      <w:r>
        <w:t>6. This</w:t>
      </w:r>
      <w:r>
        <w:rPr>
          <w:spacing w:val="-2"/>
        </w:rPr>
        <w:t xml:space="preserve"> </w:t>
      </w:r>
      <w:r>
        <w:t>amount must equal the</w:t>
      </w:r>
      <w:r>
        <w:rPr>
          <w:spacing w:val="-2"/>
        </w:rPr>
        <w:t xml:space="preserve"> </w:t>
      </w:r>
      <w:r>
        <w:t>amount in</w:t>
      </w:r>
      <w:r>
        <w:rPr>
          <w:spacing w:val="-1"/>
        </w:rPr>
        <w:t xml:space="preserve"> </w:t>
      </w:r>
      <w:r>
        <w:t xml:space="preserve">line </w:t>
      </w:r>
      <w:r>
        <w:rPr>
          <w:spacing w:val="-5"/>
        </w:rPr>
        <w:t>1.</w:t>
      </w:r>
    </w:p>
    <w:p>
      <w:pPr>
        <w:pStyle w:val="BodyText"/>
        <w:spacing w:before="120"/>
        <w:ind w:right="1481"/>
      </w:pPr>
      <w:r>
        <w:t>If there are any “unallocated” rebates shown, including pennies, these amounts must be distributed</w:t>
      </w:r>
      <w:r>
        <w:rPr>
          <w:spacing w:val="-3"/>
        </w:rPr>
        <w:t xml:space="preserve"> </w:t>
      </w:r>
      <w:r>
        <w:t>among</w:t>
      </w:r>
      <w:r>
        <w:rPr>
          <w:spacing w:val="-3"/>
        </w:rPr>
        <w:t xml:space="preserve"> </w:t>
      </w:r>
      <w:r>
        <w:t>the</w:t>
      </w:r>
      <w:r>
        <w:rPr>
          <w:spacing w:val="-4"/>
        </w:rPr>
        <w:t xml:space="preserve"> </w:t>
      </w:r>
      <w:r>
        <w:t>categories</w:t>
      </w:r>
      <w:r>
        <w:rPr>
          <w:spacing w:val="-4"/>
        </w:rPr>
        <w:t xml:space="preserve"> </w:t>
      </w:r>
      <w:r>
        <w:t>available.</w:t>
      </w:r>
      <w:r>
        <w:rPr>
          <w:spacing w:val="-3"/>
        </w:rPr>
        <w:t xml:space="preserve"> </w:t>
      </w:r>
      <w:r>
        <w:t>The</w:t>
      </w:r>
      <w:r>
        <w:rPr>
          <w:spacing w:val="-4"/>
        </w:rPr>
        <w:t xml:space="preserve"> </w:t>
      </w:r>
      <w:r>
        <w:t>BPT</w:t>
      </w:r>
      <w:r>
        <w:rPr>
          <w:spacing w:val="-3"/>
        </w:rPr>
        <w:t xml:space="preserve"> </w:t>
      </w:r>
      <w:r>
        <w:t>will</w:t>
      </w:r>
      <w:r>
        <w:rPr>
          <w:spacing w:val="-3"/>
        </w:rPr>
        <w:t xml:space="preserve"> </w:t>
      </w:r>
      <w:r>
        <w:t>not</w:t>
      </w:r>
      <w:r>
        <w:rPr>
          <w:spacing w:val="-3"/>
        </w:rPr>
        <w:t xml:space="preserve"> </w:t>
      </w:r>
      <w:r>
        <w:t>finalize</w:t>
      </w:r>
      <w:r>
        <w:rPr>
          <w:spacing w:val="-4"/>
        </w:rPr>
        <w:t xml:space="preserve"> </w:t>
      </w:r>
      <w:r>
        <w:t>if</w:t>
      </w:r>
      <w:r>
        <w:rPr>
          <w:spacing w:val="-3"/>
        </w:rPr>
        <w:t xml:space="preserve"> </w:t>
      </w:r>
      <w:r>
        <w:t>there</w:t>
      </w:r>
      <w:r>
        <w:rPr>
          <w:spacing w:val="-5"/>
        </w:rPr>
        <w:t xml:space="preserve"> </w:t>
      </w:r>
      <w:r>
        <w:t>are</w:t>
      </w:r>
      <w:r>
        <w:rPr>
          <w:spacing w:val="-4"/>
        </w:rPr>
        <w:t xml:space="preserve"> </w:t>
      </w:r>
      <w:r>
        <w:t>any</w:t>
      </w:r>
      <w:r>
        <w:rPr>
          <w:spacing w:val="-3"/>
        </w:rPr>
        <w:t xml:space="preserve"> </w:t>
      </w:r>
      <w:r>
        <w:t>invalid values (such as “#N/A”, “#DIV/0!”, “#REF!”, “#NAME?”, etc.) in this field.</w:t>
      </w:r>
    </w:p>
    <w:p>
      <w:pPr>
        <w:spacing w:before="2" w:line="480" w:lineRule="atLeast"/>
        <w:ind w:left="504" w:right="4328" w:firstLine="0"/>
        <w:jc w:val="left"/>
        <w:rPr>
          <w:rFonts w:ascii="Arial" w:hAnsi="Arial"/>
          <w:b/>
          <w:sz w:val="21"/>
        </w:rPr>
      </w:pPr>
      <w:bookmarkStart w:id="289" w:name="SUBSECTION C – Development of Estimated "/>
      <w:bookmarkEnd w:id="289"/>
      <w:r>
        <w:rPr>
          <w:rFonts w:ascii="Arial" w:hAnsi="Arial"/>
          <w:b/>
          <w:sz w:val="21"/>
        </w:rPr>
        <w:t xml:space="preserve">SUBSECTION C – Development of Estimated Plan Premium </w:t>
      </w:r>
      <w:bookmarkStart w:id="290" w:name="Line 1 – A/B Mandatory Supplemental Reve"/>
      <w:bookmarkEnd w:id="290"/>
      <w:r>
        <w:rPr>
          <w:rFonts w:ascii="Arial" w:hAnsi="Arial"/>
          <w:b/>
          <w:sz w:val="21"/>
        </w:rPr>
        <w:t>Lin</w:t>
      </w:r>
      <w:r>
        <w:rPr>
          <w:rFonts w:ascii="Arial" w:hAnsi="Arial"/>
          <w:b/>
          <w:sz w:val="21"/>
        </w:rPr>
        <w:t>e</w:t>
      </w:r>
      <w:r>
        <w:rPr>
          <w:rFonts w:ascii="Arial" w:hAnsi="Arial"/>
          <w:b/>
          <w:spacing w:val="-5"/>
          <w:sz w:val="21"/>
        </w:rPr>
        <w:t xml:space="preserve"> </w:t>
      </w:r>
      <w:r>
        <w:rPr>
          <w:rFonts w:ascii="Arial" w:hAnsi="Arial"/>
          <w:b/>
          <w:sz w:val="21"/>
        </w:rPr>
        <w:t>1</w:t>
      </w:r>
      <w:r>
        <w:rPr>
          <w:rFonts w:ascii="Arial" w:hAnsi="Arial"/>
          <w:b/>
          <w:spacing w:val="-5"/>
          <w:sz w:val="21"/>
        </w:rPr>
        <w:t xml:space="preserve"> </w:t>
      </w:r>
      <w:r>
        <w:rPr>
          <w:rFonts w:ascii="Arial" w:hAnsi="Arial"/>
          <w:b/>
          <w:sz w:val="21"/>
        </w:rPr>
        <w:t>–</w:t>
      </w:r>
      <w:r>
        <w:rPr>
          <w:rFonts w:ascii="Arial" w:hAnsi="Arial"/>
          <w:b/>
          <w:spacing w:val="-7"/>
          <w:sz w:val="21"/>
        </w:rPr>
        <w:t xml:space="preserve"> </w:t>
      </w:r>
      <w:r>
        <w:rPr>
          <w:rFonts w:ascii="Arial" w:hAnsi="Arial"/>
          <w:b/>
          <w:sz w:val="21"/>
        </w:rPr>
        <w:t>A/B</w:t>
      </w:r>
      <w:r>
        <w:rPr>
          <w:rFonts w:ascii="Arial" w:hAnsi="Arial"/>
          <w:b/>
          <w:spacing w:val="-4"/>
          <w:sz w:val="21"/>
        </w:rPr>
        <w:t xml:space="preserve"> </w:t>
      </w:r>
      <w:r>
        <w:rPr>
          <w:rFonts w:ascii="Arial" w:hAnsi="Arial"/>
          <w:b/>
          <w:sz w:val="21"/>
        </w:rPr>
        <w:t>Mandatory</w:t>
      </w:r>
      <w:r>
        <w:rPr>
          <w:rFonts w:ascii="Arial" w:hAnsi="Arial"/>
          <w:b/>
          <w:spacing w:val="-8"/>
          <w:sz w:val="21"/>
        </w:rPr>
        <w:t xml:space="preserve"> </w:t>
      </w:r>
      <w:r>
        <w:rPr>
          <w:rFonts w:ascii="Arial" w:hAnsi="Arial"/>
          <w:b/>
          <w:sz w:val="21"/>
        </w:rPr>
        <w:t>Supplemental</w:t>
      </w:r>
      <w:r>
        <w:rPr>
          <w:rFonts w:ascii="Arial" w:hAnsi="Arial"/>
          <w:b/>
          <w:spacing w:val="-6"/>
          <w:sz w:val="21"/>
        </w:rPr>
        <w:t xml:space="preserve"> </w:t>
      </w:r>
      <w:r>
        <w:rPr>
          <w:rFonts w:ascii="Arial" w:hAnsi="Arial"/>
          <w:b/>
          <w:sz w:val="21"/>
        </w:rPr>
        <w:t>Revenue</w:t>
      </w:r>
      <w:r>
        <w:rPr>
          <w:rFonts w:ascii="Arial" w:hAnsi="Arial"/>
          <w:b/>
          <w:spacing w:val="-7"/>
          <w:sz w:val="21"/>
        </w:rPr>
        <w:t xml:space="preserve"> </w:t>
      </w:r>
      <w:r>
        <w:rPr>
          <w:rFonts w:ascii="Arial" w:hAnsi="Arial"/>
          <w:b/>
          <w:sz w:val="21"/>
        </w:rPr>
        <w:t>Requirements</w:t>
      </w:r>
    </w:p>
    <w:p>
      <w:pPr>
        <w:pStyle w:val="BodyText"/>
        <w:spacing w:before="121"/>
      </w:pPr>
      <w:r>
        <w:t>This</w:t>
      </w:r>
      <w:r>
        <w:rPr>
          <w:spacing w:val="-3"/>
        </w:rPr>
        <w:t xml:space="preserve"> </w:t>
      </w:r>
      <w:r>
        <w:t>amount</w:t>
      </w:r>
      <w:r>
        <w:rPr>
          <w:spacing w:val="-1"/>
        </w:rPr>
        <w:t xml:space="preserve"> </w:t>
      </w:r>
      <w:r>
        <w:t>is</w:t>
      </w:r>
      <w:r>
        <w:rPr>
          <w:spacing w:val="-2"/>
        </w:rPr>
        <w:t xml:space="preserve"> </w:t>
      </w:r>
      <w:r>
        <w:t>obtained</w:t>
      </w:r>
      <w:r>
        <w:rPr>
          <w:spacing w:val="-2"/>
        </w:rPr>
        <w:t xml:space="preserve"> </w:t>
      </w:r>
      <w:r>
        <w:t>from</w:t>
      </w:r>
      <w:r>
        <w:rPr>
          <w:spacing w:val="-1"/>
        </w:rPr>
        <w:t xml:space="preserve"> </w:t>
      </w:r>
      <w:r>
        <w:t>Section</w:t>
      </w:r>
      <w:r>
        <w:rPr>
          <w:spacing w:val="-1"/>
        </w:rPr>
        <w:t xml:space="preserve"> </w:t>
      </w:r>
      <w:r>
        <w:rPr>
          <w:spacing w:val="-4"/>
        </w:rPr>
        <w:t>IIIA.</w:t>
      </w:r>
    </w:p>
    <w:p>
      <w:pPr>
        <w:spacing w:before="240"/>
        <w:ind w:left="504" w:right="0" w:firstLine="0"/>
        <w:jc w:val="left"/>
        <w:rPr>
          <w:rFonts w:ascii="Arial" w:hAnsi="Arial"/>
          <w:b/>
          <w:sz w:val="21"/>
        </w:rPr>
      </w:pPr>
      <w:bookmarkStart w:id="291" w:name="Line 2 – Less Rebate Allocations"/>
      <w:bookmarkEnd w:id="291"/>
      <w:r>
        <w:rPr>
          <w:rFonts w:ascii="Arial" w:hAnsi="Arial"/>
          <w:b/>
          <w:sz w:val="21"/>
        </w:rPr>
        <w:t>Line</w:t>
      </w:r>
      <w:r>
        <w:rPr>
          <w:rFonts w:ascii="Arial" w:hAnsi="Arial"/>
          <w:b/>
          <w:spacing w:val="-4"/>
          <w:sz w:val="21"/>
        </w:rPr>
        <w:t xml:space="preserve"> </w:t>
      </w:r>
      <w:r>
        <w:rPr>
          <w:rFonts w:ascii="Arial" w:hAnsi="Arial"/>
          <w:b/>
          <w:sz w:val="21"/>
        </w:rPr>
        <w:t>2</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Less</w:t>
      </w:r>
      <w:r>
        <w:rPr>
          <w:rFonts w:ascii="Arial" w:hAnsi="Arial"/>
          <w:b/>
          <w:spacing w:val="-5"/>
          <w:sz w:val="21"/>
        </w:rPr>
        <w:t xml:space="preserve"> </w:t>
      </w:r>
      <w:r>
        <w:rPr>
          <w:rFonts w:ascii="Arial" w:hAnsi="Arial"/>
          <w:b/>
          <w:sz w:val="21"/>
        </w:rPr>
        <w:t>Rebate</w:t>
      </w:r>
      <w:r>
        <w:rPr>
          <w:rFonts w:ascii="Arial" w:hAnsi="Arial"/>
          <w:b/>
          <w:spacing w:val="-6"/>
          <w:sz w:val="21"/>
        </w:rPr>
        <w:t xml:space="preserve"> </w:t>
      </w:r>
      <w:r>
        <w:rPr>
          <w:rFonts w:ascii="Arial" w:hAnsi="Arial"/>
          <w:b/>
          <w:spacing w:val="-2"/>
          <w:sz w:val="21"/>
        </w:rPr>
        <w:t>Allocations</w:t>
      </w:r>
    </w:p>
    <w:p>
      <w:pPr>
        <w:pStyle w:val="BodyText"/>
        <w:spacing w:before="121"/>
      </w:pPr>
      <w:r>
        <w:t>These</w:t>
      </w:r>
      <w:r>
        <w:rPr>
          <w:spacing w:val="-2"/>
        </w:rPr>
        <w:t xml:space="preserve"> </w:t>
      </w:r>
      <w:r>
        <w:t>amounts</w:t>
      </w:r>
      <w:r>
        <w:rPr>
          <w:spacing w:val="-2"/>
        </w:rPr>
        <w:t xml:space="preserve"> </w:t>
      </w:r>
      <w:r>
        <w:t>are</w:t>
      </w:r>
      <w:r>
        <w:rPr>
          <w:spacing w:val="-2"/>
        </w:rPr>
        <w:t xml:space="preserve"> </w:t>
      </w:r>
      <w:r>
        <w:t>obtained</w:t>
      </w:r>
      <w:r>
        <w:rPr>
          <w:spacing w:val="-1"/>
        </w:rPr>
        <w:t xml:space="preserve"> </w:t>
      </w:r>
      <w:r>
        <w:t>from Section</w:t>
      </w:r>
      <w:r>
        <w:rPr>
          <w:spacing w:val="1"/>
        </w:rPr>
        <w:t xml:space="preserve"> </w:t>
      </w:r>
      <w:r>
        <w:t>IIIB,</w:t>
      </w:r>
      <w:r>
        <w:rPr>
          <w:spacing w:val="-1"/>
        </w:rPr>
        <w:t xml:space="preserve"> </w:t>
      </w:r>
      <w:r>
        <w:t>lines</w:t>
      </w:r>
      <w:r>
        <w:rPr>
          <w:spacing w:val="-2"/>
        </w:rPr>
        <w:t xml:space="preserve"> </w:t>
      </w:r>
      <w:r>
        <w:t>2</w:t>
      </w:r>
      <w:r>
        <w:rPr>
          <w:spacing w:val="-1"/>
        </w:rPr>
        <w:t xml:space="preserve"> </w:t>
      </w:r>
      <w:r>
        <w:t xml:space="preserve">and </w:t>
      </w:r>
      <w:r>
        <w:rPr>
          <w:spacing w:val="-5"/>
        </w:rPr>
        <w:t>3.</w:t>
      </w:r>
    </w:p>
    <w:p>
      <w:pPr>
        <w:spacing w:before="240"/>
        <w:ind w:left="504" w:right="0" w:firstLine="0"/>
        <w:jc w:val="left"/>
        <w:rPr>
          <w:rFonts w:ascii="Arial" w:hAnsi="Arial"/>
          <w:b/>
          <w:sz w:val="21"/>
        </w:rPr>
      </w:pPr>
      <w:bookmarkStart w:id="292" w:name="Line 3 – A/B Mandatory Supplemental Prem"/>
      <w:bookmarkEnd w:id="292"/>
      <w:r>
        <w:rPr>
          <w:rFonts w:ascii="Arial" w:hAnsi="Arial"/>
          <w:b/>
          <w:sz w:val="21"/>
        </w:rPr>
        <w:t>Line</w:t>
      </w:r>
      <w:r>
        <w:rPr>
          <w:rFonts w:ascii="Arial" w:hAnsi="Arial"/>
          <w:b/>
          <w:spacing w:val="-6"/>
          <w:sz w:val="21"/>
        </w:rPr>
        <w:t xml:space="preserve"> </w:t>
      </w:r>
      <w:r>
        <w:rPr>
          <w:rFonts w:ascii="Arial" w:hAnsi="Arial"/>
          <w:b/>
          <w:sz w:val="21"/>
        </w:rPr>
        <w:t>3</w:t>
      </w:r>
      <w:r>
        <w:rPr>
          <w:rFonts w:ascii="Arial" w:hAnsi="Arial"/>
          <w:b/>
          <w:spacing w:val="-6"/>
          <w:sz w:val="21"/>
        </w:rPr>
        <w:t xml:space="preserve"> </w:t>
      </w:r>
      <w:r>
        <w:rPr>
          <w:rFonts w:ascii="Arial" w:hAnsi="Arial"/>
          <w:b/>
          <w:sz w:val="21"/>
        </w:rPr>
        <w:t>–</w:t>
      </w:r>
      <w:r>
        <w:rPr>
          <w:rFonts w:ascii="Arial" w:hAnsi="Arial"/>
          <w:b/>
          <w:spacing w:val="-7"/>
          <w:sz w:val="21"/>
        </w:rPr>
        <w:t xml:space="preserve"> </w:t>
      </w:r>
      <w:r>
        <w:rPr>
          <w:rFonts w:ascii="Arial" w:hAnsi="Arial"/>
          <w:b/>
          <w:sz w:val="21"/>
        </w:rPr>
        <w:t>A/B</w:t>
      </w:r>
      <w:r>
        <w:rPr>
          <w:rFonts w:ascii="Arial" w:hAnsi="Arial"/>
          <w:b/>
          <w:spacing w:val="-5"/>
          <w:sz w:val="21"/>
        </w:rPr>
        <w:t xml:space="preserve"> </w:t>
      </w:r>
      <w:r>
        <w:rPr>
          <w:rFonts w:ascii="Arial" w:hAnsi="Arial"/>
          <w:b/>
          <w:sz w:val="21"/>
        </w:rPr>
        <w:t>Mandatory</w:t>
      </w:r>
      <w:r>
        <w:rPr>
          <w:rFonts w:ascii="Arial" w:hAnsi="Arial"/>
          <w:b/>
          <w:spacing w:val="-8"/>
          <w:sz w:val="21"/>
        </w:rPr>
        <w:t xml:space="preserve"> </w:t>
      </w:r>
      <w:r>
        <w:rPr>
          <w:rFonts w:ascii="Arial" w:hAnsi="Arial"/>
          <w:b/>
          <w:sz w:val="21"/>
        </w:rPr>
        <w:t>Supplemental</w:t>
      </w:r>
      <w:r>
        <w:rPr>
          <w:rFonts w:ascii="Arial" w:hAnsi="Arial"/>
          <w:b/>
          <w:spacing w:val="-6"/>
          <w:sz w:val="21"/>
        </w:rPr>
        <w:t xml:space="preserve"> </w:t>
      </w:r>
      <w:r>
        <w:rPr>
          <w:rFonts w:ascii="Arial" w:hAnsi="Arial"/>
          <w:b/>
          <w:spacing w:val="-2"/>
          <w:sz w:val="21"/>
        </w:rPr>
        <w:t>Premium</w:t>
      </w:r>
    </w:p>
    <w:p>
      <w:pPr>
        <w:pStyle w:val="BodyText"/>
        <w:spacing w:before="118"/>
      </w:pPr>
      <w:r>
        <w:t>The</w:t>
      </w:r>
      <w:r>
        <w:rPr>
          <w:spacing w:val="-3"/>
        </w:rPr>
        <w:t xml:space="preserve"> </w:t>
      </w:r>
      <w:r>
        <w:t>sum of lines</w:t>
      </w:r>
      <w:r>
        <w:rPr>
          <w:spacing w:val="-2"/>
        </w:rPr>
        <w:t xml:space="preserve"> </w:t>
      </w:r>
      <w:r>
        <w:t xml:space="preserve">1 and </w:t>
      </w:r>
      <w:r>
        <w:rPr>
          <w:spacing w:val="-5"/>
        </w:rPr>
        <w:t>2.</w:t>
      </w:r>
    </w:p>
    <w:p>
      <w:pPr>
        <w:spacing w:before="242"/>
        <w:ind w:left="504" w:right="0" w:firstLine="0"/>
        <w:jc w:val="left"/>
        <w:rPr>
          <w:rFonts w:ascii="Arial" w:hAnsi="Arial"/>
          <w:b/>
          <w:sz w:val="21"/>
        </w:rPr>
      </w:pPr>
      <w:bookmarkStart w:id="293" w:name="Line 4 – Basic MA Premium"/>
      <w:bookmarkEnd w:id="293"/>
      <w:r>
        <w:rPr>
          <w:rFonts w:ascii="Arial" w:hAnsi="Arial"/>
          <w:b/>
          <w:sz w:val="21"/>
        </w:rPr>
        <w:t>Line</w:t>
      </w:r>
      <w:r>
        <w:rPr>
          <w:rFonts w:ascii="Arial" w:hAnsi="Arial"/>
          <w:b/>
          <w:spacing w:val="-3"/>
          <w:sz w:val="21"/>
        </w:rPr>
        <w:t xml:space="preserve"> </w:t>
      </w:r>
      <w:r>
        <w:rPr>
          <w:rFonts w:ascii="Arial" w:hAnsi="Arial"/>
          <w:b/>
          <w:sz w:val="21"/>
        </w:rPr>
        <w:t>4</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Basic</w:t>
      </w:r>
      <w:r>
        <w:rPr>
          <w:rFonts w:ascii="Arial" w:hAnsi="Arial"/>
          <w:b/>
          <w:spacing w:val="-3"/>
          <w:sz w:val="21"/>
        </w:rPr>
        <w:t xml:space="preserve"> </w:t>
      </w:r>
      <w:r>
        <w:rPr>
          <w:rFonts w:ascii="Arial" w:hAnsi="Arial"/>
          <w:b/>
          <w:sz w:val="21"/>
        </w:rPr>
        <w:t>MA</w:t>
      </w:r>
      <w:r>
        <w:rPr>
          <w:rFonts w:ascii="Arial" w:hAnsi="Arial"/>
          <w:b/>
          <w:spacing w:val="-1"/>
          <w:sz w:val="21"/>
        </w:rPr>
        <w:t xml:space="preserve"> </w:t>
      </w:r>
      <w:r>
        <w:rPr>
          <w:rFonts w:ascii="Arial" w:hAnsi="Arial"/>
          <w:b/>
          <w:spacing w:val="-2"/>
          <w:sz w:val="21"/>
        </w:rPr>
        <w:t>Premium</w:t>
      </w:r>
    </w:p>
    <w:p>
      <w:pPr>
        <w:pStyle w:val="BodyText"/>
        <w:spacing w:before="120"/>
      </w:pPr>
      <w:r>
        <w:t>This</w:t>
      </w:r>
      <w:r>
        <w:rPr>
          <w:spacing w:val="-3"/>
        </w:rPr>
        <w:t xml:space="preserve"> </w:t>
      </w:r>
      <w:r>
        <w:t>amount</w:t>
      </w:r>
      <w:r>
        <w:rPr>
          <w:spacing w:val="-1"/>
        </w:rPr>
        <w:t xml:space="preserve"> </w:t>
      </w:r>
      <w:r>
        <w:t>is</w:t>
      </w:r>
      <w:r>
        <w:rPr>
          <w:spacing w:val="-2"/>
        </w:rPr>
        <w:t xml:space="preserve"> </w:t>
      </w:r>
      <w:r>
        <w:t>obtained</w:t>
      </w:r>
      <w:r>
        <w:rPr>
          <w:spacing w:val="-2"/>
        </w:rPr>
        <w:t xml:space="preserve"> </w:t>
      </w:r>
      <w:r>
        <w:t>from</w:t>
      </w:r>
      <w:r>
        <w:rPr>
          <w:spacing w:val="-1"/>
        </w:rPr>
        <w:t xml:space="preserve"> </w:t>
      </w:r>
      <w:r>
        <w:t>Worksheet</w:t>
      </w:r>
      <w:r>
        <w:rPr>
          <w:spacing w:val="-1"/>
        </w:rPr>
        <w:t xml:space="preserve"> </w:t>
      </w:r>
      <w:r>
        <w:rPr>
          <w:spacing w:val="-5"/>
        </w:rPr>
        <w:t>5.</w:t>
      </w:r>
    </w:p>
    <w:p>
      <w:pPr>
        <w:spacing w:before="240"/>
        <w:ind w:left="504" w:right="0" w:firstLine="0"/>
        <w:jc w:val="left"/>
        <w:rPr>
          <w:rFonts w:ascii="Arial" w:hAnsi="Arial"/>
          <w:b/>
          <w:sz w:val="21"/>
        </w:rPr>
      </w:pPr>
      <w:bookmarkStart w:id="294" w:name="Line 5 – Total MA Premium (excluding Opt"/>
      <w:bookmarkEnd w:id="294"/>
      <w:r>
        <w:rPr>
          <w:rFonts w:ascii="Arial" w:hAnsi="Arial"/>
          <w:b/>
          <w:sz w:val="21"/>
        </w:rPr>
        <w:t>Line</w:t>
      </w:r>
      <w:r>
        <w:rPr>
          <w:rFonts w:ascii="Arial" w:hAnsi="Arial"/>
          <w:b/>
          <w:spacing w:val="-7"/>
          <w:sz w:val="21"/>
        </w:rPr>
        <w:t xml:space="preserve"> </w:t>
      </w:r>
      <w:r>
        <w:rPr>
          <w:rFonts w:ascii="Arial" w:hAnsi="Arial"/>
          <w:b/>
          <w:sz w:val="21"/>
        </w:rPr>
        <w:t>5</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Total</w:t>
      </w:r>
      <w:r>
        <w:rPr>
          <w:rFonts w:ascii="Arial" w:hAnsi="Arial"/>
          <w:b/>
          <w:spacing w:val="-5"/>
          <w:sz w:val="21"/>
        </w:rPr>
        <w:t xml:space="preserve"> </w:t>
      </w:r>
      <w:r>
        <w:rPr>
          <w:rFonts w:ascii="Arial" w:hAnsi="Arial"/>
          <w:b/>
          <w:sz w:val="21"/>
        </w:rPr>
        <w:t>MA</w:t>
      </w:r>
      <w:r>
        <w:rPr>
          <w:rFonts w:ascii="Arial" w:hAnsi="Arial"/>
          <w:b/>
          <w:spacing w:val="-7"/>
          <w:sz w:val="21"/>
        </w:rPr>
        <w:t xml:space="preserve"> </w:t>
      </w:r>
      <w:r>
        <w:rPr>
          <w:rFonts w:ascii="Arial" w:hAnsi="Arial"/>
          <w:b/>
          <w:sz w:val="21"/>
        </w:rPr>
        <w:t>Premium</w:t>
      </w:r>
      <w:r>
        <w:rPr>
          <w:rFonts w:ascii="Arial" w:hAnsi="Arial"/>
          <w:b/>
          <w:spacing w:val="-4"/>
          <w:sz w:val="21"/>
        </w:rPr>
        <w:t xml:space="preserve"> </w:t>
      </w:r>
      <w:r>
        <w:rPr>
          <w:rFonts w:ascii="Arial" w:hAnsi="Arial"/>
          <w:b/>
          <w:sz w:val="21"/>
        </w:rPr>
        <w:t>(excluding</w:t>
      </w:r>
      <w:r>
        <w:rPr>
          <w:rFonts w:ascii="Arial" w:hAnsi="Arial"/>
          <w:b/>
          <w:spacing w:val="-4"/>
          <w:sz w:val="21"/>
        </w:rPr>
        <w:t xml:space="preserve"> </w:t>
      </w:r>
      <w:r>
        <w:rPr>
          <w:rFonts w:ascii="Arial" w:hAnsi="Arial"/>
          <w:b/>
          <w:sz w:val="21"/>
        </w:rPr>
        <w:t>Optional</w:t>
      </w:r>
      <w:r>
        <w:rPr>
          <w:rFonts w:ascii="Arial" w:hAnsi="Arial"/>
          <w:b/>
          <w:spacing w:val="-5"/>
          <w:sz w:val="21"/>
        </w:rPr>
        <w:t xml:space="preserve"> </w:t>
      </w:r>
      <w:r>
        <w:rPr>
          <w:rFonts w:ascii="Arial" w:hAnsi="Arial"/>
          <w:b/>
          <w:spacing w:val="-2"/>
          <w:sz w:val="21"/>
        </w:rPr>
        <w:t>Supplemental)</w:t>
      </w:r>
    </w:p>
    <w:p>
      <w:pPr>
        <w:pStyle w:val="BodyText"/>
        <w:spacing w:before="118"/>
      </w:pPr>
      <w:r>
        <w:t>The</w:t>
      </w:r>
      <w:r>
        <w:rPr>
          <w:spacing w:val="-3"/>
        </w:rPr>
        <w:t xml:space="preserve"> </w:t>
      </w:r>
      <w:r>
        <w:t>sum of lines</w:t>
      </w:r>
      <w:r>
        <w:rPr>
          <w:spacing w:val="-2"/>
        </w:rPr>
        <w:t xml:space="preserve"> </w:t>
      </w:r>
      <w:r>
        <w:t xml:space="preserve">3 and </w:t>
      </w:r>
      <w:r>
        <w:rPr>
          <w:spacing w:val="-5"/>
        </w:rPr>
        <w:t>4.</w:t>
      </w:r>
    </w:p>
    <w:p>
      <w:pPr>
        <w:spacing w:before="241"/>
        <w:ind w:left="504" w:right="0" w:firstLine="0"/>
        <w:jc w:val="left"/>
        <w:rPr>
          <w:rFonts w:ascii="Arial" w:hAnsi="Arial"/>
          <w:b/>
          <w:sz w:val="21"/>
        </w:rPr>
      </w:pPr>
      <w:bookmarkStart w:id="295" w:name="Line 6 – Rounded MA Premium (excluding O"/>
      <w:bookmarkEnd w:id="295"/>
      <w:r>
        <w:rPr>
          <w:rFonts w:ascii="Arial" w:hAnsi="Arial"/>
          <w:b/>
          <w:sz w:val="21"/>
        </w:rPr>
        <w:t>Line</w:t>
      </w:r>
      <w:r>
        <w:rPr>
          <w:rFonts w:ascii="Arial" w:hAnsi="Arial"/>
          <w:b/>
          <w:spacing w:val="-8"/>
          <w:sz w:val="21"/>
        </w:rPr>
        <w:t xml:space="preserve"> </w:t>
      </w:r>
      <w:r>
        <w:rPr>
          <w:rFonts w:ascii="Arial" w:hAnsi="Arial"/>
          <w:b/>
          <w:sz w:val="21"/>
        </w:rPr>
        <w:t>6</w:t>
      </w:r>
      <w:r>
        <w:rPr>
          <w:rFonts w:ascii="Arial" w:hAnsi="Arial"/>
          <w:b/>
          <w:spacing w:val="-5"/>
          <w:sz w:val="21"/>
        </w:rPr>
        <w:t xml:space="preserve"> </w:t>
      </w:r>
      <w:r>
        <w:rPr>
          <w:rFonts w:ascii="Arial" w:hAnsi="Arial"/>
          <w:b/>
          <w:sz w:val="21"/>
        </w:rPr>
        <w:t>–</w:t>
      </w:r>
      <w:r>
        <w:rPr>
          <w:rFonts w:ascii="Arial" w:hAnsi="Arial"/>
          <w:b/>
          <w:spacing w:val="-7"/>
          <w:sz w:val="21"/>
        </w:rPr>
        <w:t xml:space="preserve"> </w:t>
      </w:r>
      <w:r>
        <w:rPr>
          <w:rFonts w:ascii="Arial" w:hAnsi="Arial"/>
          <w:b/>
          <w:sz w:val="21"/>
        </w:rPr>
        <w:t>Rounded</w:t>
      </w:r>
      <w:r>
        <w:rPr>
          <w:rFonts w:ascii="Arial" w:hAnsi="Arial"/>
          <w:b/>
          <w:spacing w:val="-4"/>
          <w:sz w:val="21"/>
        </w:rPr>
        <w:t xml:space="preserve"> </w:t>
      </w:r>
      <w:r>
        <w:rPr>
          <w:rFonts w:ascii="Arial" w:hAnsi="Arial"/>
          <w:b/>
          <w:sz w:val="21"/>
        </w:rPr>
        <w:t>MA</w:t>
      </w:r>
      <w:r>
        <w:rPr>
          <w:rFonts w:ascii="Arial" w:hAnsi="Arial"/>
          <w:b/>
          <w:spacing w:val="-7"/>
          <w:sz w:val="21"/>
        </w:rPr>
        <w:t xml:space="preserve"> </w:t>
      </w:r>
      <w:r>
        <w:rPr>
          <w:rFonts w:ascii="Arial" w:hAnsi="Arial"/>
          <w:b/>
          <w:sz w:val="21"/>
        </w:rPr>
        <w:t>Premium</w:t>
      </w:r>
      <w:r>
        <w:rPr>
          <w:rFonts w:ascii="Arial" w:hAnsi="Arial"/>
          <w:b/>
          <w:spacing w:val="-5"/>
          <w:sz w:val="21"/>
        </w:rPr>
        <w:t xml:space="preserve"> </w:t>
      </w:r>
      <w:r>
        <w:rPr>
          <w:rFonts w:ascii="Arial" w:hAnsi="Arial"/>
          <w:b/>
          <w:sz w:val="21"/>
        </w:rPr>
        <w:t>(excluding</w:t>
      </w:r>
      <w:r>
        <w:rPr>
          <w:rFonts w:ascii="Arial" w:hAnsi="Arial"/>
          <w:b/>
          <w:spacing w:val="-4"/>
          <w:sz w:val="21"/>
        </w:rPr>
        <w:t xml:space="preserve"> </w:t>
      </w:r>
      <w:r>
        <w:rPr>
          <w:rFonts w:ascii="Arial" w:hAnsi="Arial"/>
          <w:b/>
          <w:sz w:val="21"/>
        </w:rPr>
        <w:t>Optional</w:t>
      </w:r>
      <w:r>
        <w:rPr>
          <w:rFonts w:ascii="Arial" w:hAnsi="Arial"/>
          <w:b/>
          <w:spacing w:val="-6"/>
          <w:sz w:val="21"/>
        </w:rPr>
        <w:t xml:space="preserve"> </w:t>
      </w:r>
      <w:r>
        <w:rPr>
          <w:rFonts w:ascii="Arial" w:hAnsi="Arial"/>
          <w:b/>
          <w:spacing w:val="-2"/>
          <w:sz w:val="21"/>
        </w:rPr>
        <w:t>Supplemental)</w:t>
      </w:r>
    </w:p>
    <w:p>
      <w:pPr>
        <w:pStyle w:val="BodyText"/>
        <w:spacing w:before="120"/>
        <w:ind w:right="1481"/>
      </w:pPr>
      <w:r>
        <w:t>The</w:t>
      </w:r>
      <w:r>
        <w:rPr>
          <w:spacing w:val="-5"/>
        </w:rPr>
        <w:t xml:space="preserve"> </w:t>
      </w:r>
      <w:r>
        <w:t>total</w:t>
      </w:r>
      <w:r>
        <w:rPr>
          <w:spacing w:val="-3"/>
        </w:rPr>
        <w:t xml:space="preserve"> </w:t>
      </w:r>
      <w:r>
        <w:t>MA</w:t>
      </w:r>
      <w:r>
        <w:rPr>
          <w:spacing w:val="-4"/>
        </w:rPr>
        <w:t xml:space="preserve"> </w:t>
      </w:r>
      <w:r>
        <w:t>premium</w:t>
      </w:r>
      <w:r>
        <w:rPr>
          <w:spacing w:val="-3"/>
        </w:rPr>
        <w:t xml:space="preserve"> </w:t>
      </w:r>
      <w:r>
        <w:t>from</w:t>
      </w:r>
      <w:r>
        <w:rPr>
          <w:spacing w:val="-3"/>
        </w:rPr>
        <w:t xml:space="preserve"> </w:t>
      </w:r>
      <w:r>
        <w:t>line</w:t>
      </w:r>
      <w:r>
        <w:rPr>
          <w:spacing w:val="-3"/>
        </w:rPr>
        <w:t xml:space="preserve"> </w:t>
      </w:r>
      <w:r>
        <w:t>5</w:t>
      </w:r>
      <w:r>
        <w:rPr>
          <w:spacing w:val="-3"/>
        </w:rPr>
        <w:t xml:space="preserve"> </w:t>
      </w:r>
      <w:r>
        <w:t>is</w:t>
      </w:r>
      <w:r>
        <w:rPr>
          <w:spacing w:val="-4"/>
        </w:rPr>
        <w:t xml:space="preserve"> </w:t>
      </w:r>
      <w:r>
        <w:t>rounded</w:t>
      </w:r>
      <w:r>
        <w:rPr>
          <w:spacing w:val="-3"/>
        </w:rPr>
        <w:t xml:space="preserve"> </w:t>
      </w:r>
      <w:r>
        <w:t>to</w:t>
      </w:r>
      <w:r>
        <w:rPr>
          <w:spacing w:val="-3"/>
        </w:rPr>
        <w:t xml:space="preserve"> </w:t>
      </w:r>
      <w:r>
        <w:t>one</w:t>
      </w:r>
      <w:r>
        <w:rPr>
          <w:spacing w:val="-3"/>
        </w:rPr>
        <w:t xml:space="preserve"> </w:t>
      </w:r>
      <w:r>
        <w:t>decimal</w:t>
      </w:r>
      <w:r>
        <w:rPr>
          <w:spacing w:val="-3"/>
        </w:rPr>
        <w:t xml:space="preserve"> </w:t>
      </w:r>
      <w:r>
        <w:t>(that</w:t>
      </w:r>
      <w:r>
        <w:rPr>
          <w:spacing w:val="-3"/>
        </w:rPr>
        <w:t xml:space="preserve"> </w:t>
      </w:r>
      <w:r>
        <w:t>is,</w:t>
      </w:r>
      <w:r>
        <w:rPr>
          <w:spacing w:val="-3"/>
        </w:rPr>
        <w:t xml:space="preserve"> </w:t>
      </w:r>
      <w:r>
        <w:t>the</w:t>
      </w:r>
      <w:r>
        <w:rPr>
          <w:spacing w:val="-3"/>
        </w:rPr>
        <w:t xml:space="preserve"> </w:t>
      </w:r>
      <w:r>
        <w:t>nearest</w:t>
      </w:r>
      <w:r>
        <w:rPr>
          <w:spacing w:val="-3"/>
        </w:rPr>
        <w:t xml:space="preserve"> </w:t>
      </w:r>
      <w:r>
        <w:t>dime)</w:t>
      </w:r>
      <w:r>
        <w:rPr>
          <w:spacing w:val="-5"/>
        </w:rPr>
        <w:t xml:space="preserve"> </w:t>
      </w:r>
      <w:r>
        <w:t>to comply with withhold system requirements. Value must be greater than or equal to zero.</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right="1443"/>
      </w:pPr>
      <w:r>
        <w:t>The</w:t>
      </w:r>
      <w:r>
        <w:rPr>
          <w:spacing w:val="-5"/>
        </w:rPr>
        <w:t xml:space="preserve"> </w:t>
      </w:r>
      <w:r>
        <w:t>BPT</w:t>
      </w:r>
      <w:r>
        <w:rPr>
          <w:spacing w:val="-3"/>
        </w:rPr>
        <w:t xml:space="preserve"> </w:t>
      </w:r>
      <w:r>
        <w:t>will</w:t>
      </w:r>
      <w:r>
        <w:rPr>
          <w:spacing w:val="-3"/>
        </w:rPr>
        <w:t xml:space="preserve"> </w:t>
      </w:r>
      <w:r>
        <w:t>not</w:t>
      </w:r>
      <w:r>
        <w:rPr>
          <w:spacing w:val="-3"/>
        </w:rPr>
        <w:t xml:space="preserve"> </w:t>
      </w:r>
      <w:r>
        <w:t>finalize</w:t>
      </w:r>
      <w:r>
        <w:rPr>
          <w:spacing w:val="-4"/>
        </w:rPr>
        <w:t xml:space="preserve"> </w:t>
      </w:r>
      <w:r>
        <w:t>if</w:t>
      </w:r>
      <w:r>
        <w:rPr>
          <w:spacing w:val="-3"/>
        </w:rPr>
        <w:t xml:space="preserve"> </w:t>
      </w:r>
      <w:r>
        <w:t>there</w:t>
      </w:r>
      <w:r>
        <w:rPr>
          <w:spacing w:val="-5"/>
        </w:rPr>
        <w:t xml:space="preserve"> </w:t>
      </w:r>
      <w:r>
        <w:t>are</w:t>
      </w:r>
      <w:r>
        <w:rPr>
          <w:spacing w:val="-5"/>
        </w:rPr>
        <w:t xml:space="preserve"> </w:t>
      </w:r>
      <w:r>
        <w:t>any</w:t>
      </w:r>
      <w:r>
        <w:rPr>
          <w:spacing w:val="-3"/>
        </w:rPr>
        <w:t xml:space="preserve"> </w:t>
      </w:r>
      <w:r>
        <w:t>invalid</w:t>
      </w:r>
      <w:r>
        <w:rPr>
          <w:spacing w:val="-3"/>
        </w:rPr>
        <w:t xml:space="preserve"> </w:t>
      </w:r>
      <w:r>
        <w:t>values</w:t>
      </w:r>
      <w:r>
        <w:rPr>
          <w:spacing w:val="-1"/>
        </w:rPr>
        <w:t xml:space="preserve"> </w:t>
      </w:r>
      <w:r>
        <w:t>(such</w:t>
      </w:r>
      <w:r>
        <w:rPr>
          <w:spacing w:val="-3"/>
        </w:rPr>
        <w:t xml:space="preserve"> </w:t>
      </w:r>
      <w:r>
        <w:t>as</w:t>
      </w:r>
      <w:r>
        <w:rPr>
          <w:spacing w:val="-1"/>
        </w:rPr>
        <w:t xml:space="preserve"> </w:t>
      </w:r>
      <w:r>
        <w:t>“#N/A”,</w:t>
      </w:r>
      <w:r>
        <w:rPr>
          <w:spacing w:val="-1"/>
        </w:rPr>
        <w:t xml:space="preserve"> </w:t>
      </w:r>
      <w:r>
        <w:t>“#DIV/0!”,</w:t>
      </w:r>
      <w:r>
        <w:rPr>
          <w:spacing w:val="-1"/>
        </w:rPr>
        <w:t xml:space="preserve"> </w:t>
      </w:r>
      <w:r>
        <w:t>“#REF!”, “#NAME?”, etc.) in this field.</w:t>
      </w:r>
    </w:p>
    <w:p>
      <w:pPr>
        <w:spacing w:before="241"/>
        <w:ind w:left="504" w:right="0" w:firstLine="0"/>
        <w:jc w:val="left"/>
        <w:rPr>
          <w:rFonts w:ascii="Arial" w:hAnsi="Arial"/>
          <w:b/>
          <w:sz w:val="21"/>
        </w:rPr>
      </w:pPr>
      <w:bookmarkStart w:id="296" w:name="Line 7 – Part D Basic Premium"/>
      <w:bookmarkEnd w:id="296"/>
      <w:r>
        <w:rPr>
          <w:rFonts w:ascii="Arial" w:hAnsi="Arial"/>
          <w:b/>
          <w:sz w:val="21"/>
        </w:rPr>
        <w:t>Line</w:t>
      </w:r>
      <w:r>
        <w:rPr>
          <w:rFonts w:ascii="Arial" w:hAnsi="Arial"/>
          <w:b/>
          <w:spacing w:val="-3"/>
          <w:sz w:val="21"/>
        </w:rPr>
        <w:t xml:space="preserve"> </w:t>
      </w:r>
      <w:r>
        <w:rPr>
          <w:rFonts w:ascii="Arial" w:hAnsi="Arial"/>
          <w:b/>
          <w:sz w:val="21"/>
        </w:rPr>
        <w:t>7</w:t>
      </w:r>
      <w:r>
        <w:rPr>
          <w:rFonts w:ascii="Arial" w:hAnsi="Arial"/>
          <w:b/>
          <w:spacing w:val="-2"/>
          <w:sz w:val="21"/>
        </w:rPr>
        <w:t xml:space="preserve"> </w:t>
      </w:r>
      <w:r>
        <w:rPr>
          <w:rFonts w:ascii="Arial" w:hAnsi="Arial"/>
          <w:b/>
          <w:sz w:val="21"/>
        </w:rPr>
        <w:t>–</w:t>
      </w:r>
      <w:r>
        <w:rPr>
          <w:rFonts w:ascii="Arial" w:hAnsi="Arial"/>
          <w:b/>
          <w:spacing w:val="-2"/>
          <w:sz w:val="21"/>
        </w:rPr>
        <w:t xml:space="preserve"> </w:t>
      </w:r>
      <w:r>
        <w:rPr>
          <w:rFonts w:ascii="Arial" w:hAnsi="Arial"/>
          <w:b/>
          <w:sz w:val="21"/>
        </w:rPr>
        <w:t>Part</w:t>
      </w:r>
      <w:r>
        <w:rPr>
          <w:rFonts w:ascii="Arial" w:hAnsi="Arial"/>
          <w:b/>
          <w:spacing w:val="-3"/>
          <w:sz w:val="21"/>
        </w:rPr>
        <w:t xml:space="preserve"> </w:t>
      </w:r>
      <w:r>
        <w:rPr>
          <w:rFonts w:ascii="Arial" w:hAnsi="Arial"/>
          <w:b/>
          <w:sz w:val="21"/>
        </w:rPr>
        <w:t>D</w:t>
      </w:r>
      <w:r>
        <w:rPr>
          <w:rFonts w:ascii="Arial" w:hAnsi="Arial"/>
          <w:b/>
          <w:spacing w:val="-4"/>
          <w:sz w:val="21"/>
        </w:rPr>
        <w:t xml:space="preserve"> </w:t>
      </w:r>
      <w:r>
        <w:rPr>
          <w:rFonts w:ascii="Arial" w:hAnsi="Arial"/>
          <w:b/>
          <w:sz w:val="21"/>
        </w:rPr>
        <w:t>Basic</w:t>
      </w:r>
      <w:r>
        <w:rPr>
          <w:rFonts w:ascii="Arial" w:hAnsi="Arial"/>
          <w:b/>
          <w:spacing w:val="-4"/>
          <w:sz w:val="21"/>
        </w:rPr>
        <w:t xml:space="preserve"> </w:t>
      </w:r>
      <w:r>
        <w:rPr>
          <w:rFonts w:ascii="Arial" w:hAnsi="Arial"/>
          <w:b/>
          <w:spacing w:val="-2"/>
          <w:sz w:val="21"/>
        </w:rPr>
        <w:t>Premium</w:t>
      </w:r>
    </w:p>
    <w:p>
      <w:pPr>
        <w:pStyle w:val="ListParagraph"/>
        <w:numPr>
          <w:ilvl w:val="0"/>
          <w:numId w:val="39"/>
        </w:numPr>
        <w:tabs>
          <w:tab w:val="left" w:pos="1223"/>
        </w:tabs>
        <w:spacing w:before="121" w:after="0" w:line="240" w:lineRule="auto"/>
        <w:ind w:left="1223" w:right="0" w:hanging="359"/>
        <w:jc w:val="left"/>
        <w:rPr>
          <w:rFonts w:ascii="Arial" w:hAnsi="Arial"/>
          <w:b/>
          <w:sz w:val="21"/>
        </w:rPr>
      </w:pPr>
      <w:r>
        <w:rPr>
          <w:rFonts w:ascii="Arial" w:hAnsi="Arial"/>
          <w:b/>
          <w:sz w:val="21"/>
        </w:rPr>
        <w:t>Line</w:t>
      </w:r>
      <w:r>
        <w:rPr>
          <w:rFonts w:ascii="Arial" w:hAnsi="Arial"/>
          <w:b/>
          <w:spacing w:val="-3"/>
          <w:sz w:val="21"/>
        </w:rPr>
        <w:t xml:space="preserve"> </w:t>
      </w:r>
      <w:r>
        <w:rPr>
          <w:rFonts w:ascii="Arial" w:hAnsi="Arial"/>
          <w:b/>
          <w:sz w:val="21"/>
        </w:rPr>
        <w:t>7a</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Prior</w:t>
      </w:r>
      <w:r>
        <w:rPr>
          <w:rFonts w:ascii="Arial" w:hAnsi="Arial"/>
          <w:b/>
          <w:spacing w:val="-3"/>
          <w:sz w:val="21"/>
        </w:rPr>
        <w:t xml:space="preserve"> </w:t>
      </w:r>
      <w:r>
        <w:rPr>
          <w:rFonts w:ascii="Arial" w:hAnsi="Arial"/>
          <w:b/>
          <w:sz w:val="21"/>
        </w:rPr>
        <w:t>to</w:t>
      </w:r>
      <w:r>
        <w:rPr>
          <w:rFonts w:ascii="Arial" w:hAnsi="Arial"/>
          <w:b/>
          <w:spacing w:val="-4"/>
          <w:sz w:val="21"/>
        </w:rPr>
        <w:t xml:space="preserve"> </w:t>
      </w:r>
      <w:r>
        <w:rPr>
          <w:rFonts w:ascii="Arial" w:hAnsi="Arial"/>
          <w:b/>
          <w:spacing w:val="-2"/>
          <w:sz w:val="21"/>
        </w:rPr>
        <w:t>Rebates</w:t>
      </w:r>
    </w:p>
    <w:p>
      <w:pPr>
        <w:pStyle w:val="BodyText"/>
        <w:spacing w:before="118"/>
        <w:ind w:left="1224" w:right="1524"/>
      </w:pPr>
      <w:r>
        <w:t>Enter the Part D basic premium prior to rebates after rounding (found on the separate Part D BPT). This amount must equal the amount on the Part D BPT (that is, the amount</w:t>
      </w:r>
      <w:r>
        <w:rPr>
          <w:spacing w:val="-3"/>
        </w:rPr>
        <w:t xml:space="preserve"> </w:t>
      </w:r>
      <w:r>
        <w:t>prior</w:t>
      </w:r>
      <w:r>
        <w:rPr>
          <w:spacing w:val="-4"/>
        </w:rPr>
        <w:t xml:space="preserve"> </w:t>
      </w:r>
      <w:r>
        <w:t>to</w:t>
      </w:r>
      <w:r>
        <w:rPr>
          <w:spacing w:val="-3"/>
        </w:rPr>
        <w:t xml:space="preserve"> </w:t>
      </w:r>
      <w:r>
        <w:t>application</w:t>
      </w:r>
      <w:r>
        <w:rPr>
          <w:spacing w:val="-3"/>
        </w:rPr>
        <w:t xml:space="preserve"> </w:t>
      </w:r>
      <w:r>
        <w:t>of</w:t>
      </w:r>
      <w:r>
        <w:rPr>
          <w:spacing w:val="-4"/>
        </w:rPr>
        <w:t xml:space="preserve"> </w:t>
      </w:r>
      <w:r>
        <w:t>any</w:t>
      </w:r>
      <w:r>
        <w:rPr>
          <w:spacing w:val="-3"/>
        </w:rPr>
        <w:t xml:space="preserve"> </w:t>
      </w:r>
      <w:r>
        <w:t>MA</w:t>
      </w:r>
      <w:r>
        <w:rPr>
          <w:spacing w:val="-4"/>
        </w:rPr>
        <w:t xml:space="preserve"> </w:t>
      </w:r>
      <w:r>
        <w:t>rebates).</w:t>
      </w:r>
      <w:r>
        <w:rPr>
          <w:spacing w:val="-1"/>
        </w:rPr>
        <w:t xml:space="preserve"> </w:t>
      </w:r>
      <w:r>
        <w:t>Note:</w:t>
      </w:r>
      <w:r>
        <w:rPr>
          <w:spacing w:val="-3"/>
        </w:rPr>
        <w:t xml:space="preserve"> </w:t>
      </w:r>
      <w:r>
        <w:t>The</w:t>
      </w:r>
      <w:r>
        <w:rPr>
          <w:spacing w:val="-5"/>
        </w:rPr>
        <w:t xml:space="preserve"> </w:t>
      </w:r>
      <w:r>
        <w:t>Part</w:t>
      </w:r>
      <w:r>
        <w:rPr>
          <w:spacing w:val="-3"/>
        </w:rPr>
        <w:t xml:space="preserve"> </w:t>
      </w:r>
      <w:r>
        <w:t>D</w:t>
      </w:r>
      <w:r>
        <w:rPr>
          <w:spacing w:val="-4"/>
        </w:rPr>
        <w:t xml:space="preserve"> </w:t>
      </w:r>
      <w:r>
        <w:t>basic</w:t>
      </w:r>
      <w:r>
        <w:rPr>
          <w:spacing w:val="-3"/>
        </w:rPr>
        <w:t xml:space="preserve"> </w:t>
      </w:r>
      <w:r>
        <w:t>premium</w:t>
      </w:r>
      <w:r>
        <w:rPr>
          <w:spacing w:val="-3"/>
        </w:rPr>
        <w:t xml:space="preserve"> </w:t>
      </w:r>
      <w:r>
        <w:t>prior to rebates must be entered in the MA BPT, even if no MA rebates are allocated to buy down the Part D basic premium. This field is not applicable to MA-only plans.</w:t>
      </w:r>
    </w:p>
    <w:p>
      <w:pPr>
        <w:pStyle w:val="ListParagraph"/>
        <w:numPr>
          <w:ilvl w:val="0"/>
          <w:numId w:val="39"/>
        </w:numPr>
        <w:tabs>
          <w:tab w:val="left" w:pos="1223"/>
        </w:tabs>
        <w:spacing w:before="120" w:after="0" w:line="240" w:lineRule="auto"/>
        <w:ind w:left="1223" w:right="0" w:hanging="359"/>
        <w:jc w:val="left"/>
        <w:rPr>
          <w:rFonts w:ascii="Arial" w:hAnsi="Arial"/>
          <w:b/>
          <w:sz w:val="21"/>
        </w:rPr>
      </w:pPr>
      <w:r>
        <w:rPr>
          <w:rFonts w:ascii="Arial" w:hAnsi="Arial"/>
          <w:b/>
          <w:sz w:val="21"/>
        </w:rPr>
        <w:t>Lines</w:t>
      </w:r>
      <w:r>
        <w:rPr>
          <w:rFonts w:ascii="Arial" w:hAnsi="Arial"/>
          <w:b/>
          <w:spacing w:val="-4"/>
          <w:sz w:val="21"/>
        </w:rPr>
        <w:t xml:space="preserve"> </w:t>
      </w:r>
      <w:r>
        <w:rPr>
          <w:rFonts w:ascii="Arial" w:hAnsi="Arial"/>
          <w:b/>
          <w:sz w:val="21"/>
        </w:rPr>
        <w:t>7b</w:t>
      </w:r>
      <w:r>
        <w:rPr>
          <w:rFonts w:ascii="Arial" w:hAnsi="Arial"/>
          <w:b/>
          <w:spacing w:val="-4"/>
          <w:sz w:val="21"/>
        </w:rPr>
        <w:t xml:space="preserve"> </w:t>
      </w:r>
      <w:r>
        <w:rPr>
          <w:rFonts w:ascii="Arial" w:hAnsi="Arial"/>
          <w:b/>
          <w:sz w:val="21"/>
        </w:rPr>
        <w:t>and</w:t>
      </w:r>
      <w:r>
        <w:rPr>
          <w:rFonts w:ascii="Arial" w:hAnsi="Arial"/>
          <w:b/>
          <w:spacing w:val="-3"/>
          <w:sz w:val="21"/>
        </w:rPr>
        <w:t xml:space="preserve"> </w:t>
      </w:r>
      <w:r>
        <w:rPr>
          <w:rFonts w:ascii="Arial" w:hAnsi="Arial"/>
          <w:b/>
          <w:sz w:val="21"/>
        </w:rPr>
        <w:t>7c</w:t>
      </w:r>
      <w:r>
        <w:rPr>
          <w:rFonts w:ascii="Arial" w:hAnsi="Arial"/>
          <w:b/>
          <w:spacing w:val="-5"/>
          <w:sz w:val="21"/>
        </w:rPr>
        <w:t xml:space="preserve"> </w:t>
      </w:r>
      <w:r>
        <w:rPr>
          <w:rFonts w:ascii="Arial" w:hAnsi="Arial"/>
          <w:b/>
          <w:sz w:val="21"/>
        </w:rPr>
        <w:t>–</w:t>
      </w:r>
      <w:r>
        <w:rPr>
          <w:rFonts w:ascii="Arial" w:hAnsi="Arial"/>
          <w:b/>
          <w:spacing w:val="-3"/>
          <w:sz w:val="21"/>
        </w:rPr>
        <w:t xml:space="preserve"> </w:t>
      </w:r>
      <w:r>
        <w:rPr>
          <w:rFonts w:ascii="Arial" w:hAnsi="Arial"/>
          <w:b/>
          <w:sz w:val="21"/>
        </w:rPr>
        <w:t>A/B</w:t>
      </w:r>
      <w:r>
        <w:rPr>
          <w:rFonts w:ascii="Arial" w:hAnsi="Arial"/>
          <w:b/>
          <w:spacing w:val="-5"/>
          <w:sz w:val="21"/>
        </w:rPr>
        <w:t xml:space="preserve"> </w:t>
      </w:r>
      <w:r>
        <w:rPr>
          <w:rFonts w:ascii="Arial" w:hAnsi="Arial"/>
          <w:b/>
          <w:sz w:val="21"/>
        </w:rPr>
        <w:t>Rebates</w:t>
      </w:r>
      <w:r>
        <w:rPr>
          <w:rFonts w:ascii="Arial" w:hAnsi="Arial"/>
          <w:b/>
          <w:spacing w:val="-4"/>
          <w:sz w:val="21"/>
        </w:rPr>
        <w:t xml:space="preserve"> </w:t>
      </w:r>
      <w:r>
        <w:rPr>
          <w:rFonts w:ascii="Arial" w:hAnsi="Arial"/>
          <w:b/>
          <w:sz w:val="21"/>
        </w:rPr>
        <w:t>Allocated</w:t>
      </w:r>
      <w:r>
        <w:rPr>
          <w:rFonts w:ascii="Arial" w:hAnsi="Arial"/>
          <w:b/>
          <w:spacing w:val="-3"/>
          <w:sz w:val="21"/>
        </w:rPr>
        <w:t xml:space="preserve"> </w:t>
      </w:r>
      <w:r>
        <w:rPr>
          <w:rFonts w:ascii="Arial" w:hAnsi="Arial"/>
          <w:b/>
          <w:sz w:val="21"/>
        </w:rPr>
        <w:t>to</w:t>
      </w:r>
      <w:r>
        <w:rPr>
          <w:rFonts w:ascii="Arial" w:hAnsi="Arial"/>
          <w:b/>
          <w:spacing w:val="-3"/>
          <w:sz w:val="21"/>
        </w:rPr>
        <w:t xml:space="preserve"> </w:t>
      </w:r>
      <w:r>
        <w:rPr>
          <w:rFonts w:ascii="Arial" w:hAnsi="Arial"/>
          <w:b/>
          <w:sz w:val="21"/>
        </w:rPr>
        <w:t>the</w:t>
      </w:r>
      <w:r>
        <w:rPr>
          <w:rFonts w:ascii="Arial" w:hAnsi="Arial"/>
          <w:b/>
          <w:spacing w:val="-5"/>
          <w:sz w:val="21"/>
        </w:rPr>
        <w:t xml:space="preserve"> </w:t>
      </w:r>
      <w:r>
        <w:rPr>
          <w:rFonts w:ascii="Arial" w:hAnsi="Arial"/>
          <w:b/>
          <w:sz w:val="21"/>
        </w:rPr>
        <w:t>Part</w:t>
      </w:r>
      <w:r>
        <w:rPr>
          <w:rFonts w:ascii="Arial" w:hAnsi="Arial"/>
          <w:b/>
          <w:spacing w:val="-5"/>
          <w:sz w:val="21"/>
        </w:rPr>
        <w:t xml:space="preserve"> </w:t>
      </w:r>
      <w:r>
        <w:rPr>
          <w:rFonts w:ascii="Arial" w:hAnsi="Arial"/>
          <w:b/>
          <w:sz w:val="21"/>
        </w:rPr>
        <w:t>D</w:t>
      </w:r>
      <w:r>
        <w:rPr>
          <w:rFonts w:ascii="Arial" w:hAnsi="Arial"/>
          <w:b/>
          <w:spacing w:val="-6"/>
          <w:sz w:val="21"/>
        </w:rPr>
        <w:t xml:space="preserve"> </w:t>
      </w:r>
      <w:r>
        <w:rPr>
          <w:rFonts w:ascii="Arial" w:hAnsi="Arial"/>
          <w:b/>
          <w:sz w:val="21"/>
        </w:rPr>
        <w:t>Basic</w:t>
      </w:r>
      <w:r>
        <w:rPr>
          <w:rFonts w:ascii="Arial" w:hAnsi="Arial"/>
          <w:b/>
          <w:spacing w:val="-5"/>
          <w:sz w:val="21"/>
        </w:rPr>
        <w:t xml:space="preserve"> </w:t>
      </w:r>
      <w:r>
        <w:rPr>
          <w:rFonts w:ascii="Arial" w:hAnsi="Arial"/>
          <w:b/>
          <w:spacing w:val="-2"/>
          <w:sz w:val="21"/>
        </w:rPr>
        <w:t>Premium</w:t>
      </w:r>
    </w:p>
    <w:p>
      <w:pPr>
        <w:pStyle w:val="BodyText"/>
        <w:spacing w:before="121"/>
        <w:ind w:left="1224" w:right="1841"/>
      </w:pPr>
      <w:r>
        <w:t>Enter the rebates that the MAO wishes to allocate to the Part D basic premium. The Part</w:t>
      </w:r>
      <w:r>
        <w:rPr>
          <w:spacing w:val="-3"/>
        </w:rPr>
        <w:t xml:space="preserve"> </w:t>
      </w:r>
      <w:r>
        <w:t>D</w:t>
      </w:r>
      <w:r>
        <w:rPr>
          <w:spacing w:val="-4"/>
        </w:rPr>
        <w:t xml:space="preserve"> </w:t>
      </w:r>
      <w:r>
        <w:t>rebate</w:t>
      </w:r>
      <w:r>
        <w:rPr>
          <w:spacing w:val="-4"/>
        </w:rPr>
        <w:t xml:space="preserve"> </w:t>
      </w:r>
      <w:r>
        <w:t>allocation must</w:t>
      </w:r>
      <w:r>
        <w:rPr>
          <w:spacing w:val="-2"/>
        </w:rPr>
        <w:t xml:space="preserve"> </w:t>
      </w:r>
      <w:r>
        <w:t>be</w:t>
      </w:r>
      <w:r>
        <w:rPr>
          <w:spacing w:val="-4"/>
        </w:rPr>
        <w:t xml:space="preserve"> </w:t>
      </w:r>
      <w:r>
        <w:t>rounded</w:t>
      </w:r>
      <w:r>
        <w:rPr>
          <w:spacing w:val="-3"/>
        </w:rPr>
        <w:t xml:space="preserve"> </w:t>
      </w:r>
      <w:r>
        <w:t>to</w:t>
      </w:r>
      <w:r>
        <w:rPr>
          <w:spacing w:val="-3"/>
        </w:rPr>
        <w:t xml:space="preserve"> </w:t>
      </w:r>
      <w:r>
        <w:t>one</w:t>
      </w:r>
      <w:r>
        <w:rPr>
          <w:spacing w:val="-3"/>
        </w:rPr>
        <w:t xml:space="preserve"> </w:t>
      </w:r>
      <w:r>
        <w:t>decimal.</w:t>
      </w:r>
      <w:r>
        <w:rPr>
          <w:spacing w:val="-1"/>
        </w:rPr>
        <w:t xml:space="preserve"> </w:t>
      </w:r>
      <w:r>
        <w:t>If</w:t>
      </w:r>
      <w:r>
        <w:rPr>
          <w:spacing w:val="-4"/>
        </w:rPr>
        <w:t xml:space="preserve"> </w:t>
      </w:r>
      <w:r>
        <w:t>this</w:t>
      </w:r>
      <w:r>
        <w:rPr>
          <w:spacing w:val="-4"/>
        </w:rPr>
        <w:t xml:space="preserve"> </w:t>
      </w:r>
      <w:r>
        <w:t>is</w:t>
      </w:r>
      <w:r>
        <w:rPr>
          <w:spacing w:val="-3"/>
        </w:rPr>
        <w:t xml:space="preserve"> </w:t>
      </w:r>
      <w:r>
        <w:t>not</w:t>
      </w:r>
      <w:r>
        <w:rPr>
          <w:spacing w:val="-3"/>
        </w:rPr>
        <w:t xml:space="preserve"> </w:t>
      </w:r>
      <w:r>
        <w:t>done,</w:t>
      </w:r>
      <w:r>
        <w:rPr>
          <w:spacing w:val="-3"/>
        </w:rPr>
        <w:t xml:space="preserve"> </w:t>
      </w:r>
      <w:r>
        <w:t>then</w:t>
      </w:r>
      <w:r>
        <w:rPr>
          <w:spacing w:val="-3"/>
        </w:rPr>
        <w:t xml:space="preserve"> </w:t>
      </w:r>
      <w:r>
        <w:t>the BPT will round these rebates to one decimal (in line 7c) to comply with withhold system requirements. This field is not applicable to MA-only plans.</w:t>
      </w:r>
    </w:p>
    <w:p>
      <w:pPr>
        <w:pStyle w:val="ListParagraph"/>
        <w:numPr>
          <w:ilvl w:val="0"/>
          <w:numId w:val="39"/>
        </w:numPr>
        <w:tabs>
          <w:tab w:val="left" w:pos="1223"/>
        </w:tabs>
        <w:spacing w:before="121" w:after="0" w:line="240" w:lineRule="auto"/>
        <w:ind w:left="1223" w:right="0" w:hanging="359"/>
        <w:jc w:val="left"/>
        <w:rPr>
          <w:rFonts w:ascii="Arial" w:hAnsi="Arial"/>
          <w:b/>
          <w:sz w:val="21"/>
        </w:rPr>
      </w:pPr>
      <w:r>
        <w:rPr>
          <w:rFonts w:ascii="Arial" w:hAnsi="Arial"/>
          <w:b/>
          <w:sz w:val="21"/>
        </w:rPr>
        <w:t>Line</w:t>
      </w:r>
      <w:r>
        <w:rPr>
          <w:rFonts w:ascii="Arial" w:hAnsi="Arial"/>
          <w:b/>
          <w:spacing w:val="-3"/>
          <w:sz w:val="21"/>
        </w:rPr>
        <w:t xml:space="preserve"> </w:t>
      </w:r>
      <w:r>
        <w:rPr>
          <w:rFonts w:ascii="Arial" w:hAnsi="Arial"/>
          <w:b/>
          <w:sz w:val="21"/>
        </w:rPr>
        <w:t>7d</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z w:val="21"/>
        </w:rPr>
        <w:t>Part</w:t>
      </w:r>
      <w:r>
        <w:rPr>
          <w:rFonts w:ascii="Arial" w:hAnsi="Arial"/>
          <w:b/>
          <w:spacing w:val="-6"/>
          <w:sz w:val="21"/>
        </w:rPr>
        <w:t xml:space="preserve"> </w:t>
      </w:r>
      <w:r>
        <w:rPr>
          <w:rFonts w:ascii="Arial" w:hAnsi="Arial"/>
          <w:b/>
          <w:sz w:val="21"/>
        </w:rPr>
        <w:t>D</w:t>
      </w:r>
      <w:r>
        <w:rPr>
          <w:rFonts w:ascii="Arial" w:hAnsi="Arial"/>
          <w:b/>
          <w:spacing w:val="-2"/>
          <w:sz w:val="21"/>
        </w:rPr>
        <w:t xml:space="preserve"> </w:t>
      </w:r>
      <w:r>
        <w:rPr>
          <w:rFonts w:ascii="Arial" w:hAnsi="Arial"/>
          <w:b/>
          <w:sz w:val="21"/>
        </w:rPr>
        <w:t>Basic</w:t>
      </w:r>
      <w:r>
        <w:rPr>
          <w:rFonts w:ascii="Arial" w:hAnsi="Arial"/>
          <w:b/>
          <w:spacing w:val="-2"/>
          <w:sz w:val="21"/>
        </w:rPr>
        <w:t xml:space="preserve"> Premium</w:t>
      </w:r>
    </w:p>
    <w:p>
      <w:pPr>
        <w:pStyle w:val="BodyText"/>
        <w:spacing w:before="118"/>
        <w:ind w:left="1224" w:right="1481"/>
      </w:pPr>
      <w:r>
        <w:t>The</w:t>
      </w:r>
      <w:r>
        <w:rPr>
          <w:spacing w:val="-4"/>
        </w:rPr>
        <w:t xml:space="preserve"> </w:t>
      </w:r>
      <w:r>
        <w:t>estimated</w:t>
      </w:r>
      <w:r>
        <w:rPr>
          <w:spacing w:val="-3"/>
        </w:rPr>
        <w:t xml:space="preserve"> </w:t>
      </w:r>
      <w:r>
        <w:t>Part</w:t>
      </w:r>
      <w:r>
        <w:rPr>
          <w:spacing w:val="-3"/>
        </w:rPr>
        <w:t xml:space="preserve"> </w:t>
      </w:r>
      <w:r>
        <w:t>D</w:t>
      </w:r>
      <w:r>
        <w:rPr>
          <w:spacing w:val="-4"/>
        </w:rPr>
        <w:t xml:space="preserve"> </w:t>
      </w:r>
      <w:r>
        <w:t>basic</w:t>
      </w:r>
      <w:r>
        <w:rPr>
          <w:spacing w:val="-3"/>
        </w:rPr>
        <w:t xml:space="preserve"> </w:t>
      </w:r>
      <w:r>
        <w:t>premium</w:t>
      </w:r>
      <w:r>
        <w:rPr>
          <w:spacing w:val="-3"/>
        </w:rPr>
        <w:t xml:space="preserve"> </w:t>
      </w:r>
      <w:r>
        <w:t>net</w:t>
      </w:r>
      <w:r>
        <w:rPr>
          <w:spacing w:val="-3"/>
        </w:rPr>
        <w:t xml:space="preserve"> </w:t>
      </w:r>
      <w:r>
        <w:t>of</w:t>
      </w:r>
      <w:r>
        <w:rPr>
          <w:spacing w:val="-4"/>
        </w:rPr>
        <w:t xml:space="preserve"> </w:t>
      </w:r>
      <w:r>
        <w:t>rebates is</w:t>
      </w:r>
      <w:r>
        <w:rPr>
          <w:spacing w:val="-4"/>
        </w:rPr>
        <w:t xml:space="preserve"> </w:t>
      </w:r>
      <w:r>
        <w:t>calculated</w:t>
      </w:r>
      <w:r>
        <w:rPr>
          <w:spacing w:val="-3"/>
        </w:rPr>
        <w:t xml:space="preserve"> </w:t>
      </w:r>
      <w:r>
        <w:t>automatically</w:t>
      </w:r>
      <w:r>
        <w:rPr>
          <w:spacing w:val="-3"/>
        </w:rPr>
        <w:t xml:space="preserve"> </w:t>
      </w:r>
      <w:r>
        <w:t>as</w:t>
      </w:r>
      <w:r>
        <w:rPr>
          <w:spacing w:val="-2"/>
        </w:rPr>
        <w:t xml:space="preserve"> </w:t>
      </w:r>
      <w:r>
        <w:t>line</w:t>
      </w:r>
      <w:r>
        <w:rPr>
          <w:spacing w:val="-4"/>
        </w:rPr>
        <w:t xml:space="preserve"> </w:t>
      </w:r>
      <w:r>
        <w:t>7a minus line 7c.</w:t>
      </w:r>
    </w:p>
    <w:p>
      <w:pPr>
        <w:pStyle w:val="BodyText"/>
        <w:spacing w:before="120"/>
        <w:ind w:left="1224" w:right="1481"/>
      </w:pPr>
      <w:r>
        <w:t>The Part D basic premium in the MA BPT is an estimate when the bid is initially submitted in June. The actual plan premium will be calculated by CMS, outside the BPT,</w:t>
      </w:r>
      <w:r>
        <w:rPr>
          <w:spacing w:val="-3"/>
        </w:rPr>
        <w:t xml:space="preserve"> </w:t>
      </w:r>
      <w:r>
        <w:t>when</w:t>
      </w:r>
      <w:r>
        <w:rPr>
          <w:spacing w:val="-3"/>
        </w:rPr>
        <w:t xml:space="preserve"> </w:t>
      </w:r>
      <w:r>
        <w:t>the</w:t>
      </w:r>
      <w:r>
        <w:rPr>
          <w:spacing w:val="-4"/>
        </w:rPr>
        <w:t xml:space="preserve"> </w:t>
      </w:r>
      <w:r>
        <w:t>Part</w:t>
      </w:r>
      <w:r>
        <w:rPr>
          <w:spacing w:val="-3"/>
        </w:rPr>
        <w:t xml:space="preserve"> </w:t>
      </w:r>
      <w:r>
        <w:t>D</w:t>
      </w:r>
      <w:r>
        <w:rPr>
          <w:spacing w:val="-4"/>
        </w:rPr>
        <w:t xml:space="preserve"> </w:t>
      </w:r>
      <w:r>
        <w:t>national</w:t>
      </w:r>
      <w:r>
        <w:rPr>
          <w:spacing w:val="-3"/>
        </w:rPr>
        <w:t xml:space="preserve"> </w:t>
      </w:r>
      <w:r>
        <w:t>average</w:t>
      </w:r>
      <w:r>
        <w:rPr>
          <w:spacing w:val="-4"/>
        </w:rPr>
        <w:t xml:space="preserve"> </w:t>
      </w:r>
      <w:r>
        <w:t>monthly</w:t>
      </w:r>
      <w:r>
        <w:rPr>
          <w:spacing w:val="-3"/>
        </w:rPr>
        <w:t xml:space="preserve"> </w:t>
      </w:r>
      <w:r>
        <w:t>bid</w:t>
      </w:r>
      <w:r>
        <w:rPr>
          <w:spacing w:val="-3"/>
        </w:rPr>
        <w:t xml:space="preserve"> </w:t>
      </w:r>
      <w:r>
        <w:t>amount</w:t>
      </w:r>
      <w:r>
        <w:rPr>
          <w:spacing w:val="-1"/>
        </w:rPr>
        <w:t xml:space="preserve"> </w:t>
      </w:r>
      <w:r>
        <w:t>is</w:t>
      </w:r>
      <w:r>
        <w:rPr>
          <w:spacing w:val="-4"/>
        </w:rPr>
        <w:t xml:space="preserve"> </w:t>
      </w:r>
      <w:r>
        <w:t>determined</w:t>
      </w:r>
      <w:r>
        <w:rPr>
          <w:spacing w:val="-3"/>
        </w:rPr>
        <w:t xml:space="preserve"> </w:t>
      </w:r>
      <w:r>
        <w:t>(typically</w:t>
      </w:r>
      <w:r>
        <w:rPr>
          <w:spacing w:val="-3"/>
        </w:rPr>
        <w:t xml:space="preserve"> </w:t>
      </w:r>
      <w:r>
        <w:t xml:space="preserve">in </w:t>
      </w:r>
      <w:r>
        <w:rPr>
          <w:spacing w:val="-2"/>
        </w:rPr>
        <w:t>July).</w:t>
      </w:r>
    </w:p>
    <w:p>
      <w:pPr>
        <w:pStyle w:val="BodyText"/>
        <w:spacing w:before="120" w:line="343" w:lineRule="auto"/>
        <w:ind w:left="1224" w:right="2194"/>
      </w:pPr>
      <w:r>
        <w:t>Note that the Part D basic premium prior to rebates can be a negative number. This</w:t>
      </w:r>
      <w:r>
        <w:rPr>
          <w:spacing w:val="-4"/>
        </w:rPr>
        <w:t xml:space="preserve"> </w:t>
      </w:r>
      <w:r>
        <w:t>field</w:t>
      </w:r>
      <w:r>
        <w:rPr>
          <w:spacing w:val="-3"/>
        </w:rPr>
        <w:t xml:space="preserve"> </w:t>
      </w:r>
      <w:r>
        <w:t>is</w:t>
      </w:r>
      <w:r>
        <w:rPr>
          <w:spacing w:val="-4"/>
        </w:rPr>
        <w:t xml:space="preserve"> </w:t>
      </w:r>
      <w:r>
        <w:t>not</w:t>
      </w:r>
      <w:r>
        <w:rPr>
          <w:spacing w:val="-3"/>
        </w:rPr>
        <w:t xml:space="preserve"> </w:t>
      </w:r>
      <w:r>
        <w:t>applicable</w:t>
      </w:r>
      <w:r>
        <w:rPr>
          <w:spacing w:val="-3"/>
        </w:rPr>
        <w:t xml:space="preserve"> </w:t>
      </w:r>
      <w:r>
        <w:t>to</w:t>
      </w:r>
      <w:r>
        <w:rPr>
          <w:spacing w:val="-2"/>
        </w:rPr>
        <w:t xml:space="preserve"> </w:t>
      </w:r>
      <w:r>
        <w:t>MA-only</w:t>
      </w:r>
      <w:r>
        <w:rPr>
          <w:spacing w:val="-3"/>
        </w:rPr>
        <w:t xml:space="preserve"> </w:t>
      </w:r>
      <w:r>
        <w:t>plans</w:t>
      </w:r>
      <w:r>
        <w:rPr>
          <w:spacing w:val="-3"/>
        </w:rPr>
        <w:t xml:space="preserve"> </w:t>
      </w:r>
      <w:r>
        <w:t>(that</w:t>
      </w:r>
      <w:r>
        <w:rPr>
          <w:spacing w:val="-1"/>
        </w:rPr>
        <w:t xml:space="preserve"> </w:t>
      </w:r>
      <w:r>
        <w:t>is,</w:t>
      </w:r>
      <w:r>
        <w:rPr>
          <w:spacing w:val="-3"/>
        </w:rPr>
        <w:t xml:space="preserve"> </w:t>
      </w:r>
      <w:r>
        <w:t>it</w:t>
      </w:r>
      <w:r>
        <w:rPr>
          <w:spacing w:val="-3"/>
        </w:rPr>
        <w:t xml:space="preserve"> </w:t>
      </w:r>
      <w:r>
        <w:t>must</w:t>
      </w:r>
      <w:r>
        <w:rPr>
          <w:spacing w:val="-2"/>
        </w:rPr>
        <w:t xml:space="preserve"> </w:t>
      </w:r>
      <w:r>
        <w:t>be</w:t>
      </w:r>
      <w:r>
        <w:rPr>
          <w:spacing w:val="-4"/>
        </w:rPr>
        <w:t xml:space="preserve"> </w:t>
      </w:r>
      <w:r>
        <w:t>equal</w:t>
      </w:r>
      <w:r>
        <w:rPr>
          <w:spacing w:val="-3"/>
        </w:rPr>
        <w:t xml:space="preserve"> </w:t>
      </w:r>
      <w:r>
        <w:t>to</w:t>
      </w:r>
      <w:r>
        <w:rPr>
          <w:spacing w:val="-3"/>
        </w:rPr>
        <w:t xml:space="preserve"> </w:t>
      </w:r>
      <w:r>
        <w:t>zero).</w:t>
      </w:r>
    </w:p>
    <w:p>
      <w:pPr>
        <w:pStyle w:val="BodyText"/>
        <w:spacing w:before="3"/>
        <w:ind w:left="1224" w:right="1724"/>
        <w:jc w:val="both"/>
      </w:pPr>
      <w:r>
        <w:t>If</w:t>
      </w:r>
      <w:r>
        <w:rPr>
          <w:spacing w:val="-1"/>
        </w:rPr>
        <w:t xml:space="preserve"> </w:t>
      </w:r>
      <w:r>
        <w:t>the plan intention for the target premium (cell R47) equals “Low Income Premium Subsidy</w:t>
      </w:r>
      <w:r>
        <w:rPr>
          <w:spacing w:val="-2"/>
        </w:rPr>
        <w:t xml:space="preserve"> </w:t>
      </w:r>
      <w:r>
        <w:t>Amount</w:t>
      </w:r>
      <w:r>
        <w:rPr>
          <w:spacing w:val="-1"/>
        </w:rPr>
        <w:t xml:space="preserve"> </w:t>
      </w:r>
      <w:r>
        <w:t>(LIPSA)”</w:t>
      </w:r>
      <w:r>
        <w:rPr>
          <w:spacing w:val="-3"/>
        </w:rPr>
        <w:t xml:space="preserve"> </w:t>
      </w:r>
      <w:r>
        <w:t>and</w:t>
      </w:r>
      <w:r>
        <w:rPr>
          <w:spacing w:val="-2"/>
        </w:rPr>
        <w:t xml:space="preserve"> </w:t>
      </w:r>
      <w:r>
        <w:t>the</w:t>
      </w:r>
      <w:r>
        <w:rPr>
          <w:spacing w:val="-3"/>
        </w:rPr>
        <w:t xml:space="preserve"> </w:t>
      </w:r>
      <w:r>
        <w:t>user</w:t>
      </w:r>
      <w:r>
        <w:rPr>
          <w:spacing w:val="-3"/>
        </w:rPr>
        <w:t xml:space="preserve"> </w:t>
      </w:r>
      <w:r>
        <w:t>enters</w:t>
      </w:r>
      <w:r>
        <w:rPr>
          <w:spacing w:val="-2"/>
        </w:rPr>
        <w:t xml:space="preserve"> </w:t>
      </w:r>
      <w:r>
        <w:t>Part</w:t>
      </w:r>
      <w:r>
        <w:rPr>
          <w:spacing w:val="-1"/>
        </w:rPr>
        <w:t xml:space="preserve"> </w:t>
      </w:r>
      <w:r>
        <w:t>D</w:t>
      </w:r>
      <w:r>
        <w:rPr>
          <w:spacing w:val="-3"/>
        </w:rPr>
        <w:t xml:space="preserve"> </w:t>
      </w:r>
      <w:r>
        <w:t>basic</w:t>
      </w:r>
      <w:r>
        <w:rPr>
          <w:spacing w:val="-2"/>
        </w:rPr>
        <w:t xml:space="preserve"> </w:t>
      </w:r>
      <w:r>
        <w:t>rebates</w:t>
      </w:r>
      <w:r>
        <w:rPr>
          <w:spacing w:val="-3"/>
        </w:rPr>
        <w:t xml:space="preserve"> </w:t>
      </w:r>
      <w:r>
        <w:t>(cell R36)</w:t>
      </w:r>
      <w:r>
        <w:rPr>
          <w:spacing w:val="-2"/>
        </w:rPr>
        <w:t xml:space="preserve"> </w:t>
      </w:r>
      <w:r>
        <w:t>greater than</w:t>
      </w:r>
      <w:r>
        <w:rPr>
          <w:spacing w:val="-3"/>
        </w:rPr>
        <w:t xml:space="preserve"> </w:t>
      </w:r>
      <w:r>
        <w:t>zero,</w:t>
      </w:r>
      <w:r>
        <w:rPr>
          <w:spacing w:val="-3"/>
        </w:rPr>
        <w:t xml:space="preserve"> </w:t>
      </w:r>
      <w:r>
        <w:t>then</w:t>
      </w:r>
      <w:r>
        <w:rPr>
          <w:spacing w:val="-3"/>
        </w:rPr>
        <w:t xml:space="preserve"> </w:t>
      </w:r>
      <w:r>
        <w:t>the</w:t>
      </w:r>
      <w:r>
        <w:rPr>
          <w:spacing w:val="-3"/>
        </w:rPr>
        <w:t xml:space="preserve"> </w:t>
      </w:r>
      <w:r>
        <w:t>Part</w:t>
      </w:r>
      <w:r>
        <w:rPr>
          <w:spacing w:val="-3"/>
        </w:rPr>
        <w:t xml:space="preserve"> </w:t>
      </w:r>
      <w:r>
        <w:t>D</w:t>
      </w:r>
      <w:r>
        <w:rPr>
          <w:spacing w:val="-2"/>
        </w:rPr>
        <w:t xml:space="preserve"> </w:t>
      </w:r>
      <w:r>
        <w:t>basic</w:t>
      </w:r>
      <w:r>
        <w:rPr>
          <w:spacing w:val="-4"/>
        </w:rPr>
        <w:t xml:space="preserve"> </w:t>
      </w:r>
      <w:r>
        <w:t>premium</w:t>
      </w:r>
      <w:r>
        <w:rPr>
          <w:spacing w:val="-3"/>
        </w:rPr>
        <w:t xml:space="preserve"> </w:t>
      </w:r>
      <w:r>
        <w:t>after</w:t>
      </w:r>
      <w:r>
        <w:rPr>
          <w:spacing w:val="-3"/>
        </w:rPr>
        <w:t xml:space="preserve"> </w:t>
      </w:r>
      <w:r>
        <w:t>rebates</w:t>
      </w:r>
      <w:r>
        <w:rPr>
          <w:spacing w:val="-4"/>
        </w:rPr>
        <w:t xml:space="preserve"> </w:t>
      </w:r>
      <w:r>
        <w:t>(cell</w:t>
      </w:r>
      <w:r>
        <w:rPr>
          <w:spacing w:val="-1"/>
        </w:rPr>
        <w:t xml:space="preserve"> </w:t>
      </w:r>
      <w:r>
        <w:t>R37)</w:t>
      </w:r>
      <w:r>
        <w:rPr>
          <w:spacing w:val="-3"/>
        </w:rPr>
        <w:t xml:space="preserve"> </w:t>
      </w:r>
      <w:r>
        <w:t>must</w:t>
      </w:r>
      <w:r>
        <w:rPr>
          <w:spacing w:val="-3"/>
        </w:rPr>
        <w:t xml:space="preserve"> </w:t>
      </w:r>
      <w:r>
        <w:t>be</w:t>
      </w:r>
      <w:r>
        <w:rPr>
          <w:spacing w:val="-3"/>
        </w:rPr>
        <w:t xml:space="preserve"> </w:t>
      </w:r>
      <w:r>
        <w:t>greater</w:t>
      </w:r>
      <w:r>
        <w:rPr>
          <w:spacing w:val="-5"/>
        </w:rPr>
        <w:t xml:space="preserve"> </w:t>
      </w:r>
      <w:r>
        <w:t xml:space="preserve">than </w:t>
      </w:r>
      <w:r>
        <w:rPr>
          <w:spacing w:val="-2"/>
        </w:rPr>
        <w:t>zero.</w:t>
      </w:r>
    </w:p>
    <w:p>
      <w:pPr>
        <w:pStyle w:val="BodyText"/>
        <w:spacing w:before="120"/>
        <w:ind w:left="1224" w:right="1481"/>
      </w:pPr>
      <w:r>
        <w:t>The</w:t>
      </w:r>
      <w:r>
        <w:rPr>
          <w:spacing w:val="-6"/>
        </w:rPr>
        <w:t xml:space="preserve"> </w:t>
      </w:r>
      <w:r>
        <w:t>bid-level</w:t>
      </w:r>
      <w:r>
        <w:rPr>
          <w:spacing w:val="-4"/>
        </w:rPr>
        <w:t xml:space="preserve"> </w:t>
      </w:r>
      <w:r>
        <w:t>Low-Income</w:t>
      </w:r>
      <w:r>
        <w:rPr>
          <w:spacing w:val="-4"/>
        </w:rPr>
        <w:t xml:space="preserve"> </w:t>
      </w:r>
      <w:r>
        <w:t>Premium</w:t>
      </w:r>
      <w:r>
        <w:rPr>
          <w:spacing w:val="-4"/>
        </w:rPr>
        <w:t xml:space="preserve"> </w:t>
      </w:r>
      <w:r>
        <w:t>Subsidy</w:t>
      </w:r>
      <w:r>
        <w:rPr>
          <w:spacing w:val="-4"/>
        </w:rPr>
        <w:t xml:space="preserve"> </w:t>
      </w:r>
      <w:r>
        <w:t>Amount</w:t>
      </w:r>
      <w:r>
        <w:rPr>
          <w:spacing w:val="-4"/>
        </w:rPr>
        <w:t xml:space="preserve"> </w:t>
      </w:r>
      <w:r>
        <w:t>(LIPSA)</w:t>
      </w:r>
      <w:r>
        <w:rPr>
          <w:spacing w:val="-6"/>
        </w:rPr>
        <w:t xml:space="preserve"> </w:t>
      </w:r>
      <w:r>
        <w:t>for</w:t>
      </w:r>
      <w:r>
        <w:rPr>
          <w:spacing w:val="-4"/>
        </w:rPr>
        <w:t xml:space="preserve"> </w:t>
      </w:r>
      <w:r>
        <w:t>an</w:t>
      </w:r>
      <w:r>
        <w:rPr>
          <w:spacing w:val="-4"/>
        </w:rPr>
        <w:t xml:space="preserve"> </w:t>
      </w:r>
      <w:r>
        <w:t>existing</w:t>
      </w:r>
      <w:r>
        <w:rPr>
          <w:spacing w:val="-4"/>
        </w:rPr>
        <w:t xml:space="preserve"> </w:t>
      </w:r>
      <w:r>
        <w:t>bid</w:t>
      </w:r>
      <w:r>
        <w:rPr>
          <w:spacing w:val="-4"/>
        </w:rPr>
        <w:t xml:space="preserve"> </w:t>
      </w:r>
      <w:r>
        <w:t>that spans multiple Part D regions is the LIS eligible member-weighted average of the LIPSAs for each region. This calculation uses the actual June enrollment of the prior year and accounts for enrollment moved into or out of the bid as part of an official HPMS crosswalk. For new bids without crosswalk enrollment and spanning multiple service areas, the amount to be used is the straight average of the LIPSAs for each region covered in the MA service area. This is in accordance with both section</w:t>
      </w:r>
    </w:p>
    <w:p>
      <w:pPr>
        <w:pStyle w:val="BodyText"/>
        <w:spacing w:before="1"/>
        <w:ind w:left="1224" w:right="1481"/>
      </w:pPr>
      <w:r>
        <w:t>1860D-14</w:t>
      </w:r>
      <w:r>
        <w:rPr>
          <w:spacing w:val="-3"/>
        </w:rPr>
        <w:t xml:space="preserve"> </w:t>
      </w:r>
      <w:r>
        <w:t>of</w:t>
      </w:r>
      <w:r>
        <w:rPr>
          <w:spacing w:val="-4"/>
        </w:rPr>
        <w:t xml:space="preserve"> </w:t>
      </w:r>
      <w:r>
        <w:t>the</w:t>
      </w:r>
      <w:r>
        <w:rPr>
          <w:spacing w:val="-3"/>
        </w:rPr>
        <w:t xml:space="preserve"> </w:t>
      </w:r>
      <w:r>
        <w:t>Social</w:t>
      </w:r>
      <w:r>
        <w:rPr>
          <w:spacing w:val="-3"/>
        </w:rPr>
        <w:t xml:space="preserve"> </w:t>
      </w:r>
      <w:r>
        <w:t>Security</w:t>
      </w:r>
      <w:r>
        <w:rPr>
          <w:spacing w:val="-3"/>
        </w:rPr>
        <w:t xml:space="preserve"> </w:t>
      </w:r>
      <w:r>
        <w:t>Act</w:t>
      </w:r>
      <w:r>
        <w:rPr>
          <w:spacing w:val="-3"/>
        </w:rPr>
        <w:t xml:space="preserve"> </w:t>
      </w:r>
      <w:r>
        <w:t>and</w:t>
      </w:r>
      <w:r>
        <w:rPr>
          <w:spacing w:val="-3"/>
        </w:rPr>
        <w:t xml:space="preserve"> </w:t>
      </w:r>
      <w:r>
        <w:t>the</w:t>
      </w:r>
      <w:r>
        <w:rPr>
          <w:spacing w:val="-4"/>
        </w:rPr>
        <w:t xml:space="preserve"> </w:t>
      </w:r>
      <w:r>
        <w:t>final</w:t>
      </w:r>
      <w:r>
        <w:rPr>
          <w:spacing w:val="-1"/>
        </w:rPr>
        <w:t xml:space="preserve"> </w:t>
      </w:r>
      <w:r>
        <w:t>rule</w:t>
      </w:r>
      <w:r>
        <w:rPr>
          <w:spacing w:val="-5"/>
        </w:rPr>
        <w:t xml:space="preserve"> </w:t>
      </w:r>
      <w:r>
        <w:t>“Modification</w:t>
      </w:r>
      <w:r>
        <w:rPr>
          <w:spacing w:val="-3"/>
        </w:rPr>
        <w:t xml:space="preserve"> </w:t>
      </w:r>
      <w:r>
        <w:t>to</w:t>
      </w:r>
      <w:r>
        <w:rPr>
          <w:spacing w:val="-3"/>
        </w:rPr>
        <w:t xml:space="preserve"> </w:t>
      </w:r>
      <w:r>
        <w:t>the</w:t>
      </w:r>
      <w:r>
        <w:rPr>
          <w:spacing w:val="-2"/>
        </w:rPr>
        <w:t xml:space="preserve"> </w:t>
      </w:r>
      <w:r>
        <w:t xml:space="preserve">Weighting Methodology Used to Calculate the Low-Income Benchmark Amount,” which was published in the </w:t>
      </w:r>
      <w:r>
        <w:rPr>
          <w:i/>
        </w:rPr>
        <w:t xml:space="preserve">Federal Register </w:t>
      </w:r>
      <w:r>
        <w:t>(73 FR 18176) on April 3, 2008.</w:t>
      </w:r>
    </w:p>
    <w:p>
      <w:pPr>
        <w:pStyle w:val="BodyText"/>
        <w:spacing w:after="0"/>
        <w:sectPr>
          <w:pgSz w:w="12240" w:h="15840"/>
          <w:pgMar w:top="960" w:right="0" w:bottom="940" w:left="1080" w:header="727" w:footer="747"/>
          <w:cols w:space="720"/>
        </w:sectPr>
      </w:pPr>
    </w:p>
    <w:p>
      <w:pPr>
        <w:pStyle w:val="BodyText"/>
        <w:spacing w:before="225"/>
        <w:ind w:left="0"/>
        <w:rPr>
          <w:sz w:val="21"/>
        </w:rPr>
      </w:pPr>
    </w:p>
    <w:p>
      <w:pPr>
        <w:spacing w:before="0"/>
        <w:ind w:left="504" w:right="0" w:firstLine="0"/>
        <w:jc w:val="left"/>
        <w:rPr>
          <w:rFonts w:ascii="Arial" w:hAnsi="Arial"/>
          <w:b/>
          <w:sz w:val="21"/>
        </w:rPr>
      </w:pPr>
      <w:bookmarkStart w:id="297" w:name="Line 8 – Part D Supplemental Premium"/>
      <w:bookmarkEnd w:id="297"/>
      <w:r>
        <w:rPr>
          <w:rFonts w:ascii="Arial" w:hAnsi="Arial"/>
          <w:b/>
          <w:sz w:val="21"/>
        </w:rPr>
        <w:t>Line</w:t>
      </w:r>
      <w:r>
        <w:rPr>
          <w:rFonts w:ascii="Arial" w:hAnsi="Arial"/>
          <w:b/>
          <w:spacing w:val="-4"/>
          <w:sz w:val="21"/>
        </w:rPr>
        <w:t xml:space="preserve"> </w:t>
      </w:r>
      <w:r>
        <w:rPr>
          <w:rFonts w:ascii="Arial" w:hAnsi="Arial"/>
          <w:b/>
          <w:sz w:val="21"/>
        </w:rPr>
        <w:t>8</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Part</w:t>
      </w:r>
      <w:r>
        <w:rPr>
          <w:rFonts w:ascii="Arial" w:hAnsi="Arial"/>
          <w:b/>
          <w:spacing w:val="-4"/>
          <w:sz w:val="21"/>
        </w:rPr>
        <w:t xml:space="preserve"> </w:t>
      </w:r>
      <w:r>
        <w:rPr>
          <w:rFonts w:ascii="Arial" w:hAnsi="Arial"/>
          <w:b/>
          <w:sz w:val="21"/>
        </w:rPr>
        <w:t>D</w:t>
      </w:r>
      <w:r>
        <w:rPr>
          <w:rFonts w:ascii="Arial" w:hAnsi="Arial"/>
          <w:b/>
          <w:spacing w:val="-3"/>
          <w:sz w:val="21"/>
        </w:rPr>
        <w:t xml:space="preserve"> </w:t>
      </w:r>
      <w:r>
        <w:rPr>
          <w:rFonts w:ascii="Arial" w:hAnsi="Arial"/>
          <w:b/>
          <w:sz w:val="21"/>
        </w:rPr>
        <w:t>Supplemental</w:t>
      </w:r>
      <w:r>
        <w:rPr>
          <w:rFonts w:ascii="Arial" w:hAnsi="Arial"/>
          <w:b/>
          <w:spacing w:val="-4"/>
          <w:sz w:val="21"/>
        </w:rPr>
        <w:t xml:space="preserve"> </w:t>
      </w:r>
      <w:r>
        <w:rPr>
          <w:rFonts w:ascii="Arial" w:hAnsi="Arial"/>
          <w:b/>
          <w:spacing w:val="-2"/>
          <w:sz w:val="21"/>
        </w:rPr>
        <w:t>Premium</w:t>
      </w:r>
    </w:p>
    <w:p>
      <w:pPr>
        <w:pStyle w:val="ListParagraph"/>
        <w:numPr>
          <w:ilvl w:val="0"/>
          <w:numId w:val="39"/>
        </w:numPr>
        <w:tabs>
          <w:tab w:val="left" w:pos="1223"/>
        </w:tabs>
        <w:spacing w:before="121" w:after="0" w:line="240" w:lineRule="auto"/>
        <w:ind w:left="1223" w:right="0" w:hanging="359"/>
        <w:jc w:val="left"/>
        <w:rPr>
          <w:rFonts w:ascii="Arial" w:hAnsi="Arial"/>
          <w:b/>
          <w:sz w:val="21"/>
        </w:rPr>
      </w:pPr>
      <w:r>
        <w:rPr>
          <w:rFonts w:ascii="Arial" w:hAnsi="Arial"/>
          <w:b/>
          <w:sz w:val="21"/>
        </w:rPr>
        <w:t>Line</w:t>
      </w:r>
      <w:r>
        <w:rPr>
          <w:rFonts w:ascii="Arial" w:hAnsi="Arial"/>
          <w:b/>
          <w:spacing w:val="-3"/>
          <w:sz w:val="21"/>
        </w:rPr>
        <w:t xml:space="preserve"> </w:t>
      </w:r>
      <w:r>
        <w:rPr>
          <w:rFonts w:ascii="Arial" w:hAnsi="Arial"/>
          <w:b/>
          <w:sz w:val="21"/>
        </w:rPr>
        <w:t>8a</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Prior</w:t>
      </w:r>
      <w:r>
        <w:rPr>
          <w:rFonts w:ascii="Arial" w:hAnsi="Arial"/>
          <w:b/>
          <w:spacing w:val="-3"/>
          <w:sz w:val="21"/>
        </w:rPr>
        <w:t xml:space="preserve"> </w:t>
      </w:r>
      <w:r>
        <w:rPr>
          <w:rFonts w:ascii="Arial" w:hAnsi="Arial"/>
          <w:b/>
          <w:sz w:val="21"/>
        </w:rPr>
        <w:t>to</w:t>
      </w:r>
      <w:r>
        <w:rPr>
          <w:rFonts w:ascii="Arial" w:hAnsi="Arial"/>
          <w:b/>
          <w:spacing w:val="-4"/>
          <w:sz w:val="21"/>
        </w:rPr>
        <w:t xml:space="preserve"> </w:t>
      </w:r>
      <w:r>
        <w:rPr>
          <w:rFonts w:ascii="Arial" w:hAnsi="Arial"/>
          <w:b/>
          <w:spacing w:val="-2"/>
          <w:sz w:val="21"/>
        </w:rPr>
        <w:t>Rebates</w:t>
      </w:r>
    </w:p>
    <w:p>
      <w:pPr>
        <w:pStyle w:val="BodyText"/>
        <w:spacing w:before="118"/>
        <w:ind w:left="1224"/>
      </w:pPr>
      <w:r>
        <w:t>Enter</w:t>
      </w:r>
      <w:r>
        <w:rPr>
          <w:spacing w:val="-5"/>
        </w:rPr>
        <w:t xml:space="preserve"> </w:t>
      </w:r>
      <w:r>
        <w:t>the</w:t>
      </w:r>
      <w:r>
        <w:rPr>
          <w:spacing w:val="-2"/>
        </w:rPr>
        <w:t xml:space="preserve"> </w:t>
      </w:r>
      <w:r>
        <w:t>Part D</w:t>
      </w:r>
      <w:r>
        <w:rPr>
          <w:spacing w:val="-1"/>
        </w:rPr>
        <w:t xml:space="preserve"> </w:t>
      </w:r>
      <w:r>
        <w:t>supplemental</w:t>
      </w:r>
      <w:r>
        <w:rPr>
          <w:spacing w:val="-1"/>
        </w:rPr>
        <w:t xml:space="preserve"> </w:t>
      </w:r>
      <w:r>
        <w:t>premium prior</w:t>
      </w:r>
      <w:r>
        <w:rPr>
          <w:spacing w:val="-1"/>
        </w:rPr>
        <w:t xml:space="preserve"> </w:t>
      </w:r>
      <w:r>
        <w:t>to</w:t>
      </w:r>
      <w:r>
        <w:rPr>
          <w:spacing w:val="-1"/>
        </w:rPr>
        <w:t xml:space="preserve"> </w:t>
      </w:r>
      <w:r>
        <w:t>rebates</w:t>
      </w:r>
      <w:r>
        <w:rPr>
          <w:spacing w:val="-1"/>
        </w:rPr>
        <w:t xml:space="preserve"> </w:t>
      </w:r>
      <w:r>
        <w:t>(found</w:t>
      </w:r>
      <w:r>
        <w:rPr>
          <w:spacing w:val="-2"/>
        </w:rPr>
        <w:t xml:space="preserve"> </w:t>
      </w:r>
      <w:r>
        <w:t>on</w:t>
      </w:r>
      <w:r>
        <w:rPr>
          <w:spacing w:val="-1"/>
        </w:rPr>
        <w:t xml:space="preserve"> </w:t>
      </w:r>
      <w:r>
        <w:t xml:space="preserve">the </w:t>
      </w:r>
      <w:r>
        <w:rPr>
          <w:spacing w:val="-2"/>
        </w:rPr>
        <w:t>separate</w:t>
      </w:r>
    </w:p>
    <w:p>
      <w:pPr>
        <w:pStyle w:val="BodyText"/>
        <w:ind w:left="1224" w:right="1492"/>
      </w:pPr>
      <w:r>
        <w:t>Part D BPT) after rounding. This amount must equal the amount on the Part D BPT (that is, the amount prior to application of any MA rebates). Note: The Part D supplemental</w:t>
      </w:r>
      <w:r>
        <w:rPr>
          <w:spacing w:val="-3"/>
        </w:rPr>
        <w:t xml:space="preserve"> </w:t>
      </w:r>
      <w:r>
        <w:t>premium</w:t>
      </w:r>
      <w:r>
        <w:rPr>
          <w:spacing w:val="-3"/>
        </w:rPr>
        <w:t xml:space="preserve"> </w:t>
      </w:r>
      <w:r>
        <w:t>prior</w:t>
      </w:r>
      <w:r>
        <w:rPr>
          <w:spacing w:val="-3"/>
        </w:rPr>
        <w:t xml:space="preserve"> </w:t>
      </w:r>
      <w:r>
        <w:t>to</w:t>
      </w:r>
      <w:r>
        <w:rPr>
          <w:spacing w:val="-3"/>
        </w:rPr>
        <w:t xml:space="preserve"> </w:t>
      </w:r>
      <w:r>
        <w:t>rebates</w:t>
      </w:r>
      <w:r>
        <w:rPr>
          <w:spacing w:val="-4"/>
        </w:rPr>
        <w:t xml:space="preserve"> </w:t>
      </w:r>
      <w:r>
        <w:t>must</w:t>
      </w:r>
      <w:r>
        <w:rPr>
          <w:spacing w:val="-3"/>
        </w:rPr>
        <w:t xml:space="preserve"> </w:t>
      </w:r>
      <w:r>
        <w:t>be</w:t>
      </w:r>
      <w:r>
        <w:rPr>
          <w:spacing w:val="-2"/>
        </w:rPr>
        <w:t xml:space="preserve"> </w:t>
      </w:r>
      <w:r>
        <w:t>entered</w:t>
      </w:r>
      <w:r>
        <w:rPr>
          <w:spacing w:val="-3"/>
        </w:rPr>
        <w:t xml:space="preserve"> </w:t>
      </w:r>
      <w:r>
        <w:t>in</w:t>
      </w:r>
      <w:r>
        <w:rPr>
          <w:spacing w:val="-3"/>
        </w:rPr>
        <w:t xml:space="preserve"> </w:t>
      </w:r>
      <w:r>
        <w:t>the</w:t>
      </w:r>
      <w:r>
        <w:rPr>
          <w:spacing w:val="-4"/>
        </w:rPr>
        <w:t xml:space="preserve"> </w:t>
      </w:r>
      <w:r>
        <w:t>MA</w:t>
      </w:r>
      <w:r>
        <w:rPr>
          <w:spacing w:val="-4"/>
        </w:rPr>
        <w:t xml:space="preserve"> </w:t>
      </w:r>
      <w:r>
        <w:t>BPT,</w:t>
      </w:r>
      <w:r>
        <w:rPr>
          <w:spacing w:val="-3"/>
        </w:rPr>
        <w:t xml:space="preserve"> </w:t>
      </w:r>
      <w:r>
        <w:t>even</w:t>
      </w:r>
      <w:r>
        <w:rPr>
          <w:spacing w:val="-3"/>
        </w:rPr>
        <w:t xml:space="preserve"> </w:t>
      </w:r>
      <w:r>
        <w:t>if</w:t>
      </w:r>
      <w:r>
        <w:rPr>
          <w:spacing w:val="-3"/>
        </w:rPr>
        <w:t xml:space="preserve"> </w:t>
      </w:r>
      <w:r>
        <w:t>no</w:t>
      </w:r>
      <w:r>
        <w:rPr>
          <w:spacing w:val="-3"/>
        </w:rPr>
        <w:t xml:space="preserve"> </w:t>
      </w:r>
      <w:r>
        <w:t>MA rebates are allocated to buy down the Part D supplemental premium. This field is not applicable to MA-only plans.</w:t>
      </w:r>
    </w:p>
    <w:p>
      <w:pPr>
        <w:pStyle w:val="BodyText"/>
        <w:spacing w:before="120"/>
        <w:ind w:left="1224" w:right="1481"/>
      </w:pPr>
      <w:r>
        <w:t>If</w:t>
      </w:r>
      <w:r>
        <w:rPr>
          <w:spacing w:val="-3"/>
        </w:rPr>
        <w:t xml:space="preserve"> </w:t>
      </w:r>
      <w:r>
        <w:t>the</w:t>
      </w:r>
      <w:r>
        <w:rPr>
          <w:spacing w:val="-5"/>
        </w:rPr>
        <w:t xml:space="preserve"> </w:t>
      </w:r>
      <w:r>
        <w:t>Part</w:t>
      </w:r>
      <w:r>
        <w:rPr>
          <w:spacing w:val="-3"/>
        </w:rPr>
        <w:t xml:space="preserve"> </w:t>
      </w:r>
      <w:r>
        <w:t>D</w:t>
      </w:r>
      <w:r>
        <w:rPr>
          <w:spacing w:val="-4"/>
        </w:rPr>
        <w:t xml:space="preserve"> </w:t>
      </w:r>
      <w:r>
        <w:t>basic</w:t>
      </w:r>
      <w:r>
        <w:rPr>
          <w:spacing w:val="-3"/>
        </w:rPr>
        <w:t xml:space="preserve"> </w:t>
      </w:r>
      <w:r>
        <w:t>premium</w:t>
      </w:r>
      <w:r>
        <w:rPr>
          <w:spacing w:val="-3"/>
        </w:rPr>
        <w:t xml:space="preserve"> </w:t>
      </w:r>
      <w:r>
        <w:t>is</w:t>
      </w:r>
      <w:r>
        <w:rPr>
          <w:spacing w:val="-3"/>
        </w:rPr>
        <w:t xml:space="preserve"> </w:t>
      </w:r>
      <w:r>
        <w:t>negative,</w:t>
      </w:r>
      <w:r>
        <w:rPr>
          <w:spacing w:val="-3"/>
        </w:rPr>
        <w:t xml:space="preserve"> </w:t>
      </w:r>
      <w:r>
        <w:t>then</w:t>
      </w:r>
      <w:r>
        <w:rPr>
          <w:spacing w:val="-3"/>
        </w:rPr>
        <w:t xml:space="preserve"> </w:t>
      </w:r>
      <w:r>
        <w:t>the</w:t>
      </w:r>
      <w:r>
        <w:rPr>
          <w:spacing w:val="-1"/>
        </w:rPr>
        <w:t xml:space="preserve"> </w:t>
      </w:r>
      <w:r>
        <w:t>Part</w:t>
      </w:r>
      <w:r>
        <w:rPr>
          <w:spacing w:val="-3"/>
        </w:rPr>
        <w:t xml:space="preserve"> </w:t>
      </w:r>
      <w:r>
        <w:t>D</w:t>
      </w:r>
      <w:r>
        <w:rPr>
          <w:spacing w:val="-4"/>
        </w:rPr>
        <w:t xml:space="preserve"> </w:t>
      </w:r>
      <w:r>
        <w:t>supplemental</w:t>
      </w:r>
      <w:r>
        <w:rPr>
          <w:spacing w:val="-3"/>
        </w:rPr>
        <w:t xml:space="preserve"> </w:t>
      </w:r>
      <w:r>
        <w:t>premium</w:t>
      </w:r>
      <w:r>
        <w:rPr>
          <w:spacing w:val="-3"/>
        </w:rPr>
        <w:t xml:space="preserve"> </w:t>
      </w:r>
      <w:r>
        <w:t>must offset the negative amount. That is, the sum of the Part D basic and supplemental premiums must be greater than or equal to zero.</w:t>
      </w:r>
    </w:p>
    <w:p>
      <w:pPr>
        <w:pStyle w:val="ListParagraph"/>
        <w:numPr>
          <w:ilvl w:val="0"/>
          <w:numId w:val="39"/>
        </w:numPr>
        <w:tabs>
          <w:tab w:val="left" w:pos="1223"/>
        </w:tabs>
        <w:spacing w:before="122" w:after="0" w:line="240" w:lineRule="auto"/>
        <w:ind w:left="1223" w:right="0" w:hanging="359"/>
        <w:jc w:val="left"/>
        <w:rPr>
          <w:rFonts w:ascii="Arial" w:hAnsi="Arial"/>
          <w:b/>
          <w:sz w:val="21"/>
        </w:rPr>
      </w:pPr>
      <w:r>
        <w:rPr>
          <w:rFonts w:ascii="Arial" w:hAnsi="Arial"/>
          <w:b/>
          <w:sz w:val="21"/>
        </w:rPr>
        <w:t>Lines</w:t>
      </w:r>
      <w:r>
        <w:rPr>
          <w:rFonts w:ascii="Arial" w:hAnsi="Arial"/>
          <w:b/>
          <w:spacing w:val="-7"/>
          <w:sz w:val="21"/>
        </w:rPr>
        <w:t xml:space="preserve"> </w:t>
      </w:r>
      <w:r>
        <w:rPr>
          <w:rFonts w:ascii="Arial" w:hAnsi="Arial"/>
          <w:b/>
          <w:sz w:val="21"/>
        </w:rPr>
        <w:t>8b</w:t>
      </w:r>
      <w:r>
        <w:rPr>
          <w:rFonts w:ascii="Arial" w:hAnsi="Arial"/>
          <w:b/>
          <w:spacing w:val="-4"/>
          <w:sz w:val="21"/>
        </w:rPr>
        <w:t xml:space="preserve"> </w:t>
      </w:r>
      <w:r>
        <w:rPr>
          <w:rFonts w:ascii="Arial" w:hAnsi="Arial"/>
          <w:b/>
          <w:sz w:val="21"/>
        </w:rPr>
        <w:t>and</w:t>
      </w:r>
      <w:r>
        <w:rPr>
          <w:rFonts w:ascii="Arial" w:hAnsi="Arial"/>
          <w:b/>
          <w:spacing w:val="-4"/>
          <w:sz w:val="21"/>
        </w:rPr>
        <w:t xml:space="preserve"> </w:t>
      </w:r>
      <w:r>
        <w:rPr>
          <w:rFonts w:ascii="Arial" w:hAnsi="Arial"/>
          <w:b/>
          <w:sz w:val="21"/>
        </w:rPr>
        <w:t>8c</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A/B</w:t>
      </w:r>
      <w:r>
        <w:rPr>
          <w:rFonts w:ascii="Arial" w:hAnsi="Arial"/>
          <w:b/>
          <w:spacing w:val="-6"/>
          <w:sz w:val="21"/>
        </w:rPr>
        <w:t xml:space="preserve"> </w:t>
      </w:r>
      <w:r>
        <w:rPr>
          <w:rFonts w:ascii="Arial" w:hAnsi="Arial"/>
          <w:b/>
          <w:sz w:val="21"/>
        </w:rPr>
        <w:t>Rebates</w:t>
      </w:r>
      <w:r>
        <w:rPr>
          <w:rFonts w:ascii="Arial" w:hAnsi="Arial"/>
          <w:b/>
          <w:spacing w:val="-4"/>
          <w:sz w:val="21"/>
        </w:rPr>
        <w:t xml:space="preserve"> </w:t>
      </w:r>
      <w:r>
        <w:rPr>
          <w:rFonts w:ascii="Arial" w:hAnsi="Arial"/>
          <w:b/>
          <w:sz w:val="21"/>
        </w:rPr>
        <w:t>Allocated</w:t>
      </w:r>
      <w:r>
        <w:rPr>
          <w:rFonts w:ascii="Arial" w:hAnsi="Arial"/>
          <w:b/>
          <w:spacing w:val="-4"/>
          <w:sz w:val="21"/>
        </w:rPr>
        <w:t xml:space="preserve"> </w:t>
      </w:r>
      <w:r>
        <w:rPr>
          <w:rFonts w:ascii="Arial" w:hAnsi="Arial"/>
          <w:b/>
          <w:sz w:val="21"/>
        </w:rPr>
        <w:t>to</w:t>
      </w:r>
      <w:r>
        <w:rPr>
          <w:rFonts w:ascii="Arial" w:hAnsi="Arial"/>
          <w:b/>
          <w:spacing w:val="-4"/>
          <w:sz w:val="21"/>
        </w:rPr>
        <w:t xml:space="preserve"> </w:t>
      </w:r>
      <w:r>
        <w:rPr>
          <w:rFonts w:ascii="Arial" w:hAnsi="Arial"/>
          <w:b/>
          <w:sz w:val="21"/>
        </w:rPr>
        <w:t>the</w:t>
      </w:r>
      <w:r>
        <w:rPr>
          <w:rFonts w:ascii="Arial" w:hAnsi="Arial"/>
          <w:b/>
          <w:spacing w:val="-7"/>
          <w:sz w:val="21"/>
        </w:rPr>
        <w:t xml:space="preserve"> </w:t>
      </w:r>
      <w:r>
        <w:rPr>
          <w:rFonts w:ascii="Arial" w:hAnsi="Arial"/>
          <w:b/>
          <w:sz w:val="21"/>
        </w:rPr>
        <w:t>Part</w:t>
      </w:r>
      <w:r>
        <w:rPr>
          <w:rFonts w:ascii="Arial" w:hAnsi="Arial"/>
          <w:b/>
          <w:spacing w:val="-5"/>
          <w:sz w:val="21"/>
        </w:rPr>
        <w:t xml:space="preserve"> </w:t>
      </w:r>
      <w:r>
        <w:rPr>
          <w:rFonts w:ascii="Arial" w:hAnsi="Arial"/>
          <w:b/>
          <w:sz w:val="21"/>
        </w:rPr>
        <w:t>D</w:t>
      </w:r>
      <w:r>
        <w:rPr>
          <w:rFonts w:ascii="Arial" w:hAnsi="Arial"/>
          <w:b/>
          <w:spacing w:val="-7"/>
          <w:sz w:val="21"/>
        </w:rPr>
        <w:t xml:space="preserve"> </w:t>
      </w:r>
      <w:r>
        <w:rPr>
          <w:rFonts w:ascii="Arial" w:hAnsi="Arial"/>
          <w:b/>
          <w:sz w:val="21"/>
        </w:rPr>
        <w:t>Supplemental</w:t>
      </w:r>
      <w:r>
        <w:rPr>
          <w:rFonts w:ascii="Arial" w:hAnsi="Arial"/>
          <w:b/>
          <w:spacing w:val="-5"/>
          <w:sz w:val="21"/>
        </w:rPr>
        <w:t xml:space="preserve"> </w:t>
      </w:r>
      <w:r>
        <w:rPr>
          <w:rFonts w:ascii="Arial" w:hAnsi="Arial"/>
          <w:b/>
          <w:spacing w:val="-2"/>
          <w:sz w:val="21"/>
        </w:rPr>
        <w:t>Premium</w:t>
      </w:r>
    </w:p>
    <w:p>
      <w:pPr>
        <w:pStyle w:val="BodyText"/>
        <w:spacing w:before="120"/>
        <w:ind w:left="1224" w:right="1492"/>
      </w:pPr>
      <w:r>
        <w:t>Enter</w:t>
      </w:r>
      <w:r>
        <w:rPr>
          <w:spacing w:val="-5"/>
        </w:rPr>
        <w:t xml:space="preserve"> </w:t>
      </w:r>
      <w:r>
        <w:t>the</w:t>
      </w:r>
      <w:r>
        <w:rPr>
          <w:spacing w:val="-3"/>
        </w:rPr>
        <w:t xml:space="preserve"> </w:t>
      </w:r>
      <w:r>
        <w:t>rebates</w:t>
      </w:r>
      <w:r>
        <w:rPr>
          <w:spacing w:val="-4"/>
        </w:rPr>
        <w:t xml:space="preserve"> </w:t>
      </w:r>
      <w:r>
        <w:t>that</w:t>
      </w:r>
      <w:r>
        <w:rPr>
          <w:spacing w:val="-3"/>
        </w:rPr>
        <w:t xml:space="preserve"> </w:t>
      </w:r>
      <w:r>
        <w:t>the</w:t>
      </w:r>
      <w:r>
        <w:rPr>
          <w:spacing w:val="-1"/>
        </w:rPr>
        <w:t xml:space="preserve"> </w:t>
      </w:r>
      <w:r>
        <w:t>MAO</w:t>
      </w:r>
      <w:r>
        <w:rPr>
          <w:spacing w:val="-4"/>
        </w:rPr>
        <w:t xml:space="preserve"> </w:t>
      </w:r>
      <w:r>
        <w:t>wishes</w:t>
      </w:r>
      <w:r>
        <w:rPr>
          <w:spacing w:val="-4"/>
        </w:rPr>
        <w:t xml:space="preserve"> </w:t>
      </w:r>
      <w:r>
        <w:t>to</w:t>
      </w:r>
      <w:r>
        <w:rPr>
          <w:spacing w:val="-3"/>
        </w:rPr>
        <w:t xml:space="preserve"> </w:t>
      </w:r>
      <w:r>
        <w:t>allocate</w:t>
      </w:r>
      <w:r>
        <w:rPr>
          <w:spacing w:val="-3"/>
        </w:rPr>
        <w:t xml:space="preserve"> </w:t>
      </w:r>
      <w:r>
        <w:t>to</w:t>
      </w:r>
      <w:r>
        <w:rPr>
          <w:spacing w:val="-3"/>
        </w:rPr>
        <w:t xml:space="preserve"> </w:t>
      </w:r>
      <w:r>
        <w:t>the</w:t>
      </w:r>
      <w:r>
        <w:rPr>
          <w:spacing w:val="-3"/>
        </w:rPr>
        <w:t xml:space="preserve"> </w:t>
      </w:r>
      <w:r>
        <w:t>Part</w:t>
      </w:r>
      <w:r>
        <w:rPr>
          <w:spacing w:val="-3"/>
        </w:rPr>
        <w:t xml:space="preserve"> </w:t>
      </w:r>
      <w:r>
        <w:t>D</w:t>
      </w:r>
      <w:r>
        <w:rPr>
          <w:spacing w:val="-4"/>
        </w:rPr>
        <w:t xml:space="preserve"> </w:t>
      </w:r>
      <w:r>
        <w:t>supplemental</w:t>
      </w:r>
      <w:r>
        <w:rPr>
          <w:spacing w:val="-3"/>
        </w:rPr>
        <w:t xml:space="preserve"> </w:t>
      </w:r>
      <w:r>
        <w:t>premium. The Part D rebate allocation must be rounded to one decimal. If this is not done, then the BPT will round these rebates to one decimal (in line 8c), to comply with withhold system requirements. This field is not applicable to MA-only plans.</w:t>
      </w:r>
    </w:p>
    <w:p>
      <w:pPr>
        <w:pStyle w:val="ListParagraph"/>
        <w:numPr>
          <w:ilvl w:val="0"/>
          <w:numId w:val="39"/>
        </w:numPr>
        <w:tabs>
          <w:tab w:val="left" w:pos="1223"/>
        </w:tabs>
        <w:spacing w:before="121" w:after="0" w:line="240" w:lineRule="auto"/>
        <w:ind w:left="1223" w:right="0" w:hanging="359"/>
        <w:jc w:val="left"/>
        <w:rPr>
          <w:rFonts w:ascii="Arial" w:hAnsi="Arial"/>
          <w:b/>
          <w:sz w:val="21"/>
        </w:rPr>
      </w:pPr>
      <w:r>
        <w:rPr>
          <w:rFonts w:ascii="Arial" w:hAnsi="Arial"/>
          <w:b/>
          <w:sz w:val="21"/>
        </w:rPr>
        <w:t>Line</w:t>
      </w:r>
      <w:r>
        <w:rPr>
          <w:rFonts w:ascii="Arial" w:hAnsi="Arial"/>
          <w:b/>
          <w:spacing w:val="-4"/>
          <w:sz w:val="21"/>
        </w:rPr>
        <w:t xml:space="preserve"> </w:t>
      </w:r>
      <w:r>
        <w:rPr>
          <w:rFonts w:ascii="Arial" w:hAnsi="Arial"/>
          <w:b/>
          <w:sz w:val="21"/>
        </w:rPr>
        <w:t>8d</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Part</w:t>
      </w:r>
      <w:r>
        <w:rPr>
          <w:rFonts w:ascii="Arial" w:hAnsi="Arial"/>
          <w:b/>
          <w:spacing w:val="-7"/>
          <w:sz w:val="21"/>
        </w:rPr>
        <w:t xml:space="preserve"> </w:t>
      </w:r>
      <w:r>
        <w:rPr>
          <w:rFonts w:ascii="Arial" w:hAnsi="Arial"/>
          <w:b/>
          <w:sz w:val="21"/>
        </w:rPr>
        <w:t>D</w:t>
      </w:r>
      <w:r>
        <w:rPr>
          <w:rFonts w:ascii="Arial" w:hAnsi="Arial"/>
          <w:b/>
          <w:spacing w:val="-3"/>
          <w:sz w:val="21"/>
        </w:rPr>
        <w:t xml:space="preserve"> </w:t>
      </w:r>
      <w:r>
        <w:rPr>
          <w:rFonts w:ascii="Arial" w:hAnsi="Arial"/>
          <w:b/>
          <w:sz w:val="21"/>
        </w:rPr>
        <w:t>Supplemental</w:t>
      </w:r>
      <w:r>
        <w:rPr>
          <w:rFonts w:ascii="Arial" w:hAnsi="Arial"/>
          <w:b/>
          <w:spacing w:val="-5"/>
          <w:sz w:val="21"/>
        </w:rPr>
        <w:t xml:space="preserve"> </w:t>
      </w:r>
      <w:r>
        <w:rPr>
          <w:rFonts w:ascii="Arial" w:hAnsi="Arial"/>
          <w:b/>
          <w:spacing w:val="-2"/>
          <w:sz w:val="21"/>
        </w:rPr>
        <w:t>Premium</w:t>
      </w:r>
    </w:p>
    <w:p>
      <w:pPr>
        <w:pStyle w:val="BodyText"/>
        <w:spacing w:before="117"/>
        <w:ind w:left="1224" w:right="1841"/>
      </w:pPr>
      <w:r>
        <w:t>Calculates</w:t>
      </w:r>
      <w:r>
        <w:rPr>
          <w:spacing w:val="-4"/>
        </w:rPr>
        <w:t xml:space="preserve"> </w:t>
      </w:r>
      <w:r>
        <w:t>the</w:t>
      </w:r>
      <w:r>
        <w:rPr>
          <w:spacing w:val="-4"/>
        </w:rPr>
        <w:t xml:space="preserve"> </w:t>
      </w:r>
      <w:r>
        <w:t>Part</w:t>
      </w:r>
      <w:r>
        <w:rPr>
          <w:spacing w:val="-3"/>
        </w:rPr>
        <w:t xml:space="preserve"> </w:t>
      </w:r>
      <w:r>
        <w:t>D</w:t>
      </w:r>
      <w:r>
        <w:rPr>
          <w:spacing w:val="-4"/>
        </w:rPr>
        <w:t xml:space="preserve"> </w:t>
      </w:r>
      <w:r>
        <w:t>supplemental</w:t>
      </w:r>
      <w:r>
        <w:rPr>
          <w:spacing w:val="-3"/>
        </w:rPr>
        <w:t xml:space="preserve"> </w:t>
      </w:r>
      <w:r>
        <w:t>premium</w:t>
      </w:r>
      <w:r>
        <w:rPr>
          <w:spacing w:val="-3"/>
        </w:rPr>
        <w:t xml:space="preserve"> </w:t>
      </w:r>
      <w:r>
        <w:t>net</w:t>
      </w:r>
      <w:r>
        <w:rPr>
          <w:spacing w:val="-3"/>
        </w:rPr>
        <w:t xml:space="preserve"> </w:t>
      </w:r>
      <w:r>
        <w:t>of</w:t>
      </w:r>
      <w:r>
        <w:rPr>
          <w:spacing w:val="-3"/>
        </w:rPr>
        <w:t xml:space="preserve"> </w:t>
      </w:r>
      <w:r>
        <w:t>rebates.</w:t>
      </w:r>
      <w:r>
        <w:rPr>
          <w:spacing w:val="-3"/>
        </w:rPr>
        <w:t xml:space="preserve"> </w:t>
      </w:r>
      <w:r>
        <w:t>Line</w:t>
      </w:r>
      <w:r>
        <w:rPr>
          <w:spacing w:val="-3"/>
        </w:rPr>
        <w:t xml:space="preserve"> </w:t>
      </w:r>
      <w:r>
        <w:t>8d</w:t>
      </w:r>
      <w:r>
        <w:rPr>
          <w:spacing w:val="-3"/>
        </w:rPr>
        <w:t xml:space="preserve"> </w:t>
      </w:r>
      <w:r>
        <w:t>equals</w:t>
      </w:r>
      <w:r>
        <w:rPr>
          <w:spacing w:val="-4"/>
        </w:rPr>
        <w:t xml:space="preserve"> </w:t>
      </w:r>
      <w:r>
        <w:t>line</w:t>
      </w:r>
      <w:r>
        <w:rPr>
          <w:spacing w:val="-3"/>
        </w:rPr>
        <w:t xml:space="preserve"> </w:t>
      </w:r>
      <w:r>
        <w:t>8a minus line 8c. The value must be greater than or equal to zero. This field is not applicable to MA-only plans (that is, it must be equal to zero in these cases).</w:t>
      </w:r>
    </w:p>
    <w:p>
      <w:pPr>
        <w:pStyle w:val="BodyText"/>
        <w:spacing w:before="120"/>
        <w:ind w:left="1224" w:right="1481"/>
      </w:pPr>
      <w:r>
        <w:t>The</w:t>
      </w:r>
      <w:r>
        <w:rPr>
          <w:spacing w:val="-5"/>
        </w:rPr>
        <w:t xml:space="preserve"> </w:t>
      </w:r>
      <w:r>
        <w:t>BPT</w:t>
      </w:r>
      <w:r>
        <w:rPr>
          <w:spacing w:val="-3"/>
        </w:rPr>
        <w:t xml:space="preserve"> </w:t>
      </w:r>
      <w:r>
        <w:t>will</w:t>
      </w:r>
      <w:r>
        <w:rPr>
          <w:spacing w:val="-3"/>
        </w:rPr>
        <w:t xml:space="preserve"> </w:t>
      </w:r>
      <w:r>
        <w:t>not</w:t>
      </w:r>
      <w:r>
        <w:rPr>
          <w:spacing w:val="-3"/>
        </w:rPr>
        <w:t xml:space="preserve"> </w:t>
      </w:r>
      <w:r>
        <w:t>finalize</w:t>
      </w:r>
      <w:r>
        <w:rPr>
          <w:spacing w:val="-4"/>
        </w:rPr>
        <w:t xml:space="preserve"> </w:t>
      </w:r>
      <w:r>
        <w:t>if</w:t>
      </w:r>
      <w:r>
        <w:rPr>
          <w:spacing w:val="-3"/>
        </w:rPr>
        <w:t xml:space="preserve"> </w:t>
      </w:r>
      <w:r>
        <w:t>there</w:t>
      </w:r>
      <w:r>
        <w:rPr>
          <w:spacing w:val="-5"/>
        </w:rPr>
        <w:t xml:space="preserve"> </w:t>
      </w:r>
      <w:r>
        <w:t>are</w:t>
      </w:r>
      <w:r>
        <w:rPr>
          <w:spacing w:val="-5"/>
        </w:rPr>
        <w:t xml:space="preserve"> </w:t>
      </w:r>
      <w:r>
        <w:t>any</w:t>
      </w:r>
      <w:r>
        <w:rPr>
          <w:spacing w:val="-3"/>
        </w:rPr>
        <w:t xml:space="preserve"> </w:t>
      </w:r>
      <w:r>
        <w:t>invalid</w:t>
      </w:r>
      <w:r>
        <w:rPr>
          <w:spacing w:val="-3"/>
        </w:rPr>
        <w:t xml:space="preserve"> </w:t>
      </w:r>
      <w:r>
        <w:t>values</w:t>
      </w:r>
      <w:r>
        <w:rPr>
          <w:spacing w:val="-1"/>
        </w:rPr>
        <w:t xml:space="preserve"> </w:t>
      </w:r>
      <w:r>
        <w:t>(such</w:t>
      </w:r>
      <w:r>
        <w:rPr>
          <w:spacing w:val="-3"/>
        </w:rPr>
        <w:t xml:space="preserve"> </w:t>
      </w:r>
      <w:r>
        <w:t>as</w:t>
      </w:r>
      <w:r>
        <w:rPr>
          <w:spacing w:val="-1"/>
        </w:rPr>
        <w:t xml:space="preserve"> </w:t>
      </w:r>
      <w:r>
        <w:t>“#N/A”,</w:t>
      </w:r>
      <w:r>
        <w:rPr>
          <w:spacing w:val="-1"/>
        </w:rPr>
        <w:t xml:space="preserve"> </w:t>
      </w:r>
      <w:r>
        <w:t>“#DIV/0!”, “#REF!”, “#NAME?”, etc.) in this field.</w:t>
      </w:r>
    </w:p>
    <w:p>
      <w:pPr>
        <w:spacing w:before="242"/>
        <w:ind w:left="504" w:right="0" w:firstLine="0"/>
        <w:jc w:val="left"/>
        <w:rPr>
          <w:rFonts w:ascii="Arial" w:hAnsi="Arial"/>
          <w:b/>
          <w:sz w:val="21"/>
        </w:rPr>
      </w:pPr>
      <w:bookmarkStart w:id="298" w:name="Line 9 – Total Estimated Plan Premium"/>
      <w:bookmarkEnd w:id="298"/>
      <w:r>
        <w:rPr>
          <w:rFonts w:ascii="Arial" w:hAnsi="Arial"/>
          <w:b/>
          <w:sz w:val="21"/>
        </w:rPr>
        <w:t>Line</w:t>
      </w:r>
      <w:r>
        <w:rPr>
          <w:rFonts w:ascii="Arial" w:hAnsi="Arial"/>
          <w:b/>
          <w:spacing w:val="-3"/>
          <w:sz w:val="21"/>
        </w:rPr>
        <w:t xml:space="preserve"> </w:t>
      </w:r>
      <w:r>
        <w:rPr>
          <w:rFonts w:ascii="Arial" w:hAnsi="Arial"/>
          <w:b/>
          <w:sz w:val="21"/>
        </w:rPr>
        <w:t>9</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4"/>
          <w:sz w:val="21"/>
        </w:rPr>
        <w:t xml:space="preserve"> </w:t>
      </w:r>
      <w:r>
        <w:rPr>
          <w:rFonts w:ascii="Arial" w:hAnsi="Arial"/>
          <w:b/>
          <w:sz w:val="21"/>
        </w:rPr>
        <w:t>Estimated</w:t>
      </w:r>
      <w:r>
        <w:rPr>
          <w:rFonts w:ascii="Arial" w:hAnsi="Arial"/>
          <w:b/>
          <w:spacing w:val="-5"/>
          <w:sz w:val="21"/>
        </w:rPr>
        <w:t xml:space="preserve"> </w:t>
      </w:r>
      <w:r>
        <w:rPr>
          <w:rFonts w:ascii="Arial" w:hAnsi="Arial"/>
          <w:b/>
          <w:sz w:val="21"/>
        </w:rPr>
        <w:t>Plan</w:t>
      </w:r>
      <w:r>
        <w:rPr>
          <w:rFonts w:ascii="Arial" w:hAnsi="Arial"/>
          <w:b/>
          <w:spacing w:val="-2"/>
          <w:sz w:val="21"/>
        </w:rPr>
        <w:t xml:space="preserve"> Premium</w:t>
      </w:r>
    </w:p>
    <w:p>
      <w:pPr>
        <w:pStyle w:val="BodyText"/>
        <w:spacing w:before="120"/>
        <w:ind w:right="1481"/>
      </w:pPr>
      <w:r>
        <w:t>The</w:t>
      </w:r>
      <w:r>
        <w:rPr>
          <w:spacing w:val="-5"/>
        </w:rPr>
        <w:t xml:space="preserve"> </w:t>
      </w:r>
      <w:r>
        <w:t>sum</w:t>
      </w:r>
      <w:r>
        <w:rPr>
          <w:spacing w:val="-3"/>
        </w:rPr>
        <w:t xml:space="preserve"> </w:t>
      </w:r>
      <w:r>
        <w:t>of</w:t>
      </w:r>
      <w:r>
        <w:rPr>
          <w:spacing w:val="-3"/>
        </w:rPr>
        <w:t xml:space="preserve"> </w:t>
      </w:r>
      <w:r>
        <w:t>the</w:t>
      </w:r>
      <w:r>
        <w:rPr>
          <w:spacing w:val="-5"/>
        </w:rPr>
        <w:t xml:space="preserve"> </w:t>
      </w:r>
      <w:r>
        <w:t>rounded</w:t>
      </w:r>
      <w:r>
        <w:rPr>
          <w:spacing w:val="-1"/>
        </w:rPr>
        <w:t xml:space="preserve"> </w:t>
      </w:r>
      <w:r>
        <w:t>MA,</w:t>
      </w:r>
      <w:r>
        <w:rPr>
          <w:spacing w:val="-3"/>
        </w:rPr>
        <w:t xml:space="preserve"> </w:t>
      </w:r>
      <w:r>
        <w:t>Part</w:t>
      </w:r>
      <w:r>
        <w:rPr>
          <w:spacing w:val="-3"/>
        </w:rPr>
        <w:t xml:space="preserve"> </w:t>
      </w:r>
      <w:r>
        <w:t>D</w:t>
      </w:r>
      <w:r>
        <w:rPr>
          <w:spacing w:val="-4"/>
        </w:rPr>
        <w:t xml:space="preserve"> </w:t>
      </w:r>
      <w:r>
        <w:t>basic,</w:t>
      </w:r>
      <w:r>
        <w:rPr>
          <w:spacing w:val="-3"/>
        </w:rPr>
        <w:t xml:space="preserve"> </w:t>
      </w:r>
      <w:r>
        <w:t>and</w:t>
      </w:r>
      <w:r>
        <w:rPr>
          <w:spacing w:val="-3"/>
        </w:rPr>
        <w:t xml:space="preserve"> </w:t>
      </w:r>
      <w:r>
        <w:t>Part</w:t>
      </w:r>
      <w:r>
        <w:rPr>
          <w:spacing w:val="-3"/>
        </w:rPr>
        <w:t xml:space="preserve"> </w:t>
      </w:r>
      <w:r>
        <w:t>D</w:t>
      </w:r>
      <w:r>
        <w:rPr>
          <w:spacing w:val="-4"/>
        </w:rPr>
        <w:t xml:space="preserve"> </w:t>
      </w:r>
      <w:r>
        <w:t>supplemental</w:t>
      </w:r>
      <w:r>
        <w:rPr>
          <w:spacing w:val="-3"/>
        </w:rPr>
        <w:t xml:space="preserve"> </w:t>
      </w:r>
      <w:r>
        <w:t>premiums</w:t>
      </w:r>
      <w:r>
        <w:rPr>
          <w:spacing w:val="-4"/>
        </w:rPr>
        <w:t xml:space="preserve"> </w:t>
      </w:r>
      <w:r>
        <w:t>after</w:t>
      </w:r>
      <w:r>
        <w:rPr>
          <w:spacing w:val="-5"/>
        </w:rPr>
        <w:t xml:space="preserve"> </w:t>
      </w:r>
      <w:r>
        <w:t>rebates. This amount excludes any optional supplemental MA premiums, which are calculated on Worksheet 7. The value must be greater than or equal to zero.</w:t>
      </w:r>
    </w:p>
    <w:p>
      <w:pPr>
        <w:pStyle w:val="BodyText"/>
        <w:spacing w:before="120"/>
        <w:ind w:right="1443"/>
      </w:pPr>
      <w:r>
        <w:t>The</w:t>
      </w:r>
      <w:r>
        <w:rPr>
          <w:spacing w:val="-5"/>
        </w:rPr>
        <w:t xml:space="preserve"> </w:t>
      </w:r>
      <w:r>
        <w:t>BPT</w:t>
      </w:r>
      <w:r>
        <w:rPr>
          <w:spacing w:val="-3"/>
        </w:rPr>
        <w:t xml:space="preserve"> </w:t>
      </w:r>
      <w:r>
        <w:t>will</w:t>
      </w:r>
      <w:r>
        <w:rPr>
          <w:spacing w:val="-3"/>
        </w:rPr>
        <w:t xml:space="preserve"> </w:t>
      </w:r>
      <w:r>
        <w:t>not</w:t>
      </w:r>
      <w:r>
        <w:rPr>
          <w:spacing w:val="-3"/>
        </w:rPr>
        <w:t xml:space="preserve"> </w:t>
      </w:r>
      <w:r>
        <w:t>finalize</w:t>
      </w:r>
      <w:r>
        <w:rPr>
          <w:spacing w:val="-4"/>
        </w:rPr>
        <w:t xml:space="preserve"> </w:t>
      </w:r>
      <w:r>
        <w:t>if</w:t>
      </w:r>
      <w:r>
        <w:rPr>
          <w:spacing w:val="-3"/>
        </w:rPr>
        <w:t xml:space="preserve"> </w:t>
      </w:r>
      <w:r>
        <w:t>there</w:t>
      </w:r>
      <w:r>
        <w:rPr>
          <w:spacing w:val="-5"/>
        </w:rPr>
        <w:t xml:space="preserve"> </w:t>
      </w:r>
      <w:r>
        <w:t>are</w:t>
      </w:r>
      <w:r>
        <w:rPr>
          <w:spacing w:val="-5"/>
        </w:rPr>
        <w:t xml:space="preserve"> </w:t>
      </w:r>
      <w:r>
        <w:t>any</w:t>
      </w:r>
      <w:r>
        <w:rPr>
          <w:spacing w:val="-3"/>
        </w:rPr>
        <w:t xml:space="preserve"> </w:t>
      </w:r>
      <w:r>
        <w:t>invalid</w:t>
      </w:r>
      <w:r>
        <w:rPr>
          <w:spacing w:val="-3"/>
        </w:rPr>
        <w:t xml:space="preserve"> </w:t>
      </w:r>
      <w:r>
        <w:t>values</w:t>
      </w:r>
      <w:r>
        <w:rPr>
          <w:spacing w:val="-1"/>
        </w:rPr>
        <w:t xml:space="preserve"> </w:t>
      </w:r>
      <w:r>
        <w:t>(such</w:t>
      </w:r>
      <w:r>
        <w:rPr>
          <w:spacing w:val="-3"/>
        </w:rPr>
        <w:t xml:space="preserve"> </w:t>
      </w:r>
      <w:r>
        <w:t>as</w:t>
      </w:r>
      <w:r>
        <w:rPr>
          <w:spacing w:val="-1"/>
        </w:rPr>
        <w:t xml:space="preserve"> </w:t>
      </w:r>
      <w:r>
        <w:t>“#N/A”,</w:t>
      </w:r>
      <w:r>
        <w:rPr>
          <w:spacing w:val="-1"/>
        </w:rPr>
        <w:t xml:space="preserve"> </w:t>
      </w:r>
      <w:r>
        <w:t>“#DIV/0!”,</w:t>
      </w:r>
      <w:r>
        <w:rPr>
          <w:spacing w:val="-1"/>
        </w:rPr>
        <w:t xml:space="preserve"> </w:t>
      </w:r>
      <w:r>
        <w:t>“#REF!”, “#NAME?”, etc.) in this field.</w:t>
      </w:r>
    </w:p>
    <w:p>
      <w:pPr>
        <w:spacing w:before="241"/>
        <w:ind w:left="504" w:right="0" w:firstLine="0"/>
        <w:jc w:val="left"/>
        <w:rPr>
          <w:rFonts w:ascii="Arial" w:hAnsi="Arial"/>
          <w:b/>
          <w:sz w:val="21"/>
        </w:rPr>
      </w:pPr>
      <w:bookmarkStart w:id="299" w:name="Line 10 – Plan Intention for Target Part"/>
      <w:bookmarkEnd w:id="299"/>
      <w:r>
        <w:rPr>
          <w:rFonts w:ascii="Arial" w:hAnsi="Arial"/>
          <w:b/>
          <w:sz w:val="21"/>
        </w:rPr>
        <w:t>Line</w:t>
      </w:r>
      <w:r>
        <w:rPr>
          <w:rFonts w:ascii="Arial" w:hAnsi="Arial"/>
          <w:b/>
          <w:spacing w:val="-4"/>
          <w:sz w:val="21"/>
        </w:rPr>
        <w:t xml:space="preserve"> </w:t>
      </w:r>
      <w:r>
        <w:rPr>
          <w:rFonts w:ascii="Arial" w:hAnsi="Arial"/>
          <w:b/>
          <w:sz w:val="21"/>
        </w:rPr>
        <w:t>10</w:t>
      </w:r>
      <w:r>
        <w:rPr>
          <w:rFonts w:ascii="Arial" w:hAnsi="Arial"/>
          <w:b/>
          <w:spacing w:val="-3"/>
          <w:sz w:val="21"/>
        </w:rPr>
        <w:t xml:space="preserve"> </w:t>
      </w:r>
      <w:r>
        <w:rPr>
          <w:rFonts w:ascii="Arial" w:hAnsi="Arial"/>
          <w:b/>
          <w:sz w:val="21"/>
        </w:rPr>
        <w:t>–</w:t>
      </w:r>
      <w:r>
        <w:rPr>
          <w:rFonts w:ascii="Arial" w:hAnsi="Arial"/>
          <w:b/>
          <w:spacing w:val="-6"/>
          <w:sz w:val="21"/>
        </w:rPr>
        <w:t xml:space="preserve"> </w:t>
      </w:r>
      <w:r>
        <w:rPr>
          <w:rFonts w:ascii="Arial" w:hAnsi="Arial"/>
          <w:b/>
          <w:sz w:val="21"/>
        </w:rPr>
        <w:t>Plan</w:t>
      </w:r>
      <w:r>
        <w:rPr>
          <w:rFonts w:ascii="Arial" w:hAnsi="Arial"/>
          <w:b/>
          <w:spacing w:val="-3"/>
          <w:sz w:val="21"/>
        </w:rPr>
        <w:t xml:space="preserve"> </w:t>
      </w:r>
      <w:r>
        <w:rPr>
          <w:rFonts w:ascii="Arial" w:hAnsi="Arial"/>
          <w:b/>
          <w:sz w:val="21"/>
        </w:rPr>
        <w:t>Intention</w:t>
      </w:r>
      <w:r>
        <w:rPr>
          <w:rFonts w:ascii="Arial" w:hAnsi="Arial"/>
          <w:b/>
          <w:spacing w:val="-3"/>
          <w:sz w:val="21"/>
        </w:rPr>
        <w:t xml:space="preserve"> </w:t>
      </w:r>
      <w:r>
        <w:rPr>
          <w:rFonts w:ascii="Arial" w:hAnsi="Arial"/>
          <w:b/>
          <w:sz w:val="21"/>
        </w:rPr>
        <w:t>for</w:t>
      </w:r>
      <w:r>
        <w:rPr>
          <w:rFonts w:ascii="Arial" w:hAnsi="Arial"/>
          <w:b/>
          <w:spacing w:val="-5"/>
          <w:sz w:val="21"/>
        </w:rPr>
        <w:t xml:space="preserve"> </w:t>
      </w:r>
      <w:r>
        <w:rPr>
          <w:rFonts w:ascii="Arial" w:hAnsi="Arial"/>
          <w:b/>
          <w:sz w:val="21"/>
        </w:rPr>
        <w:t>Target</w:t>
      </w:r>
      <w:r>
        <w:rPr>
          <w:rFonts w:ascii="Arial" w:hAnsi="Arial"/>
          <w:b/>
          <w:spacing w:val="-4"/>
          <w:sz w:val="21"/>
        </w:rPr>
        <w:t xml:space="preserve"> </w:t>
      </w:r>
      <w:r>
        <w:rPr>
          <w:rFonts w:ascii="Arial" w:hAnsi="Arial"/>
          <w:b/>
          <w:sz w:val="21"/>
        </w:rPr>
        <w:t>Part</w:t>
      </w:r>
      <w:r>
        <w:rPr>
          <w:rFonts w:ascii="Arial" w:hAnsi="Arial"/>
          <w:b/>
          <w:spacing w:val="-8"/>
          <w:sz w:val="21"/>
        </w:rPr>
        <w:t xml:space="preserve"> </w:t>
      </w:r>
      <w:r>
        <w:rPr>
          <w:rFonts w:ascii="Arial" w:hAnsi="Arial"/>
          <w:b/>
          <w:sz w:val="21"/>
        </w:rPr>
        <w:t>D</w:t>
      </w:r>
      <w:r>
        <w:rPr>
          <w:rFonts w:ascii="Arial" w:hAnsi="Arial"/>
          <w:b/>
          <w:spacing w:val="-2"/>
          <w:sz w:val="21"/>
        </w:rPr>
        <w:t xml:space="preserve"> </w:t>
      </w:r>
      <w:r>
        <w:rPr>
          <w:rFonts w:ascii="Arial" w:hAnsi="Arial"/>
          <w:b/>
          <w:sz w:val="21"/>
        </w:rPr>
        <w:t>Basic</w:t>
      </w:r>
      <w:r>
        <w:rPr>
          <w:rFonts w:ascii="Arial" w:hAnsi="Arial"/>
          <w:b/>
          <w:spacing w:val="-3"/>
          <w:sz w:val="21"/>
        </w:rPr>
        <w:t xml:space="preserve"> </w:t>
      </w:r>
      <w:r>
        <w:rPr>
          <w:rFonts w:ascii="Arial" w:hAnsi="Arial"/>
          <w:b/>
          <w:spacing w:val="-2"/>
          <w:sz w:val="21"/>
        </w:rPr>
        <w:t>Premium</w:t>
      </w:r>
    </w:p>
    <w:p>
      <w:pPr>
        <w:pStyle w:val="BodyText"/>
        <w:spacing w:before="117"/>
        <w:ind w:right="1481"/>
      </w:pPr>
      <w:r>
        <w:t>For</w:t>
      </w:r>
      <w:r>
        <w:rPr>
          <w:spacing w:val="-4"/>
        </w:rPr>
        <w:t xml:space="preserve"> </w:t>
      </w:r>
      <w:r>
        <w:t>MA-PD</w:t>
      </w:r>
      <w:r>
        <w:rPr>
          <w:spacing w:val="-4"/>
        </w:rPr>
        <w:t xml:space="preserve"> </w:t>
      </w:r>
      <w:r>
        <w:t>plans,</w:t>
      </w:r>
      <w:r>
        <w:rPr>
          <w:spacing w:val="-3"/>
        </w:rPr>
        <w:t xml:space="preserve"> </w:t>
      </w:r>
      <w:r>
        <w:t>this</w:t>
      </w:r>
      <w:r>
        <w:rPr>
          <w:spacing w:val="-4"/>
        </w:rPr>
        <w:t xml:space="preserve"> </w:t>
      </w:r>
      <w:r>
        <w:t>field</w:t>
      </w:r>
      <w:r>
        <w:rPr>
          <w:spacing w:val="-3"/>
        </w:rPr>
        <w:t xml:space="preserve"> </w:t>
      </w:r>
      <w:r>
        <w:t>contains</w:t>
      </w:r>
      <w:r>
        <w:rPr>
          <w:spacing w:val="-4"/>
        </w:rPr>
        <w:t xml:space="preserve"> </w:t>
      </w:r>
      <w:r>
        <w:t>a</w:t>
      </w:r>
      <w:r>
        <w:rPr>
          <w:spacing w:val="-3"/>
        </w:rPr>
        <w:t xml:space="preserve"> </w:t>
      </w:r>
      <w:r>
        <w:t>drop-down</w:t>
      </w:r>
      <w:r>
        <w:rPr>
          <w:spacing w:val="-2"/>
        </w:rPr>
        <w:t xml:space="preserve"> </w:t>
      </w:r>
      <w:r>
        <w:t>menu</w:t>
      </w:r>
      <w:r>
        <w:rPr>
          <w:spacing w:val="-3"/>
        </w:rPr>
        <w:t xml:space="preserve"> </w:t>
      </w:r>
      <w:r>
        <w:t>with</w:t>
      </w:r>
      <w:r>
        <w:rPr>
          <w:spacing w:val="-3"/>
        </w:rPr>
        <w:t xml:space="preserve"> </w:t>
      </w:r>
      <w:r>
        <w:t>two</w:t>
      </w:r>
      <w:r>
        <w:rPr>
          <w:spacing w:val="-3"/>
        </w:rPr>
        <w:t xml:space="preserve"> </w:t>
      </w:r>
      <w:r>
        <w:t>options:</w:t>
      </w:r>
      <w:r>
        <w:rPr>
          <w:spacing w:val="-5"/>
        </w:rPr>
        <w:t xml:space="preserve"> </w:t>
      </w:r>
      <w:r>
        <w:t>“Premium</w:t>
      </w:r>
      <w:r>
        <w:rPr>
          <w:spacing w:val="-3"/>
        </w:rPr>
        <w:t xml:space="preserve"> </w:t>
      </w:r>
      <w:r>
        <w:t>amount displayed in line 7d” or “Low Income Premium Subsidy Amount.” MA-PD sponsors must choose one of these two options for the target Part D basic premium in the initial June bid submission and cannot change the chosen target in a subsequent resubmission. CMS will consider only the option chosen in June as the plan’s intention.</w:t>
      </w:r>
    </w:p>
    <w:p>
      <w:pPr>
        <w:pStyle w:val="BodyText"/>
        <w:spacing w:before="121"/>
      </w:pPr>
      <w:r>
        <w:t>For</w:t>
      </w:r>
      <w:r>
        <w:rPr>
          <w:spacing w:val="-1"/>
        </w:rPr>
        <w:t xml:space="preserve"> </w:t>
      </w:r>
      <w:r>
        <w:t>MA-only</w:t>
      </w:r>
      <w:r>
        <w:rPr>
          <w:spacing w:val="-1"/>
        </w:rPr>
        <w:t xml:space="preserve"> </w:t>
      </w:r>
      <w:r>
        <w:t>plans,</w:t>
      </w:r>
      <w:r>
        <w:rPr>
          <w:spacing w:val="-1"/>
        </w:rPr>
        <w:t xml:space="preserve"> </w:t>
      </w:r>
      <w:r>
        <w:t>the</w:t>
      </w:r>
      <w:r>
        <w:rPr>
          <w:spacing w:val="-1"/>
        </w:rPr>
        <w:t xml:space="preserve"> </w:t>
      </w:r>
      <w:r>
        <w:t>target Part</w:t>
      </w:r>
      <w:r>
        <w:rPr>
          <w:spacing w:val="-1"/>
        </w:rPr>
        <w:t xml:space="preserve"> </w:t>
      </w:r>
      <w:r>
        <w:t>D</w:t>
      </w:r>
      <w:r>
        <w:rPr>
          <w:spacing w:val="-2"/>
        </w:rPr>
        <w:t xml:space="preserve"> </w:t>
      </w:r>
      <w:r>
        <w:t>basic premium</w:t>
      </w:r>
      <w:r>
        <w:rPr>
          <w:spacing w:val="-1"/>
        </w:rPr>
        <w:t xml:space="preserve"> </w:t>
      </w:r>
      <w:r>
        <w:t>is</w:t>
      </w:r>
      <w:r>
        <w:rPr>
          <w:spacing w:val="-2"/>
        </w:rPr>
        <w:t xml:space="preserve"> </w:t>
      </w:r>
      <w:r>
        <w:t xml:space="preserve">not </w:t>
      </w:r>
      <w:r>
        <w:rPr>
          <w:spacing w:val="-2"/>
        </w:rPr>
        <w:t>applicable.</w:t>
      </w:r>
    </w:p>
    <w:p>
      <w:pPr>
        <w:pStyle w:val="BodyText"/>
        <w:spacing w:before="120"/>
        <w:ind w:right="1481"/>
      </w:pPr>
      <w:r>
        <w:t>See</w:t>
      </w:r>
      <w:r>
        <w:rPr>
          <w:spacing w:val="-4"/>
        </w:rPr>
        <w:t xml:space="preserve"> </w:t>
      </w:r>
      <w:r>
        <w:t>the</w:t>
      </w:r>
      <w:r>
        <w:rPr>
          <w:spacing w:val="-3"/>
        </w:rPr>
        <w:t xml:space="preserve"> </w:t>
      </w:r>
      <w:r>
        <w:t>“Plan</w:t>
      </w:r>
      <w:r>
        <w:rPr>
          <w:spacing w:val="-2"/>
        </w:rPr>
        <w:t xml:space="preserve"> </w:t>
      </w:r>
      <w:r>
        <w:t>Intention</w:t>
      </w:r>
      <w:r>
        <w:rPr>
          <w:spacing w:val="-3"/>
        </w:rPr>
        <w:t xml:space="preserve"> </w:t>
      </w:r>
      <w:r>
        <w:t>for</w:t>
      </w:r>
      <w:r>
        <w:rPr>
          <w:spacing w:val="-3"/>
        </w:rPr>
        <w:t xml:space="preserve"> </w:t>
      </w:r>
      <w:r>
        <w:t>Target</w:t>
      </w:r>
      <w:r>
        <w:rPr>
          <w:spacing w:val="-1"/>
        </w:rPr>
        <w:t xml:space="preserve"> </w:t>
      </w:r>
      <w:r>
        <w:t>Part</w:t>
      </w:r>
      <w:r>
        <w:rPr>
          <w:spacing w:val="-3"/>
        </w:rPr>
        <w:t xml:space="preserve"> </w:t>
      </w:r>
      <w:r>
        <w:t>D</w:t>
      </w:r>
      <w:r>
        <w:rPr>
          <w:spacing w:val="-4"/>
        </w:rPr>
        <w:t xml:space="preserve"> </w:t>
      </w:r>
      <w:r>
        <w:t>Basic</w:t>
      </w:r>
      <w:r>
        <w:rPr>
          <w:spacing w:val="-3"/>
        </w:rPr>
        <w:t xml:space="preserve"> </w:t>
      </w:r>
      <w:r>
        <w:t>Premium”</w:t>
      </w:r>
      <w:r>
        <w:rPr>
          <w:spacing w:val="-4"/>
        </w:rPr>
        <w:t xml:space="preserve"> </w:t>
      </w:r>
      <w:r>
        <w:t>pricing</w:t>
      </w:r>
      <w:r>
        <w:rPr>
          <w:spacing w:val="-3"/>
        </w:rPr>
        <w:t xml:space="preserve"> </w:t>
      </w:r>
      <w:r>
        <w:t>consideration</w:t>
      </w:r>
      <w:r>
        <w:rPr>
          <w:spacing w:val="-3"/>
        </w:rPr>
        <w:t xml:space="preserve"> </w:t>
      </w:r>
      <w:r>
        <w:t>for</w:t>
      </w:r>
      <w:r>
        <w:rPr>
          <w:spacing w:val="-5"/>
        </w:rPr>
        <w:t xml:space="preserve"> </w:t>
      </w:r>
      <w:r>
        <w:t>more information on the target Part D basic premium.</w:t>
      </w:r>
    </w:p>
    <w:p>
      <w:pPr>
        <w:pStyle w:val="BodyText"/>
        <w:spacing w:after="0"/>
        <w:sectPr>
          <w:pgSz w:w="12240" w:h="15840"/>
          <w:pgMar w:top="960" w:right="0" w:bottom="940" w:left="1080" w:header="727" w:footer="747"/>
          <w:cols w:space="720"/>
        </w:sectPr>
      </w:pPr>
    </w:p>
    <w:p>
      <w:pPr>
        <w:pStyle w:val="BodyText"/>
        <w:spacing w:before="226"/>
        <w:ind w:left="0"/>
        <w:rPr>
          <w:sz w:val="21"/>
        </w:rPr>
      </w:pPr>
    </w:p>
    <w:p>
      <w:pPr>
        <w:pStyle w:val="Heading2"/>
      </w:pPr>
      <w:bookmarkStart w:id="300" w:name="Section IV – Contact Information and Dat"/>
      <w:bookmarkEnd w:id="300"/>
      <w:bookmarkStart w:id="301" w:name="_bookmark75"/>
      <w:bookmarkEnd w:id="301"/>
      <w:r>
        <w:rPr>
          <w:smallCaps/>
        </w:rPr>
        <w:t>Section</w:t>
      </w:r>
      <w:r>
        <w:rPr>
          <w:smallCaps/>
          <w:spacing w:val="-15"/>
        </w:rPr>
        <w:t xml:space="preserve"> </w:t>
      </w:r>
      <w:r>
        <w:rPr>
          <w:smallCaps/>
        </w:rPr>
        <w:t>IV</w:t>
      </w:r>
      <w:r>
        <w:rPr>
          <w:smallCaps/>
          <w:spacing w:val="-15"/>
        </w:rPr>
        <w:t xml:space="preserve"> </w:t>
      </w:r>
      <w:r>
        <w:rPr>
          <w:smallCaps/>
        </w:rPr>
        <w:t>–</w:t>
      </w:r>
      <w:r>
        <w:rPr>
          <w:smallCaps/>
          <w:spacing w:val="-15"/>
        </w:rPr>
        <w:t xml:space="preserve"> </w:t>
      </w:r>
      <w:r>
        <w:rPr>
          <w:smallCaps/>
        </w:rPr>
        <w:t>Contact</w:t>
      </w:r>
      <w:r>
        <w:rPr>
          <w:smallCaps/>
          <w:spacing w:val="-9"/>
        </w:rPr>
        <w:t xml:space="preserve"> </w:t>
      </w:r>
      <w:r>
        <w:rPr>
          <w:smallCaps/>
        </w:rPr>
        <w:t>Information</w:t>
      </w:r>
      <w:r>
        <w:rPr>
          <w:smallCaps/>
          <w:spacing w:val="-7"/>
        </w:rPr>
        <w:t xml:space="preserve"> </w:t>
      </w:r>
      <w:r>
        <w:rPr>
          <w:smallCaps/>
        </w:rPr>
        <w:t>and</w:t>
      </w:r>
      <w:r>
        <w:rPr>
          <w:smallCaps/>
          <w:spacing w:val="-8"/>
        </w:rPr>
        <w:t xml:space="preserve"> </w:t>
      </w:r>
      <w:r>
        <w:rPr>
          <w:smallCaps/>
        </w:rPr>
        <w:t>Date</w:t>
      </w:r>
      <w:r>
        <w:rPr>
          <w:smallCaps/>
          <w:spacing w:val="-8"/>
        </w:rPr>
        <w:t xml:space="preserve"> </w:t>
      </w:r>
      <w:r>
        <w:rPr>
          <w:smallCaps/>
          <w:spacing w:val="-2"/>
        </w:rPr>
        <w:t>Prepared</w:t>
      </w:r>
    </w:p>
    <w:p>
      <w:pPr>
        <w:pStyle w:val="BodyText"/>
        <w:spacing w:before="180"/>
        <w:ind w:right="1481"/>
      </w:pPr>
      <w:r>
        <w:t>MAOs</w:t>
      </w:r>
      <w:r>
        <w:rPr>
          <w:spacing w:val="-4"/>
        </w:rPr>
        <w:t xml:space="preserve"> </w:t>
      </w:r>
      <w:r>
        <w:t>must</w:t>
      </w:r>
      <w:r>
        <w:rPr>
          <w:spacing w:val="-3"/>
        </w:rPr>
        <w:t xml:space="preserve"> </w:t>
      </w:r>
      <w:r>
        <w:t>identify</w:t>
      </w:r>
      <w:r>
        <w:rPr>
          <w:spacing w:val="-3"/>
        </w:rPr>
        <w:t xml:space="preserve"> </w:t>
      </w:r>
      <w:r>
        <w:t>three</w:t>
      </w:r>
      <w:r>
        <w:rPr>
          <w:spacing w:val="-4"/>
        </w:rPr>
        <w:t xml:space="preserve"> </w:t>
      </w:r>
      <w:r>
        <w:t>persons</w:t>
      </w:r>
      <w:r>
        <w:rPr>
          <w:spacing w:val="-4"/>
        </w:rPr>
        <w:t xml:space="preserve"> </w:t>
      </w:r>
      <w:r>
        <w:t>as</w:t>
      </w:r>
      <w:r>
        <w:rPr>
          <w:spacing w:val="-2"/>
        </w:rPr>
        <w:t xml:space="preserve"> </w:t>
      </w:r>
      <w:r>
        <w:t>the</w:t>
      </w:r>
      <w:r>
        <w:rPr>
          <w:spacing w:val="-4"/>
        </w:rPr>
        <w:t xml:space="preserve"> </w:t>
      </w:r>
      <w:r>
        <w:t>MA</w:t>
      </w:r>
      <w:r>
        <w:rPr>
          <w:spacing w:val="-4"/>
        </w:rPr>
        <w:t xml:space="preserve"> </w:t>
      </w:r>
      <w:r>
        <w:t>plan</w:t>
      </w:r>
      <w:r>
        <w:rPr>
          <w:spacing w:val="-1"/>
        </w:rPr>
        <w:t xml:space="preserve"> </w:t>
      </w:r>
      <w:r>
        <w:t>bid</w:t>
      </w:r>
      <w:r>
        <w:rPr>
          <w:spacing w:val="-3"/>
        </w:rPr>
        <w:t xml:space="preserve"> </w:t>
      </w:r>
      <w:r>
        <w:t>contact,</w:t>
      </w:r>
      <w:r>
        <w:rPr>
          <w:spacing w:val="-3"/>
        </w:rPr>
        <w:t xml:space="preserve"> </w:t>
      </w:r>
      <w:r>
        <w:t>the</w:t>
      </w:r>
      <w:r>
        <w:rPr>
          <w:spacing w:val="-4"/>
        </w:rPr>
        <w:t xml:space="preserve"> </w:t>
      </w:r>
      <w:r>
        <w:t>MA</w:t>
      </w:r>
      <w:r>
        <w:rPr>
          <w:spacing w:val="-4"/>
        </w:rPr>
        <w:t xml:space="preserve"> </w:t>
      </w:r>
      <w:r>
        <w:t>certifying</w:t>
      </w:r>
      <w:r>
        <w:rPr>
          <w:spacing w:val="-3"/>
        </w:rPr>
        <w:t xml:space="preserve"> </w:t>
      </w:r>
      <w:r>
        <w:t>actuary,</w:t>
      </w:r>
      <w:r>
        <w:rPr>
          <w:spacing w:val="-1"/>
        </w:rPr>
        <w:t xml:space="preserve"> </w:t>
      </w:r>
      <w:r>
        <w:t>and the MA additional actuarial BPT contact. However, the MAO may designate a centralized mailbox as the “Email Address” for any of the three contacts.</w:t>
      </w:r>
    </w:p>
    <w:p>
      <w:pPr>
        <w:pStyle w:val="BodyText"/>
        <w:spacing w:before="120"/>
        <w:ind w:right="1481"/>
      </w:pPr>
      <w:r>
        <w:t>The</w:t>
      </w:r>
      <w:r>
        <w:rPr>
          <w:spacing w:val="-5"/>
        </w:rPr>
        <w:t xml:space="preserve"> </w:t>
      </w:r>
      <w:r>
        <w:t>MA</w:t>
      </w:r>
      <w:r>
        <w:rPr>
          <w:spacing w:val="-4"/>
        </w:rPr>
        <w:t xml:space="preserve"> </w:t>
      </w:r>
      <w:r>
        <w:t>certifying</w:t>
      </w:r>
      <w:r>
        <w:rPr>
          <w:spacing w:val="-3"/>
        </w:rPr>
        <w:t xml:space="preserve"> </w:t>
      </w:r>
      <w:r>
        <w:t>actuary</w:t>
      </w:r>
      <w:r>
        <w:rPr>
          <w:spacing w:val="-3"/>
        </w:rPr>
        <w:t xml:space="preserve"> </w:t>
      </w:r>
      <w:r>
        <w:t>and</w:t>
      </w:r>
      <w:r>
        <w:rPr>
          <w:spacing w:val="-2"/>
        </w:rPr>
        <w:t xml:space="preserve"> </w:t>
      </w:r>
      <w:r>
        <w:t>the</w:t>
      </w:r>
      <w:r>
        <w:rPr>
          <w:spacing w:val="-4"/>
        </w:rPr>
        <w:t xml:space="preserve"> </w:t>
      </w:r>
      <w:r>
        <w:t>MA</w:t>
      </w:r>
      <w:r>
        <w:rPr>
          <w:spacing w:val="-4"/>
        </w:rPr>
        <w:t xml:space="preserve"> </w:t>
      </w:r>
      <w:r>
        <w:t>additional</w:t>
      </w:r>
      <w:r>
        <w:rPr>
          <w:spacing w:val="-1"/>
        </w:rPr>
        <w:t xml:space="preserve"> </w:t>
      </w:r>
      <w:r>
        <w:t>actuarial</w:t>
      </w:r>
      <w:r>
        <w:rPr>
          <w:spacing w:val="-3"/>
        </w:rPr>
        <w:t xml:space="preserve"> </w:t>
      </w:r>
      <w:r>
        <w:t>BPT</w:t>
      </w:r>
      <w:r>
        <w:rPr>
          <w:spacing w:val="-3"/>
        </w:rPr>
        <w:t xml:space="preserve"> </w:t>
      </w:r>
      <w:r>
        <w:t>contact</w:t>
      </w:r>
      <w:r>
        <w:rPr>
          <w:spacing w:val="-2"/>
        </w:rPr>
        <w:t xml:space="preserve"> </w:t>
      </w:r>
      <w:r>
        <w:t>must</w:t>
      </w:r>
      <w:r>
        <w:rPr>
          <w:spacing w:val="-2"/>
        </w:rPr>
        <w:t xml:space="preserve"> </w:t>
      </w:r>
      <w:r>
        <w:t>be</w:t>
      </w:r>
      <w:r>
        <w:rPr>
          <w:spacing w:val="-4"/>
        </w:rPr>
        <w:t xml:space="preserve"> </w:t>
      </w:r>
      <w:r>
        <w:t>readily available and authorized to discuss the development of the pricing of the bid.</w:t>
      </w:r>
    </w:p>
    <w:p>
      <w:pPr>
        <w:pStyle w:val="BodyText"/>
        <w:spacing w:before="120"/>
        <w:ind w:right="1841"/>
      </w:pPr>
      <w:r>
        <w:t>In this section, enter the name, phone number, and email information for all three contacts; credentials are a required input for the certifying actuary. For the phone number, enter all ten</w:t>
      </w:r>
      <w:r>
        <w:rPr>
          <w:spacing w:val="-4"/>
        </w:rPr>
        <w:t xml:space="preserve"> </w:t>
      </w:r>
      <w:r>
        <w:t>digits</w:t>
      </w:r>
      <w:r>
        <w:rPr>
          <w:spacing w:val="-4"/>
        </w:rPr>
        <w:t xml:space="preserve"> </w:t>
      </w:r>
      <w:r>
        <w:t>consecutively</w:t>
      </w:r>
      <w:r>
        <w:rPr>
          <w:spacing w:val="-3"/>
        </w:rPr>
        <w:t xml:space="preserve"> </w:t>
      </w:r>
      <w:r>
        <w:t>without</w:t>
      </w:r>
      <w:r>
        <w:rPr>
          <w:spacing w:val="-3"/>
        </w:rPr>
        <w:t xml:space="preserve"> </w:t>
      </w:r>
      <w:r>
        <w:t>parentheses</w:t>
      </w:r>
      <w:r>
        <w:rPr>
          <w:spacing w:val="-4"/>
        </w:rPr>
        <w:t xml:space="preserve"> </w:t>
      </w:r>
      <w:r>
        <w:t>or</w:t>
      </w:r>
      <w:r>
        <w:rPr>
          <w:spacing w:val="-3"/>
        </w:rPr>
        <w:t xml:space="preserve"> </w:t>
      </w:r>
      <w:r>
        <w:t>dashes.</w:t>
      </w:r>
      <w:r>
        <w:rPr>
          <w:spacing w:val="-3"/>
        </w:rPr>
        <w:t xml:space="preserve"> </w:t>
      </w:r>
      <w:r>
        <w:t>Do</w:t>
      </w:r>
      <w:r>
        <w:rPr>
          <w:spacing w:val="-3"/>
        </w:rPr>
        <w:t xml:space="preserve"> </w:t>
      </w:r>
      <w:r>
        <w:t>not</w:t>
      </w:r>
      <w:r>
        <w:rPr>
          <w:spacing w:val="-3"/>
        </w:rPr>
        <w:t xml:space="preserve"> </w:t>
      </w:r>
      <w:r>
        <w:t>leave</w:t>
      </w:r>
      <w:r>
        <w:rPr>
          <w:spacing w:val="-4"/>
        </w:rPr>
        <w:t xml:space="preserve"> </w:t>
      </w:r>
      <w:r>
        <w:t>any</w:t>
      </w:r>
      <w:r>
        <w:rPr>
          <w:spacing w:val="-3"/>
        </w:rPr>
        <w:t xml:space="preserve"> </w:t>
      </w:r>
      <w:r>
        <w:t>part</w:t>
      </w:r>
      <w:r>
        <w:rPr>
          <w:spacing w:val="-3"/>
        </w:rPr>
        <w:t xml:space="preserve"> </w:t>
      </w:r>
      <w:r>
        <w:t>of</w:t>
      </w:r>
      <w:r>
        <w:rPr>
          <w:spacing w:val="-4"/>
        </w:rPr>
        <w:t xml:space="preserve"> </w:t>
      </w:r>
      <w:r>
        <w:t>this</w:t>
      </w:r>
      <w:r>
        <w:rPr>
          <w:spacing w:val="-4"/>
        </w:rPr>
        <w:t xml:space="preserve"> </w:t>
      </w:r>
      <w:r>
        <w:t xml:space="preserve">section </w:t>
      </w:r>
      <w:r>
        <w:rPr>
          <w:spacing w:val="-2"/>
        </w:rPr>
        <w:t>blank.</w:t>
      </w:r>
    </w:p>
    <w:p>
      <w:pPr>
        <w:pStyle w:val="BodyText"/>
        <w:spacing w:before="118"/>
        <w:ind w:right="1841"/>
      </w:pPr>
      <w:r>
        <w:t>Section</w:t>
      </w:r>
      <w:r>
        <w:rPr>
          <w:spacing w:val="-3"/>
        </w:rPr>
        <w:t xml:space="preserve"> </w:t>
      </w:r>
      <w:r>
        <w:t>IV</w:t>
      </w:r>
      <w:r>
        <w:rPr>
          <w:spacing w:val="-4"/>
        </w:rPr>
        <w:t xml:space="preserve"> </w:t>
      </w:r>
      <w:r>
        <w:t>also</w:t>
      </w:r>
      <w:r>
        <w:rPr>
          <w:spacing w:val="-3"/>
        </w:rPr>
        <w:t xml:space="preserve"> </w:t>
      </w:r>
      <w:r>
        <w:t>contains</w:t>
      </w:r>
      <w:r>
        <w:rPr>
          <w:spacing w:val="-1"/>
        </w:rPr>
        <w:t xml:space="preserve"> </w:t>
      </w:r>
      <w:r>
        <w:t>a</w:t>
      </w:r>
      <w:r>
        <w:rPr>
          <w:spacing w:val="-4"/>
        </w:rPr>
        <w:t xml:space="preserve"> </w:t>
      </w:r>
      <w:r>
        <w:t>field</w:t>
      </w:r>
      <w:r>
        <w:rPr>
          <w:spacing w:val="-3"/>
        </w:rPr>
        <w:t xml:space="preserve"> </w:t>
      </w:r>
      <w:r>
        <w:t>labeled</w:t>
      </w:r>
      <w:r>
        <w:rPr>
          <w:spacing w:val="-2"/>
        </w:rPr>
        <w:t xml:space="preserve"> </w:t>
      </w:r>
      <w:r>
        <w:t>“Date</w:t>
      </w:r>
      <w:r>
        <w:rPr>
          <w:spacing w:val="-4"/>
        </w:rPr>
        <w:t xml:space="preserve"> </w:t>
      </w:r>
      <w:r>
        <w:t>Prepared.”</w:t>
      </w:r>
      <w:r>
        <w:rPr>
          <w:spacing w:val="-2"/>
        </w:rPr>
        <w:t xml:space="preserve"> </w:t>
      </w:r>
      <w:r>
        <w:t>This</w:t>
      </w:r>
      <w:r>
        <w:rPr>
          <w:spacing w:val="-4"/>
        </w:rPr>
        <w:t xml:space="preserve"> </w:t>
      </w:r>
      <w:r>
        <w:t>field</w:t>
      </w:r>
      <w:r>
        <w:rPr>
          <w:spacing w:val="-3"/>
        </w:rPr>
        <w:t xml:space="preserve"> </w:t>
      </w:r>
      <w:r>
        <w:t>is</w:t>
      </w:r>
      <w:r>
        <w:rPr>
          <w:spacing w:val="-4"/>
        </w:rPr>
        <w:t xml:space="preserve"> </w:t>
      </w:r>
      <w:r>
        <w:t>populated</w:t>
      </w:r>
      <w:r>
        <w:rPr>
          <w:spacing w:val="-3"/>
        </w:rPr>
        <w:t xml:space="preserve"> </w:t>
      </w:r>
      <w:r>
        <w:t>with</w:t>
      </w:r>
      <w:r>
        <w:rPr>
          <w:spacing w:val="-3"/>
        </w:rPr>
        <w:t xml:space="preserve"> </w:t>
      </w:r>
      <w:r>
        <w:t>a date/time stamp during BPT finalization.</w:t>
      </w:r>
    </w:p>
    <w:p>
      <w:pPr>
        <w:pStyle w:val="BodyText"/>
        <w:spacing w:before="45"/>
        <w:ind w:left="0"/>
      </w:pPr>
    </w:p>
    <w:p>
      <w:pPr>
        <w:pStyle w:val="Heading2"/>
      </w:pPr>
      <w:bookmarkStart w:id="302" w:name="Section V – Working Model Text Box"/>
      <w:bookmarkEnd w:id="302"/>
      <w:bookmarkStart w:id="303" w:name="_bookmark76"/>
      <w:bookmarkEnd w:id="303"/>
      <w:r>
        <w:rPr>
          <w:smallCaps/>
        </w:rPr>
        <w:t>Section</w:t>
      </w:r>
      <w:r>
        <w:rPr>
          <w:smallCaps/>
          <w:spacing w:val="-13"/>
        </w:rPr>
        <w:t xml:space="preserve"> </w:t>
      </w:r>
      <w:r>
        <w:rPr>
          <w:smallCaps/>
        </w:rPr>
        <w:t>V</w:t>
      </w:r>
      <w:r>
        <w:rPr>
          <w:smallCaps/>
          <w:spacing w:val="-15"/>
        </w:rPr>
        <w:t xml:space="preserve"> </w:t>
      </w:r>
      <w:r>
        <w:rPr>
          <w:smallCaps/>
        </w:rPr>
        <w:t>–</w:t>
      </w:r>
      <w:r>
        <w:rPr>
          <w:smallCaps/>
          <w:spacing w:val="-15"/>
        </w:rPr>
        <w:t xml:space="preserve"> </w:t>
      </w:r>
      <w:r>
        <w:rPr>
          <w:smallCaps/>
        </w:rPr>
        <w:t>Working</w:t>
      </w:r>
      <w:r>
        <w:rPr>
          <w:smallCaps/>
          <w:spacing w:val="-6"/>
        </w:rPr>
        <w:t xml:space="preserve"> </w:t>
      </w:r>
      <w:r>
        <w:rPr>
          <w:smallCaps/>
        </w:rPr>
        <w:t>Model</w:t>
      </w:r>
      <w:r>
        <w:rPr>
          <w:smallCaps/>
          <w:spacing w:val="-8"/>
        </w:rPr>
        <w:t xml:space="preserve"> </w:t>
      </w:r>
      <w:r>
        <w:rPr>
          <w:smallCaps/>
        </w:rPr>
        <w:t>Text</w:t>
      </w:r>
      <w:r>
        <w:rPr>
          <w:smallCaps/>
          <w:spacing w:val="-4"/>
        </w:rPr>
        <w:t xml:space="preserve"> </w:t>
      </w:r>
      <w:r>
        <w:rPr>
          <w:smallCaps/>
          <w:spacing w:val="-5"/>
        </w:rPr>
        <w:t>Box</w:t>
      </w:r>
    </w:p>
    <w:p>
      <w:pPr>
        <w:pStyle w:val="BodyText"/>
        <w:spacing w:before="179"/>
        <w:ind w:right="1481"/>
      </w:pPr>
      <w:r>
        <w:t>This</w:t>
      </w:r>
      <w:r>
        <w:rPr>
          <w:spacing w:val="-4"/>
        </w:rPr>
        <w:t xml:space="preserve"> </w:t>
      </w:r>
      <w:r>
        <w:t>section</w:t>
      </w:r>
      <w:r>
        <w:rPr>
          <w:spacing w:val="-3"/>
        </w:rPr>
        <w:t xml:space="preserve"> </w:t>
      </w:r>
      <w:r>
        <w:t>contains</w:t>
      </w:r>
      <w:r>
        <w:rPr>
          <w:spacing w:val="-4"/>
        </w:rPr>
        <w:t xml:space="preserve"> </w:t>
      </w:r>
      <w:r>
        <w:t>multiple</w:t>
      </w:r>
      <w:r>
        <w:rPr>
          <w:spacing w:val="-4"/>
        </w:rPr>
        <w:t xml:space="preserve"> </w:t>
      </w:r>
      <w:r>
        <w:t>cells</w:t>
      </w:r>
      <w:r>
        <w:rPr>
          <w:spacing w:val="-4"/>
        </w:rPr>
        <w:t xml:space="preserve"> </w:t>
      </w:r>
      <w:r>
        <w:t>that</w:t>
      </w:r>
      <w:r>
        <w:rPr>
          <w:spacing w:val="-1"/>
        </w:rPr>
        <w:t xml:space="preserve"> </w:t>
      </w:r>
      <w:r>
        <w:t>may</w:t>
      </w:r>
      <w:r>
        <w:rPr>
          <w:spacing w:val="-4"/>
        </w:rPr>
        <w:t xml:space="preserve"> </w:t>
      </w:r>
      <w:r>
        <w:t>be</w:t>
      </w:r>
      <w:r>
        <w:rPr>
          <w:spacing w:val="-4"/>
        </w:rPr>
        <w:t xml:space="preserve"> </w:t>
      </w:r>
      <w:r>
        <w:t>used</w:t>
      </w:r>
      <w:r>
        <w:rPr>
          <w:spacing w:val="-3"/>
        </w:rPr>
        <w:t xml:space="preserve"> </w:t>
      </w:r>
      <w:r>
        <w:t>by</w:t>
      </w:r>
      <w:r>
        <w:rPr>
          <w:spacing w:val="-3"/>
        </w:rPr>
        <w:t xml:space="preserve"> </w:t>
      </w:r>
      <w:r>
        <w:t>bid</w:t>
      </w:r>
      <w:r>
        <w:rPr>
          <w:spacing w:val="-3"/>
        </w:rPr>
        <w:t xml:space="preserve"> </w:t>
      </w:r>
      <w:r>
        <w:t>preparers</w:t>
      </w:r>
      <w:r>
        <w:rPr>
          <w:spacing w:val="-4"/>
        </w:rPr>
        <w:t xml:space="preserve"> </w:t>
      </w:r>
      <w:r>
        <w:t>to</w:t>
      </w:r>
      <w:r>
        <w:rPr>
          <w:spacing w:val="-3"/>
        </w:rPr>
        <w:t xml:space="preserve"> </w:t>
      </w:r>
      <w:r>
        <w:t>enter</w:t>
      </w:r>
      <w:r>
        <w:rPr>
          <w:spacing w:val="-3"/>
        </w:rPr>
        <w:t xml:space="preserve"> </w:t>
      </w:r>
      <w:r>
        <w:t>internal</w:t>
      </w:r>
      <w:r>
        <w:rPr>
          <w:spacing w:val="-3"/>
        </w:rPr>
        <w:t xml:space="preserve"> </w:t>
      </w:r>
      <w:r>
        <w:t>notes—for example, to facilitate communication between BPT and PBP preparers or to track internal version schemes.</w:t>
      </w:r>
    </w:p>
    <w:p>
      <w:pPr>
        <w:pStyle w:val="BodyText"/>
        <w:spacing w:before="120"/>
        <w:ind w:right="1524"/>
      </w:pPr>
      <w:r>
        <w:t>Section V will be deleted from the finalized file and therefore will not be uploaded to HPMS. Bid</w:t>
      </w:r>
      <w:r>
        <w:rPr>
          <w:spacing w:val="-3"/>
        </w:rPr>
        <w:t xml:space="preserve"> </w:t>
      </w:r>
      <w:r>
        <w:t>preparers</w:t>
      </w:r>
      <w:r>
        <w:rPr>
          <w:spacing w:val="-4"/>
        </w:rPr>
        <w:t xml:space="preserve"> </w:t>
      </w:r>
      <w:r>
        <w:t>must</w:t>
      </w:r>
      <w:r>
        <w:rPr>
          <w:spacing w:val="-3"/>
        </w:rPr>
        <w:t xml:space="preserve"> </w:t>
      </w:r>
      <w:r>
        <w:t>not</w:t>
      </w:r>
      <w:r>
        <w:rPr>
          <w:spacing w:val="-3"/>
        </w:rPr>
        <w:t xml:space="preserve"> </w:t>
      </w:r>
      <w:r>
        <w:t>enter</w:t>
      </w:r>
      <w:r>
        <w:rPr>
          <w:spacing w:val="-3"/>
        </w:rPr>
        <w:t xml:space="preserve"> </w:t>
      </w:r>
      <w:r>
        <w:t>information</w:t>
      </w:r>
      <w:r>
        <w:rPr>
          <w:spacing w:val="-3"/>
        </w:rPr>
        <w:t xml:space="preserve"> </w:t>
      </w:r>
      <w:r>
        <w:t>in</w:t>
      </w:r>
      <w:r>
        <w:rPr>
          <w:spacing w:val="-3"/>
        </w:rPr>
        <w:t xml:space="preserve"> </w:t>
      </w:r>
      <w:r>
        <w:t>this</w:t>
      </w:r>
      <w:r>
        <w:rPr>
          <w:spacing w:val="-4"/>
        </w:rPr>
        <w:t xml:space="preserve"> </w:t>
      </w:r>
      <w:r>
        <w:t>section</w:t>
      </w:r>
      <w:r>
        <w:rPr>
          <w:spacing w:val="-3"/>
        </w:rPr>
        <w:t xml:space="preserve"> </w:t>
      </w:r>
      <w:r>
        <w:t>meant</w:t>
      </w:r>
      <w:r>
        <w:rPr>
          <w:spacing w:val="-3"/>
        </w:rPr>
        <w:t xml:space="preserve"> </w:t>
      </w:r>
      <w:r>
        <w:t>to</w:t>
      </w:r>
      <w:r>
        <w:rPr>
          <w:spacing w:val="-3"/>
        </w:rPr>
        <w:t xml:space="preserve"> </w:t>
      </w:r>
      <w:r>
        <w:t>be</w:t>
      </w:r>
      <w:r>
        <w:rPr>
          <w:spacing w:val="-4"/>
        </w:rPr>
        <w:t xml:space="preserve"> </w:t>
      </w:r>
      <w:r>
        <w:t>communicated</w:t>
      </w:r>
      <w:r>
        <w:rPr>
          <w:spacing w:val="-3"/>
        </w:rPr>
        <w:t xml:space="preserve"> </w:t>
      </w:r>
      <w:r>
        <w:t>to</w:t>
      </w:r>
      <w:r>
        <w:rPr>
          <w:spacing w:val="-3"/>
        </w:rPr>
        <w:t xml:space="preserve"> </w:t>
      </w:r>
      <w:r>
        <w:t>CMS</w:t>
      </w:r>
      <w:r>
        <w:rPr>
          <w:spacing w:val="-3"/>
        </w:rPr>
        <w:t xml:space="preserve"> </w:t>
      </w:r>
      <w:r>
        <w:t>or to CMS reviewers, as CMS will not have access to it. Section V will not be deleted from the working file or the backup file during finalization.</w:t>
      </w:r>
    </w:p>
    <w:p>
      <w:pPr>
        <w:pStyle w:val="BodyText"/>
        <w:spacing w:after="0"/>
        <w:sectPr>
          <w:pgSz w:w="12240" w:h="15840"/>
          <w:pgMar w:top="960" w:right="0" w:bottom="940" w:left="1080" w:header="727" w:footer="747"/>
          <w:cols w:space="720"/>
        </w:sectPr>
      </w:pPr>
    </w:p>
    <w:p>
      <w:pPr>
        <w:pStyle w:val="BodyText"/>
        <w:spacing w:before="264"/>
        <w:ind w:left="0"/>
        <w:rPr>
          <w:sz w:val="28"/>
        </w:rPr>
      </w:pPr>
    </w:p>
    <w:p>
      <w:pPr>
        <w:pStyle w:val="Heading1"/>
        <w:tabs>
          <w:tab w:val="left" w:pos="9750"/>
        </w:tabs>
        <w:rPr>
          <w:u w:val="none"/>
        </w:rPr>
      </w:pPr>
      <w:bookmarkStart w:id="304" w:name="MA Worksheet 7 – Optional Supplemental B"/>
      <w:bookmarkEnd w:id="304"/>
      <w:bookmarkStart w:id="305" w:name="_bookmark77"/>
      <w:bookmarkEnd w:id="305"/>
      <w:r>
        <w:rPr>
          <w:spacing w:val="-52"/>
          <w:u w:val="single"/>
        </w:rPr>
        <w:t xml:space="preserve"> </w:t>
      </w:r>
      <w:r>
        <w:rPr>
          <w:u w:val="single"/>
        </w:rPr>
        <w:t>MA</w:t>
      </w:r>
      <w:r>
        <w:rPr>
          <w:spacing w:val="-8"/>
          <w:u w:val="single"/>
        </w:rPr>
        <w:t xml:space="preserve"> </w:t>
      </w:r>
      <w:r>
        <w:rPr>
          <w:u w:val="single"/>
        </w:rPr>
        <w:t>WORKSHEET</w:t>
      </w:r>
      <w:r>
        <w:rPr>
          <w:spacing w:val="-5"/>
          <w:u w:val="single"/>
        </w:rPr>
        <w:t xml:space="preserve"> </w:t>
      </w:r>
      <w:r>
        <w:rPr>
          <w:u w:val="single"/>
        </w:rPr>
        <w:t>7</w:t>
      </w:r>
      <w:r>
        <w:rPr>
          <w:spacing w:val="-5"/>
          <w:u w:val="single"/>
        </w:rPr>
        <w:t xml:space="preserve"> </w:t>
      </w:r>
      <w:r>
        <w:rPr>
          <w:u w:val="single"/>
        </w:rPr>
        <w:t>–</w:t>
      </w:r>
      <w:r>
        <w:rPr>
          <w:spacing w:val="-8"/>
          <w:u w:val="single"/>
        </w:rPr>
        <w:t xml:space="preserve"> </w:t>
      </w:r>
      <w:r>
        <w:rPr>
          <w:u w:val="single"/>
        </w:rPr>
        <w:t>OPTIONAL</w:t>
      </w:r>
      <w:r>
        <w:rPr>
          <w:spacing w:val="-2"/>
          <w:u w:val="single"/>
        </w:rPr>
        <w:t xml:space="preserve"> </w:t>
      </w:r>
      <w:r>
        <w:rPr>
          <w:u w:val="single"/>
        </w:rPr>
        <w:t>SUPPLEMENTAL</w:t>
      </w:r>
      <w:r>
        <w:rPr>
          <w:spacing w:val="-7"/>
          <w:u w:val="single"/>
        </w:rPr>
        <w:t xml:space="preserve"> </w:t>
      </w:r>
      <w:r>
        <w:rPr>
          <w:spacing w:val="-2"/>
          <w:u w:val="single"/>
        </w:rPr>
        <w:t>BENEFITS</w:t>
      </w:r>
      <w:r>
        <w:rPr>
          <w:u w:val="single"/>
        </w:rPr>
        <w:tab/>
      </w:r>
    </w:p>
    <w:p>
      <w:pPr>
        <w:pStyle w:val="BodyText"/>
        <w:spacing w:before="271"/>
        <w:ind w:right="1481"/>
      </w:pPr>
      <w:r>
        <w:t>Worksheet</w:t>
      </w:r>
      <w:r>
        <w:rPr>
          <w:spacing w:val="-4"/>
        </w:rPr>
        <w:t xml:space="preserve"> </w:t>
      </w:r>
      <w:r>
        <w:t>7</w:t>
      </w:r>
      <w:r>
        <w:rPr>
          <w:spacing w:val="-2"/>
        </w:rPr>
        <w:t xml:space="preserve"> </w:t>
      </w:r>
      <w:r>
        <w:t>contains</w:t>
      </w:r>
      <w:r>
        <w:rPr>
          <w:spacing w:val="-5"/>
        </w:rPr>
        <w:t xml:space="preserve"> </w:t>
      </w:r>
      <w:r>
        <w:t>the</w:t>
      </w:r>
      <w:r>
        <w:rPr>
          <w:spacing w:val="-3"/>
        </w:rPr>
        <w:t xml:space="preserve"> </w:t>
      </w:r>
      <w:r>
        <w:t>actuarial</w:t>
      </w:r>
      <w:r>
        <w:rPr>
          <w:spacing w:val="-4"/>
        </w:rPr>
        <w:t xml:space="preserve"> </w:t>
      </w:r>
      <w:r>
        <w:t>pricing</w:t>
      </w:r>
      <w:r>
        <w:rPr>
          <w:spacing w:val="-4"/>
        </w:rPr>
        <w:t xml:space="preserve"> </w:t>
      </w:r>
      <w:r>
        <w:t>elements</w:t>
      </w:r>
      <w:r>
        <w:rPr>
          <w:spacing w:val="-5"/>
        </w:rPr>
        <w:t xml:space="preserve"> </w:t>
      </w:r>
      <w:r>
        <w:t>for</w:t>
      </w:r>
      <w:r>
        <w:rPr>
          <w:spacing w:val="-6"/>
        </w:rPr>
        <w:t xml:space="preserve"> </w:t>
      </w:r>
      <w:r>
        <w:t>any</w:t>
      </w:r>
      <w:r>
        <w:rPr>
          <w:spacing w:val="-4"/>
        </w:rPr>
        <w:t xml:space="preserve"> </w:t>
      </w:r>
      <w:r>
        <w:t>optional</w:t>
      </w:r>
      <w:r>
        <w:rPr>
          <w:spacing w:val="-4"/>
        </w:rPr>
        <w:t xml:space="preserve"> </w:t>
      </w:r>
      <w:r>
        <w:t>supplemental</w:t>
      </w:r>
      <w:r>
        <w:rPr>
          <w:spacing w:val="-4"/>
        </w:rPr>
        <w:t xml:space="preserve"> </w:t>
      </w:r>
      <w:r>
        <w:t>benefit (OSB) packages to be offered during the contract year, up to a maximum of five.</w:t>
      </w:r>
    </w:p>
    <w:p>
      <w:pPr>
        <w:pStyle w:val="BodyText"/>
        <w:spacing w:before="120"/>
        <w:ind w:right="1481"/>
      </w:pPr>
      <w:r>
        <w:t>The</w:t>
      </w:r>
      <w:r>
        <w:rPr>
          <w:spacing w:val="-4"/>
        </w:rPr>
        <w:t xml:space="preserve"> </w:t>
      </w:r>
      <w:r>
        <w:t>PBP</w:t>
      </w:r>
      <w:r>
        <w:rPr>
          <w:spacing w:val="-2"/>
        </w:rPr>
        <w:t xml:space="preserve"> </w:t>
      </w:r>
      <w:r>
        <w:t>packages</w:t>
      </w:r>
      <w:r>
        <w:rPr>
          <w:spacing w:val="-2"/>
        </w:rPr>
        <w:t xml:space="preserve"> </w:t>
      </w:r>
      <w:r>
        <w:t>must</w:t>
      </w:r>
      <w:r>
        <w:rPr>
          <w:spacing w:val="-1"/>
        </w:rPr>
        <w:t xml:space="preserve"> </w:t>
      </w:r>
      <w:r>
        <w:t>be</w:t>
      </w:r>
      <w:r>
        <w:rPr>
          <w:spacing w:val="-3"/>
        </w:rPr>
        <w:t xml:space="preserve"> </w:t>
      </w:r>
      <w:r>
        <w:t>entered</w:t>
      </w:r>
      <w:r>
        <w:rPr>
          <w:spacing w:val="-2"/>
        </w:rPr>
        <w:t xml:space="preserve"> </w:t>
      </w:r>
      <w:r>
        <w:t>in</w:t>
      </w:r>
      <w:r>
        <w:rPr>
          <w:spacing w:val="-2"/>
        </w:rPr>
        <w:t xml:space="preserve"> </w:t>
      </w:r>
      <w:r>
        <w:t>the</w:t>
      </w:r>
      <w:r>
        <w:rPr>
          <w:spacing w:val="-3"/>
        </w:rPr>
        <w:t xml:space="preserve"> </w:t>
      </w:r>
      <w:r>
        <w:t>same</w:t>
      </w:r>
      <w:r>
        <w:rPr>
          <w:spacing w:val="-2"/>
        </w:rPr>
        <w:t xml:space="preserve"> </w:t>
      </w:r>
      <w:r>
        <w:t>order</w:t>
      </w:r>
      <w:r>
        <w:rPr>
          <w:spacing w:val="-2"/>
        </w:rPr>
        <w:t xml:space="preserve"> </w:t>
      </w:r>
      <w:r>
        <w:t>as</w:t>
      </w:r>
      <w:r>
        <w:rPr>
          <w:spacing w:val="-3"/>
        </w:rPr>
        <w:t xml:space="preserve"> </w:t>
      </w:r>
      <w:r>
        <w:t>they</w:t>
      </w:r>
      <w:r>
        <w:rPr>
          <w:spacing w:val="-1"/>
        </w:rPr>
        <w:t xml:space="preserve"> </w:t>
      </w:r>
      <w:r>
        <w:t>are</w:t>
      </w:r>
      <w:r>
        <w:rPr>
          <w:spacing w:val="-2"/>
        </w:rPr>
        <w:t xml:space="preserve"> </w:t>
      </w:r>
      <w:r>
        <w:t>entered</w:t>
      </w:r>
      <w:r>
        <w:rPr>
          <w:spacing w:val="-2"/>
        </w:rPr>
        <w:t xml:space="preserve"> </w:t>
      </w:r>
      <w:r>
        <w:t>in</w:t>
      </w:r>
      <w:r>
        <w:rPr>
          <w:spacing w:val="-2"/>
        </w:rPr>
        <w:t xml:space="preserve"> </w:t>
      </w:r>
      <w:r>
        <w:t>the</w:t>
      </w:r>
      <w:r>
        <w:rPr>
          <w:spacing w:val="-3"/>
        </w:rPr>
        <w:t xml:space="preserve"> </w:t>
      </w:r>
      <w:r>
        <w:t>PBP,</w:t>
      </w:r>
      <w:r>
        <w:rPr>
          <w:spacing w:val="-2"/>
        </w:rPr>
        <w:t xml:space="preserve"> </w:t>
      </w:r>
      <w:r>
        <w:t>and</w:t>
      </w:r>
      <w:r>
        <w:rPr>
          <w:spacing w:val="-2"/>
        </w:rPr>
        <w:t xml:space="preserve"> </w:t>
      </w:r>
      <w:r>
        <w:t>the package name/description must match the PBP.</w:t>
      </w:r>
    </w:p>
    <w:p>
      <w:pPr>
        <w:pStyle w:val="BodyText"/>
        <w:spacing w:before="45"/>
        <w:ind w:left="0"/>
      </w:pPr>
    </w:p>
    <w:p>
      <w:pPr>
        <w:pStyle w:val="Heading2"/>
      </w:pPr>
      <w:bookmarkStart w:id="306" w:name="_bookmark78"/>
      <w:bookmarkEnd w:id="306"/>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79"/>
      </w:pPr>
      <w:r>
        <w:t>This</w:t>
      </w:r>
      <w:r>
        <w:rPr>
          <w:spacing w:val="-3"/>
        </w:rPr>
        <w:t xml:space="preserve"> </w:t>
      </w:r>
      <w:r>
        <w:t>section</w:t>
      </w:r>
      <w:r>
        <w:rPr>
          <w:spacing w:val="-2"/>
        </w:rPr>
        <w:t xml:space="preserve"> </w:t>
      </w:r>
      <w:r>
        <w:t>displays</w:t>
      </w:r>
      <w:r>
        <w:rPr>
          <w:spacing w:val="-3"/>
        </w:rPr>
        <w:t xml:space="preserve"> </w:t>
      </w:r>
      <w:r>
        <w:t>the</w:t>
      </w:r>
      <w:r>
        <w:rPr>
          <w:spacing w:val="-3"/>
        </w:rPr>
        <w:t xml:space="preserve"> </w:t>
      </w:r>
      <w:r>
        <w:t>information</w:t>
      </w:r>
      <w:r>
        <w:rPr>
          <w:spacing w:val="-2"/>
        </w:rPr>
        <w:t xml:space="preserve"> </w:t>
      </w:r>
      <w:r>
        <w:t>entered</w:t>
      </w:r>
      <w:r>
        <w:rPr>
          <w:spacing w:val="-2"/>
        </w:rPr>
        <w:t xml:space="preserve"> </w:t>
      </w:r>
      <w:r>
        <w:t>on</w:t>
      </w:r>
      <w:r>
        <w:rPr>
          <w:spacing w:val="2"/>
        </w:rPr>
        <w:t xml:space="preserve"> </w:t>
      </w:r>
      <w:r>
        <w:t>Worksheet</w:t>
      </w:r>
      <w:r>
        <w:rPr>
          <w:spacing w:val="-2"/>
        </w:rPr>
        <w:t xml:space="preserve"> </w:t>
      </w:r>
      <w:r>
        <w:t>1,</w:t>
      </w:r>
      <w:r>
        <w:rPr>
          <w:spacing w:val="-2"/>
        </w:rPr>
        <w:t xml:space="preserve"> </w:t>
      </w:r>
      <w:r>
        <w:t>Section</w:t>
      </w:r>
      <w:r>
        <w:rPr>
          <w:spacing w:val="-1"/>
        </w:rPr>
        <w:t xml:space="preserve"> </w:t>
      </w:r>
      <w:r>
        <w:rPr>
          <w:spacing w:val="-5"/>
        </w:rPr>
        <w:t>I.</w:t>
      </w:r>
    </w:p>
    <w:p>
      <w:pPr>
        <w:pStyle w:val="BodyText"/>
        <w:spacing w:before="46"/>
        <w:ind w:left="0"/>
      </w:pPr>
    </w:p>
    <w:p>
      <w:pPr>
        <w:pStyle w:val="Heading2"/>
      </w:pPr>
      <w:bookmarkStart w:id="307" w:name="Section II – Optional Supplemental Packa"/>
      <w:bookmarkEnd w:id="307"/>
      <w:bookmarkStart w:id="308" w:name="_bookmark79"/>
      <w:bookmarkEnd w:id="308"/>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Optional</w:t>
      </w:r>
      <w:r>
        <w:rPr>
          <w:smallCaps/>
          <w:spacing w:val="-15"/>
        </w:rPr>
        <w:t xml:space="preserve"> </w:t>
      </w:r>
      <w:r>
        <w:rPr>
          <w:smallCaps/>
        </w:rPr>
        <w:t>Supplemental</w:t>
      </w:r>
      <w:r>
        <w:rPr>
          <w:smallCaps/>
          <w:spacing w:val="-10"/>
        </w:rPr>
        <w:t xml:space="preserve"> </w:t>
      </w:r>
      <w:r>
        <w:rPr>
          <w:smallCaps/>
          <w:spacing w:val="-2"/>
        </w:rPr>
        <w:t>Packages</w:t>
      </w:r>
    </w:p>
    <w:p>
      <w:pPr>
        <w:spacing w:before="237"/>
        <w:ind w:left="504" w:right="0" w:firstLine="0"/>
        <w:jc w:val="left"/>
        <w:rPr>
          <w:rFonts w:ascii="Arial" w:hAnsi="Arial"/>
          <w:b/>
          <w:sz w:val="21"/>
        </w:rPr>
      </w:pPr>
      <w:bookmarkStart w:id="309" w:name="Column b – Package ID"/>
      <w:bookmarkEnd w:id="309"/>
      <w:r>
        <w:rPr>
          <w:rFonts w:ascii="Arial" w:hAnsi="Arial"/>
          <w:b/>
          <w:sz w:val="21"/>
        </w:rPr>
        <w:t>Column</w:t>
      </w:r>
      <w:r>
        <w:rPr>
          <w:rFonts w:ascii="Arial" w:hAnsi="Arial"/>
          <w:b/>
          <w:spacing w:val="-6"/>
          <w:sz w:val="21"/>
        </w:rPr>
        <w:t xml:space="preserve"> </w:t>
      </w:r>
      <w:r>
        <w:rPr>
          <w:rFonts w:ascii="Arial" w:hAnsi="Arial"/>
          <w:b/>
          <w:sz w:val="21"/>
        </w:rPr>
        <w:t>b</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Package</w:t>
      </w:r>
      <w:r>
        <w:rPr>
          <w:rFonts w:ascii="Arial" w:hAnsi="Arial"/>
          <w:b/>
          <w:spacing w:val="-3"/>
          <w:sz w:val="21"/>
        </w:rPr>
        <w:t xml:space="preserve"> </w:t>
      </w:r>
      <w:r>
        <w:rPr>
          <w:rFonts w:ascii="Arial" w:hAnsi="Arial"/>
          <w:b/>
          <w:spacing w:val="-5"/>
          <w:sz w:val="21"/>
        </w:rPr>
        <w:t>ID</w:t>
      </w:r>
    </w:p>
    <w:p>
      <w:pPr>
        <w:pStyle w:val="BodyText"/>
        <w:spacing w:before="121"/>
        <w:ind w:right="1481"/>
      </w:pPr>
      <w:r>
        <w:t>Displays</w:t>
      </w:r>
      <w:r>
        <w:rPr>
          <w:spacing w:val="-5"/>
        </w:rPr>
        <w:t xml:space="preserve"> </w:t>
      </w:r>
      <w:r>
        <w:t>the</w:t>
      </w:r>
      <w:r>
        <w:rPr>
          <w:spacing w:val="-5"/>
        </w:rPr>
        <w:t xml:space="preserve"> </w:t>
      </w:r>
      <w:r>
        <w:t>identification</w:t>
      </w:r>
      <w:r>
        <w:rPr>
          <w:spacing w:val="-4"/>
        </w:rPr>
        <w:t xml:space="preserve"> </w:t>
      </w:r>
      <w:r>
        <w:t>(ID)</w:t>
      </w:r>
      <w:r>
        <w:rPr>
          <w:spacing w:val="-6"/>
        </w:rPr>
        <w:t xml:space="preserve"> </w:t>
      </w:r>
      <w:r>
        <w:t>number</w:t>
      </w:r>
      <w:r>
        <w:rPr>
          <w:spacing w:val="-4"/>
        </w:rPr>
        <w:t xml:space="preserve"> </w:t>
      </w:r>
      <w:r>
        <w:t>to</w:t>
      </w:r>
      <w:r>
        <w:rPr>
          <w:spacing w:val="-4"/>
        </w:rPr>
        <w:t xml:space="preserve"> </w:t>
      </w:r>
      <w:r>
        <w:t>signify</w:t>
      </w:r>
      <w:r>
        <w:rPr>
          <w:spacing w:val="-4"/>
        </w:rPr>
        <w:t xml:space="preserve"> </w:t>
      </w:r>
      <w:r>
        <w:t>which</w:t>
      </w:r>
      <w:r>
        <w:rPr>
          <w:spacing w:val="-4"/>
        </w:rPr>
        <w:t xml:space="preserve"> </w:t>
      </w:r>
      <w:r>
        <w:t>package</w:t>
      </w:r>
      <w:r>
        <w:rPr>
          <w:spacing w:val="-5"/>
        </w:rPr>
        <w:t xml:space="preserve"> </w:t>
      </w:r>
      <w:r>
        <w:t>of</w:t>
      </w:r>
      <w:r>
        <w:rPr>
          <w:spacing w:val="-4"/>
        </w:rPr>
        <w:t xml:space="preserve"> </w:t>
      </w:r>
      <w:r>
        <w:t>optional</w:t>
      </w:r>
      <w:r>
        <w:rPr>
          <w:spacing w:val="-4"/>
        </w:rPr>
        <w:t xml:space="preserve"> </w:t>
      </w:r>
      <w:r>
        <w:t>supplemental benefits is being priced. The number “1” is used to identify the first package. Sequential numbers (that is, 2, 3) identify additional packages of optional supplemental benefits. The package IDs must correspond to the packages enumerated and described in the PBP.</w:t>
      </w:r>
    </w:p>
    <w:p>
      <w:pPr>
        <w:spacing w:before="240"/>
        <w:ind w:left="504" w:right="0" w:firstLine="0"/>
        <w:jc w:val="left"/>
        <w:rPr>
          <w:rFonts w:ascii="Arial" w:hAnsi="Arial"/>
          <w:b/>
          <w:sz w:val="21"/>
        </w:rPr>
      </w:pPr>
      <w:bookmarkStart w:id="310" w:name="Column c – Description"/>
      <w:bookmarkEnd w:id="310"/>
      <w:r>
        <w:rPr>
          <w:rFonts w:ascii="Arial" w:hAnsi="Arial"/>
          <w:b/>
          <w:sz w:val="21"/>
        </w:rPr>
        <w:t>Column</w:t>
      </w:r>
      <w:r>
        <w:rPr>
          <w:rFonts w:ascii="Arial" w:hAnsi="Arial"/>
          <w:b/>
          <w:spacing w:val="-2"/>
          <w:sz w:val="21"/>
        </w:rPr>
        <w:t xml:space="preserve"> </w:t>
      </w:r>
      <w:r>
        <w:rPr>
          <w:rFonts w:ascii="Arial" w:hAnsi="Arial"/>
          <w:b/>
          <w:sz w:val="21"/>
        </w:rPr>
        <w:t>c</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pacing w:val="-2"/>
          <w:sz w:val="21"/>
        </w:rPr>
        <w:t>Description</w:t>
      </w:r>
    </w:p>
    <w:p>
      <w:pPr>
        <w:pStyle w:val="BodyText"/>
        <w:spacing w:before="121"/>
        <w:ind w:right="1481"/>
      </w:pPr>
      <w:r>
        <w:t>For each OSB package, enter a description. This description must match the description/package name entered in the PBP for each package—for example, “Enhanced Dental,”</w:t>
      </w:r>
      <w:r>
        <w:rPr>
          <w:spacing w:val="-4"/>
        </w:rPr>
        <w:t xml:space="preserve"> </w:t>
      </w:r>
      <w:r>
        <w:t>“Gold</w:t>
      </w:r>
      <w:r>
        <w:rPr>
          <w:spacing w:val="-3"/>
        </w:rPr>
        <w:t xml:space="preserve"> </w:t>
      </w:r>
      <w:r>
        <w:t>Package,”</w:t>
      </w:r>
      <w:r>
        <w:rPr>
          <w:spacing w:val="-4"/>
        </w:rPr>
        <w:t xml:space="preserve"> </w:t>
      </w:r>
      <w:r>
        <w:t>etc.</w:t>
      </w:r>
      <w:r>
        <w:rPr>
          <w:spacing w:val="-3"/>
        </w:rPr>
        <w:t xml:space="preserve"> </w:t>
      </w:r>
      <w:r>
        <w:t>The</w:t>
      </w:r>
      <w:r>
        <w:rPr>
          <w:spacing w:val="-4"/>
        </w:rPr>
        <w:t xml:space="preserve"> </w:t>
      </w:r>
      <w:r>
        <w:t>description</w:t>
      </w:r>
      <w:r>
        <w:rPr>
          <w:spacing w:val="-3"/>
        </w:rPr>
        <w:t xml:space="preserve"> </w:t>
      </w:r>
      <w:r>
        <w:t>field</w:t>
      </w:r>
      <w:r>
        <w:rPr>
          <w:spacing w:val="-2"/>
        </w:rPr>
        <w:t xml:space="preserve"> </w:t>
      </w:r>
      <w:r>
        <w:t>must</w:t>
      </w:r>
      <w:r>
        <w:rPr>
          <w:spacing w:val="-2"/>
        </w:rPr>
        <w:t xml:space="preserve"> </w:t>
      </w:r>
      <w:r>
        <w:t>not</w:t>
      </w:r>
      <w:r>
        <w:rPr>
          <w:spacing w:val="-3"/>
        </w:rPr>
        <w:t xml:space="preserve"> </w:t>
      </w:r>
      <w:r>
        <w:t>be</w:t>
      </w:r>
      <w:r>
        <w:rPr>
          <w:spacing w:val="-3"/>
        </w:rPr>
        <w:t xml:space="preserve"> </w:t>
      </w:r>
      <w:r>
        <w:t>left</w:t>
      </w:r>
      <w:r>
        <w:rPr>
          <w:spacing w:val="-3"/>
        </w:rPr>
        <w:t xml:space="preserve"> </w:t>
      </w:r>
      <w:r>
        <w:t>blank</w:t>
      </w:r>
      <w:r>
        <w:rPr>
          <w:spacing w:val="-3"/>
        </w:rPr>
        <w:t xml:space="preserve"> </w:t>
      </w:r>
      <w:r>
        <w:t>when</w:t>
      </w:r>
      <w:r>
        <w:rPr>
          <w:spacing w:val="-3"/>
        </w:rPr>
        <w:t xml:space="preserve"> </w:t>
      </w:r>
      <w:r>
        <w:t>there</w:t>
      </w:r>
      <w:r>
        <w:rPr>
          <w:spacing w:val="-4"/>
        </w:rPr>
        <w:t xml:space="preserve"> </w:t>
      </w:r>
      <w:r>
        <w:t>is</w:t>
      </w:r>
      <w:r>
        <w:rPr>
          <w:spacing w:val="-1"/>
        </w:rPr>
        <w:t xml:space="preserve"> </w:t>
      </w:r>
      <w:r>
        <w:t>an optional supplemental package entered.</w:t>
      </w:r>
    </w:p>
    <w:p>
      <w:pPr>
        <w:spacing w:before="241"/>
        <w:ind w:left="504" w:right="0" w:firstLine="0"/>
        <w:jc w:val="left"/>
        <w:rPr>
          <w:rFonts w:ascii="Arial" w:hAnsi="Arial"/>
          <w:b/>
          <w:sz w:val="21"/>
        </w:rPr>
      </w:pPr>
      <w:bookmarkStart w:id="311" w:name="Column d – Allowed Medical Expense: PMPM"/>
      <w:bookmarkEnd w:id="311"/>
      <w:r>
        <w:rPr>
          <w:rFonts w:ascii="Arial" w:hAnsi="Arial"/>
          <w:b/>
          <w:sz w:val="21"/>
        </w:rPr>
        <w:t>Column</w:t>
      </w:r>
      <w:r>
        <w:rPr>
          <w:rFonts w:ascii="Arial" w:hAnsi="Arial"/>
          <w:b/>
          <w:spacing w:val="-7"/>
          <w:sz w:val="21"/>
        </w:rPr>
        <w:t xml:space="preserve"> </w:t>
      </w:r>
      <w:r>
        <w:rPr>
          <w:rFonts w:ascii="Arial" w:hAnsi="Arial"/>
          <w:b/>
          <w:sz w:val="21"/>
        </w:rPr>
        <w:t>d</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Allowed</w:t>
      </w:r>
      <w:r>
        <w:rPr>
          <w:rFonts w:ascii="Arial" w:hAnsi="Arial"/>
          <w:b/>
          <w:spacing w:val="-4"/>
          <w:sz w:val="21"/>
        </w:rPr>
        <w:t xml:space="preserve"> </w:t>
      </w:r>
      <w:r>
        <w:rPr>
          <w:rFonts w:ascii="Arial" w:hAnsi="Arial"/>
          <w:b/>
          <w:sz w:val="21"/>
        </w:rPr>
        <w:t>Medical</w:t>
      </w:r>
      <w:r>
        <w:rPr>
          <w:rFonts w:ascii="Arial" w:hAnsi="Arial"/>
          <w:b/>
          <w:spacing w:val="-6"/>
          <w:sz w:val="21"/>
        </w:rPr>
        <w:t xml:space="preserve"> </w:t>
      </w:r>
      <w:r>
        <w:rPr>
          <w:rFonts w:ascii="Arial" w:hAnsi="Arial"/>
          <w:b/>
          <w:sz w:val="21"/>
        </w:rPr>
        <w:t>Expense:</w:t>
      </w:r>
      <w:r>
        <w:rPr>
          <w:rFonts w:ascii="Arial" w:hAnsi="Arial"/>
          <w:b/>
          <w:spacing w:val="-5"/>
          <w:sz w:val="21"/>
        </w:rPr>
        <w:t xml:space="preserve"> </w:t>
      </w:r>
      <w:r>
        <w:rPr>
          <w:rFonts w:ascii="Arial" w:hAnsi="Arial"/>
          <w:b/>
          <w:spacing w:val="-4"/>
          <w:sz w:val="21"/>
        </w:rPr>
        <w:t>PMPM</w:t>
      </w:r>
    </w:p>
    <w:p>
      <w:pPr>
        <w:pStyle w:val="BodyText"/>
        <w:spacing w:before="118"/>
      </w:pPr>
      <w:r>
        <w:t>Enter</w:t>
      </w:r>
      <w:r>
        <w:rPr>
          <w:spacing w:val="-4"/>
        </w:rPr>
        <w:t xml:space="preserve"> </w:t>
      </w:r>
      <w:r>
        <w:t>the</w:t>
      </w:r>
      <w:r>
        <w:rPr>
          <w:spacing w:val="-3"/>
        </w:rPr>
        <w:t xml:space="preserve"> </w:t>
      </w:r>
      <w:r>
        <w:t>projected</w:t>
      </w:r>
      <w:r>
        <w:rPr>
          <w:spacing w:val="-1"/>
        </w:rPr>
        <w:t xml:space="preserve"> </w:t>
      </w:r>
      <w:r>
        <w:t>contract</w:t>
      </w:r>
      <w:r>
        <w:rPr>
          <w:spacing w:val="-1"/>
        </w:rPr>
        <w:t xml:space="preserve"> </w:t>
      </w:r>
      <w:r>
        <w:t>year</w:t>
      </w:r>
      <w:r>
        <w:rPr>
          <w:spacing w:val="-1"/>
        </w:rPr>
        <w:t xml:space="preserve"> </w:t>
      </w:r>
      <w:r>
        <w:t>allowed</w:t>
      </w:r>
      <w:r>
        <w:rPr>
          <w:spacing w:val="-1"/>
        </w:rPr>
        <w:t xml:space="preserve"> </w:t>
      </w:r>
      <w:r>
        <w:t>medical</w:t>
      </w:r>
      <w:r>
        <w:rPr>
          <w:spacing w:val="1"/>
        </w:rPr>
        <w:t xml:space="preserve"> </w:t>
      </w:r>
      <w:r>
        <w:t>expense</w:t>
      </w:r>
      <w:r>
        <w:rPr>
          <w:spacing w:val="-2"/>
        </w:rPr>
        <w:t xml:space="preserve"> </w:t>
      </w:r>
      <w:r>
        <w:t>PMPM</w:t>
      </w:r>
      <w:r>
        <w:rPr>
          <w:spacing w:val="-2"/>
        </w:rPr>
        <w:t xml:space="preserve"> </w:t>
      </w:r>
      <w:r>
        <w:t>for</w:t>
      </w:r>
      <w:r>
        <w:rPr>
          <w:spacing w:val="-3"/>
        </w:rPr>
        <w:t xml:space="preserve"> </w:t>
      </w:r>
      <w:r>
        <w:t>each</w:t>
      </w:r>
      <w:r>
        <w:rPr>
          <w:spacing w:val="1"/>
        </w:rPr>
        <w:t xml:space="preserve"> </w:t>
      </w:r>
      <w:r>
        <w:rPr>
          <w:spacing w:val="-2"/>
        </w:rPr>
        <w:t>package.</w:t>
      </w:r>
    </w:p>
    <w:p>
      <w:pPr>
        <w:spacing w:before="240"/>
        <w:ind w:left="504" w:right="0" w:firstLine="0"/>
        <w:jc w:val="left"/>
        <w:rPr>
          <w:rFonts w:ascii="Arial" w:hAnsi="Arial"/>
          <w:b/>
          <w:sz w:val="21"/>
        </w:rPr>
      </w:pPr>
      <w:bookmarkStart w:id="312" w:name="Column e – Enrollee Cost Sharing: PMPM"/>
      <w:bookmarkEnd w:id="312"/>
      <w:r>
        <w:rPr>
          <w:rFonts w:ascii="Arial" w:hAnsi="Arial"/>
          <w:b/>
          <w:sz w:val="21"/>
        </w:rPr>
        <w:t>Column</w:t>
      </w:r>
      <w:r>
        <w:rPr>
          <w:rFonts w:ascii="Arial" w:hAnsi="Arial"/>
          <w:b/>
          <w:spacing w:val="-5"/>
          <w:sz w:val="21"/>
        </w:rPr>
        <w:t xml:space="preserve"> </w:t>
      </w:r>
      <w:r>
        <w:rPr>
          <w:rFonts w:ascii="Arial" w:hAnsi="Arial"/>
          <w:b/>
          <w:sz w:val="21"/>
        </w:rPr>
        <w:t>e</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Enrollee</w:t>
      </w:r>
      <w:r>
        <w:rPr>
          <w:rFonts w:ascii="Arial" w:hAnsi="Arial"/>
          <w:b/>
          <w:spacing w:val="-4"/>
          <w:sz w:val="21"/>
        </w:rPr>
        <w:t xml:space="preserve"> </w:t>
      </w:r>
      <w:r>
        <w:rPr>
          <w:rFonts w:ascii="Arial" w:hAnsi="Arial"/>
          <w:b/>
          <w:sz w:val="21"/>
        </w:rPr>
        <w:t>Cost</w:t>
      </w:r>
      <w:r>
        <w:rPr>
          <w:rFonts w:ascii="Arial" w:hAnsi="Arial"/>
          <w:b/>
          <w:spacing w:val="-5"/>
          <w:sz w:val="21"/>
        </w:rPr>
        <w:t xml:space="preserve"> </w:t>
      </w:r>
      <w:r>
        <w:rPr>
          <w:rFonts w:ascii="Arial" w:hAnsi="Arial"/>
          <w:b/>
          <w:sz w:val="21"/>
        </w:rPr>
        <w:t>Sharing:</w:t>
      </w:r>
      <w:r>
        <w:rPr>
          <w:rFonts w:ascii="Arial" w:hAnsi="Arial"/>
          <w:b/>
          <w:spacing w:val="-3"/>
          <w:sz w:val="21"/>
        </w:rPr>
        <w:t xml:space="preserve"> </w:t>
      </w:r>
      <w:r>
        <w:rPr>
          <w:rFonts w:ascii="Arial" w:hAnsi="Arial"/>
          <w:b/>
          <w:spacing w:val="-4"/>
          <w:sz w:val="21"/>
        </w:rPr>
        <w:t>PMPM</w:t>
      </w:r>
    </w:p>
    <w:p>
      <w:pPr>
        <w:pStyle w:val="BodyText"/>
        <w:spacing w:before="121"/>
      </w:pPr>
      <w:r>
        <w:t>Enter</w:t>
      </w:r>
      <w:r>
        <w:rPr>
          <w:spacing w:val="-3"/>
        </w:rPr>
        <w:t xml:space="preserve"> </w:t>
      </w:r>
      <w:r>
        <w:t>the</w:t>
      </w:r>
      <w:r>
        <w:rPr>
          <w:spacing w:val="-3"/>
        </w:rPr>
        <w:t xml:space="preserve"> </w:t>
      </w:r>
      <w:r>
        <w:t>projected</w:t>
      </w:r>
      <w:r>
        <w:rPr>
          <w:spacing w:val="-1"/>
        </w:rPr>
        <w:t xml:space="preserve"> </w:t>
      </w:r>
      <w:r>
        <w:t>enrollee</w:t>
      </w:r>
      <w:r>
        <w:rPr>
          <w:spacing w:val="-2"/>
        </w:rPr>
        <w:t xml:space="preserve"> </w:t>
      </w:r>
      <w:r>
        <w:t>cost</w:t>
      </w:r>
      <w:r>
        <w:rPr>
          <w:spacing w:val="-1"/>
        </w:rPr>
        <w:t xml:space="preserve"> </w:t>
      </w:r>
      <w:r>
        <w:t>sharing</w:t>
      </w:r>
      <w:r>
        <w:rPr>
          <w:spacing w:val="-1"/>
        </w:rPr>
        <w:t xml:space="preserve"> </w:t>
      </w:r>
      <w:r>
        <w:t>PMPM</w:t>
      </w:r>
      <w:r>
        <w:rPr>
          <w:spacing w:val="-2"/>
        </w:rPr>
        <w:t xml:space="preserve"> </w:t>
      </w:r>
      <w:r>
        <w:t>for</w:t>
      </w:r>
      <w:r>
        <w:rPr>
          <w:spacing w:val="-1"/>
        </w:rPr>
        <w:t xml:space="preserve"> </w:t>
      </w:r>
      <w:r>
        <w:t>each</w:t>
      </w:r>
      <w:r>
        <w:rPr>
          <w:spacing w:val="-1"/>
        </w:rPr>
        <w:t xml:space="preserve"> </w:t>
      </w:r>
      <w:r>
        <w:rPr>
          <w:spacing w:val="-2"/>
        </w:rPr>
        <w:t>package.</w:t>
      </w:r>
    </w:p>
    <w:p>
      <w:pPr>
        <w:spacing w:before="240"/>
        <w:ind w:left="504" w:right="0" w:firstLine="0"/>
        <w:jc w:val="left"/>
        <w:rPr>
          <w:rFonts w:ascii="Arial" w:hAnsi="Arial"/>
          <w:b/>
          <w:sz w:val="21"/>
        </w:rPr>
      </w:pPr>
      <w:bookmarkStart w:id="313" w:name="Column f – Net PMPM Value"/>
      <w:bookmarkEnd w:id="313"/>
      <w:r>
        <w:rPr>
          <w:rFonts w:ascii="Arial" w:hAnsi="Arial"/>
          <w:b/>
          <w:sz w:val="21"/>
        </w:rPr>
        <w:t>Column</w:t>
      </w:r>
      <w:r>
        <w:rPr>
          <w:rFonts w:ascii="Arial" w:hAnsi="Arial"/>
          <w:b/>
          <w:spacing w:val="-3"/>
          <w:sz w:val="21"/>
        </w:rPr>
        <w:t xml:space="preserve"> </w:t>
      </w:r>
      <w:r>
        <w:rPr>
          <w:rFonts w:ascii="Arial" w:hAnsi="Arial"/>
          <w:b/>
          <w:sz w:val="21"/>
        </w:rPr>
        <w:t>f</w:t>
      </w:r>
      <w:r>
        <w:rPr>
          <w:rFonts w:ascii="Arial" w:hAnsi="Arial"/>
          <w:b/>
          <w:spacing w:val="-4"/>
          <w:sz w:val="21"/>
        </w:rPr>
        <w:t xml:space="preserve"> </w:t>
      </w:r>
      <w:r>
        <w:rPr>
          <w:rFonts w:ascii="Arial" w:hAnsi="Arial"/>
          <w:b/>
          <w:sz w:val="21"/>
        </w:rPr>
        <w:t>–</w:t>
      </w:r>
      <w:r>
        <w:rPr>
          <w:rFonts w:ascii="Arial" w:hAnsi="Arial"/>
          <w:b/>
          <w:spacing w:val="-3"/>
          <w:sz w:val="21"/>
        </w:rPr>
        <w:t xml:space="preserve"> </w:t>
      </w:r>
      <w:r>
        <w:rPr>
          <w:rFonts w:ascii="Arial" w:hAnsi="Arial"/>
          <w:b/>
          <w:sz w:val="21"/>
        </w:rPr>
        <w:t>Net</w:t>
      </w:r>
      <w:r>
        <w:rPr>
          <w:rFonts w:ascii="Arial" w:hAnsi="Arial"/>
          <w:b/>
          <w:spacing w:val="-4"/>
          <w:sz w:val="21"/>
        </w:rPr>
        <w:t xml:space="preserve"> </w:t>
      </w:r>
      <w:r>
        <w:rPr>
          <w:rFonts w:ascii="Arial" w:hAnsi="Arial"/>
          <w:b/>
          <w:sz w:val="21"/>
        </w:rPr>
        <w:t>PMPM</w:t>
      </w:r>
      <w:r>
        <w:rPr>
          <w:rFonts w:ascii="Arial" w:hAnsi="Arial"/>
          <w:b/>
          <w:spacing w:val="-3"/>
          <w:sz w:val="21"/>
        </w:rPr>
        <w:t xml:space="preserve"> </w:t>
      </w:r>
      <w:r>
        <w:rPr>
          <w:rFonts w:ascii="Arial" w:hAnsi="Arial"/>
          <w:b/>
          <w:spacing w:val="-2"/>
          <w:sz w:val="21"/>
        </w:rPr>
        <w:t>Value</w:t>
      </w:r>
    </w:p>
    <w:p>
      <w:pPr>
        <w:pStyle w:val="BodyText"/>
        <w:spacing w:before="118"/>
        <w:ind w:right="1481"/>
      </w:pPr>
      <w:r>
        <w:t>Column</w:t>
      </w:r>
      <w:r>
        <w:rPr>
          <w:spacing w:val="-3"/>
        </w:rPr>
        <w:t xml:space="preserve"> </w:t>
      </w:r>
      <w:r>
        <w:t>f</w:t>
      </w:r>
      <w:r>
        <w:rPr>
          <w:spacing w:val="-4"/>
        </w:rPr>
        <w:t xml:space="preserve"> </w:t>
      </w:r>
      <w:r>
        <w:t>is</w:t>
      </w:r>
      <w:r>
        <w:rPr>
          <w:spacing w:val="-4"/>
        </w:rPr>
        <w:t xml:space="preserve"> </w:t>
      </w:r>
      <w:r>
        <w:t>calculated</w:t>
      </w:r>
      <w:r>
        <w:rPr>
          <w:spacing w:val="-3"/>
        </w:rPr>
        <w:t xml:space="preserve"> </w:t>
      </w:r>
      <w:r>
        <w:t>automatically</w:t>
      </w:r>
      <w:r>
        <w:rPr>
          <w:spacing w:val="-3"/>
        </w:rPr>
        <w:t xml:space="preserve"> </w:t>
      </w:r>
      <w:r>
        <w:t>as</w:t>
      </w:r>
      <w:r>
        <w:rPr>
          <w:spacing w:val="-4"/>
        </w:rPr>
        <w:t xml:space="preserve"> </w:t>
      </w:r>
      <w:r>
        <w:t>the</w:t>
      </w:r>
      <w:r>
        <w:rPr>
          <w:spacing w:val="-2"/>
        </w:rPr>
        <w:t xml:space="preserve"> </w:t>
      </w:r>
      <w:r>
        <w:t>allowed</w:t>
      </w:r>
      <w:r>
        <w:rPr>
          <w:spacing w:val="-3"/>
        </w:rPr>
        <w:t xml:space="preserve"> </w:t>
      </w:r>
      <w:r>
        <w:t>PMPM</w:t>
      </w:r>
      <w:r>
        <w:rPr>
          <w:spacing w:val="-4"/>
        </w:rPr>
        <w:t xml:space="preserve"> </w:t>
      </w:r>
      <w:r>
        <w:t>(column</w:t>
      </w:r>
      <w:r>
        <w:rPr>
          <w:spacing w:val="-2"/>
        </w:rPr>
        <w:t xml:space="preserve"> </w:t>
      </w:r>
      <w:r>
        <w:t>d)</w:t>
      </w:r>
      <w:r>
        <w:rPr>
          <w:spacing w:val="-3"/>
        </w:rPr>
        <w:t xml:space="preserve"> </w:t>
      </w:r>
      <w:r>
        <w:t>minus</w:t>
      </w:r>
      <w:r>
        <w:rPr>
          <w:spacing w:val="-4"/>
        </w:rPr>
        <w:t xml:space="preserve"> </w:t>
      </w:r>
      <w:r>
        <w:t>the</w:t>
      </w:r>
      <w:r>
        <w:rPr>
          <w:spacing w:val="-4"/>
        </w:rPr>
        <w:t xml:space="preserve"> </w:t>
      </w:r>
      <w:r>
        <w:t>cost</w:t>
      </w:r>
      <w:r>
        <w:rPr>
          <w:spacing w:val="-3"/>
        </w:rPr>
        <w:t xml:space="preserve"> </w:t>
      </w:r>
      <w:r>
        <w:t>sharing PMPM (column e).</w:t>
      </w:r>
    </w:p>
    <w:p>
      <w:pPr>
        <w:spacing w:before="241"/>
        <w:ind w:left="504" w:right="0" w:firstLine="0"/>
        <w:jc w:val="left"/>
        <w:rPr>
          <w:rFonts w:ascii="Arial" w:hAnsi="Arial"/>
          <w:b/>
          <w:sz w:val="21"/>
        </w:rPr>
      </w:pPr>
      <w:bookmarkStart w:id="314" w:name="Column g – Non-Benefit Expense"/>
      <w:bookmarkEnd w:id="314"/>
      <w:r>
        <w:rPr>
          <w:rFonts w:ascii="Arial" w:hAnsi="Arial"/>
          <w:b/>
          <w:sz w:val="21"/>
        </w:rPr>
        <w:t>Column</w:t>
      </w:r>
      <w:r>
        <w:rPr>
          <w:rFonts w:ascii="Arial" w:hAnsi="Arial"/>
          <w:b/>
          <w:spacing w:val="-7"/>
          <w:sz w:val="21"/>
        </w:rPr>
        <w:t xml:space="preserve"> </w:t>
      </w:r>
      <w:r>
        <w:rPr>
          <w:rFonts w:ascii="Arial" w:hAnsi="Arial"/>
          <w:b/>
          <w:sz w:val="21"/>
        </w:rPr>
        <w:t>g</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Non-Benefit</w:t>
      </w:r>
      <w:r>
        <w:rPr>
          <w:rFonts w:ascii="Arial" w:hAnsi="Arial"/>
          <w:b/>
          <w:spacing w:val="-5"/>
          <w:sz w:val="21"/>
        </w:rPr>
        <w:t xml:space="preserve"> </w:t>
      </w:r>
      <w:r>
        <w:rPr>
          <w:rFonts w:ascii="Arial" w:hAnsi="Arial"/>
          <w:b/>
          <w:spacing w:val="-2"/>
          <w:sz w:val="21"/>
        </w:rPr>
        <w:t>Expense</w:t>
      </w:r>
    </w:p>
    <w:p>
      <w:pPr>
        <w:pStyle w:val="BodyText"/>
        <w:spacing w:before="121"/>
        <w:ind w:right="1481"/>
      </w:pPr>
      <w:r>
        <w:t>Enter</w:t>
      </w:r>
      <w:r>
        <w:rPr>
          <w:spacing w:val="-3"/>
        </w:rPr>
        <w:t xml:space="preserve"> </w:t>
      </w:r>
      <w:r>
        <w:t>the</w:t>
      </w:r>
      <w:r>
        <w:rPr>
          <w:spacing w:val="-5"/>
        </w:rPr>
        <w:t xml:space="preserve"> </w:t>
      </w:r>
      <w:r>
        <w:t>total</w:t>
      </w:r>
      <w:r>
        <w:rPr>
          <w:spacing w:val="-3"/>
        </w:rPr>
        <w:t xml:space="preserve"> </w:t>
      </w:r>
      <w:r>
        <w:t>projected</w:t>
      </w:r>
      <w:r>
        <w:rPr>
          <w:spacing w:val="-2"/>
        </w:rPr>
        <w:t xml:space="preserve"> </w:t>
      </w:r>
      <w:r>
        <w:t>contract</w:t>
      </w:r>
      <w:r>
        <w:rPr>
          <w:spacing w:val="-3"/>
        </w:rPr>
        <w:t xml:space="preserve"> </w:t>
      </w:r>
      <w:r>
        <w:t>year</w:t>
      </w:r>
      <w:r>
        <w:rPr>
          <w:spacing w:val="-3"/>
        </w:rPr>
        <w:t xml:space="preserve"> </w:t>
      </w:r>
      <w:r>
        <w:t>non-benefit</w:t>
      </w:r>
      <w:r>
        <w:rPr>
          <w:spacing w:val="-3"/>
        </w:rPr>
        <w:t xml:space="preserve"> </w:t>
      </w:r>
      <w:r>
        <w:t>expense</w:t>
      </w:r>
      <w:r>
        <w:rPr>
          <w:spacing w:val="-4"/>
        </w:rPr>
        <w:t xml:space="preserve"> </w:t>
      </w:r>
      <w:r>
        <w:t>PMPM</w:t>
      </w:r>
      <w:r>
        <w:rPr>
          <w:spacing w:val="-3"/>
        </w:rPr>
        <w:t xml:space="preserve"> </w:t>
      </w:r>
      <w:r>
        <w:t>for</w:t>
      </w:r>
      <w:r>
        <w:rPr>
          <w:spacing w:val="-5"/>
        </w:rPr>
        <w:t xml:space="preserve"> </w:t>
      </w:r>
      <w:r>
        <w:t>each</w:t>
      </w:r>
      <w:r>
        <w:rPr>
          <w:spacing w:val="-2"/>
        </w:rPr>
        <w:t xml:space="preserve"> </w:t>
      </w:r>
      <w:r>
        <w:t>OSB</w:t>
      </w:r>
      <w:r>
        <w:rPr>
          <w:spacing w:val="-3"/>
        </w:rPr>
        <w:t xml:space="preserve"> </w:t>
      </w:r>
      <w:r>
        <w:t xml:space="preserve">package </w:t>
      </w:r>
      <w:r>
        <w:rPr>
          <w:spacing w:val="-2"/>
        </w:rPr>
        <w:t>offered.</w:t>
      </w:r>
    </w:p>
    <w:p>
      <w:pPr>
        <w:spacing w:before="240"/>
        <w:ind w:left="504" w:right="0" w:firstLine="0"/>
        <w:jc w:val="left"/>
        <w:rPr>
          <w:rFonts w:ascii="Arial" w:hAnsi="Arial"/>
          <w:b/>
          <w:sz w:val="21"/>
        </w:rPr>
      </w:pPr>
      <w:bookmarkStart w:id="315" w:name="Column h – Gain/Loss Margin"/>
      <w:bookmarkEnd w:id="315"/>
      <w:r>
        <w:rPr>
          <w:rFonts w:ascii="Arial" w:hAnsi="Arial"/>
          <w:b/>
          <w:sz w:val="21"/>
        </w:rPr>
        <w:t>Column</w:t>
      </w:r>
      <w:r>
        <w:rPr>
          <w:rFonts w:ascii="Arial" w:hAnsi="Arial"/>
          <w:b/>
          <w:spacing w:val="-6"/>
          <w:sz w:val="21"/>
        </w:rPr>
        <w:t xml:space="preserve"> </w:t>
      </w:r>
      <w:r>
        <w:rPr>
          <w:rFonts w:ascii="Arial" w:hAnsi="Arial"/>
          <w:b/>
          <w:sz w:val="21"/>
        </w:rPr>
        <w:t>h</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Gain/Loss</w:t>
      </w:r>
      <w:r>
        <w:rPr>
          <w:rFonts w:ascii="Arial" w:hAnsi="Arial"/>
          <w:b/>
          <w:spacing w:val="-3"/>
          <w:sz w:val="21"/>
        </w:rPr>
        <w:t xml:space="preserve"> </w:t>
      </w:r>
      <w:r>
        <w:rPr>
          <w:rFonts w:ascii="Arial" w:hAnsi="Arial"/>
          <w:b/>
          <w:spacing w:val="-2"/>
          <w:sz w:val="21"/>
        </w:rPr>
        <w:t>Margin</w:t>
      </w:r>
    </w:p>
    <w:p>
      <w:pPr>
        <w:pStyle w:val="BodyText"/>
        <w:spacing w:before="121"/>
      </w:pPr>
      <w:r>
        <w:t>Enter</w:t>
      </w:r>
      <w:r>
        <w:rPr>
          <w:spacing w:val="-4"/>
        </w:rPr>
        <w:t xml:space="preserve"> </w:t>
      </w:r>
      <w:r>
        <w:t>the</w:t>
      </w:r>
      <w:r>
        <w:rPr>
          <w:spacing w:val="-3"/>
        </w:rPr>
        <w:t xml:space="preserve"> </w:t>
      </w:r>
      <w:r>
        <w:t>total</w:t>
      </w:r>
      <w:r>
        <w:rPr>
          <w:spacing w:val="-2"/>
        </w:rPr>
        <w:t xml:space="preserve"> </w:t>
      </w:r>
      <w:r>
        <w:t>projected</w:t>
      </w:r>
      <w:r>
        <w:rPr>
          <w:spacing w:val="1"/>
        </w:rPr>
        <w:t xml:space="preserve"> </w:t>
      </w:r>
      <w:r>
        <w:t>contract</w:t>
      </w:r>
      <w:r>
        <w:rPr>
          <w:spacing w:val="-2"/>
        </w:rPr>
        <w:t xml:space="preserve"> </w:t>
      </w:r>
      <w:r>
        <w:t>year</w:t>
      </w:r>
      <w:r>
        <w:rPr>
          <w:spacing w:val="-1"/>
        </w:rPr>
        <w:t xml:space="preserve"> </w:t>
      </w:r>
      <w:r>
        <w:t>gain/loss</w:t>
      </w:r>
      <w:r>
        <w:rPr>
          <w:spacing w:val="-2"/>
        </w:rPr>
        <w:t xml:space="preserve"> </w:t>
      </w:r>
      <w:r>
        <w:t>margin</w:t>
      </w:r>
      <w:r>
        <w:rPr>
          <w:spacing w:val="1"/>
        </w:rPr>
        <w:t xml:space="preserve"> </w:t>
      </w:r>
      <w:r>
        <w:t>PMPM</w:t>
      </w:r>
      <w:r>
        <w:rPr>
          <w:spacing w:val="-2"/>
        </w:rPr>
        <w:t xml:space="preserve"> </w:t>
      </w:r>
      <w:r>
        <w:t>for</w:t>
      </w:r>
      <w:r>
        <w:rPr>
          <w:spacing w:val="-3"/>
        </w:rPr>
        <w:t xml:space="preserve"> </w:t>
      </w:r>
      <w:r>
        <w:t>each OSB package</w:t>
      </w:r>
      <w:r>
        <w:rPr>
          <w:spacing w:val="-2"/>
        </w:rPr>
        <w:t xml:space="preserve"> offered.</w:t>
      </w:r>
    </w:p>
    <w:p>
      <w:pPr>
        <w:pStyle w:val="BodyText"/>
        <w:spacing w:after="0"/>
        <w:sectPr>
          <w:headerReference w:type="default" r:id="rId39"/>
          <w:footerReference w:type="default" r:id="rId40"/>
          <w:pgSz w:w="12240" w:h="15840"/>
          <w:pgMar w:top="960" w:right="0" w:bottom="940" w:left="1080" w:header="727" w:footer="747"/>
          <w:cols w:space="720"/>
        </w:sectPr>
      </w:pPr>
    </w:p>
    <w:p>
      <w:pPr>
        <w:pStyle w:val="BodyText"/>
        <w:spacing w:before="225"/>
        <w:ind w:left="0"/>
        <w:rPr>
          <w:sz w:val="21"/>
        </w:rPr>
      </w:pPr>
    </w:p>
    <w:p>
      <w:pPr>
        <w:spacing w:before="0"/>
        <w:ind w:left="504" w:right="0" w:firstLine="0"/>
        <w:jc w:val="left"/>
        <w:rPr>
          <w:rFonts w:ascii="Arial" w:hAnsi="Arial"/>
          <w:b/>
          <w:sz w:val="21"/>
        </w:rPr>
      </w:pPr>
      <w:bookmarkStart w:id="316" w:name="Column i – Premium"/>
      <w:bookmarkEnd w:id="316"/>
      <w:r>
        <w:rPr>
          <w:rFonts w:ascii="Arial" w:hAnsi="Arial"/>
          <w:b/>
          <w:sz w:val="21"/>
        </w:rPr>
        <w:t>Column</w:t>
      </w:r>
      <w:r>
        <w:rPr>
          <w:rFonts w:ascii="Arial" w:hAnsi="Arial"/>
          <w:b/>
          <w:spacing w:val="-2"/>
          <w:sz w:val="21"/>
        </w:rPr>
        <w:t xml:space="preserve"> </w:t>
      </w:r>
      <w:r>
        <w:rPr>
          <w:rFonts w:ascii="Arial" w:hAnsi="Arial"/>
          <w:b/>
          <w:sz w:val="21"/>
        </w:rPr>
        <w:t>i</w:t>
      </w:r>
      <w:r>
        <w:rPr>
          <w:rFonts w:ascii="Arial" w:hAnsi="Arial"/>
          <w:b/>
          <w:spacing w:val="-3"/>
          <w:sz w:val="21"/>
        </w:rPr>
        <w:t xml:space="preserve"> </w:t>
      </w:r>
      <w:r>
        <w:rPr>
          <w:rFonts w:ascii="Arial" w:hAnsi="Arial"/>
          <w:b/>
          <w:sz w:val="21"/>
        </w:rPr>
        <w:t>–</w:t>
      </w:r>
      <w:r>
        <w:rPr>
          <w:rFonts w:ascii="Arial" w:hAnsi="Arial"/>
          <w:b/>
          <w:spacing w:val="-2"/>
          <w:sz w:val="21"/>
        </w:rPr>
        <w:t xml:space="preserve"> Premium</w:t>
      </w:r>
    </w:p>
    <w:p>
      <w:pPr>
        <w:pStyle w:val="BodyText"/>
        <w:spacing w:before="120"/>
        <w:ind w:right="1481"/>
      </w:pPr>
      <w:r>
        <w:t>The</w:t>
      </w:r>
      <w:r>
        <w:rPr>
          <w:spacing w:val="-5"/>
        </w:rPr>
        <w:t xml:space="preserve"> </w:t>
      </w:r>
      <w:r>
        <w:t>sum</w:t>
      </w:r>
      <w:r>
        <w:rPr>
          <w:spacing w:val="-3"/>
        </w:rPr>
        <w:t xml:space="preserve"> </w:t>
      </w:r>
      <w:r>
        <w:t>of</w:t>
      </w:r>
      <w:r>
        <w:rPr>
          <w:spacing w:val="-3"/>
        </w:rPr>
        <w:t xml:space="preserve"> </w:t>
      </w:r>
      <w:r>
        <w:t>columns</w:t>
      </w:r>
      <w:r>
        <w:rPr>
          <w:spacing w:val="-3"/>
        </w:rPr>
        <w:t xml:space="preserve"> </w:t>
      </w:r>
      <w:r>
        <w:t>f</w:t>
      </w:r>
      <w:r>
        <w:rPr>
          <w:spacing w:val="-4"/>
        </w:rPr>
        <w:t xml:space="preserve"> </w:t>
      </w:r>
      <w:r>
        <w:t>(medical</w:t>
      </w:r>
      <w:r>
        <w:rPr>
          <w:spacing w:val="-3"/>
        </w:rPr>
        <w:t xml:space="preserve"> </w:t>
      </w:r>
      <w:r>
        <w:t>expenses),</w:t>
      </w:r>
      <w:r>
        <w:rPr>
          <w:spacing w:val="-3"/>
        </w:rPr>
        <w:t xml:space="preserve"> </w:t>
      </w:r>
      <w:r>
        <w:t>g</w:t>
      </w:r>
      <w:r>
        <w:rPr>
          <w:spacing w:val="-3"/>
        </w:rPr>
        <w:t xml:space="preserve"> </w:t>
      </w:r>
      <w:r>
        <w:t>(non-benefit</w:t>
      </w:r>
      <w:r>
        <w:rPr>
          <w:spacing w:val="-3"/>
        </w:rPr>
        <w:t xml:space="preserve"> </w:t>
      </w:r>
      <w:r>
        <w:t>expenses),</w:t>
      </w:r>
      <w:r>
        <w:rPr>
          <w:spacing w:val="-3"/>
        </w:rPr>
        <w:t xml:space="preserve"> </w:t>
      </w:r>
      <w:r>
        <w:t>and</w:t>
      </w:r>
      <w:r>
        <w:rPr>
          <w:spacing w:val="-3"/>
        </w:rPr>
        <w:t xml:space="preserve"> </w:t>
      </w:r>
      <w:r>
        <w:t>h</w:t>
      </w:r>
      <w:r>
        <w:rPr>
          <w:spacing w:val="-1"/>
        </w:rPr>
        <w:t xml:space="preserve"> </w:t>
      </w:r>
      <w:r>
        <w:t>(gain/loss</w:t>
      </w:r>
      <w:r>
        <w:rPr>
          <w:spacing w:val="-3"/>
        </w:rPr>
        <w:t xml:space="preserve"> </w:t>
      </w:r>
      <w:r>
        <w:t>margin). The premiums are automatically rounded to one decimal to comply with premium withhold system requirements. Premium values</w:t>
      </w:r>
      <w:r>
        <w:rPr>
          <w:spacing w:val="-1"/>
        </w:rPr>
        <w:t xml:space="preserve"> </w:t>
      </w:r>
      <w:r>
        <w:t>must be</w:t>
      </w:r>
      <w:r>
        <w:rPr>
          <w:spacing w:val="-1"/>
        </w:rPr>
        <w:t xml:space="preserve"> </w:t>
      </w:r>
      <w:r>
        <w:t>greater</w:t>
      </w:r>
      <w:r>
        <w:rPr>
          <w:spacing w:val="-2"/>
        </w:rPr>
        <w:t xml:space="preserve"> </w:t>
      </w:r>
      <w:r>
        <w:t>than zero if an OSB package</w:t>
      </w:r>
      <w:r>
        <w:rPr>
          <w:spacing w:val="-1"/>
        </w:rPr>
        <w:t xml:space="preserve"> </w:t>
      </w:r>
      <w:r>
        <w:t>is</w:t>
      </w:r>
      <w:r>
        <w:rPr>
          <w:spacing w:val="-1"/>
        </w:rPr>
        <w:t xml:space="preserve"> </w:t>
      </w:r>
      <w:r>
        <w:t>offered and must be equal to zero if an OSB package is not offered.</w:t>
      </w:r>
    </w:p>
    <w:p>
      <w:pPr>
        <w:pStyle w:val="BodyText"/>
        <w:spacing w:before="121"/>
        <w:ind w:right="1443"/>
      </w:pPr>
      <w:r>
        <w:t>The</w:t>
      </w:r>
      <w:r>
        <w:rPr>
          <w:spacing w:val="-5"/>
        </w:rPr>
        <w:t xml:space="preserve"> </w:t>
      </w:r>
      <w:r>
        <w:t>BPT</w:t>
      </w:r>
      <w:r>
        <w:rPr>
          <w:spacing w:val="-3"/>
        </w:rPr>
        <w:t xml:space="preserve"> </w:t>
      </w:r>
      <w:r>
        <w:t>will</w:t>
      </w:r>
      <w:r>
        <w:rPr>
          <w:spacing w:val="-3"/>
        </w:rPr>
        <w:t xml:space="preserve"> </w:t>
      </w:r>
      <w:r>
        <w:t>not</w:t>
      </w:r>
      <w:r>
        <w:rPr>
          <w:spacing w:val="-3"/>
        </w:rPr>
        <w:t xml:space="preserve"> </w:t>
      </w:r>
      <w:r>
        <w:t>finalize</w:t>
      </w:r>
      <w:r>
        <w:rPr>
          <w:spacing w:val="-4"/>
        </w:rPr>
        <w:t xml:space="preserve"> </w:t>
      </w:r>
      <w:r>
        <w:t>if</w:t>
      </w:r>
      <w:r>
        <w:rPr>
          <w:spacing w:val="-3"/>
        </w:rPr>
        <w:t xml:space="preserve"> </w:t>
      </w:r>
      <w:r>
        <w:t>there</w:t>
      </w:r>
      <w:r>
        <w:rPr>
          <w:spacing w:val="-5"/>
        </w:rPr>
        <w:t xml:space="preserve"> </w:t>
      </w:r>
      <w:r>
        <w:t>are</w:t>
      </w:r>
      <w:r>
        <w:rPr>
          <w:spacing w:val="-5"/>
        </w:rPr>
        <w:t xml:space="preserve"> </w:t>
      </w:r>
      <w:r>
        <w:t>any</w:t>
      </w:r>
      <w:r>
        <w:rPr>
          <w:spacing w:val="-3"/>
        </w:rPr>
        <w:t xml:space="preserve"> </w:t>
      </w:r>
      <w:r>
        <w:t>invalid</w:t>
      </w:r>
      <w:r>
        <w:rPr>
          <w:spacing w:val="-3"/>
        </w:rPr>
        <w:t xml:space="preserve"> </w:t>
      </w:r>
      <w:r>
        <w:t>values</w:t>
      </w:r>
      <w:r>
        <w:rPr>
          <w:spacing w:val="-4"/>
        </w:rPr>
        <w:t xml:space="preserve"> </w:t>
      </w:r>
      <w:r>
        <w:t>(such</w:t>
      </w:r>
      <w:r>
        <w:rPr>
          <w:spacing w:val="-3"/>
        </w:rPr>
        <w:t xml:space="preserve"> </w:t>
      </w:r>
      <w:r>
        <w:t>as</w:t>
      </w:r>
      <w:r>
        <w:rPr>
          <w:spacing w:val="-1"/>
        </w:rPr>
        <w:t xml:space="preserve"> </w:t>
      </w:r>
      <w:r>
        <w:t>“#N/A”,</w:t>
      </w:r>
      <w:r>
        <w:rPr>
          <w:spacing w:val="-1"/>
        </w:rPr>
        <w:t xml:space="preserve"> </w:t>
      </w:r>
      <w:r>
        <w:t>“#DIV/0!”,</w:t>
      </w:r>
      <w:r>
        <w:rPr>
          <w:spacing w:val="-1"/>
        </w:rPr>
        <w:t xml:space="preserve"> </w:t>
      </w:r>
      <w:r>
        <w:t>“#REF!”, “#NAME?”, etc.) in this field.</w:t>
      </w:r>
    </w:p>
    <w:p>
      <w:pPr>
        <w:spacing w:before="240"/>
        <w:ind w:left="504" w:right="0" w:firstLine="0"/>
        <w:jc w:val="left"/>
        <w:rPr>
          <w:rFonts w:ascii="Arial" w:hAnsi="Arial"/>
          <w:b/>
          <w:sz w:val="21"/>
        </w:rPr>
      </w:pPr>
      <w:bookmarkStart w:id="317" w:name="Column j – Projected Member Months"/>
      <w:bookmarkEnd w:id="317"/>
      <w:r>
        <w:rPr>
          <w:rFonts w:ascii="Arial" w:hAnsi="Arial"/>
          <w:b/>
          <w:sz w:val="21"/>
        </w:rPr>
        <w:t>Column</w:t>
      </w:r>
      <w:r>
        <w:rPr>
          <w:rFonts w:ascii="Arial" w:hAnsi="Arial"/>
          <w:b/>
          <w:spacing w:val="-5"/>
          <w:sz w:val="21"/>
        </w:rPr>
        <w:t xml:space="preserve"> </w:t>
      </w:r>
      <w:r>
        <w:rPr>
          <w:rFonts w:ascii="Arial" w:hAnsi="Arial"/>
          <w:b/>
          <w:sz w:val="21"/>
        </w:rPr>
        <w:t>j</w:t>
      </w:r>
      <w:r>
        <w:rPr>
          <w:rFonts w:ascii="Arial" w:hAnsi="Arial"/>
          <w:b/>
          <w:spacing w:val="-6"/>
          <w:sz w:val="21"/>
        </w:rPr>
        <w:t xml:space="preserve"> </w:t>
      </w:r>
      <w:r>
        <w:rPr>
          <w:rFonts w:ascii="Arial" w:hAnsi="Arial"/>
          <w:b/>
          <w:sz w:val="21"/>
        </w:rPr>
        <w:t>–</w:t>
      </w:r>
      <w:r>
        <w:rPr>
          <w:rFonts w:ascii="Arial" w:hAnsi="Arial"/>
          <w:b/>
          <w:spacing w:val="-4"/>
          <w:sz w:val="21"/>
        </w:rPr>
        <w:t xml:space="preserve"> </w:t>
      </w:r>
      <w:r>
        <w:rPr>
          <w:rFonts w:ascii="Arial" w:hAnsi="Arial"/>
          <w:b/>
          <w:sz w:val="21"/>
        </w:rPr>
        <w:t>Projected</w:t>
      </w:r>
      <w:r>
        <w:rPr>
          <w:rFonts w:ascii="Arial" w:hAnsi="Arial"/>
          <w:b/>
          <w:spacing w:val="-4"/>
          <w:sz w:val="21"/>
        </w:rPr>
        <w:t xml:space="preserve"> </w:t>
      </w:r>
      <w:r>
        <w:rPr>
          <w:rFonts w:ascii="Arial" w:hAnsi="Arial"/>
          <w:b/>
          <w:sz w:val="21"/>
        </w:rPr>
        <w:t>Member</w:t>
      </w:r>
      <w:r>
        <w:rPr>
          <w:rFonts w:ascii="Arial" w:hAnsi="Arial"/>
          <w:b/>
          <w:spacing w:val="-5"/>
          <w:sz w:val="21"/>
        </w:rPr>
        <w:t xml:space="preserve"> </w:t>
      </w:r>
      <w:r>
        <w:rPr>
          <w:rFonts w:ascii="Arial" w:hAnsi="Arial"/>
          <w:b/>
          <w:spacing w:val="-2"/>
          <w:sz w:val="21"/>
        </w:rPr>
        <w:t>Months</w:t>
      </w:r>
    </w:p>
    <w:p>
      <w:pPr>
        <w:pStyle w:val="BodyText"/>
        <w:spacing w:before="118"/>
      </w:pPr>
      <w:r>
        <w:t>Enter</w:t>
      </w:r>
      <w:r>
        <w:rPr>
          <w:spacing w:val="-2"/>
        </w:rPr>
        <w:t xml:space="preserve"> </w:t>
      </w:r>
      <w:r>
        <w:t>the</w:t>
      </w:r>
      <w:r>
        <w:rPr>
          <w:spacing w:val="-3"/>
        </w:rPr>
        <w:t xml:space="preserve"> </w:t>
      </w:r>
      <w:r>
        <w:t>total</w:t>
      </w:r>
      <w:r>
        <w:rPr>
          <w:spacing w:val="-1"/>
        </w:rPr>
        <w:t xml:space="preserve"> </w:t>
      </w:r>
      <w:r>
        <w:t>projected</w:t>
      </w:r>
      <w:r>
        <w:rPr>
          <w:spacing w:val="1"/>
        </w:rPr>
        <w:t xml:space="preserve"> </w:t>
      </w:r>
      <w:r>
        <w:t>contract</w:t>
      </w:r>
      <w:r>
        <w:rPr>
          <w:spacing w:val="-2"/>
        </w:rPr>
        <w:t xml:space="preserve"> </w:t>
      </w:r>
      <w:r>
        <w:t>year</w:t>
      </w:r>
      <w:r>
        <w:rPr>
          <w:spacing w:val="-1"/>
        </w:rPr>
        <w:t xml:space="preserve"> </w:t>
      </w:r>
      <w:r>
        <w:t>member</w:t>
      </w:r>
      <w:r>
        <w:rPr>
          <w:spacing w:val="-1"/>
        </w:rPr>
        <w:t xml:space="preserve"> </w:t>
      </w:r>
      <w:r>
        <w:t>months</w:t>
      </w:r>
      <w:r>
        <w:rPr>
          <w:spacing w:val="-1"/>
        </w:rPr>
        <w:t xml:space="preserve"> </w:t>
      </w:r>
      <w:r>
        <w:t>for</w:t>
      </w:r>
      <w:r>
        <w:rPr>
          <w:spacing w:val="-4"/>
        </w:rPr>
        <w:t xml:space="preserve"> </w:t>
      </w:r>
      <w:r>
        <w:t>each</w:t>
      </w:r>
      <w:r>
        <w:rPr>
          <w:spacing w:val="3"/>
        </w:rPr>
        <w:t xml:space="preserve"> </w:t>
      </w:r>
      <w:r>
        <w:t>OSB package</w:t>
      </w:r>
      <w:r>
        <w:rPr>
          <w:spacing w:val="-2"/>
        </w:rPr>
        <w:t xml:space="preserve"> offered.</w:t>
      </w:r>
    </w:p>
    <w:p>
      <w:pPr>
        <w:pStyle w:val="BodyText"/>
        <w:spacing w:before="46"/>
        <w:ind w:left="0"/>
      </w:pPr>
    </w:p>
    <w:p>
      <w:pPr>
        <w:pStyle w:val="Heading2"/>
      </w:pPr>
      <w:bookmarkStart w:id="318" w:name="Section III – Base Period Summary (enter"/>
      <w:bookmarkEnd w:id="318"/>
      <w:bookmarkStart w:id="319" w:name="_bookmark80"/>
      <w:bookmarkEnd w:id="319"/>
      <w:r>
        <w:rPr>
          <w:smallCaps/>
        </w:rPr>
        <w:t>Section</w:t>
      </w:r>
      <w:r>
        <w:rPr>
          <w:smallCaps/>
          <w:spacing w:val="-15"/>
        </w:rPr>
        <w:t xml:space="preserve"> </w:t>
      </w:r>
      <w:r>
        <w:rPr>
          <w:smallCaps/>
        </w:rPr>
        <w:t>III</w:t>
      </w:r>
      <w:r>
        <w:rPr>
          <w:smallCaps/>
          <w:spacing w:val="-15"/>
        </w:rPr>
        <w:t xml:space="preserve"> </w:t>
      </w:r>
      <w:r>
        <w:rPr>
          <w:smallCaps/>
        </w:rPr>
        <w:t>–</w:t>
      </w:r>
      <w:r>
        <w:rPr>
          <w:smallCaps/>
          <w:spacing w:val="-15"/>
        </w:rPr>
        <w:t xml:space="preserve"> </w:t>
      </w:r>
      <w:r>
        <w:rPr>
          <w:smallCaps/>
        </w:rPr>
        <w:t>Base</w:t>
      </w:r>
      <w:r>
        <w:rPr>
          <w:smallCaps/>
          <w:spacing w:val="-8"/>
        </w:rPr>
        <w:t xml:space="preserve"> </w:t>
      </w:r>
      <w:r>
        <w:rPr>
          <w:smallCaps/>
        </w:rPr>
        <w:t>Period</w:t>
      </w:r>
      <w:r>
        <w:rPr>
          <w:smallCaps/>
          <w:spacing w:val="-7"/>
        </w:rPr>
        <w:t xml:space="preserve"> </w:t>
      </w:r>
      <w:r>
        <w:rPr>
          <w:smallCaps/>
        </w:rPr>
        <w:t>Summary</w:t>
      </w:r>
      <w:r>
        <w:rPr>
          <w:smallCaps/>
          <w:spacing w:val="-6"/>
        </w:rPr>
        <w:t xml:space="preserve"> </w:t>
      </w:r>
      <w:r>
        <w:rPr>
          <w:smallCaps/>
        </w:rPr>
        <w:t>(entered</w:t>
      </w:r>
      <w:r>
        <w:rPr>
          <w:smallCaps/>
          <w:spacing w:val="-7"/>
        </w:rPr>
        <w:t xml:space="preserve"> </w:t>
      </w:r>
      <w:r>
        <w:rPr>
          <w:smallCaps/>
        </w:rPr>
        <w:t>at</w:t>
      </w:r>
      <w:r>
        <w:rPr>
          <w:smallCaps/>
          <w:spacing w:val="-9"/>
        </w:rPr>
        <w:t xml:space="preserve"> </w:t>
      </w:r>
      <w:r>
        <w:rPr>
          <w:smallCaps/>
        </w:rPr>
        <w:t>the</w:t>
      </w:r>
      <w:r>
        <w:rPr>
          <w:smallCaps/>
          <w:spacing w:val="-8"/>
        </w:rPr>
        <w:t xml:space="preserve"> </w:t>
      </w:r>
      <w:r>
        <w:rPr>
          <w:smallCaps/>
        </w:rPr>
        <w:t>contract</w:t>
      </w:r>
      <w:r>
        <w:rPr>
          <w:smallCaps/>
          <w:spacing w:val="-7"/>
        </w:rPr>
        <w:t xml:space="preserve"> </w:t>
      </w:r>
      <w:r>
        <w:rPr>
          <w:smallCaps/>
          <w:spacing w:val="-2"/>
        </w:rPr>
        <w:t>level)</w:t>
      </w:r>
    </w:p>
    <w:p>
      <w:pPr>
        <w:pStyle w:val="BodyText"/>
        <w:spacing w:before="179"/>
      </w:pPr>
      <w:r>
        <w:t>This</w:t>
      </w:r>
      <w:r>
        <w:rPr>
          <w:spacing w:val="-5"/>
        </w:rPr>
        <w:t xml:space="preserve"> </w:t>
      </w:r>
      <w:r>
        <w:t>section</w:t>
      </w:r>
      <w:r>
        <w:rPr>
          <w:spacing w:val="-1"/>
        </w:rPr>
        <w:t xml:space="preserve"> </w:t>
      </w:r>
      <w:r>
        <w:t>contains</w:t>
      </w:r>
      <w:r>
        <w:rPr>
          <w:spacing w:val="-2"/>
        </w:rPr>
        <w:t xml:space="preserve"> </w:t>
      </w:r>
      <w:r>
        <w:t>a</w:t>
      </w:r>
      <w:r>
        <w:rPr>
          <w:spacing w:val="-2"/>
        </w:rPr>
        <w:t xml:space="preserve"> </w:t>
      </w:r>
      <w:r>
        <w:t>summary</w:t>
      </w:r>
      <w:r>
        <w:rPr>
          <w:spacing w:val="-1"/>
        </w:rPr>
        <w:t xml:space="preserve"> </w:t>
      </w:r>
      <w:r>
        <w:t>of</w:t>
      </w:r>
      <w:r>
        <w:rPr>
          <w:spacing w:val="-3"/>
        </w:rPr>
        <w:t xml:space="preserve"> </w:t>
      </w:r>
      <w:r>
        <w:t>the</w:t>
      </w:r>
      <w:r>
        <w:rPr>
          <w:spacing w:val="-2"/>
        </w:rPr>
        <w:t xml:space="preserve"> </w:t>
      </w:r>
      <w:r>
        <w:t>actual</w:t>
      </w:r>
      <w:r>
        <w:rPr>
          <w:spacing w:val="1"/>
        </w:rPr>
        <w:t xml:space="preserve"> </w:t>
      </w:r>
      <w:r>
        <w:t>contract-level</w:t>
      </w:r>
      <w:r>
        <w:rPr>
          <w:spacing w:val="-1"/>
        </w:rPr>
        <w:t xml:space="preserve"> </w:t>
      </w:r>
      <w:r>
        <w:t>base</w:t>
      </w:r>
      <w:r>
        <w:rPr>
          <w:spacing w:val="-3"/>
        </w:rPr>
        <w:t xml:space="preserve"> </w:t>
      </w:r>
      <w:r>
        <w:t>period</w:t>
      </w:r>
      <w:r>
        <w:rPr>
          <w:spacing w:val="-1"/>
        </w:rPr>
        <w:t xml:space="preserve"> </w:t>
      </w:r>
      <w:r>
        <w:t>revenue</w:t>
      </w:r>
      <w:r>
        <w:rPr>
          <w:spacing w:val="-2"/>
        </w:rPr>
        <w:t xml:space="preserve"> </w:t>
      </w:r>
      <w:r>
        <w:t>and</w:t>
      </w:r>
      <w:r>
        <w:rPr>
          <w:spacing w:val="1"/>
        </w:rPr>
        <w:t xml:space="preserve"> </w:t>
      </w:r>
      <w:r>
        <w:rPr>
          <w:spacing w:val="-2"/>
        </w:rPr>
        <w:t>expenses.</w:t>
      </w:r>
    </w:p>
    <w:p>
      <w:pPr>
        <w:pStyle w:val="BodyText"/>
        <w:spacing w:before="120"/>
        <w:ind w:right="1481"/>
      </w:pPr>
      <w:r>
        <w:t>Note</w:t>
      </w:r>
      <w:r>
        <w:rPr>
          <w:spacing w:val="-4"/>
        </w:rPr>
        <w:t xml:space="preserve"> </w:t>
      </w:r>
      <w:r>
        <w:t>that</w:t>
      </w:r>
      <w:r>
        <w:rPr>
          <w:spacing w:val="-3"/>
        </w:rPr>
        <w:t xml:space="preserve"> </w:t>
      </w:r>
      <w:r>
        <w:t>Section</w:t>
      </w:r>
      <w:r>
        <w:rPr>
          <w:spacing w:val="-1"/>
        </w:rPr>
        <w:t xml:space="preserve"> </w:t>
      </w:r>
      <w:r>
        <w:t>III</w:t>
      </w:r>
      <w:r>
        <w:rPr>
          <w:spacing w:val="-7"/>
        </w:rPr>
        <w:t xml:space="preserve"> </w:t>
      </w:r>
      <w:r>
        <w:t>must</w:t>
      </w:r>
      <w:r>
        <w:rPr>
          <w:spacing w:val="-3"/>
        </w:rPr>
        <w:t xml:space="preserve"> </w:t>
      </w:r>
      <w:r>
        <w:t>be</w:t>
      </w:r>
      <w:r>
        <w:rPr>
          <w:spacing w:val="-3"/>
        </w:rPr>
        <w:t xml:space="preserve"> </w:t>
      </w:r>
      <w:r>
        <w:t>completed</w:t>
      </w:r>
      <w:r>
        <w:rPr>
          <w:spacing w:val="-3"/>
        </w:rPr>
        <w:t xml:space="preserve"> </w:t>
      </w:r>
      <w:r>
        <w:t>in</w:t>
      </w:r>
      <w:r>
        <w:rPr>
          <w:spacing w:val="-3"/>
        </w:rPr>
        <w:t xml:space="preserve"> </w:t>
      </w:r>
      <w:r>
        <w:t>total</w:t>
      </w:r>
      <w:r>
        <w:rPr>
          <w:spacing w:val="-3"/>
        </w:rPr>
        <w:t xml:space="preserve"> </w:t>
      </w:r>
      <w:r>
        <w:t>dollars</w:t>
      </w:r>
      <w:r>
        <w:rPr>
          <w:spacing w:val="-1"/>
        </w:rPr>
        <w:t xml:space="preserve"> </w:t>
      </w:r>
      <w:r>
        <w:t>(not</w:t>
      </w:r>
      <w:r>
        <w:rPr>
          <w:spacing w:val="-3"/>
        </w:rPr>
        <w:t xml:space="preserve"> </w:t>
      </w:r>
      <w:r>
        <w:t>PMPMs),</w:t>
      </w:r>
      <w:r>
        <w:rPr>
          <w:spacing w:val="-3"/>
        </w:rPr>
        <w:t xml:space="preserve"> </w:t>
      </w:r>
      <w:r>
        <w:t>and</w:t>
      </w:r>
      <w:r>
        <w:rPr>
          <w:spacing w:val="-3"/>
        </w:rPr>
        <w:t xml:space="preserve"> </w:t>
      </w:r>
      <w:r>
        <w:t>it</w:t>
      </w:r>
      <w:r>
        <w:rPr>
          <w:spacing w:val="-3"/>
        </w:rPr>
        <w:t xml:space="preserve"> </w:t>
      </w:r>
      <w:r>
        <w:t>must</w:t>
      </w:r>
      <w:r>
        <w:rPr>
          <w:spacing w:val="-2"/>
        </w:rPr>
        <w:t xml:space="preserve"> </w:t>
      </w:r>
      <w:r>
        <w:t>include</w:t>
      </w:r>
      <w:r>
        <w:rPr>
          <w:spacing w:val="-4"/>
        </w:rPr>
        <w:t xml:space="preserve"> </w:t>
      </w:r>
      <w:r>
        <w:t>all optional supplemental benefit packages that were provided in the base period.</w:t>
      </w:r>
    </w:p>
    <w:p>
      <w:pPr>
        <w:pStyle w:val="BodyText"/>
        <w:spacing w:after="0"/>
        <w:sectPr>
          <w:pgSz w:w="12240" w:h="15840"/>
          <w:pgMar w:top="960" w:right="0" w:bottom="940" w:left="1080" w:header="727" w:footer="747"/>
          <w:cols w:space="720"/>
        </w:sectPr>
      </w:pPr>
    </w:p>
    <w:p>
      <w:pPr>
        <w:pStyle w:val="BodyText"/>
        <w:spacing w:before="264"/>
        <w:ind w:left="0"/>
        <w:rPr>
          <w:sz w:val="28"/>
        </w:rPr>
      </w:pPr>
    </w:p>
    <w:p>
      <w:pPr>
        <w:pStyle w:val="Heading1"/>
        <w:numPr>
          <w:ilvl w:val="0"/>
          <w:numId w:val="56"/>
        </w:numPr>
        <w:tabs>
          <w:tab w:val="left" w:pos="925"/>
        </w:tabs>
        <w:spacing w:before="0" w:after="0" w:line="240" w:lineRule="auto"/>
        <w:ind w:left="925" w:right="0" w:hanging="421"/>
        <w:jc w:val="left"/>
        <w:rPr>
          <w:u w:val="none"/>
        </w:rPr>
      </w:pPr>
      <w:bookmarkStart w:id="320" w:name="IV. Appendices"/>
      <w:bookmarkEnd w:id="320"/>
      <w:bookmarkStart w:id="321" w:name="_bookmark81"/>
      <w:bookmarkEnd w:id="321"/>
      <w:r>
        <w:rPr>
          <w:spacing w:val="-2"/>
          <w:u w:val="none"/>
        </w:rPr>
        <w:t>APPENDICES</w:t>
      </w:r>
    </w:p>
    <w:p>
      <w:pPr>
        <w:tabs>
          <w:tab w:val="left" w:pos="9750"/>
        </w:tabs>
        <w:spacing w:before="240"/>
        <w:ind w:left="475" w:right="0" w:firstLine="0"/>
        <w:jc w:val="left"/>
        <w:rPr>
          <w:rFonts w:ascii="Arial" w:hAnsi="Arial"/>
          <w:b/>
          <w:sz w:val="28"/>
        </w:rPr>
      </w:pPr>
      <w:bookmarkStart w:id="322" w:name="Appendix A – Actuarial Certification"/>
      <w:bookmarkEnd w:id="322"/>
      <w:bookmarkStart w:id="323" w:name="_bookmark82"/>
      <w:bookmarkEnd w:id="323"/>
      <w:r>
        <w:rPr>
          <w:rFonts w:ascii="Arial" w:hAnsi="Arial"/>
          <w:b/>
          <w:spacing w:val="-50"/>
          <w:sz w:val="28"/>
          <w:u w:val="single"/>
        </w:rPr>
        <w:t xml:space="preserve"> </w:t>
      </w:r>
      <w:r>
        <w:rPr>
          <w:rFonts w:ascii="Arial" w:hAnsi="Arial"/>
          <w:b/>
          <w:sz w:val="28"/>
          <w:u w:val="single"/>
        </w:rPr>
        <w:t>APPENDIX</w:t>
      </w:r>
      <w:r>
        <w:rPr>
          <w:rFonts w:ascii="Arial" w:hAnsi="Arial"/>
          <w:b/>
          <w:spacing w:val="-6"/>
          <w:sz w:val="28"/>
          <w:u w:val="single"/>
        </w:rPr>
        <w:t xml:space="preserve"> </w:t>
      </w:r>
      <w:r>
        <w:rPr>
          <w:rFonts w:ascii="Arial" w:hAnsi="Arial"/>
          <w:b/>
          <w:sz w:val="28"/>
          <w:u w:val="single"/>
        </w:rPr>
        <w:t>A</w:t>
      </w:r>
      <w:r>
        <w:rPr>
          <w:rFonts w:ascii="Arial" w:hAnsi="Arial"/>
          <w:b/>
          <w:spacing w:val="-8"/>
          <w:sz w:val="28"/>
          <w:u w:val="single"/>
        </w:rPr>
        <w:t xml:space="preserve"> </w:t>
      </w:r>
      <w:r>
        <w:rPr>
          <w:rFonts w:ascii="Arial" w:hAnsi="Arial"/>
          <w:b/>
          <w:sz w:val="28"/>
          <w:u w:val="single"/>
        </w:rPr>
        <w:t>–</w:t>
      </w:r>
      <w:r>
        <w:rPr>
          <w:rFonts w:ascii="Arial" w:hAnsi="Arial"/>
          <w:b/>
          <w:spacing w:val="-4"/>
          <w:sz w:val="28"/>
          <w:u w:val="single"/>
        </w:rPr>
        <w:t xml:space="preserve"> </w:t>
      </w:r>
      <w:r>
        <w:rPr>
          <w:rFonts w:ascii="Arial" w:hAnsi="Arial"/>
          <w:b/>
          <w:sz w:val="28"/>
          <w:u w:val="single"/>
        </w:rPr>
        <w:t>ACTUARIAL</w:t>
      </w:r>
      <w:r>
        <w:rPr>
          <w:rFonts w:ascii="Arial" w:hAnsi="Arial"/>
          <w:b/>
          <w:spacing w:val="-4"/>
          <w:sz w:val="28"/>
          <w:u w:val="single"/>
        </w:rPr>
        <w:t xml:space="preserve"> </w:t>
      </w:r>
      <w:r>
        <w:rPr>
          <w:rFonts w:ascii="Arial" w:hAnsi="Arial"/>
          <w:b/>
          <w:spacing w:val="-2"/>
          <w:sz w:val="28"/>
          <w:u w:val="single"/>
        </w:rPr>
        <w:t>CERTIFICATION</w:t>
      </w:r>
      <w:r>
        <w:rPr>
          <w:rFonts w:ascii="Arial" w:hAnsi="Arial"/>
          <w:b/>
          <w:sz w:val="28"/>
          <w:u w:val="single"/>
        </w:rPr>
        <w:tab/>
      </w:r>
    </w:p>
    <w:p>
      <w:pPr>
        <w:pStyle w:val="BodyText"/>
        <w:spacing w:before="110"/>
        <w:ind w:left="0"/>
        <w:rPr>
          <w:rFonts w:ascii="Arial"/>
          <w:b/>
          <w:sz w:val="21"/>
        </w:rPr>
      </w:pPr>
    </w:p>
    <w:p>
      <w:pPr>
        <w:pStyle w:val="Heading2"/>
      </w:pPr>
      <w:bookmarkStart w:id="324" w:name="General"/>
      <w:bookmarkEnd w:id="324"/>
      <w:bookmarkStart w:id="325" w:name="_bookmark83"/>
      <w:bookmarkEnd w:id="325"/>
      <w:r>
        <w:rPr>
          <w:smallCaps/>
          <w:spacing w:val="-2"/>
        </w:rPr>
        <w:t>General</w:t>
      </w:r>
    </w:p>
    <w:p>
      <w:pPr>
        <w:pStyle w:val="BodyText"/>
        <w:spacing w:before="179"/>
        <w:ind w:right="1481"/>
      </w:pPr>
      <w:r>
        <w:t>CMS requires an actuarial certification to accompany every bid submitted to HPMS. If a certification</w:t>
      </w:r>
      <w:r>
        <w:rPr>
          <w:spacing w:val="-4"/>
        </w:rPr>
        <w:t xml:space="preserve"> </w:t>
      </w:r>
      <w:r>
        <w:t>is</w:t>
      </w:r>
      <w:r>
        <w:rPr>
          <w:spacing w:val="-4"/>
        </w:rPr>
        <w:t xml:space="preserve"> </w:t>
      </w:r>
      <w:r>
        <w:t>not</w:t>
      </w:r>
      <w:r>
        <w:rPr>
          <w:spacing w:val="-4"/>
        </w:rPr>
        <w:t xml:space="preserve"> </w:t>
      </w:r>
      <w:r>
        <w:t>submitted</w:t>
      </w:r>
      <w:r>
        <w:rPr>
          <w:spacing w:val="-4"/>
        </w:rPr>
        <w:t xml:space="preserve"> </w:t>
      </w:r>
      <w:r>
        <w:t>via</w:t>
      </w:r>
      <w:r>
        <w:rPr>
          <w:spacing w:val="-4"/>
        </w:rPr>
        <w:t xml:space="preserve"> </w:t>
      </w:r>
      <w:r>
        <w:t>the</w:t>
      </w:r>
      <w:r>
        <w:rPr>
          <w:spacing w:val="-4"/>
        </w:rPr>
        <w:t xml:space="preserve"> </w:t>
      </w:r>
      <w:r>
        <w:t>HPMS</w:t>
      </w:r>
      <w:r>
        <w:rPr>
          <w:spacing w:val="-3"/>
        </w:rPr>
        <w:t xml:space="preserve"> </w:t>
      </w:r>
      <w:r>
        <w:t>certification</w:t>
      </w:r>
      <w:r>
        <w:rPr>
          <w:spacing w:val="-4"/>
        </w:rPr>
        <w:t xml:space="preserve"> </w:t>
      </w:r>
      <w:r>
        <w:t>module,</w:t>
      </w:r>
      <w:r>
        <w:rPr>
          <w:spacing w:val="-4"/>
        </w:rPr>
        <w:t xml:space="preserve"> </w:t>
      </w:r>
      <w:r>
        <w:t>the</w:t>
      </w:r>
      <w:r>
        <w:rPr>
          <w:spacing w:val="-4"/>
        </w:rPr>
        <w:t xml:space="preserve"> </w:t>
      </w:r>
      <w:r>
        <w:t>bid</w:t>
      </w:r>
      <w:r>
        <w:rPr>
          <w:spacing w:val="-4"/>
        </w:rPr>
        <w:t xml:space="preserve"> </w:t>
      </w:r>
      <w:r>
        <w:t>will</w:t>
      </w:r>
      <w:r>
        <w:rPr>
          <w:spacing w:val="-4"/>
        </w:rPr>
        <w:t xml:space="preserve"> </w:t>
      </w:r>
      <w:r>
        <w:t>not</w:t>
      </w:r>
      <w:r>
        <w:rPr>
          <w:spacing w:val="-4"/>
        </w:rPr>
        <w:t xml:space="preserve"> </w:t>
      </w:r>
      <w:r>
        <w:t>be</w:t>
      </w:r>
      <w:r>
        <w:rPr>
          <w:spacing w:val="-4"/>
        </w:rPr>
        <w:t xml:space="preserve"> </w:t>
      </w:r>
      <w:r>
        <w:t>considered for CMS review and approval. Every MA BPT requires a certification. Likewise, every Part D BPT requires a certification.</w:t>
      </w:r>
    </w:p>
    <w:p>
      <w:pPr>
        <w:pStyle w:val="BodyText"/>
        <w:spacing w:before="120"/>
        <w:ind w:right="1481"/>
      </w:pPr>
      <w:r>
        <w:t>A</w:t>
      </w:r>
      <w:r>
        <w:rPr>
          <w:spacing w:val="-4"/>
        </w:rPr>
        <w:t xml:space="preserve"> </w:t>
      </w:r>
      <w:r>
        <w:t>qualified</w:t>
      </w:r>
      <w:r>
        <w:rPr>
          <w:spacing w:val="-3"/>
        </w:rPr>
        <w:t xml:space="preserve"> </w:t>
      </w:r>
      <w:r>
        <w:t>actuary</w:t>
      </w:r>
      <w:r>
        <w:rPr>
          <w:spacing w:val="-3"/>
        </w:rPr>
        <w:t xml:space="preserve"> </w:t>
      </w:r>
      <w:r>
        <w:t>who</w:t>
      </w:r>
      <w:r>
        <w:rPr>
          <w:spacing w:val="-3"/>
        </w:rPr>
        <w:t xml:space="preserve"> </w:t>
      </w:r>
      <w:r>
        <w:t>is</w:t>
      </w:r>
      <w:r>
        <w:rPr>
          <w:spacing w:val="-4"/>
        </w:rPr>
        <w:t xml:space="preserve"> </w:t>
      </w:r>
      <w:r>
        <w:t>a</w:t>
      </w:r>
      <w:r>
        <w:rPr>
          <w:spacing w:val="-3"/>
        </w:rPr>
        <w:t xml:space="preserve"> </w:t>
      </w:r>
      <w:r>
        <w:t>member</w:t>
      </w:r>
      <w:r>
        <w:rPr>
          <w:spacing w:val="-3"/>
        </w:rPr>
        <w:t xml:space="preserve"> </w:t>
      </w:r>
      <w:r>
        <w:t>of</w:t>
      </w:r>
      <w:r>
        <w:rPr>
          <w:spacing w:val="-5"/>
        </w:rPr>
        <w:t xml:space="preserve"> </w:t>
      </w:r>
      <w:r>
        <w:t>the</w:t>
      </w:r>
      <w:r>
        <w:rPr>
          <w:spacing w:val="-2"/>
        </w:rPr>
        <w:t xml:space="preserve"> </w:t>
      </w:r>
      <w:r>
        <w:t>American</w:t>
      </w:r>
      <w:r>
        <w:rPr>
          <w:spacing w:val="-3"/>
        </w:rPr>
        <w:t xml:space="preserve"> </w:t>
      </w:r>
      <w:r>
        <w:t>Academy</w:t>
      </w:r>
      <w:r>
        <w:rPr>
          <w:spacing w:val="-3"/>
        </w:rPr>
        <w:t xml:space="preserve"> </w:t>
      </w:r>
      <w:r>
        <w:t>of</w:t>
      </w:r>
      <w:r>
        <w:rPr>
          <w:spacing w:val="-2"/>
        </w:rPr>
        <w:t xml:space="preserve"> </w:t>
      </w:r>
      <w:r>
        <w:t>Actuaries</w:t>
      </w:r>
      <w:r>
        <w:rPr>
          <w:spacing w:val="-1"/>
        </w:rPr>
        <w:t xml:space="preserve"> </w:t>
      </w:r>
      <w:r>
        <w:t>(MAAA)</w:t>
      </w:r>
      <w:r>
        <w:rPr>
          <w:spacing w:val="-3"/>
        </w:rPr>
        <w:t xml:space="preserve"> </w:t>
      </w:r>
      <w:r>
        <w:t>must complete the certification. The objective of obtaining an actuarial certification is to place greater responsibility on the actuary’s professional judgment and to hold that person accountable for the reasonableness of the assumptions and projections.</w:t>
      </w:r>
    </w:p>
    <w:p>
      <w:pPr>
        <w:spacing w:before="242"/>
        <w:ind w:left="504" w:right="0" w:firstLine="0"/>
        <w:jc w:val="left"/>
        <w:rPr>
          <w:rFonts w:ascii="Arial"/>
          <w:b/>
          <w:sz w:val="21"/>
        </w:rPr>
      </w:pPr>
      <w:bookmarkStart w:id="326" w:name="Certification Module"/>
      <w:bookmarkEnd w:id="326"/>
      <w:r>
        <w:rPr>
          <w:rFonts w:ascii="Arial"/>
          <w:b/>
          <w:sz w:val="21"/>
        </w:rPr>
        <w:t>Certification</w:t>
      </w:r>
      <w:r>
        <w:rPr>
          <w:rFonts w:ascii="Arial"/>
          <w:b/>
          <w:spacing w:val="-9"/>
          <w:sz w:val="21"/>
        </w:rPr>
        <w:t xml:space="preserve"> </w:t>
      </w:r>
      <w:r>
        <w:rPr>
          <w:rFonts w:ascii="Arial"/>
          <w:b/>
          <w:spacing w:val="-2"/>
          <w:sz w:val="21"/>
        </w:rPr>
        <w:t>Module</w:t>
      </w:r>
    </w:p>
    <w:p>
      <w:pPr>
        <w:pStyle w:val="BodyText"/>
        <w:spacing w:before="118"/>
      </w:pPr>
      <w:r>
        <w:t>The</w:t>
      </w:r>
      <w:r>
        <w:rPr>
          <w:spacing w:val="-4"/>
        </w:rPr>
        <w:t xml:space="preserve"> </w:t>
      </w:r>
      <w:r>
        <w:t>certification</w:t>
      </w:r>
      <w:r>
        <w:rPr>
          <w:spacing w:val="-1"/>
        </w:rPr>
        <w:t xml:space="preserve"> </w:t>
      </w:r>
      <w:r>
        <w:t>module</w:t>
      </w:r>
      <w:r>
        <w:rPr>
          <w:spacing w:val="-1"/>
        </w:rPr>
        <w:t xml:space="preserve"> </w:t>
      </w:r>
      <w:r>
        <w:t>contains</w:t>
      </w:r>
      <w:r>
        <w:rPr>
          <w:spacing w:val="-2"/>
        </w:rPr>
        <w:t xml:space="preserve"> </w:t>
      </w:r>
      <w:r>
        <w:t>the</w:t>
      </w:r>
      <w:r>
        <w:rPr>
          <w:spacing w:val="-3"/>
        </w:rPr>
        <w:t xml:space="preserve"> </w:t>
      </w:r>
      <w:r>
        <w:t>following</w:t>
      </w:r>
      <w:r>
        <w:rPr>
          <w:spacing w:val="-1"/>
        </w:rPr>
        <w:t xml:space="preserve"> </w:t>
      </w:r>
      <w:r>
        <w:rPr>
          <w:spacing w:val="-2"/>
        </w:rPr>
        <w:t>features:</w:t>
      </w:r>
    </w:p>
    <w:p>
      <w:pPr>
        <w:pStyle w:val="ListParagraph"/>
        <w:numPr>
          <w:ilvl w:val="0"/>
          <w:numId w:val="38"/>
        </w:numPr>
        <w:tabs>
          <w:tab w:val="left" w:pos="1584"/>
        </w:tabs>
        <w:spacing w:before="120" w:after="0" w:line="240" w:lineRule="auto"/>
        <w:ind w:left="1584" w:right="0" w:hanging="360"/>
        <w:jc w:val="left"/>
        <w:rPr>
          <w:sz w:val="24"/>
        </w:rPr>
      </w:pPr>
      <w:r>
        <w:rPr>
          <w:sz w:val="24"/>
        </w:rPr>
        <w:t>Standardized</w:t>
      </w:r>
      <w:r>
        <w:rPr>
          <w:spacing w:val="-4"/>
          <w:sz w:val="24"/>
        </w:rPr>
        <w:t xml:space="preserve"> </w:t>
      </w:r>
      <w:r>
        <w:rPr>
          <w:sz w:val="24"/>
        </w:rPr>
        <w:t>required</w:t>
      </w:r>
      <w:r>
        <w:rPr>
          <w:spacing w:val="-3"/>
          <w:sz w:val="24"/>
        </w:rPr>
        <w:t xml:space="preserve"> </w:t>
      </w:r>
      <w:r>
        <w:rPr>
          <w:spacing w:val="-2"/>
          <w:sz w:val="24"/>
        </w:rPr>
        <w:t>language.</w:t>
      </w:r>
    </w:p>
    <w:p>
      <w:pPr>
        <w:pStyle w:val="ListParagraph"/>
        <w:numPr>
          <w:ilvl w:val="0"/>
          <w:numId w:val="38"/>
        </w:numPr>
        <w:tabs>
          <w:tab w:val="left" w:pos="1584"/>
        </w:tabs>
        <w:spacing w:before="0" w:after="0" w:line="240" w:lineRule="auto"/>
        <w:ind w:left="1584" w:right="0" w:hanging="360"/>
        <w:jc w:val="left"/>
        <w:rPr>
          <w:sz w:val="24"/>
        </w:rPr>
      </w:pPr>
      <w:r>
        <w:rPr>
          <w:sz w:val="24"/>
        </w:rPr>
        <w:t>The</w:t>
      </w:r>
      <w:r>
        <w:rPr>
          <w:spacing w:val="-5"/>
          <w:sz w:val="24"/>
        </w:rPr>
        <w:t xml:space="preserve"> </w:t>
      </w:r>
      <w:r>
        <w:rPr>
          <w:sz w:val="24"/>
        </w:rPr>
        <w:t>ability</w:t>
      </w:r>
      <w:r>
        <w:rPr>
          <w:spacing w:val="-1"/>
          <w:sz w:val="24"/>
        </w:rPr>
        <w:t xml:space="preserve"> </w:t>
      </w:r>
      <w:r>
        <w:rPr>
          <w:sz w:val="24"/>
        </w:rPr>
        <w:t>to</w:t>
      </w:r>
      <w:r>
        <w:rPr>
          <w:spacing w:val="-1"/>
          <w:sz w:val="24"/>
        </w:rPr>
        <w:t xml:space="preserve"> </w:t>
      </w:r>
      <w:r>
        <w:rPr>
          <w:sz w:val="24"/>
        </w:rPr>
        <w:t>append free-form</w:t>
      </w:r>
      <w:r>
        <w:rPr>
          <w:spacing w:val="-1"/>
          <w:sz w:val="24"/>
        </w:rPr>
        <w:t xml:space="preserve"> </w:t>
      </w:r>
      <w:r>
        <w:rPr>
          <w:sz w:val="24"/>
        </w:rPr>
        <w:t>text</w:t>
      </w:r>
      <w:r>
        <w:rPr>
          <w:spacing w:val="-1"/>
          <w:sz w:val="24"/>
        </w:rPr>
        <w:t xml:space="preserve"> </w:t>
      </w:r>
      <w:r>
        <w:rPr>
          <w:sz w:val="24"/>
        </w:rPr>
        <w:t>language</w:t>
      </w:r>
      <w:r>
        <w:rPr>
          <w:spacing w:val="-2"/>
          <w:sz w:val="24"/>
        </w:rPr>
        <w:t xml:space="preserve"> </w:t>
      </w:r>
      <w:r>
        <w:rPr>
          <w:sz w:val="24"/>
        </w:rPr>
        <w:t>to the</w:t>
      </w:r>
      <w:r>
        <w:rPr>
          <w:spacing w:val="-2"/>
          <w:sz w:val="24"/>
        </w:rPr>
        <w:t xml:space="preserve"> </w:t>
      </w:r>
      <w:r>
        <w:rPr>
          <w:sz w:val="24"/>
        </w:rPr>
        <w:t>required</w:t>
      </w:r>
      <w:r>
        <w:rPr>
          <w:spacing w:val="-1"/>
          <w:sz w:val="24"/>
        </w:rPr>
        <w:t xml:space="preserve"> </w:t>
      </w:r>
      <w:r>
        <w:rPr>
          <w:sz w:val="24"/>
        </w:rPr>
        <w:t>standardized</w:t>
      </w:r>
      <w:r>
        <w:rPr>
          <w:spacing w:val="2"/>
          <w:sz w:val="24"/>
        </w:rPr>
        <w:t xml:space="preserve"> </w:t>
      </w:r>
      <w:r>
        <w:rPr>
          <w:spacing w:val="-2"/>
          <w:sz w:val="24"/>
        </w:rPr>
        <w:t>language.</w:t>
      </w:r>
    </w:p>
    <w:p>
      <w:pPr>
        <w:pStyle w:val="ListParagraph"/>
        <w:numPr>
          <w:ilvl w:val="0"/>
          <w:numId w:val="38"/>
        </w:numPr>
        <w:tabs>
          <w:tab w:val="left" w:pos="1584"/>
        </w:tabs>
        <w:spacing w:before="0" w:after="0" w:line="240" w:lineRule="auto"/>
        <w:ind w:left="1584" w:right="0" w:hanging="360"/>
        <w:jc w:val="left"/>
        <w:rPr>
          <w:sz w:val="24"/>
        </w:rPr>
      </w:pPr>
      <w:r>
        <w:rPr>
          <w:sz w:val="24"/>
        </w:rPr>
        <w:t>A</w:t>
      </w:r>
      <w:r>
        <w:rPr>
          <w:spacing w:val="-4"/>
          <w:sz w:val="24"/>
        </w:rPr>
        <w:t xml:space="preserve"> </w:t>
      </w:r>
      <w:r>
        <w:rPr>
          <w:sz w:val="24"/>
        </w:rPr>
        <w:t>summary of</w:t>
      </w:r>
      <w:r>
        <w:rPr>
          <w:spacing w:val="-2"/>
          <w:sz w:val="24"/>
        </w:rPr>
        <w:t xml:space="preserve"> </w:t>
      </w:r>
      <w:r>
        <w:rPr>
          <w:sz w:val="24"/>
        </w:rPr>
        <w:t>key information from the</w:t>
      </w:r>
      <w:r>
        <w:rPr>
          <w:spacing w:val="-1"/>
          <w:sz w:val="24"/>
        </w:rPr>
        <w:t xml:space="preserve"> </w:t>
      </w:r>
      <w:r>
        <w:rPr>
          <w:sz w:val="24"/>
        </w:rPr>
        <w:t xml:space="preserve">submitted </w:t>
      </w:r>
      <w:r>
        <w:rPr>
          <w:spacing w:val="-2"/>
          <w:sz w:val="24"/>
        </w:rPr>
        <w:t>bids.</w:t>
      </w:r>
    </w:p>
    <w:p>
      <w:pPr>
        <w:pStyle w:val="ListParagraph"/>
        <w:numPr>
          <w:ilvl w:val="0"/>
          <w:numId w:val="38"/>
        </w:numPr>
        <w:tabs>
          <w:tab w:val="left" w:pos="1584"/>
        </w:tabs>
        <w:spacing w:before="0" w:after="0" w:line="240" w:lineRule="auto"/>
        <w:ind w:left="1584" w:right="1801" w:hanging="360"/>
        <w:jc w:val="left"/>
        <w:rPr>
          <w:sz w:val="24"/>
        </w:rPr>
      </w:pPr>
      <w:r>
        <w:rPr>
          <w:sz w:val="24"/>
        </w:rPr>
        <w:t>Links</w:t>
      </w:r>
      <w:r>
        <w:rPr>
          <w:spacing w:val="-4"/>
          <w:sz w:val="24"/>
        </w:rPr>
        <w:t xml:space="preserve"> </w:t>
      </w:r>
      <w:r>
        <w:rPr>
          <w:sz w:val="24"/>
        </w:rPr>
        <w:t>to</w:t>
      </w:r>
      <w:r>
        <w:rPr>
          <w:spacing w:val="-4"/>
          <w:sz w:val="24"/>
        </w:rPr>
        <w:t xml:space="preserve"> </w:t>
      </w:r>
      <w:r>
        <w:rPr>
          <w:sz w:val="24"/>
        </w:rPr>
        <w:t>additional</w:t>
      </w:r>
      <w:r>
        <w:rPr>
          <w:spacing w:val="-4"/>
          <w:sz w:val="24"/>
        </w:rPr>
        <w:t xml:space="preserve"> </w:t>
      </w:r>
      <w:r>
        <w:rPr>
          <w:sz w:val="24"/>
        </w:rPr>
        <w:t>information</w:t>
      </w:r>
      <w:r>
        <w:rPr>
          <w:spacing w:val="-4"/>
          <w:sz w:val="24"/>
        </w:rPr>
        <w:t xml:space="preserve"> </w:t>
      </w:r>
      <w:r>
        <w:rPr>
          <w:sz w:val="24"/>
        </w:rPr>
        <w:t>regarding</w:t>
      </w:r>
      <w:r>
        <w:rPr>
          <w:spacing w:val="-4"/>
          <w:sz w:val="24"/>
        </w:rPr>
        <w:t xml:space="preserve"> </w:t>
      </w:r>
      <w:r>
        <w:rPr>
          <w:sz w:val="24"/>
        </w:rPr>
        <w:t>the</w:t>
      </w:r>
      <w:r>
        <w:rPr>
          <w:spacing w:val="-4"/>
          <w:sz w:val="24"/>
        </w:rPr>
        <w:t xml:space="preserve"> </w:t>
      </w:r>
      <w:r>
        <w:rPr>
          <w:sz w:val="24"/>
        </w:rPr>
        <w:t>bid</w:t>
      </w:r>
      <w:r>
        <w:rPr>
          <w:spacing w:val="-2"/>
          <w:sz w:val="24"/>
        </w:rPr>
        <w:t xml:space="preserve"> </w:t>
      </w:r>
      <w:r>
        <w:rPr>
          <w:sz w:val="24"/>
        </w:rPr>
        <w:t>package</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PBP,</w:t>
      </w:r>
      <w:r>
        <w:rPr>
          <w:spacing w:val="-4"/>
          <w:sz w:val="24"/>
        </w:rPr>
        <w:t xml:space="preserve"> </w:t>
      </w:r>
      <w:r>
        <w:rPr>
          <w:sz w:val="24"/>
        </w:rPr>
        <w:t>BPT, and supporting documentation.</w:t>
      </w:r>
    </w:p>
    <w:p>
      <w:pPr>
        <w:pStyle w:val="ListParagraph"/>
        <w:numPr>
          <w:ilvl w:val="0"/>
          <w:numId w:val="38"/>
        </w:numPr>
        <w:tabs>
          <w:tab w:val="left" w:pos="1584"/>
        </w:tabs>
        <w:spacing w:before="0" w:after="0" w:line="240" w:lineRule="auto"/>
        <w:ind w:left="1584" w:right="0" w:hanging="360"/>
        <w:jc w:val="left"/>
        <w:rPr>
          <w:sz w:val="24"/>
        </w:rPr>
      </w:pPr>
      <w:r>
        <w:rPr>
          <w:sz w:val="24"/>
        </w:rPr>
        <w:t>The</w:t>
      </w:r>
      <w:r>
        <w:rPr>
          <w:spacing w:val="-3"/>
          <w:sz w:val="24"/>
        </w:rPr>
        <w:t xml:space="preserve"> </w:t>
      </w:r>
      <w:r>
        <w:rPr>
          <w:sz w:val="24"/>
        </w:rPr>
        <w:t>ability</w:t>
      </w:r>
      <w:r>
        <w:rPr>
          <w:spacing w:val="-1"/>
          <w:sz w:val="24"/>
        </w:rPr>
        <w:t xml:space="preserve"> </w:t>
      </w:r>
      <w:r>
        <w:rPr>
          <w:sz w:val="24"/>
        </w:rPr>
        <w:t>to certify</w:t>
      </w:r>
      <w:r>
        <w:rPr>
          <w:spacing w:val="-1"/>
          <w:sz w:val="24"/>
        </w:rPr>
        <w:t xml:space="preserve"> </w:t>
      </w:r>
      <w:r>
        <w:rPr>
          <w:sz w:val="24"/>
        </w:rPr>
        <w:t>multiple</w:t>
      </w:r>
      <w:r>
        <w:rPr>
          <w:spacing w:val="-1"/>
          <w:sz w:val="24"/>
        </w:rPr>
        <w:t xml:space="preserve"> </w:t>
      </w:r>
      <w:r>
        <w:rPr>
          <w:spacing w:val="-2"/>
          <w:sz w:val="24"/>
        </w:rPr>
        <w:t>bids/contracts.</w:t>
      </w:r>
    </w:p>
    <w:p>
      <w:pPr>
        <w:pStyle w:val="ListParagraph"/>
        <w:numPr>
          <w:ilvl w:val="0"/>
          <w:numId w:val="38"/>
        </w:numPr>
        <w:tabs>
          <w:tab w:val="left" w:pos="1584"/>
        </w:tabs>
        <w:spacing w:before="0" w:after="0" w:line="240" w:lineRule="auto"/>
        <w:ind w:left="1584" w:right="0" w:hanging="360"/>
        <w:jc w:val="left"/>
        <w:rPr>
          <w:sz w:val="24"/>
        </w:rPr>
      </w:pPr>
      <w:r>
        <w:rPr>
          <w:sz w:val="24"/>
        </w:rPr>
        <w:t>The</w:t>
      </w:r>
      <w:r>
        <w:rPr>
          <w:spacing w:val="-5"/>
          <w:sz w:val="24"/>
        </w:rPr>
        <w:t xml:space="preserve"> </w:t>
      </w:r>
      <w:r>
        <w:rPr>
          <w:sz w:val="24"/>
        </w:rPr>
        <w:t>ability to</w:t>
      </w:r>
      <w:r>
        <w:rPr>
          <w:spacing w:val="-1"/>
          <w:sz w:val="24"/>
        </w:rPr>
        <w:t xml:space="preserve"> </w:t>
      </w:r>
      <w:r>
        <w:rPr>
          <w:sz w:val="24"/>
        </w:rPr>
        <w:t>print and</w:t>
      </w:r>
      <w:r>
        <w:rPr>
          <w:spacing w:val="-1"/>
          <w:sz w:val="24"/>
        </w:rPr>
        <w:t xml:space="preserve"> </w:t>
      </w:r>
      <w:r>
        <w:rPr>
          <w:sz w:val="24"/>
        </w:rPr>
        <w:t>save</w:t>
      </w:r>
      <w:r>
        <w:rPr>
          <w:spacing w:val="-1"/>
          <w:sz w:val="24"/>
        </w:rPr>
        <w:t xml:space="preserve"> </w:t>
      </w:r>
      <w:r>
        <w:rPr>
          <w:sz w:val="24"/>
        </w:rPr>
        <w:t>the</w:t>
      </w:r>
      <w:r>
        <w:rPr>
          <w:spacing w:val="-1"/>
          <w:sz w:val="24"/>
        </w:rPr>
        <w:t xml:space="preserve"> </w:t>
      </w:r>
      <w:r>
        <w:rPr>
          <w:sz w:val="24"/>
        </w:rPr>
        <w:t xml:space="preserve">submitted </w:t>
      </w:r>
      <w:r>
        <w:rPr>
          <w:spacing w:val="-2"/>
          <w:sz w:val="24"/>
        </w:rPr>
        <w:t>certification.</w:t>
      </w:r>
    </w:p>
    <w:p>
      <w:pPr>
        <w:pStyle w:val="BodyText"/>
        <w:spacing w:before="120"/>
        <w:ind w:right="1485"/>
      </w:pPr>
      <w:r>
        <w:t>An initial actuarial certification must be submitted via the HPMS certification module in June. The actuary must also certify the final bid (that is pending CMS approval) via the certification module in August following the CMS publication of the Part D national average monthly bid amount, the Part D base beneficiary premium, the Part D regional low-income premium subsidy amounts, and the MA regional benchmarks. Actuaries are not required to certify every intermittent resubmission throughout the bid review process, but they may do so if they wish. Note that in the event that the PBP changes after the final bid is certified, the bid that is uploaded</w:t>
      </w:r>
      <w:r>
        <w:rPr>
          <w:spacing w:val="-3"/>
        </w:rPr>
        <w:t xml:space="preserve"> </w:t>
      </w:r>
      <w:r>
        <w:t>into</w:t>
      </w:r>
      <w:r>
        <w:rPr>
          <w:spacing w:val="-3"/>
        </w:rPr>
        <w:t xml:space="preserve"> </w:t>
      </w:r>
      <w:r>
        <w:t>HPMS</w:t>
      </w:r>
      <w:r>
        <w:rPr>
          <w:spacing w:val="-3"/>
        </w:rPr>
        <w:t xml:space="preserve"> </w:t>
      </w:r>
      <w:r>
        <w:t>with</w:t>
      </w:r>
      <w:r>
        <w:rPr>
          <w:spacing w:val="-3"/>
        </w:rPr>
        <w:t xml:space="preserve"> </w:t>
      </w:r>
      <w:r>
        <w:t>the</w:t>
      </w:r>
      <w:r>
        <w:rPr>
          <w:spacing w:val="-3"/>
        </w:rPr>
        <w:t xml:space="preserve"> </w:t>
      </w:r>
      <w:r>
        <w:t>revised</w:t>
      </w:r>
      <w:r>
        <w:rPr>
          <w:spacing w:val="-3"/>
        </w:rPr>
        <w:t xml:space="preserve"> </w:t>
      </w:r>
      <w:r>
        <w:t>PBP</w:t>
      </w:r>
      <w:r>
        <w:rPr>
          <w:spacing w:val="-3"/>
        </w:rPr>
        <w:t xml:space="preserve"> </w:t>
      </w:r>
      <w:r>
        <w:t>must</w:t>
      </w:r>
      <w:r>
        <w:rPr>
          <w:spacing w:val="-2"/>
        </w:rPr>
        <w:t xml:space="preserve"> </w:t>
      </w:r>
      <w:r>
        <w:t>be</w:t>
      </w:r>
      <w:r>
        <w:rPr>
          <w:spacing w:val="-4"/>
        </w:rPr>
        <w:t xml:space="preserve"> </w:t>
      </w:r>
      <w:r>
        <w:t>recertified</w:t>
      </w:r>
      <w:r>
        <w:rPr>
          <w:spacing w:val="-3"/>
        </w:rPr>
        <w:t xml:space="preserve"> </w:t>
      </w:r>
      <w:r>
        <w:t>whether</w:t>
      </w:r>
      <w:r>
        <w:rPr>
          <w:spacing w:val="-5"/>
        </w:rPr>
        <w:t xml:space="preserve"> </w:t>
      </w:r>
      <w:r>
        <w:t>or</w:t>
      </w:r>
      <w:r>
        <w:rPr>
          <w:spacing w:val="-3"/>
        </w:rPr>
        <w:t xml:space="preserve"> </w:t>
      </w:r>
      <w:r>
        <w:t>not</w:t>
      </w:r>
      <w:r>
        <w:rPr>
          <w:spacing w:val="-3"/>
        </w:rPr>
        <w:t xml:space="preserve"> </w:t>
      </w:r>
      <w:r>
        <w:t>the</w:t>
      </w:r>
      <w:r>
        <w:rPr>
          <w:spacing w:val="-4"/>
        </w:rPr>
        <w:t xml:space="preserve"> </w:t>
      </w:r>
      <w:r>
        <w:t>BPT changes.</w:t>
      </w:r>
    </w:p>
    <w:p>
      <w:pPr>
        <w:pStyle w:val="BodyText"/>
        <w:spacing w:before="120"/>
        <w:ind w:right="1619"/>
      </w:pPr>
      <w:r>
        <w:t>Material</w:t>
      </w:r>
      <w:r>
        <w:rPr>
          <w:spacing w:val="-4"/>
        </w:rPr>
        <w:t xml:space="preserve"> </w:t>
      </w:r>
      <w:r>
        <w:t>changes</w:t>
      </w:r>
      <w:r>
        <w:rPr>
          <w:spacing w:val="-5"/>
        </w:rPr>
        <w:t xml:space="preserve"> </w:t>
      </w:r>
      <w:r>
        <w:t>to</w:t>
      </w:r>
      <w:r>
        <w:rPr>
          <w:spacing w:val="-4"/>
        </w:rPr>
        <w:t xml:space="preserve"> </w:t>
      </w:r>
      <w:r>
        <w:t>the</w:t>
      </w:r>
      <w:r>
        <w:rPr>
          <w:spacing w:val="-5"/>
        </w:rPr>
        <w:t xml:space="preserve"> </w:t>
      </w:r>
      <w:r>
        <w:t>certification</w:t>
      </w:r>
      <w:r>
        <w:rPr>
          <w:spacing w:val="-4"/>
        </w:rPr>
        <w:t xml:space="preserve"> </w:t>
      </w:r>
      <w:r>
        <w:t>language</w:t>
      </w:r>
      <w:r>
        <w:rPr>
          <w:spacing w:val="-5"/>
        </w:rPr>
        <w:t xml:space="preserve"> </w:t>
      </w:r>
      <w:r>
        <w:t>(after</w:t>
      </w:r>
      <w:r>
        <w:rPr>
          <w:spacing w:val="-4"/>
        </w:rPr>
        <w:t xml:space="preserve"> </w:t>
      </w:r>
      <w:r>
        <w:t>the</w:t>
      </w:r>
      <w:r>
        <w:rPr>
          <w:spacing w:val="-5"/>
        </w:rPr>
        <w:t xml:space="preserve"> </w:t>
      </w:r>
      <w:r>
        <w:t>initial</w:t>
      </w:r>
      <w:r>
        <w:rPr>
          <w:spacing w:val="-4"/>
        </w:rPr>
        <w:t xml:space="preserve"> </w:t>
      </w:r>
      <w:r>
        <w:t>June</w:t>
      </w:r>
      <w:r>
        <w:rPr>
          <w:spacing w:val="-4"/>
        </w:rPr>
        <w:t xml:space="preserve"> </w:t>
      </w:r>
      <w:r>
        <w:t>certification</w:t>
      </w:r>
      <w:r>
        <w:rPr>
          <w:spacing w:val="-4"/>
        </w:rPr>
        <w:t xml:space="preserve"> </w:t>
      </w:r>
      <w:r>
        <w:t>submission) are not allowed without prior written permission from the CMS Office of the Actuary.</w:t>
      </w:r>
    </w:p>
    <w:p>
      <w:pPr>
        <w:pStyle w:val="BodyText"/>
        <w:spacing w:before="121"/>
        <w:ind w:right="1481"/>
      </w:pPr>
      <w:r>
        <w:t>Multiple</w:t>
      </w:r>
      <w:r>
        <w:rPr>
          <w:spacing w:val="-4"/>
        </w:rPr>
        <w:t xml:space="preserve"> </w:t>
      </w:r>
      <w:r>
        <w:t>actuaries</w:t>
      </w:r>
      <w:r>
        <w:rPr>
          <w:spacing w:val="-3"/>
        </w:rPr>
        <w:t xml:space="preserve"> </w:t>
      </w:r>
      <w:r>
        <w:t>may</w:t>
      </w:r>
      <w:r>
        <w:rPr>
          <w:spacing w:val="-3"/>
        </w:rPr>
        <w:t xml:space="preserve"> </w:t>
      </w:r>
      <w:r>
        <w:t>be</w:t>
      </w:r>
      <w:r>
        <w:rPr>
          <w:spacing w:val="-4"/>
        </w:rPr>
        <w:t xml:space="preserve"> </w:t>
      </w:r>
      <w:r>
        <w:t>assigned</w:t>
      </w:r>
      <w:r>
        <w:rPr>
          <w:spacing w:val="-3"/>
        </w:rPr>
        <w:t xml:space="preserve"> </w:t>
      </w:r>
      <w:r>
        <w:t>to</w:t>
      </w:r>
      <w:r>
        <w:rPr>
          <w:spacing w:val="-3"/>
        </w:rPr>
        <w:t xml:space="preserve"> </w:t>
      </w:r>
      <w:r>
        <w:t>one</w:t>
      </w:r>
      <w:r>
        <w:rPr>
          <w:spacing w:val="-3"/>
        </w:rPr>
        <w:t xml:space="preserve"> </w:t>
      </w:r>
      <w:r>
        <w:t>contract</w:t>
      </w:r>
      <w:r>
        <w:rPr>
          <w:spacing w:val="-3"/>
        </w:rPr>
        <w:t xml:space="preserve"> </w:t>
      </w:r>
      <w:r>
        <w:t>to</w:t>
      </w:r>
      <w:r>
        <w:rPr>
          <w:spacing w:val="-3"/>
        </w:rPr>
        <w:t xml:space="preserve"> </w:t>
      </w:r>
      <w:r>
        <w:t>perform</w:t>
      </w:r>
      <w:r>
        <w:rPr>
          <w:spacing w:val="-3"/>
        </w:rPr>
        <w:t xml:space="preserve"> </w:t>
      </w:r>
      <w:r>
        <w:t>the</w:t>
      </w:r>
      <w:r>
        <w:rPr>
          <w:spacing w:val="-3"/>
        </w:rPr>
        <w:t xml:space="preserve"> </w:t>
      </w:r>
      <w:r>
        <w:t>certifications.</w:t>
      </w:r>
      <w:r>
        <w:rPr>
          <w:spacing w:val="-3"/>
        </w:rPr>
        <w:t xml:space="preserve"> </w:t>
      </w:r>
      <w:r>
        <w:t>For</w:t>
      </w:r>
      <w:r>
        <w:rPr>
          <w:spacing w:val="-3"/>
        </w:rPr>
        <w:t xml:space="preserve"> </w:t>
      </w:r>
      <w:r>
        <w:t>example,</w:t>
      </w:r>
      <w:r>
        <w:rPr>
          <w:spacing w:val="-1"/>
        </w:rPr>
        <w:t xml:space="preserve"> </w:t>
      </w:r>
      <w:r>
        <w:t>a consulting actuary may certify the Part D portion of a bid, while an internal plan staff actuary may certify the MA portion of the bid. Also, one actuary may certify plan Hxxxx-001, while a different</w:t>
      </w:r>
      <w:r>
        <w:rPr>
          <w:spacing w:val="-1"/>
        </w:rPr>
        <w:t xml:space="preserve"> </w:t>
      </w:r>
      <w:r>
        <w:t>actuary</w:t>
      </w:r>
      <w:r>
        <w:rPr>
          <w:spacing w:val="-3"/>
        </w:rPr>
        <w:t xml:space="preserve"> </w:t>
      </w:r>
      <w:r>
        <w:t>may</w:t>
      </w:r>
      <w:r>
        <w:rPr>
          <w:spacing w:val="-3"/>
        </w:rPr>
        <w:t xml:space="preserve"> </w:t>
      </w:r>
      <w:r>
        <w:t>certify</w:t>
      </w:r>
      <w:r>
        <w:rPr>
          <w:spacing w:val="-3"/>
        </w:rPr>
        <w:t xml:space="preserve"> </w:t>
      </w:r>
      <w:r>
        <w:t>plan</w:t>
      </w:r>
      <w:r>
        <w:rPr>
          <w:spacing w:val="-3"/>
        </w:rPr>
        <w:t xml:space="preserve"> </w:t>
      </w:r>
      <w:r>
        <w:t>Hxxxx-002.</w:t>
      </w:r>
      <w:r>
        <w:rPr>
          <w:spacing w:val="-3"/>
        </w:rPr>
        <w:t xml:space="preserve"> </w:t>
      </w:r>
      <w:r>
        <w:t>The</w:t>
      </w:r>
      <w:r>
        <w:rPr>
          <w:spacing w:val="-2"/>
        </w:rPr>
        <w:t xml:space="preserve"> </w:t>
      </w:r>
      <w:r>
        <w:t>instructions</w:t>
      </w:r>
      <w:r>
        <w:rPr>
          <w:spacing w:val="-4"/>
        </w:rPr>
        <w:t xml:space="preserve"> </w:t>
      </w:r>
      <w:r>
        <w:t>contained</w:t>
      </w:r>
      <w:r>
        <w:rPr>
          <w:spacing w:val="-3"/>
        </w:rPr>
        <w:t xml:space="preserve"> </w:t>
      </w:r>
      <w:r>
        <w:t>in</w:t>
      </w:r>
      <w:r>
        <w:rPr>
          <w:spacing w:val="-3"/>
        </w:rPr>
        <w:t xml:space="preserve"> </w:t>
      </w:r>
      <w:r>
        <w:t>this</w:t>
      </w:r>
      <w:r>
        <w:rPr>
          <w:spacing w:val="-4"/>
        </w:rPr>
        <w:t xml:space="preserve"> </w:t>
      </w:r>
      <w:r>
        <w:t>appendix</w:t>
      </w:r>
      <w:r>
        <w:rPr>
          <w:spacing w:val="-1"/>
        </w:rPr>
        <w:t xml:space="preserve"> </w:t>
      </w:r>
      <w:r>
        <w:t>must be followed by all certifying actuaries.</w:t>
      </w:r>
    </w:p>
    <w:p>
      <w:pPr>
        <w:pStyle w:val="BodyText"/>
        <w:spacing w:before="120"/>
        <w:ind w:right="1481"/>
      </w:pPr>
      <w:r>
        <w:t>Additional information regarding the actuarial certification process (including technical instructions</w:t>
      </w:r>
      <w:r>
        <w:rPr>
          <w:spacing w:val="-4"/>
        </w:rPr>
        <w:t xml:space="preserve"> </w:t>
      </w:r>
      <w:r>
        <w:t>for</w:t>
      </w:r>
      <w:r>
        <w:rPr>
          <w:spacing w:val="-5"/>
        </w:rPr>
        <w:t xml:space="preserve"> </w:t>
      </w:r>
      <w:r>
        <w:t>completing</w:t>
      </w:r>
      <w:r>
        <w:rPr>
          <w:spacing w:val="-3"/>
        </w:rPr>
        <w:t xml:space="preserve"> </w:t>
      </w:r>
      <w:r>
        <w:t>the</w:t>
      </w:r>
      <w:r>
        <w:rPr>
          <w:spacing w:val="-3"/>
        </w:rPr>
        <w:t xml:space="preserve"> </w:t>
      </w:r>
      <w:r>
        <w:t>HPMS</w:t>
      </w:r>
      <w:r>
        <w:rPr>
          <w:spacing w:val="-3"/>
        </w:rPr>
        <w:t xml:space="preserve"> </w:t>
      </w:r>
      <w:r>
        <w:t>certification</w:t>
      </w:r>
      <w:r>
        <w:rPr>
          <w:spacing w:val="-3"/>
        </w:rPr>
        <w:t xml:space="preserve"> </w:t>
      </w:r>
      <w:r>
        <w:t>module)</w:t>
      </w:r>
      <w:r>
        <w:rPr>
          <w:spacing w:val="-4"/>
        </w:rPr>
        <w:t xml:space="preserve"> </w:t>
      </w:r>
      <w:r>
        <w:t>will</w:t>
      </w:r>
      <w:r>
        <w:rPr>
          <w:spacing w:val="-3"/>
        </w:rPr>
        <w:t xml:space="preserve"> </w:t>
      </w:r>
      <w:r>
        <w:t>be</w:t>
      </w:r>
      <w:r>
        <w:rPr>
          <w:spacing w:val="-4"/>
        </w:rPr>
        <w:t xml:space="preserve"> </w:t>
      </w:r>
      <w:r>
        <w:t>included</w:t>
      </w:r>
      <w:r>
        <w:rPr>
          <w:spacing w:val="-3"/>
        </w:rPr>
        <w:t xml:space="preserve"> </w:t>
      </w:r>
      <w:r>
        <w:t>in</w:t>
      </w:r>
      <w:r>
        <w:rPr>
          <w:spacing w:val="-3"/>
        </w:rPr>
        <w:t xml:space="preserve"> </w:t>
      </w:r>
      <w:r>
        <w:t>an</w:t>
      </w:r>
      <w:r>
        <w:rPr>
          <w:spacing w:val="-3"/>
        </w:rPr>
        <w:t xml:space="preserve"> </w:t>
      </w:r>
      <w:r>
        <w:t>initial actuarial certification deadline memorandum released via HPMS.</w:t>
      </w:r>
    </w:p>
    <w:p>
      <w:pPr>
        <w:pStyle w:val="BodyText"/>
        <w:spacing w:after="0"/>
        <w:sectPr>
          <w:headerReference w:type="default" r:id="rId41"/>
          <w:footerReference w:type="default" r:id="rId42"/>
          <w:pgSz w:w="12240" w:h="15840"/>
          <w:pgMar w:top="960" w:right="0" w:bottom="940" w:left="1080" w:header="727" w:footer="747"/>
          <w:cols w:space="720"/>
        </w:sectPr>
      </w:pPr>
    </w:p>
    <w:p>
      <w:pPr>
        <w:pStyle w:val="BodyText"/>
        <w:spacing w:before="190"/>
        <w:ind w:left="0"/>
      </w:pPr>
    </w:p>
    <w:p>
      <w:pPr>
        <w:pStyle w:val="BodyText"/>
        <w:ind w:right="1481"/>
      </w:pPr>
      <w:r>
        <w:t>Detailed</w:t>
      </w:r>
      <w:r>
        <w:rPr>
          <w:spacing w:val="-3"/>
        </w:rPr>
        <w:t xml:space="preserve"> </w:t>
      </w:r>
      <w:r>
        <w:t>instructions</w:t>
      </w:r>
      <w:r>
        <w:rPr>
          <w:spacing w:val="-4"/>
        </w:rPr>
        <w:t xml:space="preserve"> </w:t>
      </w:r>
      <w:r>
        <w:t>regarding</w:t>
      </w:r>
      <w:r>
        <w:rPr>
          <w:spacing w:val="-3"/>
        </w:rPr>
        <w:t xml:space="preserve"> </w:t>
      </w:r>
      <w:r>
        <w:t>how</w:t>
      </w:r>
      <w:r>
        <w:rPr>
          <w:spacing w:val="-4"/>
        </w:rPr>
        <w:t xml:space="preserve"> </w:t>
      </w:r>
      <w:r>
        <w:t>to</w:t>
      </w:r>
      <w:r>
        <w:rPr>
          <w:spacing w:val="-3"/>
        </w:rPr>
        <w:t xml:space="preserve"> </w:t>
      </w:r>
      <w:r>
        <w:t>apply</w:t>
      </w:r>
      <w:r>
        <w:rPr>
          <w:spacing w:val="-3"/>
        </w:rPr>
        <w:t xml:space="preserve"> </w:t>
      </w:r>
      <w:r>
        <w:t>for</w:t>
      </w:r>
      <w:r>
        <w:rPr>
          <w:spacing w:val="-2"/>
        </w:rPr>
        <w:t xml:space="preserve"> </w:t>
      </w:r>
      <w:r>
        <w:t>access</w:t>
      </w:r>
      <w:r>
        <w:rPr>
          <w:spacing w:val="-4"/>
        </w:rPr>
        <w:t xml:space="preserve"> </w:t>
      </w:r>
      <w:r>
        <w:t>to</w:t>
      </w:r>
      <w:r>
        <w:rPr>
          <w:spacing w:val="-3"/>
        </w:rPr>
        <w:t xml:space="preserve"> </w:t>
      </w:r>
      <w:r>
        <w:t>the</w:t>
      </w:r>
      <w:r>
        <w:rPr>
          <w:spacing w:val="-3"/>
        </w:rPr>
        <w:t xml:space="preserve"> </w:t>
      </w:r>
      <w:r>
        <w:t>certification</w:t>
      </w:r>
      <w:r>
        <w:rPr>
          <w:spacing w:val="-1"/>
        </w:rPr>
        <w:t xml:space="preserve"> </w:t>
      </w:r>
      <w:r>
        <w:t>module</w:t>
      </w:r>
      <w:r>
        <w:rPr>
          <w:spacing w:val="-1"/>
        </w:rPr>
        <w:t xml:space="preserve"> </w:t>
      </w:r>
      <w:r>
        <w:t>are</w:t>
      </w:r>
      <w:r>
        <w:rPr>
          <w:spacing w:val="-5"/>
        </w:rPr>
        <w:t xml:space="preserve"> </w:t>
      </w:r>
      <w:r>
        <w:t xml:space="preserve">released via an HPMS memorandum regarding consultant access or electronic signature access to </w:t>
      </w:r>
      <w:r>
        <w:rPr>
          <w:spacing w:val="-2"/>
        </w:rPr>
        <w:t>HPMS.</w:t>
      </w:r>
    </w:p>
    <w:p>
      <w:pPr>
        <w:spacing w:before="241"/>
        <w:ind w:left="504" w:right="0" w:firstLine="0"/>
        <w:jc w:val="left"/>
        <w:rPr>
          <w:rFonts w:ascii="Arial"/>
          <w:b/>
          <w:sz w:val="21"/>
        </w:rPr>
      </w:pPr>
      <w:bookmarkStart w:id="327" w:name="Required Certification Elements"/>
      <w:bookmarkEnd w:id="327"/>
      <w:r>
        <w:rPr>
          <w:rFonts w:ascii="Arial"/>
          <w:b/>
          <w:sz w:val="21"/>
        </w:rPr>
        <w:t>Required</w:t>
      </w:r>
      <w:r>
        <w:rPr>
          <w:rFonts w:ascii="Arial"/>
          <w:b/>
          <w:spacing w:val="-10"/>
          <w:sz w:val="21"/>
        </w:rPr>
        <w:t xml:space="preserve"> </w:t>
      </w:r>
      <w:r>
        <w:rPr>
          <w:rFonts w:ascii="Arial"/>
          <w:b/>
          <w:sz w:val="21"/>
        </w:rPr>
        <w:t>Certification</w:t>
      </w:r>
      <w:r>
        <w:rPr>
          <w:rFonts w:ascii="Arial"/>
          <w:b/>
          <w:spacing w:val="-10"/>
          <w:sz w:val="21"/>
        </w:rPr>
        <w:t xml:space="preserve"> </w:t>
      </w:r>
      <w:r>
        <w:rPr>
          <w:rFonts w:ascii="Arial"/>
          <w:b/>
          <w:spacing w:val="-2"/>
          <w:sz w:val="21"/>
        </w:rPr>
        <w:t>Elements</w:t>
      </w:r>
    </w:p>
    <w:p>
      <w:pPr>
        <w:pStyle w:val="BodyText"/>
        <w:spacing w:before="120"/>
        <w:ind w:right="1481"/>
      </w:pPr>
      <w:r>
        <w:t>The</w:t>
      </w:r>
      <w:r>
        <w:rPr>
          <w:spacing w:val="-6"/>
        </w:rPr>
        <w:t xml:space="preserve"> </w:t>
      </w:r>
      <w:r>
        <w:t>certification</w:t>
      </w:r>
      <w:r>
        <w:rPr>
          <w:spacing w:val="-4"/>
        </w:rPr>
        <w:t xml:space="preserve"> </w:t>
      </w:r>
      <w:r>
        <w:t>module</w:t>
      </w:r>
      <w:r>
        <w:rPr>
          <w:spacing w:val="-3"/>
        </w:rPr>
        <w:t xml:space="preserve"> </w:t>
      </w:r>
      <w:r>
        <w:t>contains</w:t>
      </w:r>
      <w:r>
        <w:rPr>
          <w:spacing w:val="-5"/>
        </w:rPr>
        <w:t xml:space="preserve"> </w:t>
      </w:r>
      <w:r>
        <w:t>the</w:t>
      </w:r>
      <w:r>
        <w:rPr>
          <w:spacing w:val="-5"/>
        </w:rPr>
        <w:t xml:space="preserve"> </w:t>
      </w:r>
      <w:r>
        <w:t>following</w:t>
      </w:r>
      <w:r>
        <w:rPr>
          <w:spacing w:val="-4"/>
        </w:rPr>
        <w:t xml:space="preserve"> </w:t>
      </w:r>
      <w:r>
        <w:t>information</w:t>
      </w:r>
      <w:r>
        <w:rPr>
          <w:spacing w:val="-4"/>
        </w:rPr>
        <w:t xml:space="preserve"> </w:t>
      </w:r>
      <w:r>
        <w:t>as</w:t>
      </w:r>
      <w:r>
        <w:rPr>
          <w:spacing w:val="-5"/>
        </w:rPr>
        <w:t xml:space="preserve"> </w:t>
      </w:r>
      <w:r>
        <w:t>part</w:t>
      </w:r>
      <w:r>
        <w:rPr>
          <w:spacing w:val="-4"/>
        </w:rPr>
        <w:t xml:space="preserve"> </w:t>
      </w:r>
      <w:r>
        <w:t>of</w:t>
      </w:r>
      <w:r>
        <w:rPr>
          <w:spacing w:val="-5"/>
        </w:rPr>
        <w:t xml:space="preserve"> </w:t>
      </w:r>
      <w:r>
        <w:t>the</w:t>
      </w:r>
      <w:r>
        <w:rPr>
          <w:spacing w:val="-5"/>
        </w:rPr>
        <w:t xml:space="preserve"> </w:t>
      </w:r>
      <w:r>
        <w:t xml:space="preserve">standardized </w:t>
      </w:r>
      <w:r>
        <w:rPr>
          <w:spacing w:val="-2"/>
        </w:rPr>
        <w:t>language:</w:t>
      </w:r>
    </w:p>
    <w:p>
      <w:pPr>
        <w:pStyle w:val="ListParagraph"/>
        <w:numPr>
          <w:ilvl w:val="0"/>
          <w:numId w:val="38"/>
        </w:numPr>
        <w:tabs>
          <w:tab w:val="left" w:pos="1584"/>
        </w:tabs>
        <w:spacing w:before="120" w:after="0" w:line="240" w:lineRule="auto"/>
        <w:ind w:left="1584" w:right="0" w:hanging="360"/>
        <w:jc w:val="left"/>
        <w:rPr>
          <w:sz w:val="24"/>
        </w:rPr>
      </w:pPr>
      <w:r>
        <w:rPr>
          <w:sz w:val="24"/>
        </w:rPr>
        <w:t>The</w:t>
      </w:r>
      <w:r>
        <w:rPr>
          <w:spacing w:val="-6"/>
          <w:sz w:val="24"/>
        </w:rPr>
        <w:t xml:space="preserve"> </w:t>
      </w:r>
      <w:r>
        <w:rPr>
          <w:sz w:val="24"/>
        </w:rPr>
        <w:t>certifying</w:t>
      </w:r>
      <w:r>
        <w:rPr>
          <w:spacing w:val="-1"/>
          <w:sz w:val="24"/>
        </w:rPr>
        <w:t xml:space="preserve"> </w:t>
      </w:r>
      <w:r>
        <w:rPr>
          <w:sz w:val="24"/>
        </w:rPr>
        <w:t>actuary’s</w:t>
      </w:r>
      <w:r>
        <w:rPr>
          <w:spacing w:val="-1"/>
          <w:sz w:val="24"/>
        </w:rPr>
        <w:t xml:space="preserve"> </w:t>
      </w:r>
      <w:r>
        <w:rPr>
          <w:sz w:val="24"/>
        </w:rPr>
        <w:t>name/user ID and</w:t>
      </w:r>
      <w:r>
        <w:rPr>
          <w:spacing w:val="-2"/>
          <w:sz w:val="24"/>
        </w:rPr>
        <w:t xml:space="preserve"> </w:t>
      </w:r>
      <w:r>
        <w:rPr>
          <w:sz w:val="24"/>
        </w:rPr>
        <w:t>the</w:t>
      </w:r>
      <w:r>
        <w:rPr>
          <w:spacing w:val="-1"/>
          <w:sz w:val="24"/>
        </w:rPr>
        <w:t xml:space="preserve"> </w:t>
      </w:r>
      <w:r>
        <w:rPr>
          <w:sz w:val="24"/>
        </w:rPr>
        <w:t>date,</w:t>
      </w:r>
      <w:r>
        <w:rPr>
          <w:spacing w:val="-2"/>
          <w:sz w:val="24"/>
        </w:rPr>
        <w:t xml:space="preserve"> </w:t>
      </w:r>
      <w:r>
        <w:rPr>
          <w:sz w:val="24"/>
        </w:rPr>
        <w:t>stamped</w:t>
      </w:r>
      <w:r>
        <w:rPr>
          <w:spacing w:val="-1"/>
          <w:sz w:val="24"/>
        </w:rPr>
        <w:t xml:space="preserve"> </w:t>
      </w:r>
      <w:r>
        <w:rPr>
          <w:sz w:val="24"/>
        </w:rPr>
        <w:t>when</w:t>
      </w:r>
      <w:r>
        <w:rPr>
          <w:spacing w:val="4"/>
          <w:sz w:val="24"/>
        </w:rPr>
        <w:t xml:space="preserve"> </w:t>
      </w:r>
      <w:r>
        <w:rPr>
          <w:spacing w:val="-2"/>
          <w:sz w:val="24"/>
        </w:rPr>
        <w:t>completed.</w:t>
      </w:r>
    </w:p>
    <w:p>
      <w:pPr>
        <w:pStyle w:val="ListParagraph"/>
        <w:numPr>
          <w:ilvl w:val="0"/>
          <w:numId w:val="38"/>
        </w:numPr>
        <w:tabs>
          <w:tab w:val="left" w:pos="1584"/>
        </w:tabs>
        <w:spacing w:before="0" w:after="0" w:line="240" w:lineRule="auto"/>
        <w:ind w:left="1584" w:right="1509" w:hanging="360"/>
        <w:jc w:val="left"/>
        <w:rPr>
          <w:sz w:val="24"/>
        </w:rPr>
      </w:pPr>
      <w:r>
        <w:rPr>
          <w:sz w:val="24"/>
        </w:rPr>
        <w:t>Declaration that the actuary submitting the certification is a member of the American</w:t>
      </w:r>
      <w:r>
        <w:rPr>
          <w:spacing w:val="-3"/>
          <w:sz w:val="24"/>
        </w:rPr>
        <w:t xml:space="preserve"> </w:t>
      </w:r>
      <w:r>
        <w:rPr>
          <w:sz w:val="24"/>
        </w:rPr>
        <w:t>Academy</w:t>
      </w:r>
      <w:r>
        <w:rPr>
          <w:spacing w:val="-3"/>
          <w:sz w:val="24"/>
        </w:rPr>
        <w:t xml:space="preserve"> </w:t>
      </w:r>
      <w:r>
        <w:rPr>
          <w:sz w:val="24"/>
        </w:rPr>
        <w:t>of</w:t>
      </w:r>
      <w:r>
        <w:rPr>
          <w:spacing w:val="-3"/>
          <w:sz w:val="24"/>
        </w:rPr>
        <w:t xml:space="preserve"> </w:t>
      </w:r>
      <w:r>
        <w:rPr>
          <w:sz w:val="24"/>
        </w:rPr>
        <w:t>Actuaries</w:t>
      </w:r>
      <w:r>
        <w:rPr>
          <w:spacing w:val="-4"/>
          <w:sz w:val="24"/>
        </w:rPr>
        <w:t xml:space="preserve"> </w:t>
      </w:r>
      <w:r>
        <w:rPr>
          <w:sz w:val="24"/>
        </w:rPr>
        <w:t>(MAAA).</w:t>
      </w:r>
      <w:r>
        <w:rPr>
          <w:spacing w:val="-3"/>
          <w:sz w:val="24"/>
        </w:rPr>
        <w:t xml:space="preserve"> </w:t>
      </w:r>
      <w:r>
        <w:rPr>
          <w:sz w:val="24"/>
        </w:rPr>
        <w:t>As</w:t>
      </w:r>
      <w:r>
        <w:rPr>
          <w:spacing w:val="-4"/>
          <w:sz w:val="24"/>
        </w:rPr>
        <w:t xml:space="preserve"> </w:t>
      </w:r>
      <w:r>
        <w:rPr>
          <w:sz w:val="24"/>
        </w:rPr>
        <w:t>such,</w:t>
      </w:r>
      <w:r>
        <w:rPr>
          <w:spacing w:val="-3"/>
          <w:sz w:val="24"/>
        </w:rPr>
        <w:t xml:space="preserve"> </w:t>
      </w:r>
      <w:r>
        <w:rPr>
          <w:sz w:val="24"/>
        </w:rPr>
        <w:t>the</w:t>
      </w:r>
      <w:r>
        <w:rPr>
          <w:spacing w:val="-3"/>
          <w:sz w:val="24"/>
        </w:rPr>
        <w:t xml:space="preserve"> </w:t>
      </w:r>
      <w:r>
        <w:rPr>
          <w:sz w:val="24"/>
        </w:rPr>
        <w:t>actuary</w:t>
      </w:r>
      <w:r>
        <w:rPr>
          <w:spacing w:val="-3"/>
          <w:sz w:val="24"/>
        </w:rPr>
        <w:t xml:space="preserve"> </w:t>
      </w:r>
      <w:r>
        <w:rPr>
          <w:sz w:val="24"/>
        </w:rPr>
        <w:t>is</w:t>
      </w:r>
      <w:r>
        <w:rPr>
          <w:spacing w:val="-4"/>
          <w:sz w:val="24"/>
        </w:rPr>
        <w:t xml:space="preserve"> </w:t>
      </w:r>
      <w:r>
        <w:rPr>
          <w:sz w:val="24"/>
        </w:rPr>
        <w:t>familiar</w:t>
      </w:r>
      <w:r>
        <w:rPr>
          <w:spacing w:val="-2"/>
          <w:sz w:val="24"/>
        </w:rPr>
        <w:t xml:space="preserve"> </w:t>
      </w:r>
      <w:r>
        <w:rPr>
          <w:sz w:val="24"/>
        </w:rPr>
        <w:t>with</w:t>
      </w:r>
      <w:r>
        <w:rPr>
          <w:spacing w:val="-3"/>
          <w:sz w:val="24"/>
        </w:rPr>
        <w:t xml:space="preserve"> </w:t>
      </w:r>
      <w:r>
        <w:rPr>
          <w:sz w:val="24"/>
        </w:rPr>
        <w:t>the requirements for preparing Medicare Advantage and Prescription Drug bid submissions and meets the Academy’s qualification standards for doing so.</w:t>
      </w:r>
    </w:p>
    <w:p>
      <w:pPr>
        <w:pStyle w:val="ListParagraph"/>
        <w:numPr>
          <w:ilvl w:val="0"/>
          <w:numId w:val="38"/>
        </w:numPr>
        <w:tabs>
          <w:tab w:val="left" w:pos="1584"/>
        </w:tabs>
        <w:spacing w:before="1" w:after="0" w:line="275" w:lineRule="exact"/>
        <w:ind w:left="1584" w:right="0" w:hanging="360"/>
        <w:jc w:val="left"/>
        <w:rPr>
          <w:sz w:val="24"/>
        </w:rPr>
      </w:pPr>
      <w:r>
        <w:rPr>
          <w:sz w:val="24"/>
        </w:rPr>
        <w:t>The</w:t>
      </w:r>
      <w:r>
        <w:rPr>
          <w:spacing w:val="-5"/>
          <w:sz w:val="24"/>
        </w:rPr>
        <w:t xml:space="preserve"> </w:t>
      </w:r>
      <w:r>
        <w:rPr>
          <w:sz w:val="24"/>
        </w:rPr>
        <w:t>specific contract number, plan</w:t>
      </w:r>
      <w:r>
        <w:rPr>
          <w:spacing w:val="1"/>
          <w:sz w:val="24"/>
        </w:rPr>
        <w:t xml:space="preserve"> </w:t>
      </w:r>
      <w:r>
        <w:rPr>
          <w:sz w:val="24"/>
        </w:rPr>
        <w:t>ID,</w:t>
      </w:r>
      <w:r>
        <w:rPr>
          <w:spacing w:val="1"/>
          <w:sz w:val="24"/>
        </w:rPr>
        <w:t xml:space="preserve"> </w:t>
      </w:r>
      <w:r>
        <w:rPr>
          <w:sz w:val="24"/>
        </w:rPr>
        <w:t>and segment</w:t>
      </w:r>
      <w:r>
        <w:rPr>
          <w:spacing w:val="-1"/>
          <w:sz w:val="24"/>
        </w:rPr>
        <w:t xml:space="preserve"> </w:t>
      </w:r>
      <w:r>
        <w:rPr>
          <w:sz w:val="24"/>
        </w:rPr>
        <w:t>ID</w:t>
      </w:r>
      <w:r>
        <w:rPr>
          <w:spacing w:val="-2"/>
          <w:sz w:val="24"/>
        </w:rPr>
        <w:t xml:space="preserve"> </w:t>
      </w:r>
      <w:r>
        <w:rPr>
          <w:sz w:val="24"/>
        </w:rPr>
        <w:t>of the</w:t>
      </w:r>
      <w:r>
        <w:rPr>
          <w:spacing w:val="-3"/>
          <w:sz w:val="24"/>
        </w:rPr>
        <w:t xml:space="preserve"> </w:t>
      </w:r>
      <w:r>
        <w:rPr>
          <w:sz w:val="24"/>
        </w:rPr>
        <w:t>bid(s)</w:t>
      </w:r>
      <w:r>
        <w:rPr>
          <w:spacing w:val="-1"/>
          <w:sz w:val="24"/>
        </w:rPr>
        <w:t xml:space="preserve"> </w:t>
      </w:r>
      <w:r>
        <w:rPr>
          <w:sz w:val="24"/>
        </w:rPr>
        <w:t>being</w:t>
      </w:r>
      <w:r>
        <w:rPr>
          <w:spacing w:val="2"/>
          <w:sz w:val="24"/>
        </w:rPr>
        <w:t xml:space="preserve"> </w:t>
      </w:r>
      <w:r>
        <w:rPr>
          <w:spacing w:val="-2"/>
          <w:sz w:val="24"/>
        </w:rPr>
        <w:t>certified.</w:t>
      </w:r>
    </w:p>
    <w:p>
      <w:pPr>
        <w:pStyle w:val="ListParagraph"/>
        <w:numPr>
          <w:ilvl w:val="0"/>
          <w:numId w:val="38"/>
        </w:numPr>
        <w:tabs>
          <w:tab w:val="left" w:pos="1584"/>
        </w:tabs>
        <w:spacing w:before="0" w:after="0" w:line="275" w:lineRule="exact"/>
        <w:ind w:left="1584" w:right="0" w:hanging="360"/>
        <w:jc w:val="left"/>
        <w:rPr>
          <w:sz w:val="24"/>
        </w:rPr>
      </w:pPr>
      <w:r>
        <w:rPr>
          <w:sz w:val="24"/>
        </w:rPr>
        <w:t>The</w:t>
      </w:r>
      <w:r>
        <w:rPr>
          <w:spacing w:val="-3"/>
          <w:sz w:val="24"/>
        </w:rPr>
        <w:t xml:space="preserve"> </w:t>
      </w:r>
      <w:r>
        <w:rPr>
          <w:sz w:val="24"/>
        </w:rPr>
        <w:t>contract year of</w:t>
      </w:r>
      <w:r>
        <w:rPr>
          <w:spacing w:val="-2"/>
          <w:sz w:val="24"/>
        </w:rPr>
        <w:t xml:space="preserve"> </w:t>
      </w:r>
      <w:r>
        <w:rPr>
          <w:sz w:val="24"/>
        </w:rPr>
        <w:t>the bid(s)</w:t>
      </w:r>
      <w:r>
        <w:rPr>
          <w:spacing w:val="-2"/>
          <w:sz w:val="24"/>
        </w:rPr>
        <w:t xml:space="preserve"> </w:t>
      </w:r>
      <w:r>
        <w:rPr>
          <w:sz w:val="24"/>
        </w:rPr>
        <w:t>contained in the</w:t>
      </w:r>
      <w:r>
        <w:rPr>
          <w:spacing w:val="-1"/>
          <w:sz w:val="24"/>
        </w:rPr>
        <w:t xml:space="preserve"> </w:t>
      </w:r>
      <w:r>
        <w:rPr>
          <w:spacing w:val="-2"/>
          <w:sz w:val="24"/>
        </w:rPr>
        <w:t>certification.</w:t>
      </w:r>
    </w:p>
    <w:p>
      <w:pPr>
        <w:pStyle w:val="ListParagraph"/>
        <w:numPr>
          <w:ilvl w:val="0"/>
          <w:numId w:val="38"/>
        </w:numPr>
        <w:tabs>
          <w:tab w:val="left" w:pos="1584"/>
        </w:tabs>
        <w:spacing w:before="0" w:after="0" w:line="240" w:lineRule="auto"/>
        <w:ind w:left="1584" w:right="1908" w:hanging="360"/>
        <w:jc w:val="left"/>
        <w:rPr>
          <w:sz w:val="24"/>
        </w:rPr>
      </w:pPr>
      <w:r>
        <w:rPr>
          <w:sz w:val="24"/>
        </w:rPr>
        <w:t>Indication</w:t>
      </w:r>
      <w:r>
        <w:rPr>
          <w:spacing w:val="-3"/>
          <w:sz w:val="24"/>
        </w:rPr>
        <w:t xml:space="preserve"> </w:t>
      </w:r>
      <w:r>
        <w:rPr>
          <w:sz w:val="24"/>
        </w:rPr>
        <w:t>of</w:t>
      </w:r>
      <w:r>
        <w:rPr>
          <w:spacing w:val="-4"/>
          <w:sz w:val="24"/>
        </w:rPr>
        <w:t xml:space="preserve"> </w:t>
      </w:r>
      <w:r>
        <w:rPr>
          <w:sz w:val="24"/>
        </w:rPr>
        <w:t>whether</w:t>
      </w:r>
      <w:r>
        <w:rPr>
          <w:spacing w:val="-3"/>
          <w:sz w:val="24"/>
        </w:rPr>
        <w:t xml:space="preserve"> </w:t>
      </w:r>
      <w:r>
        <w:rPr>
          <w:sz w:val="24"/>
        </w:rPr>
        <w:t>the</w:t>
      </w:r>
      <w:r>
        <w:rPr>
          <w:spacing w:val="-2"/>
          <w:sz w:val="24"/>
        </w:rPr>
        <w:t xml:space="preserve"> </w:t>
      </w:r>
      <w:r>
        <w:rPr>
          <w:sz w:val="24"/>
        </w:rPr>
        <w:t>certification</w:t>
      </w:r>
      <w:r>
        <w:rPr>
          <w:spacing w:val="-3"/>
          <w:sz w:val="24"/>
        </w:rPr>
        <w:t xml:space="preserve"> </w:t>
      </w:r>
      <w:r>
        <w:rPr>
          <w:sz w:val="24"/>
        </w:rPr>
        <w:t>applies</w:t>
      </w:r>
      <w:r>
        <w:rPr>
          <w:spacing w:val="-4"/>
          <w:sz w:val="24"/>
        </w:rPr>
        <w:t xml:space="preserve"> </w:t>
      </w:r>
      <w:r>
        <w:rPr>
          <w:sz w:val="24"/>
        </w:rPr>
        <w:t>to</w:t>
      </w:r>
      <w:r>
        <w:rPr>
          <w:spacing w:val="-3"/>
          <w:sz w:val="24"/>
        </w:rPr>
        <w:t xml:space="preserve"> </w:t>
      </w:r>
      <w:r>
        <w:rPr>
          <w:sz w:val="24"/>
        </w:rPr>
        <w:t>the</w:t>
      </w:r>
      <w:r>
        <w:rPr>
          <w:spacing w:val="-2"/>
          <w:sz w:val="24"/>
        </w:rPr>
        <w:t xml:space="preserve"> </w:t>
      </w:r>
      <w:r>
        <w:rPr>
          <w:sz w:val="24"/>
        </w:rPr>
        <w:t>MA</w:t>
      </w:r>
      <w:r>
        <w:rPr>
          <w:spacing w:val="-4"/>
          <w:sz w:val="24"/>
        </w:rPr>
        <w:t xml:space="preserve"> </w:t>
      </w:r>
      <w:r>
        <w:rPr>
          <w:sz w:val="24"/>
        </w:rPr>
        <w:t>bid(s),</w:t>
      </w:r>
      <w:r>
        <w:rPr>
          <w:spacing w:val="-3"/>
          <w:sz w:val="24"/>
        </w:rPr>
        <w:t xml:space="preserve"> </w:t>
      </w:r>
      <w:r>
        <w:rPr>
          <w:sz w:val="24"/>
        </w:rPr>
        <w:t>the</w:t>
      </w:r>
      <w:r>
        <w:rPr>
          <w:spacing w:val="-3"/>
          <w:sz w:val="24"/>
        </w:rPr>
        <w:t xml:space="preserve"> </w:t>
      </w:r>
      <w:r>
        <w:rPr>
          <w:sz w:val="24"/>
        </w:rPr>
        <w:t>PD</w:t>
      </w:r>
      <w:r>
        <w:rPr>
          <w:spacing w:val="-4"/>
          <w:sz w:val="24"/>
        </w:rPr>
        <w:t xml:space="preserve"> </w:t>
      </w:r>
      <w:r>
        <w:rPr>
          <w:sz w:val="24"/>
        </w:rPr>
        <w:t>(Part</w:t>
      </w:r>
      <w:r>
        <w:rPr>
          <w:spacing w:val="-2"/>
          <w:sz w:val="24"/>
        </w:rPr>
        <w:t xml:space="preserve"> </w:t>
      </w:r>
      <w:r>
        <w:rPr>
          <w:sz w:val="24"/>
        </w:rPr>
        <w:t>D) bid(s), or both.</w:t>
      </w:r>
    </w:p>
    <w:p>
      <w:pPr>
        <w:pStyle w:val="ListParagraph"/>
        <w:numPr>
          <w:ilvl w:val="0"/>
          <w:numId w:val="38"/>
        </w:numPr>
        <w:tabs>
          <w:tab w:val="left" w:pos="1584"/>
        </w:tabs>
        <w:spacing w:before="0" w:after="0" w:line="240" w:lineRule="auto"/>
        <w:ind w:left="1584" w:right="2165" w:hanging="360"/>
        <w:jc w:val="left"/>
        <w:rPr>
          <w:sz w:val="24"/>
        </w:rPr>
      </w:pPr>
      <w:r>
        <w:rPr>
          <w:sz w:val="24"/>
        </w:rPr>
        <w:t>Attestation</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bid(s)</w:t>
      </w:r>
      <w:r>
        <w:rPr>
          <w:spacing w:val="-4"/>
          <w:sz w:val="24"/>
        </w:rPr>
        <w:t xml:space="preserve"> </w:t>
      </w:r>
      <w:r>
        <w:rPr>
          <w:sz w:val="24"/>
        </w:rPr>
        <w:t>are</w:t>
      </w:r>
      <w:r>
        <w:rPr>
          <w:spacing w:val="-5"/>
          <w:sz w:val="24"/>
        </w:rPr>
        <w:t xml:space="preserve"> </w:t>
      </w:r>
      <w:r>
        <w:rPr>
          <w:sz w:val="24"/>
        </w:rPr>
        <w:t>in</w:t>
      </w:r>
      <w:r>
        <w:rPr>
          <w:spacing w:val="-3"/>
          <w:sz w:val="24"/>
        </w:rPr>
        <w:t xml:space="preserve"> </w:t>
      </w:r>
      <w:r>
        <w:rPr>
          <w:sz w:val="24"/>
        </w:rPr>
        <w:t>compliance</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applicable</w:t>
      </w:r>
      <w:r>
        <w:rPr>
          <w:spacing w:val="-3"/>
          <w:sz w:val="24"/>
        </w:rPr>
        <w:t xml:space="preserve"> </w:t>
      </w:r>
      <w:r>
        <w:rPr>
          <w:sz w:val="24"/>
        </w:rPr>
        <w:t>laws</w:t>
      </w:r>
      <w:hyperlink w:anchor="_bookmark84" w:history="1">
        <w:r>
          <w:rPr>
            <w:sz w:val="24"/>
            <w:vertAlign w:val="superscript"/>
          </w:rPr>
          <w:t>1</w:t>
        </w:r>
      </w:hyperlink>
      <w:r>
        <w:rPr>
          <w:sz w:val="24"/>
          <w:vertAlign w:val="baseline"/>
        </w:rPr>
        <w:t>,</w:t>
      </w:r>
      <w:r>
        <w:rPr>
          <w:spacing w:val="-3"/>
          <w:sz w:val="24"/>
          <w:vertAlign w:val="baseline"/>
        </w:rPr>
        <w:t xml:space="preserve"> </w:t>
      </w:r>
      <w:r>
        <w:rPr>
          <w:sz w:val="24"/>
          <w:vertAlign w:val="baseline"/>
        </w:rPr>
        <w:t>rules</w:t>
      </w:r>
      <w:hyperlink w:anchor="_bookmark85" w:history="1">
        <w:r>
          <w:rPr>
            <w:sz w:val="24"/>
            <w:vertAlign w:val="superscript"/>
          </w:rPr>
          <w:t>2</w:t>
        </w:r>
      </w:hyperlink>
      <w:r>
        <w:rPr>
          <w:sz w:val="24"/>
          <w:vertAlign w:val="baseline"/>
        </w:rPr>
        <w:t>, CY2027 bid instructions, and current CMS guidance.</w:t>
      </w:r>
    </w:p>
    <w:p>
      <w:pPr>
        <w:pStyle w:val="ListParagraph"/>
        <w:numPr>
          <w:ilvl w:val="0"/>
          <w:numId w:val="38"/>
        </w:numPr>
        <w:tabs>
          <w:tab w:val="left" w:pos="1584"/>
        </w:tabs>
        <w:spacing w:before="0" w:after="0" w:line="240" w:lineRule="auto"/>
        <w:ind w:left="1584" w:right="2335" w:hanging="360"/>
        <w:jc w:val="left"/>
        <w:rPr>
          <w:sz w:val="24"/>
        </w:rPr>
      </w:pPr>
      <w:r>
        <w:rPr>
          <w:sz w:val="24"/>
        </w:rPr>
        <w:t>Attestation</w:t>
      </w:r>
      <w:r>
        <w:rPr>
          <w:spacing w:val="-3"/>
          <w:sz w:val="24"/>
        </w:rPr>
        <w:t xml:space="preserve"> </w:t>
      </w:r>
      <w:r>
        <w:rPr>
          <w:sz w:val="24"/>
        </w:rPr>
        <w:t>that,</w:t>
      </w:r>
      <w:r>
        <w:rPr>
          <w:spacing w:val="-3"/>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1"/>
          <w:sz w:val="24"/>
        </w:rPr>
        <w:t xml:space="preserve"> </w:t>
      </w:r>
      <w:r>
        <w:rPr>
          <w:sz w:val="24"/>
        </w:rPr>
        <w:t>Federal</w:t>
      </w:r>
      <w:r>
        <w:rPr>
          <w:spacing w:val="-3"/>
          <w:sz w:val="24"/>
        </w:rPr>
        <w:t xml:space="preserve"> </w:t>
      </w:r>
      <w:r>
        <w:rPr>
          <w:sz w:val="24"/>
        </w:rPr>
        <w:t>law,</w:t>
      </w:r>
      <w:r>
        <w:rPr>
          <w:spacing w:val="-3"/>
          <w:sz w:val="24"/>
        </w:rPr>
        <w:t xml:space="preserve"> </w:t>
      </w:r>
      <w:r>
        <w:rPr>
          <w:sz w:val="24"/>
        </w:rPr>
        <w:t>the</w:t>
      </w:r>
      <w:r>
        <w:rPr>
          <w:spacing w:val="-4"/>
          <w:sz w:val="24"/>
        </w:rPr>
        <w:t xml:space="preserve"> </w:t>
      </w:r>
      <w:r>
        <w:rPr>
          <w:sz w:val="24"/>
        </w:rPr>
        <w:t>bid(s)</w:t>
      </w:r>
      <w:r>
        <w:rPr>
          <w:spacing w:val="-5"/>
          <w:sz w:val="24"/>
        </w:rPr>
        <w:t xml:space="preserve"> </w:t>
      </w:r>
      <w:r>
        <w:rPr>
          <w:sz w:val="24"/>
        </w:rPr>
        <w:t>are</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the “average revenue requirements in the payment area for a Medicare Advantage/Prescription</w:t>
      </w:r>
      <w:r>
        <w:rPr>
          <w:spacing w:val="-4"/>
          <w:sz w:val="24"/>
        </w:rPr>
        <w:t xml:space="preserve"> </w:t>
      </w:r>
      <w:r>
        <w:rPr>
          <w:sz w:val="24"/>
        </w:rPr>
        <w:t>Drug</w:t>
      </w:r>
      <w:r>
        <w:rPr>
          <w:spacing w:val="-4"/>
          <w:sz w:val="24"/>
        </w:rPr>
        <w:t xml:space="preserve"> </w:t>
      </w:r>
      <w:r>
        <w:rPr>
          <w:sz w:val="24"/>
        </w:rPr>
        <w:t>enrollee</w:t>
      </w:r>
      <w:r>
        <w:rPr>
          <w:spacing w:val="-5"/>
          <w:sz w:val="24"/>
        </w:rPr>
        <w:t xml:space="preserve"> </w:t>
      </w:r>
      <w:r>
        <w:rPr>
          <w:sz w:val="24"/>
        </w:rPr>
        <w:t>with</w:t>
      </w:r>
      <w:r>
        <w:rPr>
          <w:spacing w:val="-4"/>
          <w:sz w:val="24"/>
        </w:rPr>
        <w:t xml:space="preserve"> </w:t>
      </w:r>
      <w:r>
        <w:rPr>
          <w:sz w:val="24"/>
        </w:rPr>
        <w:t>a</w:t>
      </w:r>
      <w:r>
        <w:rPr>
          <w:spacing w:val="-4"/>
          <w:sz w:val="24"/>
        </w:rPr>
        <w:t xml:space="preserve"> </w:t>
      </w:r>
      <w:r>
        <w:rPr>
          <w:sz w:val="24"/>
        </w:rPr>
        <w:t>national</w:t>
      </w:r>
      <w:r>
        <w:rPr>
          <w:spacing w:val="-4"/>
          <w:sz w:val="24"/>
        </w:rPr>
        <w:t xml:space="preserve"> </w:t>
      </w:r>
      <w:r>
        <w:rPr>
          <w:sz w:val="24"/>
        </w:rPr>
        <w:t>average</w:t>
      </w:r>
      <w:r>
        <w:rPr>
          <w:spacing w:val="-5"/>
          <w:sz w:val="24"/>
        </w:rPr>
        <w:t xml:space="preserve"> </w:t>
      </w:r>
      <w:r>
        <w:rPr>
          <w:sz w:val="24"/>
        </w:rPr>
        <w:t>risk</w:t>
      </w:r>
      <w:r>
        <w:rPr>
          <w:spacing w:val="-4"/>
          <w:sz w:val="24"/>
        </w:rPr>
        <w:t xml:space="preserve"> </w:t>
      </w:r>
      <w:r>
        <w:rPr>
          <w:sz w:val="24"/>
        </w:rPr>
        <w:t>profile.”</w:t>
      </w:r>
    </w:p>
    <w:p>
      <w:pPr>
        <w:pStyle w:val="ListParagraph"/>
        <w:numPr>
          <w:ilvl w:val="0"/>
          <w:numId w:val="38"/>
        </w:numPr>
        <w:tabs>
          <w:tab w:val="left" w:pos="1584"/>
        </w:tabs>
        <w:spacing w:before="0" w:after="0" w:line="240" w:lineRule="auto"/>
        <w:ind w:left="1584" w:right="1648" w:hanging="360"/>
        <w:jc w:val="left"/>
        <w:rPr>
          <w:sz w:val="24"/>
        </w:rPr>
      </w:pPr>
      <w:r>
        <w:rPr>
          <w:sz w:val="24"/>
        </w:rPr>
        <w:t>Attestation</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data</w:t>
      </w:r>
      <w:r>
        <w:rPr>
          <w:spacing w:val="-3"/>
          <w:sz w:val="24"/>
        </w:rPr>
        <w:t xml:space="preserve"> </w:t>
      </w:r>
      <w:r>
        <w:rPr>
          <w:sz w:val="24"/>
        </w:rPr>
        <w:t>and</w:t>
      </w:r>
      <w:r>
        <w:rPr>
          <w:spacing w:val="-3"/>
          <w:sz w:val="24"/>
        </w:rPr>
        <w:t xml:space="preserve"> </w:t>
      </w:r>
      <w:r>
        <w:rPr>
          <w:sz w:val="24"/>
        </w:rPr>
        <w:t>assumptions</w:t>
      </w:r>
      <w:r>
        <w:rPr>
          <w:spacing w:val="-4"/>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development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bid(s)</w:t>
      </w:r>
      <w:r>
        <w:rPr>
          <w:spacing w:val="-5"/>
          <w:sz w:val="24"/>
        </w:rPr>
        <w:t xml:space="preserve"> </w:t>
      </w:r>
      <w:r>
        <w:rPr>
          <w:sz w:val="24"/>
        </w:rPr>
        <w:t>are reasonable for the PBP.</w:t>
      </w:r>
    </w:p>
    <w:p>
      <w:pPr>
        <w:pStyle w:val="ListParagraph"/>
        <w:numPr>
          <w:ilvl w:val="0"/>
          <w:numId w:val="38"/>
        </w:numPr>
        <w:tabs>
          <w:tab w:val="left" w:pos="1584"/>
        </w:tabs>
        <w:spacing w:before="0" w:after="0" w:line="240" w:lineRule="auto"/>
        <w:ind w:left="1584" w:right="1483" w:hanging="360"/>
        <w:jc w:val="left"/>
        <w:rPr>
          <w:sz w:val="24"/>
        </w:rPr>
      </w:pPr>
      <w:r>
        <w:rPr>
          <w:sz w:val="24"/>
        </w:rPr>
        <w:t>Attestation</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bid(s)</w:t>
      </w:r>
      <w:r>
        <w:rPr>
          <w:spacing w:val="-5"/>
          <w:sz w:val="24"/>
        </w:rPr>
        <w:t xml:space="preserve"> </w:t>
      </w:r>
      <w:r>
        <w:rPr>
          <w:sz w:val="24"/>
        </w:rPr>
        <w:t>were</w:t>
      </w:r>
      <w:r>
        <w:rPr>
          <w:spacing w:val="-5"/>
          <w:sz w:val="24"/>
        </w:rPr>
        <w:t xml:space="preserve"> </w:t>
      </w:r>
      <w:r>
        <w:rPr>
          <w:sz w:val="24"/>
        </w:rPr>
        <w:t>prepared</w:t>
      </w:r>
      <w:r>
        <w:rPr>
          <w:spacing w:val="-3"/>
          <w:sz w:val="24"/>
        </w:rPr>
        <w:t xml:space="preserve"> </w:t>
      </w:r>
      <w:r>
        <w:rPr>
          <w:sz w:val="24"/>
        </w:rPr>
        <w:t>in</w:t>
      </w:r>
      <w:r>
        <w:rPr>
          <w:spacing w:val="-3"/>
          <w:sz w:val="24"/>
        </w:rPr>
        <w:t xml:space="preserve"> </w:t>
      </w:r>
      <w:r>
        <w:rPr>
          <w:sz w:val="24"/>
        </w:rPr>
        <w:t>compliance</w:t>
      </w:r>
      <w:r>
        <w:rPr>
          <w:spacing w:val="-4"/>
          <w:sz w:val="24"/>
        </w:rPr>
        <w:t xml:space="preserve"> </w:t>
      </w:r>
      <w:r>
        <w:rPr>
          <w:sz w:val="24"/>
        </w:rPr>
        <w:t>with</w:t>
      </w:r>
      <w:r>
        <w:rPr>
          <w:spacing w:val="-3"/>
          <w:sz w:val="24"/>
        </w:rPr>
        <w:t xml:space="preserve"> </w:t>
      </w:r>
      <w:r>
        <w:rPr>
          <w:sz w:val="24"/>
        </w:rPr>
        <w:t>the</w:t>
      </w:r>
      <w:r>
        <w:rPr>
          <w:spacing w:val="-2"/>
          <w:sz w:val="24"/>
        </w:rPr>
        <w:t xml:space="preserve"> </w:t>
      </w:r>
      <w:r>
        <w:rPr>
          <w:sz w:val="24"/>
        </w:rPr>
        <w:t>current</w:t>
      </w:r>
      <w:r>
        <w:rPr>
          <w:spacing w:val="-3"/>
          <w:sz w:val="24"/>
        </w:rPr>
        <w:t xml:space="preserve"> </w:t>
      </w:r>
      <w:r>
        <w:rPr>
          <w:sz w:val="24"/>
        </w:rPr>
        <w:t>standards</w:t>
      </w:r>
      <w:r>
        <w:rPr>
          <w:spacing w:val="-4"/>
          <w:sz w:val="24"/>
        </w:rPr>
        <w:t xml:space="preserve"> </w:t>
      </w:r>
      <w:r>
        <w:rPr>
          <w:sz w:val="24"/>
        </w:rPr>
        <w:t>of practice, as promulgated by the Actuarial Standards Board of the American Academy of Actuaries</w:t>
      </w:r>
      <w:hyperlink w:anchor="_bookmark86" w:history="1">
        <w:r>
          <w:rPr>
            <w:sz w:val="24"/>
            <w:vertAlign w:val="superscript"/>
          </w:rPr>
          <w:t>3</w:t>
        </w:r>
      </w:hyperlink>
      <w:r>
        <w:rPr>
          <w:sz w:val="24"/>
          <w:vertAlign w:val="baseline"/>
        </w:rPr>
        <w:t>.</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4"/>
        <w:ind w:left="0"/>
        <w:rPr>
          <w:sz w:val="20"/>
        </w:rPr>
      </w:pPr>
      <w:r>
        <w:rPr>
          <w:sz w:val="20"/>
        </w:rPr>
        <mc:AlternateContent>
          <mc:Choice Requires="wps">
            <w:drawing>
              <wp:anchor distT="0" distB="0" distL="0" distR="0" simplePos="0" relativeHeight="251670528" behindDoc="1" locked="0" layoutInCell="1" allowOverlap="1">
                <wp:simplePos x="0" y="0"/>
                <wp:positionH relativeFrom="page">
                  <wp:posOffset>1006144</wp:posOffset>
                </wp:positionH>
                <wp:positionV relativeFrom="paragraph">
                  <wp:posOffset>202506</wp:posOffset>
                </wp:positionV>
                <wp:extent cx="1829435" cy="6350"/>
                <wp:effectExtent l="0" t="0" r="0" b="0"/>
                <wp:wrapTopAndBottom/>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3" style="width:144.02pt;height:0.48pt;margin-top:15.95pt;margin-left:79.22pt;mso-position-horizontal-relative:page;mso-wrap-distance-left:0;mso-wrap-distance-right:0;position:absolute;z-index:-251644928" filled="t" fillcolor="black" stroked="f">
                <v:fill type="solid"/>
                <w10:wrap type="topAndBottom"/>
              </v:rect>
            </w:pict>
          </mc:Fallback>
        </mc:AlternateContent>
      </w:r>
    </w:p>
    <w:p>
      <w:pPr>
        <w:spacing w:before="91"/>
        <w:ind w:left="504" w:right="0" w:firstLine="0"/>
        <w:jc w:val="left"/>
        <w:rPr>
          <w:sz w:val="20"/>
        </w:rPr>
      </w:pPr>
      <w:bookmarkStart w:id="328" w:name="_bookmark84"/>
      <w:bookmarkEnd w:id="328"/>
      <w:r>
        <w:rPr>
          <w:sz w:val="20"/>
          <w:vertAlign w:val="superscript"/>
        </w:rPr>
        <w:t>1</w:t>
      </w:r>
      <w:r>
        <w:rPr>
          <w:spacing w:val="-5"/>
          <w:sz w:val="20"/>
          <w:vertAlign w:val="baseline"/>
        </w:rPr>
        <w:t xml:space="preserve"> </w:t>
      </w:r>
      <w:r>
        <w:rPr>
          <w:sz w:val="20"/>
          <w:vertAlign w:val="baseline"/>
        </w:rPr>
        <w:t>Social</w:t>
      </w:r>
      <w:r>
        <w:rPr>
          <w:spacing w:val="-5"/>
          <w:sz w:val="20"/>
          <w:vertAlign w:val="baseline"/>
        </w:rPr>
        <w:t xml:space="preserve"> </w:t>
      </w:r>
      <w:r>
        <w:rPr>
          <w:sz w:val="20"/>
          <w:vertAlign w:val="baseline"/>
        </w:rPr>
        <w:t>Security</w:t>
      </w:r>
      <w:r>
        <w:rPr>
          <w:spacing w:val="-5"/>
          <w:sz w:val="20"/>
          <w:vertAlign w:val="baseline"/>
        </w:rPr>
        <w:t xml:space="preserve"> </w:t>
      </w:r>
      <w:r>
        <w:rPr>
          <w:sz w:val="20"/>
          <w:vertAlign w:val="baseline"/>
        </w:rPr>
        <w:t>Act</w:t>
      </w:r>
      <w:r>
        <w:rPr>
          <w:spacing w:val="-3"/>
          <w:sz w:val="20"/>
          <w:vertAlign w:val="baseline"/>
        </w:rPr>
        <w:t xml:space="preserve"> </w:t>
      </w:r>
      <w:r>
        <w:rPr>
          <w:sz w:val="20"/>
          <w:vertAlign w:val="baseline"/>
        </w:rPr>
        <w:t>sections</w:t>
      </w:r>
      <w:r>
        <w:rPr>
          <w:spacing w:val="-6"/>
          <w:sz w:val="20"/>
          <w:vertAlign w:val="baseline"/>
        </w:rPr>
        <w:t xml:space="preserve"> </w:t>
      </w:r>
      <w:r>
        <w:rPr>
          <w:sz w:val="20"/>
          <w:vertAlign w:val="baseline"/>
        </w:rPr>
        <w:t>1851</w:t>
      </w:r>
      <w:r>
        <w:rPr>
          <w:spacing w:val="-4"/>
          <w:sz w:val="20"/>
          <w:vertAlign w:val="baseline"/>
        </w:rPr>
        <w:t xml:space="preserve"> </w:t>
      </w:r>
      <w:r>
        <w:rPr>
          <w:sz w:val="20"/>
          <w:vertAlign w:val="baseline"/>
        </w:rPr>
        <w:t>through</w:t>
      </w:r>
      <w:r>
        <w:rPr>
          <w:spacing w:val="-3"/>
          <w:sz w:val="20"/>
          <w:vertAlign w:val="baseline"/>
        </w:rPr>
        <w:t xml:space="preserve"> </w:t>
      </w:r>
      <w:r>
        <w:rPr>
          <w:sz w:val="20"/>
          <w:vertAlign w:val="baseline"/>
        </w:rPr>
        <w:t>1859;</w:t>
      </w:r>
      <w:r>
        <w:rPr>
          <w:spacing w:val="-6"/>
          <w:sz w:val="20"/>
          <w:vertAlign w:val="baseline"/>
        </w:rPr>
        <w:t xml:space="preserve"> </w:t>
      </w:r>
      <w:r>
        <w:rPr>
          <w:sz w:val="20"/>
          <w:vertAlign w:val="baseline"/>
        </w:rPr>
        <w:t>and</w:t>
      </w:r>
      <w:r>
        <w:rPr>
          <w:spacing w:val="-4"/>
          <w:sz w:val="20"/>
          <w:vertAlign w:val="baseline"/>
        </w:rPr>
        <w:t xml:space="preserve"> </w:t>
      </w:r>
      <w:r>
        <w:rPr>
          <w:sz w:val="20"/>
          <w:vertAlign w:val="baseline"/>
        </w:rPr>
        <w:t>Social</w:t>
      </w:r>
      <w:r>
        <w:rPr>
          <w:spacing w:val="-6"/>
          <w:sz w:val="20"/>
          <w:vertAlign w:val="baseline"/>
        </w:rPr>
        <w:t xml:space="preserve"> </w:t>
      </w:r>
      <w:r>
        <w:rPr>
          <w:sz w:val="20"/>
          <w:vertAlign w:val="baseline"/>
        </w:rPr>
        <w:t>Security</w:t>
      </w:r>
      <w:r>
        <w:rPr>
          <w:spacing w:val="-5"/>
          <w:sz w:val="20"/>
          <w:vertAlign w:val="baseline"/>
        </w:rPr>
        <w:t xml:space="preserve"> </w:t>
      </w:r>
      <w:r>
        <w:rPr>
          <w:sz w:val="20"/>
          <w:vertAlign w:val="baseline"/>
        </w:rPr>
        <w:t>Act</w:t>
      </w:r>
      <w:r>
        <w:rPr>
          <w:spacing w:val="1"/>
          <w:sz w:val="20"/>
          <w:vertAlign w:val="baseline"/>
        </w:rPr>
        <w:t xml:space="preserve"> </w:t>
      </w:r>
      <w:r>
        <w:rPr>
          <w:sz w:val="20"/>
          <w:vertAlign w:val="baseline"/>
        </w:rPr>
        <w:t>sections</w:t>
      </w:r>
      <w:r>
        <w:rPr>
          <w:spacing w:val="-6"/>
          <w:sz w:val="20"/>
          <w:vertAlign w:val="baseline"/>
        </w:rPr>
        <w:t xml:space="preserve"> </w:t>
      </w:r>
      <w:r>
        <w:rPr>
          <w:sz w:val="20"/>
          <w:vertAlign w:val="baseline"/>
        </w:rPr>
        <w:t>1860D-1</w:t>
      </w:r>
      <w:r>
        <w:rPr>
          <w:spacing w:val="-4"/>
          <w:sz w:val="20"/>
          <w:vertAlign w:val="baseline"/>
        </w:rPr>
        <w:t xml:space="preserve"> </w:t>
      </w:r>
      <w:r>
        <w:rPr>
          <w:sz w:val="20"/>
          <w:vertAlign w:val="baseline"/>
        </w:rPr>
        <w:t>through</w:t>
      </w:r>
      <w:r>
        <w:rPr>
          <w:spacing w:val="-5"/>
          <w:sz w:val="20"/>
          <w:vertAlign w:val="baseline"/>
        </w:rPr>
        <w:t xml:space="preserve"> </w:t>
      </w:r>
      <w:r>
        <w:rPr>
          <w:sz w:val="20"/>
          <w:vertAlign w:val="baseline"/>
        </w:rPr>
        <w:t>1860D-</w:t>
      </w:r>
      <w:r>
        <w:rPr>
          <w:spacing w:val="-5"/>
          <w:sz w:val="20"/>
          <w:vertAlign w:val="baseline"/>
        </w:rPr>
        <w:t>42.</w:t>
      </w:r>
    </w:p>
    <w:p>
      <w:pPr>
        <w:spacing w:before="210"/>
        <w:ind w:left="504" w:right="0" w:firstLine="0"/>
        <w:jc w:val="left"/>
        <w:rPr>
          <w:sz w:val="20"/>
        </w:rPr>
      </w:pPr>
      <w:bookmarkStart w:id="329" w:name="_bookmark85"/>
      <w:bookmarkEnd w:id="329"/>
      <w:r>
        <w:rPr>
          <w:sz w:val="20"/>
          <w:vertAlign w:val="superscript"/>
        </w:rPr>
        <w:t>2</w:t>
      </w:r>
      <w:r>
        <w:rPr>
          <w:spacing w:val="-3"/>
          <w:sz w:val="20"/>
          <w:vertAlign w:val="baseline"/>
        </w:rPr>
        <w:t xml:space="preserve"> </w:t>
      </w:r>
      <w:r>
        <w:rPr>
          <w:sz w:val="20"/>
          <w:vertAlign w:val="baseline"/>
        </w:rPr>
        <w:t>42</w:t>
      </w:r>
      <w:r>
        <w:rPr>
          <w:spacing w:val="-1"/>
          <w:sz w:val="20"/>
          <w:vertAlign w:val="baseline"/>
        </w:rPr>
        <w:t xml:space="preserve"> </w:t>
      </w:r>
      <w:r>
        <w:rPr>
          <w:sz w:val="20"/>
          <w:vertAlign w:val="baseline"/>
        </w:rPr>
        <w:t>CFR</w:t>
      </w:r>
      <w:r>
        <w:rPr>
          <w:spacing w:val="-3"/>
          <w:sz w:val="20"/>
          <w:vertAlign w:val="baseline"/>
        </w:rPr>
        <w:t xml:space="preserve"> </w:t>
      </w:r>
      <w:r>
        <w:rPr>
          <w:sz w:val="20"/>
          <w:vertAlign w:val="baseline"/>
        </w:rPr>
        <w:t>Parts</w:t>
      </w:r>
      <w:r>
        <w:rPr>
          <w:spacing w:val="-3"/>
          <w:sz w:val="20"/>
          <w:vertAlign w:val="baseline"/>
        </w:rPr>
        <w:t xml:space="preserve"> </w:t>
      </w:r>
      <w:r>
        <w:rPr>
          <w:sz w:val="20"/>
          <w:vertAlign w:val="baseline"/>
        </w:rPr>
        <w:t>400,</w:t>
      </w:r>
      <w:r>
        <w:rPr>
          <w:spacing w:val="-3"/>
          <w:sz w:val="20"/>
          <w:vertAlign w:val="baseline"/>
        </w:rPr>
        <w:t xml:space="preserve"> </w:t>
      </w:r>
      <w:r>
        <w:rPr>
          <w:sz w:val="20"/>
          <w:vertAlign w:val="baseline"/>
        </w:rPr>
        <w:t>403,</w:t>
      </w:r>
      <w:r>
        <w:rPr>
          <w:spacing w:val="-2"/>
          <w:sz w:val="20"/>
          <w:vertAlign w:val="baseline"/>
        </w:rPr>
        <w:t xml:space="preserve"> </w:t>
      </w:r>
      <w:r>
        <w:rPr>
          <w:sz w:val="20"/>
          <w:vertAlign w:val="baseline"/>
        </w:rPr>
        <w:t>411,</w:t>
      </w:r>
      <w:r>
        <w:rPr>
          <w:spacing w:val="-4"/>
          <w:sz w:val="20"/>
          <w:vertAlign w:val="baseline"/>
        </w:rPr>
        <w:t xml:space="preserve"> </w:t>
      </w:r>
      <w:r>
        <w:rPr>
          <w:sz w:val="20"/>
          <w:vertAlign w:val="baseline"/>
        </w:rPr>
        <w:t>417,</w:t>
      </w:r>
      <w:r>
        <w:rPr>
          <w:spacing w:val="-4"/>
          <w:sz w:val="20"/>
          <w:vertAlign w:val="baseline"/>
        </w:rPr>
        <w:t xml:space="preserve"> </w:t>
      </w:r>
      <w:r>
        <w:rPr>
          <w:sz w:val="20"/>
          <w:vertAlign w:val="baseline"/>
        </w:rPr>
        <w:t>422,</w:t>
      </w:r>
      <w:r>
        <w:rPr>
          <w:spacing w:val="-4"/>
          <w:sz w:val="20"/>
          <w:vertAlign w:val="baseline"/>
        </w:rPr>
        <w:t xml:space="preserve"> </w:t>
      </w:r>
      <w:r>
        <w:rPr>
          <w:sz w:val="20"/>
          <w:vertAlign w:val="baseline"/>
        </w:rPr>
        <w:t>and</w:t>
      </w:r>
      <w:r>
        <w:rPr>
          <w:spacing w:val="-3"/>
          <w:sz w:val="20"/>
          <w:vertAlign w:val="baseline"/>
        </w:rPr>
        <w:t xml:space="preserve"> </w:t>
      </w:r>
      <w:r>
        <w:rPr>
          <w:spacing w:val="-4"/>
          <w:sz w:val="20"/>
          <w:vertAlign w:val="baseline"/>
        </w:rPr>
        <w:t>423.</w:t>
      </w:r>
    </w:p>
    <w:p>
      <w:pPr>
        <w:spacing w:before="158"/>
        <w:ind w:left="504" w:right="0" w:firstLine="0"/>
        <w:jc w:val="left"/>
        <w:rPr>
          <w:sz w:val="20"/>
        </w:rPr>
      </w:pPr>
      <w:bookmarkStart w:id="330" w:name="_bookmark86"/>
      <w:bookmarkEnd w:id="330"/>
      <w:r>
        <w:rPr>
          <w:sz w:val="20"/>
          <w:vertAlign w:val="superscript"/>
        </w:rPr>
        <w:t>3</w:t>
      </w:r>
      <w:r>
        <w:rPr>
          <w:spacing w:val="-4"/>
          <w:sz w:val="20"/>
          <w:vertAlign w:val="baseline"/>
        </w:rPr>
        <w:t xml:space="preserve"> </w:t>
      </w:r>
      <w:r>
        <w:rPr>
          <w:sz w:val="20"/>
          <w:vertAlign w:val="baseline"/>
        </w:rPr>
        <w:t>Emphasis</w:t>
      </w:r>
      <w:r>
        <w:rPr>
          <w:spacing w:val="-6"/>
          <w:sz w:val="20"/>
          <w:vertAlign w:val="baseline"/>
        </w:rPr>
        <w:t xml:space="preserve"> </w:t>
      </w:r>
      <w:r>
        <w:rPr>
          <w:sz w:val="20"/>
          <w:vertAlign w:val="baseline"/>
        </w:rPr>
        <w:t>is</w:t>
      </w:r>
      <w:r>
        <w:rPr>
          <w:spacing w:val="-5"/>
          <w:sz w:val="20"/>
          <w:vertAlign w:val="baseline"/>
        </w:rPr>
        <w:t xml:space="preserve"> </w:t>
      </w:r>
      <w:r>
        <w:rPr>
          <w:sz w:val="20"/>
          <w:vertAlign w:val="baseline"/>
        </w:rPr>
        <w:t>placed</w:t>
      </w:r>
      <w:r>
        <w:rPr>
          <w:spacing w:val="-3"/>
          <w:sz w:val="20"/>
          <w:vertAlign w:val="baseline"/>
        </w:rPr>
        <w:t xml:space="preserve"> </w:t>
      </w:r>
      <w:r>
        <w:rPr>
          <w:sz w:val="20"/>
          <w:vertAlign w:val="baseline"/>
        </w:rPr>
        <w:t>on,</w:t>
      </w:r>
      <w:r>
        <w:rPr>
          <w:spacing w:val="-6"/>
          <w:sz w:val="20"/>
          <w:vertAlign w:val="baseline"/>
        </w:rPr>
        <w:t xml:space="preserve"> </w:t>
      </w:r>
      <w:r>
        <w:rPr>
          <w:sz w:val="20"/>
          <w:vertAlign w:val="baseline"/>
        </w:rPr>
        <w:t>but</w:t>
      </w:r>
      <w:r>
        <w:rPr>
          <w:spacing w:val="-7"/>
          <w:sz w:val="20"/>
          <w:vertAlign w:val="baseline"/>
        </w:rPr>
        <w:t xml:space="preserve"> </w:t>
      </w:r>
      <w:r>
        <w:rPr>
          <w:sz w:val="20"/>
          <w:vertAlign w:val="baseline"/>
        </w:rPr>
        <w:t>not</w:t>
      </w:r>
      <w:r>
        <w:rPr>
          <w:spacing w:val="-4"/>
          <w:sz w:val="20"/>
          <w:vertAlign w:val="baseline"/>
        </w:rPr>
        <w:t xml:space="preserve"> </w:t>
      </w:r>
      <w:r>
        <w:rPr>
          <w:sz w:val="20"/>
          <w:vertAlign w:val="baseline"/>
        </w:rPr>
        <w:t>limited</w:t>
      </w:r>
      <w:r>
        <w:rPr>
          <w:spacing w:val="-4"/>
          <w:sz w:val="20"/>
          <w:vertAlign w:val="baseline"/>
        </w:rPr>
        <w:t xml:space="preserve"> </w:t>
      </w:r>
      <w:r>
        <w:rPr>
          <w:sz w:val="20"/>
          <w:vertAlign w:val="baseline"/>
        </w:rPr>
        <w:t>to,</w:t>
      </w:r>
      <w:r>
        <w:rPr>
          <w:spacing w:val="-1"/>
          <w:sz w:val="20"/>
          <w:vertAlign w:val="baseline"/>
        </w:rPr>
        <w:t xml:space="preserve"> </w:t>
      </w:r>
      <w:r>
        <w:rPr>
          <w:sz w:val="20"/>
          <w:vertAlign w:val="baseline"/>
        </w:rPr>
        <w:t>the</w:t>
      </w:r>
      <w:r>
        <w:rPr>
          <w:spacing w:val="-4"/>
          <w:sz w:val="20"/>
          <w:vertAlign w:val="baseline"/>
        </w:rPr>
        <w:t xml:space="preserve"> </w:t>
      </w:r>
      <w:r>
        <w:rPr>
          <w:sz w:val="20"/>
          <w:vertAlign w:val="baseline"/>
        </w:rPr>
        <w:t>following</w:t>
      </w:r>
      <w:r>
        <w:rPr>
          <w:spacing w:val="-2"/>
          <w:sz w:val="20"/>
          <w:vertAlign w:val="baseline"/>
        </w:rPr>
        <w:t xml:space="preserve"> </w:t>
      </w:r>
      <w:r>
        <w:rPr>
          <w:sz w:val="20"/>
          <w:vertAlign w:val="baseline"/>
        </w:rPr>
        <w:t>Actuarial</w:t>
      </w:r>
      <w:r>
        <w:rPr>
          <w:spacing w:val="-4"/>
          <w:sz w:val="20"/>
          <w:vertAlign w:val="baseline"/>
        </w:rPr>
        <w:t xml:space="preserve"> </w:t>
      </w:r>
      <w:r>
        <w:rPr>
          <w:sz w:val="20"/>
          <w:vertAlign w:val="baseline"/>
        </w:rPr>
        <w:t>Standards</w:t>
      </w:r>
      <w:r>
        <w:rPr>
          <w:spacing w:val="-5"/>
          <w:sz w:val="20"/>
          <w:vertAlign w:val="baseline"/>
        </w:rPr>
        <w:t xml:space="preserve"> </w:t>
      </w:r>
      <w:r>
        <w:rPr>
          <w:sz w:val="20"/>
          <w:vertAlign w:val="baseline"/>
        </w:rPr>
        <w:t>of</w:t>
      </w:r>
      <w:r>
        <w:rPr>
          <w:spacing w:val="-4"/>
          <w:sz w:val="20"/>
          <w:vertAlign w:val="baseline"/>
        </w:rPr>
        <w:t xml:space="preserve"> </w:t>
      </w:r>
      <w:r>
        <w:rPr>
          <w:sz w:val="20"/>
          <w:vertAlign w:val="baseline"/>
        </w:rPr>
        <w:t>Practice</w:t>
      </w:r>
      <w:r>
        <w:rPr>
          <w:spacing w:val="-3"/>
          <w:sz w:val="20"/>
          <w:vertAlign w:val="baseline"/>
        </w:rPr>
        <w:t xml:space="preserve"> </w:t>
      </w:r>
      <w:r>
        <w:rPr>
          <w:spacing w:val="-2"/>
          <w:sz w:val="20"/>
          <w:vertAlign w:val="baseline"/>
        </w:rPr>
        <w:t>(ASOPs):</w:t>
      </w:r>
    </w:p>
    <w:p>
      <w:pPr>
        <w:pStyle w:val="ListParagraph"/>
        <w:numPr>
          <w:ilvl w:val="0"/>
          <w:numId w:val="37"/>
        </w:numPr>
        <w:tabs>
          <w:tab w:val="left" w:pos="1373"/>
        </w:tabs>
        <w:spacing w:before="1" w:after="0" w:line="240" w:lineRule="auto"/>
        <w:ind w:left="1373" w:right="0" w:hanging="360"/>
        <w:jc w:val="left"/>
        <w:rPr>
          <w:i/>
          <w:sz w:val="20"/>
        </w:rPr>
      </w:pPr>
      <w:r>
        <w:rPr>
          <w:sz w:val="20"/>
        </w:rPr>
        <w:t>ASOP</w:t>
      </w:r>
      <w:r>
        <w:rPr>
          <w:spacing w:val="-6"/>
          <w:sz w:val="20"/>
        </w:rPr>
        <w:t xml:space="preserve"> </w:t>
      </w:r>
      <w:r>
        <w:rPr>
          <w:sz w:val="20"/>
        </w:rPr>
        <w:t>No.</w:t>
      </w:r>
      <w:r>
        <w:rPr>
          <w:spacing w:val="-5"/>
          <w:sz w:val="20"/>
        </w:rPr>
        <w:t xml:space="preserve"> </w:t>
      </w:r>
      <w:r>
        <w:rPr>
          <w:sz w:val="20"/>
        </w:rPr>
        <w:t>5,</w:t>
      </w:r>
      <w:r>
        <w:rPr>
          <w:spacing w:val="-4"/>
          <w:sz w:val="20"/>
        </w:rPr>
        <w:t xml:space="preserve"> </w:t>
      </w:r>
      <w:r>
        <w:rPr>
          <w:i/>
          <w:sz w:val="20"/>
        </w:rPr>
        <w:t>Incurred</w:t>
      </w:r>
      <w:r>
        <w:rPr>
          <w:i/>
          <w:spacing w:val="-3"/>
          <w:sz w:val="20"/>
        </w:rPr>
        <w:t xml:space="preserve"> </w:t>
      </w:r>
      <w:r>
        <w:rPr>
          <w:i/>
          <w:sz w:val="20"/>
        </w:rPr>
        <w:t>Health</w:t>
      </w:r>
      <w:r>
        <w:rPr>
          <w:i/>
          <w:spacing w:val="-7"/>
          <w:sz w:val="20"/>
        </w:rPr>
        <w:t xml:space="preserve"> </w:t>
      </w:r>
      <w:r>
        <w:rPr>
          <w:i/>
          <w:sz w:val="20"/>
        </w:rPr>
        <w:t>and</w:t>
      </w:r>
      <w:r>
        <w:rPr>
          <w:i/>
          <w:spacing w:val="-4"/>
          <w:sz w:val="20"/>
        </w:rPr>
        <w:t xml:space="preserve"> </w:t>
      </w:r>
      <w:r>
        <w:rPr>
          <w:i/>
          <w:sz w:val="20"/>
        </w:rPr>
        <w:t>Disability</w:t>
      </w:r>
      <w:r>
        <w:rPr>
          <w:i/>
          <w:spacing w:val="-4"/>
          <w:sz w:val="20"/>
        </w:rPr>
        <w:t xml:space="preserve"> </w:t>
      </w:r>
      <w:r>
        <w:rPr>
          <w:i/>
          <w:spacing w:val="-2"/>
          <w:sz w:val="20"/>
        </w:rPr>
        <w:t>Claims</w:t>
      </w:r>
    </w:p>
    <w:p>
      <w:pPr>
        <w:pStyle w:val="ListParagraph"/>
        <w:numPr>
          <w:ilvl w:val="0"/>
          <w:numId w:val="37"/>
        </w:numPr>
        <w:tabs>
          <w:tab w:val="left" w:pos="1373"/>
        </w:tabs>
        <w:spacing w:before="0" w:after="0" w:line="240" w:lineRule="auto"/>
        <w:ind w:left="1373" w:right="1951" w:hanging="360"/>
        <w:jc w:val="left"/>
        <w:rPr>
          <w:i/>
          <w:sz w:val="20"/>
        </w:rPr>
      </w:pPr>
      <w:r>
        <w:rPr>
          <w:sz w:val="20"/>
        </w:rPr>
        <w:t>ASOP</w:t>
      </w:r>
      <w:r>
        <w:rPr>
          <w:spacing w:val="-5"/>
          <w:sz w:val="20"/>
        </w:rPr>
        <w:t xml:space="preserve"> </w:t>
      </w:r>
      <w:r>
        <w:rPr>
          <w:sz w:val="20"/>
        </w:rPr>
        <w:t>No.</w:t>
      </w:r>
      <w:r>
        <w:rPr>
          <w:spacing w:val="-4"/>
          <w:sz w:val="20"/>
        </w:rPr>
        <w:t xml:space="preserve"> </w:t>
      </w:r>
      <w:r>
        <w:rPr>
          <w:sz w:val="20"/>
        </w:rPr>
        <w:t>8,</w:t>
      </w:r>
      <w:r>
        <w:rPr>
          <w:spacing w:val="-3"/>
          <w:sz w:val="20"/>
        </w:rPr>
        <w:t xml:space="preserve"> </w:t>
      </w:r>
      <w:r>
        <w:rPr>
          <w:i/>
          <w:sz w:val="20"/>
        </w:rPr>
        <w:t>Regulatory</w:t>
      </w:r>
      <w:r>
        <w:rPr>
          <w:i/>
          <w:spacing w:val="-4"/>
          <w:sz w:val="20"/>
        </w:rPr>
        <w:t xml:space="preserve"> </w:t>
      </w:r>
      <w:r>
        <w:rPr>
          <w:i/>
          <w:sz w:val="20"/>
        </w:rPr>
        <w:t>Filings</w:t>
      </w:r>
      <w:r>
        <w:rPr>
          <w:i/>
          <w:spacing w:val="-5"/>
          <w:sz w:val="20"/>
        </w:rPr>
        <w:t xml:space="preserve"> </w:t>
      </w:r>
      <w:r>
        <w:rPr>
          <w:i/>
          <w:sz w:val="20"/>
        </w:rPr>
        <w:t>for</w:t>
      </w:r>
      <w:r>
        <w:rPr>
          <w:i/>
          <w:spacing w:val="-5"/>
          <w:sz w:val="20"/>
        </w:rPr>
        <w:t xml:space="preserve"> </w:t>
      </w:r>
      <w:r>
        <w:rPr>
          <w:i/>
          <w:sz w:val="20"/>
        </w:rPr>
        <w:t>Health Benefits,</w:t>
      </w:r>
      <w:r>
        <w:rPr>
          <w:i/>
          <w:spacing w:val="-4"/>
          <w:sz w:val="20"/>
        </w:rPr>
        <w:t xml:space="preserve"> </w:t>
      </w:r>
      <w:r>
        <w:rPr>
          <w:i/>
          <w:sz w:val="20"/>
        </w:rPr>
        <w:t>Accident</w:t>
      </w:r>
      <w:r>
        <w:rPr>
          <w:i/>
          <w:spacing w:val="-5"/>
          <w:sz w:val="20"/>
        </w:rPr>
        <w:t xml:space="preserve"> </w:t>
      </w:r>
      <w:r>
        <w:rPr>
          <w:i/>
          <w:sz w:val="20"/>
        </w:rPr>
        <w:t>and</w:t>
      </w:r>
      <w:r>
        <w:rPr>
          <w:i/>
          <w:spacing w:val="-3"/>
          <w:sz w:val="20"/>
        </w:rPr>
        <w:t xml:space="preserve"> </w:t>
      </w:r>
      <w:r>
        <w:rPr>
          <w:i/>
          <w:sz w:val="20"/>
        </w:rPr>
        <w:t>Health</w:t>
      </w:r>
      <w:r>
        <w:rPr>
          <w:i/>
          <w:spacing w:val="-4"/>
          <w:sz w:val="20"/>
        </w:rPr>
        <w:t xml:space="preserve"> </w:t>
      </w:r>
      <w:r>
        <w:rPr>
          <w:i/>
          <w:sz w:val="20"/>
        </w:rPr>
        <w:t>Insurance,</w:t>
      </w:r>
      <w:r>
        <w:rPr>
          <w:i/>
          <w:spacing w:val="-4"/>
          <w:sz w:val="20"/>
        </w:rPr>
        <w:t xml:space="preserve"> </w:t>
      </w:r>
      <w:r>
        <w:rPr>
          <w:i/>
          <w:sz w:val="20"/>
        </w:rPr>
        <w:t>and</w:t>
      </w:r>
      <w:r>
        <w:rPr>
          <w:i/>
          <w:spacing w:val="-5"/>
          <w:sz w:val="20"/>
        </w:rPr>
        <w:t xml:space="preserve"> </w:t>
      </w:r>
      <w:r>
        <w:rPr>
          <w:i/>
          <w:sz w:val="20"/>
        </w:rPr>
        <w:t>Entities</w:t>
      </w:r>
      <w:r>
        <w:rPr>
          <w:i/>
          <w:sz w:val="20"/>
        </w:rPr>
        <w:t xml:space="preserve"> Providing Health Benefits (Revised)</w:t>
      </w:r>
    </w:p>
    <w:p>
      <w:pPr>
        <w:pStyle w:val="ListParagraph"/>
        <w:numPr>
          <w:ilvl w:val="0"/>
          <w:numId w:val="37"/>
        </w:numPr>
        <w:tabs>
          <w:tab w:val="left" w:pos="1373"/>
        </w:tabs>
        <w:spacing w:before="1" w:after="0" w:line="229" w:lineRule="exact"/>
        <w:ind w:left="1373" w:right="0" w:hanging="360"/>
        <w:jc w:val="left"/>
        <w:rPr>
          <w:i/>
          <w:sz w:val="20"/>
        </w:rPr>
      </w:pPr>
      <w:r>
        <w:rPr>
          <w:sz w:val="20"/>
        </w:rPr>
        <w:t>ASOP</w:t>
      </w:r>
      <w:r>
        <w:rPr>
          <w:spacing w:val="-5"/>
          <w:sz w:val="20"/>
        </w:rPr>
        <w:t xml:space="preserve"> </w:t>
      </w:r>
      <w:r>
        <w:rPr>
          <w:sz w:val="20"/>
        </w:rPr>
        <w:t>No.</w:t>
      </w:r>
      <w:r>
        <w:rPr>
          <w:spacing w:val="-3"/>
          <w:sz w:val="20"/>
        </w:rPr>
        <w:t xml:space="preserve"> </w:t>
      </w:r>
      <w:r>
        <w:rPr>
          <w:sz w:val="20"/>
        </w:rPr>
        <w:t>23,</w:t>
      </w:r>
      <w:r>
        <w:rPr>
          <w:spacing w:val="-2"/>
          <w:sz w:val="20"/>
        </w:rPr>
        <w:t xml:space="preserve"> </w:t>
      </w:r>
      <w:r>
        <w:rPr>
          <w:i/>
          <w:sz w:val="20"/>
        </w:rPr>
        <w:t>Data</w:t>
      </w:r>
      <w:r>
        <w:rPr>
          <w:i/>
          <w:spacing w:val="-2"/>
          <w:sz w:val="20"/>
        </w:rPr>
        <w:t xml:space="preserve"> Quality</w:t>
      </w:r>
    </w:p>
    <w:p>
      <w:pPr>
        <w:pStyle w:val="ListParagraph"/>
        <w:numPr>
          <w:ilvl w:val="0"/>
          <w:numId w:val="37"/>
        </w:numPr>
        <w:tabs>
          <w:tab w:val="left" w:pos="1373"/>
        </w:tabs>
        <w:spacing w:before="0" w:after="0" w:line="229" w:lineRule="exact"/>
        <w:ind w:left="1373" w:right="0" w:hanging="360"/>
        <w:jc w:val="left"/>
        <w:rPr>
          <w:i/>
          <w:sz w:val="20"/>
        </w:rPr>
      </w:pPr>
      <w:r>
        <w:rPr>
          <w:sz w:val="20"/>
        </w:rPr>
        <w:t>ASOP</w:t>
      </w:r>
      <w:r>
        <w:rPr>
          <w:spacing w:val="-7"/>
          <w:sz w:val="20"/>
        </w:rPr>
        <w:t xml:space="preserve"> </w:t>
      </w:r>
      <w:r>
        <w:rPr>
          <w:sz w:val="20"/>
        </w:rPr>
        <w:t>No.</w:t>
      </w:r>
      <w:r>
        <w:rPr>
          <w:spacing w:val="-5"/>
          <w:sz w:val="20"/>
        </w:rPr>
        <w:t xml:space="preserve"> </w:t>
      </w:r>
      <w:r>
        <w:rPr>
          <w:sz w:val="20"/>
        </w:rPr>
        <w:t>25,</w:t>
      </w:r>
      <w:r>
        <w:rPr>
          <w:spacing w:val="-3"/>
          <w:sz w:val="20"/>
        </w:rPr>
        <w:t xml:space="preserve"> </w:t>
      </w:r>
      <w:r>
        <w:rPr>
          <w:i/>
          <w:sz w:val="20"/>
        </w:rPr>
        <w:t>Credibility</w:t>
      </w:r>
      <w:r>
        <w:rPr>
          <w:i/>
          <w:spacing w:val="-6"/>
          <w:sz w:val="20"/>
        </w:rPr>
        <w:t xml:space="preserve"> </w:t>
      </w:r>
      <w:r>
        <w:rPr>
          <w:i/>
          <w:spacing w:val="-2"/>
          <w:sz w:val="20"/>
        </w:rPr>
        <w:t>Procedures</w:t>
      </w:r>
    </w:p>
    <w:p>
      <w:pPr>
        <w:pStyle w:val="ListParagraph"/>
        <w:numPr>
          <w:ilvl w:val="0"/>
          <w:numId w:val="37"/>
        </w:numPr>
        <w:tabs>
          <w:tab w:val="left" w:pos="1373"/>
        </w:tabs>
        <w:spacing w:before="1" w:after="0" w:line="240" w:lineRule="auto"/>
        <w:ind w:left="1373" w:right="0" w:hanging="360"/>
        <w:jc w:val="left"/>
        <w:rPr>
          <w:i/>
          <w:sz w:val="20"/>
        </w:rPr>
      </w:pPr>
      <w:r>
        <w:rPr>
          <w:sz w:val="20"/>
        </w:rPr>
        <w:t>ASOP</w:t>
      </w:r>
      <w:r>
        <w:rPr>
          <w:spacing w:val="-6"/>
          <w:sz w:val="20"/>
        </w:rPr>
        <w:t xml:space="preserve"> </w:t>
      </w:r>
      <w:r>
        <w:rPr>
          <w:sz w:val="20"/>
        </w:rPr>
        <w:t>No.</w:t>
      </w:r>
      <w:r>
        <w:rPr>
          <w:spacing w:val="-4"/>
          <w:sz w:val="20"/>
        </w:rPr>
        <w:t xml:space="preserve"> </w:t>
      </w:r>
      <w:r>
        <w:rPr>
          <w:sz w:val="20"/>
        </w:rPr>
        <w:t>41,</w:t>
      </w:r>
      <w:r>
        <w:rPr>
          <w:spacing w:val="-2"/>
          <w:sz w:val="20"/>
        </w:rPr>
        <w:t xml:space="preserve"> </w:t>
      </w:r>
      <w:r>
        <w:rPr>
          <w:i/>
          <w:sz w:val="20"/>
        </w:rPr>
        <w:t>Actuarial</w:t>
      </w:r>
      <w:r>
        <w:rPr>
          <w:i/>
          <w:spacing w:val="-6"/>
          <w:sz w:val="20"/>
        </w:rPr>
        <w:t xml:space="preserve"> </w:t>
      </w:r>
      <w:r>
        <w:rPr>
          <w:i/>
          <w:spacing w:val="-2"/>
          <w:sz w:val="20"/>
        </w:rPr>
        <w:t>Communications</w:t>
      </w:r>
    </w:p>
    <w:p>
      <w:pPr>
        <w:pStyle w:val="ListParagraph"/>
        <w:numPr>
          <w:ilvl w:val="0"/>
          <w:numId w:val="37"/>
        </w:numPr>
        <w:tabs>
          <w:tab w:val="left" w:pos="1373"/>
        </w:tabs>
        <w:spacing w:before="0" w:after="0" w:line="240" w:lineRule="auto"/>
        <w:ind w:left="1373" w:right="0" w:hanging="360"/>
        <w:jc w:val="left"/>
        <w:rPr>
          <w:i/>
          <w:sz w:val="20"/>
        </w:rPr>
      </w:pPr>
      <w:r>
        <w:rPr>
          <w:sz w:val="20"/>
        </w:rPr>
        <w:t>ASOP</w:t>
      </w:r>
      <w:r>
        <w:rPr>
          <w:spacing w:val="-6"/>
          <w:sz w:val="20"/>
        </w:rPr>
        <w:t xml:space="preserve"> </w:t>
      </w:r>
      <w:r>
        <w:rPr>
          <w:sz w:val="20"/>
        </w:rPr>
        <w:t>No.</w:t>
      </w:r>
      <w:r>
        <w:rPr>
          <w:spacing w:val="-4"/>
          <w:sz w:val="20"/>
        </w:rPr>
        <w:t xml:space="preserve"> </w:t>
      </w:r>
      <w:r>
        <w:rPr>
          <w:sz w:val="20"/>
        </w:rPr>
        <w:t>45,</w:t>
      </w:r>
      <w:r>
        <w:rPr>
          <w:spacing w:val="-3"/>
          <w:sz w:val="20"/>
        </w:rPr>
        <w:t xml:space="preserve"> </w:t>
      </w:r>
      <w:r>
        <w:rPr>
          <w:i/>
          <w:sz w:val="20"/>
        </w:rPr>
        <w:t>The</w:t>
      </w:r>
      <w:r>
        <w:rPr>
          <w:i/>
          <w:spacing w:val="-4"/>
          <w:sz w:val="20"/>
        </w:rPr>
        <w:t xml:space="preserve"> </w:t>
      </w:r>
      <w:r>
        <w:rPr>
          <w:i/>
          <w:sz w:val="20"/>
        </w:rPr>
        <w:t>Use</w:t>
      </w:r>
      <w:r>
        <w:rPr>
          <w:i/>
          <w:spacing w:val="-5"/>
          <w:sz w:val="20"/>
        </w:rPr>
        <w:t xml:space="preserve"> </w:t>
      </w:r>
      <w:r>
        <w:rPr>
          <w:i/>
          <w:sz w:val="20"/>
        </w:rPr>
        <w:t>of</w:t>
      </w:r>
      <w:r>
        <w:rPr>
          <w:i/>
          <w:spacing w:val="-6"/>
          <w:sz w:val="20"/>
        </w:rPr>
        <w:t xml:space="preserve"> </w:t>
      </w:r>
      <w:r>
        <w:rPr>
          <w:i/>
          <w:sz w:val="20"/>
        </w:rPr>
        <w:t>Health</w:t>
      </w:r>
      <w:r>
        <w:rPr>
          <w:i/>
          <w:spacing w:val="-4"/>
          <w:sz w:val="20"/>
        </w:rPr>
        <w:t xml:space="preserve"> </w:t>
      </w:r>
      <w:r>
        <w:rPr>
          <w:i/>
          <w:sz w:val="20"/>
        </w:rPr>
        <w:t>Status</w:t>
      </w:r>
      <w:r>
        <w:rPr>
          <w:i/>
          <w:spacing w:val="-6"/>
          <w:sz w:val="20"/>
        </w:rPr>
        <w:t xml:space="preserve"> </w:t>
      </w:r>
      <w:r>
        <w:rPr>
          <w:i/>
          <w:sz w:val="20"/>
        </w:rPr>
        <w:t>Based</w:t>
      </w:r>
      <w:r>
        <w:rPr>
          <w:i/>
          <w:spacing w:val="-3"/>
          <w:sz w:val="20"/>
        </w:rPr>
        <w:t xml:space="preserve"> </w:t>
      </w:r>
      <w:r>
        <w:rPr>
          <w:i/>
          <w:sz w:val="20"/>
        </w:rPr>
        <w:t>Risk</w:t>
      </w:r>
      <w:r>
        <w:rPr>
          <w:i/>
          <w:spacing w:val="-5"/>
          <w:sz w:val="20"/>
        </w:rPr>
        <w:t xml:space="preserve"> </w:t>
      </w:r>
      <w:r>
        <w:rPr>
          <w:i/>
          <w:sz w:val="20"/>
        </w:rPr>
        <w:t>Adjustment</w:t>
      </w:r>
      <w:r>
        <w:rPr>
          <w:i/>
          <w:spacing w:val="-5"/>
          <w:sz w:val="20"/>
        </w:rPr>
        <w:t xml:space="preserve"> </w:t>
      </w:r>
      <w:r>
        <w:rPr>
          <w:i/>
          <w:spacing w:val="-2"/>
          <w:sz w:val="20"/>
        </w:rPr>
        <w:t>Methodologies</w:t>
      </w:r>
    </w:p>
    <w:p>
      <w:pPr>
        <w:pStyle w:val="ListParagraph"/>
        <w:spacing w:after="0" w:line="240" w:lineRule="auto"/>
        <w:jc w:val="left"/>
        <w:rPr>
          <w:i/>
          <w:sz w:val="20"/>
        </w:rPr>
        <w:sectPr>
          <w:pgSz w:w="12240" w:h="15840"/>
          <w:pgMar w:top="960" w:right="0" w:bottom="940" w:left="1080" w:header="727" w:footer="747"/>
          <w:cols w:space="720"/>
        </w:sectPr>
      </w:pPr>
    </w:p>
    <w:p>
      <w:pPr>
        <w:pStyle w:val="BodyText"/>
        <w:spacing w:before="144"/>
        <w:ind w:left="0"/>
        <w:rPr>
          <w:i/>
          <w:sz w:val="28"/>
        </w:rPr>
      </w:pPr>
    </w:p>
    <w:p>
      <w:pPr>
        <w:pStyle w:val="Heading1"/>
        <w:tabs>
          <w:tab w:val="left" w:pos="9750"/>
        </w:tabs>
        <w:rPr>
          <w:u w:val="none"/>
        </w:rPr>
      </w:pPr>
      <w:bookmarkStart w:id="331" w:name="Appendix B – Supporting Documentation"/>
      <w:bookmarkEnd w:id="331"/>
      <w:bookmarkStart w:id="332" w:name="_bookmark87"/>
      <w:bookmarkEnd w:id="332"/>
      <w:r>
        <w:rPr>
          <w:spacing w:val="-52"/>
          <w:u w:val="single"/>
        </w:rPr>
        <w:t xml:space="preserve"> </w:t>
      </w:r>
      <w:r>
        <w:rPr>
          <w:u w:val="single"/>
        </w:rPr>
        <w:t>APPENDIX</w:t>
      </w:r>
      <w:r>
        <w:rPr>
          <w:spacing w:val="-9"/>
          <w:u w:val="single"/>
        </w:rPr>
        <w:t xml:space="preserve"> </w:t>
      </w:r>
      <w:r>
        <w:rPr>
          <w:u w:val="single"/>
        </w:rPr>
        <w:t>B</w:t>
      </w:r>
      <w:r>
        <w:rPr>
          <w:spacing w:val="-5"/>
          <w:u w:val="single"/>
        </w:rPr>
        <w:t xml:space="preserve"> </w:t>
      </w:r>
      <w:r>
        <w:rPr>
          <w:u w:val="single"/>
        </w:rPr>
        <w:t>–</w:t>
      </w:r>
      <w:r>
        <w:rPr>
          <w:spacing w:val="-4"/>
          <w:u w:val="single"/>
        </w:rPr>
        <w:t xml:space="preserve"> </w:t>
      </w:r>
      <w:r>
        <w:rPr>
          <w:u w:val="single"/>
        </w:rPr>
        <w:t>SUPPORTING</w:t>
      </w:r>
      <w:r>
        <w:rPr>
          <w:spacing w:val="-5"/>
          <w:u w:val="single"/>
        </w:rPr>
        <w:t xml:space="preserve"> </w:t>
      </w:r>
      <w:r>
        <w:rPr>
          <w:spacing w:val="-2"/>
          <w:u w:val="single"/>
        </w:rPr>
        <w:t>DOCUMENTATION</w:t>
      </w:r>
      <w:r>
        <w:rPr>
          <w:u w:val="single"/>
        </w:rPr>
        <w:tab/>
      </w:r>
    </w:p>
    <w:p>
      <w:pPr>
        <w:pStyle w:val="BodyText"/>
        <w:spacing w:before="110"/>
        <w:ind w:left="0"/>
        <w:rPr>
          <w:rFonts w:ascii="Arial"/>
          <w:b/>
          <w:sz w:val="21"/>
        </w:rPr>
      </w:pPr>
    </w:p>
    <w:p>
      <w:pPr>
        <w:pStyle w:val="Heading2"/>
      </w:pPr>
      <w:bookmarkStart w:id="333" w:name="_bookmark88"/>
      <w:bookmarkEnd w:id="333"/>
      <w:r>
        <w:rPr>
          <w:smallCaps/>
          <w:spacing w:val="-2"/>
        </w:rPr>
        <w:t>General</w:t>
      </w:r>
    </w:p>
    <w:p>
      <w:pPr>
        <w:pStyle w:val="BodyText"/>
        <w:spacing w:before="180"/>
        <w:ind w:right="1481"/>
      </w:pPr>
      <w:r>
        <w:t>In</w:t>
      </w:r>
      <w:r>
        <w:rPr>
          <w:spacing w:val="-2"/>
        </w:rPr>
        <w:t xml:space="preserve"> </w:t>
      </w:r>
      <w:r>
        <w:t>addition</w:t>
      </w:r>
      <w:r>
        <w:rPr>
          <w:spacing w:val="-4"/>
        </w:rPr>
        <w:t xml:space="preserve"> </w:t>
      </w:r>
      <w:r>
        <w:t>to</w:t>
      </w:r>
      <w:r>
        <w:rPr>
          <w:spacing w:val="-4"/>
        </w:rPr>
        <w:t xml:space="preserve"> </w:t>
      </w:r>
      <w:r>
        <w:t>the</w:t>
      </w:r>
      <w:r>
        <w:rPr>
          <w:spacing w:val="-4"/>
        </w:rPr>
        <w:t xml:space="preserve"> </w:t>
      </w:r>
      <w:r>
        <w:t>BPT</w:t>
      </w:r>
      <w:r>
        <w:rPr>
          <w:spacing w:val="-4"/>
        </w:rPr>
        <w:t xml:space="preserve"> </w:t>
      </w:r>
      <w:r>
        <w:t>and</w:t>
      </w:r>
      <w:r>
        <w:rPr>
          <w:spacing w:val="-4"/>
        </w:rPr>
        <w:t xml:space="preserve"> </w:t>
      </w:r>
      <w:r>
        <w:t>actuarial</w:t>
      </w:r>
      <w:r>
        <w:rPr>
          <w:spacing w:val="-2"/>
        </w:rPr>
        <w:t xml:space="preserve"> </w:t>
      </w:r>
      <w:r>
        <w:t>certification,</w:t>
      </w:r>
      <w:r>
        <w:rPr>
          <w:spacing w:val="-3"/>
        </w:rPr>
        <w:t xml:space="preserve"> </w:t>
      </w:r>
      <w:r>
        <w:t>MAOs</w:t>
      </w:r>
      <w:r>
        <w:rPr>
          <w:spacing w:val="-4"/>
        </w:rPr>
        <w:t xml:space="preserve"> </w:t>
      </w:r>
      <w:r>
        <w:t>must</w:t>
      </w:r>
      <w:r>
        <w:rPr>
          <w:spacing w:val="-3"/>
        </w:rPr>
        <w:t xml:space="preserve"> </w:t>
      </w:r>
      <w:r>
        <w:t>provide</w:t>
      </w:r>
      <w:r>
        <w:rPr>
          <w:spacing w:val="-4"/>
        </w:rPr>
        <w:t xml:space="preserve"> </w:t>
      </w:r>
      <w:r>
        <w:t>CMS</w:t>
      </w:r>
      <w:r>
        <w:rPr>
          <w:spacing w:val="-3"/>
        </w:rPr>
        <w:t xml:space="preserve"> </w:t>
      </w:r>
      <w:r>
        <w:t>with</w:t>
      </w:r>
      <w:r>
        <w:rPr>
          <w:spacing w:val="-4"/>
        </w:rPr>
        <w:t xml:space="preserve"> </w:t>
      </w:r>
      <w:r>
        <w:t>supporting documentation for every bid, as described in these Instructions.</w:t>
      </w:r>
    </w:p>
    <w:p>
      <w:pPr>
        <w:pStyle w:val="BodyText"/>
        <w:spacing w:before="120"/>
        <w:ind w:right="1443"/>
      </w:pPr>
      <w:r>
        <w:t>Unless</w:t>
      </w:r>
      <w:r>
        <w:rPr>
          <w:spacing w:val="-3"/>
        </w:rPr>
        <w:t xml:space="preserve"> </w:t>
      </w:r>
      <w:r>
        <w:t>otherwise</w:t>
      </w:r>
      <w:r>
        <w:rPr>
          <w:spacing w:val="-2"/>
        </w:rPr>
        <w:t xml:space="preserve"> </w:t>
      </w:r>
      <w:r>
        <w:t>noted, MAOs</w:t>
      </w:r>
      <w:r>
        <w:rPr>
          <w:spacing w:val="-3"/>
        </w:rPr>
        <w:t xml:space="preserve"> </w:t>
      </w:r>
      <w:r>
        <w:t>must</w:t>
      </w:r>
      <w:r>
        <w:rPr>
          <w:spacing w:val="-2"/>
        </w:rPr>
        <w:t xml:space="preserve"> </w:t>
      </w:r>
      <w:r>
        <w:t>upload</w:t>
      </w:r>
      <w:r>
        <w:rPr>
          <w:spacing w:val="-2"/>
        </w:rPr>
        <w:t xml:space="preserve"> </w:t>
      </w:r>
      <w:r>
        <w:t>to</w:t>
      </w:r>
      <w:r>
        <w:rPr>
          <w:spacing w:val="-2"/>
        </w:rPr>
        <w:t xml:space="preserve"> </w:t>
      </w:r>
      <w:r>
        <w:t>HPMS</w:t>
      </w:r>
      <w:r>
        <w:rPr>
          <w:spacing w:val="-1"/>
        </w:rPr>
        <w:t xml:space="preserve"> </w:t>
      </w:r>
      <w:r>
        <w:t>all</w:t>
      </w:r>
      <w:r>
        <w:rPr>
          <w:spacing w:val="-2"/>
        </w:rPr>
        <w:t xml:space="preserve"> </w:t>
      </w:r>
      <w:r>
        <w:t>required</w:t>
      </w:r>
      <w:r>
        <w:rPr>
          <w:spacing w:val="-2"/>
        </w:rPr>
        <w:t xml:space="preserve"> </w:t>
      </w:r>
      <w:r>
        <w:t>supporting</w:t>
      </w:r>
      <w:r>
        <w:rPr>
          <w:spacing w:val="-2"/>
        </w:rPr>
        <w:t xml:space="preserve"> </w:t>
      </w:r>
      <w:r>
        <w:t>documentation</w:t>
      </w:r>
      <w:r>
        <w:rPr>
          <w:spacing w:val="-2"/>
        </w:rPr>
        <w:t xml:space="preserve"> </w:t>
      </w:r>
      <w:r>
        <w:t>at the time of the initial June bid submission. Additional supporting documentation must be made available</w:t>
      </w:r>
      <w:r>
        <w:rPr>
          <w:spacing w:val="-3"/>
        </w:rPr>
        <w:t xml:space="preserve"> </w:t>
      </w:r>
      <w:r>
        <w:t>to</w:t>
      </w:r>
      <w:r>
        <w:rPr>
          <w:spacing w:val="-3"/>
        </w:rPr>
        <w:t xml:space="preserve"> </w:t>
      </w:r>
      <w:r>
        <w:t>CMS</w:t>
      </w:r>
      <w:r>
        <w:rPr>
          <w:spacing w:val="-2"/>
        </w:rPr>
        <w:t xml:space="preserve"> </w:t>
      </w:r>
      <w:r>
        <w:t>auditors</w:t>
      </w:r>
      <w:r>
        <w:rPr>
          <w:spacing w:val="-4"/>
        </w:rPr>
        <w:t xml:space="preserve"> </w:t>
      </w:r>
      <w:r>
        <w:t>and</w:t>
      </w:r>
      <w:r>
        <w:rPr>
          <w:spacing w:val="-3"/>
        </w:rPr>
        <w:t xml:space="preserve"> </w:t>
      </w:r>
      <w:r>
        <w:t>reviewers</w:t>
      </w:r>
      <w:r>
        <w:rPr>
          <w:spacing w:val="-4"/>
        </w:rPr>
        <w:t xml:space="preserve"> </w:t>
      </w:r>
      <w:r>
        <w:t>upon</w:t>
      </w:r>
      <w:r>
        <w:rPr>
          <w:spacing w:val="-3"/>
        </w:rPr>
        <w:t xml:space="preserve"> </w:t>
      </w:r>
      <w:r>
        <w:t>request,</w:t>
      </w:r>
      <w:r>
        <w:rPr>
          <w:spacing w:val="-3"/>
        </w:rPr>
        <w:t xml:space="preserve"> </w:t>
      </w:r>
      <w:r>
        <w:t>and</w:t>
      </w:r>
      <w:r>
        <w:rPr>
          <w:spacing w:val="-3"/>
        </w:rPr>
        <w:t xml:space="preserve"> </w:t>
      </w:r>
      <w:r>
        <w:t>for</w:t>
      </w:r>
      <w:r>
        <w:rPr>
          <w:spacing w:val="-5"/>
        </w:rPr>
        <w:t xml:space="preserve"> </w:t>
      </w:r>
      <w:r>
        <w:t>CMS</w:t>
      </w:r>
      <w:r>
        <w:rPr>
          <w:spacing w:val="-3"/>
        </w:rPr>
        <w:t xml:space="preserve"> </w:t>
      </w:r>
      <w:r>
        <w:t>reviewers,</w:t>
      </w:r>
      <w:r>
        <w:rPr>
          <w:spacing w:val="-3"/>
        </w:rPr>
        <w:t xml:space="preserve"> </w:t>
      </w:r>
      <w:r>
        <w:t>within</w:t>
      </w:r>
      <w:r>
        <w:rPr>
          <w:spacing w:val="-3"/>
        </w:rPr>
        <w:t xml:space="preserve"> </w:t>
      </w:r>
      <w:r>
        <w:t>48</w:t>
      </w:r>
      <w:r>
        <w:rPr>
          <w:spacing w:val="-3"/>
        </w:rPr>
        <w:t xml:space="preserve"> </w:t>
      </w:r>
      <w:r>
        <w:t>hours of the request, as required by these Instructions. MAOs must upload supporting documentation consistent with the final certified bid.</w:t>
      </w:r>
    </w:p>
    <w:p>
      <w:pPr>
        <w:pStyle w:val="BodyText"/>
        <w:spacing w:before="118"/>
        <w:ind w:right="1481"/>
      </w:pPr>
      <w:r>
        <w:t>Additional</w:t>
      </w:r>
      <w:r>
        <w:rPr>
          <w:spacing w:val="-3"/>
        </w:rPr>
        <w:t xml:space="preserve"> </w:t>
      </w:r>
      <w:r>
        <w:t>information</w:t>
      </w:r>
      <w:r>
        <w:rPr>
          <w:spacing w:val="-3"/>
        </w:rPr>
        <w:t xml:space="preserve"> </w:t>
      </w:r>
      <w:r>
        <w:t>not</w:t>
      </w:r>
      <w:r>
        <w:rPr>
          <w:spacing w:val="-3"/>
        </w:rPr>
        <w:t xml:space="preserve"> </w:t>
      </w:r>
      <w:r>
        <w:t>listed</w:t>
      </w:r>
      <w:r>
        <w:rPr>
          <w:spacing w:val="-3"/>
        </w:rPr>
        <w:t xml:space="preserve"> </w:t>
      </w:r>
      <w:r>
        <w:t>by</w:t>
      </w:r>
      <w:r>
        <w:rPr>
          <w:spacing w:val="-3"/>
        </w:rPr>
        <w:t xml:space="preserve"> </w:t>
      </w:r>
      <w:r>
        <w:t>number</w:t>
      </w:r>
      <w:r>
        <w:rPr>
          <w:spacing w:val="-5"/>
        </w:rPr>
        <w:t xml:space="preserve"> </w:t>
      </w:r>
      <w:r>
        <w:t>in</w:t>
      </w:r>
      <w:r>
        <w:rPr>
          <w:spacing w:val="-3"/>
        </w:rPr>
        <w:t xml:space="preserve"> </w:t>
      </w:r>
      <w:r>
        <w:t>this</w:t>
      </w:r>
      <w:r>
        <w:rPr>
          <w:spacing w:val="-3"/>
        </w:rPr>
        <w:t xml:space="preserve"> </w:t>
      </w:r>
      <w:r>
        <w:t>appendix</w:t>
      </w:r>
      <w:r>
        <w:rPr>
          <w:spacing w:val="-3"/>
        </w:rPr>
        <w:t xml:space="preserve"> </w:t>
      </w:r>
      <w:r>
        <w:t>may</w:t>
      </w:r>
      <w:r>
        <w:rPr>
          <w:spacing w:val="-3"/>
        </w:rPr>
        <w:t xml:space="preserve"> </w:t>
      </w:r>
      <w:r>
        <w:t>be</w:t>
      </w:r>
      <w:r>
        <w:rPr>
          <w:spacing w:val="-5"/>
        </w:rPr>
        <w:t xml:space="preserve"> </w:t>
      </w:r>
      <w:r>
        <w:t>requested</w:t>
      </w:r>
      <w:r>
        <w:rPr>
          <w:spacing w:val="-3"/>
        </w:rPr>
        <w:t xml:space="preserve"> </w:t>
      </w:r>
      <w:r>
        <w:t>by</w:t>
      </w:r>
      <w:r>
        <w:rPr>
          <w:spacing w:val="-3"/>
        </w:rPr>
        <w:t xml:space="preserve"> </w:t>
      </w:r>
      <w:r>
        <w:t>CMS reviewers and auditors at any point during bid desk review or a CMS audit.</w:t>
      </w:r>
    </w:p>
    <w:p>
      <w:pPr>
        <w:pStyle w:val="BodyText"/>
        <w:spacing w:before="120"/>
        <w:ind w:right="1524"/>
      </w:pPr>
      <w:r>
        <w:t>Supporting documentation requirements apply regardless of the source of the assumption, whether</w:t>
      </w:r>
      <w:r>
        <w:rPr>
          <w:spacing w:val="-4"/>
        </w:rPr>
        <w:t xml:space="preserve"> </w:t>
      </w:r>
      <w:r>
        <w:t>it</w:t>
      </w:r>
      <w:r>
        <w:rPr>
          <w:spacing w:val="-2"/>
        </w:rPr>
        <w:t xml:space="preserve"> </w:t>
      </w:r>
      <w:r>
        <w:t>was</w:t>
      </w:r>
      <w:r>
        <w:rPr>
          <w:spacing w:val="-3"/>
        </w:rPr>
        <w:t xml:space="preserve"> </w:t>
      </w:r>
      <w:r>
        <w:t>developed</w:t>
      </w:r>
      <w:r>
        <w:rPr>
          <w:spacing w:val="-1"/>
        </w:rPr>
        <w:t xml:space="preserve"> </w:t>
      </w:r>
      <w:r>
        <w:t>by</w:t>
      </w:r>
      <w:r>
        <w:rPr>
          <w:spacing w:val="-2"/>
        </w:rPr>
        <w:t xml:space="preserve"> </w:t>
      </w:r>
      <w:r>
        <w:t>the</w:t>
      </w:r>
      <w:r>
        <w:rPr>
          <w:spacing w:val="-2"/>
        </w:rPr>
        <w:t xml:space="preserve"> </w:t>
      </w:r>
      <w:r>
        <w:t>actuary,</w:t>
      </w:r>
      <w:r>
        <w:rPr>
          <w:spacing w:val="-2"/>
        </w:rPr>
        <w:t xml:space="preserve"> </w:t>
      </w:r>
      <w:r>
        <w:t>the</w:t>
      </w:r>
      <w:r>
        <w:rPr>
          <w:spacing w:val="-2"/>
        </w:rPr>
        <w:t xml:space="preserve"> </w:t>
      </w:r>
      <w:r>
        <w:t>MAO,</w:t>
      </w:r>
      <w:r>
        <w:rPr>
          <w:spacing w:val="-2"/>
        </w:rPr>
        <w:t xml:space="preserve"> </w:t>
      </w:r>
      <w:r>
        <w:t>or</w:t>
      </w:r>
      <w:r>
        <w:rPr>
          <w:spacing w:val="-2"/>
        </w:rPr>
        <w:t xml:space="preserve"> </w:t>
      </w:r>
      <w:r>
        <w:t>a</w:t>
      </w:r>
      <w:r>
        <w:rPr>
          <w:spacing w:val="-4"/>
        </w:rPr>
        <w:t xml:space="preserve"> </w:t>
      </w:r>
      <w:r>
        <w:t>third</w:t>
      </w:r>
      <w:r>
        <w:rPr>
          <w:spacing w:val="-2"/>
        </w:rPr>
        <w:t xml:space="preserve"> </w:t>
      </w:r>
      <w:r>
        <w:t>party. If</w:t>
      </w:r>
      <w:r>
        <w:rPr>
          <w:spacing w:val="-2"/>
        </w:rPr>
        <w:t xml:space="preserve"> </w:t>
      </w:r>
      <w:r>
        <w:t>the</w:t>
      </w:r>
      <w:r>
        <w:rPr>
          <w:spacing w:val="-4"/>
        </w:rPr>
        <w:t xml:space="preserve"> </w:t>
      </w:r>
      <w:r>
        <w:t>actuary</w:t>
      </w:r>
      <w:r>
        <w:rPr>
          <w:spacing w:val="-2"/>
        </w:rPr>
        <w:t xml:space="preserve"> </w:t>
      </w:r>
      <w:r>
        <w:t>relied</w:t>
      </w:r>
      <w:r>
        <w:rPr>
          <w:spacing w:val="-2"/>
        </w:rPr>
        <w:t xml:space="preserve"> </w:t>
      </w:r>
      <w:r>
        <w:t>upon others for certain bid data and/or assumptions, those individuals are subject to the same documentation</w:t>
      </w:r>
      <w:r>
        <w:rPr>
          <w:spacing w:val="-4"/>
        </w:rPr>
        <w:t xml:space="preserve"> </w:t>
      </w:r>
      <w:r>
        <w:t>requirements.</w:t>
      </w:r>
      <w:r>
        <w:rPr>
          <w:spacing w:val="-4"/>
        </w:rPr>
        <w:t xml:space="preserve"> </w:t>
      </w:r>
      <w:r>
        <w:t>The</w:t>
      </w:r>
      <w:r>
        <w:rPr>
          <w:spacing w:val="-5"/>
        </w:rPr>
        <w:t xml:space="preserve"> </w:t>
      </w:r>
      <w:r>
        <w:t>actuary</w:t>
      </w:r>
      <w:r>
        <w:rPr>
          <w:spacing w:val="-4"/>
        </w:rPr>
        <w:t xml:space="preserve"> </w:t>
      </w:r>
      <w:r>
        <w:t>must</w:t>
      </w:r>
      <w:r>
        <w:rPr>
          <w:spacing w:val="-4"/>
        </w:rPr>
        <w:t xml:space="preserve"> </w:t>
      </w:r>
      <w:r>
        <w:t>provide</w:t>
      </w:r>
      <w:r>
        <w:rPr>
          <w:spacing w:val="-4"/>
        </w:rPr>
        <w:t xml:space="preserve"> </w:t>
      </w:r>
      <w:r>
        <w:t>all</w:t>
      </w:r>
      <w:r>
        <w:rPr>
          <w:spacing w:val="-4"/>
        </w:rPr>
        <w:t xml:space="preserve"> </w:t>
      </w:r>
      <w:r>
        <w:t>substantiation</w:t>
      </w:r>
      <w:r>
        <w:rPr>
          <w:spacing w:val="-4"/>
        </w:rPr>
        <w:t xml:space="preserve"> </w:t>
      </w:r>
      <w:r>
        <w:t>pertaining</w:t>
      </w:r>
      <w:r>
        <w:rPr>
          <w:spacing w:val="-4"/>
        </w:rPr>
        <w:t xml:space="preserve"> </w:t>
      </w:r>
      <w:r>
        <w:t>to</w:t>
      </w:r>
      <w:r>
        <w:rPr>
          <w:spacing w:val="-4"/>
        </w:rPr>
        <w:t xml:space="preserve"> </w:t>
      </w:r>
      <w:r>
        <w:t>the</w:t>
      </w:r>
      <w:r>
        <w:rPr>
          <w:spacing w:val="-5"/>
        </w:rPr>
        <w:t xml:space="preserve"> </w:t>
      </w:r>
      <w:r>
        <w:t>bid as required in this appendix, even if it was prepared by others or is based on reliance.</w:t>
      </w:r>
    </w:p>
    <w:p>
      <w:pPr>
        <w:pStyle w:val="BodyText"/>
        <w:spacing w:before="120"/>
      </w:pPr>
      <w:r>
        <w:t>In</w:t>
      </w:r>
      <w:r>
        <w:rPr>
          <w:spacing w:val="-4"/>
        </w:rPr>
        <w:t xml:space="preserve"> </w:t>
      </w:r>
      <w:r>
        <w:t>preparing</w:t>
      </w:r>
      <w:r>
        <w:rPr>
          <w:spacing w:val="-1"/>
        </w:rPr>
        <w:t xml:space="preserve"> </w:t>
      </w:r>
      <w:r>
        <w:t>supporting</w:t>
      </w:r>
      <w:r>
        <w:rPr>
          <w:spacing w:val="-1"/>
        </w:rPr>
        <w:t xml:space="preserve"> </w:t>
      </w:r>
      <w:r>
        <w:t>documentation,</w:t>
      </w:r>
      <w:r>
        <w:rPr>
          <w:spacing w:val="-2"/>
        </w:rPr>
        <w:t xml:space="preserve"> </w:t>
      </w:r>
      <w:r>
        <w:t>the</w:t>
      </w:r>
      <w:r>
        <w:rPr>
          <w:spacing w:val="-1"/>
        </w:rPr>
        <w:t xml:space="preserve"> </w:t>
      </w:r>
      <w:r>
        <w:t>actuary</w:t>
      </w:r>
      <w:r>
        <w:rPr>
          <w:spacing w:val="-1"/>
        </w:rPr>
        <w:t xml:space="preserve"> </w:t>
      </w:r>
      <w:r>
        <w:t>must</w:t>
      </w:r>
      <w:r>
        <w:rPr>
          <w:spacing w:val="-2"/>
        </w:rPr>
        <w:t xml:space="preserve"> </w:t>
      </w:r>
      <w:r>
        <w:t>consider</w:t>
      </w:r>
      <w:r>
        <w:rPr>
          <w:spacing w:val="-1"/>
        </w:rPr>
        <w:t xml:space="preserve"> </w:t>
      </w:r>
      <w:r>
        <w:t>ASOP</w:t>
      </w:r>
      <w:r>
        <w:rPr>
          <w:spacing w:val="-2"/>
        </w:rPr>
        <w:t xml:space="preserve"> </w:t>
      </w:r>
      <w:r>
        <w:t>No.</w:t>
      </w:r>
      <w:r>
        <w:rPr>
          <w:spacing w:val="2"/>
        </w:rPr>
        <w:t xml:space="preserve"> </w:t>
      </w:r>
      <w:r>
        <w:rPr>
          <w:spacing w:val="-5"/>
        </w:rPr>
        <w:t>41,</w:t>
      </w:r>
    </w:p>
    <w:p>
      <w:pPr>
        <w:pStyle w:val="BodyText"/>
        <w:ind w:right="1481"/>
      </w:pPr>
      <w:r>
        <w:rPr>
          <w:i/>
        </w:rPr>
        <w:t>Actuarial</w:t>
      </w:r>
      <w:r>
        <w:rPr>
          <w:i/>
          <w:spacing w:val="-4"/>
        </w:rPr>
        <w:t xml:space="preserve"> </w:t>
      </w:r>
      <w:r>
        <w:rPr>
          <w:i/>
        </w:rPr>
        <w:t>Communications.</w:t>
      </w:r>
      <w:r>
        <w:rPr>
          <w:i/>
          <w:spacing w:val="-4"/>
        </w:rPr>
        <w:t xml:space="preserve"> </w:t>
      </w:r>
      <w:r>
        <w:t>In</w:t>
      </w:r>
      <w:r>
        <w:rPr>
          <w:spacing w:val="-2"/>
        </w:rPr>
        <w:t xml:space="preserve"> </w:t>
      </w:r>
      <w:r>
        <w:t>accordance</w:t>
      </w:r>
      <w:r>
        <w:rPr>
          <w:spacing w:val="-5"/>
        </w:rPr>
        <w:t xml:space="preserve"> </w:t>
      </w:r>
      <w:r>
        <w:t>with</w:t>
      </w:r>
      <w:r>
        <w:rPr>
          <w:spacing w:val="-4"/>
        </w:rPr>
        <w:t xml:space="preserve"> </w:t>
      </w:r>
      <w:r>
        <w:t>Section</w:t>
      </w:r>
      <w:r>
        <w:rPr>
          <w:spacing w:val="-4"/>
        </w:rPr>
        <w:t xml:space="preserve"> </w:t>
      </w:r>
      <w:r>
        <w:t>3.2,</w:t>
      </w:r>
      <w:r>
        <w:rPr>
          <w:spacing w:val="-4"/>
        </w:rPr>
        <w:t xml:space="preserve"> </w:t>
      </w:r>
      <w:r>
        <w:t>“Actuarial</w:t>
      </w:r>
      <w:r>
        <w:rPr>
          <w:spacing w:val="-4"/>
        </w:rPr>
        <w:t xml:space="preserve"> </w:t>
      </w:r>
      <w:r>
        <w:t>Report,”</w:t>
      </w:r>
      <w:r>
        <w:rPr>
          <w:spacing w:val="-5"/>
        </w:rPr>
        <w:t xml:space="preserve"> </w:t>
      </w:r>
      <w:r>
        <w:t>the</w:t>
      </w:r>
      <w:r>
        <w:rPr>
          <w:spacing w:val="-4"/>
        </w:rPr>
        <w:t xml:space="preserve"> </w:t>
      </w:r>
      <w:r>
        <w:t>materials provided must be written “with sufficient clarity that another actuary qualified in the same practice area</w:t>
      </w:r>
      <w:r>
        <w:rPr>
          <w:spacing w:val="-1"/>
        </w:rPr>
        <w:t xml:space="preserve"> </w:t>
      </w:r>
      <w:r>
        <w:t>could make an objective appraisal of the reasonableness</w:t>
      </w:r>
      <w:r>
        <w:rPr>
          <w:spacing w:val="-1"/>
        </w:rPr>
        <w:t xml:space="preserve"> </w:t>
      </w:r>
      <w:r>
        <w:t>of the actuary’s work.”</w:t>
      </w:r>
    </w:p>
    <w:p>
      <w:pPr>
        <w:pStyle w:val="BodyText"/>
        <w:spacing w:before="121"/>
        <w:ind w:right="1481"/>
      </w:pPr>
      <w:r>
        <w:t>All</w:t>
      </w:r>
      <w:r>
        <w:rPr>
          <w:spacing w:val="-2"/>
        </w:rPr>
        <w:t xml:space="preserve"> </w:t>
      </w:r>
      <w:r>
        <w:t>data</w:t>
      </w:r>
      <w:r>
        <w:rPr>
          <w:spacing w:val="-3"/>
        </w:rPr>
        <w:t xml:space="preserve"> </w:t>
      </w:r>
      <w:r>
        <w:t>submitted</w:t>
      </w:r>
      <w:r>
        <w:rPr>
          <w:spacing w:val="-2"/>
        </w:rPr>
        <w:t xml:space="preserve"> </w:t>
      </w:r>
      <w:r>
        <w:t>as</w:t>
      </w:r>
      <w:r>
        <w:rPr>
          <w:spacing w:val="-3"/>
        </w:rPr>
        <w:t xml:space="preserve"> </w:t>
      </w:r>
      <w:r>
        <w:t>part</w:t>
      </w:r>
      <w:r>
        <w:rPr>
          <w:spacing w:val="-2"/>
        </w:rPr>
        <w:t xml:space="preserve"> </w:t>
      </w:r>
      <w:r>
        <w:t>of</w:t>
      </w:r>
      <w:r>
        <w:rPr>
          <w:spacing w:val="-2"/>
        </w:rPr>
        <w:t xml:space="preserve"> </w:t>
      </w:r>
      <w:r>
        <w:t>the</w:t>
      </w:r>
      <w:r>
        <w:rPr>
          <w:spacing w:val="-3"/>
        </w:rPr>
        <w:t xml:space="preserve"> </w:t>
      </w:r>
      <w:r>
        <w:t>bid</w:t>
      </w:r>
      <w:r>
        <w:rPr>
          <w:spacing w:val="-2"/>
        </w:rPr>
        <w:t xml:space="preserve"> </w:t>
      </w:r>
      <w:r>
        <w:t>process</w:t>
      </w:r>
      <w:r>
        <w:rPr>
          <w:spacing w:val="-3"/>
        </w:rPr>
        <w:t xml:space="preserve"> </w:t>
      </w:r>
      <w:r>
        <w:t>are</w:t>
      </w:r>
      <w:r>
        <w:rPr>
          <w:spacing w:val="-4"/>
        </w:rPr>
        <w:t xml:space="preserve"> </w:t>
      </w:r>
      <w:r>
        <w:t>subject</w:t>
      </w:r>
      <w:r>
        <w:rPr>
          <w:spacing w:val="-2"/>
        </w:rPr>
        <w:t xml:space="preserve"> </w:t>
      </w:r>
      <w:r>
        <w:t>to</w:t>
      </w:r>
      <w:r>
        <w:rPr>
          <w:spacing w:val="-2"/>
        </w:rPr>
        <w:t xml:space="preserve"> </w:t>
      </w:r>
      <w:r>
        <w:t>review</w:t>
      </w:r>
      <w:r>
        <w:rPr>
          <w:spacing w:val="-1"/>
        </w:rPr>
        <w:t xml:space="preserve"> </w:t>
      </w:r>
      <w:r>
        <w:t>and</w:t>
      </w:r>
      <w:r>
        <w:rPr>
          <w:spacing w:val="-2"/>
        </w:rPr>
        <w:t xml:space="preserve"> </w:t>
      </w:r>
      <w:r>
        <w:t>audit by</w:t>
      </w:r>
      <w:r>
        <w:rPr>
          <w:spacing w:val="-2"/>
        </w:rPr>
        <w:t xml:space="preserve"> </w:t>
      </w:r>
      <w:r>
        <w:t>CMS</w:t>
      </w:r>
      <w:r>
        <w:rPr>
          <w:spacing w:val="-2"/>
        </w:rPr>
        <w:t xml:space="preserve"> </w:t>
      </w:r>
      <w:r>
        <w:t>or</w:t>
      </w:r>
      <w:r>
        <w:rPr>
          <w:spacing w:val="-2"/>
        </w:rPr>
        <w:t xml:space="preserve"> </w:t>
      </w:r>
      <w:r>
        <w:t>by</w:t>
      </w:r>
      <w:r>
        <w:rPr>
          <w:spacing w:val="-3"/>
        </w:rPr>
        <w:t xml:space="preserve"> </w:t>
      </w:r>
      <w:r>
        <w:t>any person or organization that CMS designates. Certifying actuaries and additional MA BPT actuarial</w:t>
      </w:r>
      <w:r>
        <w:rPr>
          <w:spacing w:val="-1"/>
        </w:rPr>
        <w:t xml:space="preserve"> </w:t>
      </w:r>
      <w:r>
        <w:t>contacts</w:t>
      </w:r>
      <w:r>
        <w:rPr>
          <w:spacing w:val="-3"/>
        </w:rPr>
        <w:t xml:space="preserve"> </w:t>
      </w:r>
      <w:r>
        <w:t>must</w:t>
      </w:r>
      <w:r>
        <w:rPr>
          <w:spacing w:val="-2"/>
        </w:rPr>
        <w:t xml:space="preserve"> </w:t>
      </w:r>
      <w:r>
        <w:t>be</w:t>
      </w:r>
      <w:r>
        <w:rPr>
          <w:spacing w:val="-4"/>
        </w:rPr>
        <w:t xml:space="preserve"> </w:t>
      </w:r>
      <w:r>
        <w:t>available</w:t>
      </w:r>
      <w:r>
        <w:rPr>
          <w:spacing w:val="-3"/>
        </w:rPr>
        <w:t xml:space="preserve"> </w:t>
      </w:r>
      <w:r>
        <w:t>to</w:t>
      </w:r>
      <w:r>
        <w:rPr>
          <w:spacing w:val="-3"/>
        </w:rPr>
        <w:t xml:space="preserve"> </w:t>
      </w:r>
      <w:r>
        <w:t>respond</w:t>
      </w:r>
      <w:r>
        <w:rPr>
          <w:spacing w:val="-3"/>
        </w:rPr>
        <w:t xml:space="preserve"> </w:t>
      </w:r>
      <w:r>
        <w:t>to</w:t>
      </w:r>
      <w:r>
        <w:rPr>
          <w:spacing w:val="-1"/>
        </w:rPr>
        <w:t xml:space="preserve"> </w:t>
      </w:r>
      <w:r>
        <w:t>inquiries</w:t>
      </w:r>
      <w:r>
        <w:rPr>
          <w:spacing w:val="-4"/>
        </w:rPr>
        <w:t xml:space="preserve"> </w:t>
      </w:r>
      <w:r>
        <w:t>from</w:t>
      </w:r>
      <w:r>
        <w:rPr>
          <w:spacing w:val="-3"/>
        </w:rPr>
        <w:t xml:space="preserve"> </w:t>
      </w:r>
      <w:r>
        <w:t>CMS</w:t>
      </w:r>
      <w:r>
        <w:rPr>
          <w:spacing w:val="-3"/>
        </w:rPr>
        <w:t xml:space="preserve"> </w:t>
      </w:r>
      <w:r>
        <w:t>reviewers</w:t>
      </w:r>
      <w:r>
        <w:rPr>
          <w:spacing w:val="-2"/>
        </w:rPr>
        <w:t xml:space="preserve"> </w:t>
      </w:r>
      <w:r>
        <w:t>regarding</w:t>
      </w:r>
      <w:r>
        <w:rPr>
          <w:spacing w:val="-3"/>
        </w:rPr>
        <w:t xml:space="preserve"> </w:t>
      </w:r>
      <w:r>
        <w:t>the submitted bids.</w:t>
      </w:r>
    </w:p>
    <w:p>
      <w:pPr>
        <w:pStyle w:val="BodyText"/>
        <w:spacing w:before="120"/>
      </w:pPr>
      <w:r>
        <w:t>Supporting</w:t>
      </w:r>
      <w:r>
        <w:rPr>
          <w:spacing w:val="-2"/>
        </w:rPr>
        <w:t xml:space="preserve"> </w:t>
      </w:r>
      <w:r>
        <w:t>documentation</w:t>
      </w:r>
      <w:r>
        <w:rPr>
          <w:spacing w:val="-1"/>
        </w:rPr>
        <w:t xml:space="preserve"> </w:t>
      </w:r>
      <w:r>
        <w:rPr>
          <w:spacing w:val="-4"/>
        </w:rPr>
        <w:t>must—</w:t>
      </w:r>
    </w:p>
    <w:p>
      <w:pPr>
        <w:pStyle w:val="ListParagraph"/>
        <w:numPr>
          <w:ilvl w:val="1"/>
          <w:numId w:val="37"/>
        </w:numPr>
        <w:tabs>
          <w:tab w:val="left" w:pos="1584"/>
        </w:tabs>
        <w:spacing w:before="120" w:after="0" w:line="240" w:lineRule="auto"/>
        <w:ind w:left="1584" w:right="0" w:hanging="360"/>
        <w:jc w:val="left"/>
        <w:rPr>
          <w:sz w:val="24"/>
        </w:rPr>
      </w:pPr>
      <w:r>
        <w:rPr>
          <w:sz w:val="24"/>
        </w:rPr>
        <w:t>Be</w:t>
      </w:r>
      <w:r>
        <w:rPr>
          <w:spacing w:val="-2"/>
          <w:sz w:val="24"/>
        </w:rPr>
        <w:t xml:space="preserve"> </w:t>
      </w:r>
      <w:r>
        <w:rPr>
          <w:sz w:val="24"/>
        </w:rPr>
        <w:t>clearly</w:t>
      </w:r>
      <w:r>
        <w:rPr>
          <w:spacing w:val="-2"/>
          <w:sz w:val="24"/>
        </w:rPr>
        <w:t xml:space="preserve"> </w:t>
      </w:r>
      <w:r>
        <w:rPr>
          <w:sz w:val="24"/>
        </w:rPr>
        <w:t>labeled and</w:t>
      </w:r>
      <w:r>
        <w:rPr>
          <w:spacing w:val="1"/>
          <w:sz w:val="24"/>
        </w:rPr>
        <w:t xml:space="preserve"> </w:t>
      </w:r>
      <w:r>
        <w:rPr>
          <w:sz w:val="24"/>
        </w:rPr>
        <w:t>easily</w:t>
      </w:r>
      <w:r>
        <w:rPr>
          <w:spacing w:val="-1"/>
          <w:sz w:val="24"/>
        </w:rPr>
        <w:t xml:space="preserve"> </w:t>
      </w:r>
      <w:r>
        <w:rPr>
          <w:sz w:val="24"/>
        </w:rPr>
        <w:t>understood by</w:t>
      </w:r>
      <w:r>
        <w:rPr>
          <w:spacing w:val="-1"/>
          <w:sz w:val="24"/>
        </w:rPr>
        <w:t xml:space="preserve"> </w:t>
      </w:r>
      <w:r>
        <w:rPr>
          <w:sz w:val="24"/>
        </w:rPr>
        <w:t>CMS</w:t>
      </w:r>
      <w:r>
        <w:rPr>
          <w:spacing w:val="-2"/>
          <w:sz w:val="24"/>
        </w:rPr>
        <w:t xml:space="preserve"> reviewers.</w:t>
      </w:r>
    </w:p>
    <w:p>
      <w:pPr>
        <w:pStyle w:val="ListParagraph"/>
        <w:numPr>
          <w:ilvl w:val="1"/>
          <w:numId w:val="37"/>
        </w:numPr>
        <w:tabs>
          <w:tab w:val="left" w:pos="1584"/>
        </w:tabs>
        <w:spacing w:before="0" w:after="0" w:line="240" w:lineRule="auto"/>
        <w:ind w:left="1584" w:right="1480" w:hanging="360"/>
        <w:jc w:val="left"/>
        <w:rPr>
          <w:sz w:val="24"/>
        </w:rPr>
      </w:pPr>
      <w:r>
        <w:rPr>
          <w:sz w:val="24"/>
        </w:rPr>
        <w:t>Explain</w:t>
      </w:r>
      <w:r>
        <w:rPr>
          <w:spacing w:val="-4"/>
          <w:sz w:val="24"/>
        </w:rPr>
        <w:t xml:space="preserve"> </w:t>
      </w:r>
      <w:r>
        <w:rPr>
          <w:sz w:val="24"/>
        </w:rPr>
        <w:t>the</w:t>
      </w:r>
      <w:r>
        <w:rPr>
          <w:spacing w:val="-5"/>
          <w:sz w:val="24"/>
        </w:rPr>
        <w:t xml:space="preserve"> </w:t>
      </w:r>
      <w:r>
        <w:rPr>
          <w:sz w:val="24"/>
        </w:rPr>
        <w:t>rationale</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assumptions,</w:t>
      </w:r>
      <w:r>
        <w:rPr>
          <w:spacing w:val="-4"/>
          <w:sz w:val="24"/>
        </w:rPr>
        <w:t xml:space="preserve"> </w:t>
      </w:r>
      <w:r>
        <w:rPr>
          <w:sz w:val="24"/>
        </w:rPr>
        <w:t>including</w:t>
      </w:r>
      <w:r>
        <w:rPr>
          <w:spacing w:val="-4"/>
          <w:sz w:val="24"/>
        </w:rPr>
        <w:t xml:space="preserve"> </w:t>
      </w:r>
      <w:r>
        <w:rPr>
          <w:sz w:val="24"/>
        </w:rPr>
        <w:t>quantitative</w:t>
      </w:r>
      <w:r>
        <w:rPr>
          <w:spacing w:val="-4"/>
          <w:sz w:val="24"/>
        </w:rPr>
        <w:t xml:space="preserve"> </w:t>
      </w:r>
      <w:r>
        <w:rPr>
          <w:sz w:val="24"/>
        </w:rPr>
        <w:t>support</w:t>
      </w:r>
      <w:r>
        <w:rPr>
          <w:spacing w:val="-4"/>
          <w:sz w:val="24"/>
        </w:rPr>
        <w:t xml:space="preserve"> </w:t>
      </w:r>
      <w:r>
        <w:rPr>
          <w:sz w:val="24"/>
        </w:rPr>
        <w:t>and</w:t>
      </w:r>
      <w:r>
        <w:rPr>
          <w:spacing w:val="-4"/>
          <w:sz w:val="24"/>
        </w:rPr>
        <w:t xml:space="preserve"> </w:t>
      </w:r>
      <w:r>
        <w:rPr>
          <w:sz w:val="24"/>
        </w:rPr>
        <w:t>details, rather than just provide narrative descriptions of assumptions.</w:t>
      </w:r>
    </w:p>
    <w:p>
      <w:pPr>
        <w:pStyle w:val="ListParagraph"/>
        <w:numPr>
          <w:ilvl w:val="1"/>
          <w:numId w:val="37"/>
        </w:numPr>
        <w:tabs>
          <w:tab w:val="left" w:pos="1584"/>
        </w:tabs>
        <w:spacing w:before="0" w:after="0" w:line="240" w:lineRule="auto"/>
        <w:ind w:left="1584" w:right="1947" w:hanging="360"/>
        <w:jc w:val="left"/>
        <w:rPr>
          <w:sz w:val="24"/>
        </w:rPr>
      </w:pPr>
      <w:r>
        <w:rPr>
          <w:sz w:val="24"/>
        </w:rPr>
        <w:t>Describe</w:t>
      </w:r>
      <w:r>
        <w:rPr>
          <w:spacing w:val="-6"/>
          <w:sz w:val="24"/>
        </w:rPr>
        <w:t xml:space="preserve"> </w:t>
      </w:r>
      <w:r>
        <w:rPr>
          <w:sz w:val="24"/>
        </w:rPr>
        <w:t>bid-specific</w:t>
      </w:r>
      <w:r>
        <w:rPr>
          <w:spacing w:val="-5"/>
          <w:sz w:val="24"/>
        </w:rPr>
        <w:t xml:space="preserve"> </w:t>
      </w:r>
      <w:r>
        <w:rPr>
          <w:sz w:val="24"/>
        </w:rPr>
        <w:t>variations</w:t>
      </w:r>
      <w:r>
        <w:rPr>
          <w:spacing w:val="-4"/>
          <w:sz w:val="24"/>
        </w:rPr>
        <w:t xml:space="preserve"> </w:t>
      </w:r>
      <w:r>
        <w:rPr>
          <w:sz w:val="24"/>
        </w:rPr>
        <w:t>in</w:t>
      </w:r>
      <w:r>
        <w:rPr>
          <w:spacing w:val="-4"/>
          <w:sz w:val="24"/>
        </w:rPr>
        <w:t xml:space="preserve"> </w:t>
      </w:r>
      <w:r>
        <w:rPr>
          <w:sz w:val="24"/>
        </w:rPr>
        <w:t>addition</w:t>
      </w:r>
      <w:r>
        <w:rPr>
          <w:spacing w:val="-4"/>
          <w:sz w:val="24"/>
        </w:rPr>
        <w:t xml:space="preserve"> </w:t>
      </w:r>
      <w:r>
        <w:rPr>
          <w:sz w:val="24"/>
        </w:rPr>
        <w:t>to</w:t>
      </w:r>
      <w:r>
        <w:rPr>
          <w:spacing w:val="-2"/>
          <w:sz w:val="24"/>
        </w:rPr>
        <w:t xml:space="preserve"> </w:t>
      </w:r>
      <w:r>
        <w:rPr>
          <w:sz w:val="24"/>
        </w:rPr>
        <w:t>the</w:t>
      </w:r>
      <w:r>
        <w:rPr>
          <w:spacing w:val="-7"/>
          <w:sz w:val="24"/>
        </w:rPr>
        <w:t xml:space="preserve"> </w:t>
      </w:r>
      <w:r>
        <w:rPr>
          <w:sz w:val="24"/>
        </w:rPr>
        <w:t>overall</w:t>
      </w:r>
      <w:r>
        <w:rPr>
          <w:spacing w:val="-4"/>
          <w:sz w:val="24"/>
        </w:rPr>
        <w:t xml:space="preserve"> </w:t>
      </w:r>
      <w:r>
        <w:rPr>
          <w:sz w:val="24"/>
        </w:rPr>
        <w:t>pricing</w:t>
      </w:r>
      <w:r>
        <w:rPr>
          <w:spacing w:val="-4"/>
          <w:sz w:val="24"/>
        </w:rPr>
        <w:t xml:space="preserve"> </w:t>
      </w:r>
      <w:r>
        <w:rPr>
          <w:sz w:val="24"/>
        </w:rPr>
        <w:t>assumption</w:t>
      </w:r>
      <w:r>
        <w:rPr>
          <w:spacing w:val="-4"/>
          <w:sz w:val="24"/>
        </w:rPr>
        <w:t xml:space="preserve"> </w:t>
      </w:r>
      <w:r>
        <w:rPr>
          <w:sz w:val="24"/>
        </w:rPr>
        <w:t xml:space="preserve">or </w:t>
      </w:r>
      <w:r>
        <w:rPr>
          <w:spacing w:val="-2"/>
          <w:sz w:val="24"/>
        </w:rPr>
        <w:t>methodology.</w:t>
      </w:r>
    </w:p>
    <w:p>
      <w:pPr>
        <w:pStyle w:val="ListParagraph"/>
        <w:numPr>
          <w:ilvl w:val="1"/>
          <w:numId w:val="37"/>
        </w:numPr>
        <w:tabs>
          <w:tab w:val="left" w:pos="1584"/>
        </w:tabs>
        <w:spacing w:before="0" w:after="0" w:line="240" w:lineRule="auto"/>
        <w:ind w:left="1584" w:right="0" w:hanging="360"/>
        <w:jc w:val="left"/>
        <w:rPr>
          <w:sz w:val="24"/>
        </w:rPr>
      </w:pPr>
      <w:r>
        <w:rPr>
          <w:sz w:val="24"/>
        </w:rPr>
        <w:t>Match</w:t>
      </w:r>
      <w:r>
        <w:rPr>
          <w:spacing w:val="-1"/>
          <w:sz w:val="24"/>
        </w:rPr>
        <w:t xml:space="preserve"> </w:t>
      </w:r>
      <w:r>
        <w:rPr>
          <w:sz w:val="24"/>
        </w:rPr>
        <w:t>the</w:t>
      </w:r>
      <w:r>
        <w:rPr>
          <w:spacing w:val="-2"/>
          <w:sz w:val="24"/>
        </w:rPr>
        <w:t xml:space="preserve"> </w:t>
      </w:r>
      <w:r>
        <w:rPr>
          <w:sz w:val="24"/>
        </w:rPr>
        <w:t>values entered</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current</w:t>
      </w:r>
      <w:r>
        <w:rPr>
          <w:spacing w:val="-1"/>
          <w:sz w:val="24"/>
        </w:rPr>
        <w:t xml:space="preserve"> </w:t>
      </w:r>
      <w:r>
        <w:rPr>
          <w:sz w:val="24"/>
        </w:rPr>
        <w:t>BPT</w:t>
      </w:r>
      <w:r>
        <w:rPr>
          <w:spacing w:val="-1"/>
          <w:sz w:val="24"/>
        </w:rPr>
        <w:t xml:space="preserve"> </w:t>
      </w:r>
      <w:r>
        <w:rPr>
          <w:sz w:val="24"/>
        </w:rPr>
        <w:t>and</w:t>
      </w:r>
      <w:r>
        <w:rPr>
          <w:spacing w:val="-1"/>
          <w:sz w:val="24"/>
        </w:rPr>
        <w:t xml:space="preserve"> </w:t>
      </w:r>
      <w:r>
        <w:rPr>
          <w:sz w:val="24"/>
        </w:rPr>
        <w:t>tie</w:t>
      </w:r>
      <w:r>
        <w:rPr>
          <w:spacing w:val="-2"/>
          <w:sz w:val="24"/>
        </w:rPr>
        <w:t xml:space="preserve"> </w:t>
      </w:r>
      <w:r>
        <w:rPr>
          <w:sz w:val="24"/>
        </w:rPr>
        <w:t>to</w:t>
      </w:r>
      <w:r>
        <w:rPr>
          <w:spacing w:val="-1"/>
          <w:sz w:val="24"/>
        </w:rPr>
        <w:t xml:space="preserve"> </w:t>
      </w:r>
      <w:r>
        <w:rPr>
          <w:sz w:val="24"/>
        </w:rPr>
        <w:t xml:space="preserve">the </w:t>
      </w:r>
      <w:r>
        <w:rPr>
          <w:spacing w:val="-4"/>
          <w:sz w:val="24"/>
        </w:rPr>
        <w:t>PBP.</w:t>
      </w:r>
    </w:p>
    <w:p>
      <w:pPr>
        <w:pStyle w:val="ListParagraph"/>
        <w:numPr>
          <w:ilvl w:val="1"/>
          <w:numId w:val="37"/>
        </w:numPr>
        <w:tabs>
          <w:tab w:val="left" w:pos="1584"/>
        </w:tabs>
        <w:spacing w:before="1" w:after="0" w:line="240" w:lineRule="auto"/>
        <w:ind w:left="1584" w:right="2075" w:hanging="360"/>
        <w:jc w:val="left"/>
        <w:rPr>
          <w:sz w:val="24"/>
        </w:rPr>
      </w:pPr>
      <w:r>
        <w:rPr>
          <w:sz w:val="24"/>
        </w:rPr>
        <w:t>Include</w:t>
      </w:r>
      <w:r>
        <w:rPr>
          <w:spacing w:val="-4"/>
          <w:sz w:val="24"/>
        </w:rPr>
        <w:t xml:space="preserve"> </w:t>
      </w:r>
      <w:r>
        <w:rPr>
          <w:sz w:val="24"/>
        </w:rPr>
        <w:t>Excel</w:t>
      </w:r>
      <w:r>
        <w:rPr>
          <w:spacing w:val="-4"/>
          <w:sz w:val="24"/>
        </w:rPr>
        <w:t xml:space="preserve"> </w:t>
      </w:r>
      <w:r>
        <w:rPr>
          <w:sz w:val="24"/>
        </w:rPr>
        <w:t>spreadsheets</w:t>
      </w:r>
      <w:r>
        <w:rPr>
          <w:spacing w:val="-3"/>
          <w:sz w:val="24"/>
        </w:rPr>
        <w:t xml:space="preserve"> </w:t>
      </w:r>
      <w:r>
        <w:rPr>
          <w:sz w:val="24"/>
        </w:rPr>
        <w:t>with</w:t>
      </w:r>
      <w:r>
        <w:rPr>
          <w:spacing w:val="-4"/>
          <w:sz w:val="24"/>
        </w:rPr>
        <w:t xml:space="preserve"> </w:t>
      </w:r>
      <w:r>
        <w:rPr>
          <w:sz w:val="24"/>
        </w:rPr>
        <w:t>working</w:t>
      </w:r>
      <w:r>
        <w:rPr>
          <w:spacing w:val="-4"/>
          <w:sz w:val="24"/>
        </w:rPr>
        <w:t xml:space="preserve"> </w:t>
      </w:r>
      <w:r>
        <w:rPr>
          <w:sz w:val="24"/>
        </w:rPr>
        <w:t>formulas,</w:t>
      </w:r>
      <w:r>
        <w:rPr>
          <w:spacing w:val="-4"/>
          <w:sz w:val="24"/>
        </w:rPr>
        <w:t xml:space="preserve"> </w:t>
      </w:r>
      <w:r>
        <w:rPr>
          <w:sz w:val="24"/>
        </w:rPr>
        <w:t>rather</w:t>
      </w:r>
      <w:r>
        <w:rPr>
          <w:spacing w:val="-6"/>
          <w:sz w:val="24"/>
        </w:rPr>
        <w:t xml:space="preserve"> </w:t>
      </w:r>
      <w:r>
        <w:rPr>
          <w:sz w:val="24"/>
        </w:rPr>
        <w:t>than</w:t>
      </w:r>
      <w:r>
        <w:rPr>
          <w:spacing w:val="-4"/>
          <w:sz w:val="24"/>
        </w:rPr>
        <w:t xml:space="preserve"> </w:t>
      </w:r>
      <w:r>
        <w:rPr>
          <w:sz w:val="24"/>
        </w:rPr>
        <w:t>pdf</w:t>
      </w:r>
      <w:r>
        <w:rPr>
          <w:spacing w:val="-4"/>
          <w:sz w:val="24"/>
        </w:rPr>
        <w:t xml:space="preserve"> </w:t>
      </w:r>
      <w:r>
        <w:rPr>
          <w:sz w:val="24"/>
        </w:rPr>
        <w:t>files,</w:t>
      </w:r>
      <w:r>
        <w:rPr>
          <w:spacing w:val="-4"/>
          <w:sz w:val="24"/>
        </w:rPr>
        <w:t xml:space="preserve"> </w:t>
      </w:r>
      <w:r>
        <w:rPr>
          <w:sz w:val="24"/>
        </w:rPr>
        <w:t>and</w:t>
      </w:r>
      <w:r>
        <w:rPr>
          <w:spacing w:val="-4"/>
          <w:sz w:val="24"/>
        </w:rPr>
        <w:t xml:space="preserve"> </w:t>
      </w:r>
      <w:r>
        <w:rPr>
          <w:sz w:val="24"/>
        </w:rPr>
        <w:t>a narrative explanation of the inputs and the calculations and their components.</w:t>
      </w:r>
    </w:p>
    <w:p>
      <w:pPr>
        <w:pStyle w:val="ListParagraph"/>
        <w:numPr>
          <w:ilvl w:val="1"/>
          <w:numId w:val="37"/>
        </w:numPr>
        <w:tabs>
          <w:tab w:val="left" w:pos="1584"/>
        </w:tabs>
        <w:spacing w:before="0" w:after="0" w:line="240" w:lineRule="auto"/>
        <w:ind w:left="1584" w:right="0" w:hanging="360"/>
        <w:jc w:val="left"/>
        <w:rPr>
          <w:sz w:val="24"/>
        </w:rPr>
      </w:pPr>
      <w:r>
        <w:rPr>
          <w:sz w:val="24"/>
        </w:rPr>
        <w:t>Clearly</w:t>
      </w:r>
      <w:r>
        <w:rPr>
          <w:spacing w:val="-1"/>
          <w:sz w:val="24"/>
        </w:rPr>
        <w:t xml:space="preserve"> </w:t>
      </w:r>
      <w:r>
        <w:rPr>
          <w:sz w:val="24"/>
        </w:rPr>
        <w:t>identify</w:t>
      </w:r>
      <w:r>
        <w:rPr>
          <w:spacing w:val="-1"/>
          <w:sz w:val="24"/>
        </w:rPr>
        <w:t xml:space="preserve"> </w:t>
      </w:r>
      <w:r>
        <w:rPr>
          <w:sz w:val="24"/>
        </w:rPr>
        <w:t>if</w:t>
      </w:r>
      <w:r>
        <w:rPr>
          <w:spacing w:val="-2"/>
          <w:sz w:val="24"/>
        </w:rPr>
        <w:t xml:space="preserve"> </w:t>
      </w:r>
      <w:r>
        <w:rPr>
          <w:sz w:val="24"/>
        </w:rPr>
        <w:t>it</w:t>
      </w:r>
      <w:r>
        <w:rPr>
          <w:spacing w:val="-1"/>
          <w:sz w:val="24"/>
        </w:rPr>
        <w:t xml:space="preserve"> </w:t>
      </w:r>
      <w:r>
        <w:rPr>
          <w:sz w:val="24"/>
        </w:rPr>
        <w:t>is related</w:t>
      </w:r>
      <w:r>
        <w:rPr>
          <w:spacing w:val="-1"/>
          <w:sz w:val="24"/>
        </w:rPr>
        <w:t xml:space="preserve"> </w:t>
      </w:r>
      <w:r>
        <w:rPr>
          <w:sz w:val="24"/>
        </w:rPr>
        <w:t>to</w:t>
      </w:r>
      <w:r>
        <w:rPr>
          <w:spacing w:val="-1"/>
          <w:sz w:val="24"/>
        </w:rPr>
        <w:t xml:space="preserve"> </w:t>
      </w:r>
      <w:r>
        <w:rPr>
          <w:sz w:val="24"/>
        </w:rPr>
        <w:t>MA,</w:t>
      </w:r>
      <w:r>
        <w:rPr>
          <w:spacing w:val="-1"/>
          <w:sz w:val="24"/>
        </w:rPr>
        <w:t xml:space="preserve"> </w:t>
      </w:r>
      <w:r>
        <w:rPr>
          <w:sz w:val="24"/>
        </w:rPr>
        <w:t>Part</w:t>
      </w:r>
      <w:r>
        <w:rPr>
          <w:spacing w:val="-1"/>
          <w:sz w:val="24"/>
        </w:rPr>
        <w:t xml:space="preserve"> </w:t>
      </w:r>
      <w:r>
        <w:rPr>
          <w:sz w:val="24"/>
        </w:rPr>
        <w:t>D,</w:t>
      </w:r>
      <w:r>
        <w:rPr>
          <w:spacing w:val="-1"/>
          <w:sz w:val="24"/>
        </w:rPr>
        <w:t xml:space="preserve"> </w:t>
      </w:r>
      <w:r>
        <w:rPr>
          <w:sz w:val="24"/>
        </w:rPr>
        <w:t xml:space="preserve">or </w:t>
      </w:r>
      <w:r>
        <w:rPr>
          <w:spacing w:val="-2"/>
          <w:sz w:val="24"/>
        </w:rPr>
        <w:t>both.</w:t>
      </w:r>
    </w:p>
    <w:p>
      <w:pPr>
        <w:pStyle w:val="ListParagraph"/>
        <w:numPr>
          <w:ilvl w:val="1"/>
          <w:numId w:val="37"/>
        </w:numPr>
        <w:tabs>
          <w:tab w:val="left" w:pos="1584"/>
        </w:tabs>
        <w:spacing w:before="0" w:after="0" w:line="240" w:lineRule="auto"/>
        <w:ind w:left="1584" w:right="1454" w:hanging="360"/>
        <w:jc w:val="left"/>
        <w:rPr>
          <w:sz w:val="24"/>
        </w:rPr>
      </w:pPr>
      <w:r>
        <w:rPr>
          <w:sz w:val="24"/>
        </w:rPr>
        <w:t>Clearly identify the bid(s) relating to the support. At a minimum, the contract number</w:t>
      </w:r>
      <w:r>
        <w:rPr>
          <w:spacing w:val="-5"/>
          <w:sz w:val="24"/>
        </w:rPr>
        <w:t xml:space="preserve"> </w:t>
      </w:r>
      <w:r>
        <w:rPr>
          <w:sz w:val="24"/>
        </w:rPr>
        <w:t>and</w:t>
      </w:r>
      <w:r>
        <w:rPr>
          <w:spacing w:val="-4"/>
          <w:sz w:val="24"/>
        </w:rPr>
        <w:t xml:space="preserve"> </w:t>
      </w:r>
      <w:r>
        <w:rPr>
          <w:sz w:val="24"/>
        </w:rPr>
        <w:t>organization</w:t>
      </w:r>
      <w:r>
        <w:rPr>
          <w:spacing w:val="-2"/>
          <w:sz w:val="24"/>
        </w:rPr>
        <w:t xml:space="preserve"> </w:t>
      </w:r>
      <w:r>
        <w:rPr>
          <w:sz w:val="24"/>
        </w:rPr>
        <w:t>name</w:t>
      </w:r>
      <w:r>
        <w:rPr>
          <w:spacing w:val="-4"/>
          <w:sz w:val="24"/>
        </w:rPr>
        <w:t xml:space="preserve"> </w:t>
      </w:r>
      <w:r>
        <w:rPr>
          <w:sz w:val="24"/>
        </w:rPr>
        <w:t>must</w:t>
      </w:r>
      <w:r>
        <w:rPr>
          <w:spacing w:val="-4"/>
          <w:sz w:val="24"/>
        </w:rPr>
        <w:t xml:space="preserve"> </w:t>
      </w:r>
      <w:r>
        <w:rPr>
          <w:sz w:val="24"/>
        </w:rPr>
        <w:t>appear</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first</w:t>
      </w:r>
      <w:r>
        <w:rPr>
          <w:spacing w:val="-4"/>
          <w:sz w:val="24"/>
        </w:rPr>
        <w:t xml:space="preserve"> </w:t>
      </w:r>
      <w:r>
        <w:rPr>
          <w:sz w:val="24"/>
        </w:rPr>
        <w:t>page.</w:t>
      </w:r>
      <w:r>
        <w:rPr>
          <w:spacing w:val="-4"/>
          <w:sz w:val="24"/>
        </w:rPr>
        <w:t xml:space="preserve"> </w:t>
      </w:r>
      <w:r>
        <w:rPr>
          <w:sz w:val="24"/>
        </w:rPr>
        <w:t>Specific</w:t>
      </w:r>
      <w:r>
        <w:rPr>
          <w:spacing w:val="-4"/>
          <w:sz w:val="24"/>
        </w:rPr>
        <w:t xml:space="preserve"> </w:t>
      </w:r>
      <w:r>
        <w:rPr>
          <w:sz w:val="24"/>
        </w:rPr>
        <w:t>Contract-Plan ID-Segment ID(s) must be included where appropriate, such as on the first page, in</w:t>
      </w:r>
      <w:r>
        <w:rPr>
          <w:spacing w:val="40"/>
          <w:sz w:val="24"/>
        </w:rPr>
        <w:t xml:space="preserve"> </w:t>
      </w:r>
      <w:r>
        <w:rPr>
          <w:sz w:val="24"/>
        </w:rPr>
        <w:t>a separate chart, or as an attachment.</w:t>
      </w:r>
    </w:p>
    <w:p>
      <w:pPr>
        <w:pStyle w:val="ListParagraph"/>
        <w:numPr>
          <w:ilvl w:val="1"/>
          <w:numId w:val="37"/>
        </w:numPr>
        <w:tabs>
          <w:tab w:val="left" w:pos="1584"/>
        </w:tabs>
        <w:spacing w:before="0" w:after="0" w:line="240" w:lineRule="auto"/>
        <w:ind w:left="1584" w:right="0" w:hanging="360"/>
        <w:jc w:val="left"/>
        <w:rPr>
          <w:sz w:val="24"/>
        </w:rPr>
      </w:pPr>
      <w:r>
        <w:rPr>
          <w:sz w:val="24"/>
        </w:rPr>
        <w:t>Include</w:t>
      </w:r>
      <w:r>
        <w:rPr>
          <w:spacing w:val="-4"/>
          <w:sz w:val="24"/>
        </w:rPr>
        <w:t xml:space="preserve"> </w:t>
      </w:r>
      <w:r>
        <w:rPr>
          <w:sz w:val="24"/>
        </w:rPr>
        <w:t>a</w:t>
      </w:r>
      <w:r>
        <w:rPr>
          <w:spacing w:val="-2"/>
          <w:sz w:val="24"/>
        </w:rPr>
        <w:t xml:space="preserve"> </w:t>
      </w:r>
      <w:r>
        <w:rPr>
          <w:sz w:val="24"/>
        </w:rPr>
        <w:t>hard-coded</w:t>
      </w:r>
      <w:r>
        <w:rPr>
          <w:spacing w:val="-1"/>
          <w:sz w:val="24"/>
        </w:rPr>
        <w:t xml:space="preserve"> </w:t>
      </w:r>
      <w:r>
        <w:rPr>
          <w:spacing w:val="-4"/>
          <w:sz w:val="24"/>
        </w:rPr>
        <w:t>date.</w:t>
      </w:r>
    </w:p>
    <w:p>
      <w:pPr>
        <w:pStyle w:val="ListParagraph"/>
        <w:numPr>
          <w:ilvl w:val="1"/>
          <w:numId w:val="37"/>
        </w:numPr>
        <w:tabs>
          <w:tab w:val="left" w:pos="1584"/>
        </w:tabs>
        <w:spacing w:before="0" w:after="0" w:line="240" w:lineRule="auto"/>
        <w:ind w:left="1584" w:right="1886" w:hanging="360"/>
        <w:jc w:val="left"/>
        <w:rPr>
          <w:sz w:val="24"/>
        </w:rPr>
      </w:pPr>
      <w:r>
        <w:rPr>
          <w:sz w:val="24"/>
        </w:rPr>
        <w:t>Include</w:t>
      </w:r>
      <w:r>
        <w:rPr>
          <w:spacing w:val="-3"/>
          <w:sz w:val="24"/>
        </w:rPr>
        <w:t xml:space="preserve"> </w:t>
      </w:r>
      <w:r>
        <w:rPr>
          <w:sz w:val="24"/>
        </w:rPr>
        <w:t>the</w:t>
      </w:r>
      <w:r>
        <w:rPr>
          <w:spacing w:val="-4"/>
          <w:sz w:val="24"/>
        </w:rPr>
        <w:t xml:space="preserve"> </w:t>
      </w:r>
      <w:r>
        <w:rPr>
          <w:sz w:val="24"/>
        </w:rPr>
        <w:t>Contract-Plan</w:t>
      </w:r>
      <w:r>
        <w:rPr>
          <w:spacing w:val="-3"/>
          <w:sz w:val="24"/>
        </w:rPr>
        <w:t xml:space="preserve"> </w:t>
      </w:r>
      <w:r>
        <w:rPr>
          <w:sz w:val="24"/>
        </w:rPr>
        <w:t>ID</w:t>
      </w:r>
      <w:r>
        <w:rPr>
          <w:spacing w:val="-5"/>
          <w:sz w:val="24"/>
        </w:rPr>
        <w:t xml:space="preserve"> </w:t>
      </w:r>
      <w:r>
        <w:rPr>
          <w:sz w:val="24"/>
        </w:rPr>
        <w:t>(or</w:t>
      </w:r>
      <w:r>
        <w:rPr>
          <w:spacing w:val="-3"/>
          <w:sz w:val="24"/>
        </w:rPr>
        <w:t xml:space="preserve"> </w:t>
      </w:r>
      <w:r>
        <w:rPr>
          <w:sz w:val="24"/>
        </w:rPr>
        <w:t>organization</w:t>
      </w:r>
      <w:r>
        <w:rPr>
          <w:spacing w:val="-3"/>
          <w:sz w:val="24"/>
        </w:rPr>
        <w:t xml:space="preserve"> </w:t>
      </w:r>
      <w:r>
        <w:rPr>
          <w:sz w:val="24"/>
        </w:rPr>
        <w:t>name)</w:t>
      </w:r>
      <w:r>
        <w:rPr>
          <w:spacing w:val="-4"/>
          <w:sz w:val="24"/>
        </w:rPr>
        <w:t xml:space="preserve"> </w:t>
      </w:r>
      <w:r>
        <w:rPr>
          <w:sz w:val="24"/>
        </w:rPr>
        <w:t>and</w:t>
      </w:r>
      <w:r>
        <w:rPr>
          <w:spacing w:val="-3"/>
          <w:sz w:val="24"/>
        </w:rPr>
        <w:t xml:space="preserve"> </w:t>
      </w:r>
      <w:r>
        <w:rPr>
          <w:sz w:val="24"/>
        </w:rPr>
        <w:t>brief</w:t>
      </w:r>
      <w:r>
        <w:rPr>
          <w:spacing w:val="-3"/>
          <w:sz w:val="24"/>
        </w:rPr>
        <w:t xml:space="preserve"> </w:t>
      </w:r>
      <w:r>
        <w:rPr>
          <w:sz w:val="24"/>
        </w:rPr>
        <w:t>description</w:t>
      </w:r>
      <w:r>
        <w:rPr>
          <w:spacing w:val="-2"/>
          <w:sz w:val="24"/>
        </w:rPr>
        <w:t xml:space="preserve"> </w:t>
      </w:r>
      <w:r>
        <w:rPr>
          <w:sz w:val="24"/>
        </w:rPr>
        <w:t>in</w:t>
      </w:r>
      <w:r>
        <w:rPr>
          <w:spacing w:val="-3"/>
          <w:sz w:val="24"/>
        </w:rPr>
        <w:t xml:space="preserve"> </w:t>
      </w:r>
      <w:r>
        <w:rPr>
          <w:sz w:val="24"/>
        </w:rPr>
        <w:t>the beginning of the file name.</w:t>
      </w:r>
    </w:p>
    <w:p>
      <w:pPr>
        <w:pStyle w:val="ListParagraph"/>
        <w:spacing w:after="0" w:line="240" w:lineRule="auto"/>
        <w:jc w:val="left"/>
        <w:rPr>
          <w:sz w:val="24"/>
        </w:rPr>
        <w:sectPr>
          <w:headerReference w:type="default" r:id="rId43"/>
          <w:footerReference w:type="default" r:id="rId44"/>
          <w:pgSz w:w="12240" w:h="15840"/>
          <w:pgMar w:top="960" w:right="0" w:bottom="940" w:left="1080" w:header="727" w:footer="747"/>
          <w:cols w:space="720"/>
        </w:sectPr>
      </w:pPr>
    </w:p>
    <w:p>
      <w:pPr>
        <w:pStyle w:val="BodyText"/>
        <w:spacing w:before="190"/>
        <w:ind w:left="0"/>
      </w:pPr>
    </w:p>
    <w:p>
      <w:pPr>
        <w:pStyle w:val="BodyText"/>
        <w:ind w:right="1481"/>
      </w:pPr>
      <w:r>
        <w:t>Acceptable</w:t>
      </w:r>
      <w:r>
        <w:rPr>
          <w:spacing w:val="-4"/>
        </w:rPr>
        <w:t xml:space="preserve"> </w:t>
      </w:r>
      <w:r>
        <w:t>forms</w:t>
      </w:r>
      <w:r>
        <w:rPr>
          <w:spacing w:val="-4"/>
        </w:rPr>
        <w:t xml:space="preserve"> </w:t>
      </w:r>
      <w:r>
        <w:t>of</w:t>
      </w:r>
      <w:r>
        <w:rPr>
          <w:spacing w:val="-4"/>
        </w:rPr>
        <w:t xml:space="preserve"> </w:t>
      </w:r>
      <w:r>
        <w:t>supporting</w:t>
      </w:r>
      <w:r>
        <w:rPr>
          <w:spacing w:val="-4"/>
        </w:rPr>
        <w:t xml:space="preserve"> </w:t>
      </w:r>
      <w:r>
        <w:t>documentation</w:t>
      </w:r>
      <w:r>
        <w:rPr>
          <w:spacing w:val="-4"/>
        </w:rPr>
        <w:t xml:space="preserve"> </w:t>
      </w:r>
      <w:r>
        <w:t>include,</w:t>
      </w:r>
      <w:r>
        <w:rPr>
          <w:spacing w:val="-4"/>
        </w:rPr>
        <w:t xml:space="preserve"> </w:t>
      </w:r>
      <w:r>
        <w:t>but</w:t>
      </w:r>
      <w:r>
        <w:rPr>
          <w:spacing w:val="-4"/>
        </w:rPr>
        <w:t xml:space="preserve"> </w:t>
      </w:r>
      <w:r>
        <w:t>are</w:t>
      </w:r>
      <w:r>
        <w:rPr>
          <w:spacing w:val="-4"/>
        </w:rPr>
        <w:t xml:space="preserve"> </w:t>
      </w:r>
      <w:r>
        <w:t>not</w:t>
      </w:r>
      <w:r>
        <w:rPr>
          <w:spacing w:val="-4"/>
        </w:rPr>
        <w:t xml:space="preserve"> </w:t>
      </w:r>
      <w:r>
        <w:t>limited</w:t>
      </w:r>
      <w:r>
        <w:rPr>
          <w:spacing w:val="-2"/>
        </w:rPr>
        <w:t xml:space="preserve"> </w:t>
      </w:r>
      <w:r>
        <w:t>to,</w:t>
      </w:r>
      <w:r>
        <w:rPr>
          <w:spacing w:val="-4"/>
        </w:rPr>
        <w:t xml:space="preserve"> </w:t>
      </w:r>
      <w:r>
        <w:t>the</w:t>
      </w:r>
      <w:r>
        <w:rPr>
          <w:spacing w:val="-4"/>
        </w:rPr>
        <w:t xml:space="preserve"> </w:t>
      </w:r>
      <w:r>
        <w:t xml:space="preserve">following </w:t>
      </w:r>
      <w:r>
        <w:rPr>
          <w:spacing w:val="-2"/>
        </w:rPr>
        <w:t>items:</w:t>
      </w:r>
    </w:p>
    <w:p>
      <w:pPr>
        <w:pStyle w:val="ListParagraph"/>
        <w:numPr>
          <w:ilvl w:val="1"/>
          <w:numId w:val="37"/>
        </w:numPr>
        <w:tabs>
          <w:tab w:val="left" w:pos="1584"/>
        </w:tabs>
        <w:spacing w:before="120" w:after="0" w:line="240" w:lineRule="auto"/>
        <w:ind w:left="1584" w:right="1642" w:hanging="360"/>
        <w:jc w:val="both"/>
        <w:rPr>
          <w:sz w:val="24"/>
        </w:rPr>
      </w:pPr>
      <w:r>
        <w:rPr>
          <w:sz w:val="24"/>
        </w:rPr>
        <w:t>Meeting</w:t>
      </w:r>
      <w:r>
        <w:rPr>
          <w:spacing w:val="-5"/>
          <w:sz w:val="24"/>
        </w:rPr>
        <w:t xml:space="preserve"> </w:t>
      </w:r>
      <w:r>
        <w:rPr>
          <w:sz w:val="24"/>
        </w:rPr>
        <w:t>minutes</w:t>
      </w:r>
      <w:r>
        <w:rPr>
          <w:spacing w:val="-5"/>
          <w:sz w:val="24"/>
        </w:rPr>
        <w:t xml:space="preserve"> </w:t>
      </w:r>
      <w:r>
        <w:rPr>
          <w:sz w:val="24"/>
        </w:rPr>
        <w:t>that</w:t>
      </w:r>
      <w:r>
        <w:rPr>
          <w:spacing w:val="-5"/>
          <w:sz w:val="24"/>
        </w:rPr>
        <w:t xml:space="preserve"> </w:t>
      </w:r>
      <w:r>
        <w:rPr>
          <w:sz w:val="24"/>
        </w:rPr>
        <w:t>include</w:t>
      </w:r>
      <w:r>
        <w:rPr>
          <w:spacing w:val="-6"/>
          <w:sz w:val="24"/>
        </w:rPr>
        <w:t xml:space="preserve"> </w:t>
      </w:r>
      <w:r>
        <w:rPr>
          <w:sz w:val="24"/>
        </w:rPr>
        <w:t>comprehensive</w:t>
      </w:r>
      <w:r>
        <w:rPr>
          <w:spacing w:val="-6"/>
          <w:sz w:val="24"/>
        </w:rPr>
        <w:t xml:space="preserve"> </w:t>
      </w:r>
      <w:r>
        <w:rPr>
          <w:sz w:val="24"/>
        </w:rPr>
        <w:t>documentation</w:t>
      </w:r>
      <w:r>
        <w:rPr>
          <w:spacing w:val="-5"/>
          <w:sz w:val="24"/>
        </w:rPr>
        <w:t xml:space="preserve"> </w:t>
      </w:r>
      <w:r>
        <w:rPr>
          <w:sz w:val="24"/>
        </w:rPr>
        <w:t>of</w:t>
      </w:r>
      <w:r>
        <w:rPr>
          <w:spacing w:val="-6"/>
          <w:sz w:val="24"/>
        </w:rPr>
        <w:t xml:space="preserve"> </w:t>
      </w:r>
      <w:r>
        <w:rPr>
          <w:sz w:val="24"/>
        </w:rPr>
        <w:t>discussions</w:t>
      </w:r>
      <w:r>
        <w:rPr>
          <w:spacing w:val="-6"/>
          <w:sz w:val="24"/>
        </w:rPr>
        <w:t xml:space="preserve"> </w:t>
      </w:r>
      <w:r>
        <w:rPr>
          <w:sz w:val="24"/>
        </w:rPr>
        <w:t>related to bid development.</w:t>
      </w:r>
    </w:p>
    <w:p>
      <w:pPr>
        <w:pStyle w:val="ListParagraph"/>
        <w:numPr>
          <w:ilvl w:val="1"/>
          <w:numId w:val="37"/>
        </w:numPr>
        <w:tabs>
          <w:tab w:val="left" w:pos="1584"/>
        </w:tabs>
        <w:spacing w:before="0" w:after="0" w:line="240" w:lineRule="auto"/>
        <w:ind w:left="1584" w:right="1575" w:hanging="360"/>
        <w:jc w:val="both"/>
        <w:rPr>
          <w:sz w:val="24"/>
        </w:rPr>
      </w:pPr>
      <w:r>
        <w:rPr>
          <w:sz w:val="24"/>
        </w:rPr>
        <w:t>A</w:t>
      </w:r>
      <w:r>
        <w:rPr>
          <w:spacing w:val="-5"/>
          <w:sz w:val="24"/>
        </w:rPr>
        <w:t xml:space="preserve"> </w:t>
      </w:r>
      <w:r>
        <w:rPr>
          <w:sz w:val="24"/>
        </w:rPr>
        <w:t>complete</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data</w:t>
      </w:r>
      <w:r>
        <w:rPr>
          <w:spacing w:val="-4"/>
          <w:sz w:val="24"/>
        </w:rPr>
        <w:t xml:space="preserve"> </w:t>
      </w:r>
      <w:r>
        <w:rPr>
          <w:sz w:val="24"/>
        </w:rPr>
        <w:t>sources—for</w:t>
      </w:r>
      <w:r>
        <w:rPr>
          <w:spacing w:val="-4"/>
          <w:sz w:val="24"/>
        </w:rPr>
        <w:t xml:space="preserve"> </w:t>
      </w:r>
      <w:r>
        <w:rPr>
          <w:sz w:val="24"/>
        </w:rPr>
        <w:t>example,</w:t>
      </w:r>
      <w:r>
        <w:rPr>
          <w:spacing w:val="-4"/>
          <w:sz w:val="24"/>
        </w:rPr>
        <w:t xml:space="preserve"> </w:t>
      </w:r>
      <w:r>
        <w:rPr>
          <w:sz w:val="24"/>
        </w:rPr>
        <w:t>a</w:t>
      </w:r>
      <w:r>
        <w:rPr>
          <w:spacing w:val="-6"/>
          <w:sz w:val="24"/>
        </w:rPr>
        <w:t xml:space="preserve"> </w:t>
      </w:r>
      <w:r>
        <w:rPr>
          <w:sz w:val="24"/>
        </w:rPr>
        <w:t>report’s</w:t>
      </w:r>
      <w:r>
        <w:rPr>
          <w:spacing w:val="-5"/>
          <w:sz w:val="24"/>
        </w:rPr>
        <w:t xml:space="preserve"> </w:t>
      </w:r>
      <w:r>
        <w:rPr>
          <w:sz w:val="24"/>
        </w:rPr>
        <w:t>official</w:t>
      </w:r>
      <w:r>
        <w:rPr>
          <w:spacing w:val="-4"/>
          <w:sz w:val="24"/>
        </w:rPr>
        <w:t xml:space="preserve"> </w:t>
      </w:r>
      <w:r>
        <w:rPr>
          <w:sz w:val="24"/>
        </w:rPr>
        <w:t>name/title, file</w:t>
      </w:r>
      <w:r>
        <w:rPr>
          <w:spacing w:val="-1"/>
          <w:sz w:val="24"/>
        </w:rPr>
        <w:t xml:space="preserve"> </w:t>
      </w:r>
      <w:r>
        <w:rPr>
          <w:sz w:val="24"/>
        </w:rPr>
        <w:t>name,</w:t>
      </w:r>
      <w:r>
        <w:rPr>
          <w:spacing w:val="-1"/>
          <w:sz w:val="24"/>
        </w:rPr>
        <w:t xml:space="preserve"> </w:t>
      </w:r>
      <w:r>
        <w:rPr>
          <w:sz w:val="24"/>
        </w:rPr>
        <w:t>the date</w:t>
      </w:r>
      <w:r>
        <w:rPr>
          <w:spacing w:val="-1"/>
          <w:sz w:val="24"/>
        </w:rPr>
        <w:t xml:space="preserve"> </w:t>
      </w:r>
      <w:r>
        <w:rPr>
          <w:sz w:val="24"/>
        </w:rPr>
        <w:t>obtained, a</w:t>
      </w:r>
      <w:r>
        <w:rPr>
          <w:spacing w:val="-1"/>
          <w:sz w:val="24"/>
        </w:rPr>
        <w:t xml:space="preserve"> </w:t>
      </w:r>
      <w:r>
        <w:rPr>
          <w:sz w:val="24"/>
        </w:rPr>
        <w:t>source</w:t>
      </w:r>
      <w:r>
        <w:rPr>
          <w:spacing w:val="-1"/>
          <w:sz w:val="24"/>
        </w:rPr>
        <w:t xml:space="preserve"> </w:t>
      </w:r>
      <w:r>
        <w:rPr>
          <w:sz w:val="24"/>
        </w:rPr>
        <w:t>file, the precise name of</w:t>
      </w:r>
      <w:r>
        <w:rPr>
          <w:spacing w:val="-2"/>
          <w:sz w:val="24"/>
        </w:rPr>
        <w:t xml:space="preserve"> </w:t>
      </w:r>
      <w:r>
        <w:rPr>
          <w:sz w:val="24"/>
        </w:rPr>
        <w:t>any published tables used, etc.</w:t>
      </w:r>
    </w:p>
    <w:p>
      <w:pPr>
        <w:pStyle w:val="ListParagraph"/>
        <w:numPr>
          <w:ilvl w:val="1"/>
          <w:numId w:val="37"/>
        </w:numPr>
        <w:tabs>
          <w:tab w:val="left" w:pos="1583"/>
        </w:tabs>
        <w:spacing w:before="0" w:after="0" w:line="240" w:lineRule="auto"/>
        <w:ind w:left="1583" w:right="0" w:hanging="359"/>
        <w:jc w:val="both"/>
        <w:rPr>
          <w:sz w:val="24"/>
        </w:rPr>
      </w:pPr>
      <w:r>
        <w:rPr>
          <w:sz w:val="24"/>
        </w:rPr>
        <w:t>Intermediate</w:t>
      </w:r>
      <w:r>
        <w:rPr>
          <w:spacing w:val="-3"/>
          <w:sz w:val="24"/>
        </w:rPr>
        <w:t xml:space="preserve"> </w:t>
      </w:r>
      <w:r>
        <w:rPr>
          <w:sz w:val="24"/>
        </w:rPr>
        <w:t>calculations showing</w:t>
      </w:r>
      <w:r>
        <w:rPr>
          <w:spacing w:val="-2"/>
          <w:sz w:val="24"/>
        </w:rPr>
        <w:t xml:space="preserve"> </w:t>
      </w:r>
      <w:r>
        <w:rPr>
          <w:sz w:val="24"/>
        </w:rPr>
        <w:t>each</w:t>
      </w:r>
      <w:r>
        <w:rPr>
          <w:spacing w:val="-2"/>
          <w:sz w:val="24"/>
        </w:rPr>
        <w:t xml:space="preserve"> </w:t>
      </w:r>
      <w:r>
        <w:rPr>
          <w:sz w:val="24"/>
        </w:rPr>
        <w:t>step</w:t>
      </w:r>
      <w:r>
        <w:rPr>
          <w:spacing w:val="-2"/>
          <w:sz w:val="24"/>
        </w:rPr>
        <w:t xml:space="preserve"> </w:t>
      </w:r>
      <w:r>
        <w:rPr>
          <w:sz w:val="24"/>
        </w:rPr>
        <w:t>taken to</w:t>
      </w:r>
      <w:r>
        <w:rPr>
          <w:spacing w:val="1"/>
          <w:sz w:val="24"/>
        </w:rPr>
        <w:t xml:space="preserve"> </w:t>
      </w:r>
      <w:r>
        <w:rPr>
          <w:sz w:val="24"/>
        </w:rPr>
        <w:t>develop</w:t>
      </w:r>
      <w:r>
        <w:rPr>
          <w:spacing w:val="-2"/>
          <w:sz w:val="24"/>
        </w:rPr>
        <w:t xml:space="preserve"> </w:t>
      </w:r>
      <w:r>
        <w:rPr>
          <w:sz w:val="24"/>
        </w:rPr>
        <w:t>an</w:t>
      </w:r>
      <w:r>
        <w:rPr>
          <w:spacing w:val="-1"/>
          <w:sz w:val="24"/>
        </w:rPr>
        <w:t xml:space="preserve"> </w:t>
      </w:r>
      <w:r>
        <w:rPr>
          <w:spacing w:val="-2"/>
          <w:sz w:val="24"/>
        </w:rPr>
        <w:t>assumption.</w:t>
      </w:r>
    </w:p>
    <w:p>
      <w:pPr>
        <w:pStyle w:val="ListParagraph"/>
        <w:numPr>
          <w:ilvl w:val="1"/>
          <w:numId w:val="37"/>
        </w:numPr>
        <w:tabs>
          <w:tab w:val="left" w:pos="1583"/>
        </w:tabs>
        <w:spacing w:before="0" w:after="0" w:line="240" w:lineRule="auto"/>
        <w:ind w:left="1583" w:right="0" w:hanging="359"/>
        <w:jc w:val="both"/>
        <w:rPr>
          <w:sz w:val="24"/>
        </w:rPr>
      </w:pPr>
      <w:r>
        <w:rPr>
          <w:sz w:val="24"/>
        </w:rPr>
        <w:t>A</w:t>
      </w:r>
      <w:r>
        <w:rPr>
          <w:spacing w:val="-5"/>
          <w:sz w:val="24"/>
        </w:rPr>
        <w:t xml:space="preserve"> </w:t>
      </w:r>
      <w:r>
        <w:rPr>
          <w:sz w:val="24"/>
        </w:rPr>
        <w:t>summary</w:t>
      </w:r>
      <w:r>
        <w:rPr>
          <w:spacing w:val="-1"/>
          <w:sz w:val="24"/>
        </w:rPr>
        <w:t xml:space="preserve"> </w:t>
      </w:r>
      <w:r>
        <w:rPr>
          <w:sz w:val="24"/>
        </w:rPr>
        <w:t>of</w:t>
      </w:r>
      <w:r>
        <w:rPr>
          <w:spacing w:val="-4"/>
          <w:sz w:val="24"/>
        </w:rPr>
        <w:t xml:space="preserve"> </w:t>
      </w:r>
      <w:r>
        <w:rPr>
          <w:sz w:val="24"/>
        </w:rPr>
        <w:t>contractual</w:t>
      </w:r>
      <w:r>
        <w:rPr>
          <w:spacing w:val="-1"/>
          <w:sz w:val="24"/>
        </w:rPr>
        <w:t xml:space="preserve"> </w:t>
      </w:r>
      <w:r>
        <w:rPr>
          <w:sz w:val="24"/>
        </w:rPr>
        <w:t>terms</w:t>
      </w:r>
      <w:r>
        <w:rPr>
          <w:spacing w:val="-2"/>
          <w:sz w:val="24"/>
        </w:rPr>
        <w:t xml:space="preserve"> </w:t>
      </w:r>
      <w:r>
        <w:rPr>
          <w:sz w:val="24"/>
        </w:rPr>
        <w:t>of</w:t>
      </w:r>
      <w:r>
        <w:rPr>
          <w:spacing w:val="-3"/>
          <w:sz w:val="24"/>
        </w:rPr>
        <w:t xml:space="preserve"> </w:t>
      </w:r>
      <w:r>
        <w:rPr>
          <w:sz w:val="24"/>
        </w:rPr>
        <w:t>administrative</w:t>
      </w:r>
      <w:r>
        <w:rPr>
          <w:spacing w:val="-2"/>
          <w:sz w:val="24"/>
        </w:rPr>
        <w:t xml:space="preserve"> </w:t>
      </w:r>
      <w:r>
        <w:rPr>
          <w:sz w:val="24"/>
        </w:rPr>
        <w:t>services</w:t>
      </w:r>
      <w:r>
        <w:rPr>
          <w:spacing w:val="1"/>
          <w:sz w:val="24"/>
        </w:rPr>
        <w:t xml:space="preserve"> </w:t>
      </w:r>
      <w:r>
        <w:rPr>
          <w:spacing w:val="-2"/>
          <w:sz w:val="24"/>
        </w:rPr>
        <w:t>arrangements.</w:t>
      </w:r>
    </w:p>
    <w:p>
      <w:pPr>
        <w:pStyle w:val="ListParagraph"/>
        <w:numPr>
          <w:ilvl w:val="1"/>
          <w:numId w:val="37"/>
        </w:numPr>
        <w:tabs>
          <w:tab w:val="left" w:pos="1583"/>
        </w:tabs>
        <w:spacing w:before="0" w:after="0" w:line="240" w:lineRule="auto"/>
        <w:ind w:left="1583" w:right="0" w:hanging="359"/>
        <w:jc w:val="both"/>
        <w:rPr>
          <w:sz w:val="24"/>
        </w:rPr>
      </w:pPr>
      <w:r>
        <w:rPr>
          <w:sz w:val="24"/>
        </w:rPr>
        <w:t>A</w:t>
      </w:r>
      <w:r>
        <w:rPr>
          <w:spacing w:val="-5"/>
          <w:sz w:val="24"/>
        </w:rPr>
        <w:t xml:space="preserve"> </w:t>
      </w:r>
      <w:r>
        <w:rPr>
          <w:sz w:val="24"/>
        </w:rPr>
        <w:t>business</w:t>
      </w:r>
      <w:r>
        <w:rPr>
          <w:spacing w:val="-4"/>
          <w:sz w:val="24"/>
        </w:rPr>
        <w:t xml:space="preserve"> </w:t>
      </w:r>
      <w:r>
        <w:rPr>
          <w:spacing w:val="-2"/>
          <w:sz w:val="24"/>
        </w:rPr>
        <w:t>plan.</w:t>
      </w:r>
    </w:p>
    <w:p>
      <w:pPr>
        <w:pStyle w:val="BodyText"/>
        <w:spacing w:before="120"/>
        <w:ind w:right="1751"/>
        <w:jc w:val="both"/>
      </w:pPr>
      <w:r>
        <w:t>Supporting</w:t>
      </w:r>
      <w:r>
        <w:rPr>
          <w:spacing w:val="-3"/>
        </w:rPr>
        <w:t xml:space="preserve"> </w:t>
      </w:r>
      <w:r>
        <w:t>documentation</w:t>
      </w:r>
      <w:r>
        <w:rPr>
          <w:spacing w:val="-3"/>
        </w:rPr>
        <w:t xml:space="preserve"> </w:t>
      </w:r>
      <w:r>
        <w:t>that</w:t>
      </w:r>
      <w:r>
        <w:rPr>
          <w:spacing w:val="-3"/>
        </w:rPr>
        <w:t xml:space="preserve"> </w:t>
      </w:r>
      <w:r>
        <w:t>is</w:t>
      </w:r>
      <w:r>
        <w:rPr>
          <w:spacing w:val="-3"/>
        </w:rPr>
        <w:t xml:space="preserve"> </w:t>
      </w:r>
      <w:r>
        <w:t>not</w:t>
      </w:r>
      <w:r>
        <w:rPr>
          <w:spacing w:val="-3"/>
        </w:rPr>
        <w:t xml:space="preserve"> </w:t>
      </w:r>
      <w:r>
        <w:t>acceptable</w:t>
      </w:r>
      <w:r>
        <w:rPr>
          <w:spacing w:val="-4"/>
        </w:rPr>
        <w:t xml:space="preserve"> </w:t>
      </w:r>
      <w:r>
        <w:t>or</w:t>
      </w:r>
      <w:r>
        <w:rPr>
          <w:spacing w:val="-3"/>
        </w:rPr>
        <w:t xml:space="preserve"> </w:t>
      </w:r>
      <w:r>
        <w:t>that</w:t>
      </w:r>
      <w:r>
        <w:rPr>
          <w:spacing w:val="-3"/>
        </w:rPr>
        <w:t xml:space="preserve"> </w:t>
      </w:r>
      <w:r>
        <w:t>may</w:t>
      </w:r>
      <w:r>
        <w:rPr>
          <w:spacing w:val="-3"/>
        </w:rPr>
        <w:t xml:space="preserve"> </w:t>
      </w:r>
      <w:r>
        <w:t>result</w:t>
      </w:r>
      <w:r>
        <w:rPr>
          <w:spacing w:val="-2"/>
        </w:rPr>
        <w:t xml:space="preserve"> </w:t>
      </w:r>
      <w:r>
        <w:t>in</w:t>
      </w:r>
      <w:r>
        <w:rPr>
          <w:spacing w:val="-3"/>
        </w:rPr>
        <w:t xml:space="preserve"> </w:t>
      </w:r>
      <w:r>
        <w:t>a</w:t>
      </w:r>
      <w:r>
        <w:rPr>
          <w:spacing w:val="-3"/>
        </w:rPr>
        <w:t xml:space="preserve"> </w:t>
      </w:r>
      <w:r>
        <w:t>request</w:t>
      </w:r>
      <w:r>
        <w:rPr>
          <w:spacing w:val="-3"/>
        </w:rPr>
        <w:t xml:space="preserve"> </w:t>
      </w:r>
      <w:r>
        <w:t>for</w:t>
      </w:r>
      <w:r>
        <w:rPr>
          <w:spacing w:val="-4"/>
        </w:rPr>
        <w:t xml:space="preserve"> </w:t>
      </w:r>
      <w:r>
        <w:t>additional information includes, but is not limited to, the following items:</w:t>
      </w:r>
    </w:p>
    <w:p>
      <w:pPr>
        <w:pStyle w:val="ListParagraph"/>
        <w:numPr>
          <w:ilvl w:val="1"/>
          <w:numId w:val="37"/>
        </w:numPr>
        <w:tabs>
          <w:tab w:val="left" w:pos="1584"/>
        </w:tabs>
        <w:spacing w:before="121" w:after="0" w:line="240" w:lineRule="auto"/>
        <w:ind w:left="1584" w:right="2229" w:hanging="360"/>
        <w:jc w:val="left"/>
        <w:rPr>
          <w:sz w:val="24"/>
        </w:rPr>
      </w:pPr>
      <w:r>
        <w:rPr>
          <w:sz w:val="24"/>
        </w:rPr>
        <w:t>Materials</w:t>
      </w:r>
      <w:r>
        <w:rPr>
          <w:spacing w:val="-4"/>
          <w:sz w:val="24"/>
        </w:rPr>
        <w:t xml:space="preserve"> </w:t>
      </w:r>
      <w:r>
        <w:rPr>
          <w:sz w:val="24"/>
        </w:rPr>
        <w:t>that</w:t>
      </w:r>
      <w:r>
        <w:rPr>
          <w:spacing w:val="-4"/>
          <w:sz w:val="24"/>
        </w:rPr>
        <w:t xml:space="preserve"> </w:t>
      </w:r>
      <w:r>
        <w:rPr>
          <w:sz w:val="24"/>
        </w:rPr>
        <w:t>are</w:t>
      </w:r>
      <w:r>
        <w:rPr>
          <w:spacing w:val="-5"/>
          <w:sz w:val="24"/>
        </w:rPr>
        <w:t xml:space="preserve"> </w:t>
      </w:r>
      <w:r>
        <w:rPr>
          <w:sz w:val="24"/>
        </w:rPr>
        <w:t>accessible</w:t>
      </w:r>
      <w:r>
        <w:rPr>
          <w:spacing w:val="-5"/>
          <w:sz w:val="24"/>
        </w:rPr>
        <w:t xml:space="preserve"> </w:t>
      </w:r>
      <w:r>
        <w:rPr>
          <w:sz w:val="24"/>
        </w:rPr>
        <w:t>only</w:t>
      </w:r>
      <w:r>
        <w:rPr>
          <w:spacing w:val="-4"/>
          <w:sz w:val="24"/>
        </w:rPr>
        <w:t xml:space="preserve"> </w:t>
      </w:r>
      <w:r>
        <w:rPr>
          <w:sz w:val="24"/>
        </w:rPr>
        <w:t>through</w:t>
      </w:r>
      <w:r>
        <w:rPr>
          <w:spacing w:val="-4"/>
          <w:sz w:val="24"/>
        </w:rPr>
        <w:t xml:space="preserve"> </w:t>
      </w:r>
      <w:r>
        <w:rPr>
          <w:sz w:val="24"/>
        </w:rPr>
        <w:t>a</w:t>
      </w:r>
      <w:r>
        <w:rPr>
          <w:spacing w:val="-5"/>
          <w:sz w:val="24"/>
        </w:rPr>
        <w:t xml:space="preserve"> </w:t>
      </w:r>
      <w:r>
        <w:rPr>
          <w:sz w:val="24"/>
        </w:rPr>
        <w:t>secure</w:t>
      </w:r>
      <w:r>
        <w:rPr>
          <w:spacing w:val="-3"/>
          <w:sz w:val="24"/>
        </w:rPr>
        <w:t xml:space="preserve"> </w:t>
      </w:r>
      <w:r>
        <w:rPr>
          <w:sz w:val="24"/>
        </w:rPr>
        <w:t>server</w:t>
      </w:r>
      <w:r>
        <w:rPr>
          <w:spacing w:val="-4"/>
          <w:sz w:val="24"/>
        </w:rPr>
        <w:t xml:space="preserve"> </w:t>
      </w:r>
      <w:r>
        <w:rPr>
          <w:sz w:val="24"/>
        </w:rPr>
        <w:t>link</w:t>
      </w:r>
      <w:r>
        <w:rPr>
          <w:spacing w:val="-4"/>
          <w:sz w:val="24"/>
        </w:rPr>
        <w:t xml:space="preserve"> </w:t>
      </w:r>
      <w:r>
        <w:rPr>
          <w:sz w:val="24"/>
        </w:rPr>
        <w:t>that</w:t>
      </w:r>
      <w:r>
        <w:rPr>
          <w:spacing w:val="-4"/>
          <w:sz w:val="24"/>
        </w:rPr>
        <w:t xml:space="preserve"> </w:t>
      </w:r>
      <w:r>
        <w:rPr>
          <w:sz w:val="24"/>
        </w:rPr>
        <w:t>requires</w:t>
      </w:r>
      <w:r>
        <w:rPr>
          <w:spacing w:val="-2"/>
          <w:sz w:val="24"/>
        </w:rPr>
        <w:t xml:space="preserve"> </w:t>
      </w:r>
      <w:r>
        <w:rPr>
          <w:sz w:val="24"/>
        </w:rPr>
        <w:t xml:space="preserve">a </w:t>
      </w:r>
      <w:r>
        <w:rPr>
          <w:spacing w:val="-2"/>
          <w:sz w:val="24"/>
        </w:rPr>
        <w:t>password.</w:t>
      </w:r>
    </w:p>
    <w:p>
      <w:pPr>
        <w:pStyle w:val="ListParagraph"/>
        <w:numPr>
          <w:ilvl w:val="1"/>
          <w:numId w:val="37"/>
        </w:numPr>
        <w:tabs>
          <w:tab w:val="left" w:pos="1584"/>
        </w:tabs>
        <w:spacing w:before="0" w:after="0" w:line="240" w:lineRule="auto"/>
        <w:ind w:left="1584" w:right="1698" w:hanging="360"/>
        <w:jc w:val="left"/>
        <w:rPr>
          <w:sz w:val="24"/>
        </w:rPr>
      </w:pPr>
      <w:r>
        <w:rPr>
          <w:sz w:val="24"/>
        </w:rPr>
        <w:t>A</w:t>
      </w:r>
      <w:r>
        <w:rPr>
          <w:spacing w:val="-4"/>
          <w:sz w:val="24"/>
        </w:rPr>
        <w:t xml:space="preserve"> </w:t>
      </w:r>
      <w:r>
        <w:rPr>
          <w:sz w:val="24"/>
        </w:rPr>
        <w:t>reference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supporting</w:t>
      </w:r>
      <w:r>
        <w:rPr>
          <w:spacing w:val="-3"/>
          <w:sz w:val="24"/>
        </w:rPr>
        <w:t xml:space="preserve"> </w:t>
      </w:r>
      <w:r>
        <w:rPr>
          <w:sz w:val="24"/>
        </w:rPr>
        <w:t>documentation</w:t>
      </w:r>
      <w:r>
        <w:rPr>
          <w:spacing w:val="-3"/>
          <w:sz w:val="24"/>
        </w:rPr>
        <w:t xml:space="preserve"> </w:t>
      </w:r>
      <w:r>
        <w:rPr>
          <w:sz w:val="24"/>
        </w:rPr>
        <w:t>for</w:t>
      </w:r>
      <w:r>
        <w:rPr>
          <w:spacing w:val="-3"/>
          <w:sz w:val="24"/>
        </w:rPr>
        <w:t xml:space="preserve"> </w:t>
      </w:r>
      <w:r>
        <w:rPr>
          <w:sz w:val="24"/>
        </w:rPr>
        <w:t>another</w:t>
      </w:r>
      <w:r>
        <w:rPr>
          <w:spacing w:val="-2"/>
          <w:sz w:val="24"/>
        </w:rPr>
        <w:t xml:space="preserve"> </w:t>
      </w:r>
      <w:r>
        <w:rPr>
          <w:sz w:val="24"/>
        </w:rPr>
        <w:t>bid,</w:t>
      </w:r>
      <w:r>
        <w:rPr>
          <w:spacing w:val="-3"/>
          <w:sz w:val="24"/>
        </w:rPr>
        <w:t xml:space="preserve"> </w:t>
      </w:r>
      <w:r>
        <w:rPr>
          <w:sz w:val="24"/>
        </w:rPr>
        <w:t>such</w:t>
      </w:r>
      <w:r>
        <w:rPr>
          <w:spacing w:val="-3"/>
          <w:sz w:val="24"/>
        </w:rPr>
        <w:t xml:space="preserve"> </w:t>
      </w:r>
      <w:r>
        <w:rPr>
          <w:sz w:val="24"/>
        </w:rPr>
        <w:t>as</w:t>
      </w:r>
      <w:r>
        <w:rPr>
          <w:spacing w:val="-4"/>
          <w:sz w:val="24"/>
        </w:rPr>
        <w:t xml:space="preserve"> </w:t>
      </w:r>
      <w:r>
        <w:rPr>
          <w:sz w:val="24"/>
        </w:rPr>
        <w:t>“the</w:t>
      </w:r>
      <w:r>
        <w:rPr>
          <w:spacing w:val="-3"/>
          <w:sz w:val="24"/>
        </w:rPr>
        <w:t xml:space="preserve"> </w:t>
      </w:r>
      <w:r>
        <w:rPr>
          <w:sz w:val="24"/>
        </w:rPr>
        <w:t>same</w:t>
      </w:r>
      <w:r>
        <w:rPr>
          <w:spacing w:val="-3"/>
          <w:sz w:val="24"/>
        </w:rPr>
        <w:t xml:space="preserve"> </w:t>
      </w:r>
      <w:r>
        <w:rPr>
          <w:sz w:val="24"/>
        </w:rPr>
        <w:t>as for plan Hxxxx-xxx-xxx,” and not the documentation itself. The supporting documentation for a bid must be self-contained.</w:t>
      </w:r>
    </w:p>
    <w:p>
      <w:pPr>
        <w:pStyle w:val="ListParagraph"/>
        <w:numPr>
          <w:ilvl w:val="1"/>
          <w:numId w:val="37"/>
        </w:numPr>
        <w:tabs>
          <w:tab w:val="left" w:pos="1584"/>
        </w:tabs>
        <w:spacing w:before="0" w:after="0" w:line="240" w:lineRule="auto"/>
        <w:ind w:left="1584" w:right="1742" w:hanging="360"/>
        <w:jc w:val="left"/>
        <w:rPr>
          <w:sz w:val="24"/>
        </w:rPr>
      </w:pPr>
      <w:r>
        <w:rPr>
          <w:sz w:val="24"/>
        </w:rPr>
        <w:t>Excel</w:t>
      </w:r>
      <w:r>
        <w:rPr>
          <w:spacing w:val="-4"/>
          <w:sz w:val="24"/>
        </w:rPr>
        <w:t xml:space="preserve"> </w:t>
      </w:r>
      <w:r>
        <w:rPr>
          <w:sz w:val="24"/>
        </w:rPr>
        <w:t>spreadsheets</w:t>
      </w:r>
      <w:r>
        <w:rPr>
          <w:spacing w:val="-5"/>
          <w:sz w:val="24"/>
        </w:rPr>
        <w:t xml:space="preserve"> </w:t>
      </w:r>
      <w:r>
        <w:rPr>
          <w:sz w:val="24"/>
        </w:rPr>
        <w:t>with</w:t>
      </w:r>
      <w:r>
        <w:rPr>
          <w:spacing w:val="-1"/>
          <w:sz w:val="24"/>
        </w:rPr>
        <w:t xml:space="preserve"> </w:t>
      </w:r>
      <w:r>
        <w:rPr>
          <w:sz w:val="24"/>
        </w:rPr>
        <w:t>a</w:t>
      </w:r>
      <w:r>
        <w:rPr>
          <w:spacing w:val="-5"/>
          <w:sz w:val="24"/>
        </w:rPr>
        <w:t xml:space="preserve"> </w:t>
      </w:r>
      <w:r>
        <w:rPr>
          <w:sz w:val="24"/>
        </w:rPr>
        <w:t>vague</w:t>
      </w:r>
      <w:r>
        <w:rPr>
          <w:spacing w:val="-3"/>
          <w:sz w:val="24"/>
        </w:rPr>
        <w:t xml:space="preserve"> </w:t>
      </w:r>
      <w:r>
        <w:rPr>
          <w:sz w:val="24"/>
        </w:rPr>
        <w:t>explanation</w:t>
      </w:r>
      <w:r>
        <w:rPr>
          <w:spacing w:val="-4"/>
          <w:sz w:val="24"/>
        </w:rPr>
        <w:t xml:space="preserve"> </w:t>
      </w:r>
      <w:r>
        <w:rPr>
          <w:sz w:val="24"/>
        </w:rPr>
        <w:t>or</w:t>
      </w:r>
      <w:r>
        <w:rPr>
          <w:spacing w:val="-4"/>
          <w:sz w:val="24"/>
        </w:rPr>
        <w:t xml:space="preserve"> </w:t>
      </w:r>
      <w:r>
        <w:rPr>
          <w:sz w:val="24"/>
        </w:rPr>
        <w:t>no</w:t>
      </w:r>
      <w:r>
        <w:rPr>
          <w:spacing w:val="-4"/>
          <w:sz w:val="24"/>
        </w:rPr>
        <w:t xml:space="preserve"> </w:t>
      </w:r>
      <w:r>
        <w:rPr>
          <w:sz w:val="24"/>
        </w:rPr>
        <w:t>explanation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bid-specific inputs and calculations.</w:t>
      </w:r>
    </w:p>
    <w:p>
      <w:pPr>
        <w:pStyle w:val="ListParagraph"/>
        <w:numPr>
          <w:ilvl w:val="1"/>
          <w:numId w:val="37"/>
        </w:numPr>
        <w:tabs>
          <w:tab w:val="left" w:pos="1584"/>
        </w:tabs>
        <w:spacing w:before="0" w:after="0" w:line="240" w:lineRule="auto"/>
        <w:ind w:left="1584" w:right="1734" w:hanging="360"/>
        <w:jc w:val="left"/>
        <w:rPr>
          <w:sz w:val="24"/>
        </w:rPr>
      </w:pPr>
      <w:r>
        <w:rPr>
          <w:sz w:val="24"/>
        </w:rPr>
        <w:t>Excel</w:t>
      </w:r>
      <w:r>
        <w:rPr>
          <w:spacing w:val="-4"/>
          <w:sz w:val="24"/>
        </w:rPr>
        <w:t xml:space="preserve"> </w:t>
      </w:r>
      <w:r>
        <w:rPr>
          <w:sz w:val="24"/>
        </w:rPr>
        <w:t>spreadsheets</w:t>
      </w:r>
      <w:r>
        <w:rPr>
          <w:spacing w:val="-5"/>
          <w:sz w:val="24"/>
        </w:rPr>
        <w:t xml:space="preserve"> </w:t>
      </w:r>
      <w:r>
        <w:rPr>
          <w:sz w:val="24"/>
        </w:rPr>
        <w:t>with</w:t>
      </w:r>
      <w:r>
        <w:rPr>
          <w:spacing w:val="-2"/>
          <w:sz w:val="24"/>
        </w:rPr>
        <w:t xml:space="preserve"> </w:t>
      </w:r>
      <w:r>
        <w:rPr>
          <w:sz w:val="24"/>
        </w:rPr>
        <w:t>data</w:t>
      </w:r>
      <w:r>
        <w:rPr>
          <w:spacing w:val="-4"/>
          <w:sz w:val="24"/>
        </w:rPr>
        <w:t xml:space="preserve"> </w:t>
      </w:r>
      <w:r>
        <w:rPr>
          <w:sz w:val="24"/>
        </w:rPr>
        <w:t>that</w:t>
      </w:r>
      <w:r>
        <w:rPr>
          <w:spacing w:val="-4"/>
          <w:sz w:val="24"/>
        </w:rPr>
        <w:t xml:space="preserve"> </w:t>
      </w:r>
      <w:r>
        <w:rPr>
          <w:sz w:val="24"/>
        </w:rPr>
        <w:t>cannot</w:t>
      </w:r>
      <w:r>
        <w:rPr>
          <w:spacing w:val="-4"/>
          <w:sz w:val="24"/>
        </w:rPr>
        <w:t xml:space="preserve"> </w:t>
      </w:r>
      <w:r>
        <w:rPr>
          <w:sz w:val="24"/>
        </w:rPr>
        <w:t>be</w:t>
      </w:r>
      <w:r>
        <w:rPr>
          <w:spacing w:val="-5"/>
          <w:sz w:val="24"/>
        </w:rPr>
        <w:t xml:space="preserve"> </w:t>
      </w:r>
      <w:r>
        <w:rPr>
          <w:sz w:val="24"/>
        </w:rPr>
        <w:t>directly</w:t>
      </w:r>
      <w:r>
        <w:rPr>
          <w:spacing w:val="-4"/>
          <w:sz w:val="24"/>
        </w:rPr>
        <w:t xml:space="preserve"> </w:t>
      </w:r>
      <w:r>
        <w:rPr>
          <w:sz w:val="24"/>
        </w:rPr>
        <w:t>traced</w:t>
      </w:r>
      <w:r>
        <w:rPr>
          <w:spacing w:val="-4"/>
          <w:sz w:val="24"/>
        </w:rPr>
        <w:t xml:space="preserve"> </w:t>
      </w:r>
      <w:r>
        <w:rPr>
          <w:sz w:val="24"/>
        </w:rPr>
        <w:t>back</w:t>
      </w:r>
      <w:r>
        <w:rPr>
          <w:spacing w:val="-4"/>
          <w:sz w:val="24"/>
        </w:rPr>
        <w:t xml:space="preserve"> </w:t>
      </w:r>
      <w:r>
        <w:rPr>
          <w:sz w:val="24"/>
        </w:rPr>
        <w:t>to</w:t>
      </w:r>
      <w:r>
        <w:rPr>
          <w:spacing w:val="-4"/>
          <w:sz w:val="24"/>
        </w:rPr>
        <w:t xml:space="preserve"> </w:t>
      </w:r>
      <w:r>
        <w:rPr>
          <w:sz w:val="24"/>
        </w:rPr>
        <w:t>data</w:t>
      </w:r>
      <w:r>
        <w:rPr>
          <w:spacing w:val="-3"/>
          <w:sz w:val="24"/>
        </w:rPr>
        <w:t xml:space="preserve"> </w:t>
      </w:r>
      <w:r>
        <w:rPr>
          <w:sz w:val="24"/>
        </w:rPr>
        <w:t>entered</w:t>
      </w:r>
      <w:r>
        <w:rPr>
          <w:spacing w:val="-4"/>
          <w:sz w:val="24"/>
        </w:rPr>
        <w:t xml:space="preserve"> </w:t>
      </w:r>
      <w:r>
        <w:rPr>
          <w:sz w:val="24"/>
        </w:rPr>
        <w:t>in the BPT.</w:t>
      </w:r>
    </w:p>
    <w:p>
      <w:pPr>
        <w:pStyle w:val="ListParagraph"/>
        <w:numPr>
          <w:ilvl w:val="1"/>
          <w:numId w:val="37"/>
        </w:numPr>
        <w:tabs>
          <w:tab w:val="left" w:pos="1584"/>
        </w:tabs>
        <w:spacing w:before="0" w:after="0" w:line="240" w:lineRule="auto"/>
        <w:ind w:left="1584" w:right="0" w:hanging="360"/>
        <w:jc w:val="left"/>
        <w:rPr>
          <w:sz w:val="24"/>
        </w:rPr>
      </w:pPr>
      <w:r>
        <w:rPr>
          <w:sz w:val="24"/>
        </w:rPr>
        <w:t>PDF</w:t>
      </w:r>
      <w:r>
        <w:rPr>
          <w:spacing w:val="-3"/>
          <w:sz w:val="24"/>
        </w:rPr>
        <w:t xml:space="preserve"> </w:t>
      </w:r>
      <w:r>
        <w:rPr>
          <w:sz w:val="24"/>
        </w:rPr>
        <w:t>files</w:t>
      </w:r>
      <w:r>
        <w:rPr>
          <w:spacing w:val="-1"/>
          <w:sz w:val="24"/>
        </w:rPr>
        <w:t xml:space="preserve"> </w:t>
      </w:r>
      <w:r>
        <w:rPr>
          <w:sz w:val="24"/>
        </w:rPr>
        <w:t>with the</w:t>
      </w:r>
      <w:r>
        <w:rPr>
          <w:spacing w:val="-2"/>
          <w:sz w:val="24"/>
        </w:rPr>
        <w:t xml:space="preserve"> </w:t>
      </w:r>
      <w:r>
        <w:rPr>
          <w:sz w:val="24"/>
        </w:rPr>
        <w:t>“copy”</w:t>
      </w:r>
      <w:r>
        <w:rPr>
          <w:spacing w:val="-1"/>
          <w:sz w:val="24"/>
        </w:rPr>
        <w:t xml:space="preserve"> </w:t>
      </w:r>
      <w:r>
        <w:rPr>
          <w:sz w:val="24"/>
        </w:rPr>
        <w:t xml:space="preserve">function </w:t>
      </w:r>
      <w:r>
        <w:rPr>
          <w:spacing w:val="-2"/>
          <w:sz w:val="24"/>
        </w:rPr>
        <w:t>disabled.</w:t>
      </w:r>
    </w:p>
    <w:p>
      <w:pPr>
        <w:pStyle w:val="ListParagraph"/>
        <w:numPr>
          <w:ilvl w:val="1"/>
          <w:numId w:val="37"/>
        </w:numPr>
        <w:tabs>
          <w:tab w:val="left" w:pos="1584"/>
        </w:tabs>
        <w:spacing w:before="0" w:after="0" w:line="240" w:lineRule="auto"/>
        <w:ind w:left="1584" w:right="1525" w:hanging="360"/>
        <w:jc w:val="left"/>
        <w:rPr>
          <w:sz w:val="24"/>
        </w:rPr>
      </w:pPr>
      <w:r>
        <w:rPr>
          <w:sz w:val="24"/>
        </w:rPr>
        <w:t>A</w:t>
      </w:r>
      <w:r>
        <w:rPr>
          <w:spacing w:val="-4"/>
          <w:sz w:val="24"/>
        </w:rPr>
        <w:t xml:space="preserve"> </w:t>
      </w:r>
      <w:r>
        <w:rPr>
          <w:sz w:val="24"/>
        </w:rPr>
        <w:t>statement</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source</w:t>
      </w:r>
      <w:r>
        <w:rPr>
          <w:spacing w:val="-4"/>
          <w:sz w:val="24"/>
        </w:rPr>
        <w:t xml:space="preserve"> </w:t>
      </w:r>
      <w:r>
        <w:rPr>
          <w:sz w:val="24"/>
        </w:rPr>
        <w:t>of</w:t>
      </w:r>
      <w:r>
        <w:rPr>
          <w:spacing w:val="-3"/>
          <w:sz w:val="24"/>
        </w:rPr>
        <w:t xml:space="preserve"> </w:t>
      </w:r>
      <w:r>
        <w:rPr>
          <w:sz w:val="24"/>
        </w:rPr>
        <w:t>a</w:t>
      </w:r>
      <w:r>
        <w:rPr>
          <w:spacing w:val="-5"/>
          <w:sz w:val="24"/>
        </w:rPr>
        <w:t xml:space="preserve"> </w:t>
      </w:r>
      <w:r>
        <w:rPr>
          <w:sz w:val="24"/>
        </w:rPr>
        <w:t>pricing</w:t>
      </w:r>
      <w:r>
        <w:rPr>
          <w:spacing w:val="-3"/>
          <w:sz w:val="24"/>
        </w:rPr>
        <w:t xml:space="preserve"> </w:t>
      </w:r>
      <w:r>
        <w:rPr>
          <w:sz w:val="24"/>
        </w:rPr>
        <w:t>assumption</w:t>
      </w:r>
      <w:r>
        <w:rPr>
          <w:spacing w:val="-3"/>
          <w:sz w:val="24"/>
        </w:rPr>
        <w:t xml:space="preserve"> </w:t>
      </w:r>
      <w:r>
        <w:rPr>
          <w:sz w:val="24"/>
        </w:rPr>
        <w:t>is</w:t>
      </w:r>
      <w:r>
        <w:rPr>
          <w:spacing w:val="-4"/>
          <w:sz w:val="24"/>
        </w:rPr>
        <w:t xml:space="preserve"> </w:t>
      </w:r>
      <w:r>
        <w:rPr>
          <w:sz w:val="24"/>
        </w:rPr>
        <w:t>“professional</w:t>
      </w:r>
      <w:r>
        <w:rPr>
          <w:spacing w:val="-3"/>
          <w:sz w:val="24"/>
        </w:rPr>
        <w:t xml:space="preserve"> </w:t>
      </w:r>
      <w:r>
        <w:rPr>
          <w:sz w:val="24"/>
        </w:rPr>
        <w:t>judgment”</w:t>
      </w:r>
      <w:r>
        <w:rPr>
          <w:spacing w:val="-4"/>
          <w:sz w:val="24"/>
        </w:rPr>
        <w:t xml:space="preserve"> </w:t>
      </w:r>
      <w:r>
        <w:rPr>
          <w:sz w:val="24"/>
        </w:rPr>
        <w:t>with no additional explanation of the data points underlying the assumptions, such as supporting factors, studies, or public information.</w:t>
      </w:r>
    </w:p>
    <w:p>
      <w:pPr>
        <w:pStyle w:val="ListParagraph"/>
        <w:numPr>
          <w:ilvl w:val="1"/>
          <w:numId w:val="37"/>
        </w:numPr>
        <w:tabs>
          <w:tab w:val="left" w:pos="1584"/>
        </w:tabs>
        <w:spacing w:before="1" w:after="0" w:line="240" w:lineRule="auto"/>
        <w:ind w:left="1584" w:right="2108" w:hanging="360"/>
        <w:jc w:val="left"/>
        <w:rPr>
          <w:sz w:val="24"/>
        </w:rPr>
      </w:pPr>
      <w:r>
        <w:rPr>
          <w:sz w:val="24"/>
        </w:rPr>
        <w:t>“Living worksheets” that are overwritten with current data. Supporting documentation</w:t>
      </w:r>
      <w:r>
        <w:rPr>
          <w:spacing w:val="-3"/>
          <w:sz w:val="24"/>
        </w:rPr>
        <w:t xml:space="preserve"> </w:t>
      </w:r>
      <w:r>
        <w:rPr>
          <w:sz w:val="24"/>
        </w:rPr>
        <w:t>must</w:t>
      </w:r>
      <w:r>
        <w:rPr>
          <w:spacing w:val="-3"/>
          <w:sz w:val="24"/>
        </w:rPr>
        <w:t xml:space="preserve"> </w:t>
      </w:r>
      <w:r>
        <w:rPr>
          <w:sz w:val="24"/>
        </w:rPr>
        <w:t>include</w:t>
      </w:r>
      <w:r>
        <w:rPr>
          <w:spacing w:val="-3"/>
          <w:sz w:val="24"/>
        </w:rPr>
        <w:t xml:space="preserve"> </w:t>
      </w:r>
      <w:r>
        <w:rPr>
          <w:sz w:val="24"/>
        </w:rPr>
        <w:t>the</w:t>
      </w:r>
      <w:r>
        <w:rPr>
          <w:spacing w:val="-4"/>
          <w:sz w:val="24"/>
        </w:rPr>
        <w:t xml:space="preserve"> </w:t>
      </w:r>
      <w:r>
        <w:rPr>
          <w:sz w:val="24"/>
        </w:rPr>
        <w:t>version</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worksheet</w:t>
      </w:r>
      <w:r>
        <w:rPr>
          <w:spacing w:val="-3"/>
          <w:sz w:val="24"/>
        </w:rPr>
        <w:t xml:space="preserve"> </w:t>
      </w:r>
      <w:r>
        <w:rPr>
          <w:sz w:val="24"/>
        </w:rPr>
        <w:t>that</w:t>
      </w:r>
      <w:r>
        <w:rPr>
          <w:spacing w:val="-3"/>
          <w:sz w:val="24"/>
        </w:rPr>
        <w:t xml:space="preserve"> </w:t>
      </w:r>
      <w:r>
        <w:rPr>
          <w:sz w:val="24"/>
        </w:rPr>
        <w:t>was</w:t>
      </w:r>
      <w:r>
        <w:rPr>
          <w:spacing w:val="-4"/>
          <w:sz w:val="24"/>
        </w:rPr>
        <w:t xml:space="preserve"> </w:t>
      </w:r>
      <w:r>
        <w:rPr>
          <w:sz w:val="24"/>
        </w:rPr>
        <w:t>used</w:t>
      </w:r>
      <w:r>
        <w:rPr>
          <w:spacing w:val="-3"/>
          <w:sz w:val="24"/>
        </w:rPr>
        <w:t xml:space="preserve"> </w:t>
      </w:r>
      <w:r>
        <w:rPr>
          <w:sz w:val="24"/>
        </w:rPr>
        <w:t>in</w:t>
      </w:r>
      <w:r>
        <w:rPr>
          <w:spacing w:val="-3"/>
          <w:sz w:val="24"/>
        </w:rPr>
        <w:t xml:space="preserve"> </w:t>
      </w:r>
      <w:r>
        <w:rPr>
          <w:sz w:val="24"/>
        </w:rPr>
        <w:t xml:space="preserve">bid </w:t>
      </w:r>
      <w:r>
        <w:rPr>
          <w:spacing w:val="-2"/>
          <w:sz w:val="24"/>
        </w:rPr>
        <w:t>preparation.</w:t>
      </w:r>
    </w:p>
    <w:p>
      <w:pPr>
        <w:pStyle w:val="ListParagraph"/>
        <w:numPr>
          <w:ilvl w:val="1"/>
          <w:numId w:val="37"/>
        </w:numPr>
        <w:tabs>
          <w:tab w:val="left" w:pos="1584"/>
        </w:tabs>
        <w:spacing w:before="0" w:after="0" w:line="240" w:lineRule="auto"/>
        <w:ind w:left="1584" w:right="0" w:hanging="360"/>
        <w:jc w:val="left"/>
        <w:rPr>
          <w:sz w:val="24"/>
        </w:rPr>
      </w:pPr>
      <w:r>
        <w:rPr>
          <w:sz w:val="24"/>
        </w:rPr>
        <w:t>Information</w:t>
      </w:r>
      <w:r>
        <w:rPr>
          <w:spacing w:val="-2"/>
          <w:sz w:val="24"/>
        </w:rPr>
        <w:t xml:space="preserve"> </w:t>
      </w:r>
      <w:r>
        <w:rPr>
          <w:sz w:val="24"/>
        </w:rPr>
        <w:t>obtained</w:t>
      </w:r>
      <w:r>
        <w:rPr>
          <w:spacing w:val="-1"/>
          <w:sz w:val="24"/>
        </w:rPr>
        <w:t xml:space="preserve"> </w:t>
      </w:r>
      <w:r>
        <w:rPr>
          <w:sz w:val="24"/>
        </w:rPr>
        <w:t>after</w:t>
      </w:r>
      <w:r>
        <w:rPr>
          <w:spacing w:val="-2"/>
          <w:sz w:val="24"/>
        </w:rPr>
        <w:t xml:space="preserve"> </w:t>
      </w:r>
      <w:r>
        <w:rPr>
          <w:sz w:val="24"/>
        </w:rPr>
        <w:t>the</w:t>
      </w:r>
      <w:r>
        <w:rPr>
          <w:spacing w:val="-3"/>
          <w:sz w:val="24"/>
        </w:rPr>
        <w:t xml:space="preserve"> </w:t>
      </w:r>
      <w:r>
        <w:rPr>
          <w:sz w:val="24"/>
        </w:rPr>
        <w:t>bids</w:t>
      </w:r>
      <w:r>
        <w:rPr>
          <w:spacing w:val="-1"/>
          <w:sz w:val="24"/>
        </w:rPr>
        <w:t xml:space="preserve"> </w:t>
      </w:r>
      <w:r>
        <w:rPr>
          <w:sz w:val="24"/>
        </w:rPr>
        <w:t>are</w:t>
      </w:r>
      <w:r>
        <w:rPr>
          <w:spacing w:val="-3"/>
          <w:sz w:val="24"/>
        </w:rPr>
        <w:t xml:space="preserve"> </w:t>
      </w:r>
      <w:r>
        <w:rPr>
          <w:spacing w:val="-2"/>
          <w:sz w:val="24"/>
        </w:rPr>
        <w:t>submitted.</w:t>
      </w:r>
    </w:p>
    <w:p>
      <w:pPr>
        <w:pStyle w:val="ListParagraph"/>
        <w:numPr>
          <w:ilvl w:val="1"/>
          <w:numId w:val="37"/>
        </w:numPr>
        <w:tabs>
          <w:tab w:val="left" w:pos="1584"/>
        </w:tabs>
        <w:spacing w:before="0" w:after="0" w:line="240" w:lineRule="auto"/>
        <w:ind w:left="1584" w:right="1571" w:hanging="360"/>
        <w:jc w:val="left"/>
        <w:rPr>
          <w:sz w:val="24"/>
        </w:rPr>
      </w:pPr>
      <w:r>
        <w:rPr>
          <w:sz w:val="24"/>
        </w:rPr>
        <w:t>A</w:t>
      </w:r>
      <w:r>
        <w:rPr>
          <w:spacing w:val="-5"/>
          <w:sz w:val="24"/>
        </w:rPr>
        <w:t xml:space="preserve"> </w:t>
      </w:r>
      <w:r>
        <w:rPr>
          <w:sz w:val="24"/>
        </w:rPr>
        <w:t>statement</w:t>
      </w:r>
      <w:r>
        <w:rPr>
          <w:spacing w:val="-4"/>
          <w:sz w:val="24"/>
        </w:rPr>
        <w:t xml:space="preserve"> </w:t>
      </w:r>
      <w:r>
        <w:rPr>
          <w:sz w:val="24"/>
        </w:rPr>
        <w:t>that</w:t>
      </w:r>
      <w:r>
        <w:rPr>
          <w:spacing w:val="-4"/>
          <w:sz w:val="24"/>
        </w:rPr>
        <w:t xml:space="preserve"> </w:t>
      </w:r>
      <w:r>
        <w:rPr>
          <w:sz w:val="24"/>
        </w:rPr>
        <w:t>a</w:t>
      </w:r>
      <w:r>
        <w:rPr>
          <w:spacing w:val="-4"/>
          <w:sz w:val="24"/>
        </w:rPr>
        <w:t xml:space="preserve"> </w:t>
      </w:r>
      <w:r>
        <w:rPr>
          <w:sz w:val="24"/>
        </w:rPr>
        <w:t>pricing</w:t>
      </w:r>
      <w:r>
        <w:rPr>
          <w:spacing w:val="-4"/>
          <w:sz w:val="24"/>
        </w:rPr>
        <w:t xml:space="preserve"> </w:t>
      </w:r>
      <w:r>
        <w:rPr>
          <w:sz w:val="24"/>
        </w:rPr>
        <w:t>assumption</w:t>
      </w:r>
      <w:r>
        <w:rPr>
          <w:spacing w:val="-4"/>
          <w:sz w:val="24"/>
        </w:rPr>
        <w:t xml:space="preserve"> </w:t>
      </w:r>
      <w:r>
        <w:rPr>
          <w:sz w:val="24"/>
        </w:rPr>
        <w:t>or</w:t>
      </w:r>
      <w:r>
        <w:rPr>
          <w:spacing w:val="-5"/>
          <w:sz w:val="24"/>
        </w:rPr>
        <w:t xml:space="preserve"> </w:t>
      </w:r>
      <w:r>
        <w:rPr>
          <w:sz w:val="24"/>
        </w:rPr>
        <w:t>methodology</w:t>
      </w:r>
      <w:r>
        <w:rPr>
          <w:spacing w:val="-4"/>
          <w:sz w:val="24"/>
        </w:rPr>
        <w:t xml:space="preserve"> </w:t>
      </w:r>
      <w:r>
        <w:rPr>
          <w:sz w:val="24"/>
        </w:rPr>
        <w:t>is</w:t>
      </w:r>
      <w:r>
        <w:rPr>
          <w:spacing w:val="-5"/>
          <w:sz w:val="24"/>
        </w:rPr>
        <w:t xml:space="preserve"> </w:t>
      </w:r>
      <w:r>
        <w:rPr>
          <w:sz w:val="24"/>
        </w:rPr>
        <w:t>assumed</w:t>
      </w:r>
      <w:r>
        <w:rPr>
          <w:spacing w:val="-4"/>
          <w:sz w:val="24"/>
        </w:rPr>
        <w:t xml:space="preserve"> </w:t>
      </w:r>
      <w:r>
        <w:rPr>
          <w:sz w:val="24"/>
        </w:rPr>
        <w:t>acceptable</w:t>
      </w:r>
      <w:r>
        <w:rPr>
          <w:spacing w:val="-4"/>
          <w:sz w:val="24"/>
        </w:rPr>
        <w:t xml:space="preserve"> </w:t>
      </w:r>
      <w:r>
        <w:rPr>
          <w:sz w:val="24"/>
        </w:rPr>
        <w:t>based on its inclusion in a bid that was approved by CMS in a prior contract year. Data, assumptions, methodologies, and projections must be determined to be reasonable and appropriate for the current bid, independent of bid filings in previous years.</w:t>
      </w:r>
    </w:p>
    <w:p>
      <w:pPr>
        <w:pStyle w:val="BodyText"/>
        <w:spacing w:before="45"/>
        <w:ind w:left="0"/>
      </w:pPr>
    </w:p>
    <w:p>
      <w:pPr>
        <w:pStyle w:val="Heading2"/>
        <w:jc w:val="both"/>
      </w:pPr>
      <w:bookmarkStart w:id="334" w:name="Submitting Supporting Documentation"/>
      <w:bookmarkEnd w:id="334"/>
      <w:bookmarkStart w:id="335" w:name="_bookmark89"/>
      <w:bookmarkEnd w:id="335"/>
      <w:r>
        <w:rPr>
          <w:smallCaps/>
        </w:rPr>
        <w:t>Submitting</w:t>
      </w:r>
      <w:r>
        <w:rPr>
          <w:smallCaps/>
          <w:spacing w:val="-13"/>
        </w:rPr>
        <w:t xml:space="preserve"> </w:t>
      </w:r>
      <w:r>
        <w:rPr>
          <w:smallCaps/>
        </w:rPr>
        <w:t>Supporting</w:t>
      </w:r>
      <w:r>
        <w:rPr>
          <w:smallCaps/>
          <w:spacing w:val="-12"/>
        </w:rPr>
        <w:t xml:space="preserve"> </w:t>
      </w:r>
      <w:r>
        <w:rPr>
          <w:smallCaps/>
          <w:spacing w:val="-2"/>
        </w:rPr>
        <w:t>Documentation</w:t>
      </w:r>
    </w:p>
    <w:p>
      <w:pPr>
        <w:pStyle w:val="BodyText"/>
        <w:spacing w:before="180"/>
        <w:ind w:right="1931"/>
      </w:pPr>
      <w:r>
        <w:t>Supporting materials must be in electronic format (for example, Microsoft Excel, Microsoft</w:t>
      </w:r>
      <w:r>
        <w:rPr>
          <w:spacing w:val="-4"/>
        </w:rPr>
        <w:t xml:space="preserve"> </w:t>
      </w:r>
      <w:r>
        <w:t>Word,</w:t>
      </w:r>
      <w:r>
        <w:rPr>
          <w:spacing w:val="-3"/>
        </w:rPr>
        <w:t xml:space="preserve"> </w:t>
      </w:r>
      <w:r>
        <w:t>or</w:t>
      </w:r>
      <w:r>
        <w:rPr>
          <w:spacing w:val="-2"/>
        </w:rPr>
        <w:t xml:space="preserve"> </w:t>
      </w:r>
      <w:r>
        <w:t>Adobe</w:t>
      </w:r>
      <w:r>
        <w:rPr>
          <w:spacing w:val="-4"/>
        </w:rPr>
        <w:t xml:space="preserve"> </w:t>
      </w:r>
      <w:r>
        <w:t>Acrobat)</w:t>
      </w:r>
      <w:r>
        <w:rPr>
          <w:spacing w:val="-3"/>
        </w:rPr>
        <w:t xml:space="preserve"> </w:t>
      </w:r>
      <w:r>
        <w:t>and</w:t>
      </w:r>
      <w:r>
        <w:rPr>
          <w:spacing w:val="-3"/>
        </w:rPr>
        <w:t xml:space="preserve"> </w:t>
      </w:r>
      <w:r>
        <w:t>must</w:t>
      </w:r>
      <w:r>
        <w:rPr>
          <w:spacing w:val="-3"/>
        </w:rPr>
        <w:t xml:space="preserve"> </w:t>
      </w:r>
      <w:r>
        <w:t>be</w:t>
      </w:r>
      <w:r>
        <w:rPr>
          <w:spacing w:val="-2"/>
        </w:rPr>
        <w:t xml:space="preserve"> </w:t>
      </w:r>
      <w:r>
        <w:t>uploaded</w:t>
      </w:r>
      <w:r>
        <w:rPr>
          <w:spacing w:val="-3"/>
        </w:rPr>
        <w:t xml:space="preserve"> </w:t>
      </w:r>
      <w:r>
        <w:t>to</w:t>
      </w:r>
      <w:r>
        <w:rPr>
          <w:spacing w:val="-3"/>
        </w:rPr>
        <w:t xml:space="preserve"> </w:t>
      </w:r>
      <w:r>
        <w:t>HPMS.</w:t>
      </w:r>
      <w:r>
        <w:rPr>
          <w:spacing w:val="-3"/>
        </w:rPr>
        <w:t xml:space="preserve"> </w:t>
      </w:r>
      <w:r>
        <w:t>CMS</w:t>
      </w:r>
      <w:r>
        <w:rPr>
          <w:spacing w:val="-3"/>
        </w:rPr>
        <w:t xml:space="preserve"> </w:t>
      </w:r>
      <w:r>
        <w:t>will</w:t>
      </w:r>
      <w:r>
        <w:rPr>
          <w:spacing w:val="-3"/>
        </w:rPr>
        <w:t xml:space="preserve"> </w:t>
      </w:r>
      <w:r>
        <w:t>not</w:t>
      </w:r>
      <w:r>
        <w:rPr>
          <w:spacing w:val="-3"/>
        </w:rPr>
        <w:t xml:space="preserve"> </w:t>
      </w:r>
      <w:r>
        <w:t>accept paper copies of supporting documentation.</w:t>
      </w:r>
    </w:p>
    <w:p>
      <w:pPr>
        <w:pStyle w:val="BodyText"/>
        <w:spacing w:before="120"/>
        <w:ind w:right="1481"/>
      </w:pPr>
      <w:r>
        <w:t>Note that multiple substantiation files can be submitted to HPMS at one time by using “zip” files, which compress multiple files into one (.zip file extension). Also note that although one file</w:t>
      </w:r>
      <w:r>
        <w:rPr>
          <w:spacing w:val="-4"/>
        </w:rPr>
        <w:t xml:space="preserve"> </w:t>
      </w:r>
      <w:r>
        <w:t>can</w:t>
      </w:r>
      <w:r>
        <w:rPr>
          <w:spacing w:val="-3"/>
        </w:rPr>
        <w:t xml:space="preserve"> </w:t>
      </w:r>
      <w:r>
        <w:t>be</w:t>
      </w:r>
      <w:r>
        <w:rPr>
          <w:spacing w:val="-4"/>
        </w:rPr>
        <w:t xml:space="preserve"> </w:t>
      </w:r>
      <w:r>
        <w:t>uploaded</w:t>
      </w:r>
      <w:r>
        <w:rPr>
          <w:spacing w:val="-3"/>
        </w:rPr>
        <w:t xml:space="preserve"> </w:t>
      </w:r>
      <w:r>
        <w:t>to</w:t>
      </w:r>
      <w:r>
        <w:rPr>
          <w:spacing w:val="-3"/>
        </w:rPr>
        <w:t xml:space="preserve"> </w:t>
      </w:r>
      <w:r>
        <w:t>multiple</w:t>
      </w:r>
      <w:r>
        <w:rPr>
          <w:spacing w:val="-3"/>
        </w:rPr>
        <w:t xml:space="preserve"> </w:t>
      </w:r>
      <w:r>
        <w:t>bids</w:t>
      </w:r>
      <w:r>
        <w:rPr>
          <w:spacing w:val="-4"/>
        </w:rPr>
        <w:t xml:space="preserve"> </w:t>
      </w:r>
      <w:r>
        <w:t>in</w:t>
      </w:r>
      <w:r>
        <w:rPr>
          <w:spacing w:val="-3"/>
        </w:rPr>
        <w:t xml:space="preserve"> </w:t>
      </w:r>
      <w:r>
        <w:t>HPMS,</w:t>
      </w:r>
      <w:r>
        <w:rPr>
          <w:spacing w:val="-3"/>
        </w:rPr>
        <w:t xml:space="preserve"> </w:t>
      </w:r>
      <w:r>
        <w:t>documentation</w:t>
      </w:r>
      <w:r>
        <w:rPr>
          <w:spacing w:val="-3"/>
        </w:rPr>
        <w:t xml:space="preserve"> </w:t>
      </w:r>
      <w:r>
        <w:t>must</w:t>
      </w:r>
      <w:r>
        <w:rPr>
          <w:spacing w:val="-3"/>
        </w:rPr>
        <w:t xml:space="preserve"> </w:t>
      </w:r>
      <w:r>
        <w:t>not</w:t>
      </w:r>
      <w:r>
        <w:rPr>
          <w:spacing w:val="-3"/>
        </w:rPr>
        <w:t xml:space="preserve"> </w:t>
      </w:r>
      <w:r>
        <w:t>be</w:t>
      </w:r>
      <w:r>
        <w:rPr>
          <w:spacing w:val="-4"/>
        </w:rPr>
        <w:t xml:space="preserve"> </w:t>
      </w:r>
      <w:r>
        <w:t>uploaded</w:t>
      </w:r>
      <w:r>
        <w:rPr>
          <w:spacing w:val="-3"/>
        </w:rPr>
        <w:t xml:space="preserve"> </w:t>
      </w:r>
      <w:r>
        <w:t>to</w:t>
      </w:r>
      <w:r>
        <w:rPr>
          <w:spacing w:val="-1"/>
        </w:rPr>
        <w:t xml:space="preserve"> </w:t>
      </w:r>
      <w:r>
        <w:t>bids</w:t>
      </w:r>
      <w:r>
        <w:rPr>
          <w:spacing w:val="-3"/>
        </w:rPr>
        <w:t xml:space="preserve"> </w:t>
      </w:r>
      <w:r>
        <w:t>to which it does not pertain. Similarly, it is not acceptable to upload to multiple bids materials specific to a Part D plan, an MA bid, or another contract number.</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right="1481"/>
      </w:pPr>
      <w:r>
        <w:t>More</w:t>
      </w:r>
      <w:r>
        <w:rPr>
          <w:spacing w:val="-5"/>
        </w:rPr>
        <w:t xml:space="preserve"> </w:t>
      </w:r>
      <w:r>
        <w:t>requirements</w:t>
      </w:r>
      <w:r>
        <w:rPr>
          <w:spacing w:val="-4"/>
        </w:rPr>
        <w:t xml:space="preserve"> </w:t>
      </w:r>
      <w:r>
        <w:t>about</w:t>
      </w:r>
      <w:r>
        <w:rPr>
          <w:spacing w:val="-1"/>
        </w:rPr>
        <w:t xml:space="preserve"> </w:t>
      </w:r>
      <w:r>
        <w:t>the</w:t>
      </w:r>
      <w:r>
        <w:rPr>
          <w:spacing w:val="-3"/>
        </w:rPr>
        <w:t xml:space="preserve"> </w:t>
      </w:r>
      <w:r>
        <w:t>upload</w:t>
      </w:r>
      <w:r>
        <w:rPr>
          <w:spacing w:val="-3"/>
        </w:rPr>
        <w:t xml:space="preserve"> </w:t>
      </w:r>
      <w:r>
        <w:t>of</w:t>
      </w:r>
      <w:r>
        <w:rPr>
          <w:spacing w:val="-3"/>
        </w:rPr>
        <w:t xml:space="preserve"> </w:t>
      </w:r>
      <w:r>
        <w:t>substantiation</w:t>
      </w:r>
      <w:r>
        <w:rPr>
          <w:spacing w:val="-3"/>
        </w:rPr>
        <w:t xml:space="preserve"> </w:t>
      </w:r>
      <w:r>
        <w:t>files</w:t>
      </w:r>
      <w:r>
        <w:rPr>
          <w:spacing w:val="-3"/>
        </w:rPr>
        <w:t xml:space="preserve"> </w:t>
      </w:r>
      <w:r>
        <w:t>are</w:t>
      </w:r>
      <w:r>
        <w:rPr>
          <w:spacing w:val="-5"/>
        </w:rPr>
        <w:t xml:space="preserve"> </w:t>
      </w:r>
      <w:r>
        <w:t>located</w:t>
      </w:r>
      <w:r>
        <w:rPr>
          <w:spacing w:val="-3"/>
        </w:rPr>
        <w:t xml:space="preserve"> </w:t>
      </w:r>
      <w:r>
        <w:t>in</w:t>
      </w:r>
      <w:r>
        <w:rPr>
          <w:spacing w:val="-3"/>
        </w:rPr>
        <w:t xml:space="preserve"> </w:t>
      </w:r>
      <w:r>
        <w:t>HPMS</w:t>
      </w:r>
      <w:r>
        <w:rPr>
          <w:spacing w:val="-1"/>
        </w:rPr>
        <w:t xml:space="preserve"> </w:t>
      </w:r>
      <w:r>
        <w:t>in</w:t>
      </w:r>
      <w:r>
        <w:rPr>
          <w:spacing w:val="-3"/>
        </w:rPr>
        <w:t xml:space="preserve"> </w:t>
      </w:r>
      <w:r>
        <w:t>the</w:t>
      </w:r>
      <w:r>
        <w:rPr>
          <w:spacing w:val="-4"/>
        </w:rPr>
        <w:t xml:space="preserve"> </w:t>
      </w:r>
      <w:r>
        <w:t>“Notes” section under HPMS Home &gt; Plan Bids &gt; Bid Submission &gt; CY2027 &gt; Upload &gt; Substantiation &gt; Next.</w:t>
      </w:r>
    </w:p>
    <w:p>
      <w:pPr>
        <w:spacing w:before="241"/>
        <w:ind w:left="504" w:right="0" w:firstLine="0"/>
        <w:jc w:val="left"/>
        <w:rPr>
          <w:rFonts w:ascii="Arial"/>
          <w:b/>
          <w:sz w:val="21"/>
        </w:rPr>
      </w:pPr>
      <w:bookmarkStart w:id="336" w:name="Cover Sheet"/>
      <w:bookmarkEnd w:id="336"/>
      <w:r>
        <w:rPr>
          <w:rFonts w:ascii="Arial"/>
          <w:b/>
          <w:sz w:val="21"/>
        </w:rPr>
        <w:t>Cover</w:t>
      </w:r>
      <w:r>
        <w:rPr>
          <w:rFonts w:ascii="Arial"/>
          <w:b/>
          <w:spacing w:val="-5"/>
          <w:sz w:val="21"/>
        </w:rPr>
        <w:t xml:space="preserve"> </w:t>
      </w:r>
      <w:r>
        <w:rPr>
          <w:rFonts w:ascii="Arial"/>
          <w:b/>
          <w:spacing w:val="-2"/>
          <w:sz w:val="21"/>
        </w:rPr>
        <w:t>Sheet</w:t>
      </w:r>
    </w:p>
    <w:p>
      <w:pPr>
        <w:pStyle w:val="BodyText"/>
        <w:spacing w:before="120"/>
        <w:ind w:right="1481"/>
      </w:pPr>
      <w:r>
        <w:t>To expedite the bid review process, MAOs must upload a cover sheet that lists all of the supporting</w:t>
      </w:r>
      <w:r>
        <w:rPr>
          <w:spacing w:val="-3"/>
        </w:rPr>
        <w:t xml:space="preserve"> </w:t>
      </w:r>
      <w:r>
        <w:t>documentation</w:t>
      </w:r>
      <w:r>
        <w:rPr>
          <w:spacing w:val="-3"/>
        </w:rPr>
        <w:t xml:space="preserve"> </w:t>
      </w:r>
      <w:r>
        <w:t>that</w:t>
      </w:r>
      <w:r>
        <w:rPr>
          <w:spacing w:val="-3"/>
        </w:rPr>
        <w:t xml:space="preserve"> </w:t>
      </w:r>
      <w:r>
        <w:t>is</w:t>
      </w:r>
      <w:r>
        <w:rPr>
          <w:spacing w:val="-4"/>
        </w:rPr>
        <w:t xml:space="preserve"> </w:t>
      </w:r>
      <w:r>
        <w:t>uploaded</w:t>
      </w:r>
      <w:r>
        <w:rPr>
          <w:spacing w:val="-2"/>
        </w:rPr>
        <w:t xml:space="preserve"> </w:t>
      </w:r>
      <w:r>
        <w:t>or</w:t>
      </w:r>
      <w:r>
        <w:rPr>
          <w:spacing w:val="-3"/>
        </w:rPr>
        <w:t xml:space="preserve"> </w:t>
      </w:r>
      <w:r>
        <w:t>provided</w:t>
      </w:r>
      <w:r>
        <w:rPr>
          <w:spacing w:val="-3"/>
        </w:rPr>
        <w:t xml:space="preserve"> </w:t>
      </w:r>
      <w:r>
        <w:t>with</w:t>
      </w:r>
      <w:r>
        <w:rPr>
          <w:spacing w:val="-3"/>
        </w:rPr>
        <w:t xml:space="preserve"> </w:t>
      </w:r>
      <w:r>
        <w:t>the</w:t>
      </w:r>
      <w:r>
        <w:rPr>
          <w:spacing w:val="-4"/>
        </w:rPr>
        <w:t xml:space="preserve"> </w:t>
      </w:r>
      <w:r>
        <w:t>bid</w:t>
      </w:r>
      <w:r>
        <w:rPr>
          <w:spacing w:val="-3"/>
        </w:rPr>
        <w:t xml:space="preserve"> </w:t>
      </w:r>
      <w:r>
        <w:t>form.</w:t>
      </w:r>
      <w:r>
        <w:rPr>
          <w:spacing w:val="-3"/>
        </w:rPr>
        <w:t xml:space="preserve"> </w:t>
      </w:r>
      <w:r>
        <w:t>The</w:t>
      </w:r>
      <w:r>
        <w:rPr>
          <w:spacing w:val="-4"/>
        </w:rPr>
        <w:t xml:space="preserve"> </w:t>
      </w:r>
      <w:r>
        <w:t>filename</w:t>
      </w:r>
      <w:r>
        <w:rPr>
          <w:spacing w:val="-3"/>
        </w:rPr>
        <w:t xml:space="preserve"> </w:t>
      </w:r>
      <w:r>
        <w:t>must include</w:t>
      </w:r>
      <w:r>
        <w:rPr>
          <w:spacing w:val="-4"/>
        </w:rPr>
        <w:t xml:space="preserve"> </w:t>
      </w:r>
      <w:r>
        <w:t>the</w:t>
      </w:r>
      <w:r>
        <w:rPr>
          <w:spacing w:val="-1"/>
        </w:rPr>
        <w:t xml:space="preserve"> </w:t>
      </w:r>
      <w:r>
        <w:t>phrase</w:t>
      </w:r>
      <w:r>
        <w:rPr>
          <w:spacing w:val="-2"/>
        </w:rPr>
        <w:t xml:space="preserve"> </w:t>
      </w:r>
      <w:r>
        <w:t>“cover</w:t>
      </w:r>
      <w:r>
        <w:rPr>
          <w:spacing w:val="1"/>
        </w:rPr>
        <w:t xml:space="preserve"> </w:t>
      </w:r>
      <w:r>
        <w:t>sheet.”</w:t>
      </w:r>
      <w:r>
        <w:rPr>
          <w:spacing w:val="-1"/>
        </w:rPr>
        <w:t xml:space="preserve"> </w:t>
      </w:r>
      <w:r>
        <w:t>A</w:t>
      </w:r>
      <w:r>
        <w:rPr>
          <w:spacing w:val="-2"/>
        </w:rPr>
        <w:t xml:space="preserve"> </w:t>
      </w:r>
      <w:r>
        <w:t>cover sheet</w:t>
      </w:r>
      <w:r>
        <w:rPr>
          <w:spacing w:val="-1"/>
        </w:rPr>
        <w:t xml:space="preserve"> </w:t>
      </w:r>
      <w:r>
        <w:t>is</w:t>
      </w:r>
      <w:r>
        <w:rPr>
          <w:spacing w:val="-2"/>
        </w:rPr>
        <w:t xml:space="preserve"> </w:t>
      </w:r>
      <w:r>
        <w:t>required</w:t>
      </w:r>
      <w:r>
        <w:rPr>
          <w:spacing w:val="-1"/>
        </w:rPr>
        <w:t xml:space="preserve"> </w:t>
      </w:r>
      <w:r>
        <w:t>for each</w:t>
      </w:r>
      <w:r>
        <w:rPr>
          <w:spacing w:val="-1"/>
        </w:rPr>
        <w:t xml:space="preserve"> </w:t>
      </w:r>
      <w:r>
        <w:t xml:space="preserve">upload of </w:t>
      </w:r>
      <w:r>
        <w:rPr>
          <w:spacing w:val="-2"/>
        </w:rPr>
        <w:t>substantiation.</w:t>
      </w:r>
    </w:p>
    <w:p>
      <w:pPr>
        <w:pStyle w:val="BodyText"/>
        <w:spacing w:before="120"/>
        <w:ind w:right="1469"/>
        <w:jc w:val="both"/>
      </w:pPr>
      <w:r>
        <w:t>The</w:t>
      </w:r>
      <w:r>
        <w:rPr>
          <w:spacing w:val="-1"/>
        </w:rPr>
        <w:t xml:space="preserve"> </w:t>
      </w:r>
      <w:r>
        <w:t>cover sheet must include detailed information for</w:t>
      </w:r>
      <w:r>
        <w:rPr>
          <w:spacing w:val="-1"/>
        </w:rPr>
        <w:t xml:space="preserve"> </w:t>
      </w:r>
      <w:r>
        <w:t>each support item—such as the filename and</w:t>
      </w:r>
      <w:r>
        <w:rPr>
          <w:spacing w:val="-3"/>
        </w:rPr>
        <w:t xml:space="preserve"> </w:t>
      </w:r>
      <w:r>
        <w:t>the</w:t>
      </w:r>
      <w:r>
        <w:rPr>
          <w:spacing w:val="-3"/>
        </w:rPr>
        <w:t xml:space="preserve"> </w:t>
      </w:r>
      <w:r>
        <w:t>location</w:t>
      </w:r>
      <w:r>
        <w:rPr>
          <w:spacing w:val="-3"/>
        </w:rPr>
        <w:t xml:space="preserve"> </w:t>
      </w:r>
      <w:r>
        <w:t>within</w:t>
      </w:r>
      <w:r>
        <w:rPr>
          <w:spacing w:val="-3"/>
        </w:rPr>
        <w:t xml:space="preserve"> </w:t>
      </w:r>
      <w:r>
        <w:t>the</w:t>
      </w:r>
      <w:r>
        <w:rPr>
          <w:spacing w:val="-3"/>
        </w:rPr>
        <w:t xml:space="preserve"> </w:t>
      </w:r>
      <w:r>
        <w:t>file,</w:t>
      </w:r>
      <w:r>
        <w:rPr>
          <w:spacing w:val="-3"/>
        </w:rPr>
        <w:t xml:space="preserve"> </w:t>
      </w:r>
      <w:r>
        <w:t>if</w:t>
      </w:r>
      <w:r>
        <w:rPr>
          <w:spacing w:val="-3"/>
        </w:rPr>
        <w:t xml:space="preserve"> </w:t>
      </w:r>
      <w:r>
        <w:t>applicable—and</w:t>
      </w:r>
      <w:r>
        <w:rPr>
          <w:spacing w:val="-1"/>
        </w:rPr>
        <w:t xml:space="preserve"> </w:t>
      </w:r>
      <w:r>
        <w:t>must</w:t>
      </w:r>
      <w:r>
        <w:rPr>
          <w:spacing w:val="-2"/>
        </w:rPr>
        <w:t xml:space="preserve"> </w:t>
      </w:r>
      <w:r>
        <w:t>clearly</w:t>
      </w:r>
      <w:r>
        <w:rPr>
          <w:spacing w:val="-3"/>
        </w:rPr>
        <w:t xml:space="preserve"> </w:t>
      </w:r>
      <w:r>
        <w:t>identify</w:t>
      </w:r>
      <w:r>
        <w:rPr>
          <w:spacing w:val="-4"/>
        </w:rPr>
        <w:t xml:space="preserve"> </w:t>
      </w:r>
      <w:r>
        <w:t>the</w:t>
      </w:r>
      <w:r>
        <w:rPr>
          <w:spacing w:val="-2"/>
        </w:rPr>
        <w:t xml:space="preserve"> </w:t>
      </w:r>
      <w:r>
        <w:t>bids</w:t>
      </w:r>
      <w:r>
        <w:rPr>
          <w:spacing w:val="-3"/>
        </w:rPr>
        <w:t xml:space="preserve"> </w:t>
      </w:r>
      <w:r>
        <w:t>for</w:t>
      </w:r>
      <w:r>
        <w:rPr>
          <w:spacing w:val="-5"/>
        </w:rPr>
        <w:t xml:space="preserve"> </w:t>
      </w:r>
      <w:r>
        <w:t>which</w:t>
      </w:r>
      <w:r>
        <w:rPr>
          <w:spacing w:val="-3"/>
        </w:rPr>
        <w:t xml:space="preserve"> </w:t>
      </w:r>
      <w:r>
        <w:t>such support item applies and whether the substantiation is related to MA, Part D, or both.</w:t>
      </w:r>
    </w:p>
    <w:p>
      <w:pPr>
        <w:pStyle w:val="BodyText"/>
        <w:spacing w:before="121"/>
        <w:ind w:right="1596"/>
      </w:pPr>
      <w:r>
        <w:t>Note that some documentation requirements apply to every bid (for example, every bid contains a risk score assumption), while other documentation requirements apply only to bids that contain certain assumptions (for example, manual rate documentation applies only if a bid’s</w:t>
      </w:r>
      <w:r>
        <w:rPr>
          <w:spacing w:val="-4"/>
        </w:rPr>
        <w:t xml:space="preserve"> </w:t>
      </w:r>
      <w:r>
        <w:t>projection</w:t>
      </w:r>
      <w:r>
        <w:rPr>
          <w:spacing w:val="-3"/>
        </w:rPr>
        <w:t xml:space="preserve"> </w:t>
      </w:r>
      <w:r>
        <w:t>is</w:t>
      </w:r>
      <w:r>
        <w:rPr>
          <w:spacing w:val="-3"/>
        </w:rPr>
        <w:t xml:space="preserve"> </w:t>
      </w:r>
      <w:r>
        <w:t>based</w:t>
      </w:r>
      <w:r>
        <w:rPr>
          <w:spacing w:val="-1"/>
        </w:rPr>
        <w:t xml:space="preserve"> </w:t>
      </w:r>
      <w:r>
        <w:t>on</w:t>
      </w:r>
      <w:r>
        <w:rPr>
          <w:spacing w:val="-3"/>
        </w:rPr>
        <w:t xml:space="preserve"> </w:t>
      </w:r>
      <w:r>
        <w:t>manual</w:t>
      </w:r>
      <w:r>
        <w:rPr>
          <w:spacing w:val="-3"/>
        </w:rPr>
        <w:t xml:space="preserve"> </w:t>
      </w:r>
      <w:r>
        <w:t>rates).</w:t>
      </w:r>
      <w:r>
        <w:rPr>
          <w:spacing w:val="-1"/>
        </w:rPr>
        <w:t xml:space="preserve"> </w:t>
      </w:r>
      <w:r>
        <w:t>For</w:t>
      </w:r>
      <w:r>
        <w:rPr>
          <w:spacing w:val="-3"/>
        </w:rPr>
        <w:t xml:space="preserve"> </w:t>
      </w:r>
      <w:r>
        <w:t>documentation</w:t>
      </w:r>
      <w:r>
        <w:rPr>
          <w:spacing w:val="-3"/>
        </w:rPr>
        <w:t xml:space="preserve"> </w:t>
      </w:r>
      <w:r>
        <w:t>categories</w:t>
      </w:r>
      <w:r>
        <w:rPr>
          <w:spacing w:val="-4"/>
        </w:rPr>
        <w:t xml:space="preserve"> </w:t>
      </w:r>
      <w:r>
        <w:t>that</w:t>
      </w:r>
      <w:r>
        <w:rPr>
          <w:spacing w:val="-3"/>
        </w:rPr>
        <w:t xml:space="preserve"> </w:t>
      </w:r>
      <w:r>
        <w:t>apply</w:t>
      </w:r>
      <w:r>
        <w:rPr>
          <w:spacing w:val="-1"/>
        </w:rPr>
        <w:t xml:space="preserve"> </w:t>
      </w:r>
      <w:r>
        <w:t>to</w:t>
      </w:r>
      <w:r>
        <w:rPr>
          <w:spacing w:val="-3"/>
        </w:rPr>
        <w:t xml:space="preserve"> </w:t>
      </w:r>
      <w:r>
        <w:t>a</w:t>
      </w:r>
      <w:r>
        <w:rPr>
          <w:spacing w:val="-4"/>
        </w:rPr>
        <w:t xml:space="preserve"> </w:t>
      </w:r>
      <w:r>
        <w:t>subset of bids that contain a specified assumption, the cover sheet must not refer to a range of Contract-Plan ID-Segment IDs (such as “plans 001 – 030” or “all plans under contract Hxxxx”). For these items, the cover sheet must contain the exact Contract-Plan ID-</w:t>
      </w:r>
    </w:p>
    <w:p>
      <w:pPr>
        <w:pStyle w:val="BodyText"/>
        <w:spacing w:line="274" w:lineRule="exact"/>
      </w:pPr>
      <w:r>
        <w:t>Segment</w:t>
      </w:r>
      <w:r>
        <w:rPr>
          <w:spacing w:val="-4"/>
        </w:rPr>
        <w:t xml:space="preserve"> </w:t>
      </w:r>
      <w:r>
        <w:t>IDs</w:t>
      </w:r>
      <w:r>
        <w:rPr>
          <w:spacing w:val="-1"/>
        </w:rPr>
        <w:t xml:space="preserve"> </w:t>
      </w:r>
      <w:r>
        <w:t>to</w:t>
      </w:r>
      <w:r>
        <w:rPr>
          <w:spacing w:val="-1"/>
        </w:rPr>
        <w:t xml:space="preserve"> </w:t>
      </w:r>
      <w:r>
        <w:t>which</w:t>
      </w:r>
      <w:r>
        <w:rPr>
          <w:spacing w:val="-2"/>
        </w:rPr>
        <w:t xml:space="preserve"> </w:t>
      </w:r>
      <w:r>
        <w:t>the</w:t>
      </w:r>
      <w:r>
        <w:rPr>
          <w:spacing w:val="-1"/>
        </w:rPr>
        <w:t xml:space="preserve"> </w:t>
      </w:r>
      <w:r>
        <w:t xml:space="preserve">documentation </w:t>
      </w:r>
      <w:r>
        <w:rPr>
          <w:spacing w:val="-2"/>
        </w:rPr>
        <w:t>applies.</w:t>
      </w:r>
    </w:p>
    <w:p>
      <w:pPr>
        <w:pStyle w:val="BodyText"/>
        <w:spacing w:before="120"/>
        <w:ind w:right="1481"/>
      </w:pPr>
      <w:r>
        <w:t>For subsequent substantiation uploads, the cover sheet must summarize the additional documents</w:t>
      </w:r>
      <w:r>
        <w:rPr>
          <w:spacing w:val="-4"/>
        </w:rPr>
        <w:t xml:space="preserve"> </w:t>
      </w:r>
      <w:r>
        <w:t>uploaded</w:t>
      </w:r>
      <w:r>
        <w:rPr>
          <w:spacing w:val="-3"/>
        </w:rPr>
        <w:t xml:space="preserve"> </w:t>
      </w:r>
      <w:r>
        <w:t>at</w:t>
      </w:r>
      <w:r>
        <w:rPr>
          <w:spacing w:val="-3"/>
        </w:rPr>
        <w:t xml:space="preserve"> </w:t>
      </w:r>
      <w:r>
        <w:t>that</w:t>
      </w:r>
      <w:r>
        <w:rPr>
          <w:spacing w:val="-3"/>
        </w:rPr>
        <w:t xml:space="preserve"> </w:t>
      </w:r>
      <w:r>
        <w:t>time</w:t>
      </w:r>
      <w:r>
        <w:rPr>
          <w:spacing w:val="-4"/>
        </w:rPr>
        <w:t xml:space="preserve"> </w:t>
      </w:r>
      <w:r>
        <w:t>(that</w:t>
      </w:r>
      <w:r>
        <w:rPr>
          <w:spacing w:val="-3"/>
        </w:rPr>
        <w:t xml:space="preserve"> </w:t>
      </w:r>
      <w:r>
        <w:t>is,</w:t>
      </w:r>
      <w:r>
        <w:rPr>
          <w:spacing w:val="-3"/>
        </w:rPr>
        <w:t xml:space="preserve"> </w:t>
      </w:r>
      <w:r>
        <w:t>the</w:t>
      </w:r>
      <w:r>
        <w:rPr>
          <w:spacing w:val="-4"/>
        </w:rPr>
        <w:t xml:space="preserve"> </w:t>
      </w:r>
      <w:r>
        <w:t>initial</w:t>
      </w:r>
      <w:r>
        <w:rPr>
          <w:spacing w:val="-2"/>
        </w:rPr>
        <w:t xml:space="preserve"> </w:t>
      </w:r>
      <w:r>
        <w:t>cover</w:t>
      </w:r>
      <w:r>
        <w:rPr>
          <w:spacing w:val="-3"/>
        </w:rPr>
        <w:t xml:space="preserve"> </w:t>
      </w:r>
      <w:r>
        <w:t>sheet</w:t>
      </w:r>
      <w:r>
        <w:rPr>
          <w:spacing w:val="-3"/>
        </w:rPr>
        <w:t xml:space="preserve"> </w:t>
      </w:r>
      <w:r>
        <w:t>must</w:t>
      </w:r>
      <w:r>
        <w:rPr>
          <w:spacing w:val="-2"/>
        </w:rPr>
        <w:t xml:space="preserve"> </w:t>
      </w:r>
      <w:r>
        <w:t>not</w:t>
      </w:r>
      <w:r>
        <w:rPr>
          <w:spacing w:val="-3"/>
        </w:rPr>
        <w:t xml:space="preserve"> </w:t>
      </w:r>
      <w:r>
        <w:t>be</w:t>
      </w:r>
      <w:r>
        <w:rPr>
          <w:spacing w:val="-3"/>
        </w:rPr>
        <w:t xml:space="preserve"> </w:t>
      </w:r>
      <w:r>
        <w:t>maintained</w:t>
      </w:r>
      <w:r>
        <w:rPr>
          <w:spacing w:val="-3"/>
        </w:rPr>
        <w:t xml:space="preserve"> </w:t>
      </w:r>
      <w:r>
        <w:t>as</w:t>
      </w:r>
      <w:r>
        <w:rPr>
          <w:spacing w:val="-4"/>
        </w:rPr>
        <w:t xml:space="preserve"> </w:t>
      </w:r>
      <w:r>
        <w:t>a cumulative list). The subsequent cover sheets must also contain the exact Contract-</w:t>
      </w:r>
    </w:p>
    <w:p>
      <w:pPr>
        <w:pStyle w:val="BodyText"/>
      </w:pPr>
      <w:r>
        <w:t>Plan</w:t>
      </w:r>
      <w:r>
        <w:rPr>
          <w:spacing w:val="-3"/>
        </w:rPr>
        <w:t xml:space="preserve"> </w:t>
      </w:r>
      <w:r>
        <w:t>ID-Segment IDs</w:t>
      </w:r>
      <w:r>
        <w:rPr>
          <w:spacing w:val="-3"/>
        </w:rPr>
        <w:t xml:space="preserve"> </w:t>
      </w:r>
      <w:r>
        <w:t>rather</w:t>
      </w:r>
      <w:r>
        <w:rPr>
          <w:spacing w:val="-2"/>
        </w:rPr>
        <w:t xml:space="preserve"> </w:t>
      </w:r>
      <w:r>
        <w:t>than</w:t>
      </w:r>
      <w:r>
        <w:rPr>
          <w:spacing w:val="-2"/>
        </w:rPr>
        <w:t xml:space="preserve"> </w:t>
      </w:r>
      <w:r>
        <w:t>a</w:t>
      </w:r>
      <w:r>
        <w:rPr>
          <w:spacing w:val="-1"/>
        </w:rPr>
        <w:t xml:space="preserve"> </w:t>
      </w:r>
      <w:r>
        <w:t>range</w:t>
      </w:r>
      <w:r>
        <w:rPr>
          <w:spacing w:val="-3"/>
        </w:rPr>
        <w:t xml:space="preserve"> </w:t>
      </w:r>
      <w:r>
        <w:t>of</w:t>
      </w:r>
      <w:r>
        <w:rPr>
          <w:spacing w:val="-2"/>
        </w:rPr>
        <w:t xml:space="preserve"> </w:t>
      </w:r>
      <w:r>
        <w:t>Contract-Plan ID-Segment</w:t>
      </w:r>
      <w:r>
        <w:rPr>
          <w:spacing w:val="1"/>
        </w:rPr>
        <w:t xml:space="preserve"> </w:t>
      </w:r>
      <w:r>
        <w:rPr>
          <w:spacing w:val="-4"/>
        </w:rPr>
        <w:t>IDs.</w:t>
      </w:r>
    </w:p>
    <w:p>
      <w:pPr>
        <w:pStyle w:val="BodyText"/>
        <w:spacing w:before="120"/>
        <w:ind w:right="1481"/>
      </w:pPr>
      <w:r>
        <w:t>Sample</w:t>
      </w:r>
      <w:r>
        <w:rPr>
          <w:spacing w:val="-4"/>
        </w:rPr>
        <w:t xml:space="preserve"> </w:t>
      </w:r>
      <w:r>
        <w:t>check</w:t>
      </w:r>
      <w:r>
        <w:rPr>
          <w:spacing w:val="-3"/>
        </w:rPr>
        <w:t xml:space="preserve"> </w:t>
      </w:r>
      <w:r>
        <w:t>lists</w:t>
      </w:r>
      <w:r>
        <w:rPr>
          <w:spacing w:val="-3"/>
        </w:rPr>
        <w:t xml:space="preserve"> </w:t>
      </w:r>
      <w:r>
        <w:t>and</w:t>
      </w:r>
      <w:r>
        <w:rPr>
          <w:spacing w:val="-3"/>
        </w:rPr>
        <w:t xml:space="preserve"> </w:t>
      </w:r>
      <w:r>
        <w:t>cover</w:t>
      </w:r>
      <w:r>
        <w:rPr>
          <w:spacing w:val="-3"/>
        </w:rPr>
        <w:t xml:space="preserve"> </w:t>
      </w:r>
      <w:r>
        <w:t>sheets</w:t>
      </w:r>
      <w:r>
        <w:rPr>
          <w:spacing w:val="-4"/>
        </w:rPr>
        <w:t xml:space="preserve"> </w:t>
      </w:r>
      <w:r>
        <w:t>for</w:t>
      </w:r>
      <w:r>
        <w:rPr>
          <w:spacing w:val="-3"/>
        </w:rPr>
        <w:t xml:space="preserve"> </w:t>
      </w:r>
      <w:r>
        <w:t>the</w:t>
      </w:r>
      <w:r>
        <w:rPr>
          <w:spacing w:val="-5"/>
        </w:rPr>
        <w:t xml:space="preserve"> </w:t>
      </w:r>
      <w:r>
        <w:t>initial</w:t>
      </w:r>
      <w:r>
        <w:rPr>
          <w:spacing w:val="-3"/>
        </w:rPr>
        <w:t xml:space="preserve"> </w:t>
      </w:r>
      <w:r>
        <w:t>June</w:t>
      </w:r>
      <w:r>
        <w:rPr>
          <w:spacing w:val="-3"/>
        </w:rPr>
        <w:t xml:space="preserve"> </w:t>
      </w:r>
      <w:r>
        <w:t>bid</w:t>
      </w:r>
      <w:r>
        <w:rPr>
          <w:spacing w:val="-3"/>
        </w:rPr>
        <w:t xml:space="preserve"> </w:t>
      </w:r>
      <w:r>
        <w:t>submission,</w:t>
      </w:r>
      <w:r>
        <w:rPr>
          <w:spacing w:val="-3"/>
        </w:rPr>
        <w:t xml:space="preserve"> </w:t>
      </w:r>
      <w:r>
        <w:t>and</w:t>
      </w:r>
      <w:r>
        <w:rPr>
          <w:spacing w:val="-3"/>
        </w:rPr>
        <w:t xml:space="preserve"> </w:t>
      </w:r>
      <w:r>
        <w:t>for</w:t>
      </w:r>
      <w:r>
        <w:rPr>
          <w:spacing w:val="-3"/>
        </w:rPr>
        <w:t xml:space="preserve"> </w:t>
      </w:r>
      <w:r>
        <w:t>subsequent substantiation uploads, are provided at the end of this appendix.</w:t>
      </w:r>
    </w:p>
    <w:p>
      <w:pPr>
        <w:spacing w:before="241"/>
        <w:ind w:left="504" w:right="0" w:firstLine="0"/>
        <w:jc w:val="left"/>
        <w:rPr>
          <w:rFonts w:ascii="Arial"/>
          <w:b/>
          <w:sz w:val="21"/>
        </w:rPr>
      </w:pPr>
      <w:bookmarkStart w:id="337" w:name="Timing"/>
      <w:bookmarkEnd w:id="337"/>
      <w:r>
        <w:rPr>
          <w:rFonts w:ascii="Arial"/>
          <w:b/>
          <w:spacing w:val="-2"/>
          <w:sz w:val="21"/>
        </w:rPr>
        <w:t>Timing</w:t>
      </w:r>
    </w:p>
    <w:p>
      <w:pPr>
        <w:pStyle w:val="BodyText"/>
        <w:spacing w:before="120"/>
        <w:ind w:right="1481"/>
      </w:pPr>
      <w:r>
        <w:t>MAOs and certifying actuaries must prepare all supporting documentation at the time of the initial</w:t>
      </w:r>
      <w:r>
        <w:rPr>
          <w:spacing w:val="-3"/>
        </w:rPr>
        <w:t xml:space="preserve"> </w:t>
      </w:r>
      <w:r>
        <w:t>June</w:t>
      </w:r>
      <w:r>
        <w:rPr>
          <w:spacing w:val="-3"/>
        </w:rPr>
        <w:t xml:space="preserve"> </w:t>
      </w:r>
      <w:r>
        <w:t>bid</w:t>
      </w:r>
      <w:r>
        <w:rPr>
          <w:spacing w:val="-3"/>
        </w:rPr>
        <w:t xml:space="preserve"> </w:t>
      </w:r>
      <w:r>
        <w:t>submission</w:t>
      </w:r>
      <w:r>
        <w:rPr>
          <w:spacing w:val="-2"/>
        </w:rPr>
        <w:t xml:space="preserve"> </w:t>
      </w:r>
      <w:r>
        <w:t>so</w:t>
      </w:r>
      <w:r>
        <w:rPr>
          <w:spacing w:val="-3"/>
        </w:rPr>
        <w:t xml:space="preserve"> </w:t>
      </w:r>
      <w:r>
        <w:t>that</w:t>
      </w:r>
      <w:r>
        <w:rPr>
          <w:spacing w:val="-3"/>
        </w:rPr>
        <w:t xml:space="preserve"> </w:t>
      </w:r>
      <w:r>
        <w:t>it</w:t>
      </w:r>
      <w:r>
        <w:rPr>
          <w:spacing w:val="-3"/>
        </w:rPr>
        <w:t xml:space="preserve"> </w:t>
      </w:r>
      <w:r>
        <w:t>is</w:t>
      </w:r>
      <w:r>
        <w:rPr>
          <w:spacing w:val="-3"/>
        </w:rPr>
        <w:t xml:space="preserve"> </w:t>
      </w:r>
      <w:r>
        <w:t>immediately</w:t>
      </w:r>
      <w:r>
        <w:rPr>
          <w:spacing w:val="-3"/>
        </w:rPr>
        <w:t xml:space="preserve"> </w:t>
      </w:r>
      <w:r>
        <w:t>available</w:t>
      </w:r>
      <w:r>
        <w:rPr>
          <w:spacing w:val="-3"/>
        </w:rPr>
        <w:t xml:space="preserve"> </w:t>
      </w:r>
      <w:r>
        <w:t>to</w:t>
      </w:r>
      <w:r>
        <w:rPr>
          <w:spacing w:val="-3"/>
        </w:rPr>
        <w:t xml:space="preserve"> </w:t>
      </w:r>
      <w:r>
        <w:t>CMS</w:t>
      </w:r>
      <w:r>
        <w:rPr>
          <w:spacing w:val="-2"/>
        </w:rPr>
        <w:t xml:space="preserve"> </w:t>
      </w:r>
      <w:r>
        <w:t>and</w:t>
      </w:r>
      <w:r>
        <w:rPr>
          <w:spacing w:val="-3"/>
        </w:rPr>
        <w:t xml:space="preserve"> </w:t>
      </w:r>
      <w:r>
        <w:t>reviewers</w:t>
      </w:r>
      <w:r>
        <w:rPr>
          <w:spacing w:val="-1"/>
        </w:rPr>
        <w:t xml:space="preserve"> </w:t>
      </w:r>
      <w:r>
        <w:t>at</w:t>
      </w:r>
      <w:r>
        <w:rPr>
          <w:spacing w:val="-3"/>
        </w:rPr>
        <w:t xml:space="preserve"> </w:t>
      </w:r>
      <w:r>
        <w:t>the</w:t>
      </w:r>
      <w:r>
        <w:rPr>
          <w:spacing w:val="-3"/>
        </w:rPr>
        <w:t xml:space="preserve"> </w:t>
      </w:r>
      <w:r>
        <w:t>time of that submission or readily available upon request as explained below.</w:t>
      </w:r>
    </w:p>
    <w:p>
      <w:pPr>
        <w:pStyle w:val="ListParagraph"/>
        <w:numPr>
          <w:ilvl w:val="0"/>
          <w:numId w:val="36"/>
        </w:numPr>
        <w:tabs>
          <w:tab w:val="left" w:pos="1224"/>
        </w:tabs>
        <w:spacing w:before="120" w:after="0" w:line="240" w:lineRule="auto"/>
        <w:ind w:left="1224" w:right="2123" w:hanging="360"/>
        <w:jc w:val="left"/>
        <w:rPr>
          <w:sz w:val="24"/>
        </w:rPr>
      </w:pPr>
      <w:r>
        <w:rPr>
          <w:sz w:val="24"/>
        </w:rPr>
        <w:t>The “Initial June Bid Submission” section of Appendix B describes supporting documentation</w:t>
      </w:r>
      <w:r>
        <w:rPr>
          <w:spacing w:val="-4"/>
          <w:sz w:val="24"/>
        </w:rPr>
        <w:t xml:space="preserve"> </w:t>
      </w:r>
      <w:r>
        <w:rPr>
          <w:sz w:val="24"/>
        </w:rPr>
        <w:t>materials</w:t>
      </w:r>
      <w:r>
        <w:rPr>
          <w:spacing w:val="-1"/>
          <w:sz w:val="24"/>
        </w:rPr>
        <w:t xml:space="preserve"> </w:t>
      </w:r>
      <w:r>
        <w:rPr>
          <w:sz w:val="24"/>
        </w:rPr>
        <w:t>that</w:t>
      </w:r>
      <w:r>
        <w:rPr>
          <w:spacing w:val="-4"/>
          <w:sz w:val="24"/>
        </w:rPr>
        <w:t xml:space="preserve"> </w:t>
      </w:r>
      <w:r>
        <w:rPr>
          <w:sz w:val="24"/>
        </w:rPr>
        <w:t>MAOs</w:t>
      </w:r>
      <w:r>
        <w:rPr>
          <w:spacing w:val="-5"/>
          <w:sz w:val="24"/>
        </w:rPr>
        <w:t xml:space="preserve"> </w:t>
      </w:r>
      <w:r>
        <w:rPr>
          <w:sz w:val="24"/>
        </w:rPr>
        <w:t>must</w:t>
      </w:r>
      <w:r>
        <w:rPr>
          <w:spacing w:val="-4"/>
          <w:sz w:val="24"/>
        </w:rPr>
        <w:t xml:space="preserve"> </w:t>
      </w:r>
      <w:r>
        <w:rPr>
          <w:sz w:val="24"/>
        </w:rPr>
        <w:t>upload</w:t>
      </w:r>
      <w:r>
        <w:rPr>
          <w:spacing w:val="-4"/>
          <w:sz w:val="24"/>
        </w:rPr>
        <w:t xml:space="preserve"> </w:t>
      </w:r>
      <w:r>
        <w:rPr>
          <w:sz w:val="24"/>
        </w:rPr>
        <w:t>to</w:t>
      </w:r>
      <w:r>
        <w:rPr>
          <w:spacing w:val="-4"/>
          <w:sz w:val="24"/>
        </w:rPr>
        <w:t xml:space="preserve"> </w:t>
      </w:r>
      <w:r>
        <w:rPr>
          <w:sz w:val="24"/>
        </w:rPr>
        <w:t>HPMS</w:t>
      </w:r>
      <w:r>
        <w:rPr>
          <w:spacing w:val="-4"/>
          <w:sz w:val="24"/>
        </w:rPr>
        <w:t xml:space="preserve"> </w:t>
      </w:r>
      <w:r>
        <w:rPr>
          <w:sz w:val="24"/>
        </w:rPr>
        <w:t>with</w:t>
      </w:r>
      <w:r>
        <w:rPr>
          <w:spacing w:val="-3"/>
          <w:sz w:val="24"/>
        </w:rPr>
        <w:t xml:space="preserve"> </w:t>
      </w:r>
      <w:r>
        <w:rPr>
          <w:sz w:val="24"/>
        </w:rPr>
        <w:t>that</w:t>
      </w:r>
      <w:r>
        <w:rPr>
          <w:spacing w:val="-4"/>
          <w:sz w:val="24"/>
        </w:rPr>
        <w:t xml:space="preserve"> </w:t>
      </w:r>
      <w:r>
        <w:rPr>
          <w:sz w:val="24"/>
        </w:rPr>
        <w:t>submission.</w:t>
      </w:r>
    </w:p>
    <w:p>
      <w:pPr>
        <w:pStyle w:val="ListParagraph"/>
        <w:numPr>
          <w:ilvl w:val="0"/>
          <w:numId w:val="36"/>
        </w:numPr>
        <w:tabs>
          <w:tab w:val="left" w:pos="1224"/>
        </w:tabs>
        <w:spacing w:before="0" w:after="0" w:line="240" w:lineRule="auto"/>
        <w:ind w:left="1224" w:right="1442" w:hanging="360"/>
        <w:jc w:val="left"/>
        <w:rPr>
          <w:sz w:val="24"/>
        </w:rPr>
      </w:pPr>
      <w:r>
        <w:rPr>
          <w:sz w:val="24"/>
        </w:rPr>
        <w:t>The</w:t>
      </w:r>
      <w:r>
        <w:rPr>
          <w:spacing w:val="-5"/>
          <w:sz w:val="24"/>
        </w:rPr>
        <w:t xml:space="preserve"> </w:t>
      </w:r>
      <w:r>
        <w:rPr>
          <w:sz w:val="24"/>
        </w:rPr>
        <w:t>“Upon</w:t>
      </w:r>
      <w:r>
        <w:rPr>
          <w:spacing w:val="-4"/>
          <w:sz w:val="24"/>
        </w:rPr>
        <w:t xml:space="preserve"> </w:t>
      </w:r>
      <w:r>
        <w:rPr>
          <w:sz w:val="24"/>
        </w:rPr>
        <w:t>Request</w:t>
      </w:r>
      <w:r>
        <w:rPr>
          <w:spacing w:val="-4"/>
          <w:sz w:val="24"/>
        </w:rPr>
        <w:t xml:space="preserve"> </w:t>
      </w:r>
      <w:r>
        <w:rPr>
          <w:sz w:val="24"/>
        </w:rPr>
        <w:t>by</w:t>
      </w:r>
      <w:r>
        <w:rPr>
          <w:spacing w:val="-4"/>
          <w:sz w:val="24"/>
        </w:rPr>
        <w:t xml:space="preserve"> </w:t>
      </w:r>
      <w:r>
        <w:rPr>
          <w:sz w:val="24"/>
        </w:rPr>
        <w:t>CMS</w:t>
      </w:r>
      <w:r>
        <w:rPr>
          <w:spacing w:val="-4"/>
          <w:sz w:val="24"/>
        </w:rPr>
        <w:t xml:space="preserve"> </w:t>
      </w:r>
      <w:r>
        <w:rPr>
          <w:sz w:val="24"/>
        </w:rPr>
        <w:t>Reviewers”</w:t>
      </w:r>
      <w:r>
        <w:rPr>
          <w:spacing w:val="-5"/>
          <w:sz w:val="24"/>
        </w:rPr>
        <w:t xml:space="preserve"> </w:t>
      </w:r>
      <w:r>
        <w:rPr>
          <w:sz w:val="24"/>
        </w:rPr>
        <w:t>section</w:t>
      </w:r>
      <w:r>
        <w:rPr>
          <w:spacing w:val="-4"/>
          <w:sz w:val="24"/>
        </w:rPr>
        <w:t xml:space="preserve"> </w:t>
      </w:r>
      <w:r>
        <w:rPr>
          <w:sz w:val="24"/>
        </w:rPr>
        <w:t>of</w:t>
      </w:r>
      <w:r>
        <w:rPr>
          <w:spacing w:val="-3"/>
          <w:sz w:val="24"/>
        </w:rPr>
        <w:t xml:space="preserve"> </w:t>
      </w:r>
      <w:r>
        <w:rPr>
          <w:sz w:val="24"/>
        </w:rPr>
        <w:t>Appendix</w:t>
      </w:r>
      <w:r>
        <w:rPr>
          <w:spacing w:val="-4"/>
          <w:sz w:val="24"/>
        </w:rPr>
        <w:t xml:space="preserve"> </w:t>
      </w:r>
      <w:r>
        <w:rPr>
          <w:sz w:val="24"/>
        </w:rPr>
        <w:t>B</w:t>
      </w:r>
      <w:r>
        <w:rPr>
          <w:spacing w:val="-3"/>
          <w:sz w:val="24"/>
        </w:rPr>
        <w:t xml:space="preserve"> </w:t>
      </w:r>
      <w:r>
        <w:rPr>
          <w:sz w:val="24"/>
        </w:rPr>
        <w:t>describes</w:t>
      </w:r>
      <w:r>
        <w:rPr>
          <w:spacing w:val="-2"/>
          <w:sz w:val="24"/>
        </w:rPr>
        <w:t xml:space="preserve"> </w:t>
      </w:r>
      <w:r>
        <w:rPr>
          <w:sz w:val="24"/>
        </w:rPr>
        <w:t>materials</w:t>
      </w:r>
      <w:r>
        <w:rPr>
          <w:spacing w:val="-4"/>
          <w:sz w:val="24"/>
        </w:rPr>
        <w:t xml:space="preserve"> </w:t>
      </w:r>
      <w:r>
        <w:rPr>
          <w:sz w:val="24"/>
        </w:rPr>
        <w:t xml:space="preserve">that MAOs and certifying actuaries must provide within 48 hours of request by CMS </w:t>
      </w:r>
      <w:r>
        <w:rPr>
          <w:spacing w:val="-2"/>
          <w:sz w:val="24"/>
        </w:rPr>
        <w:t>reviewers.</w:t>
      </w:r>
    </w:p>
    <w:p>
      <w:pPr>
        <w:pStyle w:val="ListParagraph"/>
        <w:numPr>
          <w:ilvl w:val="0"/>
          <w:numId w:val="36"/>
        </w:numPr>
        <w:tabs>
          <w:tab w:val="left" w:pos="1224"/>
        </w:tabs>
        <w:spacing w:before="1" w:after="0" w:line="240" w:lineRule="auto"/>
        <w:ind w:left="1224" w:right="1654" w:hanging="360"/>
        <w:jc w:val="left"/>
        <w:rPr>
          <w:sz w:val="24"/>
        </w:rPr>
      </w:pPr>
      <w:r>
        <w:rPr>
          <w:sz w:val="24"/>
        </w:rPr>
        <w:t>When a BPT is resubmitted, the MAO must upload to HPMS a summary of changes, including</w:t>
      </w:r>
      <w:r>
        <w:rPr>
          <w:spacing w:val="-3"/>
          <w:sz w:val="24"/>
        </w:rPr>
        <w:t xml:space="preserve"> </w:t>
      </w:r>
      <w:r>
        <w:rPr>
          <w:sz w:val="24"/>
        </w:rPr>
        <w:t>the</w:t>
      </w:r>
      <w:r>
        <w:rPr>
          <w:spacing w:val="-4"/>
          <w:sz w:val="24"/>
        </w:rPr>
        <w:t xml:space="preserve"> </w:t>
      </w:r>
      <w:r>
        <w:rPr>
          <w:sz w:val="24"/>
        </w:rPr>
        <w:t>cause</w:t>
      </w:r>
      <w:r>
        <w:rPr>
          <w:spacing w:val="-4"/>
          <w:sz w:val="24"/>
        </w:rPr>
        <w:t xml:space="preserve"> </w:t>
      </w:r>
      <w:r>
        <w:rPr>
          <w:sz w:val="24"/>
        </w:rPr>
        <w:t>and</w:t>
      </w:r>
      <w:r>
        <w:rPr>
          <w:spacing w:val="-2"/>
          <w:sz w:val="24"/>
        </w:rPr>
        <w:t xml:space="preserve"> </w:t>
      </w:r>
      <w:r>
        <w:rPr>
          <w:sz w:val="24"/>
        </w:rPr>
        <w:t>effect</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revision</w:t>
      </w:r>
      <w:r>
        <w:rPr>
          <w:spacing w:val="-2"/>
          <w:sz w:val="24"/>
        </w:rPr>
        <w:t xml:space="preserve"> </w:t>
      </w:r>
      <w:r>
        <w:rPr>
          <w:sz w:val="24"/>
        </w:rPr>
        <w:t>authorized</w:t>
      </w:r>
      <w:r>
        <w:rPr>
          <w:spacing w:val="-3"/>
          <w:sz w:val="24"/>
        </w:rPr>
        <w:t xml:space="preserve"> </w:t>
      </w:r>
      <w:r>
        <w:rPr>
          <w:sz w:val="24"/>
        </w:rPr>
        <w:t>by</w:t>
      </w:r>
      <w:r>
        <w:rPr>
          <w:spacing w:val="-3"/>
          <w:sz w:val="24"/>
        </w:rPr>
        <w:t xml:space="preserve"> </w:t>
      </w:r>
      <w:r>
        <w:rPr>
          <w:sz w:val="24"/>
        </w:rPr>
        <w:t>CMS</w:t>
      </w:r>
      <w:r>
        <w:rPr>
          <w:spacing w:val="-3"/>
          <w:sz w:val="24"/>
        </w:rPr>
        <w:t xml:space="preserve"> </w:t>
      </w:r>
      <w:r>
        <w:rPr>
          <w:sz w:val="24"/>
        </w:rPr>
        <w:t>or</w:t>
      </w:r>
      <w:r>
        <w:rPr>
          <w:spacing w:val="-3"/>
          <w:sz w:val="24"/>
        </w:rPr>
        <w:t xml:space="preserve"> </w:t>
      </w:r>
      <w:r>
        <w:rPr>
          <w:sz w:val="24"/>
        </w:rPr>
        <w:t>CMS</w:t>
      </w:r>
      <w:r>
        <w:rPr>
          <w:spacing w:val="-3"/>
          <w:sz w:val="24"/>
        </w:rPr>
        <w:t xml:space="preserve"> </w:t>
      </w:r>
      <w:r>
        <w:rPr>
          <w:sz w:val="24"/>
        </w:rPr>
        <w:t>reviewers, or proposed by the MAO for rebate reallocation.</w:t>
      </w:r>
    </w:p>
    <w:p>
      <w:pPr>
        <w:pStyle w:val="ListParagraph"/>
        <w:numPr>
          <w:ilvl w:val="1"/>
          <w:numId w:val="36"/>
        </w:numPr>
        <w:tabs>
          <w:tab w:val="left" w:pos="1584"/>
        </w:tabs>
        <w:spacing w:before="0" w:after="0" w:line="240" w:lineRule="auto"/>
        <w:ind w:left="1584" w:right="1656" w:hanging="360"/>
        <w:jc w:val="left"/>
        <w:rPr>
          <w:sz w:val="24"/>
        </w:rPr>
      </w:pPr>
      <w:r>
        <w:rPr>
          <w:sz w:val="24"/>
        </w:rPr>
        <w:t>If a BPT is resubmitted for rebate reallocation, CMS expects the upload of the summary of changes to occur by the end of the rebate reallocation period, but not later</w:t>
      </w:r>
      <w:r>
        <w:rPr>
          <w:spacing w:val="-3"/>
          <w:sz w:val="24"/>
        </w:rPr>
        <w:t xml:space="preserve"> </w:t>
      </w:r>
      <w:r>
        <w:rPr>
          <w:sz w:val="24"/>
        </w:rPr>
        <w:t>than</w:t>
      </w:r>
      <w:r>
        <w:rPr>
          <w:spacing w:val="-4"/>
          <w:sz w:val="24"/>
        </w:rPr>
        <w:t xml:space="preserve"> </w:t>
      </w:r>
      <w:r>
        <w:rPr>
          <w:sz w:val="24"/>
        </w:rPr>
        <w:t>prior</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final</w:t>
      </w:r>
      <w:r>
        <w:rPr>
          <w:spacing w:val="-3"/>
          <w:sz w:val="24"/>
        </w:rPr>
        <w:t xml:space="preserve"> </w:t>
      </w:r>
      <w:r>
        <w:rPr>
          <w:sz w:val="24"/>
        </w:rPr>
        <w:t>actuarial</w:t>
      </w:r>
      <w:r>
        <w:rPr>
          <w:spacing w:val="-4"/>
          <w:sz w:val="24"/>
        </w:rPr>
        <w:t xml:space="preserve"> </w:t>
      </w:r>
      <w:r>
        <w:rPr>
          <w:sz w:val="24"/>
        </w:rPr>
        <w:t>certification.</w:t>
      </w:r>
      <w:r>
        <w:rPr>
          <w:spacing w:val="-3"/>
          <w:sz w:val="24"/>
        </w:rPr>
        <w:t xml:space="preserve"> </w:t>
      </w:r>
      <w:r>
        <w:rPr>
          <w:sz w:val="24"/>
        </w:rPr>
        <w:t>For</w:t>
      </w:r>
      <w:r>
        <w:rPr>
          <w:spacing w:val="-4"/>
          <w:sz w:val="24"/>
        </w:rPr>
        <w:t xml:space="preserve"> </w:t>
      </w:r>
      <w:r>
        <w:rPr>
          <w:sz w:val="24"/>
        </w:rPr>
        <w:t>all</w:t>
      </w:r>
      <w:r>
        <w:rPr>
          <w:spacing w:val="-3"/>
          <w:sz w:val="24"/>
        </w:rPr>
        <w:t xml:space="preserve"> </w:t>
      </w:r>
      <w:r>
        <w:rPr>
          <w:sz w:val="24"/>
        </w:rPr>
        <w:t>other</w:t>
      </w:r>
      <w:r>
        <w:rPr>
          <w:spacing w:val="-5"/>
          <w:sz w:val="24"/>
        </w:rPr>
        <w:t xml:space="preserve"> </w:t>
      </w:r>
      <w:r>
        <w:rPr>
          <w:sz w:val="24"/>
        </w:rPr>
        <w:t>BPT</w:t>
      </w:r>
      <w:r>
        <w:rPr>
          <w:spacing w:val="-3"/>
          <w:sz w:val="24"/>
        </w:rPr>
        <w:t xml:space="preserve"> </w:t>
      </w:r>
      <w:r>
        <w:rPr>
          <w:sz w:val="24"/>
        </w:rPr>
        <w:t>resubmissions, such upload must occur when the BPT is resubmitted.</w:t>
      </w:r>
    </w:p>
    <w:p>
      <w:pPr>
        <w:pStyle w:val="ListParagraph"/>
        <w:numPr>
          <w:ilvl w:val="1"/>
          <w:numId w:val="36"/>
        </w:numPr>
        <w:tabs>
          <w:tab w:val="left" w:pos="1584"/>
        </w:tabs>
        <w:spacing w:before="0" w:after="0" w:line="240" w:lineRule="auto"/>
        <w:ind w:left="1584" w:right="1791" w:hanging="360"/>
        <w:jc w:val="left"/>
        <w:rPr>
          <w:sz w:val="24"/>
        </w:rPr>
      </w:pPr>
      <w:r>
        <w:rPr>
          <w:sz w:val="24"/>
        </w:rPr>
        <w:t>If</w:t>
      </w:r>
      <w:r>
        <w:rPr>
          <w:spacing w:val="-4"/>
          <w:sz w:val="24"/>
        </w:rPr>
        <w:t xml:space="preserve"> </w:t>
      </w:r>
      <w:r>
        <w:rPr>
          <w:sz w:val="24"/>
        </w:rPr>
        <w:t>multiple</w:t>
      </w:r>
      <w:r>
        <w:rPr>
          <w:spacing w:val="-2"/>
          <w:sz w:val="24"/>
        </w:rPr>
        <w:t xml:space="preserve"> </w:t>
      </w:r>
      <w:r>
        <w:rPr>
          <w:sz w:val="24"/>
        </w:rPr>
        <w:t>BPTs</w:t>
      </w:r>
      <w:r>
        <w:rPr>
          <w:spacing w:val="-3"/>
          <w:sz w:val="24"/>
        </w:rPr>
        <w:t xml:space="preserve"> </w:t>
      </w:r>
      <w:r>
        <w:rPr>
          <w:sz w:val="24"/>
        </w:rPr>
        <w:t>are</w:t>
      </w:r>
      <w:r>
        <w:rPr>
          <w:spacing w:val="-3"/>
          <w:sz w:val="24"/>
        </w:rPr>
        <w:t xml:space="preserve"> </w:t>
      </w:r>
      <w:r>
        <w:rPr>
          <w:sz w:val="24"/>
        </w:rPr>
        <w:t>resubmitted</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same</w:t>
      </w:r>
      <w:r>
        <w:rPr>
          <w:spacing w:val="-2"/>
          <w:sz w:val="24"/>
        </w:rPr>
        <w:t xml:space="preserve"> </w:t>
      </w:r>
      <w:r>
        <w:rPr>
          <w:sz w:val="24"/>
        </w:rPr>
        <w:t>time,</w:t>
      </w:r>
      <w:r>
        <w:rPr>
          <w:spacing w:val="-2"/>
          <w:sz w:val="24"/>
        </w:rPr>
        <w:t xml:space="preserve"> </w:t>
      </w:r>
      <w:r>
        <w:rPr>
          <w:sz w:val="24"/>
        </w:rPr>
        <w:t>the</w:t>
      </w:r>
      <w:r>
        <w:rPr>
          <w:spacing w:val="-2"/>
          <w:sz w:val="24"/>
        </w:rPr>
        <w:t xml:space="preserve"> </w:t>
      </w:r>
      <w:r>
        <w:rPr>
          <w:sz w:val="24"/>
        </w:rPr>
        <w:t>summary</w:t>
      </w:r>
      <w:r>
        <w:rPr>
          <w:spacing w:val="-2"/>
          <w:sz w:val="24"/>
        </w:rPr>
        <w:t xml:space="preserve"> </w:t>
      </w:r>
      <w:r>
        <w:rPr>
          <w:sz w:val="24"/>
        </w:rPr>
        <w:t>of</w:t>
      </w:r>
      <w:r>
        <w:rPr>
          <w:spacing w:val="-4"/>
          <w:sz w:val="24"/>
        </w:rPr>
        <w:t xml:space="preserve"> </w:t>
      </w:r>
      <w:r>
        <w:rPr>
          <w:sz w:val="24"/>
        </w:rPr>
        <w:t>changes must include</w:t>
      </w:r>
      <w:r>
        <w:rPr>
          <w:spacing w:val="-5"/>
          <w:sz w:val="24"/>
        </w:rPr>
        <w:t xml:space="preserve"> </w:t>
      </w:r>
      <w:r>
        <w:rPr>
          <w:sz w:val="24"/>
        </w:rPr>
        <w:t>a</w:t>
      </w:r>
      <w:r>
        <w:rPr>
          <w:spacing w:val="-5"/>
          <w:sz w:val="24"/>
        </w:rPr>
        <w:t xml:space="preserve"> </w:t>
      </w:r>
      <w:r>
        <w:rPr>
          <w:sz w:val="24"/>
        </w:rPr>
        <w:t>mapping</w:t>
      </w:r>
      <w:r>
        <w:rPr>
          <w:spacing w:val="-4"/>
          <w:sz w:val="24"/>
        </w:rPr>
        <w:t xml:space="preserve"> </w:t>
      </w:r>
      <w:r>
        <w:rPr>
          <w:sz w:val="24"/>
        </w:rPr>
        <w:t>of</w:t>
      </w:r>
      <w:r>
        <w:rPr>
          <w:spacing w:val="-5"/>
          <w:sz w:val="24"/>
        </w:rPr>
        <w:t xml:space="preserve"> </w:t>
      </w:r>
      <w:r>
        <w:rPr>
          <w:sz w:val="24"/>
        </w:rPr>
        <w:t>specific</w:t>
      </w:r>
      <w:r>
        <w:rPr>
          <w:spacing w:val="-5"/>
          <w:sz w:val="24"/>
        </w:rPr>
        <w:t xml:space="preserve"> </w:t>
      </w:r>
      <w:r>
        <w:rPr>
          <w:sz w:val="24"/>
        </w:rPr>
        <w:t>bid</w:t>
      </w:r>
      <w:r>
        <w:rPr>
          <w:spacing w:val="-4"/>
          <w:sz w:val="24"/>
        </w:rPr>
        <w:t xml:space="preserve"> </w:t>
      </w:r>
      <w:r>
        <w:rPr>
          <w:sz w:val="24"/>
        </w:rPr>
        <w:t>changes</w:t>
      </w:r>
      <w:r>
        <w:rPr>
          <w:spacing w:val="-3"/>
          <w:sz w:val="24"/>
        </w:rPr>
        <w:t xml:space="preserve"> </w:t>
      </w:r>
      <w:r>
        <w:rPr>
          <w:sz w:val="24"/>
        </w:rPr>
        <w:t>to</w:t>
      </w:r>
      <w:r>
        <w:rPr>
          <w:spacing w:val="-4"/>
          <w:sz w:val="24"/>
        </w:rPr>
        <w:t xml:space="preserve"> </w:t>
      </w:r>
      <w:r>
        <w:rPr>
          <w:sz w:val="24"/>
        </w:rPr>
        <w:t>each</w:t>
      </w:r>
      <w:r>
        <w:rPr>
          <w:spacing w:val="-2"/>
          <w:sz w:val="24"/>
        </w:rPr>
        <w:t xml:space="preserve"> </w:t>
      </w:r>
      <w:r>
        <w:rPr>
          <w:sz w:val="24"/>
        </w:rPr>
        <w:t>Contract-Plan</w:t>
      </w:r>
      <w:r>
        <w:rPr>
          <w:spacing w:val="-2"/>
          <w:sz w:val="24"/>
        </w:rPr>
        <w:t xml:space="preserve"> </w:t>
      </w:r>
      <w:r>
        <w:rPr>
          <w:sz w:val="24"/>
        </w:rPr>
        <w:t>ID-Segment</w:t>
      </w:r>
      <w:r>
        <w:rPr>
          <w:spacing w:val="-4"/>
          <w:sz w:val="24"/>
        </w:rPr>
        <w:t xml:space="preserve"> </w:t>
      </w:r>
      <w:r>
        <w:rPr>
          <w:sz w:val="24"/>
        </w:rPr>
        <w:t>ID.</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ListParagraph"/>
        <w:numPr>
          <w:ilvl w:val="1"/>
          <w:numId w:val="36"/>
        </w:numPr>
        <w:tabs>
          <w:tab w:val="left" w:pos="1584"/>
        </w:tabs>
        <w:spacing w:before="0" w:after="0" w:line="240" w:lineRule="auto"/>
        <w:ind w:left="1584" w:right="0" w:hanging="360"/>
        <w:jc w:val="left"/>
        <w:rPr>
          <w:sz w:val="24"/>
        </w:rPr>
      </w:pPr>
      <w:r>
        <w:rPr>
          <w:sz w:val="24"/>
        </w:rPr>
        <w:t>Sample</w:t>
      </w:r>
      <w:r>
        <w:rPr>
          <w:spacing w:val="-2"/>
          <w:sz w:val="24"/>
        </w:rPr>
        <w:t xml:space="preserve"> </w:t>
      </w:r>
      <w:r>
        <w:rPr>
          <w:sz w:val="24"/>
        </w:rPr>
        <w:t>BPTs</w:t>
      </w:r>
      <w:r>
        <w:rPr>
          <w:spacing w:val="-2"/>
          <w:sz w:val="24"/>
        </w:rPr>
        <w:t xml:space="preserve"> </w:t>
      </w:r>
      <w:r>
        <w:rPr>
          <w:sz w:val="24"/>
        </w:rPr>
        <w:t>are</w:t>
      </w:r>
      <w:r>
        <w:rPr>
          <w:spacing w:val="-2"/>
          <w:sz w:val="24"/>
        </w:rPr>
        <w:t xml:space="preserve"> </w:t>
      </w:r>
      <w:r>
        <w:rPr>
          <w:sz w:val="24"/>
        </w:rPr>
        <w:t>not</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uploaded</w:t>
      </w:r>
      <w:r>
        <w:rPr>
          <w:spacing w:val="-1"/>
          <w:sz w:val="24"/>
        </w:rPr>
        <w:t xml:space="preserve"> </w:t>
      </w:r>
      <w:r>
        <w:rPr>
          <w:sz w:val="24"/>
        </w:rPr>
        <w:t xml:space="preserve">to </w:t>
      </w:r>
      <w:r>
        <w:rPr>
          <w:spacing w:val="-4"/>
          <w:sz w:val="24"/>
        </w:rPr>
        <w:t>HPMS.</w:t>
      </w:r>
    </w:p>
    <w:p>
      <w:pPr>
        <w:pStyle w:val="ListParagraph"/>
        <w:numPr>
          <w:ilvl w:val="0"/>
          <w:numId w:val="36"/>
        </w:numPr>
        <w:tabs>
          <w:tab w:val="left" w:pos="1224"/>
        </w:tabs>
        <w:spacing w:before="0" w:after="0" w:line="240" w:lineRule="auto"/>
        <w:ind w:left="1224" w:right="0" w:hanging="360"/>
        <w:jc w:val="left"/>
        <w:rPr>
          <w:sz w:val="24"/>
        </w:rPr>
      </w:pPr>
      <w:r>
        <w:rPr>
          <w:sz w:val="24"/>
        </w:rPr>
        <w:t>Prior</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final</w:t>
      </w:r>
      <w:r>
        <w:rPr>
          <w:spacing w:val="-1"/>
          <w:sz w:val="24"/>
        </w:rPr>
        <w:t xml:space="preserve"> </w:t>
      </w:r>
      <w:r>
        <w:rPr>
          <w:sz w:val="24"/>
        </w:rPr>
        <w:t>actuarial certification,</w:t>
      </w:r>
      <w:r>
        <w:rPr>
          <w:spacing w:val="-1"/>
          <w:sz w:val="24"/>
        </w:rPr>
        <w:t xml:space="preserve"> </w:t>
      </w:r>
      <w:r>
        <w:rPr>
          <w:spacing w:val="-10"/>
          <w:sz w:val="24"/>
        </w:rPr>
        <w:t>—</w:t>
      </w:r>
    </w:p>
    <w:p>
      <w:pPr>
        <w:pStyle w:val="ListParagraph"/>
        <w:numPr>
          <w:ilvl w:val="1"/>
          <w:numId w:val="36"/>
        </w:numPr>
        <w:tabs>
          <w:tab w:val="left" w:pos="1584"/>
        </w:tabs>
        <w:spacing w:before="0" w:after="0" w:line="240" w:lineRule="auto"/>
        <w:ind w:left="1584" w:right="1604" w:hanging="360"/>
        <w:jc w:val="left"/>
        <w:rPr>
          <w:sz w:val="24"/>
        </w:rPr>
      </w:pPr>
      <w:r>
        <w:rPr>
          <w:sz w:val="24"/>
        </w:rPr>
        <w:t>MAOs and certifying actuaries must revise supporting documentation consistent with</w:t>
      </w:r>
      <w:r>
        <w:rPr>
          <w:spacing w:val="-4"/>
          <w:sz w:val="24"/>
        </w:rPr>
        <w:t xml:space="preserve"> </w:t>
      </w:r>
      <w:r>
        <w:rPr>
          <w:sz w:val="24"/>
        </w:rPr>
        <w:t>the</w:t>
      </w:r>
      <w:r>
        <w:rPr>
          <w:spacing w:val="-5"/>
          <w:sz w:val="24"/>
        </w:rPr>
        <w:t xml:space="preserve"> </w:t>
      </w:r>
      <w:r>
        <w:rPr>
          <w:sz w:val="24"/>
        </w:rPr>
        <w:t>final</w:t>
      </w:r>
      <w:r>
        <w:rPr>
          <w:spacing w:val="-4"/>
          <w:sz w:val="24"/>
        </w:rPr>
        <w:t xml:space="preserve"> </w:t>
      </w:r>
      <w:r>
        <w:rPr>
          <w:sz w:val="24"/>
        </w:rPr>
        <w:t>certified</w:t>
      </w:r>
      <w:r>
        <w:rPr>
          <w:spacing w:val="-4"/>
          <w:sz w:val="24"/>
        </w:rPr>
        <w:t xml:space="preserve"> </w:t>
      </w:r>
      <w:r>
        <w:rPr>
          <w:sz w:val="24"/>
        </w:rPr>
        <w:t>bid</w:t>
      </w:r>
      <w:r>
        <w:rPr>
          <w:spacing w:val="-4"/>
          <w:sz w:val="24"/>
        </w:rPr>
        <w:t xml:space="preserve"> </w:t>
      </w:r>
      <w:r>
        <w:rPr>
          <w:sz w:val="24"/>
        </w:rPr>
        <w:t>and</w:t>
      </w:r>
      <w:r>
        <w:rPr>
          <w:spacing w:val="-4"/>
          <w:sz w:val="24"/>
        </w:rPr>
        <w:t xml:space="preserve"> </w:t>
      </w:r>
      <w:r>
        <w:rPr>
          <w:sz w:val="24"/>
        </w:rPr>
        <w:t>must</w:t>
      </w:r>
      <w:r>
        <w:rPr>
          <w:spacing w:val="-4"/>
          <w:sz w:val="24"/>
        </w:rPr>
        <w:t xml:space="preserve"> </w:t>
      </w:r>
      <w:r>
        <w:rPr>
          <w:sz w:val="24"/>
        </w:rPr>
        <w:t>upload</w:t>
      </w:r>
      <w:r>
        <w:rPr>
          <w:spacing w:val="-4"/>
          <w:sz w:val="24"/>
        </w:rPr>
        <w:t xml:space="preserve"> </w:t>
      </w:r>
      <w:r>
        <w:rPr>
          <w:sz w:val="24"/>
        </w:rPr>
        <w:t>any</w:t>
      </w:r>
      <w:r>
        <w:rPr>
          <w:spacing w:val="-4"/>
          <w:sz w:val="24"/>
        </w:rPr>
        <w:t xml:space="preserve"> </w:t>
      </w:r>
      <w:r>
        <w:rPr>
          <w:sz w:val="24"/>
        </w:rPr>
        <w:t>additional</w:t>
      </w:r>
      <w:r>
        <w:rPr>
          <w:spacing w:val="-4"/>
          <w:sz w:val="24"/>
        </w:rPr>
        <w:t xml:space="preserve"> </w:t>
      </w:r>
      <w:r>
        <w:rPr>
          <w:sz w:val="24"/>
        </w:rPr>
        <w:t>information</w:t>
      </w:r>
      <w:r>
        <w:rPr>
          <w:spacing w:val="-4"/>
          <w:sz w:val="24"/>
        </w:rPr>
        <w:t xml:space="preserve"> </w:t>
      </w:r>
      <w:r>
        <w:rPr>
          <w:sz w:val="24"/>
        </w:rPr>
        <w:t>or</w:t>
      </w:r>
      <w:r>
        <w:rPr>
          <w:spacing w:val="-4"/>
          <w:sz w:val="24"/>
        </w:rPr>
        <w:t xml:space="preserve"> </w:t>
      </w:r>
      <w:r>
        <w:rPr>
          <w:sz w:val="24"/>
        </w:rPr>
        <w:t>materials provided during bid desk review to support the bid. Specifically—</w:t>
      </w:r>
    </w:p>
    <w:p>
      <w:pPr>
        <w:pStyle w:val="ListParagraph"/>
        <w:numPr>
          <w:ilvl w:val="2"/>
          <w:numId w:val="36"/>
        </w:numPr>
        <w:tabs>
          <w:tab w:val="left" w:pos="1944"/>
        </w:tabs>
        <w:spacing w:before="0" w:after="0" w:line="240" w:lineRule="auto"/>
        <w:ind w:left="1944" w:right="1507" w:hanging="360"/>
        <w:jc w:val="left"/>
        <w:rPr>
          <w:rFonts w:ascii="Wingdings" w:hAnsi="Wingdings"/>
          <w:sz w:val="24"/>
        </w:rPr>
      </w:pPr>
      <w:r>
        <w:rPr>
          <w:sz w:val="24"/>
        </w:rPr>
        <w:t>All supporting documentation items listed under the “Initial June Bid Submission” section of Appendix B that were required with the initial bid and continue to be required with the final bid must be revised and uploaded consistent</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final</w:t>
      </w:r>
      <w:r>
        <w:rPr>
          <w:spacing w:val="-4"/>
          <w:sz w:val="24"/>
        </w:rPr>
        <w:t xml:space="preserve"> </w:t>
      </w:r>
      <w:r>
        <w:rPr>
          <w:sz w:val="24"/>
        </w:rPr>
        <w:t>certified</w:t>
      </w:r>
      <w:r>
        <w:rPr>
          <w:spacing w:val="-4"/>
          <w:sz w:val="24"/>
        </w:rPr>
        <w:t xml:space="preserve"> </w:t>
      </w:r>
      <w:r>
        <w:rPr>
          <w:sz w:val="24"/>
        </w:rPr>
        <w:t>bid.</w:t>
      </w:r>
      <w:r>
        <w:rPr>
          <w:spacing w:val="-1"/>
          <w:sz w:val="24"/>
        </w:rPr>
        <w:t xml:space="preserve"> </w:t>
      </w:r>
      <w:r>
        <w:rPr>
          <w:sz w:val="24"/>
        </w:rPr>
        <w:t>In</w:t>
      </w:r>
      <w:r>
        <w:rPr>
          <w:spacing w:val="-2"/>
          <w:sz w:val="24"/>
        </w:rPr>
        <w:t xml:space="preserve"> </w:t>
      </w:r>
      <w:r>
        <w:rPr>
          <w:sz w:val="24"/>
        </w:rPr>
        <w:t>addition,</w:t>
      </w:r>
      <w:r>
        <w:rPr>
          <w:spacing w:val="-4"/>
          <w:sz w:val="24"/>
        </w:rPr>
        <w:t xml:space="preserve"> </w:t>
      </w:r>
      <w:r>
        <w:rPr>
          <w:sz w:val="24"/>
        </w:rPr>
        <w:t>if</w:t>
      </w:r>
      <w:r>
        <w:rPr>
          <w:spacing w:val="-4"/>
          <w:sz w:val="24"/>
        </w:rPr>
        <w:t xml:space="preserve"> </w:t>
      </w:r>
      <w:r>
        <w:rPr>
          <w:sz w:val="24"/>
        </w:rPr>
        <w:t>issues</w:t>
      </w:r>
      <w:r>
        <w:rPr>
          <w:spacing w:val="-5"/>
          <w:sz w:val="24"/>
        </w:rPr>
        <w:t xml:space="preserve"> </w:t>
      </w:r>
      <w:r>
        <w:rPr>
          <w:sz w:val="24"/>
        </w:rPr>
        <w:t>were</w:t>
      </w:r>
      <w:r>
        <w:rPr>
          <w:spacing w:val="-6"/>
          <w:sz w:val="24"/>
        </w:rPr>
        <w:t xml:space="preserve"> </w:t>
      </w:r>
      <w:r>
        <w:rPr>
          <w:sz w:val="24"/>
        </w:rPr>
        <w:t>discovered</w:t>
      </w:r>
      <w:r>
        <w:rPr>
          <w:spacing w:val="-2"/>
          <w:sz w:val="24"/>
        </w:rPr>
        <w:t xml:space="preserve"> </w:t>
      </w:r>
      <w:r>
        <w:rPr>
          <w:sz w:val="24"/>
        </w:rPr>
        <w:t>with these items during bid desk review, support must be revised to address these issues.</w:t>
      </w:r>
      <w:r>
        <w:rPr>
          <w:spacing w:val="-2"/>
          <w:sz w:val="24"/>
        </w:rPr>
        <w:t xml:space="preserve"> </w:t>
      </w:r>
      <w:r>
        <w:rPr>
          <w:sz w:val="24"/>
        </w:rPr>
        <w:t>Please</w:t>
      </w:r>
      <w:r>
        <w:rPr>
          <w:spacing w:val="-3"/>
          <w:sz w:val="24"/>
        </w:rPr>
        <w:t xml:space="preserve"> </w:t>
      </w:r>
      <w:r>
        <w:rPr>
          <w:sz w:val="24"/>
        </w:rPr>
        <w:t>note</w:t>
      </w:r>
      <w:r>
        <w:rPr>
          <w:spacing w:val="-2"/>
          <w:sz w:val="24"/>
        </w:rPr>
        <w:t xml:space="preserve"> </w:t>
      </w:r>
      <w:r>
        <w:rPr>
          <w:sz w:val="24"/>
        </w:rPr>
        <w:t>that</w:t>
      </w:r>
      <w:r>
        <w:rPr>
          <w:spacing w:val="-2"/>
          <w:sz w:val="24"/>
        </w:rPr>
        <w:t xml:space="preserve"> </w:t>
      </w:r>
      <w:r>
        <w:rPr>
          <w:sz w:val="24"/>
        </w:rPr>
        <w:t>only</w:t>
      </w:r>
      <w:r>
        <w:rPr>
          <w:spacing w:val="-2"/>
          <w:sz w:val="24"/>
        </w:rPr>
        <w:t xml:space="preserve"> </w:t>
      </w:r>
      <w:r>
        <w:rPr>
          <w:sz w:val="24"/>
        </w:rPr>
        <w:t>items</w:t>
      </w:r>
      <w:r>
        <w:rPr>
          <w:spacing w:val="-3"/>
          <w:sz w:val="24"/>
        </w:rPr>
        <w:t xml:space="preserve"> </w:t>
      </w:r>
      <w:r>
        <w:rPr>
          <w:sz w:val="24"/>
        </w:rPr>
        <w:t>that</w:t>
      </w:r>
      <w:r>
        <w:rPr>
          <w:spacing w:val="-2"/>
          <w:sz w:val="24"/>
        </w:rPr>
        <w:t xml:space="preserve"> </w:t>
      </w:r>
      <w:r>
        <w:rPr>
          <w:sz w:val="24"/>
        </w:rPr>
        <w:t>changed</w:t>
      </w:r>
      <w:r>
        <w:rPr>
          <w:spacing w:val="-2"/>
          <w:sz w:val="24"/>
        </w:rPr>
        <w:t xml:space="preserve"> </w:t>
      </w:r>
      <w:r>
        <w:rPr>
          <w:sz w:val="24"/>
        </w:rPr>
        <w:t>from</w:t>
      </w:r>
      <w:r>
        <w:rPr>
          <w:spacing w:val="-2"/>
          <w:sz w:val="24"/>
        </w:rPr>
        <w:t xml:space="preserve"> </w:t>
      </w:r>
      <w:r>
        <w:rPr>
          <w:sz w:val="24"/>
        </w:rPr>
        <w:t>initial</w:t>
      </w:r>
      <w:r>
        <w:rPr>
          <w:spacing w:val="-2"/>
          <w:sz w:val="24"/>
        </w:rPr>
        <w:t xml:space="preserve"> </w:t>
      </w:r>
      <w:r>
        <w:rPr>
          <w:sz w:val="24"/>
        </w:rPr>
        <w:t>bid</w:t>
      </w:r>
      <w:r>
        <w:rPr>
          <w:spacing w:val="-2"/>
          <w:sz w:val="24"/>
        </w:rPr>
        <w:t xml:space="preserve"> </w:t>
      </w:r>
      <w:r>
        <w:rPr>
          <w:sz w:val="24"/>
        </w:rPr>
        <w:t>to</w:t>
      </w:r>
      <w:r>
        <w:rPr>
          <w:spacing w:val="-2"/>
          <w:sz w:val="24"/>
        </w:rPr>
        <w:t xml:space="preserve"> </w:t>
      </w:r>
      <w:r>
        <w:rPr>
          <w:sz w:val="24"/>
        </w:rPr>
        <w:t>final</w:t>
      </w:r>
      <w:r>
        <w:rPr>
          <w:spacing w:val="-2"/>
          <w:sz w:val="24"/>
        </w:rPr>
        <w:t xml:space="preserve"> </w:t>
      </w:r>
      <w:r>
        <w:rPr>
          <w:sz w:val="24"/>
        </w:rPr>
        <w:t>bid</w:t>
      </w:r>
      <w:r>
        <w:rPr>
          <w:spacing w:val="-5"/>
          <w:sz w:val="24"/>
        </w:rPr>
        <w:t xml:space="preserve"> </w:t>
      </w:r>
      <w:r>
        <w:rPr>
          <w:sz w:val="24"/>
        </w:rPr>
        <w:t>must be uploaded again.</w:t>
      </w:r>
    </w:p>
    <w:p>
      <w:pPr>
        <w:pStyle w:val="ListParagraph"/>
        <w:numPr>
          <w:ilvl w:val="2"/>
          <w:numId w:val="36"/>
        </w:numPr>
        <w:tabs>
          <w:tab w:val="left" w:pos="1944"/>
        </w:tabs>
        <w:spacing w:before="1" w:after="0" w:line="240" w:lineRule="auto"/>
        <w:ind w:left="1944" w:right="1518" w:hanging="360"/>
        <w:jc w:val="left"/>
        <w:rPr>
          <w:rFonts w:ascii="Wingdings" w:hAnsi="Wingdings"/>
          <w:sz w:val="24"/>
        </w:rPr>
      </w:pPr>
      <w:r>
        <w:rPr>
          <w:sz w:val="24"/>
        </w:rPr>
        <w:t>All supporting documentation items listed under the “Initial June Bid Submission” section of Appendix B that were not applicable to the initial bid, but are applicable to the final bid must be uploaded. For example, if the gain/loss margin as a percentage of revenue at the bid level exceeds 11.5% in the</w:t>
      </w:r>
      <w:r>
        <w:rPr>
          <w:spacing w:val="-4"/>
          <w:sz w:val="24"/>
        </w:rPr>
        <w:t xml:space="preserve"> </w:t>
      </w:r>
      <w:r>
        <w:rPr>
          <w:sz w:val="24"/>
        </w:rPr>
        <w:t>final</w:t>
      </w:r>
      <w:r>
        <w:rPr>
          <w:spacing w:val="-4"/>
          <w:sz w:val="24"/>
        </w:rPr>
        <w:t xml:space="preserve"> </w:t>
      </w:r>
      <w:r>
        <w:rPr>
          <w:sz w:val="24"/>
        </w:rPr>
        <w:t>submission,</w:t>
      </w:r>
      <w:r>
        <w:rPr>
          <w:spacing w:val="-4"/>
          <w:sz w:val="24"/>
        </w:rPr>
        <w:t xml:space="preserve"> </w:t>
      </w:r>
      <w:r>
        <w:rPr>
          <w:sz w:val="24"/>
        </w:rPr>
        <w:t>Appendix</w:t>
      </w:r>
      <w:r>
        <w:rPr>
          <w:spacing w:val="-4"/>
          <w:sz w:val="24"/>
        </w:rPr>
        <w:t xml:space="preserve"> </w:t>
      </w:r>
      <w:r>
        <w:rPr>
          <w:sz w:val="24"/>
        </w:rPr>
        <w:t>B.8.6</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uploaded</w:t>
      </w:r>
      <w:r>
        <w:rPr>
          <w:spacing w:val="-4"/>
          <w:sz w:val="24"/>
        </w:rPr>
        <w:t xml:space="preserve"> </w:t>
      </w:r>
      <w:r>
        <w:rPr>
          <w:sz w:val="24"/>
        </w:rPr>
        <w:t>even</w:t>
      </w:r>
      <w:r>
        <w:rPr>
          <w:spacing w:val="-4"/>
          <w:sz w:val="24"/>
        </w:rPr>
        <w:t xml:space="preserve"> </w:t>
      </w:r>
      <w:r>
        <w:rPr>
          <w:sz w:val="24"/>
        </w:rPr>
        <w:t>when</w:t>
      </w:r>
      <w:r>
        <w:rPr>
          <w:spacing w:val="-4"/>
          <w:sz w:val="24"/>
        </w:rPr>
        <w:t xml:space="preserve"> </w:t>
      </w:r>
      <w:r>
        <w:rPr>
          <w:sz w:val="24"/>
        </w:rPr>
        <w:t>the</w:t>
      </w:r>
      <w:r>
        <w:rPr>
          <w:spacing w:val="-4"/>
          <w:sz w:val="24"/>
        </w:rPr>
        <w:t xml:space="preserve"> </w:t>
      </w:r>
      <w:r>
        <w:rPr>
          <w:sz w:val="24"/>
        </w:rPr>
        <w:t>gain/loss margin as a percentage of revenue at the bid level did not exceed 11.5% in the initial submission.</w:t>
      </w:r>
    </w:p>
    <w:p>
      <w:pPr>
        <w:pStyle w:val="ListParagraph"/>
        <w:numPr>
          <w:ilvl w:val="2"/>
          <w:numId w:val="36"/>
        </w:numPr>
        <w:tabs>
          <w:tab w:val="left" w:pos="1944"/>
        </w:tabs>
        <w:spacing w:before="0" w:after="0" w:line="240" w:lineRule="auto"/>
        <w:ind w:left="1944" w:right="1527" w:hanging="360"/>
        <w:jc w:val="left"/>
        <w:rPr>
          <w:rFonts w:ascii="Wingdings" w:hAnsi="Wingdings"/>
          <w:sz w:val="21"/>
        </w:rPr>
      </w:pPr>
      <w:r>
        <w:rPr>
          <w:sz w:val="24"/>
        </w:rPr>
        <w:t>All supporting documentation items listed under the “Upon Request by CMS Reviewers”</w:t>
      </w:r>
      <w:r>
        <w:rPr>
          <w:spacing w:val="-5"/>
          <w:sz w:val="24"/>
        </w:rPr>
        <w:t xml:space="preserve"> </w:t>
      </w:r>
      <w:r>
        <w:rPr>
          <w:sz w:val="24"/>
        </w:rPr>
        <w:t>section</w:t>
      </w:r>
      <w:r>
        <w:rPr>
          <w:spacing w:val="-4"/>
          <w:sz w:val="24"/>
        </w:rPr>
        <w:t xml:space="preserve"> </w:t>
      </w:r>
      <w:r>
        <w:rPr>
          <w:sz w:val="24"/>
        </w:rPr>
        <w:t>of</w:t>
      </w:r>
      <w:r>
        <w:rPr>
          <w:spacing w:val="-4"/>
          <w:sz w:val="24"/>
        </w:rPr>
        <w:t xml:space="preserve"> </w:t>
      </w:r>
      <w:r>
        <w:rPr>
          <w:sz w:val="24"/>
        </w:rPr>
        <w:t>Appendix</w:t>
      </w:r>
      <w:r>
        <w:rPr>
          <w:spacing w:val="-4"/>
          <w:sz w:val="24"/>
        </w:rPr>
        <w:t xml:space="preserve"> </w:t>
      </w:r>
      <w:r>
        <w:rPr>
          <w:sz w:val="24"/>
        </w:rPr>
        <w:t>B</w:t>
      </w:r>
      <w:r>
        <w:rPr>
          <w:spacing w:val="-4"/>
          <w:sz w:val="24"/>
        </w:rPr>
        <w:t xml:space="preserve"> </w:t>
      </w:r>
      <w:r>
        <w:rPr>
          <w:sz w:val="24"/>
        </w:rPr>
        <w:t>that</w:t>
      </w:r>
      <w:r>
        <w:rPr>
          <w:spacing w:val="-4"/>
          <w:sz w:val="24"/>
        </w:rPr>
        <w:t xml:space="preserve"> </w:t>
      </w:r>
      <w:r>
        <w:rPr>
          <w:sz w:val="24"/>
        </w:rPr>
        <w:t>were</w:t>
      </w:r>
      <w:r>
        <w:rPr>
          <w:spacing w:val="-5"/>
          <w:sz w:val="24"/>
        </w:rPr>
        <w:t xml:space="preserve"> </w:t>
      </w:r>
      <w:r>
        <w:rPr>
          <w:sz w:val="24"/>
        </w:rPr>
        <w:t>requested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bid</w:t>
      </w:r>
      <w:r>
        <w:rPr>
          <w:spacing w:val="-4"/>
          <w:sz w:val="24"/>
        </w:rPr>
        <w:t xml:space="preserve"> </w:t>
      </w:r>
      <w:r>
        <w:rPr>
          <w:sz w:val="24"/>
        </w:rPr>
        <w:t>desk</w:t>
      </w:r>
      <w:r>
        <w:rPr>
          <w:spacing w:val="-4"/>
          <w:sz w:val="24"/>
        </w:rPr>
        <w:t xml:space="preserve"> </w:t>
      </w:r>
      <w:r>
        <w:rPr>
          <w:sz w:val="24"/>
        </w:rPr>
        <w:t>reviewer must be revised and uploaded consistent with the final certified bid.</w:t>
      </w:r>
    </w:p>
    <w:p>
      <w:pPr>
        <w:pStyle w:val="ListParagraph"/>
        <w:numPr>
          <w:ilvl w:val="1"/>
          <w:numId w:val="36"/>
        </w:numPr>
        <w:tabs>
          <w:tab w:val="left" w:pos="359"/>
        </w:tabs>
        <w:spacing w:before="0" w:after="0" w:line="240" w:lineRule="auto"/>
        <w:ind w:left="359" w:right="1724" w:hanging="359"/>
        <w:jc w:val="right"/>
        <w:rPr>
          <w:sz w:val="24"/>
        </w:rPr>
      </w:pPr>
      <w:r>
        <w:rPr>
          <w:sz w:val="24"/>
        </w:rPr>
        <w:t>CMS</w:t>
      </w:r>
      <w:r>
        <w:rPr>
          <w:spacing w:val="-3"/>
          <w:sz w:val="24"/>
        </w:rPr>
        <w:t xml:space="preserve"> </w:t>
      </w:r>
      <w:r>
        <w:rPr>
          <w:sz w:val="24"/>
        </w:rPr>
        <w:t>expects</w:t>
      </w:r>
      <w:r>
        <w:rPr>
          <w:spacing w:val="-2"/>
          <w:sz w:val="24"/>
        </w:rPr>
        <w:t xml:space="preserve"> </w:t>
      </w:r>
      <w:r>
        <w:rPr>
          <w:sz w:val="24"/>
        </w:rPr>
        <w:t>revised</w:t>
      </w:r>
      <w:r>
        <w:rPr>
          <w:spacing w:val="-1"/>
          <w:sz w:val="24"/>
        </w:rPr>
        <w:t xml:space="preserve"> </w:t>
      </w:r>
      <w:r>
        <w:rPr>
          <w:sz w:val="24"/>
        </w:rPr>
        <w:t>supporting</w:t>
      </w:r>
      <w:r>
        <w:rPr>
          <w:spacing w:val="-1"/>
          <w:sz w:val="24"/>
        </w:rPr>
        <w:t xml:space="preserve"> </w:t>
      </w:r>
      <w:r>
        <w:rPr>
          <w:sz w:val="24"/>
        </w:rPr>
        <w:t>documentation</w:t>
      </w:r>
      <w:r>
        <w:rPr>
          <w:spacing w:val="-1"/>
          <w:sz w:val="24"/>
        </w:rPr>
        <w:t xml:space="preserve"> </w:t>
      </w:r>
      <w:r>
        <w:rPr>
          <w:sz w:val="24"/>
        </w:rPr>
        <w:t>to have</w:t>
      </w:r>
      <w:r>
        <w:rPr>
          <w:spacing w:val="-3"/>
          <w:sz w:val="24"/>
        </w:rPr>
        <w:t xml:space="preserve"> </w:t>
      </w:r>
      <w:r>
        <w:rPr>
          <w:sz w:val="24"/>
        </w:rPr>
        <w:t>the</w:t>
      </w:r>
      <w:r>
        <w:rPr>
          <w:spacing w:val="-1"/>
          <w:sz w:val="24"/>
        </w:rPr>
        <w:t xml:space="preserve"> </w:t>
      </w:r>
      <w:r>
        <w:rPr>
          <w:sz w:val="24"/>
        </w:rPr>
        <w:t>same file</w:t>
      </w:r>
      <w:r>
        <w:rPr>
          <w:spacing w:val="-2"/>
          <w:sz w:val="24"/>
        </w:rPr>
        <w:t xml:space="preserve"> </w:t>
      </w:r>
      <w:r>
        <w:rPr>
          <w:sz w:val="24"/>
        </w:rPr>
        <w:t>name as</w:t>
      </w:r>
      <w:r>
        <w:rPr>
          <w:spacing w:val="-1"/>
          <w:sz w:val="24"/>
        </w:rPr>
        <w:t xml:space="preserve"> </w:t>
      </w:r>
      <w:r>
        <w:rPr>
          <w:spacing w:val="-5"/>
          <w:sz w:val="24"/>
        </w:rPr>
        <w:t>the</w:t>
      </w:r>
    </w:p>
    <w:p>
      <w:pPr>
        <w:pStyle w:val="BodyText"/>
        <w:ind w:left="0" w:right="1750"/>
        <w:jc w:val="right"/>
      </w:pPr>
      <w:r>
        <w:t>original</w:t>
      </w:r>
      <w:r>
        <w:rPr>
          <w:spacing w:val="-3"/>
        </w:rPr>
        <w:t xml:space="preserve"> </w:t>
      </w:r>
      <w:r>
        <w:t>substantiation</w:t>
      </w:r>
      <w:r>
        <w:rPr>
          <w:spacing w:val="-1"/>
        </w:rPr>
        <w:t xml:space="preserve"> </w:t>
      </w:r>
      <w:r>
        <w:t>file</w:t>
      </w:r>
      <w:r>
        <w:rPr>
          <w:spacing w:val="-2"/>
        </w:rPr>
        <w:t xml:space="preserve"> </w:t>
      </w:r>
      <w:r>
        <w:t>except for</w:t>
      </w:r>
      <w:r>
        <w:rPr>
          <w:spacing w:val="-2"/>
        </w:rPr>
        <w:t xml:space="preserve"> </w:t>
      </w:r>
      <w:r>
        <w:t>a</w:t>
      </w:r>
      <w:r>
        <w:rPr>
          <w:spacing w:val="-2"/>
        </w:rPr>
        <w:t xml:space="preserve"> </w:t>
      </w:r>
      <w:r>
        <w:t>different date</w:t>
      </w:r>
      <w:r>
        <w:rPr>
          <w:spacing w:val="-1"/>
        </w:rPr>
        <w:t xml:space="preserve"> </w:t>
      </w:r>
      <w:r>
        <w:t>or</w:t>
      </w:r>
      <w:r>
        <w:rPr>
          <w:spacing w:val="-3"/>
        </w:rPr>
        <w:t xml:space="preserve"> </w:t>
      </w:r>
      <w:r>
        <w:t>a</w:t>
      </w:r>
      <w:r>
        <w:rPr>
          <w:spacing w:val="-1"/>
        </w:rPr>
        <w:t xml:space="preserve"> </w:t>
      </w:r>
      <w:r>
        <w:t>word</w:t>
      </w:r>
      <w:r>
        <w:rPr>
          <w:spacing w:val="-1"/>
        </w:rPr>
        <w:t xml:space="preserve"> </w:t>
      </w:r>
      <w:r>
        <w:t>such</w:t>
      </w:r>
      <w:r>
        <w:rPr>
          <w:spacing w:val="1"/>
        </w:rPr>
        <w:t xml:space="preserve"> </w:t>
      </w:r>
      <w:r>
        <w:t>as</w:t>
      </w:r>
      <w:r>
        <w:rPr>
          <w:spacing w:val="-1"/>
        </w:rPr>
        <w:t xml:space="preserve"> </w:t>
      </w:r>
      <w:r>
        <w:rPr>
          <w:spacing w:val="-2"/>
        </w:rPr>
        <w:t>“revised.”</w:t>
      </w:r>
    </w:p>
    <w:p>
      <w:pPr>
        <w:spacing w:before="241"/>
        <w:ind w:left="504" w:right="0" w:firstLine="0"/>
        <w:jc w:val="left"/>
        <w:rPr>
          <w:rFonts w:ascii="Arial"/>
          <w:b/>
          <w:sz w:val="21"/>
        </w:rPr>
      </w:pPr>
      <w:bookmarkStart w:id="338" w:name="Initial June Bid Submission"/>
      <w:bookmarkEnd w:id="338"/>
      <w:r>
        <w:rPr>
          <w:rFonts w:ascii="Arial"/>
          <w:b/>
          <w:sz w:val="21"/>
        </w:rPr>
        <w:t>Initial</w:t>
      </w:r>
      <w:r>
        <w:rPr>
          <w:rFonts w:ascii="Arial"/>
          <w:b/>
          <w:spacing w:val="-6"/>
          <w:sz w:val="21"/>
        </w:rPr>
        <w:t xml:space="preserve"> </w:t>
      </w:r>
      <w:r>
        <w:rPr>
          <w:rFonts w:ascii="Arial"/>
          <w:b/>
          <w:sz w:val="21"/>
        </w:rPr>
        <w:t>June</w:t>
      </w:r>
      <w:r>
        <w:rPr>
          <w:rFonts w:ascii="Arial"/>
          <w:b/>
          <w:spacing w:val="-5"/>
          <w:sz w:val="21"/>
        </w:rPr>
        <w:t xml:space="preserve"> </w:t>
      </w:r>
      <w:r>
        <w:rPr>
          <w:rFonts w:ascii="Arial"/>
          <w:b/>
          <w:sz w:val="21"/>
        </w:rPr>
        <w:t>Bid</w:t>
      </w:r>
      <w:r>
        <w:rPr>
          <w:rFonts w:ascii="Arial"/>
          <w:b/>
          <w:spacing w:val="-3"/>
          <w:sz w:val="21"/>
        </w:rPr>
        <w:t xml:space="preserve"> </w:t>
      </w:r>
      <w:r>
        <w:rPr>
          <w:rFonts w:ascii="Arial"/>
          <w:b/>
          <w:spacing w:val="-2"/>
          <w:sz w:val="21"/>
        </w:rPr>
        <w:t>Submission</w:t>
      </w:r>
    </w:p>
    <w:p>
      <w:pPr>
        <w:pStyle w:val="BodyText"/>
        <w:spacing w:before="118"/>
        <w:ind w:right="1481"/>
      </w:pPr>
      <w:r>
        <w:t>The</w:t>
      </w:r>
      <w:r>
        <w:rPr>
          <w:spacing w:val="-6"/>
        </w:rPr>
        <w:t xml:space="preserve"> </w:t>
      </w:r>
      <w:r>
        <w:t>following</w:t>
      </w:r>
      <w:r>
        <w:rPr>
          <w:spacing w:val="-4"/>
        </w:rPr>
        <w:t xml:space="preserve"> </w:t>
      </w:r>
      <w:r>
        <w:t>documentation</w:t>
      </w:r>
      <w:r>
        <w:rPr>
          <w:spacing w:val="-4"/>
        </w:rPr>
        <w:t xml:space="preserve"> </w:t>
      </w:r>
      <w:r>
        <w:t>requirements</w:t>
      </w:r>
      <w:r>
        <w:rPr>
          <w:spacing w:val="-5"/>
        </w:rPr>
        <w:t xml:space="preserve"> </w:t>
      </w:r>
      <w:r>
        <w:t>apply</w:t>
      </w:r>
      <w:r>
        <w:rPr>
          <w:spacing w:val="-2"/>
        </w:rPr>
        <w:t xml:space="preserve"> </w:t>
      </w:r>
      <w:r>
        <w:t>to</w:t>
      </w:r>
      <w:r>
        <w:rPr>
          <w:spacing w:val="-2"/>
        </w:rPr>
        <w:t xml:space="preserve"> </w:t>
      </w:r>
      <w:r>
        <w:t>all</w:t>
      </w:r>
      <w:r>
        <w:rPr>
          <w:spacing w:val="-4"/>
        </w:rPr>
        <w:t xml:space="preserve"> </w:t>
      </w:r>
      <w:r>
        <w:t>bids</w:t>
      </w:r>
      <w:r>
        <w:rPr>
          <w:spacing w:val="-3"/>
        </w:rPr>
        <w:t xml:space="preserve"> </w:t>
      </w:r>
      <w:r>
        <w:t>(as</w:t>
      </w:r>
      <w:r>
        <w:rPr>
          <w:spacing w:val="-5"/>
        </w:rPr>
        <w:t xml:space="preserve"> </w:t>
      </w:r>
      <w:r>
        <w:t>all</w:t>
      </w:r>
      <w:r>
        <w:rPr>
          <w:spacing w:val="-4"/>
        </w:rPr>
        <w:t xml:space="preserve"> </w:t>
      </w:r>
      <w:r>
        <w:t>bids</w:t>
      </w:r>
      <w:r>
        <w:rPr>
          <w:spacing w:val="-4"/>
        </w:rPr>
        <w:t xml:space="preserve"> </w:t>
      </w:r>
      <w:r>
        <w:t>contain</w:t>
      </w:r>
      <w:r>
        <w:rPr>
          <w:spacing w:val="-4"/>
        </w:rPr>
        <w:t xml:space="preserve"> </w:t>
      </w:r>
      <w:r>
        <w:t xml:space="preserve">these </w:t>
      </w:r>
      <w:r>
        <w:rPr>
          <w:spacing w:val="-2"/>
        </w:rPr>
        <w:t>assumptions):</w:t>
      </w:r>
    </w:p>
    <w:p>
      <w:pPr>
        <w:pStyle w:val="ListParagraph"/>
        <w:numPr>
          <w:ilvl w:val="0"/>
          <w:numId w:val="35"/>
        </w:numPr>
        <w:tabs>
          <w:tab w:val="left" w:pos="864"/>
        </w:tabs>
        <w:spacing w:before="120" w:after="0" w:line="240" w:lineRule="auto"/>
        <w:ind w:left="864" w:right="0" w:hanging="360"/>
        <w:jc w:val="left"/>
        <w:rPr>
          <w:sz w:val="24"/>
        </w:rPr>
      </w:pPr>
      <w:r>
        <w:rPr>
          <w:sz w:val="24"/>
        </w:rPr>
        <w:t>A</w:t>
      </w:r>
      <w:r>
        <w:rPr>
          <w:spacing w:val="-5"/>
          <w:sz w:val="24"/>
        </w:rPr>
        <w:t xml:space="preserve"> </w:t>
      </w:r>
      <w:r>
        <w:rPr>
          <w:sz w:val="24"/>
        </w:rPr>
        <w:t>cover</w:t>
      </w:r>
      <w:r>
        <w:rPr>
          <w:spacing w:val="-1"/>
          <w:sz w:val="24"/>
        </w:rPr>
        <w:t xml:space="preserve"> </w:t>
      </w:r>
      <w:r>
        <w:rPr>
          <w:sz w:val="24"/>
        </w:rPr>
        <w:t>sheet</w:t>
      </w:r>
      <w:r>
        <w:rPr>
          <w:spacing w:val="-1"/>
          <w:sz w:val="24"/>
        </w:rPr>
        <w:t xml:space="preserve"> </w:t>
      </w:r>
      <w:r>
        <w:rPr>
          <w:sz w:val="24"/>
        </w:rPr>
        <w:t>outlining</w:t>
      </w:r>
      <w:r>
        <w:rPr>
          <w:spacing w:val="-1"/>
          <w:sz w:val="24"/>
        </w:rPr>
        <w:t xml:space="preserve"> </w:t>
      </w:r>
      <w:r>
        <w:rPr>
          <w:sz w:val="24"/>
        </w:rPr>
        <w:t>the</w:t>
      </w:r>
      <w:r>
        <w:rPr>
          <w:spacing w:val="-2"/>
          <w:sz w:val="24"/>
        </w:rPr>
        <w:t xml:space="preserve"> </w:t>
      </w:r>
      <w:r>
        <w:rPr>
          <w:sz w:val="24"/>
        </w:rPr>
        <w:t>documentation</w:t>
      </w:r>
      <w:r>
        <w:rPr>
          <w:spacing w:val="-1"/>
          <w:sz w:val="24"/>
        </w:rPr>
        <w:t xml:space="preserve"> </w:t>
      </w:r>
      <w:r>
        <w:rPr>
          <w:sz w:val="24"/>
        </w:rPr>
        <w:t>files,</w:t>
      </w:r>
      <w:r>
        <w:rPr>
          <w:spacing w:val="-1"/>
          <w:sz w:val="24"/>
        </w:rPr>
        <w:t xml:space="preserve"> </w:t>
      </w:r>
      <w:r>
        <w:rPr>
          <w:sz w:val="24"/>
        </w:rPr>
        <w:t>as</w:t>
      </w:r>
      <w:r>
        <w:rPr>
          <w:spacing w:val="-2"/>
          <w:sz w:val="24"/>
        </w:rPr>
        <w:t xml:space="preserve"> </w:t>
      </w:r>
      <w:r>
        <w:rPr>
          <w:sz w:val="24"/>
        </w:rPr>
        <w:t>described</w:t>
      </w:r>
      <w:r>
        <w:rPr>
          <w:spacing w:val="-1"/>
          <w:sz w:val="24"/>
        </w:rPr>
        <w:t xml:space="preserve"> </w:t>
      </w:r>
      <w:r>
        <w:rPr>
          <w:spacing w:val="-2"/>
          <w:sz w:val="24"/>
        </w:rPr>
        <w:t>above.</w:t>
      </w:r>
    </w:p>
    <w:p>
      <w:pPr>
        <w:pStyle w:val="ListParagraph"/>
        <w:numPr>
          <w:ilvl w:val="0"/>
          <w:numId w:val="35"/>
        </w:numPr>
        <w:tabs>
          <w:tab w:val="left" w:pos="864"/>
        </w:tabs>
        <w:spacing w:before="41" w:after="0" w:line="240" w:lineRule="auto"/>
        <w:ind w:left="864" w:right="1688" w:hanging="360"/>
        <w:jc w:val="left"/>
        <w:rPr>
          <w:sz w:val="24"/>
        </w:rPr>
      </w:pPr>
      <w:r>
        <w:rPr>
          <w:sz w:val="24"/>
        </w:rPr>
        <w:t>A product narrative that offers relevant information about plan design—including significant benefit changes, the product positioning in the market (such as high/low), enrollment shifts, changes in service area, type of coverage, contractual arrangements, marketing</w:t>
      </w:r>
      <w:r>
        <w:rPr>
          <w:spacing w:val="-2"/>
          <w:sz w:val="24"/>
        </w:rPr>
        <w:t xml:space="preserve"> </w:t>
      </w:r>
      <w:r>
        <w:rPr>
          <w:sz w:val="24"/>
        </w:rPr>
        <w:t>approach,</w:t>
      </w:r>
      <w:r>
        <w:rPr>
          <w:spacing w:val="-2"/>
          <w:sz w:val="24"/>
        </w:rPr>
        <w:t xml:space="preserve"> </w:t>
      </w:r>
      <w:r>
        <w:rPr>
          <w:sz w:val="24"/>
        </w:rPr>
        <w:t>and any</w:t>
      </w:r>
      <w:r>
        <w:rPr>
          <w:spacing w:val="-2"/>
          <w:sz w:val="24"/>
        </w:rPr>
        <w:t xml:space="preserve"> </w:t>
      </w:r>
      <w:r>
        <w:rPr>
          <w:sz w:val="24"/>
        </w:rPr>
        <w:t>other</w:t>
      </w:r>
      <w:r>
        <w:rPr>
          <w:spacing w:val="-4"/>
          <w:sz w:val="24"/>
        </w:rPr>
        <w:t xml:space="preserve"> </w:t>
      </w:r>
      <w:r>
        <w:rPr>
          <w:sz w:val="24"/>
        </w:rPr>
        <w:t>pertinent</w:t>
      </w:r>
      <w:r>
        <w:rPr>
          <w:spacing w:val="-2"/>
          <w:sz w:val="24"/>
        </w:rPr>
        <w:t xml:space="preserve"> </w:t>
      </w:r>
      <w:r>
        <w:rPr>
          <w:sz w:val="24"/>
        </w:rPr>
        <w:t>information</w:t>
      </w:r>
      <w:r>
        <w:rPr>
          <w:spacing w:val="-2"/>
          <w:sz w:val="24"/>
        </w:rPr>
        <w:t xml:space="preserve"> </w:t>
      </w:r>
      <w:r>
        <w:rPr>
          <w:sz w:val="24"/>
        </w:rPr>
        <w:t>that</w:t>
      </w:r>
      <w:r>
        <w:rPr>
          <w:spacing w:val="-2"/>
          <w:sz w:val="24"/>
        </w:rPr>
        <w:t xml:space="preserve"> </w:t>
      </w:r>
      <w:r>
        <w:rPr>
          <w:sz w:val="24"/>
        </w:rPr>
        <w:t>would</w:t>
      </w:r>
      <w:r>
        <w:rPr>
          <w:spacing w:val="-2"/>
          <w:sz w:val="24"/>
        </w:rPr>
        <w:t xml:space="preserve"> </w:t>
      </w:r>
      <w:r>
        <w:rPr>
          <w:sz w:val="24"/>
        </w:rPr>
        <w:t>help</w:t>
      </w:r>
      <w:r>
        <w:rPr>
          <w:spacing w:val="-2"/>
          <w:sz w:val="24"/>
        </w:rPr>
        <w:t xml:space="preserve"> </w:t>
      </w:r>
      <w:r>
        <w:rPr>
          <w:sz w:val="24"/>
        </w:rPr>
        <w:t>expedite</w:t>
      </w:r>
      <w:r>
        <w:rPr>
          <w:spacing w:val="-3"/>
          <w:sz w:val="24"/>
        </w:rPr>
        <w:t xml:space="preserve"> </w:t>
      </w:r>
      <w:r>
        <w:rPr>
          <w:sz w:val="24"/>
        </w:rPr>
        <w:t>the</w:t>
      </w:r>
      <w:r>
        <w:rPr>
          <w:spacing w:val="-2"/>
          <w:sz w:val="24"/>
        </w:rPr>
        <w:t xml:space="preserve"> </w:t>
      </w:r>
      <w:r>
        <w:rPr>
          <w:sz w:val="24"/>
        </w:rPr>
        <w:t>bid review. For dual-eligible SNPs, include a statement indicating how the plan conforms to state</w:t>
      </w:r>
      <w:r>
        <w:rPr>
          <w:spacing w:val="-5"/>
          <w:sz w:val="24"/>
        </w:rPr>
        <w:t xml:space="preserve"> </w:t>
      </w:r>
      <w:r>
        <w:rPr>
          <w:sz w:val="24"/>
        </w:rPr>
        <w:t>and</w:t>
      </w:r>
      <w:r>
        <w:rPr>
          <w:spacing w:val="-4"/>
          <w:sz w:val="24"/>
        </w:rPr>
        <w:t xml:space="preserve"> </w:t>
      </w:r>
      <w:r>
        <w:rPr>
          <w:sz w:val="24"/>
        </w:rPr>
        <w:t>territorial</w:t>
      </w:r>
      <w:r>
        <w:rPr>
          <w:spacing w:val="-4"/>
          <w:sz w:val="24"/>
        </w:rPr>
        <w:t xml:space="preserve"> </w:t>
      </w:r>
      <w:r>
        <w:rPr>
          <w:sz w:val="24"/>
        </w:rPr>
        <w:t>Medicaid</w:t>
      </w:r>
      <w:r>
        <w:rPr>
          <w:spacing w:val="-4"/>
          <w:sz w:val="24"/>
        </w:rPr>
        <w:t xml:space="preserve"> </w:t>
      </w:r>
      <w:r>
        <w:rPr>
          <w:sz w:val="24"/>
        </w:rPr>
        <w:t>regulations</w:t>
      </w:r>
      <w:r>
        <w:rPr>
          <w:spacing w:val="-4"/>
          <w:sz w:val="24"/>
        </w:rPr>
        <w:t xml:space="preserve"> </w:t>
      </w:r>
      <w:r>
        <w:rPr>
          <w:sz w:val="24"/>
        </w:rPr>
        <w:t>for</w:t>
      </w:r>
      <w:r>
        <w:rPr>
          <w:spacing w:val="-4"/>
          <w:sz w:val="24"/>
        </w:rPr>
        <w:t xml:space="preserve"> </w:t>
      </w:r>
      <w:r>
        <w:rPr>
          <w:sz w:val="24"/>
        </w:rPr>
        <w:t>benefits,</w:t>
      </w:r>
      <w:r>
        <w:rPr>
          <w:spacing w:val="-4"/>
          <w:sz w:val="24"/>
        </w:rPr>
        <w:t xml:space="preserve"> </w:t>
      </w:r>
      <w:r>
        <w:rPr>
          <w:sz w:val="24"/>
        </w:rPr>
        <w:t>cost</w:t>
      </w:r>
      <w:r>
        <w:rPr>
          <w:spacing w:val="-4"/>
          <w:sz w:val="24"/>
        </w:rPr>
        <w:t xml:space="preserve"> </w:t>
      </w:r>
      <w:r>
        <w:rPr>
          <w:sz w:val="24"/>
        </w:rPr>
        <w:t>sharing,</w:t>
      </w:r>
      <w:r>
        <w:rPr>
          <w:spacing w:val="-4"/>
          <w:sz w:val="24"/>
        </w:rPr>
        <w:t xml:space="preserve"> </w:t>
      </w:r>
      <w:r>
        <w:rPr>
          <w:sz w:val="24"/>
        </w:rPr>
        <w:t>care</w:t>
      </w:r>
      <w:r>
        <w:rPr>
          <w:spacing w:val="-5"/>
          <w:sz w:val="24"/>
        </w:rPr>
        <w:t xml:space="preserve"> </w:t>
      </w:r>
      <w:r>
        <w:rPr>
          <w:sz w:val="24"/>
        </w:rPr>
        <w:t>management,</w:t>
      </w:r>
      <w:r>
        <w:rPr>
          <w:spacing w:val="-4"/>
          <w:sz w:val="24"/>
        </w:rPr>
        <w:t xml:space="preserve"> </w:t>
      </w:r>
      <w:r>
        <w:rPr>
          <w:sz w:val="24"/>
        </w:rPr>
        <w:t xml:space="preserve">and </w:t>
      </w:r>
      <w:r>
        <w:rPr>
          <w:spacing w:val="-2"/>
          <w:sz w:val="24"/>
        </w:rPr>
        <w:t>margins.</w:t>
      </w:r>
    </w:p>
    <w:p>
      <w:pPr>
        <w:pStyle w:val="ListParagraph"/>
        <w:numPr>
          <w:ilvl w:val="1"/>
          <w:numId w:val="35"/>
        </w:numPr>
        <w:tabs>
          <w:tab w:val="left" w:pos="1495"/>
        </w:tabs>
        <w:spacing w:before="42" w:after="0" w:line="240" w:lineRule="auto"/>
        <w:ind w:left="1495" w:right="0" w:hanging="631"/>
        <w:jc w:val="left"/>
        <w:rPr>
          <w:sz w:val="24"/>
        </w:rPr>
      </w:pPr>
      <w:r>
        <w:rPr>
          <w:sz w:val="24"/>
        </w:rPr>
        <w:t>When</w:t>
      </w:r>
      <w:r>
        <w:rPr>
          <w:spacing w:val="-3"/>
          <w:sz w:val="24"/>
        </w:rPr>
        <w:t xml:space="preserve"> </w:t>
      </w:r>
      <w:r>
        <w:rPr>
          <w:sz w:val="24"/>
        </w:rPr>
        <w:t>a</w:t>
      </w:r>
      <w:r>
        <w:rPr>
          <w:spacing w:val="-2"/>
          <w:sz w:val="24"/>
        </w:rPr>
        <w:t xml:space="preserve"> </w:t>
      </w:r>
      <w:r>
        <w:rPr>
          <w:sz w:val="24"/>
        </w:rPr>
        <w:t>decision</w:t>
      </w:r>
      <w:r>
        <w:rPr>
          <w:spacing w:val="-1"/>
          <w:sz w:val="24"/>
        </w:rPr>
        <w:t xml:space="preserve"> </w:t>
      </w:r>
      <w:r>
        <w:rPr>
          <w:sz w:val="24"/>
        </w:rPr>
        <w:t>by</w:t>
      </w:r>
      <w:r>
        <w:rPr>
          <w:spacing w:val="-1"/>
          <w:sz w:val="24"/>
        </w:rPr>
        <w:t xml:space="preserve"> </w:t>
      </w:r>
      <w:r>
        <w:rPr>
          <w:sz w:val="24"/>
        </w:rPr>
        <w:t>CMS on</w:t>
      </w:r>
      <w:r>
        <w:rPr>
          <w:spacing w:val="-1"/>
          <w:sz w:val="24"/>
        </w:rPr>
        <w:t xml:space="preserve"> </w:t>
      </w:r>
      <w:r>
        <w:rPr>
          <w:sz w:val="24"/>
        </w:rPr>
        <w:t>a</w:t>
      </w:r>
      <w:r>
        <w:rPr>
          <w:spacing w:val="-2"/>
          <w:sz w:val="24"/>
        </w:rPr>
        <w:t xml:space="preserve"> </w:t>
      </w:r>
      <w:r>
        <w:rPr>
          <w:sz w:val="24"/>
        </w:rPr>
        <w:t>service</w:t>
      </w:r>
      <w:r>
        <w:rPr>
          <w:spacing w:val="-1"/>
          <w:sz w:val="24"/>
        </w:rPr>
        <w:t xml:space="preserve"> </w:t>
      </w:r>
      <w:r>
        <w:rPr>
          <w:sz w:val="24"/>
        </w:rPr>
        <w:t>area</w:t>
      </w:r>
      <w:r>
        <w:rPr>
          <w:spacing w:val="-1"/>
          <w:sz w:val="24"/>
        </w:rPr>
        <w:t xml:space="preserve"> </w:t>
      </w:r>
      <w:r>
        <w:rPr>
          <w:sz w:val="24"/>
        </w:rPr>
        <w:t>change</w:t>
      </w:r>
      <w:r>
        <w:rPr>
          <w:spacing w:val="-2"/>
          <w:sz w:val="24"/>
        </w:rPr>
        <w:t xml:space="preserve"> </w:t>
      </w:r>
      <w:r>
        <w:rPr>
          <w:sz w:val="24"/>
        </w:rPr>
        <w:t>remains</w:t>
      </w:r>
      <w:r>
        <w:rPr>
          <w:spacing w:val="-2"/>
          <w:sz w:val="24"/>
        </w:rPr>
        <w:t xml:space="preserve"> </w:t>
      </w:r>
      <w:r>
        <w:rPr>
          <w:sz w:val="24"/>
        </w:rPr>
        <w:t>outstanding</w:t>
      </w:r>
      <w:r>
        <w:rPr>
          <w:spacing w:val="-1"/>
          <w:sz w:val="24"/>
        </w:rPr>
        <w:t xml:space="preserve"> </w:t>
      </w:r>
      <w:r>
        <w:rPr>
          <w:sz w:val="24"/>
        </w:rPr>
        <w:t>as</w:t>
      </w:r>
      <w:r>
        <w:rPr>
          <w:spacing w:val="1"/>
          <w:sz w:val="24"/>
        </w:rPr>
        <w:t xml:space="preserve"> </w:t>
      </w:r>
      <w:r>
        <w:rPr>
          <w:spacing w:val="-5"/>
          <w:sz w:val="24"/>
        </w:rPr>
        <w:t>of</w:t>
      </w:r>
    </w:p>
    <w:p>
      <w:pPr>
        <w:pStyle w:val="BodyText"/>
        <w:ind w:left="1495" w:right="1481"/>
      </w:pPr>
      <w:r>
        <w:t>July</w:t>
      </w:r>
      <w:r>
        <w:rPr>
          <w:spacing w:val="-3"/>
        </w:rPr>
        <w:t xml:space="preserve"> </w:t>
      </w:r>
      <w:r>
        <w:t>15</w:t>
      </w:r>
      <w:r>
        <w:rPr>
          <w:vertAlign w:val="superscript"/>
        </w:rPr>
        <w:t>th</w:t>
      </w:r>
      <w:r>
        <w:rPr>
          <w:vertAlign w:val="baseline"/>
        </w:rPr>
        <w:t>,</w:t>
      </w:r>
      <w:r>
        <w:rPr>
          <w:spacing w:val="-3"/>
          <w:vertAlign w:val="baseline"/>
        </w:rPr>
        <w:t xml:space="preserve"> </w:t>
      </w:r>
      <w:r>
        <w:rPr>
          <w:vertAlign w:val="baseline"/>
        </w:rPr>
        <w:t>a</w:t>
      </w:r>
      <w:r>
        <w:rPr>
          <w:spacing w:val="-4"/>
          <w:vertAlign w:val="baseline"/>
        </w:rPr>
        <w:t xml:space="preserve"> </w:t>
      </w:r>
      <w:r>
        <w:rPr>
          <w:vertAlign w:val="baseline"/>
        </w:rPr>
        <w:t>sample</w:t>
      </w:r>
      <w:r>
        <w:rPr>
          <w:spacing w:val="-4"/>
          <w:vertAlign w:val="baseline"/>
        </w:rPr>
        <w:t xml:space="preserve"> </w:t>
      </w:r>
      <w:r>
        <w:rPr>
          <w:vertAlign w:val="baseline"/>
        </w:rPr>
        <w:t>BPT</w:t>
      </w:r>
      <w:r>
        <w:rPr>
          <w:spacing w:val="-6"/>
          <w:vertAlign w:val="baseline"/>
        </w:rPr>
        <w:t xml:space="preserve"> </w:t>
      </w:r>
      <w:r>
        <w:rPr>
          <w:vertAlign w:val="baseline"/>
        </w:rPr>
        <w:t>omitting</w:t>
      </w:r>
      <w:r>
        <w:rPr>
          <w:spacing w:val="-3"/>
          <w:vertAlign w:val="baseline"/>
        </w:rPr>
        <w:t xml:space="preserve"> </w:t>
      </w:r>
      <w:r>
        <w:rPr>
          <w:vertAlign w:val="baseline"/>
        </w:rPr>
        <w:t>the</w:t>
      </w:r>
      <w:r>
        <w:rPr>
          <w:spacing w:val="-4"/>
          <w:vertAlign w:val="baseline"/>
        </w:rPr>
        <w:t xml:space="preserve"> </w:t>
      </w:r>
      <w:r>
        <w:rPr>
          <w:vertAlign w:val="baseline"/>
        </w:rPr>
        <w:t>pending</w:t>
      </w:r>
      <w:r>
        <w:rPr>
          <w:spacing w:val="-3"/>
          <w:vertAlign w:val="baseline"/>
        </w:rPr>
        <w:t xml:space="preserve"> </w:t>
      </w:r>
      <w:r>
        <w:rPr>
          <w:vertAlign w:val="baseline"/>
        </w:rPr>
        <w:t>change</w:t>
      </w:r>
      <w:r>
        <w:rPr>
          <w:spacing w:val="-4"/>
          <w:vertAlign w:val="baseline"/>
        </w:rPr>
        <w:t xml:space="preserve"> </w:t>
      </w:r>
      <w:r>
        <w:rPr>
          <w:vertAlign w:val="baseline"/>
        </w:rPr>
        <w:t>must</w:t>
      </w:r>
      <w:r>
        <w:rPr>
          <w:spacing w:val="-2"/>
          <w:vertAlign w:val="baseline"/>
        </w:rPr>
        <w:t xml:space="preserve"> </w:t>
      </w:r>
      <w:r>
        <w:rPr>
          <w:vertAlign w:val="baseline"/>
        </w:rPr>
        <w:t>be</w:t>
      </w:r>
      <w:r>
        <w:rPr>
          <w:spacing w:val="-4"/>
          <w:vertAlign w:val="baseline"/>
        </w:rPr>
        <w:t xml:space="preserve"> </w:t>
      </w:r>
      <w:r>
        <w:rPr>
          <w:vertAlign w:val="baseline"/>
        </w:rPr>
        <w:t>provided</w:t>
      </w:r>
      <w:r>
        <w:rPr>
          <w:spacing w:val="-3"/>
          <w:vertAlign w:val="baseline"/>
        </w:rPr>
        <w:t xml:space="preserve"> </w:t>
      </w:r>
      <w:r>
        <w:rPr>
          <w:vertAlign w:val="baseline"/>
        </w:rPr>
        <w:t>to</w:t>
      </w:r>
      <w:r>
        <w:rPr>
          <w:spacing w:val="-3"/>
          <w:vertAlign w:val="baseline"/>
        </w:rPr>
        <w:t xml:space="preserve"> </w:t>
      </w:r>
      <w:r>
        <w:rPr>
          <w:vertAlign w:val="baseline"/>
        </w:rPr>
        <w:t>the</w:t>
      </w:r>
      <w:r>
        <w:rPr>
          <w:spacing w:val="-3"/>
          <w:vertAlign w:val="baseline"/>
        </w:rPr>
        <w:t xml:space="preserve"> </w:t>
      </w:r>
      <w:r>
        <w:rPr>
          <w:vertAlign w:val="baseline"/>
        </w:rPr>
        <w:t>OACT. The sample BPT is not to be uploaded to HPMS.</w:t>
      </w:r>
    </w:p>
    <w:p>
      <w:pPr>
        <w:pStyle w:val="ListParagraph"/>
        <w:numPr>
          <w:ilvl w:val="0"/>
          <w:numId w:val="35"/>
        </w:numPr>
        <w:tabs>
          <w:tab w:val="left" w:pos="864"/>
        </w:tabs>
        <w:spacing w:before="38" w:after="0" w:line="240" w:lineRule="auto"/>
        <w:ind w:left="864" w:right="1706" w:hanging="360"/>
        <w:jc w:val="left"/>
        <w:rPr>
          <w:sz w:val="24"/>
        </w:rPr>
      </w:pPr>
      <w:r>
        <w:rPr>
          <w:sz w:val="24"/>
        </w:rPr>
        <w:t>A</w:t>
      </w:r>
      <w:r>
        <w:rPr>
          <w:spacing w:val="-3"/>
          <w:sz w:val="24"/>
        </w:rPr>
        <w:t xml:space="preserve"> </w:t>
      </w:r>
      <w:r>
        <w:rPr>
          <w:sz w:val="24"/>
        </w:rPr>
        <w:t>document</w:t>
      </w:r>
      <w:r>
        <w:rPr>
          <w:spacing w:val="-2"/>
          <w:sz w:val="24"/>
        </w:rPr>
        <w:t xml:space="preserve"> </w:t>
      </w:r>
      <w:r>
        <w:rPr>
          <w:sz w:val="24"/>
        </w:rPr>
        <w:t>titled</w:t>
      </w:r>
      <w:r>
        <w:rPr>
          <w:spacing w:val="-2"/>
          <w:sz w:val="24"/>
        </w:rPr>
        <w:t xml:space="preserve"> </w:t>
      </w:r>
      <w:r>
        <w:rPr>
          <w:sz w:val="24"/>
        </w:rPr>
        <w:t>“Related-Party</w:t>
      </w:r>
      <w:r>
        <w:rPr>
          <w:spacing w:val="-2"/>
          <w:sz w:val="24"/>
        </w:rPr>
        <w:t xml:space="preserve"> </w:t>
      </w:r>
      <w:r>
        <w:rPr>
          <w:sz w:val="24"/>
        </w:rPr>
        <w:t>Declaration”</w:t>
      </w:r>
      <w:r>
        <w:rPr>
          <w:spacing w:val="-3"/>
          <w:sz w:val="24"/>
        </w:rPr>
        <w:t xml:space="preserve"> </w:t>
      </w:r>
      <w:r>
        <w:rPr>
          <w:sz w:val="24"/>
        </w:rPr>
        <w:t>that</w:t>
      </w:r>
      <w:r>
        <w:rPr>
          <w:spacing w:val="-2"/>
          <w:sz w:val="24"/>
        </w:rPr>
        <w:t xml:space="preserve"> </w:t>
      </w:r>
      <w:r>
        <w:rPr>
          <w:sz w:val="24"/>
        </w:rPr>
        <w:t>states</w:t>
      </w:r>
      <w:r>
        <w:rPr>
          <w:spacing w:val="-3"/>
          <w:sz w:val="24"/>
        </w:rPr>
        <w:t xml:space="preserve"> </w:t>
      </w:r>
      <w:r>
        <w:rPr>
          <w:sz w:val="24"/>
        </w:rPr>
        <w:t>whether</w:t>
      </w:r>
      <w:r>
        <w:rPr>
          <w:spacing w:val="-4"/>
          <w:sz w:val="24"/>
        </w:rPr>
        <w:t xml:space="preserve"> </w:t>
      </w:r>
      <w:r>
        <w:rPr>
          <w:sz w:val="24"/>
        </w:rPr>
        <w:t>or</w:t>
      </w:r>
      <w:r>
        <w:rPr>
          <w:spacing w:val="-2"/>
          <w:sz w:val="24"/>
        </w:rPr>
        <w:t xml:space="preserve"> </w:t>
      </w:r>
      <w:r>
        <w:rPr>
          <w:sz w:val="24"/>
        </w:rPr>
        <w:t>not</w:t>
      </w:r>
      <w:r>
        <w:rPr>
          <w:spacing w:val="-2"/>
          <w:sz w:val="24"/>
        </w:rPr>
        <w:t xml:space="preserve"> </w:t>
      </w:r>
      <w:r>
        <w:rPr>
          <w:sz w:val="24"/>
        </w:rPr>
        <w:t>the</w:t>
      </w:r>
      <w:r>
        <w:rPr>
          <w:spacing w:val="-2"/>
          <w:sz w:val="24"/>
        </w:rPr>
        <w:t xml:space="preserve"> </w:t>
      </w:r>
      <w:r>
        <w:rPr>
          <w:sz w:val="24"/>
        </w:rPr>
        <w:t>MAO</w:t>
      </w:r>
      <w:r>
        <w:rPr>
          <w:spacing w:val="-3"/>
          <w:sz w:val="24"/>
        </w:rPr>
        <w:t xml:space="preserve"> </w:t>
      </w:r>
      <w:r>
        <w:rPr>
          <w:sz w:val="24"/>
        </w:rPr>
        <w:t>is</w:t>
      </w:r>
      <w:r>
        <w:rPr>
          <w:spacing w:val="-3"/>
          <w:sz w:val="24"/>
        </w:rPr>
        <w:t xml:space="preserve"> </w:t>
      </w:r>
      <w:r>
        <w:rPr>
          <w:sz w:val="24"/>
        </w:rPr>
        <w:t>in</w:t>
      </w:r>
      <w:r>
        <w:rPr>
          <w:spacing w:val="-2"/>
          <w:sz w:val="24"/>
        </w:rPr>
        <w:t xml:space="preserve"> </w:t>
      </w:r>
      <w:r>
        <w:rPr>
          <w:sz w:val="24"/>
        </w:rPr>
        <w:t>a related-party arrangement in the base period and/or the projection period.</w:t>
      </w:r>
    </w:p>
    <w:p>
      <w:pPr>
        <w:pStyle w:val="ListParagraph"/>
        <w:numPr>
          <w:ilvl w:val="0"/>
          <w:numId w:val="35"/>
        </w:numPr>
        <w:tabs>
          <w:tab w:val="left" w:pos="864"/>
        </w:tabs>
        <w:spacing w:before="41" w:after="0" w:line="240" w:lineRule="auto"/>
        <w:ind w:left="864" w:right="2135" w:hanging="360"/>
        <w:jc w:val="left"/>
        <w:rPr>
          <w:sz w:val="24"/>
        </w:rPr>
      </w:pPr>
      <w:r>
        <w:rPr>
          <w:sz w:val="24"/>
        </w:rPr>
        <w:t>Support</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effect</w:t>
      </w:r>
      <w:r>
        <w:rPr>
          <w:spacing w:val="-2"/>
          <w:sz w:val="24"/>
        </w:rPr>
        <w:t xml:space="preserve"> </w:t>
      </w:r>
      <w:r>
        <w:rPr>
          <w:sz w:val="24"/>
        </w:rPr>
        <w:t>of</w:t>
      </w:r>
      <w:r>
        <w:rPr>
          <w:spacing w:val="-2"/>
          <w:sz w:val="24"/>
        </w:rPr>
        <w:t xml:space="preserve"> </w:t>
      </w:r>
      <w:r>
        <w:rPr>
          <w:sz w:val="24"/>
        </w:rPr>
        <w:t>sequestration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bid,</w:t>
      </w:r>
      <w:r>
        <w:rPr>
          <w:spacing w:val="-1"/>
          <w:sz w:val="24"/>
        </w:rPr>
        <w:t xml:space="preserve"> </w:t>
      </w:r>
      <w:r>
        <w:rPr>
          <w:sz w:val="24"/>
        </w:rPr>
        <w:t>including</w:t>
      </w:r>
      <w:r>
        <w:rPr>
          <w:spacing w:val="-3"/>
          <w:sz w:val="24"/>
        </w:rPr>
        <w:t xml:space="preserve"> </w:t>
      </w:r>
      <w:r>
        <w:rPr>
          <w:sz w:val="24"/>
        </w:rPr>
        <w:t>a</w:t>
      </w:r>
      <w:r>
        <w:rPr>
          <w:spacing w:val="-4"/>
          <w:sz w:val="24"/>
        </w:rPr>
        <w:t xml:space="preserve"> </w:t>
      </w:r>
      <w:r>
        <w:rPr>
          <w:sz w:val="24"/>
        </w:rPr>
        <w:t>detailed</w:t>
      </w:r>
      <w:r>
        <w:rPr>
          <w:spacing w:val="-4"/>
          <w:sz w:val="24"/>
        </w:rPr>
        <w:t xml:space="preserve"> </w:t>
      </w:r>
      <w:r>
        <w:rPr>
          <w:sz w:val="24"/>
        </w:rPr>
        <w:t>qualitative</w:t>
      </w:r>
      <w:r>
        <w:rPr>
          <w:spacing w:val="-3"/>
          <w:sz w:val="24"/>
        </w:rPr>
        <w:t xml:space="preserve"> </w:t>
      </w:r>
      <w:r>
        <w:rPr>
          <w:sz w:val="24"/>
        </w:rPr>
        <w:t>and quantitative description of how sequestration is reflected in pricing assumptions.</w:t>
      </w:r>
    </w:p>
    <w:p>
      <w:pPr>
        <w:pStyle w:val="ListParagraph"/>
        <w:numPr>
          <w:ilvl w:val="0"/>
          <w:numId w:val="35"/>
        </w:numPr>
        <w:tabs>
          <w:tab w:val="left" w:pos="864"/>
        </w:tabs>
        <w:spacing w:before="120" w:after="0" w:line="240" w:lineRule="auto"/>
        <w:ind w:left="864" w:right="0" w:hanging="360"/>
        <w:jc w:val="left"/>
        <w:rPr>
          <w:sz w:val="24"/>
        </w:rPr>
      </w:pPr>
      <w:r>
        <w:rPr>
          <w:sz w:val="24"/>
        </w:rPr>
        <w:t>Support</w:t>
      </w:r>
      <w:r>
        <w:rPr>
          <w:spacing w:val="-4"/>
          <w:sz w:val="24"/>
        </w:rPr>
        <w:t xml:space="preserve"> </w:t>
      </w:r>
      <w:r>
        <w:rPr>
          <w:sz w:val="24"/>
        </w:rPr>
        <w:t>for</w:t>
      </w:r>
      <w:r>
        <w:rPr>
          <w:spacing w:val="-3"/>
          <w:sz w:val="24"/>
        </w:rPr>
        <w:t xml:space="preserve"> </w:t>
      </w:r>
      <w:r>
        <w:rPr>
          <w:sz w:val="24"/>
        </w:rPr>
        <w:t>the</w:t>
      </w:r>
      <w:r>
        <w:rPr>
          <w:spacing w:val="-2"/>
          <w:sz w:val="24"/>
        </w:rPr>
        <w:t xml:space="preserve"> </w:t>
      </w:r>
      <w:r>
        <w:rPr>
          <w:sz w:val="24"/>
        </w:rPr>
        <w:t>claims</w:t>
      </w:r>
      <w:r>
        <w:rPr>
          <w:spacing w:val="-1"/>
          <w:sz w:val="24"/>
        </w:rPr>
        <w:t xml:space="preserve"> </w:t>
      </w:r>
      <w:r>
        <w:rPr>
          <w:sz w:val="24"/>
        </w:rPr>
        <w:t>credibility</w:t>
      </w:r>
      <w:r>
        <w:rPr>
          <w:spacing w:val="-2"/>
          <w:sz w:val="24"/>
        </w:rPr>
        <w:t xml:space="preserve"> </w:t>
      </w:r>
      <w:r>
        <w:rPr>
          <w:sz w:val="24"/>
        </w:rPr>
        <w:t>assumptions</w:t>
      </w:r>
      <w:r>
        <w:rPr>
          <w:spacing w:val="-2"/>
          <w:sz w:val="24"/>
        </w:rPr>
        <w:t xml:space="preserve"> </w:t>
      </w:r>
      <w:r>
        <w:rPr>
          <w:sz w:val="24"/>
        </w:rPr>
        <w:t>(Worksheet</w:t>
      </w:r>
      <w:r>
        <w:rPr>
          <w:spacing w:val="-2"/>
          <w:sz w:val="24"/>
        </w:rPr>
        <w:t xml:space="preserve"> </w:t>
      </w:r>
      <w:r>
        <w:rPr>
          <w:sz w:val="24"/>
        </w:rPr>
        <w:t>2),</w:t>
      </w:r>
      <w:r>
        <w:rPr>
          <w:spacing w:val="-1"/>
          <w:sz w:val="24"/>
        </w:rPr>
        <w:t xml:space="preserve"> </w:t>
      </w:r>
      <w:r>
        <w:rPr>
          <w:spacing w:val="-2"/>
          <w:sz w:val="24"/>
        </w:rPr>
        <w:t>including—</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ListParagraph"/>
        <w:numPr>
          <w:ilvl w:val="1"/>
          <w:numId w:val="35"/>
        </w:numPr>
        <w:tabs>
          <w:tab w:val="left" w:pos="1495"/>
        </w:tabs>
        <w:spacing w:before="0" w:after="0" w:line="240" w:lineRule="auto"/>
        <w:ind w:left="1495" w:right="0" w:hanging="631"/>
        <w:jc w:val="left"/>
        <w:rPr>
          <w:sz w:val="24"/>
        </w:rPr>
      </w:pPr>
      <w:r>
        <w:rPr>
          <w:sz w:val="24"/>
        </w:rPr>
        <w:t>A</w:t>
      </w:r>
      <w:r>
        <w:rPr>
          <w:spacing w:val="-5"/>
          <w:sz w:val="24"/>
        </w:rPr>
        <w:t xml:space="preserve"> </w:t>
      </w:r>
      <w:r>
        <w:rPr>
          <w:sz w:val="24"/>
        </w:rPr>
        <w:t>statement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credibility</w:t>
      </w:r>
      <w:r>
        <w:rPr>
          <w:spacing w:val="-1"/>
          <w:sz w:val="24"/>
        </w:rPr>
        <w:t xml:space="preserve"> </w:t>
      </w:r>
      <w:r>
        <w:rPr>
          <w:sz w:val="24"/>
        </w:rPr>
        <w:t>methodology used—for</w:t>
      </w:r>
      <w:r>
        <w:rPr>
          <w:spacing w:val="-2"/>
          <w:sz w:val="24"/>
        </w:rPr>
        <w:t xml:space="preserve"> </w:t>
      </w:r>
      <w:r>
        <w:rPr>
          <w:sz w:val="24"/>
        </w:rPr>
        <w:t>example,</w:t>
      </w:r>
      <w:r>
        <w:rPr>
          <w:spacing w:val="-1"/>
          <w:sz w:val="24"/>
        </w:rPr>
        <w:t xml:space="preserve"> </w:t>
      </w:r>
      <w:r>
        <w:rPr>
          <w:sz w:val="24"/>
        </w:rPr>
        <w:t>CMS</w:t>
      </w:r>
      <w:r>
        <w:rPr>
          <w:spacing w:val="-1"/>
          <w:sz w:val="24"/>
        </w:rPr>
        <w:t xml:space="preserve"> </w:t>
      </w:r>
      <w:r>
        <w:rPr>
          <w:spacing w:val="-2"/>
          <w:sz w:val="24"/>
        </w:rPr>
        <w:t>guidelines.</w:t>
      </w:r>
    </w:p>
    <w:p>
      <w:pPr>
        <w:pStyle w:val="ListParagraph"/>
        <w:numPr>
          <w:ilvl w:val="1"/>
          <w:numId w:val="35"/>
        </w:numPr>
        <w:tabs>
          <w:tab w:val="left" w:pos="1495"/>
        </w:tabs>
        <w:spacing w:before="120" w:after="0" w:line="240" w:lineRule="auto"/>
        <w:ind w:left="1495" w:right="0" w:hanging="631"/>
        <w:jc w:val="left"/>
        <w:rPr>
          <w:sz w:val="24"/>
        </w:rPr>
      </w:pPr>
      <w:r>
        <w:rPr>
          <w:sz w:val="24"/>
        </w:rPr>
        <w:t>An</w:t>
      </w:r>
      <w:r>
        <w:rPr>
          <w:spacing w:val="-4"/>
          <w:sz w:val="24"/>
        </w:rPr>
        <w:t xml:space="preserve"> </w:t>
      </w:r>
      <w:r>
        <w:rPr>
          <w:sz w:val="24"/>
        </w:rPr>
        <w:t>actuarial</w:t>
      </w:r>
      <w:r>
        <w:rPr>
          <w:spacing w:val="-1"/>
          <w:sz w:val="24"/>
        </w:rPr>
        <w:t xml:space="preserve"> </w:t>
      </w:r>
      <w:r>
        <w:rPr>
          <w:sz w:val="24"/>
        </w:rPr>
        <w:t>report</w:t>
      </w:r>
      <w:r>
        <w:rPr>
          <w:spacing w:val="-1"/>
          <w:sz w:val="24"/>
        </w:rPr>
        <w:t xml:space="preserve"> </w:t>
      </w:r>
      <w:r>
        <w:rPr>
          <w:sz w:val="24"/>
        </w:rPr>
        <w:t>of</w:t>
      </w:r>
      <w:r>
        <w:rPr>
          <w:spacing w:val="-1"/>
          <w:sz w:val="24"/>
        </w:rPr>
        <w:t xml:space="preserve"> </w:t>
      </w:r>
      <w:r>
        <w:rPr>
          <w:sz w:val="24"/>
        </w:rPr>
        <w:t>the credibility procedure</w:t>
      </w:r>
      <w:r>
        <w:rPr>
          <w:spacing w:val="-2"/>
          <w:sz w:val="24"/>
        </w:rPr>
        <w:t xml:space="preserve"> </w:t>
      </w:r>
      <w:r>
        <w:rPr>
          <w:sz w:val="24"/>
        </w:rPr>
        <w:t>used</w:t>
      </w:r>
      <w:r>
        <w:rPr>
          <w:spacing w:val="-1"/>
          <w:sz w:val="24"/>
        </w:rPr>
        <w:t xml:space="preserve"> </w:t>
      </w:r>
      <w:r>
        <w:rPr>
          <w:sz w:val="24"/>
        </w:rPr>
        <w:t>if</w:t>
      </w:r>
      <w:r>
        <w:rPr>
          <w:spacing w:val="-1"/>
          <w:sz w:val="24"/>
        </w:rPr>
        <w:t xml:space="preserve"> </w:t>
      </w:r>
      <w:r>
        <w:rPr>
          <w:sz w:val="24"/>
        </w:rPr>
        <w:t>it</w:t>
      </w:r>
      <w:r>
        <w:rPr>
          <w:spacing w:val="-1"/>
          <w:sz w:val="24"/>
        </w:rPr>
        <w:t xml:space="preserve"> </w:t>
      </w:r>
      <w:r>
        <w:rPr>
          <w:sz w:val="24"/>
        </w:rPr>
        <w:t>varies</w:t>
      </w:r>
      <w:r>
        <w:rPr>
          <w:spacing w:val="-2"/>
          <w:sz w:val="24"/>
        </w:rPr>
        <w:t xml:space="preserve"> </w:t>
      </w:r>
      <w:r>
        <w:rPr>
          <w:sz w:val="24"/>
        </w:rPr>
        <w:t>from</w:t>
      </w:r>
      <w:r>
        <w:rPr>
          <w:spacing w:val="-1"/>
          <w:sz w:val="24"/>
        </w:rPr>
        <w:t xml:space="preserve"> </w:t>
      </w:r>
      <w:r>
        <w:rPr>
          <w:sz w:val="24"/>
        </w:rPr>
        <w:t>CMS</w:t>
      </w:r>
      <w:r>
        <w:rPr>
          <w:spacing w:val="-1"/>
          <w:sz w:val="24"/>
        </w:rPr>
        <w:t xml:space="preserve"> </w:t>
      </w:r>
      <w:r>
        <w:rPr>
          <w:spacing w:val="-2"/>
          <w:sz w:val="24"/>
        </w:rPr>
        <w:t>guidelines.</w:t>
      </w:r>
    </w:p>
    <w:p>
      <w:pPr>
        <w:pStyle w:val="ListParagraph"/>
        <w:numPr>
          <w:ilvl w:val="0"/>
          <w:numId w:val="35"/>
        </w:numPr>
        <w:tabs>
          <w:tab w:val="left" w:pos="864"/>
        </w:tabs>
        <w:spacing w:before="120" w:after="0" w:line="240" w:lineRule="auto"/>
        <w:ind w:left="864" w:right="1499" w:hanging="360"/>
        <w:jc w:val="left"/>
        <w:rPr>
          <w:sz w:val="24"/>
        </w:rPr>
      </w:pPr>
      <w:r>
        <w:rPr>
          <w:sz w:val="24"/>
        </w:rPr>
        <w:t>A detailed description of the process used for adjusting cost sharing due to maximum OOP limits, including how the PMPM impact of the maximum OOP was determined</w:t>
      </w:r>
      <w:r>
        <w:rPr>
          <w:spacing w:val="40"/>
          <w:sz w:val="24"/>
        </w:rPr>
        <w:t xml:space="preserve"> </w:t>
      </w:r>
      <w:r>
        <w:rPr>
          <w:sz w:val="24"/>
        </w:rPr>
        <w:t>(Worksheet 3). If the PMPM impact of the maximum OOP is zero, a justification must be included</w:t>
      </w:r>
      <w:r>
        <w:rPr>
          <w:spacing w:val="-5"/>
          <w:sz w:val="24"/>
        </w:rPr>
        <w:t xml:space="preserve"> </w:t>
      </w:r>
      <w:r>
        <w:rPr>
          <w:sz w:val="24"/>
        </w:rPr>
        <w:t>that</w:t>
      </w:r>
      <w:r>
        <w:rPr>
          <w:spacing w:val="-4"/>
          <w:sz w:val="24"/>
        </w:rPr>
        <w:t xml:space="preserve"> </w:t>
      </w:r>
      <w:r>
        <w:rPr>
          <w:sz w:val="24"/>
        </w:rPr>
        <w:t>contains</w:t>
      </w:r>
      <w:r>
        <w:rPr>
          <w:spacing w:val="-5"/>
          <w:sz w:val="24"/>
        </w:rPr>
        <w:t xml:space="preserve"> </w:t>
      </w:r>
      <w:r>
        <w:rPr>
          <w:sz w:val="24"/>
        </w:rPr>
        <w:t>all</w:t>
      </w:r>
      <w:r>
        <w:rPr>
          <w:spacing w:val="-1"/>
          <w:sz w:val="24"/>
        </w:rPr>
        <w:t xml:space="preserve"> </w:t>
      </w:r>
      <w:r>
        <w:rPr>
          <w:sz w:val="24"/>
        </w:rPr>
        <w:t>applicable</w:t>
      </w:r>
      <w:r>
        <w:rPr>
          <w:spacing w:val="-4"/>
          <w:sz w:val="24"/>
        </w:rPr>
        <w:t xml:space="preserve"> </w:t>
      </w:r>
      <w:r>
        <w:rPr>
          <w:sz w:val="24"/>
        </w:rPr>
        <w:t>Contract-Plan</w:t>
      </w:r>
      <w:r>
        <w:rPr>
          <w:spacing w:val="-4"/>
          <w:sz w:val="24"/>
        </w:rPr>
        <w:t xml:space="preserve"> </w:t>
      </w:r>
      <w:r>
        <w:rPr>
          <w:sz w:val="24"/>
        </w:rPr>
        <w:t>ID-Segment</w:t>
      </w:r>
      <w:r>
        <w:rPr>
          <w:spacing w:val="-2"/>
          <w:sz w:val="24"/>
        </w:rPr>
        <w:t xml:space="preserve"> </w:t>
      </w:r>
      <w:r>
        <w:rPr>
          <w:sz w:val="24"/>
        </w:rPr>
        <w:t>IDs,</w:t>
      </w:r>
      <w:r>
        <w:rPr>
          <w:spacing w:val="-4"/>
          <w:sz w:val="24"/>
        </w:rPr>
        <w:t xml:space="preserve"> </w:t>
      </w:r>
      <w:r>
        <w:rPr>
          <w:sz w:val="24"/>
        </w:rPr>
        <w:t>the</w:t>
      </w:r>
      <w:r>
        <w:rPr>
          <w:spacing w:val="-5"/>
          <w:sz w:val="24"/>
        </w:rPr>
        <w:t xml:space="preserve"> </w:t>
      </w:r>
      <w:r>
        <w:rPr>
          <w:sz w:val="24"/>
        </w:rPr>
        <w:t>source</w:t>
      </w:r>
      <w:r>
        <w:rPr>
          <w:spacing w:val="-5"/>
          <w:sz w:val="24"/>
        </w:rPr>
        <w:t xml:space="preserve"> </w:t>
      </w:r>
      <w:r>
        <w:rPr>
          <w:sz w:val="24"/>
        </w:rPr>
        <w:t>data,</w:t>
      </w:r>
      <w:r>
        <w:rPr>
          <w:spacing w:val="-4"/>
          <w:sz w:val="24"/>
        </w:rPr>
        <w:t xml:space="preserve"> </w:t>
      </w:r>
      <w:r>
        <w:rPr>
          <w:sz w:val="24"/>
        </w:rPr>
        <w:t>and</w:t>
      </w:r>
      <w:r>
        <w:rPr>
          <w:spacing w:val="-4"/>
          <w:sz w:val="24"/>
        </w:rPr>
        <w:t xml:space="preserve"> </w:t>
      </w:r>
      <w:r>
        <w:rPr>
          <w:sz w:val="24"/>
        </w:rPr>
        <w:t>an explicit statement that the projected PMPM impact for the contract year equals zero (or “essentially zero”).</w:t>
      </w:r>
    </w:p>
    <w:p>
      <w:pPr>
        <w:pStyle w:val="ListParagraph"/>
        <w:numPr>
          <w:ilvl w:val="0"/>
          <w:numId w:val="35"/>
        </w:numPr>
        <w:tabs>
          <w:tab w:val="left" w:pos="864"/>
        </w:tabs>
        <w:spacing w:before="120" w:after="0" w:line="240" w:lineRule="auto"/>
        <w:ind w:left="864" w:right="1562" w:hanging="360"/>
        <w:jc w:val="left"/>
        <w:rPr>
          <w:sz w:val="24"/>
        </w:rPr>
      </w:pPr>
      <w:r>
        <w:rPr>
          <w:sz w:val="24"/>
        </w:rPr>
        <w:t>Support</w:t>
      </w:r>
      <w:r>
        <w:rPr>
          <w:spacing w:val="-4"/>
          <w:sz w:val="24"/>
        </w:rPr>
        <w:t xml:space="preserve"> </w:t>
      </w:r>
      <w:r>
        <w:rPr>
          <w:sz w:val="24"/>
        </w:rPr>
        <w:t>for</w:t>
      </w:r>
      <w:r>
        <w:rPr>
          <w:spacing w:val="-5"/>
          <w:sz w:val="24"/>
        </w:rPr>
        <w:t xml:space="preserve"> </w:t>
      </w:r>
      <w:r>
        <w:rPr>
          <w:sz w:val="24"/>
        </w:rPr>
        <w:t>non-benefit</w:t>
      </w:r>
      <w:r>
        <w:rPr>
          <w:spacing w:val="-4"/>
          <w:sz w:val="24"/>
        </w:rPr>
        <w:t xml:space="preserve"> </w:t>
      </w:r>
      <w:r>
        <w:rPr>
          <w:sz w:val="24"/>
        </w:rPr>
        <w:t>expense</w:t>
      </w:r>
      <w:r>
        <w:rPr>
          <w:spacing w:val="-5"/>
          <w:sz w:val="24"/>
        </w:rPr>
        <w:t xml:space="preserve"> </w:t>
      </w:r>
      <w:r>
        <w:rPr>
          <w:sz w:val="24"/>
        </w:rPr>
        <w:t>assumptions</w:t>
      </w:r>
      <w:r>
        <w:rPr>
          <w:spacing w:val="-3"/>
          <w:sz w:val="24"/>
        </w:rPr>
        <w:t xml:space="preserve"> </w:t>
      </w:r>
      <w:r>
        <w:rPr>
          <w:sz w:val="24"/>
        </w:rPr>
        <w:t>(Worksheets</w:t>
      </w:r>
      <w:r>
        <w:rPr>
          <w:spacing w:val="-5"/>
          <w:sz w:val="24"/>
        </w:rPr>
        <w:t xml:space="preserve"> </w:t>
      </w:r>
      <w:r>
        <w:rPr>
          <w:sz w:val="24"/>
        </w:rPr>
        <w:t>1</w:t>
      </w:r>
      <w:r>
        <w:rPr>
          <w:spacing w:val="-4"/>
          <w:sz w:val="24"/>
        </w:rPr>
        <w:t xml:space="preserve"> </w:t>
      </w:r>
      <w:r>
        <w:rPr>
          <w:sz w:val="24"/>
        </w:rPr>
        <w:t>and</w:t>
      </w:r>
      <w:r>
        <w:rPr>
          <w:spacing w:val="-4"/>
          <w:sz w:val="24"/>
        </w:rPr>
        <w:t xml:space="preserve"> </w:t>
      </w:r>
      <w:r>
        <w:rPr>
          <w:sz w:val="24"/>
        </w:rPr>
        <w:t>4).</w:t>
      </w:r>
      <w:r>
        <w:rPr>
          <w:spacing w:val="-2"/>
          <w:sz w:val="24"/>
        </w:rPr>
        <w:t xml:space="preserve"> </w:t>
      </w:r>
      <w:r>
        <w:rPr>
          <w:sz w:val="24"/>
        </w:rPr>
        <w:t>The</w:t>
      </w:r>
      <w:r>
        <w:rPr>
          <w:spacing w:val="-5"/>
          <w:sz w:val="24"/>
        </w:rPr>
        <w:t xml:space="preserve"> </w:t>
      </w:r>
      <w:r>
        <w:rPr>
          <w:sz w:val="24"/>
        </w:rPr>
        <w:t>required</w:t>
      </w:r>
      <w:r>
        <w:rPr>
          <w:spacing w:val="-4"/>
          <w:sz w:val="24"/>
        </w:rPr>
        <w:t xml:space="preserve"> </w:t>
      </w:r>
      <w:r>
        <w:rPr>
          <w:sz w:val="24"/>
        </w:rPr>
        <w:t xml:space="preserve">elements </w:t>
      </w:r>
      <w:r>
        <w:rPr>
          <w:spacing w:val="-2"/>
          <w:sz w:val="24"/>
        </w:rPr>
        <w:t>include—</w:t>
      </w:r>
    </w:p>
    <w:p>
      <w:pPr>
        <w:pStyle w:val="ListParagraph"/>
        <w:numPr>
          <w:ilvl w:val="1"/>
          <w:numId w:val="35"/>
        </w:numPr>
        <w:tabs>
          <w:tab w:val="left" w:pos="1495"/>
        </w:tabs>
        <w:spacing w:before="120" w:after="0" w:line="240" w:lineRule="auto"/>
        <w:ind w:left="1495" w:right="1599" w:hanging="632"/>
        <w:jc w:val="both"/>
        <w:rPr>
          <w:sz w:val="24"/>
        </w:rPr>
      </w:pPr>
      <w:r>
        <w:rPr>
          <w:sz w:val="24"/>
        </w:rPr>
        <w:t>A</w:t>
      </w:r>
      <w:r>
        <w:rPr>
          <w:spacing w:val="-4"/>
          <w:sz w:val="24"/>
        </w:rPr>
        <w:t xml:space="preserve"> </w:t>
      </w:r>
      <w:r>
        <w:rPr>
          <w:sz w:val="24"/>
        </w:rPr>
        <w:t>reconciliation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base</w:t>
      </w:r>
      <w:r>
        <w:rPr>
          <w:spacing w:val="-4"/>
          <w:sz w:val="24"/>
        </w:rPr>
        <w:t xml:space="preserve"> </w:t>
      </w:r>
      <w:r>
        <w:rPr>
          <w:sz w:val="24"/>
        </w:rPr>
        <w:t>period</w:t>
      </w:r>
      <w:r>
        <w:rPr>
          <w:spacing w:val="-3"/>
          <w:sz w:val="24"/>
        </w:rPr>
        <w:t xml:space="preserve"> </w:t>
      </w:r>
      <w:r>
        <w:rPr>
          <w:sz w:val="24"/>
        </w:rPr>
        <w:t>non-benefit</w:t>
      </w:r>
      <w:r>
        <w:rPr>
          <w:spacing w:val="-3"/>
          <w:sz w:val="24"/>
        </w:rPr>
        <w:t xml:space="preserve"> </w:t>
      </w:r>
      <w:r>
        <w:rPr>
          <w:sz w:val="24"/>
        </w:rPr>
        <w:t>expenses</w:t>
      </w:r>
      <w:r>
        <w:rPr>
          <w:spacing w:val="-4"/>
          <w:sz w:val="24"/>
        </w:rPr>
        <w:t xml:space="preserve"> </w:t>
      </w:r>
      <w:r>
        <w:rPr>
          <w:sz w:val="24"/>
        </w:rPr>
        <w:t>reported</w:t>
      </w:r>
      <w:r>
        <w:rPr>
          <w:spacing w:val="-3"/>
          <w:sz w:val="24"/>
        </w:rPr>
        <w:t xml:space="preserve"> </w:t>
      </w:r>
      <w:r>
        <w:rPr>
          <w:sz w:val="24"/>
        </w:rPr>
        <w:t>in</w:t>
      </w:r>
      <w:r>
        <w:rPr>
          <w:spacing w:val="-2"/>
          <w:sz w:val="24"/>
        </w:rPr>
        <w:t xml:space="preserve"> </w:t>
      </w:r>
      <w:r>
        <w:rPr>
          <w:sz w:val="24"/>
        </w:rPr>
        <w:t>Worksheet</w:t>
      </w:r>
      <w:r>
        <w:rPr>
          <w:spacing w:val="-3"/>
          <w:sz w:val="24"/>
        </w:rPr>
        <w:t xml:space="preserve"> </w:t>
      </w:r>
      <w:r>
        <w:rPr>
          <w:sz w:val="24"/>
        </w:rPr>
        <w:t>1</w:t>
      </w:r>
      <w:r>
        <w:rPr>
          <w:spacing w:val="-3"/>
          <w:sz w:val="24"/>
        </w:rPr>
        <w:t xml:space="preserve"> </w:t>
      </w:r>
      <w:r>
        <w:rPr>
          <w:sz w:val="24"/>
        </w:rPr>
        <w:t xml:space="preserve">of the BPT to auditable material such as corporate financials and bid-level operational </w:t>
      </w:r>
      <w:r>
        <w:rPr>
          <w:spacing w:val="-2"/>
          <w:sz w:val="24"/>
        </w:rPr>
        <w:t>data.</w:t>
      </w:r>
    </w:p>
    <w:p>
      <w:pPr>
        <w:pStyle w:val="ListParagraph"/>
        <w:numPr>
          <w:ilvl w:val="1"/>
          <w:numId w:val="35"/>
        </w:numPr>
        <w:tabs>
          <w:tab w:val="left" w:pos="1495"/>
        </w:tabs>
        <w:spacing w:before="121" w:after="0" w:line="240" w:lineRule="auto"/>
        <w:ind w:left="1495" w:right="1701" w:hanging="632"/>
        <w:jc w:val="both"/>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expenses</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each</w:t>
      </w:r>
      <w:r>
        <w:rPr>
          <w:spacing w:val="-3"/>
          <w:sz w:val="24"/>
        </w:rPr>
        <w:t xml:space="preserve"> </w:t>
      </w:r>
      <w:r>
        <w:rPr>
          <w:sz w:val="24"/>
        </w:rPr>
        <w:t>non-benefit</w:t>
      </w:r>
      <w:r>
        <w:rPr>
          <w:spacing w:val="-3"/>
          <w:sz w:val="24"/>
        </w:rPr>
        <w:t xml:space="preserve"> </w:t>
      </w:r>
      <w:r>
        <w:rPr>
          <w:sz w:val="24"/>
        </w:rPr>
        <w:t>expense</w:t>
      </w:r>
      <w:r>
        <w:rPr>
          <w:spacing w:val="-4"/>
          <w:sz w:val="24"/>
        </w:rPr>
        <w:t xml:space="preserve"> </w:t>
      </w:r>
      <w:r>
        <w:rPr>
          <w:sz w:val="24"/>
        </w:rPr>
        <w:t>category</w:t>
      </w:r>
      <w:r>
        <w:rPr>
          <w:spacing w:val="-4"/>
          <w:sz w:val="24"/>
        </w:rPr>
        <w:t xml:space="preserve"> </w:t>
      </w:r>
      <w:r>
        <w:rPr>
          <w:sz w:val="24"/>
        </w:rPr>
        <w:t>in</w:t>
      </w:r>
      <w:r>
        <w:rPr>
          <w:spacing w:val="-3"/>
          <w:sz w:val="24"/>
        </w:rPr>
        <w:t xml:space="preserve"> </w:t>
      </w:r>
      <w:r>
        <w:rPr>
          <w:sz w:val="24"/>
        </w:rPr>
        <w:t xml:space="preserve">the </w:t>
      </w:r>
      <w:r>
        <w:rPr>
          <w:spacing w:val="-4"/>
          <w:sz w:val="24"/>
        </w:rPr>
        <w:t>BPT.</w:t>
      </w:r>
    </w:p>
    <w:p>
      <w:pPr>
        <w:pStyle w:val="ListParagraph"/>
        <w:numPr>
          <w:ilvl w:val="2"/>
          <w:numId w:val="35"/>
        </w:numPr>
        <w:tabs>
          <w:tab w:val="left" w:pos="2215"/>
        </w:tabs>
        <w:spacing w:before="120" w:after="0" w:line="240" w:lineRule="auto"/>
        <w:ind w:left="2215" w:right="1651" w:hanging="720"/>
        <w:jc w:val="left"/>
        <w:rPr>
          <w:sz w:val="24"/>
        </w:rPr>
      </w:pPr>
      <w:r>
        <w:rPr>
          <w:sz w:val="24"/>
        </w:rPr>
        <w:t>For</w:t>
      </w:r>
      <w:r>
        <w:rPr>
          <w:spacing w:val="-4"/>
          <w:sz w:val="24"/>
        </w:rPr>
        <w:t xml:space="preserve"> </w:t>
      </w:r>
      <w:r>
        <w:rPr>
          <w:sz w:val="24"/>
        </w:rPr>
        <w:t>the</w:t>
      </w:r>
      <w:r>
        <w:rPr>
          <w:spacing w:val="-6"/>
          <w:sz w:val="24"/>
        </w:rPr>
        <w:t xml:space="preserve"> </w:t>
      </w:r>
      <w:r>
        <w:rPr>
          <w:sz w:val="24"/>
        </w:rPr>
        <w:t>“Net</w:t>
      </w:r>
      <w:r>
        <w:rPr>
          <w:spacing w:val="-4"/>
          <w:sz w:val="24"/>
        </w:rPr>
        <w:t xml:space="preserve"> </w:t>
      </w:r>
      <w:r>
        <w:rPr>
          <w:sz w:val="24"/>
        </w:rPr>
        <w:t>Cost</w:t>
      </w:r>
      <w:r>
        <w:rPr>
          <w:spacing w:val="-4"/>
          <w:sz w:val="24"/>
        </w:rPr>
        <w:t xml:space="preserve"> </w:t>
      </w:r>
      <w:r>
        <w:rPr>
          <w:sz w:val="24"/>
        </w:rPr>
        <w:t>of</w:t>
      </w:r>
      <w:r>
        <w:rPr>
          <w:spacing w:val="-4"/>
          <w:sz w:val="24"/>
        </w:rPr>
        <w:t xml:space="preserve"> </w:t>
      </w:r>
      <w:r>
        <w:rPr>
          <w:sz w:val="24"/>
        </w:rPr>
        <w:t>Private</w:t>
      </w:r>
      <w:r>
        <w:rPr>
          <w:spacing w:val="-4"/>
          <w:sz w:val="24"/>
        </w:rPr>
        <w:t xml:space="preserve"> </w:t>
      </w:r>
      <w:r>
        <w:rPr>
          <w:sz w:val="24"/>
        </w:rPr>
        <w:t>Reinsurance”</w:t>
      </w:r>
      <w:r>
        <w:rPr>
          <w:spacing w:val="-3"/>
          <w:sz w:val="24"/>
        </w:rPr>
        <w:t xml:space="preserve"> </w:t>
      </w:r>
      <w:r>
        <w:rPr>
          <w:sz w:val="24"/>
        </w:rPr>
        <w:t>category,</w:t>
      </w:r>
      <w:r>
        <w:rPr>
          <w:spacing w:val="-4"/>
          <w:sz w:val="24"/>
        </w:rPr>
        <w:t xml:space="preserve"> </w:t>
      </w:r>
      <w:r>
        <w:rPr>
          <w:sz w:val="24"/>
        </w:rPr>
        <w:t>disclose</w:t>
      </w:r>
      <w:r>
        <w:rPr>
          <w:spacing w:val="-4"/>
          <w:sz w:val="24"/>
        </w:rPr>
        <w:t xml:space="preserve"> </w:t>
      </w:r>
      <w:r>
        <w:rPr>
          <w:sz w:val="24"/>
        </w:rPr>
        <w:t>whether</w:t>
      </w:r>
      <w:r>
        <w:rPr>
          <w:spacing w:val="-6"/>
          <w:sz w:val="24"/>
        </w:rPr>
        <w:t xml:space="preserve"> </w:t>
      </w:r>
      <w:r>
        <w:rPr>
          <w:sz w:val="24"/>
        </w:rPr>
        <w:t>or</w:t>
      </w:r>
      <w:r>
        <w:rPr>
          <w:spacing w:val="-4"/>
          <w:sz w:val="24"/>
        </w:rPr>
        <w:t xml:space="preserve"> </w:t>
      </w:r>
      <w:r>
        <w:rPr>
          <w:sz w:val="24"/>
        </w:rPr>
        <w:t>not there is reinsurance. For reinsurance, even if the net cost of private reinsurance is entered as $0, the required elements include the type of reinsurance and applicable benefits, attachments points, maximums, ceding commissions, and other information pertinent to the reinsurance coverage.</w:t>
      </w:r>
    </w:p>
    <w:p>
      <w:pPr>
        <w:pStyle w:val="ListParagraph"/>
        <w:numPr>
          <w:ilvl w:val="1"/>
          <w:numId w:val="35"/>
        </w:numPr>
        <w:tabs>
          <w:tab w:val="left" w:pos="1495"/>
        </w:tabs>
        <w:spacing w:before="120" w:after="0" w:line="240" w:lineRule="auto"/>
        <w:ind w:left="1495" w:right="2275" w:hanging="632"/>
        <w:jc w:val="left"/>
        <w:rPr>
          <w:sz w:val="24"/>
        </w:rPr>
      </w:pPr>
      <w:r>
        <w:rPr>
          <w:sz w:val="24"/>
        </w:rPr>
        <w:t>Detailed</w:t>
      </w:r>
      <w:r>
        <w:rPr>
          <w:spacing w:val="-4"/>
          <w:sz w:val="24"/>
        </w:rPr>
        <w:t xml:space="preserve"> </w:t>
      </w:r>
      <w:r>
        <w:rPr>
          <w:sz w:val="24"/>
        </w:rPr>
        <w:t>support</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development</w:t>
      </w:r>
      <w:r>
        <w:rPr>
          <w:spacing w:val="-4"/>
          <w:sz w:val="24"/>
        </w:rPr>
        <w:t xml:space="preserve"> </w:t>
      </w:r>
      <w:r>
        <w:rPr>
          <w:sz w:val="24"/>
        </w:rPr>
        <w:t>of</w:t>
      </w:r>
      <w:r>
        <w:rPr>
          <w:spacing w:val="-4"/>
          <w:sz w:val="24"/>
        </w:rPr>
        <w:t xml:space="preserve"> </w:t>
      </w:r>
      <w:r>
        <w:rPr>
          <w:sz w:val="24"/>
        </w:rPr>
        <w:t>projected</w:t>
      </w:r>
      <w:r>
        <w:rPr>
          <w:spacing w:val="-3"/>
          <w:sz w:val="24"/>
        </w:rPr>
        <w:t xml:space="preserve"> </w:t>
      </w:r>
      <w:r>
        <w:rPr>
          <w:sz w:val="24"/>
        </w:rPr>
        <w:t>non-benefit</w:t>
      </w:r>
      <w:r>
        <w:rPr>
          <w:spacing w:val="-4"/>
          <w:sz w:val="24"/>
        </w:rPr>
        <w:t xml:space="preserve"> </w:t>
      </w:r>
      <w:r>
        <w:rPr>
          <w:sz w:val="24"/>
        </w:rPr>
        <w:t>expenses.</w:t>
      </w:r>
      <w:r>
        <w:rPr>
          <w:spacing w:val="-4"/>
          <w:sz w:val="24"/>
        </w:rPr>
        <w:t xml:space="preserve"> </w:t>
      </w:r>
      <w:r>
        <w:rPr>
          <w:sz w:val="24"/>
        </w:rPr>
        <w:t>The required elements include—</w:t>
      </w:r>
    </w:p>
    <w:p>
      <w:pPr>
        <w:pStyle w:val="ListParagraph"/>
        <w:numPr>
          <w:ilvl w:val="2"/>
          <w:numId w:val="35"/>
        </w:numPr>
        <w:tabs>
          <w:tab w:val="left" w:pos="2215"/>
        </w:tabs>
        <w:spacing w:before="121" w:after="0" w:line="240" w:lineRule="auto"/>
        <w:ind w:left="2215" w:right="0" w:hanging="720"/>
        <w:jc w:val="left"/>
        <w:rPr>
          <w:sz w:val="24"/>
        </w:rPr>
      </w:pPr>
      <w:r>
        <w:rPr>
          <w:sz w:val="24"/>
        </w:rPr>
        <w:t>A</w:t>
      </w:r>
      <w:r>
        <w:rPr>
          <w:spacing w:val="-4"/>
          <w:sz w:val="24"/>
        </w:rPr>
        <w:t xml:space="preserve"> </w:t>
      </w:r>
      <w:r>
        <w:rPr>
          <w:sz w:val="24"/>
        </w:rPr>
        <w:t>description of</w:t>
      </w:r>
      <w:r>
        <w:rPr>
          <w:spacing w:val="-1"/>
          <w:sz w:val="24"/>
        </w:rPr>
        <w:t xml:space="preserve"> </w:t>
      </w:r>
      <w:r>
        <w:rPr>
          <w:sz w:val="24"/>
        </w:rPr>
        <w:t>the</w:t>
      </w:r>
      <w:r>
        <w:rPr>
          <w:spacing w:val="-2"/>
          <w:sz w:val="24"/>
        </w:rPr>
        <w:t xml:space="preserve"> </w:t>
      </w:r>
      <w:r>
        <w:rPr>
          <w:sz w:val="24"/>
        </w:rPr>
        <w:t>methodology</w:t>
      </w:r>
      <w:r>
        <w:rPr>
          <w:spacing w:val="-1"/>
          <w:sz w:val="24"/>
        </w:rPr>
        <w:t xml:space="preserve"> </w:t>
      </w:r>
      <w:r>
        <w:rPr>
          <w:sz w:val="24"/>
        </w:rPr>
        <w:t>used to</w:t>
      </w:r>
      <w:r>
        <w:rPr>
          <w:spacing w:val="-1"/>
          <w:sz w:val="24"/>
        </w:rPr>
        <w:t xml:space="preserve"> </w:t>
      </w:r>
      <w:r>
        <w:rPr>
          <w:sz w:val="24"/>
        </w:rPr>
        <w:t xml:space="preserve">develop non-benefit </w:t>
      </w:r>
      <w:r>
        <w:rPr>
          <w:spacing w:val="-2"/>
          <w:sz w:val="24"/>
        </w:rPr>
        <w:t>expenses.</w:t>
      </w:r>
    </w:p>
    <w:p>
      <w:pPr>
        <w:pStyle w:val="ListParagraph"/>
        <w:numPr>
          <w:ilvl w:val="2"/>
          <w:numId w:val="35"/>
        </w:numPr>
        <w:tabs>
          <w:tab w:val="left" w:pos="2215"/>
        </w:tabs>
        <w:spacing w:before="120" w:after="0" w:line="240" w:lineRule="auto"/>
        <w:ind w:left="2215" w:right="1702" w:hanging="720"/>
        <w:jc w:val="left"/>
        <w:rPr>
          <w:sz w:val="24"/>
        </w:rPr>
      </w:pPr>
      <w:r>
        <w:rPr>
          <w:sz w:val="24"/>
        </w:rPr>
        <w:t>An analysis that demonstrates the development of each line item using relevant</w:t>
      </w:r>
      <w:r>
        <w:rPr>
          <w:spacing w:val="-5"/>
          <w:sz w:val="24"/>
        </w:rPr>
        <w:t xml:space="preserve"> </w:t>
      </w:r>
      <w:r>
        <w:rPr>
          <w:sz w:val="24"/>
        </w:rPr>
        <w:t>data,</w:t>
      </w:r>
      <w:r>
        <w:rPr>
          <w:spacing w:val="-5"/>
          <w:sz w:val="24"/>
        </w:rPr>
        <w:t xml:space="preserve"> </w:t>
      </w:r>
      <w:r>
        <w:rPr>
          <w:sz w:val="24"/>
        </w:rPr>
        <w:t>assumptions,</w:t>
      </w:r>
      <w:r>
        <w:rPr>
          <w:spacing w:val="-5"/>
          <w:sz w:val="24"/>
        </w:rPr>
        <w:t xml:space="preserve"> </w:t>
      </w:r>
      <w:r>
        <w:rPr>
          <w:sz w:val="24"/>
        </w:rPr>
        <w:t>contracts,</w:t>
      </w:r>
      <w:r>
        <w:rPr>
          <w:spacing w:val="-5"/>
          <w:sz w:val="24"/>
        </w:rPr>
        <w:t xml:space="preserve"> </w:t>
      </w:r>
      <w:r>
        <w:rPr>
          <w:sz w:val="24"/>
        </w:rPr>
        <w:t>financial</w:t>
      </w:r>
      <w:r>
        <w:rPr>
          <w:spacing w:val="-5"/>
          <w:sz w:val="24"/>
        </w:rPr>
        <w:t xml:space="preserve"> </w:t>
      </w:r>
      <w:r>
        <w:rPr>
          <w:sz w:val="24"/>
        </w:rPr>
        <w:t>information,</w:t>
      </w:r>
      <w:r>
        <w:rPr>
          <w:spacing w:val="-5"/>
          <w:sz w:val="24"/>
        </w:rPr>
        <w:t xml:space="preserve"> </w:t>
      </w:r>
      <w:r>
        <w:rPr>
          <w:sz w:val="24"/>
        </w:rPr>
        <w:t>business</w:t>
      </w:r>
      <w:r>
        <w:rPr>
          <w:spacing w:val="-6"/>
          <w:sz w:val="24"/>
        </w:rPr>
        <w:t xml:space="preserve"> </w:t>
      </w:r>
      <w:r>
        <w:rPr>
          <w:sz w:val="24"/>
        </w:rPr>
        <w:t>plans, and other experience.</w:t>
      </w:r>
    </w:p>
    <w:p>
      <w:pPr>
        <w:pStyle w:val="ListParagraph"/>
        <w:numPr>
          <w:ilvl w:val="2"/>
          <w:numId w:val="35"/>
        </w:numPr>
        <w:tabs>
          <w:tab w:val="left" w:pos="2215"/>
        </w:tabs>
        <w:spacing w:before="120" w:after="0" w:line="240" w:lineRule="auto"/>
        <w:ind w:left="2215" w:right="1625" w:hanging="720"/>
        <w:jc w:val="left"/>
        <w:rPr>
          <w:sz w:val="24"/>
        </w:rPr>
      </w:pPr>
      <w:r>
        <w:rPr>
          <w:sz w:val="24"/>
        </w:rPr>
        <w:t>A</w:t>
      </w:r>
      <w:r>
        <w:rPr>
          <w:spacing w:val="-5"/>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relationship</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non-benefit</w:t>
      </w:r>
      <w:r>
        <w:rPr>
          <w:spacing w:val="-4"/>
          <w:sz w:val="24"/>
        </w:rPr>
        <w:t xml:space="preserve"> </w:t>
      </w:r>
      <w:r>
        <w:rPr>
          <w:sz w:val="24"/>
        </w:rPr>
        <w:t>expense</w:t>
      </w:r>
      <w:r>
        <w:rPr>
          <w:spacing w:val="-5"/>
          <w:sz w:val="24"/>
        </w:rPr>
        <w:t xml:space="preserve"> </w:t>
      </w:r>
      <w:r>
        <w:rPr>
          <w:sz w:val="24"/>
        </w:rPr>
        <w:t>line</w:t>
      </w:r>
      <w:r>
        <w:rPr>
          <w:spacing w:val="-5"/>
          <w:sz w:val="24"/>
        </w:rPr>
        <w:t xml:space="preserve"> </w:t>
      </w:r>
      <w:r>
        <w:rPr>
          <w:sz w:val="24"/>
        </w:rPr>
        <w:t>items entered in the BPT and auditable material such as corporate financials and plan-level operational data.</w:t>
      </w:r>
    </w:p>
    <w:p>
      <w:pPr>
        <w:pStyle w:val="ListParagraph"/>
        <w:numPr>
          <w:ilvl w:val="0"/>
          <w:numId w:val="35"/>
        </w:numPr>
        <w:tabs>
          <w:tab w:val="left" w:pos="864"/>
        </w:tabs>
        <w:spacing w:before="120" w:after="0" w:line="240" w:lineRule="auto"/>
        <w:ind w:left="864" w:right="0" w:hanging="360"/>
        <w:jc w:val="left"/>
        <w:rPr>
          <w:sz w:val="24"/>
        </w:rPr>
      </w:pPr>
      <w:r>
        <w:rPr>
          <w:sz w:val="24"/>
        </w:rPr>
        <w:t>Justification</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MA</w:t>
      </w:r>
      <w:r>
        <w:rPr>
          <w:spacing w:val="-2"/>
          <w:sz w:val="24"/>
        </w:rPr>
        <w:t xml:space="preserve"> </w:t>
      </w:r>
      <w:r>
        <w:rPr>
          <w:sz w:val="24"/>
        </w:rPr>
        <w:t>gain/loss</w:t>
      </w:r>
      <w:r>
        <w:rPr>
          <w:spacing w:val="-2"/>
          <w:sz w:val="24"/>
        </w:rPr>
        <w:t xml:space="preserve"> </w:t>
      </w:r>
      <w:r>
        <w:rPr>
          <w:sz w:val="24"/>
        </w:rPr>
        <w:t>margin</w:t>
      </w:r>
      <w:r>
        <w:rPr>
          <w:spacing w:val="-1"/>
          <w:sz w:val="24"/>
        </w:rPr>
        <w:t xml:space="preserve"> </w:t>
      </w:r>
      <w:r>
        <w:rPr>
          <w:sz w:val="24"/>
        </w:rPr>
        <w:t>(Worksheet</w:t>
      </w:r>
      <w:r>
        <w:rPr>
          <w:spacing w:val="-1"/>
          <w:sz w:val="24"/>
        </w:rPr>
        <w:t xml:space="preserve"> </w:t>
      </w:r>
      <w:r>
        <w:rPr>
          <w:sz w:val="24"/>
        </w:rPr>
        <w:t>4).</w:t>
      </w:r>
      <w:r>
        <w:rPr>
          <w:spacing w:val="-2"/>
          <w:sz w:val="24"/>
        </w:rPr>
        <w:t xml:space="preserve"> </w:t>
      </w:r>
      <w:r>
        <w:rPr>
          <w:sz w:val="24"/>
        </w:rPr>
        <w:t>The required</w:t>
      </w:r>
      <w:r>
        <w:rPr>
          <w:spacing w:val="-2"/>
          <w:sz w:val="24"/>
        </w:rPr>
        <w:t xml:space="preserve"> </w:t>
      </w:r>
      <w:r>
        <w:rPr>
          <w:sz w:val="24"/>
        </w:rPr>
        <w:t>elements</w:t>
      </w:r>
      <w:r>
        <w:rPr>
          <w:spacing w:val="-2"/>
          <w:sz w:val="24"/>
        </w:rPr>
        <w:t xml:space="preserve"> include—</w:t>
      </w:r>
    </w:p>
    <w:p>
      <w:pPr>
        <w:pStyle w:val="ListParagraph"/>
        <w:numPr>
          <w:ilvl w:val="1"/>
          <w:numId w:val="35"/>
        </w:numPr>
        <w:tabs>
          <w:tab w:val="left" w:pos="1495"/>
        </w:tabs>
        <w:spacing w:before="120" w:after="0" w:line="240" w:lineRule="auto"/>
        <w:ind w:left="1495" w:right="2256" w:hanging="632"/>
        <w:jc w:val="left"/>
        <w:rPr>
          <w:sz w:val="24"/>
        </w:rPr>
      </w:pPr>
      <w:r>
        <w:rPr>
          <w:sz w:val="24"/>
        </w:rPr>
        <w:t>Disclosure</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aggregate</w:t>
      </w:r>
      <w:r>
        <w:rPr>
          <w:spacing w:val="-3"/>
          <w:sz w:val="24"/>
        </w:rPr>
        <w:t xml:space="preserve"> </w:t>
      </w:r>
      <w:r>
        <w:rPr>
          <w:sz w:val="24"/>
        </w:rPr>
        <w:t>MA</w:t>
      </w:r>
      <w:r>
        <w:rPr>
          <w:spacing w:val="-4"/>
          <w:sz w:val="24"/>
        </w:rPr>
        <w:t xml:space="preserve"> </w:t>
      </w:r>
      <w:r>
        <w:rPr>
          <w:sz w:val="24"/>
        </w:rPr>
        <w:t>gain/loss</w:t>
      </w:r>
      <w:r>
        <w:rPr>
          <w:spacing w:val="-2"/>
          <w:sz w:val="24"/>
        </w:rPr>
        <w:t xml:space="preserve"> </w:t>
      </w:r>
      <w:r>
        <w:rPr>
          <w:sz w:val="24"/>
        </w:rPr>
        <w:t>margin at</w:t>
      </w:r>
      <w:r>
        <w:rPr>
          <w:spacing w:val="-3"/>
          <w:sz w:val="24"/>
        </w:rPr>
        <w:t xml:space="preserve"> </w:t>
      </w:r>
      <w:r>
        <w:rPr>
          <w:sz w:val="24"/>
        </w:rPr>
        <w:t>the</w:t>
      </w:r>
      <w:r>
        <w:rPr>
          <w:spacing w:val="-4"/>
          <w:sz w:val="24"/>
        </w:rPr>
        <w:t xml:space="preserve"> </w:t>
      </w:r>
      <w:r>
        <w:rPr>
          <w:sz w:val="24"/>
        </w:rPr>
        <w:t>time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initial</w:t>
      </w:r>
      <w:r>
        <w:rPr>
          <w:spacing w:val="-3"/>
          <w:sz w:val="24"/>
        </w:rPr>
        <w:t xml:space="preserve"> </w:t>
      </w:r>
      <w:r>
        <w:rPr>
          <w:sz w:val="24"/>
        </w:rPr>
        <w:t xml:space="preserve">bid </w:t>
      </w:r>
      <w:r>
        <w:rPr>
          <w:spacing w:val="-2"/>
          <w:sz w:val="24"/>
        </w:rPr>
        <w:t>submission.</w:t>
      </w:r>
    </w:p>
    <w:p>
      <w:pPr>
        <w:pStyle w:val="ListParagraph"/>
        <w:numPr>
          <w:ilvl w:val="1"/>
          <w:numId w:val="35"/>
        </w:numPr>
        <w:tabs>
          <w:tab w:val="left" w:pos="1495"/>
        </w:tabs>
        <w:spacing w:before="120" w:after="0" w:line="240" w:lineRule="auto"/>
        <w:ind w:left="1495" w:right="1463" w:hanging="632"/>
        <w:jc w:val="left"/>
        <w:rPr>
          <w:sz w:val="24"/>
        </w:rPr>
      </w:pPr>
      <w:r>
        <w:rPr>
          <w:sz w:val="24"/>
        </w:rPr>
        <w:t>Support</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aggregate</w:t>
      </w:r>
      <w:r>
        <w:rPr>
          <w:spacing w:val="-1"/>
          <w:sz w:val="24"/>
        </w:rPr>
        <w:t xml:space="preserve"> </w:t>
      </w:r>
      <w:r>
        <w:rPr>
          <w:sz w:val="24"/>
        </w:rPr>
        <w:t>MA</w:t>
      </w:r>
      <w:r>
        <w:rPr>
          <w:spacing w:val="-4"/>
          <w:sz w:val="24"/>
        </w:rPr>
        <w:t xml:space="preserve"> </w:t>
      </w:r>
      <w:r>
        <w:rPr>
          <w:sz w:val="24"/>
        </w:rPr>
        <w:t>gain/loss</w:t>
      </w:r>
      <w:r>
        <w:rPr>
          <w:spacing w:val="-3"/>
          <w:sz w:val="24"/>
        </w:rPr>
        <w:t xml:space="preserve"> </w:t>
      </w:r>
      <w:r>
        <w:rPr>
          <w:sz w:val="24"/>
        </w:rPr>
        <w:t>margin</w:t>
      </w:r>
      <w:r>
        <w:rPr>
          <w:spacing w:val="-3"/>
          <w:sz w:val="24"/>
        </w:rPr>
        <w:t xml:space="preserve"> </w:t>
      </w:r>
      <w:r>
        <w:rPr>
          <w:sz w:val="24"/>
        </w:rPr>
        <w:t>if</w:t>
      </w:r>
      <w:r>
        <w:rPr>
          <w:spacing w:val="-3"/>
          <w:sz w:val="24"/>
        </w:rPr>
        <w:t xml:space="preserve"> </w:t>
      </w:r>
      <w:r>
        <w:rPr>
          <w:sz w:val="24"/>
        </w:rPr>
        <w:t>the</w:t>
      </w:r>
      <w:r>
        <w:rPr>
          <w:spacing w:val="-5"/>
          <w:sz w:val="24"/>
        </w:rPr>
        <w:t xml:space="preserve"> </w:t>
      </w:r>
      <w:r>
        <w:rPr>
          <w:sz w:val="24"/>
        </w:rPr>
        <w:t>aggregate</w:t>
      </w:r>
      <w:r>
        <w:rPr>
          <w:spacing w:val="-3"/>
          <w:sz w:val="24"/>
        </w:rPr>
        <w:t xml:space="preserve"> </w:t>
      </w:r>
      <w:r>
        <w:rPr>
          <w:sz w:val="24"/>
        </w:rPr>
        <w:t>MA</w:t>
      </w:r>
      <w:r>
        <w:rPr>
          <w:spacing w:val="-3"/>
          <w:sz w:val="24"/>
        </w:rPr>
        <w:t xml:space="preserve"> </w:t>
      </w:r>
      <w:r>
        <w:rPr>
          <w:sz w:val="24"/>
        </w:rPr>
        <w:t>gain/loss</w:t>
      </w:r>
      <w:r>
        <w:rPr>
          <w:spacing w:val="-3"/>
          <w:sz w:val="24"/>
        </w:rPr>
        <w:t xml:space="preserve"> </w:t>
      </w:r>
      <w:r>
        <w:rPr>
          <w:sz w:val="24"/>
        </w:rPr>
        <w:t>margin as a percentage of revenue is below 0 percent or above 5.5 percent. The required elements include—</w:t>
      </w:r>
    </w:p>
    <w:p>
      <w:pPr>
        <w:pStyle w:val="ListParagraph"/>
        <w:numPr>
          <w:ilvl w:val="2"/>
          <w:numId w:val="35"/>
        </w:numPr>
        <w:tabs>
          <w:tab w:val="left" w:pos="2215"/>
        </w:tabs>
        <w:spacing w:before="120" w:after="0" w:line="240" w:lineRule="auto"/>
        <w:ind w:left="2215" w:right="0" w:hanging="720"/>
        <w:jc w:val="left"/>
        <w:rPr>
          <w:sz w:val="24"/>
        </w:rPr>
      </w:pPr>
      <w:r>
        <w:rPr>
          <w:sz w:val="24"/>
        </w:rPr>
        <w:t>A</w:t>
      </w:r>
      <w:r>
        <w:rPr>
          <w:spacing w:val="-5"/>
          <w:sz w:val="24"/>
        </w:rPr>
        <w:t xml:space="preserve"> </w:t>
      </w:r>
      <w:r>
        <w:rPr>
          <w:sz w:val="24"/>
        </w:rPr>
        <w:t>description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reasons</w:t>
      </w:r>
      <w:r>
        <w:rPr>
          <w:spacing w:val="-1"/>
          <w:sz w:val="24"/>
        </w:rPr>
        <w:t xml:space="preserve"> </w:t>
      </w:r>
      <w:r>
        <w:rPr>
          <w:sz w:val="24"/>
        </w:rPr>
        <w:t>supporting</w:t>
      </w:r>
      <w:r>
        <w:rPr>
          <w:spacing w:val="-1"/>
          <w:sz w:val="24"/>
        </w:rPr>
        <w:t xml:space="preserve"> </w:t>
      </w:r>
      <w:r>
        <w:rPr>
          <w:sz w:val="24"/>
        </w:rPr>
        <w:t>the</w:t>
      </w:r>
      <w:r>
        <w:rPr>
          <w:spacing w:val="-2"/>
          <w:sz w:val="24"/>
        </w:rPr>
        <w:t xml:space="preserve"> </w:t>
      </w:r>
      <w:r>
        <w:rPr>
          <w:sz w:val="24"/>
        </w:rPr>
        <w:t>aggregate</w:t>
      </w:r>
      <w:r>
        <w:rPr>
          <w:spacing w:val="-2"/>
          <w:sz w:val="24"/>
        </w:rPr>
        <w:t xml:space="preserve"> </w:t>
      </w:r>
      <w:r>
        <w:rPr>
          <w:sz w:val="24"/>
        </w:rPr>
        <w:t>MA</w:t>
      </w:r>
      <w:r>
        <w:rPr>
          <w:spacing w:val="-2"/>
          <w:sz w:val="24"/>
        </w:rPr>
        <w:t xml:space="preserve"> </w:t>
      </w:r>
      <w:r>
        <w:rPr>
          <w:sz w:val="24"/>
        </w:rPr>
        <w:t>gain/loss</w:t>
      </w:r>
      <w:r>
        <w:rPr>
          <w:spacing w:val="-1"/>
          <w:sz w:val="24"/>
        </w:rPr>
        <w:t xml:space="preserve"> </w:t>
      </w:r>
      <w:r>
        <w:rPr>
          <w:spacing w:val="-2"/>
          <w:sz w:val="24"/>
        </w:rPr>
        <w:t>margin.</w:t>
      </w:r>
    </w:p>
    <w:p>
      <w:pPr>
        <w:pStyle w:val="ListParagraph"/>
        <w:numPr>
          <w:ilvl w:val="2"/>
          <w:numId w:val="35"/>
        </w:numPr>
        <w:tabs>
          <w:tab w:val="left" w:pos="2215"/>
        </w:tabs>
        <w:spacing w:before="39" w:after="0" w:line="240" w:lineRule="auto"/>
        <w:ind w:left="2215" w:right="1553" w:hanging="720"/>
        <w:jc w:val="left"/>
        <w:rPr>
          <w:sz w:val="24"/>
        </w:rPr>
      </w:pPr>
      <w:r>
        <w:rPr>
          <w:sz w:val="24"/>
        </w:rPr>
        <w:t>An aggregate-margin numeric (non-PDF) business plan showing the current bid</w:t>
      </w:r>
      <w:r>
        <w:rPr>
          <w:spacing w:val="-4"/>
          <w:sz w:val="24"/>
        </w:rPr>
        <w:t xml:space="preserve"> </w:t>
      </w:r>
      <w:r>
        <w:rPr>
          <w:sz w:val="24"/>
        </w:rPr>
        <w:t>submission</w:t>
      </w:r>
      <w:r>
        <w:rPr>
          <w:spacing w:val="-4"/>
          <w:sz w:val="24"/>
        </w:rPr>
        <w:t xml:space="preserve"> </w:t>
      </w:r>
      <w:r>
        <w:rPr>
          <w:sz w:val="24"/>
        </w:rPr>
        <w:t>and</w:t>
      </w:r>
      <w:r>
        <w:rPr>
          <w:spacing w:val="-4"/>
          <w:sz w:val="24"/>
        </w:rPr>
        <w:t xml:space="preserve"> </w:t>
      </w:r>
      <w:r>
        <w:rPr>
          <w:sz w:val="24"/>
        </w:rPr>
        <w:t>next</w:t>
      </w:r>
      <w:r>
        <w:rPr>
          <w:spacing w:val="-4"/>
          <w:sz w:val="24"/>
        </w:rPr>
        <w:t xml:space="preserve"> </w:t>
      </w:r>
      <w:r>
        <w:rPr>
          <w:sz w:val="24"/>
        </w:rPr>
        <w:t>year’s</w:t>
      </w:r>
      <w:r>
        <w:rPr>
          <w:spacing w:val="-5"/>
          <w:sz w:val="24"/>
        </w:rPr>
        <w:t xml:space="preserve"> </w:t>
      </w:r>
      <w:r>
        <w:rPr>
          <w:sz w:val="24"/>
        </w:rPr>
        <w:t>submission.</w:t>
      </w:r>
      <w:r>
        <w:rPr>
          <w:spacing w:val="-4"/>
          <w:sz w:val="24"/>
        </w:rPr>
        <w:t xml:space="preserve"> </w:t>
      </w:r>
      <w:r>
        <w:rPr>
          <w:sz w:val="24"/>
        </w:rPr>
        <w:t>The</w:t>
      </w:r>
      <w:r>
        <w:rPr>
          <w:spacing w:val="-6"/>
          <w:sz w:val="24"/>
        </w:rPr>
        <w:t xml:space="preserve"> </w:t>
      </w:r>
      <w:r>
        <w:rPr>
          <w:sz w:val="24"/>
        </w:rPr>
        <w:t>required</w:t>
      </w:r>
      <w:r>
        <w:rPr>
          <w:spacing w:val="-4"/>
          <w:sz w:val="24"/>
        </w:rPr>
        <w:t xml:space="preserve"> </w:t>
      </w:r>
      <w:r>
        <w:rPr>
          <w:sz w:val="24"/>
        </w:rPr>
        <w:t>elements</w:t>
      </w:r>
      <w:r>
        <w:rPr>
          <w:spacing w:val="-5"/>
          <w:sz w:val="24"/>
        </w:rPr>
        <w:t xml:space="preserve"> </w:t>
      </w:r>
      <w:r>
        <w:rPr>
          <w:sz w:val="24"/>
        </w:rPr>
        <w:t>include—</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ListParagraph"/>
        <w:numPr>
          <w:ilvl w:val="3"/>
          <w:numId w:val="35"/>
        </w:numPr>
        <w:tabs>
          <w:tab w:val="left" w:pos="2575"/>
        </w:tabs>
        <w:spacing w:before="0" w:after="0" w:line="240" w:lineRule="auto"/>
        <w:ind w:left="2575" w:right="1984" w:hanging="360"/>
        <w:jc w:val="left"/>
        <w:rPr>
          <w:sz w:val="24"/>
        </w:rPr>
      </w:pPr>
      <w:r>
        <w:rPr>
          <w:sz w:val="24"/>
        </w:rPr>
        <w:t>Projected</w:t>
      </w:r>
      <w:r>
        <w:rPr>
          <w:spacing w:val="-5"/>
          <w:sz w:val="24"/>
        </w:rPr>
        <w:t xml:space="preserve"> </w:t>
      </w:r>
      <w:r>
        <w:rPr>
          <w:sz w:val="24"/>
        </w:rPr>
        <w:t>member</w:t>
      </w:r>
      <w:r>
        <w:rPr>
          <w:spacing w:val="-7"/>
          <w:sz w:val="24"/>
        </w:rPr>
        <w:t xml:space="preserve"> </w:t>
      </w:r>
      <w:r>
        <w:rPr>
          <w:sz w:val="24"/>
        </w:rPr>
        <w:t>months,</w:t>
      </w:r>
      <w:r>
        <w:rPr>
          <w:spacing w:val="-5"/>
          <w:sz w:val="24"/>
        </w:rPr>
        <w:t xml:space="preserve"> </w:t>
      </w:r>
      <w:r>
        <w:rPr>
          <w:sz w:val="24"/>
        </w:rPr>
        <w:t>risk</w:t>
      </w:r>
      <w:r>
        <w:rPr>
          <w:spacing w:val="-5"/>
          <w:sz w:val="24"/>
        </w:rPr>
        <w:t xml:space="preserve"> </w:t>
      </w:r>
      <w:r>
        <w:rPr>
          <w:sz w:val="24"/>
        </w:rPr>
        <w:t>scores,</w:t>
      </w:r>
      <w:r>
        <w:rPr>
          <w:spacing w:val="-5"/>
          <w:sz w:val="24"/>
        </w:rPr>
        <w:t xml:space="preserve"> </w:t>
      </w:r>
      <w:r>
        <w:rPr>
          <w:sz w:val="24"/>
        </w:rPr>
        <w:t>CMS</w:t>
      </w:r>
      <w:r>
        <w:rPr>
          <w:spacing w:val="-3"/>
          <w:sz w:val="24"/>
        </w:rPr>
        <w:t xml:space="preserve"> </w:t>
      </w:r>
      <w:r>
        <w:rPr>
          <w:sz w:val="24"/>
        </w:rPr>
        <w:t>revenue,</w:t>
      </w:r>
      <w:r>
        <w:rPr>
          <w:spacing w:val="-5"/>
          <w:sz w:val="24"/>
        </w:rPr>
        <w:t xml:space="preserve"> </w:t>
      </w:r>
      <w:r>
        <w:rPr>
          <w:sz w:val="24"/>
        </w:rPr>
        <w:t>MA</w:t>
      </w:r>
      <w:r>
        <w:rPr>
          <w:spacing w:val="-6"/>
          <w:sz w:val="24"/>
        </w:rPr>
        <w:t xml:space="preserve"> </w:t>
      </w:r>
      <w:r>
        <w:rPr>
          <w:sz w:val="24"/>
        </w:rPr>
        <w:t>premium, Medicare-covered benefit and A/B mandatory supplemental benefit medical expenses, non-benefit expenses, and gain/loss margin.</w:t>
      </w:r>
    </w:p>
    <w:p>
      <w:pPr>
        <w:pStyle w:val="ListParagraph"/>
        <w:numPr>
          <w:ilvl w:val="3"/>
          <w:numId w:val="35"/>
        </w:numPr>
        <w:tabs>
          <w:tab w:val="left" w:pos="2575"/>
        </w:tabs>
        <w:spacing w:before="120" w:after="0" w:line="240" w:lineRule="auto"/>
        <w:ind w:left="2575" w:right="1650" w:hanging="360"/>
        <w:jc w:val="left"/>
        <w:rPr>
          <w:sz w:val="24"/>
        </w:rPr>
      </w:pPr>
      <w:r>
        <w:rPr>
          <w:sz w:val="24"/>
        </w:rPr>
        <w:t>Projected</w:t>
      </w:r>
      <w:r>
        <w:rPr>
          <w:spacing w:val="-4"/>
          <w:sz w:val="24"/>
        </w:rPr>
        <w:t xml:space="preserve"> </w:t>
      </w:r>
      <w:r>
        <w:rPr>
          <w:sz w:val="24"/>
        </w:rPr>
        <w:t>gain/loss</w:t>
      </w:r>
      <w:r>
        <w:rPr>
          <w:spacing w:val="-4"/>
          <w:sz w:val="24"/>
        </w:rPr>
        <w:t xml:space="preserve"> </w:t>
      </w:r>
      <w:r>
        <w:rPr>
          <w:sz w:val="24"/>
        </w:rPr>
        <w:t>margin</w:t>
      </w:r>
      <w:r>
        <w:rPr>
          <w:spacing w:val="-4"/>
          <w:sz w:val="24"/>
        </w:rPr>
        <w:t xml:space="preserve"> </w:t>
      </w:r>
      <w:r>
        <w:rPr>
          <w:sz w:val="24"/>
        </w:rPr>
        <w:t>as</w:t>
      </w:r>
      <w:r>
        <w:rPr>
          <w:spacing w:val="-5"/>
          <w:sz w:val="24"/>
        </w:rPr>
        <w:t xml:space="preserve"> </w:t>
      </w:r>
      <w:r>
        <w:rPr>
          <w:sz w:val="24"/>
        </w:rPr>
        <w:t>a</w:t>
      </w:r>
      <w:r>
        <w:rPr>
          <w:spacing w:val="-5"/>
          <w:sz w:val="24"/>
        </w:rPr>
        <w:t xml:space="preserve"> </w:t>
      </w:r>
      <w:r>
        <w:rPr>
          <w:sz w:val="24"/>
        </w:rPr>
        <w:t>percentage</w:t>
      </w:r>
      <w:r>
        <w:rPr>
          <w:spacing w:val="-5"/>
          <w:sz w:val="24"/>
        </w:rPr>
        <w:t xml:space="preserve"> </w:t>
      </w:r>
      <w:r>
        <w:rPr>
          <w:sz w:val="24"/>
        </w:rPr>
        <w:t>of</w:t>
      </w:r>
      <w:r>
        <w:rPr>
          <w:spacing w:val="-4"/>
          <w:sz w:val="24"/>
        </w:rPr>
        <w:t xml:space="preserve"> </w:t>
      </w:r>
      <w:r>
        <w:rPr>
          <w:sz w:val="24"/>
        </w:rPr>
        <w:t>revenue</w:t>
      </w:r>
      <w:r>
        <w:rPr>
          <w:spacing w:val="-5"/>
          <w:sz w:val="24"/>
        </w:rPr>
        <w:t xml:space="preserve"> </w:t>
      </w:r>
      <w:r>
        <w:rPr>
          <w:sz w:val="24"/>
        </w:rPr>
        <w:t>from</w:t>
      </w:r>
      <w:r>
        <w:rPr>
          <w:spacing w:val="-1"/>
          <w:sz w:val="24"/>
        </w:rPr>
        <w:t xml:space="preserve"> </w:t>
      </w:r>
      <w:r>
        <w:rPr>
          <w:sz w:val="24"/>
        </w:rPr>
        <w:t>the</w:t>
      </w:r>
      <w:r>
        <w:rPr>
          <w:spacing w:val="-5"/>
          <w:sz w:val="24"/>
        </w:rPr>
        <w:t xml:space="preserve"> </w:t>
      </w:r>
      <w:r>
        <w:rPr>
          <w:sz w:val="24"/>
        </w:rPr>
        <w:t>previous year’s business plan(s), if applicable.</w:t>
      </w:r>
    </w:p>
    <w:p>
      <w:pPr>
        <w:pStyle w:val="ListParagraph"/>
        <w:numPr>
          <w:ilvl w:val="1"/>
          <w:numId w:val="35"/>
        </w:numPr>
        <w:tabs>
          <w:tab w:val="left" w:pos="1495"/>
        </w:tabs>
        <w:spacing w:before="120" w:after="0" w:line="240" w:lineRule="auto"/>
        <w:ind w:left="1495" w:right="1478" w:hanging="632"/>
        <w:jc w:val="left"/>
        <w:rPr>
          <w:sz w:val="24"/>
        </w:rPr>
      </w:pPr>
      <w:r>
        <w:rPr>
          <w:sz w:val="24"/>
        </w:rPr>
        <w:t>A demonstration of consistency between the projected and the actual aggregate MA gain/loss margins as a percentage of revenue over the long term. Include an explanation</w:t>
      </w:r>
      <w:r>
        <w:rPr>
          <w:spacing w:val="-4"/>
          <w:sz w:val="24"/>
        </w:rPr>
        <w:t xml:space="preserve"> </w:t>
      </w:r>
      <w:r>
        <w:rPr>
          <w:sz w:val="24"/>
        </w:rPr>
        <w:t>of</w:t>
      </w:r>
      <w:r>
        <w:rPr>
          <w:spacing w:val="-4"/>
          <w:sz w:val="24"/>
        </w:rPr>
        <w:t xml:space="preserve"> </w:t>
      </w:r>
      <w:r>
        <w:rPr>
          <w:sz w:val="24"/>
        </w:rPr>
        <w:t>how</w:t>
      </w:r>
      <w:r>
        <w:rPr>
          <w:spacing w:val="-4"/>
          <w:sz w:val="24"/>
        </w:rPr>
        <w:t xml:space="preserve"> </w:t>
      </w:r>
      <w:r>
        <w:rPr>
          <w:sz w:val="24"/>
        </w:rPr>
        <w:t>that</w:t>
      </w:r>
      <w:r>
        <w:rPr>
          <w:spacing w:val="-4"/>
          <w:sz w:val="24"/>
        </w:rPr>
        <w:t xml:space="preserve"> </w:t>
      </w:r>
      <w:r>
        <w:rPr>
          <w:sz w:val="24"/>
        </w:rPr>
        <w:t>knowledge</w:t>
      </w:r>
      <w:r>
        <w:rPr>
          <w:spacing w:val="-4"/>
          <w:sz w:val="24"/>
        </w:rPr>
        <w:t xml:space="preserve"> </w:t>
      </w:r>
      <w:r>
        <w:rPr>
          <w:sz w:val="24"/>
        </w:rPr>
        <w:t>was</w:t>
      </w:r>
      <w:r>
        <w:rPr>
          <w:spacing w:val="-4"/>
          <w:sz w:val="24"/>
        </w:rPr>
        <w:t xml:space="preserve"> </w:t>
      </w:r>
      <w:r>
        <w:rPr>
          <w:sz w:val="24"/>
        </w:rPr>
        <w:t>incorporated</w:t>
      </w:r>
      <w:r>
        <w:rPr>
          <w:spacing w:val="-4"/>
          <w:sz w:val="24"/>
        </w:rPr>
        <w:t xml:space="preserve"> </w:t>
      </w:r>
      <w:r>
        <w:rPr>
          <w:sz w:val="24"/>
        </w:rPr>
        <w:t>into</w:t>
      </w:r>
      <w:r>
        <w:rPr>
          <w:spacing w:val="-4"/>
          <w:sz w:val="24"/>
        </w:rPr>
        <w:t xml:space="preserve"> </w:t>
      </w:r>
      <w:r>
        <w:rPr>
          <w:sz w:val="24"/>
        </w:rPr>
        <w:t>the</w:t>
      </w:r>
      <w:r>
        <w:rPr>
          <w:spacing w:val="-4"/>
          <w:sz w:val="24"/>
        </w:rPr>
        <w:t xml:space="preserve"> </w:t>
      </w:r>
      <w:r>
        <w:rPr>
          <w:sz w:val="24"/>
        </w:rPr>
        <w:t>current</w:t>
      </w:r>
      <w:r>
        <w:rPr>
          <w:spacing w:val="-4"/>
          <w:sz w:val="24"/>
        </w:rPr>
        <w:t xml:space="preserve"> </w:t>
      </w:r>
      <w:r>
        <w:rPr>
          <w:sz w:val="24"/>
        </w:rPr>
        <w:t>bid</w:t>
      </w:r>
      <w:r>
        <w:rPr>
          <w:spacing w:val="-4"/>
          <w:sz w:val="24"/>
        </w:rPr>
        <w:t xml:space="preserve"> </w:t>
      </w:r>
      <w:r>
        <w:rPr>
          <w:sz w:val="24"/>
        </w:rPr>
        <w:t>submission, if the gain/loss margins have been inconsistent historically.</w:t>
      </w:r>
    </w:p>
    <w:p>
      <w:pPr>
        <w:pStyle w:val="ListParagraph"/>
        <w:numPr>
          <w:ilvl w:val="1"/>
          <w:numId w:val="35"/>
        </w:numPr>
        <w:tabs>
          <w:tab w:val="left" w:pos="1495"/>
        </w:tabs>
        <w:spacing w:before="120" w:after="0" w:line="240" w:lineRule="auto"/>
        <w:ind w:left="1495" w:right="2740" w:hanging="632"/>
        <w:jc w:val="left"/>
        <w:rPr>
          <w:sz w:val="24"/>
        </w:rPr>
      </w:pPr>
      <w:r>
        <w:rPr>
          <w:sz w:val="24"/>
        </w:rPr>
        <w:t>A</w:t>
      </w:r>
      <w:r>
        <w:rPr>
          <w:spacing w:val="-5"/>
          <w:sz w:val="24"/>
        </w:rPr>
        <w:t xml:space="preserve"> </w:t>
      </w:r>
      <w:r>
        <w:rPr>
          <w:sz w:val="24"/>
        </w:rPr>
        <w:t>detailed</w:t>
      </w:r>
      <w:r>
        <w:rPr>
          <w:spacing w:val="-4"/>
          <w:sz w:val="24"/>
        </w:rPr>
        <w:t xml:space="preserve"> </w:t>
      </w:r>
      <w:r>
        <w:rPr>
          <w:sz w:val="24"/>
        </w:rPr>
        <w:t>justification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need</w:t>
      </w:r>
      <w:r>
        <w:rPr>
          <w:spacing w:val="-2"/>
          <w:sz w:val="24"/>
        </w:rPr>
        <w:t xml:space="preserve"> </w:t>
      </w:r>
      <w:r>
        <w:rPr>
          <w:sz w:val="24"/>
        </w:rPr>
        <w:t>for</w:t>
      </w:r>
      <w:r>
        <w:rPr>
          <w:spacing w:val="-6"/>
          <w:sz w:val="24"/>
        </w:rPr>
        <w:t xml:space="preserve"> </w:t>
      </w:r>
      <w:r>
        <w:rPr>
          <w:sz w:val="24"/>
        </w:rPr>
        <w:t>flexibility</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gain/loss</w:t>
      </w:r>
      <w:r>
        <w:rPr>
          <w:spacing w:val="-4"/>
          <w:sz w:val="24"/>
        </w:rPr>
        <w:t xml:space="preserve"> </w:t>
      </w:r>
      <w:r>
        <w:rPr>
          <w:sz w:val="24"/>
        </w:rPr>
        <w:t>margin requirements in order to satisfy other CMS instructions such as TBC.</w:t>
      </w:r>
    </w:p>
    <w:p>
      <w:pPr>
        <w:pStyle w:val="ListParagraph"/>
        <w:numPr>
          <w:ilvl w:val="1"/>
          <w:numId w:val="35"/>
        </w:numPr>
        <w:tabs>
          <w:tab w:val="left" w:pos="1495"/>
        </w:tabs>
        <w:spacing w:before="121" w:after="0" w:line="240" w:lineRule="auto"/>
        <w:ind w:left="1495" w:right="1726" w:hanging="632"/>
        <w:jc w:val="left"/>
        <w:rPr>
          <w:sz w:val="24"/>
        </w:rPr>
      </w:pPr>
      <w:r>
        <w:rPr>
          <w:sz w:val="24"/>
        </w:rPr>
        <w:t>Support for how the aggregate MA gain/loss margin does not jeopardize financial solvency,</w:t>
      </w:r>
      <w:r>
        <w:rPr>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aggregate</w:t>
      </w:r>
      <w:r>
        <w:rPr>
          <w:spacing w:val="-5"/>
          <w:sz w:val="24"/>
        </w:rPr>
        <w:t xml:space="preserve"> </w:t>
      </w:r>
      <w:r>
        <w:rPr>
          <w:sz w:val="24"/>
        </w:rPr>
        <w:t>MA</w:t>
      </w:r>
      <w:r>
        <w:rPr>
          <w:spacing w:val="-5"/>
          <w:sz w:val="24"/>
        </w:rPr>
        <w:t xml:space="preserve"> </w:t>
      </w:r>
      <w:r>
        <w:rPr>
          <w:sz w:val="24"/>
        </w:rPr>
        <w:t>gain/loss</w:t>
      </w:r>
      <w:r>
        <w:rPr>
          <w:spacing w:val="-4"/>
          <w:sz w:val="24"/>
        </w:rPr>
        <w:t xml:space="preserve"> </w:t>
      </w:r>
      <w:r>
        <w:rPr>
          <w:sz w:val="24"/>
        </w:rPr>
        <w:t>margin</w:t>
      </w:r>
      <w:r>
        <w:rPr>
          <w:spacing w:val="-4"/>
          <w:sz w:val="24"/>
        </w:rPr>
        <w:t xml:space="preserve"> </w:t>
      </w:r>
      <w:r>
        <w:rPr>
          <w:sz w:val="24"/>
        </w:rPr>
        <w:t>is</w:t>
      </w:r>
      <w:r>
        <w:rPr>
          <w:spacing w:val="-5"/>
          <w:sz w:val="24"/>
        </w:rPr>
        <w:t xml:space="preserve"> </w:t>
      </w:r>
      <w:r>
        <w:rPr>
          <w:sz w:val="24"/>
        </w:rPr>
        <w:t>negative.</w:t>
      </w:r>
      <w:r>
        <w:rPr>
          <w:spacing w:val="-3"/>
          <w:sz w:val="24"/>
        </w:rPr>
        <w:t xml:space="preserve"> </w:t>
      </w:r>
      <w:r>
        <w:rPr>
          <w:sz w:val="24"/>
        </w:rPr>
        <w:t>Quantify</w:t>
      </w:r>
      <w:r>
        <w:rPr>
          <w:spacing w:val="-4"/>
          <w:sz w:val="24"/>
        </w:rPr>
        <w:t xml:space="preserve"> </w:t>
      </w:r>
      <w:r>
        <w:rPr>
          <w:sz w:val="24"/>
        </w:rPr>
        <w:t>the</w:t>
      </w:r>
      <w:r>
        <w:rPr>
          <w:spacing w:val="-6"/>
          <w:sz w:val="24"/>
        </w:rPr>
        <w:t xml:space="preserve"> </w:t>
      </w:r>
      <w:r>
        <w:rPr>
          <w:sz w:val="24"/>
        </w:rPr>
        <w:t>projected aggregate loss and demonstrate numerically that this loss does not jeopardize financial solvency.</w:t>
      </w:r>
    </w:p>
    <w:p>
      <w:pPr>
        <w:pStyle w:val="ListParagraph"/>
        <w:numPr>
          <w:ilvl w:val="1"/>
          <w:numId w:val="35"/>
        </w:numPr>
        <w:tabs>
          <w:tab w:val="left" w:pos="1495"/>
        </w:tabs>
        <w:spacing w:before="120" w:after="0" w:line="240" w:lineRule="auto"/>
        <w:ind w:left="1495" w:right="1703" w:hanging="632"/>
        <w:jc w:val="left"/>
        <w:rPr>
          <w:sz w:val="24"/>
        </w:rPr>
      </w:pPr>
      <w:r>
        <w:rPr>
          <w:sz w:val="24"/>
        </w:rPr>
        <w:t>Justification of benefit value in relation to the gain/loss margin, if the gain/loss margin</w:t>
      </w:r>
      <w:r>
        <w:rPr>
          <w:spacing w:val="-2"/>
          <w:sz w:val="24"/>
        </w:rPr>
        <w:t xml:space="preserve"> </w:t>
      </w:r>
      <w:r>
        <w:rPr>
          <w:sz w:val="24"/>
        </w:rPr>
        <w:t>as</w:t>
      </w:r>
      <w:r>
        <w:rPr>
          <w:spacing w:val="-3"/>
          <w:sz w:val="24"/>
        </w:rPr>
        <w:t xml:space="preserve"> </w:t>
      </w:r>
      <w:r>
        <w:rPr>
          <w:sz w:val="24"/>
        </w:rPr>
        <w:t>a</w:t>
      </w:r>
      <w:r>
        <w:rPr>
          <w:spacing w:val="-3"/>
          <w:sz w:val="24"/>
        </w:rPr>
        <w:t xml:space="preserve"> </w:t>
      </w:r>
      <w:r>
        <w:rPr>
          <w:sz w:val="24"/>
        </w:rPr>
        <w:t>percentage</w:t>
      </w:r>
      <w:r>
        <w:rPr>
          <w:spacing w:val="-3"/>
          <w:sz w:val="24"/>
        </w:rPr>
        <w:t xml:space="preserve"> </w:t>
      </w:r>
      <w:r>
        <w:rPr>
          <w:sz w:val="24"/>
        </w:rPr>
        <w:t>of</w:t>
      </w:r>
      <w:r>
        <w:rPr>
          <w:spacing w:val="-2"/>
          <w:sz w:val="24"/>
        </w:rPr>
        <w:t xml:space="preserve"> </w:t>
      </w:r>
      <w:r>
        <w:rPr>
          <w:sz w:val="24"/>
        </w:rPr>
        <w:t>revenue</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bid</w:t>
      </w:r>
      <w:r>
        <w:rPr>
          <w:spacing w:val="-2"/>
          <w:sz w:val="24"/>
        </w:rPr>
        <w:t xml:space="preserve"> </w:t>
      </w:r>
      <w:r>
        <w:rPr>
          <w:sz w:val="24"/>
        </w:rPr>
        <w:t>level</w:t>
      </w:r>
      <w:r>
        <w:rPr>
          <w:spacing w:val="-2"/>
          <w:sz w:val="24"/>
        </w:rPr>
        <w:t xml:space="preserve"> </w:t>
      </w:r>
      <w:r>
        <w:rPr>
          <w:sz w:val="24"/>
        </w:rPr>
        <w:t>is</w:t>
      </w:r>
      <w:r>
        <w:rPr>
          <w:spacing w:val="-3"/>
          <w:sz w:val="24"/>
        </w:rPr>
        <w:t xml:space="preserve"> </w:t>
      </w:r>
      <w:r>
        <w:rPr>
          <w:sz w:val="24"/>
        </w:rPr>
        <w:t>greater</w:t>
      </w:r>
      <w:r>
        <w:rPr>
          <w:spacing w:val="-4"/>
          <w:sz w:val="24"/>
        </w:rPr>
        <w:t xml:space="preserve"> </w:t>
      </w:r>
      <w:r>
        <w:rPr>
          <w:sz w:val="24"/>
        </w:rPr>
        <w:t>than</w:t>
      </w:r>
      <w:r>
        <w:rPr>
          <w:spacing w:val="-2"/>
          <w:sz w:val="24"/>
        </w:rPr>
        <w:t xml:space="preserve"> </w:t>
      </w:r>
      <w:r>
        <w:rPr>
          <w:sz w:val="24"/>
        </w:rPr>
        <w:t>11.5</w:t>
      </w:r>
      <w:r>
        <w:rPr>
          <w:spacing w:val="-2"/>
          <w:sz w:val="24"/>
        </w:rPr>
        <w:t xml:space="preserve"> </w:t>
      </w:r>
      <w:r>
        <w:rPr>
          <w:sz w:val="24"/>
        </w:rPr>
        <w:t>percent,</w:t>
      </w:r>
      <w:r>
        <w:rPr>
          <w:spacing w:val="-2"/>
          <w:sz w:val="24"/>
        </w:rPr>
        <w:t xml:space="preserve"> </w:t>
      </w:r>
      <w:r>
        <w:rPr>
          <w:sz w:val="24"/>
        </w:rPr>
        <w:t>or</w:t>
      </w:r>
      <w:r>
        <w:rPr>
          <w:spacing w:val="-2"/>
          <w:sz w:val="24"/>
        </w:rPr>
        <w:t xml:space="preserve"> </w:t>
      </w:r>
      <w:r>
        <w:rPr>
          <w:sz w:val="24"/>
        </w:rPr>
        <w:t>if the gain/loss margin as a percentage of revenue at the bid level is less than −10% percent and the bid has existed since CY2023. The required elements include—</w:t>
      </w:r>
    </w:p>
    <w:p>
      <w:pPr>
        <w:pStyle w:val="ListParagraph"/>
        <w:numPr>
          <w:ilvl w:val="2"/>
          <w:numId w:val="35"/>
        </w:numPr>
        <w:tabs>
          <w:tab w:val="left" w:pos="2215"/>
        </w:tabs>
        <w:spacing w:before="120" w:after="0" w:line="240" w:lineRule="auto"/>
        <w:ind w:left="2215" w:right="1544" w:hanging="720"/>
        <w:jc w:val="left"/>
        <w:rPr>
          <w:sz w:val="24"/>
        </w:rPr>
      </w:pPr>
      <w:r>
        <w:rPr>
          <w:sz w:val="24"/>
        </w:rPr>
        <w:t>A comparison of premiums for CY2027 and CY2026, if applicable. Include the rounded MA premium, Part D basic premium after MA rebates, Part D supplemental</w:t>
      </w:r>
      <w:r>
        <w:rPr>
          <w:spacing w:val="-4"/>
          <w:sz w:val="24"/>
        </w:rPr>
        <w:t xml:space="preserve"> </w:t>
      </w:r>
      <w:r>
        <w:rPr>
          <w:sz w:val="24"/>
        </w:rPr>
        <w:t>premium</w:t>
      </w:r>
      <w:r>
        <w:rPr>
          <w:spacing w:val="-4"/>
          <w:sz w:val="24"/>
        </w:rPr>
        <w:t xml:space="preserve"> </w:t>
      </w:r>
      <w:r>
        <w:rPr>
          <w:sz w:val="24"/>
        </w:rPr>
        <w:t>after</w:t>
      </w:r>
      <w:r>
        <w:rPr>
          <w:spacing w:val="-6"/>
          <w:sz w:val="24"/>
        </w:rPr>
        <w:t xml:space="preserve"> </w:t>
      </w:r>
      <w:r>
        <w:rPr>
          <w:sz w:val="24"/>
        </w:rPr>
        <w:t>MA</w:t>
      </w:r>
      <w:r>
        <w:rPr>
          <w:spacing w:val="-5"/>
          <w:sz w:val="24"/>
        </w:rPr>
        <w:t xml:space="preserve"> </w:t>
      </w:r>
      <w:r>
        <w:rPr>
          <w:sz w:val="24"/>
        </w:rPr>
        <w:t>rebates,</w:t>
      </w:r>
      <w:r>
        <w:rPr>
          <w:spacing w:val="-4"/>
          <w:sz w:val="24"/>
        </w:rPr>
        <w:t xml:space="preserve"> </w:t>
      </w:r>
      <w:r>
        <w:rPr>
          <w:sz w:val="24"/>
        </w:rPr>
        <w:t>total</w:t>
      </w:r>
      <w:r>
        <w:rPr>
          <w:spacing w:val="-4"/>
          <w:sz w:val="24"/>
        </w:rPr>
        <w:t xml:space="preserve"> </w:t>
      </w:r>
      <w:r>
        <w:rPr>
          <w:sz w:val="24"/>
        </w:rPr>
        <w:t>plan</w:t>
      </w:r>
      <w:r>
        <w:rPr>
          <w:spacing w:val="-4"/>
          <w:sz w:val="24"/>
        </w:rPr>
        <w:t xml:space="preserve"> </w:t>
      </w:r>
      <w:r>
        <w:rPr>
          <w:sz w:val="24"/>
        </w:rPr>
        <w:t>premium,</w:t>
      </w:r>
      <w:r>
        <w:rPr>
          <w:spacing w:val="-4"/>
          <w:sz w:val="24"/>
        </w:rPr>
        <w:t xml:space="preserve"> </w:t>
      </w:r>
      <w:r>
        <w:rPr>
          <w:sz w:val="24"/>
        </w:rPr>
        <w:t>and</w:t>
      </w:r>
      <w:r>
        <w:rPr>
          <w:spacing w:val="-4"/>
          <w:sz w:val="24"/>
        </w:rPr>
        <w:t xml:space="preserve"> </w:t>
      </w:r>
      <w:r>
        <w:rPr>
          <w:sz w:val="24"/>
        </w:rPr>
        <w:t>MA</w:t>
      </w:r>
      <w:r>
        <w:rPr>
          <w:spacing w:val="-5"/>
          <w:sz w:val="24"/>
        </w:rPr>
        <w:t xml:space="preserve"> </w:t>
      </w:r>
      <w:r>
        <w:rPr>
          <w:sz w:val="24"/>
        </w:rPr>
        <w:t>rebate allocation for the Part B premium.</w:t>
      </w:r>
    </w:p>
    <w:p>
      <w:pPr>
        <w:pStyle w:val="ListParagraph"/>
        <w:numPr>
          <w:ilvl w:val="2"/>
          <w:numId w:val="35"/>
        </w:numPr>
        <w:tabs>
          <w:tab w:val="left" w:pos="2215"/>
        </w:tabs>
        <w:spacing w:before="121" w:after="0" w:line="240" w:lineRule="auto"/>
        <w:ind w:left="2215" w:right="1478" w:hanging="720"/>
        <w:jc w:val="left"/>
        <w:rPr>
          <w:sz w:val="24"/>
        </w:rPr>
      </w:pPr>
      <w:r>
        <w:rPr>
          <w:sz w:val="24"/>
        </w:rPr>
        <w:t>Support for changes in A/B mandatory supplemental benefits, if applicable. Provide a comparison in an Excel spreadsheet of (i) data from Worksheet 4, Section</w:t>
      </w:r>
      <w:r>
        <w:rPr>
          <w:spacing w:val="-3"/>
          <w:sz w:val="24"/>
        </w:rPr>
        <w:t xml:space="preserve"> </w:t>
      </w:r>
      <w:r>
        <w:rPr>
          <w:sz w:val="24"/>
        </w:rPr>
        <w:t>IIC,</w:t>
      </w:r>
      <w:r>
        <w:rPr>
          <w:spacing w:val="-1"/>
          <w:sz w:val="24"/>
        </w:rPr>
        <w:t xml:space="preserve"> </w:t>
      </w:r>
      <w:r>
        <w:rPr>
          <w:sz w:val="24"/>
        </w:rPr>
        <w:t>column</w:t>
      </w:r>
      <w:r>
        <w:rPr>
          <w:spacing w:val="-3"/>
          <w:sz w:val="24"/>
        </w:rPr>
        <w:t xml:space="preserve"> </w:t>
      </w:r>
      <w:r>
        <w:rPr>
          <w:sz w:val="24"/>
        </w:rPr>
        <w:t>R,</w:t>
      </w:r>
      <w:r>
        <w:rPr>
          <w:spacing w:val="-3"/>
          <w:sz w:val="24"/>
        </w:rPr>
        <w:t xml:space="preserve"> </w:t>
      </w:r>
      <w:r>
        <w:rPr>
          <w:sz w:val="24"/>
        </w:rPr>
        <w:t>lines</w:t>
      </w:r>
      <w:r>
        <w:rPr>
          <w:spacing w:val="-4"/>
          <w:sz w:val="24"/>
        </w:rPr>
        <w:t xml:space="preserve"> </w:t>
      </w:r>
      <w:r>
        <w:rPr>
          <w:sz w:val="24"/>
        </w:rPr>
        <w:t>a</w:t>
      </w:r>
      <w:r>
        <w:rPr>
          <w:spacing w:val="-4"/>
          <w:sz w:val="24"/>
        </w:rPr>
        <w:t xml:space="preserve"> </w:t>
      </w:r>
      <w:r>
        <w:rPr>
          <w:sz w:val="24"/>
        </w:rPr>
        <w:t>through</w:t>
      </w:r>
      <w:r>
        <w:rPr>
          <w:spacing w:val="-3"/>
          <w:sz w:val="24"/>
        </w:rPr>
        <w:t xml:space="preserve"> </w:t>
      </w:r>
      <w:r>
        <w:rPr>
          <w:sz w:val="24"/>
        </w:rPr>
        <w:t>u</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BPT,</w:t>
      </w:r>
      <w:r>
        <w:rPr>
          <w:spacing w:val="-3"/>
          <w:sz w:val="24"/>
        </w:rPr>
        <w:t xml:space="preserve"> </w:t>
      </w:r>
      <w:r>
        <w:rPr>
          <w:sz w:val="24"/>
        </w:rPr>
        <w:t>and</w:t>
      </w:r>
      <w:r>
        <w:rPr>
          <w:spacing w:val="-3"/>
          <w:sz w:val="24"/>
        </w:rPr>
        <w:t xml:space="preserve"> </w:t>
      </w:r>
      <w:r>
        <w:rPr>
          <w:sz w:val="24"/>
        </w:rPr>
        <w:t>(ii)</w:t>
      </w:r>
      <w:r>
        <w:rPr>
          <w:spacing w:val="-3"/>
          <w:sz w:val="24"/>
        </w:rPr>
        <w:t xml:space="preserve"> </w:t>
      </w:r>
      <w:r>
        <w:rPr>
          <w:sz w:val="24"/>
        </w:rPr>
        <w:t>the</w:t>
      </w:r>
      <w:r>
        <w:rPr>
          <w:spacing w:val="-4"/>
          <w:sz w:val="24"/>
        </w:rPr>
        <w:t xml:space="preserve"> </w:t>
      </w:r>
      <w:r>
        <w:rPr>
          <w:sz w:val="24"/>
        </w:rPr>
        <w:t>best</w:t>
      </w:r>
      <w:r>
        <w:rPr>
          <w:spacing w:val="-3"/>
          <w:sz w:val="24"/>
        </w:rPr>
        <w:t xml:space="preserve"> </w:t>
      </w:r>
      <w:r>
        <w:rPr>
          <w:sz w:val="24"/>
        </w:rPr>
        <w:t>estimate of the</w:t>
      </w:r>
      <w:r>
        <w:rPr>
          <w:spacing w:val="-1"/>
          <w:sz w:val="24"/>
        </w:rPr>
        <w:t xml:space="preserve"> </w:t>
      </w:r>
      <w:r>
        <w:rPr>
          <w:sz w:val="24"/>
        </w:rPr>
        <w:t>same items changing only the A/B mandatory supplemental benefits to be identical to CY2026.</w:t>
      </w:r>
    </w:p>
    <w:p>
      <w:pPr>
        <w:pStyle w:val="ListParagraph"/>
        <w:numPr>
          <w:ilvl w:val="0"/>
          <w:numId w:val="35"/>
        </w:numPr>
        <w:tabs>
          <w:tab w:val="left" w:pos="864"/>
          <w:tab w:val="left" w:pos="924"/>
        </w:tabs>
        <w:spacing w:before="120" w:after="0" w:line="240" w:lineRule="auto"/>
        <w:ind w:left="864" w:right="1563" w:hanging="360"/>
        <w:jc w:val="left"/>
        <w:rPr>
          <w:sz w:val="24"/>
        </w:rPr>
      </w:pPr>
      <w:r>
        <w:rPr>
          <w:sz w:val="24"/>
        </w:rPr>
        <w:t>Detailed</w:t>
      </w:r>
      <w:r>
        <w:rPr>
          <w:spacing w:val="40"/>
          <w:sz w:val="24"/>
        </w:rPr>
        <w:t xml:space="preserve"> </w:t>
      </w:r>
      <w:r>
        <w:rPr>
          <w:sz w:val="24"/>
        </w:rPr>
        <w:t>support</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development</w:t>
      </w:r>
      <w:r>
        <w:rPr>
          <w:spacing w:val="-3"/>
          <w:sz w:val="24"/>
        </w:rPr>
        <w:t xml:space="preserve"> </w:t>
      </w:r>
      <w:r>
        <w:rPr>
          <w:sz w:val="24"/>
        </w:rPr>
        <w:t>of</w:t>
      </w:r>
      <w:r>
        <w:rPr>
          <w:spacing w:val="-3"/>
          <w:sz w:val="24"/>
        </w:rPr>
        <w:t xml:space="preserve"> </w:t>
      </w:r>
      <w:r>
        <w:rPr>
          <w:sz w:val="24"/>
        </w:rPr>
        <w:t>projected</w:t>
      </w:r>
      <w:r>
        <w:rPr>
          <w:spacing w:val="-2"/>
          <w:sz w:val="24"/>
        </w:rPr>
        <w:t xml:space="preserve"> </w:t>
      </w:r>
      <w:r>
        <w:rPr>
          <w:sz w:val="24"/>
        </w:rPr>
        <w:t>risk</w:t>
      </w:r>
      <w:r>
        <w:rPr>
          <w:spacing w:val="-3"/>
          <w:sz w:val="24"/>
        </w:rPr>
        <w:t xml:space="preserve"> </w:t>
      </w:r>
      <w:r>
        <w:rPr>
          <w:sz w:val="24"/>
        </w:rPr>
        <w:t>scores</w:t>
      </w:r>
      <w:r>
        <w:rPr>
          <w:spacing w:val="-4"/>
          <w:sz w:val="24"/>
        </w:rPr>
        <w:t xml:space="preserve"> </w:t>
      </w:r>
      <w:r>
        <w:rPr>
          <w:sz w:val="24"/>
        </w:rPr>
        <w:t>(Worksheet</w:t>
      </w:r>
      <w:r>
        <w:rPr>
          <w:spacing w:val="-2"/>
          <w:sz w:val="24"/>
        </w:rPr>
        <w:t xml:space="preserve"> </w:t>
      </w:r>
      <w:r>
        <w:rPr>
          <w:sz w:val="24"/>
        </w:rPr>
        <w:t>5).</w:t>
      </w:r>
      <w:r>
        <w:rPr>
          <w:spacing w:val="-3"/>
          <w:sz w:val="24"/>
        </w:rPr>
        <w:t xml:space="preserve"> </w:t>
      </w:r>
      <w:r>
        <w:rPr>
          <w:sz w:val="24"/>
        </w:rPr>
        <w:t>The</w:t>
      </w:r>
      <w:r>
        <w:rPr>
          <w:spacing w:val="-4"/>
          <w:sz w:val="24"/>
        </w:rPr>
        <w:t xml:space="preserve"> </w:t>
      </w:r>
      <w:r>
        <w:rPr>
          <w:sz w:val="24"/>
        </w:rPr>
        <w:t>required elements include—</w:t>
      </w:r>
    </w:p>
    <w:p>
      <w:pPr>
        <w:pStyle w:val="ListParagraph"/>
        <w:numPr>
          <w:ilvl w:val="1"/>
          <w:numId w:val="35"/>
        </w:numPr>
        <w:tabs>
          <w:tab w:val="left" w:pos="1495"/>
        </w:tabs>
        <w:spacing w:before="120" w:after="0" w:line="240" w:lineRule="auto"/>
        <w:ind w:left="1495" w:right="2517" w:hanging="632"/>
        <w:jc w:val="left"/>
        <w:rPr>
          <w:sz w:val="24"/>
        </w:rPr>
      </w:pPr>
      <w:r>
        <w:rPr>
          <w:sz w:val="24"/>
        </w:rPr>
        <w:t>A</w:t>
      </w:r>
      <w:r>
        <w:rPr>
          <w:spacing w:val="-6"/>
          <w:sz w:val="24"/>
        </w:rPr>
        <w:t xml:space="preserve"> </w:t>
      </w:r>
      <w:r>
        <w:rPr>
          <w:sz w:val="24"/>
        </w:rPr>
        <w:t>detailed</w:t>
      </w:r>
      <w:r>
        <w:rPr>
          <w:spacing w:val="-5"/>
          <w:sz w:val="24"/>
        </w:rPr>
        <w:t xml:space="preserve"> </w:t>
      </w:r>
      <w:r>
        <w:rPr>
          <w:sz w:val="24"/>
        </w:rPr>
        <w:t>description,</w:t>
      </w:r>
      <w:r>
        <w:rPr>
          <w:spacing w:val="-5"/>
          <w:sz w:val="24"/>
        </w:rPr>
        <w:t xml:space="preserve"> </w:t>
      </w:r>
      <w:r>
        <w:rPr>
          <w:sz w:val="24"/>
        </w:rPr>
        <w:t>and</w:t>
      </w:r>
      <w:r>
        <w:rPr>
          <w:spacing w:val="-5"/>
          <w:sz w:val="24"/>
        </w:rPr>
        <w:t xml:space="preserve"> </w:t>
      </w:r>
      <w:r>
        <w:rPr>
          <w:sz w:val="24"/>
        </w:rPr>
        <w:t>corresponding</w:t>
      </w:r>
      <w:r>
        <w:rPr>
          <w:spacing w:val="-5"/>
          <w:sz w:val="24"/>
        </w:rPr>
        <w:t xml:space="preserve"> </w:t>
      </w:r>
      <w:r>
        <w:rPr>
          <w:sz w:val="24"/>
        </w:rPr>
        <w:t>numerical</w:t>
      </w:r>
      <w:r>
        <w:rPr>
          <w:spacing w:val="-5"/>
          <w:sz w:val="24"/>
        </w:rPr>
        <w:t xml:space="preserve"> </w:t>
      </w:r>
      <w:r>
        <w:rPr>
          <w:sz w:val="24"/>
        </w:rPr>
        <w:t>demonstration,</w:t>
      </w:r>
      <w:r>
        <w:rPr>
          <w:spacing w:val="-5"/>
          <w:sz w:val="24"/>
        </w:rPr>
        <w:t xml:space="preserve"> </w:t>
      </w:r>
      <w:r>
        <w:rPr>
          <w:sz w:val="24"/>
        </w:rPr>
        <w:t>of</w:t>
      </w:r>
      <w:r>
        <w:rPr>
          <w:spacing w:val="-6"/>
          <w:sz w:val="24"/>
        </w:rPr>
        <w:t xml:space="preserve"> </w:t>
      </w:r>
      <w:r>
        <w:rPr>
          <w:sz w:val="24"/>
        </w:rPr>
        <w:t>the methodology used to develop projected CY2027 MA risk scores.</w:t>
      </w:r>
    </w:p>
    <w:p>
      <w:pPr>
        <w:pStyle w:val="ListParagraph"/>
        <w:numPr>
          <w:ilvl w:val="1"/>
          <w:numId w:val="35"/>
        </w:numPr>
        <w:tabs>
          <w:tab w:val="left" w:pos="1495"/>
        </w:tabs>
        <w:spacing w:before="120" w:after="0" w:line="240" w:lineRule="auto"/>
        <w:ind w:left="1495" w:right="1567" w:hanging="632"/>
        <w:jc w:val="left"/>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rationale</w:t>
      </w:r>
      <w:r>
        <w:rPr>
          <w:spacing w:val="-3"/>
          <w:sz w:val="24"/>
        </w:rPr>
        <w:t xml:space="preserve"> </w:t>
      </w:r>
      <w:r>
        <w:rPr>
          <w:sz w:val="24"/>
        </w:rPr>
        <w:t>for</w:t>
      </w:r>
      <w:r>
        <w:rPr>
          <w:spacing w:val="-2"/>
          <w:sz w:val="24"/>
        </w:rPr>
        <w:t xml:space="preserve"> </w:t>
      </w:r>
      <w:r>
        <w:rPr>
          <w:sz w:val="24"/>
        </w:rPr>
        <w:t>choosing,</w:t>
      </w:r>
      <w:r>
        <w:rPr>
          <w:spacing w:val="-2"/>
          <w:sz w:val="24"/>
        </w:rPr>
        <w:t xml:space="preserve"> </w:t>
      </w:r>
      <w:r>
        <w:rPr>
          <w:sz w:val="24"/>
        </w:rPr>
        <w:t>the</w:t>
      </w:r>
      <w:r>
        <w:rPr>
          <w:spacing w:val="-3"/>
          <w:sz w:val="24"/>
        </w:rPr>
        <w:t xml:space="preserve"> </w:t>
      </w:r>
      <w:r>
        <w:rPr>
          <w:sz w:val="24"/>
        </w:rPr>
        <w:t>source</w:t>
      </w:r>
      <w:r>
        <w:rPr>
          <w:spacing w:val="-4"/>
          <w:sz w:val="24"/>
        </w:rPr>
        <w:t xml:space="preserve"> </w:t>
      </w:r>
      <w:r>
        <w:rPr>
          <w:sz w:val="24"/>
        </w:rPr>
        <w:t>data</w:t>
      </w:r>
      <w:r>
        <w:rPr>
          <w:spacing w:val="-4"/>
          <w:sz w:val="24"/>
        </w:rPr>
        <w:t xml:space="preserve"> </w:t>
      </w:r>
      <w:r>
        <w:rPr>
          <w:sz w:val="24"/>
        </w:rPr>
        <w:t>for</w:t>
      </w:r>
      <w:r>
        <w:rPr>
          <w:spacing w:val="-3"/>
          <w:sz w:val="24"/>
        </w:rPr>
        <w:t xml:space="preserve"> </w:t>
      </w:r>
      <w:r>
        <w:rPr>
          <w:sz w:val="24"/>
        </w:rPr>
        <w:t>the</w:t>
      </w:r>
      <w:r>
        <w:rPr>
          <w:spacing w:val="-5"/>
          <w:sz w:val="24"/>
        </w:rPr>
        <w:t xml:space="preserve"> </w:t>
      </w:r>
      <w:r>
        <w:rPr>
          <w:sz w:val="24"/>
        </w:rPr>
        <w:t>development of the projected CY2027 MA risk scores, including—</w:t>
      </w:r>
    </w:p>
    <w:p>
      <w:pPr>
        <w:pStyle w:val="ListParagraph"/>
        <w:numPr>
          <w:ilvl w:val="2"/>
          <w:numId w:val="35"/>
        </w:numPr>
        <w:tabs>
          <w:tab w:val="left" w:pos="2215"/>
        </w:tabs>
        <w:spacing w:before="120" w:after="0" w:line="240" w:lineRule="auto"/>
        <w:ind w:left="2215" w:right="1443" w:hanging="720"/>
        <w:jc w:val="left"/>
        <w:rPr>
          <w:sz w:val="24"/>
        </w:rPr>
      </w:pPr>
      <w:r>
        <w:rPr>
          <w:sz w:val="24"/>
        </w:rPr>
        <w:t>Identification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source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starting</w:t>
      </w:r>
      <w:r>
        <w:rPr>
          <w:spacing w:val="-3"/>
          <w:sz w:val="24"/>
        </w:rPr>
        <w:t xml:space="preserve"> </w:t>
      </w:r>
      <w:r>
        <w:rPr>
          <w:sz w:val="24"/>
        </w:rPr>
        <w:t>risk</w:t>
      </w:r>
      <w:r>
        <w:rPr>
          <w:spacing w:val="-3"/>
          <w:sz w:val="24"/>
        </w:rPr>
        <w:t xml:space="preserve"> </w:t>
      </w:r>
      <w:r>
        <w:rPr>
          <w:sz w:val="24"/>
        </w:rPr>
        <w:t>score</w:t>
      </w:r>
      <w:r>
        <w:rPr>
          <w:spacing w:val="-5"/>
          <w:sz w:val="24"/>
        </w:rPr>
        <w:t xml:space="preserve"> </w:t>
      </w:r>
      <w:r>
        <w:rPr>
          <w:sz w:val="24"/>
        </w:rPr>
        <w:t>and,</w:t>
      </w:r>
      <w:r>
        <w:rPr>
          <w:spacing w:val="-3"/>
          <w:sz w:val="24"/>
        </w:rPr>
        <w:t xml:space="preserve"> </w:t>
      </w:r>
      <w:r>
        <w:rPr>
          <w:sz w:val="24"/>
        </w:rPr>
        <w:t>if</w:t>
      </w:r>
      <w:r>
        <w:rPr>
          <w:spacing w:val="-3"/>
          <w:sz w:val="24"/>
        </w:rPr>
        <w:t xml:space="preserve"> </w:t>
      </w:r>
      <w:r>
        <w:rPr>
          <w:sz w:val="24"/>
        </w:rPr>
        <w:t>the</w:t>
      </w:r>
      <w:r>
        <w:rPr>
          <w:spacing w:val="-4"/>
          <w:sz w:val="24"/>
        </w:rPr>
        <w:t xml:space="preserve"> </w:t>
      </w:r>
      <w:r>
        <w:rPr>
          <w:sz w:val="24"/>
        </w:rPr>
        <w:t xml:space="preserve">CMS-provided risk scores are not used, an explanation of why the alternative source was </w:t>
      </w:r>
      <w:r>
        <w:rPr>
          <w:spacing w:val="-2"/>
          <w:sz w:val="24"/>
        </w:rPr>
        <w:t>appropriate.</w:t>
      </w:r>
    </w:p>
    <w:p>
      <w:pPr>
        <w:pStyle w:val="ListParagraph"/>
        <w:numPr>
          <w:ilvl w:val="2"/>
          <w:numId w:val="35"/>
        </w:numPr>
        <w:tabs>
          <w:tab w:val="left" w:pos="2215"/>
        </w:tabs>
        <w:spacing w:before="121" w:after="0" w:line="240" w:lineRule="auto"/>
        <w:ind w:left="2215" w:right="1589" w:hanging="720"/>
        <w:jc w:val="left"/>
        <w:rPr>
          <w:sz w:val="24"/>
        </w:rPr>
      </w:pPr>
      <w:r>
        <w:rPr>
          <w:sz w:val="24"/>
        </w:rPr>
        <w:t>For an alternative approach, identification of the years used, the population incorporated,</w:t>
      </w:r>
      <w:r>
        <w:rPr>
          <w:spacing w:val="-2"/>
          <w:sz w:val="24"/>
        </w:rPr>
        <w:t xml:space="preserve"> </w:t>
      </w:r>
      <w:r>
        <w:rPr>
          <w:sz w:val="24"/>
        </w:rPr>
        <w:t>and</w:t>
      </w:r>
      <w:r>
        <w:rPr>
          <w:spacing w:val="-3"/>
          <w:sz w:val="24"/>
        </w:rPr>
        <w:t xml:space="preserve"> </w:t>
      </w:r>
      <w:r>
        <w:rPr>
          <w:sz w:val="24"/>
        </w:rPr>
        <w:t>any</w:t>
      </w:r>
      <w:r>
        <w:rPr>
          <w:spacing w:val="-3"/>
          <w:sz w:val="24"/>
        </w:rPr>
        <w:t xml:space="preserve"> </w:t>
      </w:r>
      <w:r>
        <w:rPr>
          <w:sz w:val="24"/>
        </w:rPr>
        <w:t>data</w:t>
      </w:r>
      <w:r>
        <w:rPr>
          <w:spacing w:val="-3"/>
          <w:sz w:val="24"/>
        </w:rPr>
        <w:t xml:space="preserve"> </w:t>
      </w:r>
      <w:r>
        <w:rPr>
          <w:sz w:val="24"/>
        </w:rPr>
        <w:t>points</w:t>
      </w:r>
      <w:r>
        <w:rPr>
          <w:spacing w:val="-3"/>
          <w:sz w:val="24"/>
        </w:rPr>
        <w:t xml:space="preserve"> </w:t>
      </w:r>
      <w:r>
        <w:rPr>
          <w:sz w:val="24"/>
        </w:rPr>
        <w:t>used</w:t>
      </w:r>
      <w:r>
        <w:rPr>
          <w:spacing w:val="-3"/>
          <w:sz w:val="24"/>
        </w:rPr>
        <w:t xml:space="preserve"> </w:t>
      </w:r>
      <w:r>
        <w:rPr>
          <w:sz w:val="24"/>
        </w:rPr>
        <w:t>as</w:t>
      </w:r>
      <w:r>
        <w:rPr>
          <w:spacing w:val="-4"/>
          <w:sz w:val="24"/>
        </w:rPr>
        <w:t xml:space="preserve"> </w:t>
      </w:r>
      <w:r>
        <w:rPr>
          <w:sz w:val="24"/>
        </w:rPr>
        <w:t>a</w:t>
      </w:r>
      <w:r>
        <w:rPr>
          <w:spacing w:val="-4"/>
          <w:sz w:val="24"/>
        </w:rPr>
        <w:t xml:space="preserve"> </w:t>
      </w:r>
      <w:r>
        <w:rPr>
          <w:sz w:val="24"/>
        </w:rPr>
        <w:t>basis</w:t>
      </w:r>
      <w:r>
        <w:rPr>
          <w:spacing w:val="-3"/>
          <w:sz w:val="24"/>
        </w:rPr>
        <w:t xml:space="preserve"> </w:t>
      </w:r>
      <w:r>
        <w:rPr>
          <w:sz w:val="24"/>
        </w:rPr>
        <w:t>for</w:t>
      </w:r>
      <w:r>
        <w:rPr>
          <w:spacing w:val="-4"/>
          <w:sz w:val="24"/>
        </w:rPr>
        <w:t xml:space="preserve"> </w:t>
      </w:r>
      <w:r>
        <w:rPr>
          <w:sz w:val="24"/>
        </w:rPr>
        <w:t>developing</w:t>
      </w:r>
      <w:r>
        <w:rPr>
          <w:spacing w:val="-3"/>
          <w:sz w:val="24"/>
        </w:rPr>
        <w:t xml:space="preserve"> </w:t>
      </w:r>
      <w:r>
        <w:rPr>
          <w:sz w:val="24"/>
        </w:rPr>
        <w:t>the</w:t>
      </w:r>
      <w:r>
        <w:rPr>
          <w:spacing w:val="-3"/>
          <w:sz w:val="24"/>
        </w:rPr>
        <w:t xml:space="preserve"> </w:t>
      </w:r>
      <w:r>
        <w:rPr>
          <w:sz w:val="24"/>
        </w:rPr>
        <w:t>CY2027 risk score.</w:t>
      </w:r>
    </w:p>
    <w:p>
      <w:pPr>
        <w:pStyle w:val="ListParagraph"/>
        <w:numPr>
          <w:ilvl w:val="1"/>
          <w:numId w:val="35"/>
        </w:numPr>
        <w:tabs>
          <w:tab w:val="left" w:pos="1495"/>
        </w:tabs>
        <w:spacing w:before="120" w:after="0" w:line="240" w:lineRule="auto"/>
        <w:ind w:left="1495" w:right="0" w:hanging="631"/>
        <w:jc w:val="left"/>
        <w:rPr>
          <w:sz w:val="24"/>
        </w:rPr>
      </w:pPr>
      <w:r>
        <w:rPr>
          <w:sz w:val="24"/>
        </w:rPr>
        <w:t>A</w:t>
      </w:r>
      <w:r>
        <w:rPr>
          <w:spacing w:val="-4"/>
          <w:sz w:val="24"/>
        </w:rPr>
        <w:t xml:space="preserve"> </w:t>
      </w:r>
      <w:r>
        <w:rPr>
          <w:sz w:val="24"/>
        </w:rPr>
        <w:t>description</w:t>
      </w:r>
      <w:r>
        <w:rPr>
          <w:spacing w:val="-1"/>
          <w:sz w:val="24"/>
        </w:rPr>
        <w:t xml:space="preserve"> </w:t>
      </w:r>
      <w:r>
        <w:rPr>
          <w:sz w:val="24"/>
        </w:rPr>
        <w:t>of the</w:t>
      </w:r>
      <w:r>
        <w:rPr>
          <w:spacing w:val="-1"/>
          <w:sz w:val="24"/>
        </w:rPr>
        <w:t xml:space="preserve"> </w:t>
      </w:r>
      <w:r>
        <w:rPr>
          <w:sz w:val="24"/>
        </w:rPr>
        <w:t>methodology</w:t>
      </w:r>
      <w:r>
        <w:rPr>
          <w:spacing w:val="-1"/>
          <w:sz w:val="24"/>
        </w:rPr>
        <w:t xml:space="preserve"> </w:t>
      </w:r>
      <w:r>
        <w:rPr>
          <w:sz w:val="24"/>
        </w:rPr>
        <w:t>used to</w:t>
      </w:r>
      <w:r>
        <w:rPr>
          <w:spacing w:val="-1"/>
          <w:sz w:val="24"/>
        </w:rPr>
        <w:t xml:space="preserve"> </w:t>
      </w:r>
      <w:r>
        <w:rPr>
          <w:sz w:val="24"/>
        </w:rPr>
        <w:t>derive</w:t>
      </w:r>
      <w:r>
        <w:rPr>
          <w:spacing w:val="-3"/>
          <w:sz w:val="24"/>
        </w:rPr>
        <w:t xml:space="preserve"> </w:t>
      </w:r>
      <w:r>
        <w:rPr>
          <w:sz w:val="24"/>
        </w:rPr>
        <w:t>each projection</w:t>
      </w:r>
      <w:r>
        <w:rPr>
          <w:spacing w:val="-1"/>
          <w:sz w:val="24"/>
        </w:rPr>
        <w:t xml:space="preserve"> </w:t>
      </w:r>
      <w:r>
        <w:rPr>
          <w:sz w:val="24"/>
        </w:rPr>
        <w:t xml:space="preserve">factor, </w:t>
      </w:r>
      <w:r>
        <w:rPr>
          <w:spacing w:val="-2"/>
          <w:sz w:val="24"/>
        </w:rPr>
        <w:t>including—</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ListParagraph"/>
        <w:numPr>
          <w:ilvl w:val="2"/>
          <w:numId w:val="35"/>
        </w:numPr>
        <w:tabs>
          <w:tab w:val="left" w:pos="2215"/>
        </w:tabs>
        <w:spacing w:before="0" w:after="0" w:line="240" w:lineRule="auto"/>
        <w:ind w:left="2215" w:right="1491" w:hanging="720"/>
        <w:jc w:val="left"/>
        <w:rPr>
          <w:sz w:val="24"/>
        </w:rPr>
      </w:pPr>
      <w:r>
        <w:rPr>
          <w:sz w:val="24"/>
        </w:rPr>
        <w:t>A</w:t>
      </w:r>
      <w:r>
        <w:rPr>
          <w:spacing w:val="-4"/>
          <w:sz w:val="24"/>
        </w:rPr>
        <w:t xml:space="preserve"> </w:t>
      </w:r>
      <w:r>
        <w:rPr>
          <w:sz w:val="24"/>
        </w:rPr>
        <w:t>summary</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consideration</w:t>
      </w:r>
      <w:r>
        <w:rPr>
          <w:spacing w:val="-3"/>
          <w:sz w:val="24"/>
        </w:rPr>
        <w:t xml:space="preserve"> </w:t>
      </w:r>
      <w:r>
        <w:rPr>
          <w:sz w:val="24"/>
        </w:rPr>
        <w:t>for</w:t>
      </w:r>
      <w:r>
        <w:rPr>
          <w:spacing w:val="-3"/>
          <w:sz w:val="24"/>
        </w:rPr>
        <w:t xml:space="preserve"> </w:t>
      </w:r>
      <w:r>
        <w:rPr>
          <w:sz w:val="24"/>
        </w:rPr>
        <w:t>using</w:t>
      </w:r>
      <w:r>
        <w:rPr>
          <w:spacing w:val="-3"/>
          <w:sz w:val="24"/>
        </w:rPr>
        <w:t xml:space="preserve"> </w:t>
      </w:r>
      <w:r>
        <w:rPr>
          <w:sz w:val="24"/>
        </w:rPr>
        <w:t>or</w:t>
      </w:r>
      <w:r>
        <w:rPr>
          <w:spacing w:val="-4"/>
          <w:sz w:val="24"/>
        </w:rPr>
        <w:t xml:space="preserve"> </w:t>
      </w:r>
      <w:r>
        <w:rPr>
          <w:sz w:val="24"/>
        </w:rPr>
        <w:t>not</w:t>
      </w:r>
      <w:r>
        <w:rPr>
          <w:spacing w:val="-3"/>
          <w:sz w:val="24"/>
        </w:rPr>
        <w:t xml:space="preserve"> </w:t>
      </w:r>
      <w:r>
        <w:rPr>
          <w:sz w:val="24"/>
        </w:rPr>
        <w:t>using</w:t>
      </w:r>
      <w:r>
        <w:rPr>
          <w:spacing w:val="-3"/>
          <w:sz w:val="24"/>
        </w:rPr>
        <w:t xml:space="preserve"> </w:t>
      </w:r>
      <w:r>
        <w:rPr>
          <w:sz w:val="24"/>
        </w:rPr>
        <w:t>the</w:t>
      </w:r>
      <w:r>
        <w:rPr>
          <w:spacing w:val="-4"/>
          <w:sz w:val="24"/>
        </w:rPr>
        <w:t xml:space="preserve"> </w:t>
      </w:r>
      <w:r>
        <w:rPr>
          <w:sz w:val="24"/>
        </w:rPr>
        <w:t>projection</w:t>
      </w:r>
      <w:r>
        <w:rPr>
          <w:spacing w:val="-3"/>
          <w:sz w:val="24"/>
        </w:rPr>
        <w:t xml:space="preserve"> </w:t>
      </w:r>
      <w:r>
        <w:rPr>
          <w:sz w:val="24"/>
        </w:rPr>
        <w:t>factor,</w:t>
      </w:r>
      <w:r>
        <w:rPr>
          <w:spacing w:val="-3"/>
          <w:sz w:val="24"/>
        </w:rPr>
        <w:t xml:space="preserve"> </w:t>
      </w:r>
      <w:r>
        <w:rPr>
          <w:sz w:val="24"/>
        </w:rPr>
        <w:t>a description of and the rationale for choosing the source data, and the data points used in the derivation of the projection factor.</w:t>
      </w:r>
    </w:p>
    <w:p>
      <w:pPr>
        <w:pStyle w:val="ListParagraph"/>
        <w:numPr>
          <w:ilvl w:val="2"/>
          <w:numId w:val="35"/>
        </w:numPr>
        <w:tabs>
          <w:tab w:val="left" w:pos="2215"/>
        </w:tabs>
        <w:spacing w:before="120" w:after="0" w:line="240" w:lineRule="auto"/>
        <w:ind w:left="2215" w:right="1685" w:hanging="720"/>
        <w:jc w:val="left"/>
        <w:rPr>
          <w:sz w:val="24"/>
        </w:rPr>
      </w:pPr>
      <w:r>
        <w:rPr>
          <w:sz w:val="24"/>
        </w:rPr>
        <w:t>For the bid-specific coding trend, a statement about the risk score years utilized,</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5"/>
          <w:sz w:val="24"/>
        </w:rPr>
        <w:t xml:space="preserve"> </w:t>
      </w:r>
      <w:r>
        <w:rPr>
          <w:sz w:val="24"/>
        </w:rPr>
        <w:t>years</w:t>
      </w:r>
      <w:r>
        <w:rPr>
          <w:spacing w:val="-4"/>
          <w:sz w:val="24"/>
        </w:rPr>
        <w:t xml:space="preserve"> </w:t>
      </w:r>
      <w:r>
        <w:rPr>
          <w:sz w:val="24"/>
        </w:rPr>
        <w:t>used</w:t>
      </w:r>
      <w:r>
        <w:rPr>
          <w:spacing w:val="-2"/>
          <w:sz w:val="24"/>
        </w:rPr>
        <w:t xml:space="preserve"> </w:t>
      </w:r>
      <w:r>
        <w:rPr>
          <w:sz w:val="24"/>
        </w:rPr>
        <w:t>and</w:t>
      </w:r>
      <w:r>
        <w:rPr>
          <w:spacing w:val="-3"/>
          <w:sz w:val="24"/>
        </w:rPr>
        <w:t xml:space="preserve"> </w:t>
      </w:r>
      <w:r>
        <w:rPr>
          <w:sz w:val="24"/>
        </w:rPr>
        <w:t>whether</w:t>
      </w:r>
      <w:r>
        <w:rPr>
          <w:spacing w:val="-3"/>
          <w:sz w:val="24"/>
        </w:rPr>
        <w:t xml:space="preserve"> </w:t>
      </w:r>
      <w:r>
        <w:rPr>
          <w:sz w:val="24"/>
        </w:rPr>
        <w:t>the</w:t>
      </w:r>
      <w:r>
        <w:rPr>
          <w:spacing w:val="-4"/>
          <w:sz w:val="24"/>
        </w:rPr>
        <w:t xml:space="preserve"> </w:t>
      </w:r>
      <w:r>
        <w:rPr>
          <w:sz w:val="24"/>
        </w:rPr>
        <w:t>scores</w:t>
      </w:r>
      <w:r>
        <w:rPr>
          <w:spacing w:val="-2"/>
          <w:sz w:val="24"/>
        </w:rPr>
        <w:t xml:space="preserve"> </w:t>
      </w:r>
      <w:r>
        <w:rPr>
          <w:sz w:val="24"/>
        </w:rPr>
        <w:t>are</w:t>
      </w:r>
      <w:r>
        <w:rPr>
          <w:spacing w:val="-5"/>
          <w:sz w:val="24"/>
        </w:rPr>
        <w:t xml:space="preserve"> </w:t>
      </w:r>
      <w:r>
        <w:rPr>
          <w:sz w:val="24"/>
        </w:rPr>
        <w:t>normalized</w:t>
      </w:r>
      <w:r>
        <w:rPr>
          <w:spacing w:val="-3"/>
          <w:sz w:val="24"/>
        </w:rPr>
        <w:t xml:space="preserve"> </w:t>
      </w:r>
      <w:r>
        <w:rPr>
          <w:sz w:val="24"/>
        </w:rPr>
        <w:t xml:space="preserve">or </w:t>
      </w:r>
      <w:r>
        <w:rPr>
          <w:spacing w:val="-4"/>
          <w:sz w:val="24"/>
        </w:rPr>
        <w:t>raw.</w:t>
      </w:r>
    </w:p>
    <w:p>
      <w:pPr>
        <w:pStyle w:val="ListParagraph"/>
        <w:numPr>
          <w:ilvl w:val="1"/>
          <w:numId w:val="35"/>
        </w:numPr>
        <w:tabs>
          <w:tab w:val="left" w:pos="1495"/>
        </w:tabs>
        <w:spacing w:before="120" w:after="0" w:line="240" w:lineRule="auto"/>
        <w:ind w:left="1495" w:right="1841" w:hanging="632"/>
        <w:jc w:val="left"/>
        <w:rPr>
          <w:sz w:val="24"/>
        </w:rPr>
      </w:pPr>
      <w:r>
        <w:rPr>
          <w:sz w:val="24"/>
        </w:rPr>
        <w:t>A</w:t>
      </w:r>
      <w:r>
        <w:rPr>
          <w:spacing w:val="-1"/>
          <w:sz w:val="24"/>
        </w:rPr>
        <w:t xml:space="preserve"> </w:t>
      </w:r>
      <w:r>
        <w:rPr>
          <w:sz w:val="24"/>
        </w:rPr>
        <w:t>statement about the consistency between the</w:t>
      </w:r>
      <w:r>
        <w:rPr>
          <w:spacing w:val="-1"/>
          <w:sz w:val="24"/>
        </w:rPr>
        <w:t xml:space="preserve"> </w:t>
      </w:r>
      <w:r>
        <w:rPr>
          <w:sz w:val="24"/>
        </w:rPr>
        <w:t>development of the projected risk scores</w:t>
      </w:r>
      <w:r>
        <w:rPr>
          <w:spacing w:val="-5"/>
          <w:sz w:val="24"/>
        </w:rPr>
        <w:t xml:space="preserve"> </w:t>
      </w:r>
      <w:r>
        <w:rPr>
          <w:sz w:val="24"/>
        </w:rPr>
        <w:t>for</w:t>
      </w:r>
      <w:r>
        <w:rPr>
          <w:spacing w:val="-4"/>
          <w:sz w:val="24"/>
        </w:rPr>
        <w:t xml:space="preserve"> </w:t>
      </w:r>
      <w:r>
        <w:rPr>
          <w:sz w:val="24"/>
        </w:rPr>
        <w:t>the</w:t>
      </w:r>
      <w:r>
        <w:rPr>
          <w:spacing w:val="-5"/>
          <w:sz w:val="24"/>
        </w:rPr>
        <w:t xml:space="preserve"> </w:t>
      </w:r>
      <w:r>
        <w:rPr>
          <w:sz w:val="24"/>
        </w:rPr>
        <w:t>bid</w:t>
      </w:r>
      <w:r>
        <w:rPr>
          <w:spacing w:val="-4"/>
          <w:sz w:val="24"/>
        </w:rPr>
        <w:t xml:space="preserve"> </w:t>
      </w:r>
      <w:r>
        <w:rPr>
          <w:sz w:val="24"/>
        </w:rPr>
        <w:t>population</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development</w:t>
      </w:r>
      <w:r>
        <w:rPr>
          <w:spacing w:val="-2"/>
          <w:sz w:val="24"/>
        </w:rPr>
        <w:t xml:space="preserve"> </w:t>
      </w:r>
      <w:r>
        <w:rPr>
          <w:sz w:val="24"/>
        </w:rPr>
        <w:t>of</w:t>
      </w:r>
      <w:r>
        <w:rPr>
          <w:spacing w:val="-4"/>
          <w:sz w:val="24"/>
        </w:rPr>
        <w:t xml:space="preserve"> </w:t>
      </w:r>
      <w:r>
        <w:rPr>
          <w:sz w:val="24"/>
        </w:rPr>
        <w:t>projected</w:t>
      </w:r>
      <w:r>
        <w:rPr>
          <w:spacing w:val="-4"/>
          <w:sz w:val="24"/>
        </w:rPr>
        <w:t xml:space="preserve"> </w:t>
      </w:r>
      <w:r>
        <w:rPr>
          <w:sz w:val="24"/>
        </w:rPr>
        <w:t>medical</w:t>
      </w:r>
      <w:r>
        <w:rPr>
          <w:spacing w:val="-4"/>
          <w:sz w:val="24"/>
        </w:rPr>
        <w:t xml:space="preserve"> </w:t>
      </w:r>
      <w:r>
        <w:rPr>
          <w:sz w:val="24"/>
        </w:rPr>
        <w:t>expenses.</w:t>
      </w:r>
    </w:p>
    <w:p>
      <w:pPr>
        <w:pStyle w:val="ListParagraph"/>
        <w:numPr>
          <w:ilvl w:val="1"/>
          <w:numId w:val="35"/>
        </w:numPr>
        <w:tabs>
          <w:tab w:val="left" w:pos="1495"/>
        </w:tabs>
        <w:spacing w:before="120" w:after="0" w:line="240" w:lineRule="auto"/>
        <w:ind w:left="1495" w:right="1444" w:hanging="632"/>
        <w:jc w:val="left"/>
        <w:rPr>
          <w:sz w:val="24"/>
        </w:rPr>
      </w:pPr>
      <w:r>
        <w:rPr>
          <w:sz w:val="24"/>
        </w:rPr>
        <w:t>For an alternate approach, a demonstration that the method used is consistent with</w:t>
      </w:r>
      <w:r>
        <w:rPr>
          <w:spacing w:val="40"/>
          <w:sz w:val="24"/>
        </w:rPr>
        <w:t xml:space="preserve"> </w:t>
      </w:r>
      <w:r>
        <w:rPr>
          <w:sz w:val="24"/>
        </w:rPr>
        <w:t>the</w:t>
      </w:r>
      <w:r>
        <w:rPr>
          <w:spacing w:val="-4"/>
          <w:sz w:val="24"/>
        </w:rPr>
        <w:t xml:space="preserve"> </w:t>
      </w:r>
      <w:r>
        <w:rPr>
          <w:sz w:val="24"/>
        </w:rPr>
        <w:t>preferred</w:t>
      </w:r>
      <w:r>
        <w:rPr>
          <w:spacing w:val="-4"/>
          <w:sz w:val="24"/>
        </w:rPr>
        <w:t xml:space="preserve"> </w:t>
      </w:r>
      <w:r>
        <w:rPr>
          <w:sz w:val="24"/>
        </w:rPr>
        <w:t>development</w:t>
      </w:r>
      <w:r>
        <w:rPr>
          <w:spacing w:val="-4"/>
          <w:sz w:val="24"/>
        </w:rPr>
        <w:t xml:space="preserve"> </w:t>
      </w:r>
      <w:r>
        <w:rPr>
          <w:sz w:val="24"/>
        </w:rPr>
        <w:t>approach</w:t>
      </w:r>
      <w:r>
        <w:rPr>
          <w:spacing w:val="-4"/>
          <w:sz w:val="24"/>
        </w:rPr>
        <w:t xml:space="preserve"> </w:t>
      </w:r>
      <w:r>
        <w:rPr>
          <w:sz w:val="24"/>
        </w:rPr>
        <w:t>in</w:t>
      </w:r>
      <w:r>
        <w:rPr>
          <w:spacing w:val="-4"/>
          <w:sz w:val="24"/>
        </w:rPr>
        <w:t xml:space="preserve"> </w:t>
      </w:r>
      <w:r>
        <w:rPr>
          <w:sz w:val="24"/>
        </w:rPr>
        <w:t>these</w:t>
      </w:r>
      <w:r>
        <w:rPr>
          <w:spacing w:val="-2"/>
          <w:sz w:val="24"/>
        </w:rPr>
        <w:t xml:space="preserve"> </w:t>
      </w:r>
      <w:r>
        <w:rPr>
          <w:sz w:val="24"/>
        </w:rPr>
        <w:t>Instructions,</w:t>
      </w:r>
      <w:r>
        <w:rPr>
          <w:spacing w:val="-4"/>
          <w:sz w:val="24"/>
        </w:rPr>
        <w:t xml:space="preserve"> </w:t>
      </w:r>
      <w:r>
        <w:rPr>
          <w:sz w:val="24"/>
        </w:rPr>
        <w:t>including</w:t>
      </w:r>
      <w:r>
        <w:rPr>
          <w:spacing w:val="-4"/>
          <w:sz w:val="24"/>
        </w:rPr>
        <w:t xml:space="preserve"> </w:t>
      </w:r>
      <w:r>
        <w:rPr>
          <w:sz w:val="24"/>
        </w:rPr>
        <w:t>an</w:t>
      </w:r>
      <w:r>
        <w:rPr>
          <w:spacing w:val="-4"/>
          <w:sz w:val="24"/>
        </w:rPr>
        <w:t xml:space="preserve"> </w:t>
      </w:r>
      <w:r>
        <w:rPr>
          <w:sz w:val="24"/>
        </w:rPr>
        <w:t>explanation</w:t>
      </w:r>
      <w:r>
        <w:rPr>
          <w:spacing w:val="-4"/>
          <w:sz w:val="24"/>
        </w:rPr>
        <w:t xml:space="preserve"> </w:t>
      </w:r>
      <w:r>
        <w:rPr>
          <w:sz w:val="24"/>
        </w:rPr>
        <w:t>of why such approach is more appropriate than the CMS preferred approach.</w:t>
      </w:r>
    </w:p>
    <w:p>
      <w:pPr>
        <w:pStyle w:val="ListParagraph"/>
        <w:numPr>
          <w:ilvl w:val="1"/>
          <w:numId w:val="35"/>
        </w:numPr>
        <w:tabs>
          <w:tab w:val="left" w:pos="1495"/>
        </w:tabs>
        <w:spacing w:before="121" w:after="0" w:line="240" w:lineRule="auto"/>
        <w:ind w:left="1495" w:right="0" w:hanging="631"/>
        <w:jc w:val="left"/>
        <w:rPr>
          <w:sz w:val="24"/>
        </w:rPr>
      </w:pPr>
      <w:r>
        <w:rPr>
          <w:sz w:val="24"/>
        </w:rPr>
        <w:t>A</w:t>
      </w:r>
      <w:r>
        <w:rPr>
          <w:spacing w:val="-2"/>
          <w:sz w:val="24"/>
        </w:rPr>
        <w:t xml:space="preserve"> </w:t>
      </w:r>
      <w:r>
        <w:rPr>
          <w:sz w:val="24"/>
        </w:rPr>
        <w:t>statement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credibility</w:t>
      </w:r>
      <w:r>
        <w:rPr>
          <w:spacing w:val="-1"/>
          <w:sz w:val="24"/>
        </w:rPr>
        <w:t xml:space="preserve"> </w:t>
      </w:r>
      <w:r>
        <w:rPr>
          <w:sz w:val="24"/>
        </w:rPr>
        <w:t>approach</w:t>
      </w:r>
      <w:r>
        <w:rPr>
          <w:spacing w:val="-1"/>
          <w:sz w:val="24"/>
        </w:rPr>
        <w:t xml:space="preserve"> </w:t>
      </w:r>
      <w:r>
        <w:rPr>
          <w:sz w:val="24"/>
        </w:rPr>
        <w:t>used—for example,</w:t>
      </w:r>
      <w:r>
        <w:rPr>
          <w:spacing w:val="-1"/>
          <w:sz w:val="24"/>
        </w:rPr>
        <w:t xml:space="preserve"> </w:t>
      </w:r>
      <w:r>
        <w:rPr>
          <w:sz w:val="24"/>
        </w:rPr>
        <w:t>CMS</w:t>
      </w:r>
      <w:r>
        <w:rPr>
          <w:spacing w:val="-1"/>
          <w:sz w:val="24"/>
        </w:rPr>
        <w:t xml:space="preserve"> </w:t>
      </w:r>
      <w:r>
        <w:rPr>
          <w:spacing w:val="-2"/>
          <w:sz w:val="24"/>
        </w:rPr>
        <w:t>guidelines.</w:t>
      </w:r>
    </w:p>
    <w:p>
      <w:pPr>
        <w:pStyle w:val="ListParagraph"/>
        <w:numPr>
          <w:ilvl w:val="1"/>
          <w:numId w:val="35"/>
        </w:numPr>
        <w:tabs>
          <w:tab w:val="left" w:pos="1495"/>
        </w:tabs>
        <w:spacing w:before="120" w:after="0" w:line="240" w:lineRule="auto"/>
        <w:ind w:left="1495" w:right="0" w:hanging="631"/>
        <w:jc w:val="left"/>
        <w:rPr>
          <w:sz w:val="24"/>
        </w:rPr>
      </w:pPr>
      <w:r>
        <w:rPr>
          <w:sz w:val="24"/>
        </w:rPr>
        <w:t>A</w:t>
      </w:r>
      <w:r>
        <w:rPr>
          <w:spacing w:val="-4"/>
          <w:sz w:val="24"/>
        </w:rPr>
        <w:t xml:space="preserve"> </w:t>
      </w:r>
      <w:r>
        <w:rPr>
          <w:sz w:val="24"/>
        </w:rPr>
        <w:t>description</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credibility</w:t>
      </w:r>
      <w:r>
        <w:rPr>
          <w:spacing w:val="-1"/>
          <w:sz w:val="24"/>
        </w:rPr>
        <w:t xml:space="preserve"> </w:t>
      </w:r>
      <w:r>
        <w:rPr>
          <w:sz w:val="24"/>
        </w:rPr>
        <w:t>methodology used</w:t>
      </w:r>
      <w:r>
        <w:rPr>
          <w:spacing w:val="-4"/>
          <w:sz w:val="24"/>
        </w:rPr>
        <w:t xml:space="preserve"> </w:t>
      </w:r>
      <w:r>
        <w:rPr>
          <w:sz w:val="24"/>
        </w:rPr>
        <w:t>if</w:t>
      </w:r>
      <w:r>
        <w:rPr>
          <w:spacing w:val="-1"/>
          <w:sz w:val="24"/>
        </w:rPr>
        <w:t xml:space="preserve"> </w:t>
      </w:r>
      <w:r>
        <w:rPr>
          <w:sz w:val="24"/>
        </w:rPr>
        <w:t>it</w:t>
      </w:r>
      <w:r>
        <w:rPr>
          <w:spacing w:val="-1"/>
          <w:sz w:val="24"/>
        </w:rPr>
        <w:t xml:space="preserve"> </w:t>
      </w:r>
      <w:r>
        <w:rPr>
          <w:sz w:val="24"/>
        </w:rPr>
        <w:t>varies</w:t>
      </w:r>
      <w:r>
        <w:rPr>
          <w:spacing w:val="-2"/>
          <w:sz w:val="24"/>
        </w:rPr>
        <w:t xml:space="preserve"> </w:t>
      </w:r>
      <w:r>
        <w:rPr>
          <w:sz w:val="24"/>
        </w:rPr>
        <w:t>from</w:t>
      </w:r>
      <w:r>
        <w:rPr>
          <w:spacing w:val="-1"/>
          <w:sz w:val="24"/>
        </w:rPr>
        <w:t xml:space="preserve"> </w:t>
      </w:r>
      <w:r>
        <w:rPr>
          <w:sz w:val="24"/>
        </w:rPr>
        <w:t xml:space="preserve">CMS </w:t>
      </w:r>
      <w:r>
        <w:rPr>
          <w:spacing w:val="-2"/>
          <w:sz w:val="24"/>
        </w:rPr>
        <w:t>guidelines.</w:t>
      </w:r>
    </w:p>
    <w:p>
      <w:pPr>
        <w:pStyle w:val="BodyText"/>
        <w:spacing w:before="120"/>
        <w:ind w:right="1481"/>
      </w:pPr>
      <w:r>
        <w:t>The</w:t>
      </w:r>
      <w:r>
        <w:rPr>
          <w:spacing w:val="-6"/>
        </w:rPr>
        <w:t xml:space="preserve"> </w:t>
      </w:r>
      <w:r>
        <w:t>following</w:t>
      </w:r>
      <w:r>
        <w:rPr>
          <w:spacing w:val="-4"/>
        </w:rPr>
        <w:t xml:space="preserve"> </w:t>
      </w:r>
      <w:r>
        <w:t>documentation</w:t>
      </w:r>
      <w:r>
        <w:rPr>
          <w:spacing w:val="-4"/>
        </w:rPr>
        <w:t xml:space="preserve"> </w:t>
      </w:r>
      <w:r>
        <w:t>requirements</w:t>
      </w:r>
      <w:r>
        <w:rPr>
          <w:spacing w:val="-5"/>
        </w:rPr>
        <w:t xml:space="preserve"> </w:t>
      </w:r>
      <w:r>
        <w:t>apply</w:t>
      </w:r>
      <w:r>
        <w:rPr>
          <w:spacing w:val="-2"/>
        </w:rPr>
        <w:t xml:space="preserve"> </w:t>
      </w:r>
      <w:r>
        <w:t>to</w:t>
      </w:r>
      <w:r>
        <w:rPr>
          <w:spacing w:val="-2"/>
        </w:rPr>
        <w:t xml:space="preserve"> </w:t>
      </w:r>
      <w:r>
        <w:t>all</w:t>
      </w:r>
      <w:r>
        <w:rPr>
          <w:spacing w:val="-4"/>
        </w:rPr>
        <w:t xml:space="preserve"> </w:t>
      </w:r>
      <w:r>
        <w:t>bids</w:t>
      </w:r>
      <w:r>
        <w:rPr>
          <w:spacing w:val="-3"/>
        </w:rPr>
        <w:t xml:space="preserve"> </w:t>
      </w:r>
      <w:r>
        <w:t>that</w:t>
      </w:r>
      <w:r>
        <w:rPr>
          <w:spacing w:val="-4"/>
        </w:rPr>
        <w:t xml:space="preserve"> </w:t>
      </w:r>
      <w:r>
        <w:t>contain</w:t>
      </w:r>
      <w:r>
        <w:rPr>
          <w:spacing w:val="-4"/>
        </w:rPr>
        <w:t xml:space="preserve"> </w:t>
      </w:r>
      <w:r>
        <w:t>these</w:t>
      </w:r>
      <w:r>
        <w:rPr>
          <w:spacing w:val="-6"/>
        </w:rPr>
        <w:t xml:space="preserve"> </w:t>
      </w:r>
      <w:r>
        <w:t xml:space="preserve">specified </w:t>
      </w:r>
      <w:r>
        <w:rPr>
          <w:spacing w:val="-2"/>
        </w:rPr>
        <w:t>assumptions:</w:t>
      </w:r>
    </w:p>
    <w:p>
      <w:pPr>
        <w:pStyle w:val="ListParagraph"/>
        <w:numPr>
          <w:ilvl w:val="0"/>
          <w:numId w:val="35"/>
        </w:numPr>
        <w:tabs>
          <w:tab w:val="left" w:pos="923"/>
        </w:tabs>
        <w:spacing w:before="120" w:after="0" w:line="240" w:lineRule="auto"/>
        <w:ind w:left="923" w:right="0" w:hanging="419"/>
        <w:jc w:val="left"/>
        <w:rPr>
          <w:sz w:val="24"/>
        </w:rPr>
      </w:pPr>
      <w:r>
        <w:rPr>
          <w:sz w:val="24"/>
        </w:rPr>
        <w:t>Support</w:t>
      </w:r>
      <w:r>
        <w:rPr>
          <w:spacing w:val="-3"/>
          <w:sz w:val="24"/>
        </w:rPr>
        <w:t xml:space="preserve"> </w:t>
      </w:r>
      <w:r>
        <w:rPr>
          <w:sz w:val="24"/>
        </w:rPr>
        <w:t>for</w:t>
      </w:r>
      <w:r>
        <w:rPr>
          <w:spacing w:val="-1"/>
          <w:sz w:val="24"/>
        </w:rPr>
        <w:t xml:space="preserve"> </w:t>
      </w:r>
      <w:r>
        <w:rPr>
          <w:sz w:val="24"/>
        </w:rPr>
        <w:t>the</w:t>
      </w:r>
      <w:r>
        <w:rPr>
          <w:spacing w:val="-1"/>
          <w:sz w:val="24"/>
        </w:rPr>
        <w:t xml:space="preserve"> </w:t>
      </w:r>
      <w:r>
        <w:rPr>
          <w:sz w:val="24"/>
        </w:rPr>
        <w:t>development of</w:t>
      </w:r>
      <w:r>
        <w:rPr>
          <w:spacing w:val="-1"/>
          <w:sz w:val="24"/>
        </w:rPr>
        <w:t xml:space="preserve"> </w:t>
      </w:r>
      <w:r>
        <w:rPr>
          <w:sz w:val="24"/>
        </w:rPr>
        <w:t>the</w:t>
      </w:r>
      <w:r>
        <w:rPr>
          <w:spacing w:val="-1"/>
          <w:sz w:val="24"/>
        </w:rPr>
        <w:t xml:space="preserve"> </w:t>
      </w:r>
      <w:r>
        <w:rPr>
          <w:sz w:val="24"/>
        </w:rPr>
        <w:t>base</w:t>
      </w:r>
      <w:r>
        <w:rPr>
          <w:spacing w:val="-1"/>
          <w:sz w:val="24"/>
        </w:rPr>
        <w:t xml:space="preserve"> </w:t>
      </w:r>
      <w:r>
        <w:rPr>
          <w:sz w:val="24"/>
        </w:rPr>
        <w:t>period</w:t>
      </w:r>
      <w:r>
        <w:rPr>
          <w:spacing w:val="-1"/>
          <w:sz w:val="24"/>
        </w:rPr>
        <w:t xml:space="preserve"> </w:t>
      </w:r>
      <w:r>
        <w:rPr>
          <w:sz w:val="24"/>
        </w:rPr>
        <w:t>data</w:t>
      </w:r>
      <w:r>
        <w:rPr>
          <w:spacing w:val="-1"/>
          <w:sz w:val="24"/>
        </w:rPr>
        <w:t xml:space="preserve"> </w:t>
      </w:r>
      <w:r>
        <w:rPr>
          <w:sz w:val="24"/>
        </w:rPr>
        <w:t xml:space="preserve">(Worksheet </w:t>
      </w:r>
      <w:r>
        <w:rPr>
          <w:spacing w:val="-5"/>
          <w:sz w:val="24"/>
        </w:rPr>
        <w:t>1).</w:t>
      </w:r>
    </w:p>
    <w:p>
      <w:pPr>
        <w:pStyle w:val="ListParagraph"/>
        <w:numPr>
          <w:ilvl w:val="1"/>
          <w:numId w:val="35"/>
        </w:numPr>
        <w:tabs>
          <w:tab w:val="left" w:pos="1495"/>
        </w:tabs>
        <w:spacing w:before="120" w:after="0" w:line="240" w:lineRule="auto"/>
        <w:ind w:left="1495" w:right="1516" w:hanging="632"/>
        <w:jc w:val="left"/>
        <w:rPr>
          <w:sz w:val="24"/>
        </w:rPr>
      </w:pPr>
      <w:r>
        <w:rPr>
          <w:sz w:val="24"/>
        </w:rPr>
        <w:t>Detailed qualitative and quantitative support for the development of the base period experience. This documentation, which is based on regulatory authority for the review</w:t>
      </w:r>
      <w:r>
        <w:rPr>
          <w:spacing w:val="-4"/>
          <w:sz w:val="24"/>
        </w:rPr>
        <w:t xml:space="preserve"> </w:t>
      </w:r>
      <w:r>
        <w:rPr>
          <w:sz w:val="24"/>
        </w:rPr>
        <w:t>of</w:t>
      </w:r>
      <w:r>
        <w:rPr>
          <w:spacing w:val="-3"/>
          <w:sz w:val="24"/>
        </w:rPr>
        <w:t xml:space="preserve"> </w:t>
      </w:r>
      <w:r>
        <w:rPr>
          <w:sz w:val="24"/>
        </w:rPr>
        <w:t>materials</w:t>
      </w:r>
      <w:r>
        <w:rPr>
          <w:spacing w:val="-4"/>
          <w:sz w:val="24"/>
        </w:rPr>
        <w:t xml:space="preserve"> </w:t>
      </w:r>
      <w:r>
        <w:rPr>
          <w:sz w:val="24"/>
        </w:rPr>
        <w:t>that</w:t>
      </w:r>
      <w:r>
        <w:rPr>
          <w:spacing w:val="-3"/>
          <w:sz w:val="24"/>
        </w:rPr>
        <w:t xml:space="preserve"> </w:t>
      </w:r>
      <w:r>
        <w:rPr>
          <w:sz w:val="24"/>
        </w:rPr>
        <w:t>pertain</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aspect</w:t>
      </w:r>
      <w:r>
        <w:rPr>
          <w:spacing w:val="-3"/>
          <w:sz w:val="24"/>
        </w:rPr>
        <w:t xml:space="preserve"> </w:t>
      </w:r>
      <w:r>
        <w:rPr>
          <w:sz w:val="24"/>
        </w:rPr>
        <w:t>of</w:t>
      </w:r>
      <w:r>
        <w:rPr>
          <w:spacing w:val="-3"/>
          <w:sz w:val="24"/>
        </w:rPr>
        <w:t xml:space="preserve"> </w:t>
      </w:r>
      <w:r>
        <w:rPr>
          <w:sz w:val="24"/>
        </w:rPr>
        <w:t>services</w:t>
      </w:r>
      <w:r>
        <w:rPr>
          <w:spacing w:val="-4"/>
          <w:sz w:val="24"/>
        </w:rPr>
        <w:t xml:space="preserve"> </w:t>
      </w:r>
      <w:r>
        <w:rPr>
          <w:sz w:val="24"/>
        </w:rPr>
        <w:t>provided,</w:t>
      </w:r>
      <w:r>
        <w:rPr>
          <w:spacing w:val="-3"/>
          <w:sz w:val="24"/>
        </w:rPr>
        <w:t xml:space="preserve"> </w:t>
      </w:r>
      <w:r>
        <w:rPr>
          <w:sz w:val="24"/>
        </w:rPr>
        <w:t>is</w:t>
      </w:r>
      <w:r>
        <w:rPr>
          <w:spacing w:val="-4"/>
          <w:sz w:val="24"/>
        </w:rPr>
        <w:t xml:space="preserve"> </w:t>
      </w:r>
      <w:r>
        <w:rPr>
          <w:sz w:val="24"/>
        </w:rPr>
        <w:t>also</w:t>
      </w:r>
      <w:r>
        <w:rPr>
          <w:spacing w:val="-3"/>
          <w:sz w:val="24"/>
        </w:rPr>
        <w:t xml:space="preserve"> </w:t>
      </w:r>
      <w:r>
        <w:rPr>
          <w:sz w:val="24"/>
        </w:rPr>
        <w:t>required</w:t>
      </w:r>
      <w:r>
        <w:rPr>
          <w:spacing w:val="-3"/>
          <w:sz w:val="24"/>
        </w:rPr>
        <w:t xml:space="preserve"> </w:t>
      </w:r>
      <w:r>
        <w:rPr>
          <w:sz w:val="24"/>
        </w:rPr>
        <w:t>in cases in which medical services are provided under a capitated arrangement. The required elements include—</w:t>
      </w:r>
    </w:p>
    <w:p>
      <w:pPr>
        <w:pStyle w:val="ListParagraph"/>
        <w:numPr>
          <w:ilvl w:val="2"/>
          <w:numId w:val="35"/>
        </w:numPr>
        <w:tabs>
          <w:tab w:val="left" w:pos="2215"/>
        </w:tabs>
        <w:spacing w:before="121" w:after="0" w:line="240" w:lineRule="auto"/>
        <w:ind w:left="2215" w:right="1546" w:hanging="720"/>
        <w:jc w:val="left"/>
        <w:rPr>
          <w:sz w:val="24"/>
        </w:rPr>
      </w:pPr>
      <w:r>
        <w:rPr>
          <w:sz w:val="24"/>
        </w:rPr>
        <w:t>A</w:t>
      </w:r>
      <w:r>
        <w:rPr>
          <w:spacing w:val="-5"/>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allocation</w:t>
      </w:r>
      <w:r>
        <w:rPr>
          <w:spacing w:val="-4"/>
          <w:sz w:val="24"/>
        </w:rPr>
        <w:t xml:space="preserve"> </w:t>
      </w:r>
      <w:r>
        <w:rPr>
          <w:sz w:val="24"/>
        </w:rPr>
        <w:t>of</w:t>
      </w:r>
      <w:r>
        <w:rPr>
          <w:spacing w:val="-5"/>
          <w:sz w:val="24"/>
        </w:rPr>
        <w:t xml:space="preserve"> </w:t>
      </w:r>
      <w:r>
        <w:rPr>
          <w:sz w:val="24"/>
        </w:rPr>
        <w:t>allowed</w:t>
      </w:r>
      <w:r>
        <w:rPr>
          <w:spacing w:val="-4"/>
          <w:sz w:val="24"/>
        </w:rPr>
        <w:t xml:space="preserve"> </w:t>
      </w:r>
      <w:r>
        <w:rPr>
          <w:sz w:val="24"/>
        </w:rPr>
        <w:t>costs</w:t>
      </w:r>
      <w:r>
        <w:rPr>
          <w:spacing w:val="-4"/>
          <w:sz w:val="24"/>
        </w:rPr>
        <w:t xml:space="preserve"> </w:t>
      </w:r>
      <w:r>
        <w:rPr>
          <w:sz w:val="24"/>
        </w:rPr>
        <w:t>by</w:t>
      </w:r>
      <w:r>
        <w:rPr>
          <w:spacing w:val="-2"/>
          <w:sz w:val="24"/>
        </w:rPr>
        <w:t xml:space="preserve"> </w:t>
      </w:r>
      <w:r>
        <w:rPr>
          <w:sz w:val="24"/>
        </w:rPr>
        <w:t>service</w:t>
      </w:r>
      <w:r>
        <w:rPr>
          <w:spacing w:val="-3"/>
          <w:sz w:val="24"/>
        </w:rPr>
        <w:t xml:space="preserve"> </w:t>
      </w:r>
      <w:r>
        <w:rPr>
          <w:sz w:val="24"/>
        </w:rPr>
        <w:t>category</w:t>
      </w:r>
      <w:r>
        <w:rPr>
          <w:spacing w:val="-2"/>
          <w:sz w:val="24"/>
        </w:rPr>
        <w:t xml:space="preserve"> </w:t>
      </w:r>
      <w:r>
        <w:rPr>
          <w:sz w:val="24"/>
        </w:rPr>
        <w:t>when</w:t>
      </w:r>
      <w:r>
        <w:rPr>
          <w:spacing w:val="-4"/>
          <w:sz w:val="24"/>
        </w:rPr>
        <w:t xml:space="preserve"> </w:t>
      </w:r>
      <w:r>
        <w:rPr>
          <w:sz w:val="24"/>
        </w:rPr>
        <w:t>the allocation method is not based on bid experience data.</w:t>
      </w:r>
    </w:p>
    <w:p>
      <w:pPr>
        <w:pStyle w:val="ListParagraph"/>
        <w:numPr>
          <w:ilvl w:val="2"/>
          <w:numId w:val="35"/>
        </w:numPr>
        <w:tabs>
          <w:tab w:val="left" w:pos="2215"/>
        </w:tabs>
        <w:spacing w:before="120" w:after="0" w:line="240" w:lineRule="auto"/>
        <w:ind w:left="2215" w:right="1856" w:hanging="720"/>
        <w:jc w:val="left"/>
        <w:rPr>
          <w:sz w:val="24"/>
        </w:rPr>
      </w:pPr>
      <w:r>
        <w:rPr>
          <w:sz w:val="24"/>
        </w:rPr>
        <w:t>Information</w:t>
      </w:r>
      <w:r>
        <w:rPr>
          <w:spacing w:val="-3"/>
          <w:sz w:val="24"/>
        </w:rPr>
        <w:t xml:space="preserve"> </w:t>
      </w:r>
      <w:r>
        <w:rPr>
          <w:sz w:val="24"/>
        </w:rPr>
        <w:t>regarding</w:t>
      </w:r>
      <w:r>
        <w:rPr>
          <w:spacing w:val="-4"/>
          <w:sz w:val="24"/>
        </w:rPr>
        <w:t xml:space="preserve"> </w:t>
      </w:r>
      <w:r>
        <w:rPr>
          <w:sz w:val="24"/>
        </w:rPr>
        <w:t>the</w:t>
      </w:r>
      <w:r>
        <w:rPr>
          <w:spacing w:val="-4"/>
          <w:sz w:val="24"/>
        </w:rPr>
        <w:t xml:space="preserve"> </w:t>
      </w:r>
      <w:r>
        <w:rPr>
          <w:sz w:val="24"/>
        </w:rPr>
        <w:t>base</w:t>
      </w:r>
      <w:r>
        <w:rPr>
          <w:spacing w:val="-4"/>
          <w:sz w:val="24"/>
        </w:rPr>
        <w:t xml:space="preserve"> </w:t>
      </w:r>
      <w:r>
        <w:rPr>
          <w:sz w:val="24"/>
        </w:rPr>
        <w:t>period</w:t>
      </w:r>
      <w:r>
        <w:rPr>
          <w:spacing w:val="-3"/>
          <w:sz w:val="24"/>
        </w:rPr>
        <w:t xml:space="preserve"> </w:t>
      </w:r>
      <w:r>
        <w:rPr>
          <w:sz w:val="24"/>
        </w:rPr>
        <w:t>member</w:t>
      </w:r>
      <w:r>
        <w:rPr>
          <w:spacing w:val="-5"/>
          <w:sz w:val="24"/>
        </w:rPr>
        <w:t xml:space="preserve"> </w:t>
      </w:r>
      <w:r>
        <w:rPr>
          <w:sz w:val="24"/>
        </w:rPr>
        <w:t>months,</w:t>
      </w:r>
      <w:r>
        <w:rPr>
          <w:spacing w:val="-3"/>
          <w:sz w:val="24"/>
        </w:rPr>
        <w:t xml:space="preserve"> </w:t>
      </w:r>
      <w:r>
        <w:rPr>
          <w:sz w:val="24"/>
        </w:rPr>
        <w:t>if</w:t>
      </w:r>
      <w:r>
        <w:rPr>
          <w:spacing w:val="-4"/>
          <w:sz w:val="24"/>
        </w:rPr>
        <w:t xml:space="preserve"> </w:t>
      </w:r>
      <w:r>
        <w:rPr>
          <w:sz w:val="24"/>
        </w:rPr>
        <w:t>more</w:t>
      </w:r>
      <w:r>
        <w:rPr>
          <w:spacing w:val="-5"/>
          <w:sz w:val="24"/>
        </w:rPr>
        <w:t xml:space="preserve"> </w:t>
      </w:r>
      <w:r>
        <w:rPr>
          <w:sz w:val="24"/>
        </w:rPr>
        <w:t>than</w:t>
      </w:r>
      <w:r>
        <w:rPr>
          <w:spacing w:val="-3"/>
          <w:sz w:val="24"/>
        </w:rPr>
        <w:t xml:space="preserve"> </w:t>
      </w:r>
      <w:r>
        <w:rPr>
          <w:sz w:val="24"/>
        </w:rPr>
        <w:t>eight bids constitute the base period experience.</w:t>
      </w:r>
    </w:p>
    <w:p>
      <w:pPr>
        <w:pStyle w:val="ListParagraph"/>
        <w:numPr>
          <w:ilvl w:val="2"/>
          <w:numId w:val="35"/>
        </w:numPr>
        <w:tabs>
          <w:tab w:val="left" w:pos="2215"/>
        </w:tabs>
        <w:spacing w:before="120" w:after="0" w:line="240" w:lineRule="auto"/>
        <w:ind w:left="2215" w:right="2200" w:hanging="720"/>
        <w:jc w:val="left"/>
        <w:rPr>
          <w:sz w:val="24"/>
        </w:rPr>
      </w:pPr>
      <w:r>
        <w:rPr>
          <w:sz w:val="24"/>
        </w:rPr>
        <w:t>Justification</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lack</w:t>
      </w:r>
      <w:r>
        <w:rPr>
          <w:spacing w:val="-2"/>
          <w:sz w:val="24"/>
        </w:rPr>
        <w:t xml:space="preserve"> </w:t>
      </w:r>
      <w:r>
        <w:rPr>
          <w:sz w:val="24"/>
        </w:rPr>
        <w:t>of</w:t>
      </w:r>
      <w:r>
        <w:rPr>
          <w:spacing w:val="-4"/>
          <w:sz w:val="24"/>
        </w:rPr>
        <w:t xml:space="preserve"> </w:t>
      </w:r>
      <w:r>
        <w:rPr>
          <w:sz w:val="24"/>
        </w:rPr>
        <w:t>encounter</w:t>
      </w:r>
      <w:r>
        <w:rPr>
          <w:spacing w:val="-4"/>
          <w:sz w:val="24"/>
        </w:rPr>
        <w:t xml:space="preserve"> </w:t>
      </w:r>
      <w:r>
        <w:rPr>
          <w:sz w:val="24"/>
        </w:rPr>
        <w:t>data</w:t>
      </w:r>
      <w:r>
        <w:rPr>
          <w:spacing w:val="-4"/>
          <w:sz w:val="24"/>
        </w:rPr>
        <w:t xml:space="preserve"> </w:t>
      </w:r>
      <w:r>
        <w:rPr>
          <w:sz w:val="24"/>
        </w:rPr>
        <w:t>for</w:t>
      </w:r>
      <w:r>
        <w:rPr>
          <w:spacing w:val="-4"/>
          <w:sz w:val="24"/>
        </w:rPr>
        <w:t xml:space="preserve"> </w:t>
      </w:r>
      <w:r>
        <w:rPr>
          <w:sz w:val="24"/>
        </w:rPr>
        <w:t>services</w:t>
      </w:r>
      <w:r>
        <w:rPr>
          <w:spacing w:val="-5"/>
          <w:sz w:val="24"/>
        </w:rPr>
        <w:t xml:space="preserve"> </w:t>
      </w:r>
      <w:r>
        <w:rPr>
          <w:sz w:val="24"/>
        </w:rPr>
        <w:t>provided</w:t>
      </w:r>
      <w:r>
        <w:rPr>
          <w:spacing w:val="-4"/>
          <w:sz w:val="24"/>
        </w:rPr>
        <w:t xml:space="preserve"> </w:t>
      </w:r>
      <w:r>
        <w:rPr>
          <w:sz w:val="24"/>
        </w:rPr>
        <w:t>under capitated arrangements including—</w:t>
      </w:r>
    </w:p>
    <w:p>
      <w:pPr>
        <w:pStyle w:val="ListParagraph"/>
        <w:numPr>
          <w:ilvl w:val="3"/>
          <w:numId w:val="35"/>
        </w:numPr>
        <w:tabs>
          <w:tab w:val="left" w:pos="2574"/>
        </w:tabs>
        <w:spacing w:before="120" w:after="0" w:line="240" w:lineRule="auto"/>
        <w:ind w:left="2574" w:right="0" w:hanging="359"/>
        <w:jc w:val="left"/>
        <w:rPr>
          <w:sz w:val="24"/>
        </w:rPr>
      </w:pPr>
      <w:r>
        <w:rPr>
          <w:sz w:val="24"/>
        </w:rPr>
        <w:t>An</w:t>
      </w:r>
      <w:r>
        <w:rPr>
          <w:spacing w:val="-3"/>
          <w:sz w:val="24"/>
        </w:rPr>
        <w:t xml:space="preserve"> </w:t>
      </w:r>
      <w:r>
        <w:rPr>
          <w:sz w:val="24"/>
        </w:rPr>
        <w:t>explanation</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pacing w:val="-2"/>
          <w:sz w:val="24"/>
        </w:rPr>
        <w:t>deficiency.</w:t>
      </w:r>
    </w:p>
    <w:p>
      <w:pPr>
        <w:pStyle w:val="ListParagraph"/>
        <w:numPr>
          <w:ilvl w:val="3"/>
          <w:numId w:val="35"/>
        </w:numPr>
        <w:tabs>
          <w:tab w:val="left" w:pos="2575"/>
        </w:tabs>
        <w:spacing w:before="120" w:after="0" w:line="240" w:lineRule="auto"/>
        <w:ind w:left="2575" w:right="1570" w:hanging="360"/>
        <w:jc w:val="left"/>
        <w:rPr>
          <w:sz w:val="24"/>
        </w:rPr>
      </w:pPr>
      <w:r>
        <w:rPr>
          <w:sz w:val="24"/>
        </w:rPr>
        <w:t>A</w:t>
      </w:r>
      <w:r>
        <w:rPr>
          <w:spacing w:val="-3"/>
          <w:sz w:val="24"/>
        </w:rPr>
        <w:t xml:space="preserve"> </w:t>
      </w:r>
      <w:r>
        <w:rPr>
          <w:sz w:val="24"/>
        </w:rPr>
        <w:t>detailed</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steps</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MAO</w:t>
      </w:r>
      <w:r>
        <w:rPr>
          <w:spacing w:val="-4"/>
          <w:sz w:val="24"/>
        </w:rPr>
        <w:t xml:space="preserve"> </w:t>
      </w:r>
      <w:r>
        <w:rPr>
          <w:sz w:val="24"/>
        </w:rPr>
        <w:t>has</w:t>
      </w:r>
      <w:r>
        <w:rPr>
          <w:spacing w:val="-4"/>
          <w:sz w:val="24"/>
        </w:rPr>
        <w:t xml:space="preserve"> </w:t>
      </w:r>
      <w:r>
        <w:rPr>
          <w:sz w:val="24"/>
        </w:rPr>
        <w:t>taken</w:t>
      </w:r>
      <w:r>
        <w:rPr>
          <w:spacing w:val="-3"/>
          <w:sz w:val="24"/>
        </w:rPr>
        <w:t xml:space="preserve"> </w:t>
      </w:r>
      <w:r>
        <w:rPr>
          <w:sz w:val="24"/>
        </w:rPr>
        <w:t>or</w:t>
      </w:r>
      <w:r>
        <w:rPr>
          <w:spacing w:val="-3"/>
          <w:sz w:val="24"/>
        </w:rPr>
        <w:t xml:space="preserve"> </w:t>
      </w:r>
      <w:r>
        <w:rPr>
          <w:sz w:val="24"/>
        </w:rPr>
        <w:t>is</w:t>
      </w:r>
      <w:r>
        <w:rPr>
          <w:spacing w:val="-4"/>
          <w:sz w:val="24"/>
        </w:rPr>
        <w:t xml:space="preserve"> </w:t>
      </w:r>
      <w:r>
        <w:rPr>
          <w:sz w:val="24"/>
        </w:rPr>
        <w:t>taking</w:t>
      </w:r>
      <w:r>
        <w:rPr>
          <w:spacing w:val="-3"/>
          <w:sz w:val="24"/>
        </w:rPr>
        <w:t xml:space="preserve"> </w:t>
      </w:r>
      <w:r>
        <w:rPr>
          <w:sz w:val="24"/>
        </w:rPr>
        <w:t>to obtain encounter data for subsequent year’s bid submissions.</w:t>
      </w:r>
    </w:p>
    <w:p>
      <w:pPr>
        <w:pStyle w:val="ListParagraph"/>
        <w:numPr>
          <w:ilvl w:val="3"/>
          <w:numId w:val="35"/>
        </w:numPr>
        <w:tabs>
          <w:tab w:val="left" w:pos="2575"/>
        </w:tabs>
        <w:spacing w:before="120" w:after="0" w:line="240" w:lineRule="auto"/>
        <w:ind w:left="2575" w:right="1542" w:hanging="360"/>
        <w:jc w:val="left"/>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data</w:t>
      </w:r>
      <w:r>
        <w:rPr>
          <w:spacing w:val="-2"/>
          <w:sz w:val="24"/>
        </w:rPr>
        <w:t xml:space="preserve"> </w:t>
      </w:r>
      <w:r>
        <w:rPr>
          <w:sz w:val="24"/>
        </w:rPr>
        <w:t>source</w:t>
      </w:r>
      <w:r>
        <w:rPr>
          <w:spacing w:val="-4"/>
          <w:sz w:val="24"/>
        </w:rPr>
        <w:t xml:space="preserve"> </w:t>
      </w:r>
      <w:r>
        <w:rPr>
          <w:sz w:val="24"/>
        </w:rPr>
        <w:t>for</w:t>
      </w:r>
      <w:r>
        <w:rPr>
          <w:spacing w:val="-3"/>
          <w:sz w:val="24"/>
        </w:rPr>
        <w:t xml:space="preserve"> </w:t>
      </w:r>
      <w:r>
        <w:rPr>
          <w:sz w:val="24"/>
        </w:rPr>
        <w:t>utilization</w:t>
      </w:r>
      <w:r>
        <w:rPr>
          <w:spacing w:val="-3"/>
          <w:sz w:val="24"/>
        </w:rPr>
        <w:t xml:space="preserve"> </w:t>
      </w:r>
      <w:r>
        <w:rPr>
          <w:sz w:val="24"/>
        </w:rPr>
        <w:t>per</w:t>
      </w:r>
      <w:r>
        <w:rPr>
          <w:spacing w:val="-2"/>
          <w:sz w:val="24"/>
        </w:rPr>
        <w:t xml:space="preserve"> </w:t>
      </w:r>
      <w:r>
        <w:rPr>
          <w:sz w:val="24"/>
        </w:rPr>
        <w:t>1,000</w:t>
      </w:r>
      <w:r>
        <w:rPr>
          <w:spacing w:val="-1"/>
          <w:sz w:val="24"/>
        </w:rPr>
        <w:t xml:space="preserve"> </w:t>
      </w:r>
      <w:r>
        <w:rPr>
          <w:sz w:val="24"/>
        </w:rPr>
        <w:t>and</w:t>
      </w:r>
      <w:r>
        <w:rPr>
          <w:spacing w:val="-3"/>
          <w:sz w:val="24"/>
        </w:rPr>
        <w:t xml:space="preserve"> </w:t>
      </w:r>
      <w:r>
        <w:rPr>
          <w:sz w:val="24"/>
        </w:rPr>
        <w:t>the</w:t>
      </w:r>
      <w:r>
        <w:rPr>
          <w:spacing w:val="-4"/>
          <w:sz w:val="24"/>
        </w:rPr>
        <w:t xml:space="preserve"> </w:t>
      </w:r>
      <w:r>
        <w:rPr>
          <w:sz w:val="24"/>
        </w:rPr>
        <w:t>basis</w:t>
      </w:r>
      <w:r>
        <w:rPr>
          <w:spacing w:val="-3"/>
          <w:sz w:val="24"/>
        </w:rPr>
        <w:t xml:space="preserve"> </w:t>
      </w:r>
      <w:r>
        <w:rPr>
          <w:sz w:val="24"/>
        </w:rPr>
        <w:t>for any adjustments.</w:t>
      </w:r>
    </w:p>
    <w:p>
      <w:pPr>
        <w:pStyle w:val="ListParagraph"/>
        <w:numPr>
          <w:ilvl w:val="2"/>
          <w:numId w:val="35"/>
        </w:numPr>
        <w:tabs>
          <w:tab w:val="left" w:pos="2215"/>
        </w:tabs>
        <w:spacing w:before="120" w:after="0" w:line="240" w:lineRule="auto"/>
        <w:ind w:left="2215" w:right="1888" w:hanging="720"/>
        <w:jc w:val="left"/>
        <w:rPr>
          <w:sz w:val="24"/>
        </w:rPr>
      </w:pPr>
      <w:r>
        <w:rPr>
          <w:sz w:val="24"/>
        </w:rPr>
        <w:t>For</w:t>
      </w:r>
      <w:r>
        <w:rPr>
          <w:spacing w:val="-4"/>
          <w:sz w:val="24"/>
        </w:rPr>
        <w:t xml:space="preserve"> </w:t>
      </w:r>
      <w:r>
        <w:rPr>
          <w:sz w:val="24"/>
        </w:rPr>
        <w:t>Part</w:t>
      </w:r>
      <w:r>
        <w:rPr>
          <w:spacing w:val="-3"/>
          <w:sz w:val="24"/>
        </w:rPr>
        <w:t xml:space="preserve"> </w:t>
      </w:r>
      <w:r>
        <w:rPr>
          <w:sz w:val="24"/>
        </w:rPr>
        <w:t>B</w:t>
      </w:r>
      <w:r>
        <w:rPr>
          <w:spacing w:val="-3"/>
          <w:sz w:val="24"/>
        </w:rPr>
        <w:t xml:space="preserve"> </w:t>
      </w:r>
      <w:r>
        <w:rPr>
          <w:sz w:val="24"/>
        </w:rPr>
        <w:t>Rx</w:t>
      </w:r>
      <w:r>
        <w:rPr>
          <w:spacing w:val="-3"/>
          <w:sz w:val="24"/>
        </w:rPr>
        <w:t xml:space="preserve"> </w:t>
      </w:r>
      <w:r>
        <w:rPr>
          <w:sz w:val="24"/>
        </w:rPr>
        <w:t>and</w:t>
      </w:r>
      <w:r>
        <w:rPr>
          <w:spacing w:val="-3"/>
          <w:sz w:val="24"/>
        </w:rPr>
        <w:t xml:space="preserve"> </w:t>
      </w:r>
      <w:r>
        <w:rPr>
          <w:sz w:val="24"/>
        </w:rPr>
        <w:t>DME,</w:t>
      </w:r>
      <w:r>
        <w:rPr>
          <w:spacing w:val="-1"/>
          <w:sz w:val="24"/>
        </w:rPr>
        <w:t xml:space="preserve"> </w:t>
      </w:r>
      <w:r>
        <w:rPr>
          <w:sz w:val="24"/>
        </w:rPr>
        <w:t>the</w:t>
      </w:r>
      <w:r>
        <w:rPr>
          <w:spacing w:val="-3"/>
          <w:sz w:val="24"/>
        </w:rPr>
        <w:t xml:space="preserve"> </w:t>
      </w:r>
      <w:r>
        <w:rPr>
          <w:sz w:val="24"/>
        </w:rPr>
        <w:t>PMPM</w:t>
      </w:r>
      <w:r>
        <w:rPr>
          <w:spacing w:val="-4"/>
          <w:sz w:val="24"/>
        </w:rPr>
        <w:t xml:space="preserve"> </w:t>
      </w:r>
      <w:r>
        <w:rPr>
          <w:sz w:val="24"/>
        </w:rPr>
        <w:t>value</w:t>
      </w:r>
      <w:r>
        <w:rPr>
          <w:spacing w:val="-3"/>
          <w:sz w:val="24"/>
        </w:rPr>
        <w:t xml:space="preserve"> </w:t>
      </w:r>
      <w:r>
        <w:rPr>
          <w:sz w:val="24"/>
        </w:rPr>
        <w:t>of</w:t>
      </w:r>
      <w:r>
        <w:rPr>
          <w:spacing w:val="-5"/>
          <w:sz w:val="24"/>
        </w:rPr>
        <w:t xml:space="preserve"> </w:t>
      </w:r>
      <w:r>
        <w:rPr>
          <w:sz w:val="24"/>
        </w:rPr>
        <w:t>prescription</w:t>
      </w:r>
      <w:r>
        <w:rPr>
          <w:spacing w:val="-3"/>
          <w:sz w:val="24"/>
        </w:rPr>
        <w:t xml:space="preserve"> </w:t>
      </w:r>
      <w:r>
        <w:rPr>
          <w:sz w:val="24"/>
        </w:rPr>
        <w:t>drug</w:t>
      </w:r>
      <w:r>
        <w:rPr>
          <w:spacing w:val="-1"/>
          <w:sz w:val="24"/>
        </w:rPr>
        <w:t xml:space="preserve"> </w:t>
      </w:r>
      <w:r>
        <w:rPr>
          <w:sz w:val="24"/>
        </w:rPr>
        <w:t>and</w:t>
      </w:r>
      <w:r>
        <w:rPr>
          <w:spacing w:val="-3"/>
          <w:sz w:val="24"/>
        </w:rPr>
        <w:t xml:space="preserve"> </w:t>
      </w:r>
      <w:r>
        <w:rPr>
          <w:sz w:val="24"/>
        </w:rPr>
        <w:t>DME rebates attributable to Part B Rx and DME benefits.</w:t>
      </w:r>
    </w:p>
    <w:p>
      <w:pPr>
        <w:pStyle w:val="ListParagraph"/>
        <w:numPr>
          <w:ilvl w:val="1"/>
          <w:numId w:val="35"/>
        </w:numPr>
        <w:tabs>
          <w:tab w:val="left" w:pos="1495"/>
        </w:tabs>
        <w:spacing w:before="120" w:after="0" w:line="240" w:lineRule="auto"/>
        <w:ind w:left="1495" w:right="1486" w:hanging="632"/>
        <w:jc w:val="left"/>
        <w:rPr>
          <w:sz w:val="24"/>
        </w:rPr>
      </w:pPr>
      <w:r>
        <w:rPr>
          <w:sz w:val="24"/>
        </w:rPr>
        <w:t>Reconciliation of base period experience to the MAO’s auditable material such as corporate financials and bid-level operational data. The data are to be reported on an incurred</w:t>
      </w:r>
      <w:r>
        <w:rPr>
          <w:spacing w:val="-5"/>
          <w:sz w:val="24"/>
        </w:rPr>
        <w:t xml:space="preserve"> </w:t>
      </w:r>
      <w:r>
        <w:rPr>
          <w:sz w:val="24"/>
        </w:rPr>
        <w:t>basis,</w:t>
      </w:r>
      <w:r>
        <w:rPr>
          <w:spacing w:val="-5"/>
          <w:sz w:val="24"/>
        </w:rPr>
        <w:t xml:space="preserve"> </w:t>
      </w:r>
      <w:r>
        <w:rPr>
          <w:sz w:val="24"/>
        </w:rPr>
        <w:t>including</w:t>
      </w:r>
      <w:r>
        <w:rPr>
          <w:spacing w:val="-5"/>
          <w:sz w:val="24"/>
        </w:rPr>
        <w:t xml:space="preserve"> </w:t>
      </w:r>
      <w:r>
        <w:rPr>
          <w:sz w:val="24"/>
        </w:rPr>
        <w:t>claims</w:t>
      </w:r>
      <w:r>
        <w:rPr>
          <w:spacing w:val="-6"/>
          <w:sz w:val="24"/>
        </w:rPr>
        <w:t xml:space="preserve"> </w:t>
      </w:r>
      <w:r>
        <w:rPr>
          <w:sz w:val="24"/>
        </w:rPr>
        <w:t>paid,</w:t>
      </w:r>
      <w:r>
        <w:rPr>
          <w:spacing w:val="-5"/>
          <w:sz w:val="24"/>
        </w:rPr>
        <w:t xml:space="preserve"> </w:t>
      </w:r>
      <w:r>
        <w:rPr>
          <w:sz w:val="24"/>
        </w:rPr>
        <w:t>unloaded</w:t>
      </w:r>
      <w:r>
        <w:rPr>
          <w:spacing w:val="-5"/>
          <w:sz w:val="24"/>
        </w:rPr>
        <w:t xml:space="preserve"> </w:t>
      </w:r>
      <w:r>
        <w:rPr>
          <w:sz w:val="24"/>
        </w:rPr>
        <w:t>claim</w:t>
      </w:r>
      <w:r>
        <w:rPr>
          <w:spacing w:val="-5"/>
          <w:sz w:val="24"/>
        </w:rPr>
        <w:t xml:space="preserve"> </w:t>
      </w:r>
      <w:r>
        <w:rPr>
          <w:sz w:val="24"/>
        </w:rPr>
        <w:t>reserves,</w:t>
      </w:r>
      <w:r>
        <w:rPr>
          <w:spacing w:val="-5"/>
          <w:sz w:val="24"/>
        </w:rPr>
        <w:t xml:space="preserve"> </w:t>
      </w:r>
      <w:r>
        <w:rPr>
          <w:sz w:val="24"/>
        </w:rPr>
        <w:t>non-benefit</w:t>
      </w:r>
      <w:r>
        <w:rPr>
          <w:spacing w:val="-5"/>
          <w:sz w:val="24"/>
        </w:rPr>
        <w:t xml:space="preserve"> </w:t>
      </w:r>
      <w:r>
        <w:rPr>
          <w:sz w:val="24"/>
        </w:rPr>
        <w:t>expenses, and revenues.</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ListParagraph"/>
        <w:numPr>
          <w:ilvl w:val="1"/>
          <w:numId w:val="35"/>
        </w:numPr>
        <w:tabs>
          <w:tab w:val="left" w:pos="1495"/>
        </w:tabs>
        <w:spacing w:before="0" w:after="0" w:line="240" w:lineRule="auto"/>
        <w:ind w:left="1495" w:right="1571" w:hanging="632"/>
        <w:jc w:val="left"/>
        <w:rPr>
          <w:sz w:val="24"/>
        </w:rPr>
      </w:pPr>
      <w:r>
        <w:rPr>
          <w:sz w:val="24"/>
        </w:rPr>
        <w:t>Crosswalk</w:t>
      </w:r>
      <w:r>
        <w:rPr>
          <w:spacing w:val="-4"/>
          <w:sz w:val="24"/>
        </w:rPr>
        <w:t xml:space="preserve"> </w:t>
      </w:r>
      <w:r>
        <w:rPr>
          <w:sz w:val="24"/>
        </w:rPr>
        <w:t>information</w:t>
      </w:r>
      <w:r>
        <w:rPr>
          <w:spacing w:val="-4"/>
          <w:sz w:val="24"/>
        </w:rPr>
        <w:t xml:space="preserve"> </w:t>
      </w:r>
      <w:r>
        <w:rPr>
          <w:sz w:val="24"/>
        </w:rPr>
        <w:t>regarding</w:t>
      </w:r>
      <w:r>
        <w:rPr>
          <w:spacing w:val="-4"/>
          <w:sz w:val="24"/>
        </w:rPr>
        <w:t xml:space="preserve"> </w:t>
      </w:r>
      <w:r>
        <w:rPr>
          <w:sz w:val="24"/>
        </w:rPr>
        <w:t>data</w:t>
      </w:r>
      <w:r>
        <w:rPr>
          <w:spacing w:val="-4"/>
          <w:sz w:val="24"/>
        </w:rPr>
        <w:t xml:space="preserve"> </w:t>
      </w:r>
      <w:r>
        <w:rPr>
          <w:sz w:val="24"/>
        </w:rPr>
        <w:t>aggregation.</w:t>
      </w:r>
      <w:r>
        <w:rPr>
          <w:spacing w:val="-4"/>
          <w:sz w:val="24"/>
        </w:rPr>
        <w:t xml:space="preserve"> </w:t>
      </w:r>
      <w:r>
        <w:rPr>
          <w:sz w:val="24"/>
        </w:rPr>
        <w:t>See</w:t>
      </w:r>
      <w:r>
        <w:rPr>
          <w:spacing w:val="-5"/>
          <w:sz w:val="24"/>
        </w:rPr>
        <w:t xml:space="preserve"> </w:t>
      </w:r>
      <w:r>
        <w:rPr>
          <w:sz w:val="24"/>
        </w:rPr>
        <w:t>the</w:t>
      </w:r>
      <w:r>
        <w:rPr>
          <w:spacing w:val="-4"/>
          <w:sz w:val="24"/>
        </w:rPr>
        <w:t xml:space="preserve"> </w:t>
      </w:r>
      <w:r>
        <w:rPr>
          <w:sz w:val="24"/>
        </w:rPr>
        <w:t>sample</w:t>
      </w:r>
      <w:r>
        <w:rPr>
          <w:spacing w:val="-5"/>
          <w:sz w:val="24"/>
        </w:rPr>
        <w:t xml:space="preserve"> </w:t>
      </w:r>
      <w:r>
        <w:rPr>
          <w:sz w:val="24"/>
        </w:rPr>
        <w:t>format</w:t>
      </w:r>
      <w:r>
        <w:rPr>
          <w:spacing w:val="-4"/>
          <w:sz w:val="24"/>
        </w:rPr>
        <w:t xml:space="preserve"> </w:t>
      </w:r>
      <w:r>
        <w:rPr>
          <w:sz w:val="24"/>
        </w:rPr>
        <w:t>at</w:t>
      </w:r>
      <w:r>
        <w:rPr>
          <w:spacing w:val="-2"/>
          <w:sz w:val="24"/>
        </w:rPr>
        <w:t xml:space="preserve"> </w:t>
      </w:r>
      <w:r>
        <w:rPr>
          <w:sz w:val="24"/>
        </w:rPr>
        <w:t>the</w:t>
      </w:r>
      <w:r>
        <w:rPr>
          <w:spacing w:val="-4"/>
          <w:sz w:val="24"/>
        </w:rPr>
        <w:t xml:space="preserve"> </w:t>
      </w:r>
      <w:r>
        <w:rPr>
          <w:sz w:val="24"/>
        </w:rPr>
        <w:t>end of Appendix B. The required elements include—</w:t>
      </w:r>
    </w:p>
    <w:p>
      <w:pPr>
        <w:pStyle w:val="ListParagraph"/>
        <w:numPr>
          <w:ilvl w:val="2"/>
          <w:numId w:val="35"/>
        </w:numPr>
        <w:tabs>
          <w:tab w:val="left" w:pos="2215"/>
        </w:tabs>
        <w:spacing w:before="120" w:after="0" w:line="240" w:lineRule="auto"/>
        <w:ind w:left="2215" w:right="1791" w:hanging="720"/>
        <w:jc w:val="left"/>
        <w:rPr>
          <w:sz w:val="24"/>
        </w:rPr>
      </w:pPr>
      <w:r>
        <w:rPr>
          <w:sz w:val="24"/>
        </w:rPr>
        <w:t>A</w:t>
      </w:r>
      <w:r>
        <w:rPr>
          <w:spacing w:val="-4"/>
          <w:sz w:val="24"/>
        </w:rPr>
        <w:t xml:space="preserve"> </w:t>
      </w:r>
      <w:r>
        <w:rPr>
          <w:sz w:val="24"/>
        </w:rPr>
        <w:t>list</w:t>
      </w:r>
      <w:r>
        <w:rPr>
          <w:spacing w:val="-2"/>
          <w:sz w:val="24"/>
        </w:rPr>
        <w:t xml:space="preserve"> </w:t>
      </w:r>
      <w:r>
        <w:rPr>
          <w:sz w:val="24"/>
        </w:rPr>
        <w:t>of</w:t>
      </w:r>
      <w:r>
        <w:rPr>
          <w:spacing w:val="-3"/>
          <w:sz w:val="24"/>
        </w:rPr>
        <w:t xml:space="preserve"> </w:t>
      </w:r>
      <w:r>
        <w:rPr>
          <w:sz w:val="24"/>
        </w:rPr>
        <w:t>all</w:t>
      </w:r>
      <w:r>
        <w:rPr>
          <w:spacing w:val="-3"/>
          <w:sz w:val="24"/>
        </w:rPr>
        <w:t xml:space="preserve"> </w:t>
      </w:r>
      <w:r>
        <w:rPr>
          <w:sz w:val="24"/>
        </w:rPr>
        <w:t>bids</w:t>
      </w:r>
      <w:r>
        <w:rPr>
          <w:spacing w:val="-2"/>
          <w:sz w:val="24"/>
        </w:rPr>
        <w:t xml:space="preserve"> </w:t>
      </w:r>
      <w:r>
        <w:rPr>
          <w:sz w:val="24"/>
        </w:rPr>
        <w:t>that</w:t>
      </w:r>
      <w:r>
        <w:rPr>
          <w:spacing w:val="-3"/>
          <w:sz w:val="24"/>
        </w:rPr>
        <w:t xml:space="preserve"> </w:t>
      </w:r>
      <w:r>
        <w:rPr>
          <w:sz w:val="24"/>
        </w:rPr>
        <w:t>are</w:t>
      </w:r>
      <w:r>
        <w:rPr>
          <w:spacing w:val="-5"/>
          <w:sz w:val="24"/>
        </w:rPr>
        <w:t xml:space="preserve"> </w:t>
      </w:r>
      <w:r>
        <w:rPr>
          <w:sz w:val="24"/>
        </w:rPr>
        <w:t>involved</w:t>
      </w:r>
      <w:r>
        <w:rPr>
          <w:spacing w:val="-3"/>
          <w:sz w:val="24"/>
        </w:rPr>
        <w:t xml:space="preserve"> </w:t>
      </w:r>
      <w:r>
        <w:rPr>
          <w:sz w:val="24"/>
        </w:rPr>
        <w:t>in</w:t>
      </w:r>
      <w:r>
        <w:rPr>
          <w:spacing w:val="-3"/>
          <w:sz w:val="24"/>
        </w:rPr>
        <w:t xml:space="preserve"> </w:t>
      </w:r>
      <w:r>
        <w:rPr>
          <w:sz w:val="24"/>
        </w:rPr>
        <w:t>approved</w:t>
      </w:r>
      <w:r>
        <w:rPr>
          <w:spacing w:val="-3"/>
          <w:sz w:val="24"/>
        </w:rPr>
        <w:t xml:space="preserve"> </w:t>
      </w:r>
      <w:r>
        <w:rPr>
          <w:sz w:val="24"/>
        </w:rPr>
        <w:t>crosswalks</w:t>
      </w:r>
      <w:r>
        <w:rPr>
          <w:spacing w:val="-4"/>
          <w:sz w:val="24"/>
        </w:rPr>
        <w:t xml:space="preserve"> </w:t>
      </w:r>
      <w:r>
        <w:rPr>
          <w:sz w:val="24"/>
        </w:rPr>
        <w:t>for</w:t>
      </w:r>
      <w:r>
        <w:rPr>
          <w:spacing w:val="-4"/>
          <w:sz w:val="24"/>
        </w:rPr>
        <w:t xml:space="preserve"> </w:t>
      </w:r>
      <w:r>
        <w:rPr>
          <w:sz w:val="24"/>
        </w:rPr>
        <w:t>CY2026</w:t>
      </w:r>
      <w:r>
        <w:rPr>
          <w:spacing w:val="-3"/>
          <w:sz w:val="24"/>
        </w:rPr>
        <w:t xml:space="preserve"> </w:t>
      </w:r>
      <w:r>
        <w:rPr>
          <w:sz w:val="24"/>
        </w:rPr>
        <w:t xml:space="preserve">and proposed crosswalks for CY2027 that are considered for base period data </w:t>
      </w:r>
      <w:r>
        <w:rPr>
          <w:spacing w:val="-2"/>
          <w:sz w:val="24"/>
        </w:rPr>
        <w:t>aggregation.</w:t>
      </w:r>
    </w:p>
    <w:p>
      <w:pPr>
        <w:pStyle w:val="ListParagraph"/>
        <w:numPr>
          <w:ilvl w:val="2"/>
          <w:numId w:val="35"/>
        </w:numPr>
        <w:tabs>
          <w:tab w:val="left" w:pos="2215"/>
        </w:tabs>
        <w:spacing w:before="120" w:after="0" w:line="240" w:lineRule="auto"/>
        <w:ind w:left="2215" w:right="1647" w:hanging="720"/>
        <w:jc w:val="left"/>
        <w:rPr>
          <w:sz w:val="24"/>
        </w:rPr>
      </w:pPr>
      <w:r>
        <w:rPr>
          <w:sz w:val="24"/>
        </w:rPr>
        <w:t>A</w:t>
      </w:r>
      <w:r>
        <w:rPr>
          <w:spacing w:val="-5"/>
          <w:sz w:val="24"/>
        </w:rPr>
        <w:t xml:space="preserve"> </w:t>
      </w:r>
      <w:r>
        <w:rPr>
          <w:sz w:val="24"/>
        </w:rPr>
        <w:t>statement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intention</w:t>
      </w:r>
      <w:r>
        <w:rPr>
          <w:spacing w:val="-4"/>
          <w:sz w:val="24"/>
        </w:rPr>
        <w:t xml:space="preserve"> </w:t>
      </w:r>
      <w:r>
        <w:rPr>
          <w:sz w:val="24"/>
        </w:rPr>
        <w:t>to</w:t>
      </w:r>
      <w:r>
        <w:rPr>
          <w:spacing w:val="-4"/>
          <w:sz w:val="24"/>
        </w:rPr>
        <w:t xml:space="preserve"> </w:t>
      </w:r>
      <w:r>
        <w:rPr>
          <w:sz w:val="24"/>
        </w:rPr>
        <w:t>submit</w:t>
      </w:r>
      <w:r>
        <w:rPr>
          <w:spacing w:val="-4"/>
          <w:sz w:val="24"/>
        </w:rPr>
        <w:t xml:space="preserve"> </w:t>
      </w:r>
      <w:r>
        <w:rPr>
          <w:sz w:val="24"/>
        </w:rPr>
        <w:t>a</w:t>
      </w:r>
      <w:r>
        <w:rPr>
          <w:spacing w:val="-4"/>
          <w:sz w:val="24"/>
        </w:rPr>
        <w:t xml:space="preserve"> </w:t>
      </w:r>
      <w:r>
        <w:rPr>
          <w:sz w:val="24"/>
        </w:rPr>
        <w:t>crosswalk</w:t>
      </w:r>
      <w:r>
        <w:rPr>
          <w:spacing w:val="-4"/>
          <w:sz w:val="24"/>
        </w:rPr>
        <w:t xml:space="preserve"> </w:t>
      </w:r>
      <w:r>
        <w:rPr>
          <w:sz w:val="24"/>
        </w:rPr>
        <w:t>exception</w:t>
      </w:r>
      <w:r>
        <w:rPr>
          <w:spacing w:val="-4"/>
          <w:sz w:val="24"/>
        </w:rPr>
        <w:t xml:space="preserve"> </w:t>
      </w:r>
      <w:r>
        <w:rPr>
          <w:sz w:val="24"/>
        </w:rPr>
        <w:t>for</w:t>
      </w:r>
      <w:r>
        <w:rPr>
          <w:spacing w:val="-4"/>
          <w:sz w:val="24"/>
        </w:rPr>
        <w:t xml:space="preserve"> </w:t>
      </w:r>
      <w:r>
        <w:rPr>
          <w:sz w:val="24"/>
        </w:rPr>
        <w:t>CY2027,</w:t>
      </w:r>
      <w:r>
        <w:rPr>
          <w:spacing w:val="-4"/>
          <w:sz w:val="24"/>
        </w:rPr>
        <w:t xml:space="preserve"> </w:t>
      </w:r>
      <w:r>
        <w:rPr>
          <w:sz w:val="24"/>
        </w:rPr>
        <w:t xml:space="preserve">if </w:t>
      </w:r>
      <w:r>
        <w:rPr>
          <w:spacing w:val="-2"/>
          <w:sz w:val="24"/>
        </w:rPr>
        <w:t>applicable.</w:t>
      </w:r>
    </w:p>
    <w:p>
      <w:pPr>
        <w:pStyle w:val="ListParagraph"/>
        <w:numPr>
          <w:ilvl w:val="2"/>
          <w:numId w:val="35"/>
        </w:numPr>
        <w:tabs>
          <w:tab w:val="left" w:pos="2215"/>
        </w:tabs>
        <w:spacing w:before="120" w:after="0" w:line="240" w:lineRule="auto"/>
        <w:ind w:left="2215" w:right="1542" w:hanging="720"/>
        <w:jc w:val="left"/>
        <w:rPr>
          <w:sz w:val="24"/>
        </w:rPr>
      </w:pPr>
      <w:r>
        <w:rPr>
          <w:sz w:val="24"/>
        </w:rPr>
        <w:t>The rationale for determining the level of significance on Worksheet 1, Section II, line 5. A detailed calculation of the proportion of members crosswalked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Contract-Plan</w:t>
      </w:r>
      <w:r>
        <w:rPr>
          <w:spacing w:val="-3"/>
          <w:sz w:val="24"/>
        </w:rPr>
        <w:t xml:space="preserve"> </w:t>
      </w:r>
      <w:r>
        <w:rPr>
          <w:sz w:val="24"/>
        </w:rPr>
        <w:t>ID-Segment</w:t>
      </w:r>
      <w:r>
        <w:rPr>
          <w:spacing w:val="-2"/>
          <w:sz w:val="24"/>
        </w:rPr>
        <w:t xml:space="preserve"> </w:t>
      </w:r>
      <w:r>
        <w:rPr>
          <w:sz w:val="24"/>
        </w:rPr>
        <w:t>ID</w:t>
      </w:r>
      <w:r>
        <w:rPr>
          <w:spacing w:val="-3"/>
          <w:sz w:val="24"/>
        </w:rPr>
        <w:t xml:space="preserve"> </w:t>
      </w:r>
      <w:r>
        <w:rPr>
          <w:sz w:val="24"/>
        </w:rPr>
        <w:t>from</w:t>
      </w:r>
      <w:r>
        <w:rPr>
          <w:spacing w:val="-4"/>
          <w:sz w:val="24"/>
        </w:rPr>
        <w:t xml:space="preserve"> </w:t>
      </w:r>
      <w:r>
        <w:rPr>
          <w:sz w:val="24"/>
        </w:rPr>
        <w:t>others</w:t>
      </w:r>
      <w:r>
        <w:rPr>
          <w:spacing w:val="-4"/>
          <w:sz w:val="24"/>
        </w:rPr>
        <w:t xml:space="preserve"> </w:t>
      </w:r>
      <w:r>
        <w:rPr>
          <w:sz w:val="24"/>
        </w:rPr>
        <w:t>bid(s)</w:t>
      </w:r>
      <w:r>
        <w:rPr>
          <w:spacing w:val="-6"/>
          <w:sz w:val="24"/>
        </w:rPr>
        <w:t xml:space="preserve"> </w:t>
      </w:r>
      <w:r>
        <w:rPr>
          <w:sz w:val="24"/>
        </w:rPr>
        <w:t>listed</w:t>
      </w:r>
      <w:r>
        <w:rPr>
          <w:spacing w:val="-3"/>
          <w:sz w:val="24"/>
        </w:rPr>
        <w:t xml:space="preserve"> </w:t>
      </w:r>
      <w:r>
        <w:rPr>
          <w:sz w:val="24"/>
        </w:rPr>
        <w:t>on Worksheet 1, Section II, line 6, Bids in Base, for example, numerical components of the numerator and the denominator.</w:t>
      </w:r>
    </w:p>
    <w:p>
      <w:pPr>
        <w:pStyle w:val="ListParagraph"/>
        <w:numPr>
          <w:ilvl w:val="0"/>
          <w:numId w:val="35"/>
        </w:numPr>
        <w:tabs>
          <w:tab w:val="left" w:pos="864"/>
        </w:tabs>
        <w:spacing w:before="121" w:after="0" w:line="240" w:lineRule="auto"/>
        <w:ind w:left="864" w:right="1623" w:hanging="360"/>
        <w:jc w:val="left"/>
        <w:rPr>
          <w:sz w:val="24"/>
        </w:rPr>
      </w:pPr>
      <w:r>
        <w:rPr>
          <w:sz w:val="24"/>
        </w:rPr>
        <w:t>Detailed</w:t>
      </w:r>
      <w:r>
        <w:rPr>
          <w:spacing w:val="-5"/>
          <w:sz w:val="24"/>
        </w:rPr>
        <w:t xml:space="preserve"> </w:t>
      </w:r>
      <w:r>
        <w:rPr>
          <w:sz w:val="24"/>
        </w:rPr>
        <w:t>qualitative</w:t>
      </w:r>
      <w:r>
        <w:rPr>
          <w:spacing w:val="-4"/>
          <w:sz w:val="24"/>
        </w:rPr>
        <w:t xml:space="preserve"> </w:t>
      </w:r>
      <w:r>
        <w:rPr>
          <w:sz w:val="24"/>
        </w:rPr>
        <w:t>and</w:t>
      </w:r>
      <w:r>
        <w:rPr>
          <w:spacing w:val="-2"/>
          <w:sz w:val="24"/>
        </w:rPr>
        <w:t xml:space="preserve"> </w:t>
      </w:r>
      <w:r>
        <w:rPr>
          <w:sz w:val="24"/>
        </w:rPr>
        <w:t>quantitative</w:t>
      </w:r>
      <w:r>
        <w:rPr>
          <w:spacing w:val="-4"/>
          <w:sz w:val="24"/>
        </w:rPr>
        <w:t xml:space="preserve"> </w:t>
      </w:r>
      <w:r>
        <w:rPr>
          <w:sz w:val="24"/>
        </w:rPr>
        <w:t>support</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development</w:t>
      </w:r>
      <w:r>
        <w:rPr>
          <w:spacing w:val="-4"/>
          <w:sz w:val="24"/>
        </w:rPr>
        <w:t xml:space="preserve"> </w:t>
      </w:r>
      <w:r>
        <w:rPr>
          <w:sz w:val="24"/>
        </w:rPr>
        <w:t>of</w:t>
      </w:r>
      <w:r>
        <w:rPr>
          <w:spacing w:val="-3"/>
          <w:sz w:val="24"/>
        </w:rPr>
        <w:t xml:space="preserve"> </w:t>
      </w:r>
      <w:r>
        <w:rPr>
          <w:sz w:val="24"/>
        </w:rPr>
        <w:t>each</w:t>
      </w:r>
      <w:r>
        <w:rPr>
          <w:spacing w:val="-1"/>
          <w:sz w:val="24"/>
        </w:rPr>
        <w:t xml:space="preserve"> </w:t>
      </w:r>
      <w:r>
        <w:rPr>
          <w:sz w:val="24"/>
        </w:rPr>
        <w:t>projection</w:t>
      </w:r>
      <w:r>
        <w:rPr>
          <w:spacing w:val="-4"/>
          <w:sz w:val="24"/>
        </w:rPr>
        <w:t xml:space="preserve"> </w:t>
      </w:r>
      <w:r>
        <w:rPr>
          <w:sz w:val="24"/>
        </w:rPr>
        <w:t>factor or adjustment (Worksheet 1). The required elements include—</w:t>
      </w:r>
    </w:p>
    <w:p>
      <w:pPr>
        <w:pStyle w:val="ListParagraph"/>
        <w:numPr>
          <w:ilvl w:val="1"/>
          <w:numId w:val="35"/>
        </w:numPr>
        <w:tabs>
          <w:tab w:val="left" w:pos="1495"/>
        </w:tabs>
        <w:spacing w:before="120" w:after="0" w:line="240" w:lineRule="auto"/>
        <w:ind w:left="1495" w:right="0" w:hanging="631"/>
        <w:jc w:val="left"/>
        <w:rPr>
          <w:sz w:val="24"/>
        </w:rPr>
      </w:pPr>
      <w:r>
        <w:rPr>
          <w:sz w:val="24"/>
        </w:rPr>
        <w:t>A</w:t>
      </w:r>
      <w:r>
        <w:rPr>
          <w:spacing w:val="-2"/>
          <w:sz w:val="24"/>
        </w:rPr>
        <w:t xml:space="preserve"> </w:t>
      </w:r>
      <w:r>
        <w:rPr>
          <w:sz w:val="24"/>
        </w:rPr>
        <w:t>description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source</w:t>
      </w:r>
      <w:r>
        <w:rPr>
          <w:spacing w:val="-2"/>
          <w:sz w:val="24"/>
        </w:rPr>
        <w:t xml:space="preserve"> </w:t>
      </w:r>
      <w:r>
        <w:rPr>
          <w:sz w:val="24"/>
        </w:rPr>
        <w:t>data,</w:t>
      </w:r>
      <w:r>
        <w:rPr>
          <w:spacing w:val="-1"/>
          <w:sz w:val="24"/>
        </w:rPr>
        <w:t xml:space="preserve"> </w:t>
      </w:r>
      <w:r>
        <w:rPr>
          <w:sz w:val="24"/>
        </w:rPr>
        <w:t>including the</w:t>
      </w:r>
      <w:r>
        <w:rPr>
          <w:spacing w:val="-1"/>
          <w:sz w:val="24"/>
        </w:rPr>
        <w:t xml:space="preserve"> </w:t>
      </w:r>
      <w:r>
        <w:rPr>
          <w:sz w:val="24"/>
        </w:rPr>
        <w:t>data’s</w:t>
      </w:r>
      <w:r>
        <w:rPr>
          <w:spacing w:val="-2"/>
          <w:sz w:val="24"/>
        </w:rPr>
        <w:t xml:space="preserve"> </w:t>
      </w:r>
      <w:r>
        <w:rPr>
          <w:sz w:val="24"/>
        </w:rPr>
        <w:t>relevance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MA</w:t>
      </w:r>
      <w:r>
        <w:rPr>
          <w:spacing w:val="1"/>
          <w:sz w:val="24"/>
        </w:rPr>
        <w:t xml:space="preserve"> </w:t>
      </w:r>
      <w:r>
        <w:rPr>
          <w:spacing w:val="-4"/>
          <w:sz w:val="24"/>
        </w:rPr>
        <w:t>bid.</w:t>
      </w:r>
    </w:p>
    <w:p>
      <w:pPr>
        <w:pStyle w:val="ListParagraph"/>
        <w:numPr>
          <w:ilvl w:val="1"/>
          <w:numId w:val="35"/>
        </w:numPr>
        <w:tabs>
          <w:tab w:val="left" w:pos="1495"/>
        </w:tabs>
        <w:spacing w:before="120" w:after="0" w:line="240" w:lineRule="auto"/>
        <w:ind w:left="1495" w:right="0" w:hanging="631"/>
        <w:jc w:val="left"/>
        <w:rPr>
          <w:sz w:val="24"/>
        </w:rPr>
      </w:pPr>
      <w:r>
        <w:rPr>
          <w:sz w:val="24"/>
        </w:rPr>
        <w:t>A</w:t>
      </w:r>
      <w:r>
        <w:rPr>
          <w:spacing w:val="-2"/>
          <w:sz w:val="24"/>
        </w:rPr>
        <w:t xml:space="preserve"> </w:t>
      </w:r>
      <w:r>
        <w:rPr>
          <w:sz w:val="24"/>
        </w:rPr>
        <w:t>summary</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MAO’s</w:t>
      </w:r>
      <w:r>
        <w:rPr>
          <w:spacing w:val="-2"/>
          <w:sz w:val="24"/>
        </w:rPr>
        <w:t xml:space="preserve"> </w:t>
      </w:r>
      <w:r>
        <w:rPr>
          <w:sz w:val="24"/>
        </w:rPr>
        <w:t>historical</w:t>
      </w:r>
      <w:r>
        <w:rPr>
          <w:spacing w:val="-1"/>
          <w:sz w:val="24"/>
        </w:rPr>
        <w:t xml:space="preserve"> </w:t>
      </w:r>
      <w:r>
        <w:rPr>
          <w:sz w:val="24"/>
        </w:rPr>
        <w:t>trends</w:t>
      </w:r>
      <w:r>
        <w:rPr>
          <w:spacing w:val="-2"/>
          <w:sz w:val="24"/>
        </w:rPr>
        <w:t xml:space="preserve"> including—</w:t>
      </w:r>
    </w:p>
    <w:p>
      <w:pPr>
        <w:pStyle w:val="ListParagraph"/>
        <w:numPr>
          <w:ilvl w:val="2"/>
          <w:numId w:val="35"/>
        </w:numPr>
        <w:tabs>
          <w:tab w:val="left" w:pos="2215"/>
        </w:tabs>
        <w:spacing w:before="120" w:after="0" w:line="240" w:lineRule="auto"/>
        <w:ind w:left="2215" w:right="0" w:hanging="720"/>
        <w:jc w:val="left"/>
        <w:rPr>
          <w:sz w:val="24"/>
        </w:rPr>
      </w:pPr>
      <w:r>
        <w:rPr>
          <w:sz w:val="24"/>
        </w:rPr>
        <w:t>The</w:t>
      </w:r>
      <w:r>
        <w:rPr>
          <w:spacing w:val="-3"/>
          <w:sz w:val="24"/>
        </w:rPr>
        <w:t xml:space="preserve"> </w:t>
      </w:r>
      <w:r>
        <w:rPr>
          <w:sz w:val="24"/>
        </w:rPr>
        <w:t>percentage</w:t>
      </w:r>
      <w:r>
        <w:rPr>
          <w:spacing w:val="-1"/>
          <w:sz w:val="24"/>
        </w:rPr>
        <w:t xml:space="preserve"> </w:t>
      </w:r>
      <w:r>
        <w:rPr>
          <w:spacing w:val="-2"/>
          <w:sz w:val="24"/>
        </w:rPr>
        <w:t>trends.</w:t>
      </w:r>
    </w:p>
    <w:p>
      <w:pPr>
        <w:pStyle w:val="ListParagraph"/>
        <w:numPr>
          <w:ilvl w:val="2"/>
          <w:numId w:val="35"/>
        </w:numPr>
        <w:tabs>
          <w:tab w:val="left" w:pos="2215"/>
        </w:tabs>
        <w:spacing w:before="120" w:after="0" w:line="240" w:lineRule="auto"/>
        <w:ind w:left="2215" w:right="0" w:hanging="720"/>
        <w:jc w:val="left"/>
        <w:rPr>
          <w:sz w:val="24"/>
        </w:rPr>
      </w:pPr>
      <w:r>
        <w:rPr>
          <w:sz w:val="24"/>
        </w:rPr>
        <w:t>A</w:t>
      </w:r>
      <w:r>
        <w:rPr>
          <w:spacing w:val="-4"/>
          <w:sz w:val="24"/>
        </w:rPr>
        <w:t xml:space="preserve"> </w:t>
      </w:r>
      <w:r>
        <w:rPr>
          <w:sz w:val="24"/>
        </w:rPr>
        <w:t>description of the</w:t>
      </w:r>
      <w:r>
        <w:rPr>
          <w:spacing w:val="-2"/>
          <w:sz w:val="24"/>
        </w:rPr>
        <w:t xml:space="preserve"> </w:t>
      </w:r>
      <w:r>
        <w:rPr>
          <w:sz w:val="24"/>
        </w:rPr>
        <w:t>methodology used to analyze</w:t>
      </w:r>
      <w:r>
        <w:rPr>
          <w:spacing w:val="-2"/>
          <w:sz w:val="24"/>
        </w:rPr>
        <w:t xml:space="preserve"> </w:t>
      </w:r>
      <w:r>
        <w:rPr>
          <w:sz w:val="24"/>
        </w:rPr>
        <w:t>the</w:t>
      </w:r>
      <w:r>
        <w:rPr>
          <w:spacing w:val="-1"/>
          <w:sz w:val="24"/>
        </w:rPr>
        <w:t xml:space="preserve"> </w:t>
      </w:r>
      <w:r>
        <w:rPr>
          <w:spacing w:val="-2"/>
          <w:sz w:val="24"/>
        </w:rPr>
        <w:t>data.</w:t>
      </w:r>
    </w:p>
    <w:p>
      <w:pPr>
        <w:pStyle w:val="ListParagraph"/>
        <w:numPr>
          <w:ilvl w:val="2"/>
          <w:numId w:val="35"/>
        </w:numPr>
        <w:tabs>
          <w:tab w:val="left" w:pos="2215"/>
        </w:tabs>
        <w:spacing w:before="120" w:after="0" w:line="240" w:lineRule="auto"/>
        <w:ind w:left="2215" w:right="0" w:hanging="720"/>
        <w:jc w:val="left"/>
        <w:rPr>
          <w:sz w:val="24"/>
        </w:rPr>
      </w:pPr>
      <w:r>
        <w:rPr>
          <w:sz w:val="24"/>
        </w:rPr>
        <w:t>The</w:t>
      </w:r>
      <w:r>
        <w:rPr>
          <w:spacing w:val="-3"/>
          <w:sz w:val="24"/>
        </w:rPr>
        <w:t xml:space="preserve"> </w:t>
      </w:r>
      <w:r>
        <w:rPr>
          <w:sz w:val="24"/>
        </w:rPr>
        <w:t xml:space="preserve">numeric </w:t>
      </w:r>
      <w:r>
        <w:rPr>
          <w:spacing w:val="-2"/>
          <w:sz w:val="24"/>
        </w:rPr>
        <w:t>calculations.</w:t>
      </w:r>
    </w:p>
    <w:p>
      <w:pPr>
        <w:pStyle w:val="ListParagraph"/>
        <w:numPr>
          <w:ilvl w:val="1"/>
          <w:numId w:val="35"/>
        </w:numPr>
        <w:tabs>
          <w:tab w:val="left" w:pos="1495"/>
        </w:tabs>
        <w:spacing w:before="120" w:after="0" w:line="240" w:lineRule="auto"/>
        <w:ind w:left="1495" w:right="0" w:hanging="631"/>
        <w:jc w:val="left"/>
        <w:rPr>
          <w:sz w:val="24"/>
        </w:rPr>
      </w:pPr>
      <w:r>
        <w:rPr>
          <w:sz w:val="24"/>
        </w:rPr>
        <w:t>Any</w:t>
      </w:r>
      <w:r>
        <w:rPr>
          <w:spacing w:val="-4"/>
          <w:sz w:val="24"/>
        </w:rPr>
        <w:t xml:space="preserve"> </w:t>
      </w:r>
      <w:r>
        <w:rPr>
          <w:sz w:val="24"/>
        </w:rPr>
        <w:t>applicable</w:t>
      </w:r>
      <w:r>
        <w:rPr>
          <w:spacing w:val="-1"/>
          <w:sz w:val="24"/>
        </w:rPr>
        <w:t xml:space="preserve"> </w:t>
      </w:r>
      <w:r>
        <w:rPr>
          <w:sz w:val="24"/>
        </w:rPr>
        <w:t>adjustments</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source</w:t>
      </w:r>
      <w:r>
        <w:rPr>
          <w:spacing w:val="-2"/>
          <w:sz w:val="24"/>
        </w:rPr>
        <w:t xml:space="preserve"> </w:t>
      </w:r>
      <w:r>
        <w:rPr>
          <w:sz w:val="24"/>
        </w:rPr>
        <w:t>data,</w:t>
      </w:r>
      <w:r>
        <w:rPr>
          <w:spacing w:val="-2"/>
          <w:sz w:val="24"/>
        </w:rPr>
        <w:t xml:space="preserve"> </w:t>
      </w:r>
      <w:r>
        <w:rPr>
          <w:sz w:val="24"/>
        </w:rPr>
        <w:t>such</w:t>
      </w:r>
      <w:r>
        <w:rPr>
          <w:spacing w:val="-1"/>
          <w:sz w:val="24"/>
        </w:rPr>
        <w:t xml:space="preserve"> </w:t>
      </w:r>
      <w:r>
        <w:rPr>
          <w:sz w:val="24"/>
        </w:rPr>
        <w:t>as</w:t>
      </w:r>
      <w:r>
        <w:rPr>
          <w:spacing w:val="-3"/>
          <w:sz w:val="24"/>
        </w:rPr>
        <w:t xml:space="preserve"> </w:t>
      </w:r>
      <w:r>
        <w:rPr>
          <w:sz w:val="24"/>
        </w:rPr>
        <w:t>considerations</w:t>
      </w:r>
      <w:r>
        <w:rPr>
          <w:spacing w:val="-2"/>
          <w:sz w:val="24"/>
        </w:rPr>
        <w:t xml:space="preserve"> </w:t>
      </w:r>
      <w:r>
        <w:rPr>
          <w:spacing w:val="-4"/>
          <w:sz w:val="24"/>
        </w:rPr>
        <w:t>for—</w:t>
      </w:r>
    </w:p>
    <w:p>
      <w:pPr>
        <w:pStyle w:val="ListParagraph"/>
        <w:numPr>
          <w:ilvl w:val="2"/>
          <w:numId w:val="35"/>
        </w:numPr>
        <w:tabs>
          <w:tab w:val="left" w:pos="2215"/>
        </w:tabs>
        <w:spacing w:before="121" w:after="0" w:line="240" w:lineRule="auto"/>
        <w:ind w:left="2215" w:right="0" w:hanging="720"/>
        <w:jc w:val="left"/>
        <w:rPr>
          <w:sz w:val="24"/>
        </w:rPr>
      </w:pPr>
      <w:r>
        <w:rPr>
          <w:sz w:val="24"/>
        </w:rPr>
        <w:t>The</w:t>
      </w:r>
      <w:r>
        <w:rPr>
          <w:spacing w:val="-4"/>
          <w:sz w:val="24"/>
        </w:rPr>
        <w:t xml:space="preserve"> </w:t>
      </w:r>
      <w:r>
        <w:rPr>
          <w:sz w:val="24"/>
        </w:rPr>
        <w:t>MAO’s</w:t>
      </w:r>
      <w:r>
        <w:rPr>
          <w:spacing w:val="-3"/>
          <w:sz w:val="24"/>
        </w:rPr>
        <w:t xml:space="preserve"> </w:t>
      </w:r>
      <w:r>
        <w:rPr>
          <w:spacing w:val="-2"/>
          <w:sz w:val="24"/>
        </w:rPr>
        <w:t>experience.</w:t>
      </w:r>
    </w:p>
    <w:p>
      <w:pPr>
        <w:pStyle w:val="ListParagraph"/>
        <w:numPr>
          <w:ilvl w:val="2"/>
          <w:numId w:val="35"/>
        </w:numPr>
        <w:tabs>
          <w:tab w:val="left" w:pos="2215"/>
        </w:tabs>
        <w:spacing w:before="120" w:after="0" w:line="240" w:lineRule="auto"/>
        <w:ind w:left="2215" w:right="0" w:hanging="720"/>
        <w:jc w:val="left"/>
        <w:rPr>
          <w:sz w:val="24"/>
        </w:rPr>
      </w:pPr>
      <w:r>
        <w:rPr>
          <w:sz w:val="24"/>
        </w:rPr>
        <w:t>Industry</w:t>
      </w:r>
      <w:r>
        <w:rPr>
          <w:spacing w:val="-2"/>
          <w:sz w:val="24"/>
        </w:rPr>
        <w:t xml:space="preserve"> </w:t>
      </w:r>
      <w:r>
        <w:rPr>
          <w:sz w:val="24"/>
        </w:rPr>
        <w:t>and/or</w:t>
      </w:r>
      <w:r>
        <w:rPr>
          <w:spacing w:val="-3"/>
          <w:sz w:val="24"/>
        </w:rPr>
        <w:t xml:space="preserve"> </w:t>
      </w:r>
      <w:r>
        <w:rPr>
          <w:sz w:val="24"/>
        </w:rPr>
        <w:t>internal</w:t>
      </w:r>
      <w:r>
        <w:rPr>
          <w:spacing w:val="-2"/>
          <w:sz w:val="24"/>
        </w:rPr>
        <w:t xml:space="preserve"> studies.</w:t>
      </w:r>
    </w:p>
    <w:p>
      <w:pPr>
        <w:pStyle w:val="ListParagraph"/>
        <w:numPr>
          <w:ilvl w:val="2"/>
          <w:numId w:val="35"/>
        </w:numPr>
        <w:tabs>
          <w:tab w:val="left" w:pos="2215"/>
        </w:tabs>
        <w:spacing w:before="120" w:after="0" w:line="240" w:lineRule="auto"/>
        <w:ind w:left="2215" w:right="0" w:hanging="720"/>
        <w:jc w:val="left"/>
        <w:rPr>
          <w:sz w:val="24"/>
        </w:rPr>
      </w:pPr>
      <w:r>
        <w:rPr>
          <w:sz w:val="24"/>
        </w:rPr>
        <w:t>Changes</w:t>
      </w:r>
      <w:r>
        <w:rPr>
          <w:spacing w:val="-4"/>
          <w:sz w:val="24"/>
        </w:rPr>
        <w:t xml:space="preserve"> </w:t>
      </w:r>
      <w:r>
        <w:rPr>
          <w:sz w:val="24"/>
        </w:rPr>
        <w:t>to</w:t>
      </w:r>
      <w:r>
        <w:rPr>
          <w:spacing w:val="-1"/>
          <w:sz w:val="24"/>
        </w:rPr>
        <w:t xml:space="preserve"> </w:t>
      </w:r>
      <w:r>
        <w:rPr>
          <w:sz w:val="24"/>
        </w:rPr>
        <w:t>benefit</w:t>
      </w:r>
      <w:r>
        <w:rPr>
          <w:spacing w:val="-1"/>
          <w:sz w:val="24"/>
        </w:rPr>
        <w:t xml:space="preserve"> </w:t>
      </w:r>
      <w:r>
        <w:rPr>
          <w:sz w:val="24"/>
        </w:rPr>
        <w:t>design between</w:t>
      </w:r>
      <w:r>
        <w:rPr>
          <w:spacing w:val="-1"/>
          <w:sz w:val="24"/>
        </w:rPr>
        <w:t xml:space="preserve"> </w:t>
      </w:r>
      <w:r>
        <w:rPr>
          <w:sz w:val="24"/>
        </w:rPr>
        <w:t>the</w:t>
      </w:r>
      <w:r>
        <w:rPr>
          <w:spacing w:val="-1"/>
          <w:sz w:val="24"/>
        </w:rPr>
        <w:t xml:space="preserve"> </w:t>
      </w:r>
      <w:r>
        <w:rPr>
          <w:sz w:val="24"/>
        </w:rPr>
        <w:t>base</w:t>
      </w:r>
      <w:r>
        <w:rPr>
          <w:spacing w:val="-2"/>
          <w:sz w:val="24"/>
        </w:rPr>
        <w:t xml:space="preserve"> </w:t>
      </w:r>
      <w:r>
        <w:rPr>
          <w:sz w:val="24"/>
        </w:rPr>
        <w:t>and</w:t>
      </w:r>
      <w:r>
        <w:rPr>
          <w:spacing w:val="-1"/>
          <w:sz w:val="24"/>
        </w:rPr>
        <w:t xml:space="preserve"> </w:t>
      </w:r>
      <w:r>
        <w:rPr>
          <w:sz w:val="24"/>
        </w:rPr>
        <w:t xml:space="preserve">projection </w:t>
      </w:r>
      <w:r>
        <w:rPr>
          <w:spacing w:val="-2"/>
          <w:sz w:val="24"/>
        </w:rPr>
        <w:t>period.</w:t>
      </w:r>
    </w:p>
    <w:p>
      <w:pPr>
        <w:pStyle w:val="ListParagraph"/>
        <w:numPr>
          <w:ilvl w:val="2"/>
          <w:numId w:val="35"/>
        </w:numPr>
        <w:tabs>
          <w:tab w:val="left" w:pos="2215"/>
        </w:tabs>
        <w:spacing w:before="120" w:after="0" w:line="240" w:lineRule="auto"/>
        <w:ind w:left="2215" w:right="2200" w:hanging="720"/>
        <w:jc w:val="left"/>
        <w:rPr>
          <w:sz w:val="24"/>
        </w:rPr>
      </w:pPr>
      <w:r>
        <w:rPr>
          <w:sz w:val="24"/>
        </w:rPr>
        <w:t>A</w:t>
      </w:r>
      <w:r>
        <w:rPr>
          <w:spacing w:val="-4"/>
          <w:sz w:val="24"/>
        </w:rPr>
        <w:t xml:space="preserve"> </w:t>
      </w:r>
      <w:r>
        <w:rPr>
          <w:sz w:val="24"/>
        </w:rPr>
        <w:t>change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mix</w:t>
      </w:r>
      <w:r>
        <w:rPr>
          <w:spacing w:val="-3"/>
          <w:sz w:val="24"/>
        </w:rPr>
        <w:t xml:space="preserve"> </w:t>
      </w:r>
      <w:r>
        <w:rPr>
          <w:sz w:val="24"/>
        </w:rPr>
        <w:t>of</w:t>
      </w:r>
      <w:r>
        <w:rPr>
          <w:spacing w:val="-3"/>
          <w:sz w:val="24"/>
        </w:rPr>
        <w:t xml:space="preserve"> </w:t>
      </w:r>
      <w:r>
        <w:rPr>
          <w:sz w:val="24"/>
        </w:rPr>
        <w:t>services,</w:t>
      </w:r>
      <w:r>
        <w:rPr>
          <w:spacing w:val="-3"/>
          <w:sz w:val="24"/>
        </w:rPr>
        <w:t xml:space="preserve"> </w:t>
      </w:r>
      <w:r>
        <w:rPr>
          <w:sz w:val="24"/>
        </w:rPr>
        <w:t>including</w:t>
      </w:r>
      <w:r>
        <w:rPr>
          <w:spacing w:val="-3"/>
          <w:sz w:val="24"/>
        </w:rPr>
        <w:t xml:space="preserve"> </w:t>
      </w:r>
      <w:r>
        <w:rPr>
          <w:sz w:val="24"/>
        </w:rPr>
        <w:t>the</w:t>
      </w:r>
      <w:r>
        <w:rPr>
          <w:spacing w:val="-4"/>
          <w:sz w:val="24"/>
        </w:rPr>
        <w:t xml:space="preserve"> </w:t>
      </w:r>
      <w:r>
        <w:rPr>
          <w:sz w:val="24"/>
        </w:rPr>
        <w:t>rationale</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type</w:t>
      </w:r>
      <w:r>
        <w:rPr>
          <w:spacing w:val="-4"/>
          <w:sz w:val="24"/>
        </w:rPr>
        <w:t xml:space="preserve"> </w:t>
      </w:r>
      <w:r>
        <w:rPr>
          <w:sz w:val="24"/>
        </w:rPr>
        <w:t>of projection factor used to reflect such change.</w:t>
      </w:r>
    </w:p>
    <w:p>
      <w:pPr>
        <w:pStyle w:val="ListParagraph"/>
        <w:numPr>
          <w:ilvl w:val="2"/>
          <w:numId w:val="35"/>
        </w:numPr>
        <w:tabs>
          <w:tab w:val="left" w:pos="2215"/>
        </w:tabs>
        <w:spacing w:before="120" w:after="0" w:line="240" w:lineRule="auto"/>
        <w:ind w:left="2215" w:right="1917" w:hanging="720"/>
        <w:jc w:val="left"/>
        <w:rPr>
          <w:sz w:val="24"/>
        </w:rPr>
      </w:pPr>
      <w:r>
        <w:rPr>
          <w:sz w:val="24"/>
        </w:rPr>
        <w:t>A</w:t>
      </w:r>
      <w:r>
        <w:rPr>
          <w:spacing w:val="-4"/>
          <w:sz w:val="24"/>
        </w:rPr>
        <w:t xml:space="preserve"> </w:t>
      </w:r>
      <w:r>
        <w:rPr>
          <w:sz w:val="24"/>
        </w:rPr>
        <w:t>change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mix</w:t>
      </w:r>
      <w:r>
        <w:rPr>
          <w:spacing w:val="-3"/>
          <w:sz w:val="24"/>
        </w:rPr>
        <w:t xml:space="preserve"> </w:t>
      </w:r>
      <w:r>
        <w:rPr>
          <w:sz w:val="24"/>
        </w:rPr>
        <w:t>of</w:t>
      </w:r>
      <w:r>
        <w:rPr>
          <w:spacing w:val="-3"/>
          <w:sz w:val="24"/>
        </w:rPr>
        <w:t xml:space="preserve"> </w:t>
      </w:r>
      <w:r>
        <w:rPr>
          <w:sz w:val="24"/>
        </w:rPr>
        <w:t>provider</w:t>
      </w:r>
      <w:r>
        <w:rPr>
          <w:spacing w:val="-3"/>
          <w:sz w:val="24"/>
        </w:rPr>
        <w:t xml:space="preserve"> </w:t>
      </w:r>
      <w:r>
        <w:rPr>
          <w:sz w:val="24"/>
        </w:rPr>
        <w:t>arrangements</w:t>
      </w:r>
      <w:r>
        <w:rPr>
          <w:spacing w:val="-4"/>
          <w:sz w:val="24"/>
        </w:rPr>
        <w:t xml:space="preserve"> </w:t>
      </w:r>
      <w:r>
        <w:rPr>
          <w:sz w:val="24"/>
        </w:rPr>
        <w:t>such</w:t>
      </w:r>
      <w:r>
        <w:rPr>
          <w:spacing w:val="-3"/>
          <w:sz w:val="24"/>
        </w:rPr>
        <w:t xml:space="preserve"> </w:t>
      </w:r>
      <w:r>
        <w:rPr>
          <w:sz w:val="24"/>
        </w:rPr>
        <w:t>as</w:t>
      </w:r>
      <w:r>
        <w:rPr>
          <w:spacing w:val="-4"/>
          <w:sz w:val="24"/>
        </w:rPr>
        <w:t xml:space="preserve"> </w:t>
      </w:r>
      <w:r>
        <w:rPr>
          <w:sz w:val="24"/>
        </w:rPr>
        <w:t>capitated</w:t>
      </w:r>
      <w:r>
        <w:rPr>
          <w:spacing w:val="-2"/>
          <w:sz w:val="24"/>
        </w:rPr>
        <w:t xml:space="preserve"> </w:t>
      </w:r>
      <w:r>
        <w:rPr>
          <w:sz w:val="24"/>
        </w:rPr>
        <w:t>and</w:t>
      </w:r>
      <w:r>
        <w:rPr>
          <w:spacing w:val="-3"/>
          <w:sz w:val="24"/>
        </w:rPr>
        <w:t xml:space="preserve"> </w:t>
      </w:r>
      <w:r>
        <w:rPr>
          <w:sz w:val="24"/>
        </w:rPr>
        <w:t>risk-sharing arrangements.</w:t>
      </w:r>
    </w:p>
    <w:p>
      <w:pPr>
        <w:pStyle w:val="ListParagraph"/>
        <w:numPr>
          <w:ilvl w:val="2"/>
          <w:numId w:val="35"/>
        </w:numPr>
        <w:tabs>
          <w:tab w:val="left" w:pos="2215"/>
        </w:tabs>
        <w:spacing w:before="120" w:after="0" w:line="240" w:lineRule="auto"/>
        <w:ind w:left="2215" w:right="0" w:hanging="720"/>
        <w:jc w:val="left"/>
        <w:rPr>
          <w:sz w:val="24"/>
        </w:rPr>
      </w:pPr>
      <w:r>
        <w:rPr>
          <w:sz w:val="24"/>
        </w:rPr>
        <w:t>Bid-specific</w:t>
      </w:r>
      <w:r>
        <w:rPr>
          <w:spacing w:val="-4"/>
          <w:sz w:val="24"/>
        </w:rPr>
        <w:t xml:space="preserve"> </w:t>
      </w:r>
      <w:r>
        <w:rPr>
          <w:spacing w:val="-2"/>
          <w:sz w:val="24"/>
        </w:rPr>
        <w:t>circumstances.</w:t>
      </w:r>
    </w:p>
    <w:p>
      <w:pPr>
        <w:pStyle w:val="ListParagraph"/>
        <w:numPr>
          <w:ilvl w:val="2"/>
          <w:numId w:val="35"/>
        </w:numPr>
        <w:tabs>
          <w:tab w:val="left" w:pos="2215"/>
        </w:tabs>
        <w:spacing w:before="120" w:after="0" w:line="240" w:lineRule="auto"/>
        <w:ind w:left="2215" w:right="1569" w:hanging="720"/>
        <w:jc w:val="left"/>
        <w:rPr>
          <w:sz w:val="24"/>
        </w:rPr>
      </w:pPr>
      <w:r>
        <w:rPr>
          <w:sz w:val="24"/>
        </w:rPr>
        <w:t>Adjustments</w:t>
      </w:r>
      <w:r>
        <w:rPr>
          <w:spacing w:val="-4"/>
          <w:sz w:val="24"/>
        </w:rPr>
        <w:t xml:space="preserve"> </w:t>
      </w:r>
      <w:r>
        <w:rPr>
          <w:sz w:val="24"/>
        </w:rPr>
        <w:t>for</w:t>
      </w:r>
      <w:r>
        <w:rPr>
          <w:spacing w:val="-5"/>
          <w:sz w:val="24"/>
        </w:rPr>
        <w:t xml:space="preserve"> </w:t>
      </w:r>
      <w:r>
        <w:rPr>
          <w:sz w:val="24"/>
        </w:rPr>
        <w:t>differences</w:t>
      </w:r>
      <w:r>
        <w:rPr>
          <w:spacing w:val="-4"/>
          <w:sz w:val="24"/>
        </w:rPr>
        <w:t xml:space="preserve"> </w:t>
      </w:r>
      <w:r>
        <w:rPr>
          <w:sz w:val="24"/>
        </w:rPr>
        <w:t>in</w:t>
      </w:r>
      <w:r>
        <w:rPr>
          <w:spacing w:val="-1"/>
          <w:sz w:val="24"/>
        </w:rPr>
        <w:t xml:space="preserve"> </w:t>
      </w:r>
      <w:r>
        <w:rPr>
          <w:sz w:val="24"/>
        </w:rPr>
        <w:t>Part</w:t>
      </w:r>
      <w:r>
        <w:rPr>
          <w:spacing w:val="-3"/>
          <w:sz w:val="24"/>
        </w:rPr>
        <w:t xml:space="preserve"> </w:t>
      </w:r>
      <w:r>
        <w:rPr>
          <w:sz w:val="24"/>
        </w:rPr>
        <w:t>B</w:t>
      </w:r>
      <w:r>
        <w:rPr>
          <w:spacing w:val="-3"/>
          <w:sz w:val="24"/>
        </w:rPr>
        <w:t xml:space="preserve"> </w:t>
      </w:r>
      <w:r>
        <w:rPr>
          <w:sz w:val="24"/>
        </w:rPr>
        <w:t>Rx</w:t>
      </w:r>
      <w:r>
        <w:rPr>
          <w:spacing w:val="-3"/>
          <w:sz w:val="24"/>
        </w:rPr>
        <w:t xml:space="preserve"> </w:t>
      </w:r>
      <w:r>
        <w:rPr>
          <w:sz w:val="24"/>
        </w:rPr>
        <w:t>and</w:t>
      </w:r>
      <w:r>
        <w:rPr>
          <w:spacing w:val="-3"/>
          <w:sz w:val="24"/>
        </w:rPr>
        <w:t xml:space="preserve"> </w:t>
      </w:r>
      <w:r>
        <w:rPr>
          <w:sz w:val="24"/>
        </w:rPr>
        <w:t>DME</w:t>
      </w:r>
      <w:r>
        <w:rPr>
          <w:spacing w:val="-3"/>
          <w:sz w:val="24"/>
        </w:rPr>
        <w:t xml:space="preserve"> </w:t>
      </w:r>
      <w:r>
        <w:rPr>
          <w:sz w:val="24"/>
        </w:rPr>
        <w:t>rebates</w:t>
      </w:r>
      <w:r>
        <w:rPr>
          <w:spacing w:val="-4"/>
          <w:sz w:val="24"/>
        </w:rPr>
        <w:t xml:space="preserve"> </w:t>
      </w:r>
      <w:r>
        <w:rPr>
          <w:sz w:val="24"/>
        </w:rPr>
        <w:t>between</w:t>
      </w:r>
      <w:r>
        <w:rPr>
          <w:spacing w:val="-3"/>
          <w:sz w:val="24"/>
        </w:rPr>
        <w:t xml:space="preserve"> </w:t>
      </w:r>
      <w:r>
        <w:rPr>
          <w:sz w:val="24"/>
        </w:rPr>
        <w:t>the</w:t>
      </w:r>
      <w:r>
        <w:rPr>
          <w:spacing w:val="-4"/>
          <w:sz w:val="24"/>
        </w:rPr>
        <w:t xml:space="preserve"> </w:t>
      </w:r>
      <w:r>
        <w:rPr>
          <w:sz w:val="24"/>
        </w:rPr>
        <w:t xml:space="preserve">base and projection period. Include the PMPM value of prescription drug and DME rebates attributable to Part B Rx and DME benefits in the projection </w:t>
      </w:r>
      <w:r>
        <w:rPr>
          <w:spacing w:val="-2"/>
          <w:sz w:val="24"/>
        </w:rPr>
        <w:t>period.</w:t>
      </w:r>
    </w:p>
    <w:p>
      <w:pPr>
        <w:pStyle w:val="ListParagraph"/>
        <w:numPr>
          <w:ilvl w:val="1"/>
          <w:numId w:val="35"/>
        </w:numPr>
        <w:tabs>
          <w:tab w:val="left" w:pos="1495"/>
        </w:tabs>
        <w:spacing w:before="120" w:after="0" w:line="240" w:lineRule="auto"/>
        <w:ind w:left="1495" w:right="0" w:hanging="631"/>
        <w:jc w:val="left"/>
        <w:rPr>
          <w:sz w:val="24"/>
        </w:rPr>
      </w:pPr>
      <w:r>
        <w:rPr>
          <w:sz w:val="24"/>
        </w:rPr>
        <w:t>Justification</w:t>
      </w:r>
      <w:r>
        <w:rPr>
          <w:spacing w:val="-1"/>
          <w:sz w:val="24"/>
        </w:rPr>
        <w:t xml:space="preserve"> </w:t>
      </w:r>
      <w:r>
        <w:rPr>
          <w:sz w:val="24"/>
        </w:rPr>
        <w:t>for</w:t>
      </w:r>
      <w:r>
        <w:rPr>
          <w:spacing w:val="-1"/>
          <w:sz w:val="24"/>
        </w:rPr>
        <w:t xml:space="preserve"> </w:t>
      </w:r>
      <w:r>
        <w:rPr>
          <w:sz w:val="24"/>
        </w:rPr>
        <w:t>combining</w:t>
      </w:r>
      <w:r>
        <w:rPr>
          <w:spacing w:val="-1"/>
          <w:sz w:val="24"/>
        </w:rPr>
        <w:t xml:space="preserve"> </w:t>
      </w:r>
      <w:r>
        <w:rPr>
          <w:sz w:val="24"/>
        </w:rPr>
        <w:t>data</w:t>
      </w:r>
      <w:r>
        <w:rPr>
          <w:spacing w:val="-2"/>
          <w:sz w:val="24"/>
        </w:rPr>
        <w:t xml:space="preserve"> </w:t>
      </w:r>
      <w:r>
        <w:rPr>
          <w:sz w:val="24"/>
        </w:rPr>
        <w:t>for</w:t>
      </w:r>
      <w:r>
        <w:rPr>
          <w:spacing w:val="-2"/>
          <w:sz w:val="24"/>
        </w:rPr>
        <w:t xml:space="preserve"> </w:t>
      </w:r>
      <w:r>
        <w:rPr>
          <w:sz w:val="24"/>
        </w:rPr>
        <w:t>multiple</w:t>
      </w:r>
      <w:r>
        <w:rPr>
          <w:spacing w:val="-1"/>
          <w:sz w:val="24"/>
        </w:rPr>
        <w:t xml:space="preserve"> </w:t>
      </w:r>
      <w:r>
        <w:rPr>
          <w:sz w:val="24"/>
        </w:rPr>
        <w:t>service</w:t>
      </w:r>
      <w:r>
        <w:rPr>
          <w:spacing w:val="-1"/>
          <w:sz w:val="24"/>
        </w:rPr>
        <w:t xml:space="preserve"> </w:t>
      </w:r>
      <w:r>
        <w:rPr>
          <w:spacing w:val="-2"/>
          <w:sz w:val="24"/>
        </w:rPr>
        <w:t>categories.</w:t>
      </w:r>
    </w:p>
    <w:p>
      <w:pPr>
        <w:pStyle w:val="ListParagraph"/>
        <w:numPr>
          <w:ilvl w:val="0"/>
          <w:numId w:val="35"/>
        </w:numPr>
        <w:tabs>
          <w:tab w:val="left" w:pos="864"/>
        </w:tabs>
        <w:spacing w:before="120" w:after="0" w:line="240" w:lineRule="auto"/>
        <w:ind w:left="864" w:right="1668" w:hanging="360"/>
        <w:jc w:val="left"/>
        <w:rPr>
          <w:sz w:val="24"/>
        </w:rPr>
      </w:pPr>
      <w:r>
        <w:rPr>
          <w:sz w:val="24"/>
        </w:rPr>
        <w:t>Detailed support for the data and methodology used in the development of appropriate manual</w:t>
      </w:r>
      <w:r>
        <w:rPr>
          <w:spacing w:val="-4"/>
          <w:sz w:val="24"/>
        </w:rPr>
        <w:t xml:space="preserve"> </w:t>
      </w:r>
      <w:r>
        <w:rPr>
          <w:sz w:val="24"/>
        </w:rPr>
        <w:t>rates</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expected</w:t>
      </w:r>
      <w:r>
        <w:rPr>
          <w:spacing w:val="-4"/>
          <w:sz w:val="24"/>
        </w:rPr>
        <w:t xml:space="preserve"> </w:t>
      </w:r>
      <w:r>
        <w:rPr>
          <w:sz w:val="24"/>
        </w:rPr>
        <w:t>population</w:t>
      </w:r>
      <w:r>
        <w:rPr>
          <w:spacing w:val="-3"/>
          <w:sz w:val="24"/>
        </w:rPr>
        <w:t xml:space="preserve"> </w:t>
      </w:r>
      <w:r>
        <w:rPr>
          <w:sz w:val="24"/>
        </w:rPr>
        <w:t>(Worksheet</w:t>
      </w:r>
      <w:r>
        <w:rPr>
          <w:spacing w:val="-3"/>
          <w:sz w:val="24"/>
        </w:rPr>
        <w:t xml:space="preserve"> </w:t>
      </w:r>
      <w:r>
        <w:rPr>
          <w:sz w:val="24"/>
        </w:rPr>
        <w:t>2).</w:t>
      </w:r>
      <w:r>
        <w:rPr>
          <w:spacing w:val="-4"/>
          <w:sz w:val="24"/>
        </w:rPr>
        <w:t xml:space="preserve"> </w:t>
      </w:r>
      <w:r>
        <w:rPr>
          <w:sz w:val="24"/>
        </w:rPr>
        <w:t>The</w:t>
      </w:r>
      <w:r>
        <w:rPr>
          <w:spacing w:val="-3"/>
          <w:sz w:val="24"/>
        </w:rPr>
        <w:t xml:space="preserve"> </w:t>
      </w:r>
      <w:r>
        <w:rPr>
          <w:sz w:val="24"/>
        </w:rPr>
        <w:t>required</w:t>
      </w:r>
      <w:r>
        <w:rPr>
          <w:spacing w:val="-4"/>
          <w:sz w:val="24"/>
        </w:rPr>
        <w:t xml:space="preserve"> </w:t>
      </w:r>
      <w:r>
        <w:rPr>
          <w:sz w:val="24"/>
        </w:rPr>
        <w:t>elements</w:t>
      </w:r>
      <w:r>
        <w:rPr>
          <w:spacing w:val="-5"/>
          <w:sz w:val="24"/>
        </w:rPr>
        <w:t xml:space="preserve"> </w:t>
      </w:r>
      <w:r>
        <w:rPr>
          <w:sz w:val="24"/>
        </w:rPr>
        <w:t>include—</w:t>
      </w:r>
    </w:p>
    <w:p>
      <w:pPr>
        <w:pStyle w:val="ListParagraph"/>
        <w:numPr>
          <w:ilvl w:val="1"/>
          <w:numId w:val="35"/>
        </w:numPr>
        <w:tabs>
          <w:tab w:val="left" w:pos="1495"/>
        </w:tabs>
        <w:spacing w:before="120" w:after="0" w:line="240" w:lineRule="auto"/>
        <w:ind w:left="1495" w:right="1457" w:hanging="632"/>
        <w:jc w:val="both"/>
        <w:rPr>
          <w:sz w:val="24"/>
        </w:rPr>
      </w:pPr>
      <w:r>
        <w:rPr>
          <w:sz w:val="24"/>
        </w:rPr>
        <w:t>A description of the source data, including, but not limited to, the data’s relevance to the</w:t>
      </w:r>
      <w:r>
        <w:rPr>
          <w:spacing w:val="-3"/>
          <w:sz w:val="24"/>
        </w:rPr>
        <w:t xml:space="preserve"> </w:t>
      </w:r>
      <w:r>
        <w:rPr>
          <w:sz w:val="24"/>
        </w:rPr>
        <w:t>MA</w:t>
      </w:r>
      <w:r>
        <w:rPr>
          <w:spacing w:val="-4"/>
          <w:sz w:val="24"/>
        </w:rPr>
        <w:t xml:space="preserve"> </w:t>
      </w:r>
      <w:r>
        <w:rPr>
          <w:sz w:val="24"/>
        </w:rPr>
        <w:t>bid,</w:t>
      </w:r>
      <w:r>
        <w:rPr>
          <w:spacing w:val="-3"/>
          <w:sz w:val="24"/>
        </w:rPr>
        <w:t xml:space="preserve"> </w:t>
      </w:r>
      <w:r>
        <w:rPr>
          <w:sz w:val="24"/>
        </w:rPr>
        <w:t>incurred</w:t>
      </w:r>
      <w:r>
        <w:rPr>
          <w:spacing w:val="-3"/>
          <w:sz w:val="24"/>
        </w:rPr>
        <w:t xml:space="preserve"> </w:t>
      </w:r>
      <w:r>
        <w:rPr>
          <w:sz w:val="24"/>
        </w:rPr>
        <w:t>dates,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exposure</w:t>
      </w:r>
      <w:r>
        <w:rPr>
          <w:spacing w:val="-5"/>
          <w:sz w:val="24"/>
        </w:rPr>
        <w:t xml:space="preserve"> </w:t>
      </w:r>
      <w:r>
        <w:rPr>
          <w:sz w:val="24"/>
        </w:rPr>
        <w:t>(expressed</w:t>
      </w:r>
      <w:r>
        <w:rPr>
          <w:spacing w:val="-3"/>
          <w:sz w:val="24"/>
        </w:rPr>
        <w:t xml:space="preserve"> </w:t>
      </w:r>
      <w:r>
        <w:rPr>
          <w:sz w:val="24"/>
        </w:rPr>
        <w:t>in</w:t>
      </w:r>
      <w:r>
        <w:rPr>
          <w:spacing w:val="-3"/>
          <w:sz w:val="24"/>
        </w:rPr>
        <w:t xml:space="preserve"> </w:t>
      </w:r>
      <w:r>
        <w:rPr>
          <w:sz w:val="24"/>
        </w:rPr>
        <w:t>member</w:t>
      </w:r>
      <w:r>
        <w:rPr>
          <w:spacing w:val="-3"/>
          <w:sz w:val="24"/>
        </w:rPr>
        <w:t xml:space="preserve"> </w:t>
      </w:r>
      <w:r>
        <w:rPr>
          <w:sz w:val="24"/>
        </w:rPr>
        <w:t>months)</w:t>
      </w:r>
      <w:r>
        <w:rPr>
          <w:spacing w:val="-2"/>
          <w:sz w:val="24"/>
        </w:rPr>
        <w:t xml:space="preserve"> </w:t>
      </w:r>
      <w:r>
        <w:rPr>
          <w:sz w:val="24"/>
        </w:rPr>
        <w:t>that</w:t>
      </w:r>
      <w:r>
        <w:rPr>
          <w:spacing w:val="-3"/>
          <w:sz w:val="24"/>
        </w:rPr>
        <w:t xml:space="preserve"> </w:t>
      </w:r>
      <w:r>
        <w:rPr>
          <w:sz w:val="24"/>
        </w:rPr>
        <w:t>was used to develop the manual rate.</w:t>
      </w:r>
    </w:p>
    <w:p>
      <w:pPr>
        <w:pStyle w:val="ListParagraph"/>
        <w:spacing w:after="0" w:line="240" w:lineRule="auto"/>
        <w:jc w:val="both"/>
        <w:rPr>
          <w:sz w:val="24"/>
        </w:rPr>
        <w:sectPr>
          <w:pgSz w:w="12240" w:h="15840"/>
          <w:pgMar w:top="960" w:right="0" w:bottom="940" w:left="1080" w:header="727" w:footer="747"/>
          <w:cols w:space="720"/>
        </w:sectPr>
      </w:pPr>
    </w:p>
    <w:p>
      <w:pPr>
        <w:pStyle w:val="BodyText"/>
        <w:spacing w:before="190"/>
        <w:ind w:left="0"/>
      </w:pPr>
    </w:p>
    <w:p>
      <w:pPr>
        <w:pStyle w:val="ListParagraph"/>
        <w:numPr>
          <w:ilvl w:val="1"/>
          <w:numId w:val="35"/>
        </w:numPr>
        <w:tabs>
          <w:tab w:val="left" w:pos="1495"/>
        </w:tabs>
        <w:spacing w:before="0" w:after="0" w:line="240" w:lineRule="auto"/>
        <w:ind w:left="1495" w:right="1868" w:hanging="632"/>
        <w:jc w:val="left"/>
        <w:rPr>
          <w:sz w:val="24"/>
        </w:rPr>
      </w:pPr>
      <w:r>
        <w:rPr>
          <w:sz w:val="24"/>
        </w:rPr>
        <w:t>An</w:t>
      </w:r>
      <w:r>
        <w:rPr>
          <w:spacing w:val="-3"/>
          <w:sz w:val="24"/>
        </w:rPr>
        <w:t xml:space="preserve"> </w:t>
      </w:r>
      <w:r>
        <w:rPr>
          <w:sz w:val="24"/>
        </w:rPr>
        <w:t>analysis</w:t>
      </w:r>
      <w:r>
        <w:rPr>
          <w:spacing w:val="-4"/>
          <w:sz w:val="24"/>
        </w:rPr>
        <w:t xml:space="preserve"> </w:t>
      </w:r>
      <w:r>
        <w:rPr>
          <w:sz w:val="24"/>
        </w:rPr>
        <w:t>justifying</w:t>
      </w:r>
      <w:r>
        <w:rPr>
          <w:spacing w:val="-3"/>
          <w:sz w:val="24"/>
        </w:rPr>
        <w:t xml:space="preserve"> </w:t>
      </w:r>
      <w:r>
        <w:rPr>
          <w:sz w:val="24"/>
        </w:rPr>
        <w:t>the</w:t>
      </w:r>
      <w:r>
        <w:rPr>
          <w:spacing w:val="-3"/>
          <w:sz w:val="24"/>
        </w:rPr>
        <w:t xml:space="preserve"> </w:t>
      </w:r>
      <w:r>
        <w:rPr>
          <w:sz w:val="24"/>
        </w:rPr>
        <w:t>reasonableness</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MA</w:t>
      </w:r>
      <w:r>
        <w:rPr>
          <w:spacing w:val="-4"/>
          <w:sz w:val="24"/>
        </w:rPr>
        <w:t xml:space="preserve"> </w:t>
      </w:r>
      <w:r>
        <w:rPr>
          <w:sz w:val="24"/>
        </w:rPr>
        <w:t>manual</w:t>
      </w:r>
      <w:r>
        <w:rPr>
          <w:spacing w:val="-3"/>
          <w:sz w:val="24"/>
        </w:rPr>
        <w:t xml:space="preserve"> </w:t>
      </w:r>
      <w:r>
        <w:rPr>
          <w:sz w:val="24"/>
        </w:rPr>
        <w:t>rate,</w:t>
      </w:r>
      <w:r>
        <w:rPr>
          <w:spacing w:val="-3"/>
          <w:sz w:val="24"/>
        </w:rPr>
        <w:t xml:space="preserve"> </w:t>
      </w:r>
      <w:r>
        <w:rPr>
          <w:sz w:val="24"/>
        </w:rPr>
        <w:t>if</w:t>
      </w:r>
      <w:r>
        <w:rPr>
          <w:spacing w:val="-3"/>
          <w:sz w:val="24"/>
        </w:rPr>
        <w:t xml:space="preserve"> </w:t>
      </w:r>
      <w:r>
        <w:rPr>
          <w:sz w:val="24"/>
        </w:rPr>
        <w:t>it</w:t>
      </w:r>
      <w:r>
        <w:rPr>
          <w:spacing w:val="-3"/>
          <w:sz w:val="24"/>
        </w:rPr>
        <w:t xml:space="preserve"> </w:t>
      </w:r>
      <w:r>
        <w:rPr>
          <w:sz w:val="24"/>
        </w:rPr>
        <w:t>is</w:t>
      </w:r>
      <w:r>
        <w:rPr>
          <w:spacing w:val="-4"/>
          <w:sz w:val="24"/>
        </w:rPr>
        <w:t xml:space="preserve"> </w:t>
      </w:r>
      <w:r>
        <w:rPr>
          <w:sz w:val="24"/>
        </w:rPr>
        <w:t>based</w:t>
      </w:r>
      <w:r>
        <w:rPr>
          <w:spacing w:val="-3"/>
          <w:sz w:val="24"/>
        </w:rPr>
        <w:t xml:space="preserve"> </w:t>
      </w:r>
      <w:r>
        <w:rPr>
          <w:sz w:val="24"/>
        </w:rPr>
        <w:t>on experience of less than 24,000 member months of exposure.</w:t>
      </w:r>
    </w:p>
    <w:p>
      <w:pPr>
        <w:pStyle w:val="ListParagraph"/>
        <w:numPr>
          <w:ilvl w:val="1"/>
          <w:numId w:val="35"/>
        </w:numPr>
        <w:tabs>
          <w:tab w:val="left" w:pos="1495"/>
        </w:tabs>
        <w:spacing w:before="120" w:after="0" w:line="240" w:lineRule="auto"/>
        <w:ind w:left="1495" w:right="0" w:hanging="631"/>
        <w:jc w:val="left"/>
        <w:rPr>
          <w:sz w:val="24"/>
        </w:rPr>
      </w:pPr>
      <w:r>
        <w:rPr>
          <w:sz w:val="24"/>
        </w:rPr>
        <w:t>Methodologies</w:t>
      </w:r>
      <w:r>
        <w:rPr>
          <w:spacing w:val="-5"/>
          <w:sz w:val="24"/>
        </w:rPr>
        <w:t xml:space="preserve"> </w:t>
      </w:r>
      <w:r>
        <w:rPr>
          <w:sz w:val="24"/>
        </w:rPr>
        <w:t>and</w:t>
      </w:r>
      <w:r>
        <w:rPr>
          <w:spacing w:val="-2"/>
          <w:sz w:val="24"/>
        </w:rPr>
        <w:t xml:space="preserve"> </w:t>
      </w:r>
      <w:r>
        <w:rPr>
          <w:sz w:val="24"/>
        </w:rPr>
        <w:t>factors</w:t>
      </w:r>
      <w:r>
        <w:rPr>
          <w:spacing w:val="-3"/>
          <w:sz w:val="24"/>
        </w:rPr>
        <w:t xml:space="preserve"> </w:t>
      </w:r>
      <w:r>
        <w:rPr>
          <w:sz w:val="24"/>
        </w:rPr>
        <w:t>used</w:t>
      </w:r>
      <w:r>
        <w:rPr>
          <w:spacing w:val="-3"/>
          <w:sz w:val="24"/>
        </w:rPr>
        <w:t xml:space="preserve"> </w:t>
      </w:r>
      <w:r>
        <w:rPr>
          <w:sz w:val="24"/>
        </w:rPr>
        <w:t>to</w:t>
      </w:r>
      <w:r>
        <w:rPr>
          <w:spacing w:val="-2"/>
          <w:sz w:val="24"/>
        </w:rPr>
        <w:t xml:space="preserve"> </w:t>
      </w:r>
      <w:r>
        <w:rPr>
          <w:sz w:val="24"/>
        </w:rPr>
        <w:t>reflect</w:t>
      </w:r>
      <w:r>
        <w:rPr>
          <w:spacing w:val="-2"/>
          <w:sz w:val="24"/>
        </w:rPr>
        <w:t xml:space="preserve"> </w:t>
      </w:r>
      <w:r>
        <w:rPr>
          <w:sz w:val="24"/>
        </w:rPr>
        <w:t>differences</w:t>
      </w:r>
      <w:r>
        <w:rPr>
          <w:spacing w:val="-3"/>
          <w:sz w:val="24"/>
        </w:rPr>
        <w:t xml:space="preserve"> </w:t>
      </w:r>
      <w:r>
        <w:rPr>
          <w:spacing w:val="-2"/>
          <w:sz w:val="24"/>
        </w:rPr>
        <w:t>between—</w:t>
      </w:r>
    </w:p>
    <w:p>
      <w:pPr>
        <w:pStyle w:val="ListParagraph"/>
        <w:numPr>
          <w:ilvl w:val="2"/>
          <w:numId w:val="35"/>
        </w:numPr>
        <w:tabs>
          <w:tab w:val="left" w:pos="2215"/>
        </w:tabs>
        <w:spacing w:before="120" w:after="0" w:line="240" w:lineRule="auto"/>
        <w:ind w:left="2215" w:right="0" w:hanging="720"/>
        <w:jc w:val="left"/>
        <w:rPr>
          <w:sz w:val="24"/>
        </w:rPr>
      </w:pPr>
      <w:r>
        <w:rPr>
          <w:sz w:val="24"/>
        </w:rPr>
        <w:t>The</w:t>
      </w:r>
      <w:r>
        <w:rPr>
          <w:spacing w:val="-4"/>
          <w:sz w:val="24"/>
        </w:rPr>
        <w:t xml:space="preserve"> </w:t>
      </w:r>
      <w:r>
        <w:rPr>
          <w:sz w:val="24"/>
        </w:rPr>
        <w:t>underlying population and that</w:t>
      </w:r>
      <w:r>
        <w:rPr>
          <w:spacing w:val="-1"/>
          <w:sz w:val="24"/>
        </w:rPr>
        <w:t xml:space="preserve"> </w:t>
      </w:r>
      <w:r>
        <w:rPr>
          <w:sz w:val="24"/>
        </w:rPr>
        <w:t>expected of</w:t>
      </w:r>
      <w:r>
        <w:rPr>
          <w:spacing w:val="-2"/>
          <w:sz w:val="24"/>
        </w:rPr>
        <w:t xml:space="preserve"> </w:t>
      </w:r>
      <w:r>
        <w:rPr>
          <w:sz w:val="24"/>
        </w:rPr>
        <w:t>the</w:t>
      </w:r>
      <w:r>
        <w:rPr>
          <w:spacing w:val="-1"/>
          <w:sz w:val="24"/>
        </w:rPr>
        <w:t xml:space="preserve"> </w:t>
      </w:r>
      <w:r>
        <w:rPr>
          <w:sz w:val="24"/>
        </w:rPr>
        <w:t>MA</w:t>
      </w:r>
      <w:r>
        <w:rPr>
          <w:spacing w:val="1"/>
          <w:sz w:val="24"/>
        </w:rPr>
        <w:t xml:space="preserve"> </w:t>
      </w:r>
      <w:r>
        <w:rPr>
          <w:spacing w:val="-4"/>
          <w:sz w:val="24"/>
        </w:rPr>
        <w:t>bid.</w:t>
      </w:r>
    </w:p>
    <w:p>
      <w:pPr>
        <w:pStyle w:val="ListParagraph"/>
        <w:numPr>
          <w:ilvl w:val="2"/>
          <w:numId w:val="35"/>
        </w:numPr>
        <w:tabs>
          <w:tab w:val="left" w:pos="2215"/>
        </w:tabs>
        <w:spacing w:before="120" w:after="0" w:line="240" w:lineRule="auto"/>
        <w:ind w:left="2215" w:right="2241" w:hanging="720"/>
        <w:jc w:val="left"/>
        <w:rPr>
          <w:sz w:val="24"/>
        </w:rPr>
      </w:pPr>
      <w:r>
        <w:rPr>
          <w:sz w:val="24"/>
        </w:rPr>
        <w:t>The</w:t>
      </w:r>
      <w:r>
        <w:rPr>
          <w:spacing w:val="-5"/>
          <w:sz w:val="24"/>
        </w:rPr>
        <w:t xml:space="preserve"> </w:t>
      </w:r>
      <w:r>
        <w:rPr>
          <w:sz w:val="24"/>
        </w:rPr>
        <w:t>source</w:t>
      </w:r>
      <w:r>
        <w:rPr>
          <w:spacing w:val="-4"/>
          <w:sz w:val="24"/>
        </w:rPr>
        <w:t xml:space="preserve"> </w:t>
      </w:r>
      <w:r>
        <w:rPr>
          <w:sz w:val="24"/>
        </w:rPr>
        <w:t>data</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MA</w:t>
      </w:r>
      <w:r>
        <w:rPr>
          <w:spacing w:val="-4"/>
          <w:sz w:val="24"/>
        </w:rPr>
        <w:t xml:space="preserve"> </w:t>
      </w:r>
      <w:r>
        <w:rPr>
          <w:sz w:val="24"/>
        </w:rPr>
        <w:t>bid</w:t>
      </w:r>
      <w:r>
        <w:rPr>
          <w:spacing w:val="-3"/>
          <w:sz w:val="24"/>
        </w:rPr>
        <w:t xml:space="preserve"> </w:t>
      </w:r>
      <w:r>
        <w:rPr>
          <w:sz w:val="24"/>
        </w:rPr>
        <w:t>in</w:t>
      </w:r>
      <w:r>
        <w:rPr>
          <w:spacing w:val="-3"/>
          <w:sz w:val="24"/>
        </w:rPr>
        <w:t xml:space="preserve"> </w:t>
      </w:r>
      <w:r>
        <w:rPr>
          <w:sz w:val="24"/>
        </w:rPr>
        <w:t>areas</w:t>
      </w:r>
      <w:r>
        <w:rPr>
          <w:spacing w:val="-4"/>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 benefits and the delivery of health care.</w:t>
      </w:r>
    </w:p>
    <w:p>
      <w:pPr>
        <w:pStyle w:val="ListParagraph"/>
        <w:numPr>
          <w:ilvl w:val="1"/>
          <w:numId w:val="35"/>
        </w:numPr>
        <w:tabs>
          <w:tab w:val="left" w:pos="1495"/>
        </w:tabs>
        <w:spacing w:before="120" w:after="0" w:line="240" w:lineRule="auto"/>
        <w:ind w:left="1495" w:right="0" w:hanging="631"/>
        <w:jc w:val="left"/>
        <w:rPr>
          <w:sz w:val="24"/>
        </w:rPr>
      </w:pPr>
      <w:r>
        <w:rPr>
          <w:sz w:val="24"/>
        </w:rPr>
        <w:t>Data</w:t>
      </w:r>
      <w:r>
        <w:rPr>
          <w:spacing w:val="-3"/>
          <w:sz w:val="24"/>
        </w:rPr>
        <w:t xml:space="preserve"> </w:t>
      </w:r>
      <w:r>
        <w:rPr>
          <w:sz w:val="24"/>
        </w:rPr>
        <w:t>and</w:t>
      </w:r>
      <w:r>
        <w:rPr>
          <w:spacing w:val="-1"/>
          <w:sz w:val="24"/>
        </w:rPr>
        <w:t xml:space="preserve"> </w:t>
      </w:r>
      <w:r>
        <w:rPr>
          <w:sz w:val="24"/>
        </w:rPr>
        <w:t>methodology used</w:t>
      </w:r>
      <w:r>
        <w:rPr>
          <w:spacing w:val="-1"/>
          <w:sz w:val="24"/>
        </w:rPr>
        <w:t xml:space="preserve"> </w:t>
      </w:r>
      <w:r>
        <w:rPr>
          <w:sz w:val="24"/>
        </w:rPr>
        <w:t>to project</w:t>
      </w:r>
      <w:r>
        <w:rPr>
          <w:spacing w:val="-1"/>
          <w:sz w:val="24"/>
        </w:rPr>
        <w:t xml:space="preserve"> </w:t>
      </w:r>
      <w:r>
        <w:rPr>
          <w:sz w:val="24"/>
        </w:rPr>
        <w:t>the</w:t>
      </w:r>
      <w:r>
        <w:rPr>
          <w:spacing w:val="-1"/>
          <w:sz w:val="24"/>
        </w:rPr>
        <w:t xml:space="preserve"> </w:t>
      </w:r>
      <w:r>
        <w:rPr>
          <w:sz w:val="24"/>
        </w:rPr>
        <w:t>data</w:t>
      </w:r>
      <w:r>
        <w:rPr>
          <w:spacing w:val="-2"/>
          <w:sz w:val="24"/>
        </w:rPr>
        <w:t xml:space="preserve"> </w:t>
      </w:r>
      <w:r>
        <w:rPr>
          <w:sz w:val="24"/>
        </w:rPr>
        <w:t>from</w:t>
      </w:r>
      <w:r>
        <w:rPr>
          <w:spacing w:val="2"/>
          <w:sz w:val="24"/>
        </w:rPr>
        <w:t xml:space="preserve"> </w:t>
      </w:r>
      <w:r>
        <w:rPr>
          <w:sz w:val="24"/>
        </w:rPr>
        <w:t>the</w:t>
      </w:r>
      <w:r>
        <w:rPr>
          <w:spacing w:val="-1"/>
          <w:sz w:val="24"/>
        </w:rPr>
        <w:t xml:space="preserve"> </w:t>
      </w:r>
      <w:r>
        <w:rPr>
          <w:sz w:val="24"/>
        </w:rPr>
        <w:t>incurred</w:t>
      </w:r>
      <w:r>
        <w:rPr>
          <w:spacing w:val="-1"/>
          <w:sz w:val="24"/>
        </w:rPr>
        <w:t xml:space="preserve"> </w:t>
      </w:r>
      <w:r>
        <w:rPr>
          <w:sz w:val="24"/>
        </w:rPr>
        <w:t>period</w:t>
      </w:r>
      <w:r>
        <w:rPr>
          <w:spacing w:val="-1"/>
          <w:sz w:val="24"/>
        </w:rPr>
        <w:t xml:space="preserve"> </w:t>
      </w:r>
      <w:r>
        <w:rPr>
          <w:sz w:val="24"/>
        </w:rPr>
        <w:t xml:space="preserve">to </w:t>
      </w:r>
      <w:r>
        <w:rPr>
          <w:spacing w:val="-2"/>
          <w:sz w:val="24"/>
        </w:rPr>
        <w:t>CY2027.</w:t>
      </w:r>
    </w:p>
    <w:p>
      <w:pPr>
        <w:pStyle w:val="ListParagraph"/>
        <w:numPr>
          <w:ilvl w:val="1"/>
          <w:numId w:val="35"/>
        </w:numPr>
        <w:tabs>
          <w:tab w:val="left" w:pos="1495"/>
        </w:tabs>
        <w:spacing w:before="120" w:after="0" w:line="240" w:lineRule="auto"/>
        <w:ind w:left="1495" w:right="2181" w:hanging="632"/>
        <w:jc w:val="left"/>
        <w:rPr>
          <w:sz w:val="24"/>
        </w:rPr>
      </w:pPr>
      <w:r>
        <w:rPr>
          <w:sz w:val="24"/>
        </w:rPr>
        <w:t>All</w:t>
      </w:r>
      <w:r>
        <w:rPr>
          <w:spacing w:val="-4"/>
          <w:sz w:val="24"/>
        </w:rPr>
        <w:t xml:space="preserve"> </w:t>
      </w:r>
      <w:r>
        <w:rPr>
          <w:sz w:val="24"/>
        </w:rPr>
        <w:t>other</w:t>
      </w:r>
      <w:r>
        <w:rPr>
          <w:spacing w:val="-4"/>
          <w:sz w:val="24"/>
        </w:rPr>
        <w:t xml:space="preserve"> </w:t>
      </w:r>
      <w:r>
        <w:rPr>
          <w:sz w:val="24"/>
        </w:rPr>
        <w:t>applicable</w:t>
      </w:r>
      <w:r>
        <w:rPr>
          <w:spacing w:val="-3"/>
          <w:sz w:val="24"/>
        </w:rPr>
        <w:t xml:space="preserve"> </w:t>
      </w:r>
      <w:r>
        <w:rPr>
          <w:sz w:val="24"/>
        </w:rPr>
        <w:t>factors</w:t>
      </w:r>
      <w:r>
        <w:rPr>
          <w:spacing w:val="-5"/>
          <w:sz w:val="24"/>
        </w:rPr>
        <w:t xml:space="preserve"> </w:t>
      </w:r>
      <w:r>
        <w:rPr>
          <w:sz w:val="24"/>
        </w:rPr>
        <w:t>and/or</w:t>
      </w:r>
      <w:r>
        <w:rPr>
          <w:spacing w:val="-4"/>
          <w:sz w:val="24"/>
        </w:rPr>
        <w:t xml:space="preserve"> </w:t>
      </w:r>
      <w:r>
        <w:rPr>
          <w:sz w:val="24"/>
        </w:rPr>
        <w:t>adjustments.</w:t>
      </w:r>
      <w:r>
        <w:rPr>
          <w:spacing w:val="-2"/>
          <w:sz w:val="24"/>
        </w:rPr>
        <w:t xml:space="preserve"> </w:t>
      </w:r>
      <w:r>
        <w:rPr>
          <w:sz w:val="24"/>
        </w:rPr>
        <w:t>Include</w:t>
      </w:r>
      <w:r>
        <w:rPr>
          <w:spacing w:val="-5"/>
          <w:sz w:val="24"/>
        </w:rPr>
        <w:t xml:space="preserve"> </w:t>
      </w:r>
      <w:r>
        <w:rPr>
          <w:sz w:val="24"/>
        </w:rPr>
        <w:t>considerations</w:t>
      </w:r>
      <w:r>
        <w:rPr>
          <w:spacing w:val="-3"/>
          <w:sz w:val="24"/>
        </w:rPr>
        <w:t xml:space="preserve"> </w:t>
      </w:r>
      <w:r>
        <w:rPr>
          <w:sz w:val="24"/>
        </w:rPr>
        <w:t>for</w:t>
      </w:r>
      <w:r>
        <w:rPr>
          <w:spacing w:val="-6"/>
          <w:sz w:val="24"/>
        </w:rPr>
        <w:t xml:space="preserve"> </w:t>
      </w:r>
      <w:r>
        <w:rPr>
          <w:sz w:val="24"/>
        </w:rPr>
        <w:t>the allocation of projected allowed costs by service category.</w:t>
      </w:r>
    </w:p>
    <w:p>
      <w:pPr>
        <w:pStyle w:val="ListParagraph"/>
        <w:numPr>
          <w:ilvl w:val="2"/>
          <w:numId w:val="35"/>
        </w:numPr>
        <w:tabs>
          <w:tab w:val="left" w:pos="2215"/>
        </w:tabs>
        <w:spacing w:before="120" w:after="0" w:line="240" w:lineRule="auto"/>
        <w:ind w:left="2215" w:right="1891" w:hanging="720"/>
        <w:jc w:val="left"/>
        <w:rPr>
          <w:sz w:val="24"/>
        </w:rPr>
      </w:pPr>
      <w:r>
        <w:rPr>
          <w:sz w:val="24"/>
        </w:rPr>
        <w:t>For</w:t>
      </w:r>
      <w:r>
        <w:rPr>
          <w:spacing w:val="-4"/>
          <w:sz w:val="24"/>
        </w:rPr>
        <w:t xml:space="preserve"> </w:t>
      </w:r>
      <w:r>
        <w:rPr>
          <w:sz w:val="24"/>
        </w:rPr>
        <w:t>Part</w:t>
      </w:r>
      <w:r>
        <w:rPr>
          <w:spacing w:val="-3"/>
          <w:sz w:val="24"/>
        </w:rPr>
        <w:t xml:space="preserve"> </w:t>
      </w:r>
      <w:r>
        <w:rPr>
          <w:sz w:val="24"/>
        </w:rPr>
        <w:t>B</w:t>
      </w:r>
      <w:r>
        <w:rPr>
          <w:spacing w:val="-3"/>
          <w:sz w:val="24"/>
        </w:rPr>
        <w:t xml:space="preserve"> </w:t>
      </w:r>
      <w:r>
        <w:rPr>
          <w:sz w:val="24"/>
        </w:rPr>
        <w:t>Rx</w:t>
      </w:r>
      <w:r>
        <w:rPr>
          <w:spacing w:val="-3"/>
          <w:sz w:val="24"/>
        </w:rPr>
        <w:t xml:space="preserve"> </w:t>
      </w:r>
      <w:r>
        <w:rPr>
          <w:sz w:val="24"/>
        </w:rPr>
        <w:t>and</w:t>
      </w:r>
      <w:r>
        <w:rPr>
          <w:spacing w:val="-3"/>
          <w:sz w:val="24"/>
        </w:rPr>
        <w:t xml:space="preserve"> </w:t>
      </w:r>
      <w:r>
        <w:rPr>
          <w:sz w:val="24"/>
        </w:rPr>
        <w:t>DME,</w:t>
      </w:r>
      <w:r>
        <w:rPr>
          <w:spacing w:val="-2"/>
          <w:sz w:val="24"/>
        </w:rPr>
        <w:t xml:space="preserve"> </w:t>
      </w:r>
      <w:r>
        <w:rPr>
          <w:sz w:val="24"/>
        </w:rPr>
        <w:t>the</w:t>
      </w:r>
      <w:r>
        <w:rPr>
          <w:spacing w:val="-3"/>
          <w:sz w:val="24"/>
        </w:rPr>
        <w:t xml:space="preserve"> </w:t>
      </w:r>
      <w:r>
        <w:rPr>
          <w:sz w:val="24"/>
        </w:rPr>
        <w:t>PMPM</w:t>
      </w:r>
      <w:r>
        <w:rPr>
          <w:spacing w:val="-4"/>
          <w:sz w:val="24"/>
        </w:rPr>
        <w:t xml:space="preserve"> </w:t>
      </w:r>
      <w:r>
        <w:rPr>
          <w:sz w:val="24"/>
        </w:rPr>
        <w:t>value</w:t>
      </w:r>
      <w:r>
        <w:rPr>
          <w:spacing w:val="-3"/>
          <w:sz w:val="24"/>
        </w:rPr>
        <w:t xml:space="preserve"> </w:t>
      </w:r>
      <w:r>
        <w:rPr>
          <w:sz w:val="24"/>
        </w:rPr>
        <w:t>of</w:t>
      </w:r>
      <w:r>
        <w:rPr>
          <w:spacing w:val="-5"/>
          <w:sz w:val="24"/>
        </w:rPr>
        <w:t xml:space="preserve"> </w:t>
      </w:r>
      <w:r>
        <w:rPr>
          <w:sz w:val="24"/>
        </w:rPr>
        <w:t>prescription</w:t>
      </w:r>
      <w:r>
        <w:rPr>
          <w:spacing w:val="-3"/>
          <w:sz w:val="24"/>
        </w:rPr>
        <w:t xml:space="preserve"> </w:t>
      </w:r>
      <w:r>
        <w:rPr>
          <w:sz w:val="24"/>
        </w:rPr>
        <w:t>drug</w:t>
      </w:r>
      <w:r>
        <w:rPr>
          <w:spacing w:val="-3"/>
          <w:sz w:val="24"/>
        </w:rPr>
        <w:t xml:space="preserve"> </w:t>
      </w:r>
      <w:r>
        <w:rPr>
          <w:sz w:val="24"/>
        </w:rPr>
        <w:t>and</w:t>
      </w:r>
      <w:r>
        <w:rPr>
          <w:spacing w:val="-3"/>
          <w:sz w:val="24"/>
        </w:rPr>
        <w:t xml:space="preserve"> </w:t>
      </w:r>
      <w:r>
        <w:rPr>
          <w:sz w:val="24"/>
        </w:rPr>
        <w:t>DME rebates attributable to Part B Rx and DME benefits.</w:t>
      </w:r>
    </w:p>
    <w:p>
      <w:pPr>
        <w:pStyle w:val="ListParagraph"/>
        <w:numPr>
          <w:ilvl w:val="0"/>
          <w:numId w:val="35"/>
        </w:numPr>
        <w:tabs>
          <w:tab w:val="left" w:pos="864"/>
        </w:tabs>
        <w:spacing w:before="121" w:after="0" w:line="240" w:lineRule="auto"/>
        <w:ind w:left="864" w:right="0" w:hanging="360"/>
        <w:jc w:val="left"/>
        <w:rPr>
          <w:sz w:val="24"/>
        </w:rPr>
      </w:pPr>
      <w:r>
        <w:rPr>
          <w:sz w:val="24"/>
        </w:rPr>
        <w:t>An</w:t>
      </w:r>
      <w:r>
        <w:rPr>
          <w:spacing w:val="-1"/>
          <w:sz w:val="24"/>
        </w:rPr>
        <w:t xml:space="preserve"> </w:t>
      </w:r>
      <w:r>
        <w:rPr>
          <w:sz w:val="24"/>
        </w:rPr>
        <w:t>MAO</w:t>
      </w:r>
      <w:r>
        <w:rPr>
          <w:spacing w:val="-2"/>
          <w:sz w:val="24"/>
        </w:rPr>
        <w:t xml:space="preserve"> </w:t>
      </w:r>
      <w:r>
        <w:rPr>
          <w:sz w:val="24"/>
        </w:rPr>
        <w:t>in</w:t>
      </w:r>
      <w:r>
        <w:rPr>
          <w:spacing w:val="-1"/>
          <w:sz w:val="24"/>
        </w:rPr>
        <w:t xml:space="preserve"> </w:t>
      </w:r>
      <w:r>
        <w:rPr>
          <w:sz w:val="24"/>
        </w:rPr>
        <w:t>a</w:t>
      </w:r>
      <w:r>
        <w:rPr>
          <w:spacing w:val="-2"/>
          <w:sz w:val="24"/>
        </w:rPr>
        <w:t xml:space="preserve"> </w:t>
      </w:r>
      <w:r>
        <w:rPr>
          <w:sz w:val="24"/>
        </w:rPr>
        <w:t>related-party arrangement</w:t>
      </w:r>
      <w:r>
        <w:rPr>
          <w:spacing w:val="-1"/>
          <w:sz w:val="24"/>
        </w:rPr>
        <w:t xml:space="preserve"> </w:t>
      </w:r>
      <w:r>
        <w:rPr>
          <w:sz w:val="24"/>
        </w:rPr>
        <w:t>must</w:t>
      </w:r>
      <w:r>
        <w:rPr>
          <w:spacing w:val="-1"/>
          <w:sz w:val="24"/>
        </w:rPr>
        <w:t xml:space="preserve"> </w:t>
      </w:r>
      <w:r>
        <w:rPr>
          <w:sz w:val="24"/>
        </w:rPr>
        <w:t>provide</w:t>
      </w:r>
      <w:r>
        <w:rPr>
          <w:spacing w:val="-1"/>
          <w:sz w:val="24"/>
        </w:rPr>
        <w:t xml:space="preserve"> </w:t>
      </w:r>
      <w:r>
        <w:rPr>
          <w:sz w:val="24"/>
        </w:rPr>
        <w:t>the</w:t>
      </w:r>
      <w:r>
        <w:rPr>
          <w:spacing w:val="-2"/>
          <w:sz w:val="24"/>
        </w:rPr>
        <w:t xml:space="preserve"> following:</w:t>
      </w:r>
    </w:p>
    <w:p>
      <w:pPr>
        <w:pStyle w:val="ListParagraph"/>
        <w:numPr>
          <w:ilvl w:val="1"/>
          <w:numId w:val="35"/>
        </w:numPr>
        <w:tabs>
          <w:tab w:val="left" w:pos="1495"/>
        </w:tabs>
        <w:spacing w:before="120" w:after="0" w:line="240" w:lineRule="auto"/>
        <w:ind w:left="1495" w:right="1943" w:hanging="632"/>
        <w:jc w:val="left"/>
        <w:rPr>
          <w:sz w:val="24"/>
        </w:rPr>
      </w:pPr>
      <w:r>
        <w:rPr>
          <w:sz w:val="24"/>
        </w:rPr>
        <w:t>Declaration</w:t>
      </w:r>
      <w:r>
        <w:rPr>
          <w:spacing w:val="-4"/>
          <w:sz w:val="24"/>
        </w:rPr>
        <w:t xml:space="preserve"> </w:t>
      </w:r>
      <w:r>
        <w:rPr>
          <w:sz w:val="24"/>
        </w:rPr>
        <w:t>of</w:t>
      </w:r>
      <w:r>
        <w:rPr>
          <w:spacing w:val="-5"/>
          <w:sz w:val="24"/>
        </w:rPr>
        <w:t xml:space="preserve"> </w:t>
      </w:r>
      <w:r>
        <w:rPr>
          <w:sz w:val="24"/>
        </w:rPr>
        <w:t>every</w:t>
      </w:r>
      <w:r>
        <w:rPr>
          <w:spacing w:val="-4"/>
          <w:sz w:val="24"/>
        </w:rPr>
        <w:t xml:space="preserve"> </w:t>
      </w:r>
      <w:r>
        <w:rPr>
          <w:sz w:val="24"/>
        </w:rPr>
        <w:t>related-party</w:t>
      </w:r>
      <w:r>
        <w:rPr>
          <w:spacing w:val="-4"/>
          <w:sz w:val="24"/>
        </w:rPr>
        <w:t xml:space="preserve"> </w:t>
      </w:r>
      <w:r>
        <w:rPr>
          <w:sz w:val="24"/>
        </w:rPr>
        <w:t>arrangement</w:t>
      </w:r>
      <w:r>
        <w:rPr>
          <w:spacing w:val="-4"/>
          <w:sz w:val="24"/>
        </w:rPr>
        <w:t xml:space="preserve"> </w:t>
      </w:r>
      <w:r>
        <w:rPr>
          <w:sz w:val="24"/>
        </w:rPr>
        <w:t>in</w:t>
      </w:r>
      <w:r>
        <w:rPr>
          <w:spacing w:val="-2"/>
          <w:sz w:val="24"/>
        </w:rPr>
        <w:t xml:space="preserve"> </w:t>
      </w:r>
      <w:r>
        <w:rPr>
          <w:sz w:val="24"/>
        </w:rPr>
        <w:t>the</w:t>
      </w:r>
      <w:r>
        <w:rPr>
          <w:spacing w:val="-4"/>
          <w:sz w:val="24"/>
        </w:rPr>
        <w:t xml:space="preserve"> </w:t>
      </w:r>
      <w:r>
        <w:rPr>
          <w:sz w:val="24"/>
        </w:rPr>
        <w:t>base</w:t>
      </w:r>
      <w:r>
        <w:rPr>
          <w:spacing w:val="-5"/>
          <w:sz w:val="24"/>
        </w:rPr>
        <w:t xml:space="preserve"> </w:t>
      </w:r>
      <w:r>
        <w:rPr>
          <w:sz w:val="24"/>
        </w:rPr>
        <w:t>period</w:t>
      </w:r>
      <w:r>
        <w:rPr>
          <w:spacing w:val="-4"/>
          <w:sz w:val="24"/>
        </w:rPr>
        <w:t xml:space="preserve"> </w:t>
      </w:r>
      <w:r>
        <w:rPr>
          <w:sz w:val="24"/>
        </w:rPr>
        <w:t>and</w:t>
      </w:r>
      <w:r>
        <w:rPr>
          <w:spacing w:val="-4"/>
          <w:sz w:val="24"/>
        </w:rPr>
        <w:t xml:space="preserve"> </w:t>
      </w:r>
      <w:r>
        <w:rPr>
          <w:sz w:val="24"/>
        </w:rPr>
        <w:t xml:space="preserve">projection </w:t>
      </w:r>
      <w:r>
        <w:rPr>
          <w:spacing w:val="-2"/>
          <w:sz w:val="24"/>
        </w:rPr>
        <w:t>period.</w:t>
      </w:r>
    </w:p>
    <w:p>
      <w:pPr>
        <w:pStyle w:val="ListParagraph"/>
        <w:numPr>
          <w:ilvl w:val="1"/>
          <w:numId w:val="35"/>
        </w:numPr>
        <w:tabs>
          <w:tab w:val="left" w:pos="1495"/>
        </w:tabs>
        <w:spacing w:before="120" w:after="0" w:line="240" w:lineRule="auto"/>
        <w:ind w:left="1495" w:right="1860" w:hanging="632"/>
        <w:jc w:val="left"/>
        <w:rPr>
          <w:sz w:val="24"/>
        </w:rPr>
      </w:pPr>
      <w:r>
        <w:rPr>
          <w:sz w:val="24"/>
        </w:rPr>
        <w:t>Disclosure</w:t>
      </w:r>
      <w:r>
        <w:rPr>
          <w:spacing w:val="-5"/>
          <w:sz w:val="24"/>
        </w:rPr>
        <w:t xml:space="preserve"> </w:t>
      </w:r>
      <w:r>
        <w:rPr>
          <w:sz w:val="24"/>
        </w:rPr>
        <w:t>of</w:t>
      </w:r>
      <w:r>
        <w:rPr>
          <w:spacing w:val="-4"/>
          <w:sz w:val="24"/>
        </w:rPr>
        <w:t xml:space="preserve"> </w:t>
      </w:r>
      <w:r>
        <w:rPr>
          <w:sz w:val="24"/>
        </w:rPr>
        <w:t>all</w:t>
      </w:r>
      <w:r>
        <w:rPr>
          <w:spacing w:val="-4"/>
          <w:sz w:val="24"/>
        </w:rPr>
        <w:t xml:space="preserve"> </w:t>
      </w:r>
      <w:r>
        <w:rPr>
          <w:sz w:val="24"/>
        </w:rPr>
        <w:t>services</w:t>
      </w:r>
      <w:r>
        <w:rPr>
          <w:spacing w:val="-2"/>
          <w:sz w:val="24"/>
        </w:rPr>
        <w:t xml:space="preserve"> </w:t>
      </w:r>
      <w:r>
        <w:rPr>
          <w:sz w:val="24"/>
        </w:rPr>
        <w:t>provided</w:t>
      </w:r>
      <w:r>
        <w:rPr>
          <w:spacing w:val="-4"/>
          <w:sz w:val="24"/>
        </w:rPr>
        <w:t xml:space="preserve"> </w:t>
      </w:r>
      <w:r>
        <w:rPr>
          <w:sz w:val="24"/>
        </w:rPr>
        <w:t>in</w:t>
      </w:r>
      <w:r>
        <w:rPr>
          <w:spacing w:val="-4"/>
          <w:sz w:val="24"/>
        </w:rPr>
        <w:t xml:space="preserve"> </w:t>
      </w:r>
      <w:r>
        <w:rPr>
          <w:sz w:val="24"/>
        </w:rPr>
        <w:t>every</w:t>
      </w:r>
      <w:r>
        <w:rPr>
          <w:spacing w:val="-3"/>
          <w:sz w:val="24"/>
        </w:rPr>
        <w:t xml:space="preserve"> </w:t>
      </w:r>
      <w:r>
        <w:rPr>
          <w:sz w:val="24"/>
        </w:rPr>
        <w:t>related-party</w:t>
      </w:r>
      <w:r>
        <w:rPr>
          <w:spacing w:val="-4"/>
          <w:sz w:val="24"/>
        </w:rPr>
        <w:t xml:space="preserve"> </w:t>
      </w:r>
      <w:r>
        <w:rPr>
          <w:sz w:val="24"/>
        </w:rPr>
        <w:t>arrangement</w:t>
      </w:r>
      <w:r>
        <w:rPr>
          <w:spacing w:val="-3"/>
          <w:sz w:val="24"/>
        </w:rPr>
        <w:t xml:space="preserve"> </w:t>
      </w:r>
      <w:r>
        <w:rPr>
          <w:sz w:val="24"/>
        </w:rPr>
        <w:t>in</w:t>
      </w:r>
      <w:r>
        <w:rPr>
          <w:spacing w:val="-4"/>
          <w:sz w:val="24"/>
        </w:rPr>
        <w:t xml:space="preserve"> </w:t>
      </w:r>
      <w:r>
        <w:rPr>
          <w:sz w:val="24"/>
        </w:rPr>
        <w:t>the</w:t>
      </w:r>
      <w:r>
        <w:rPr>
          <w:spacing w:val="-5"/>
          <w:sz w:val="24"/>
        </w:rPr>
        <w:t xml:space="preserve"> </w:t>
      </w:r>
      <w:r>
        <w:rPr>
          <w:sz w:val="24"/>
        </w:rPr>
        <w:t>base period and projection period.</w:t>
      </w:r>
    </w:p>
    <w:p>
      <w:pPr>
        <w:pStyle w:val="ListParagraph"/>
        <w:numPr>
          <w:ilvl w:val="1"/>
          <w:numId w:val="35"/>
        </w:numPr>
        <w:tabs>
          <w:tab w:val="left" w:pos="1495"/>
        </w:tabs>
        <w:spacing w:before="120" w:after="0" w:line="240" w:lineRule="auto"/>
        <w:ind w:left="1495" w:right="2190" w:hanging="632"/>
        <w:jc w:val="left"/>
        <w:rPr>
          <w:sz w:val="24"/>
        </w:rPr>
      </w:pPr>
      <w:r>
        <w:rPr>
          <w:sz w:val="24"/>
        </w:rPr>
        <w:t>A</w:t>
      </w:r>
      <w:r>
        <w:rPr>
          <w:spacing w:val="-5"/>
          <w:sz w:val="24"/>
        </w:rPr>
        <w:t xml:space="preserve"> </w:t>
      </w:r>
      <w:r>
        <w:rPr>
          <w:sz w:val="24"/>
        </w:rPr>
        <w:t>summary</w:t>
      </w:r>
      <w:r>
        <w:rPr>
          <w:spacing w:val="-4"/>
          <w:sz w:val="24"/>
        </w:rPr>
        <w:t xml:space="preserve"> </w:t>
      </w:r>
      <w:r>
        <w:rPr>
          <w:sz w:val="24"/>
        </w:rPr>
        <w:t>that</w:t>
      </w:r>
      <w:r>
        <w:rPr>
          <w:spacing w:val="-4"/>
          <w:sz w:val="24"/>
        </w:rPr>
        <w:t xml:space="preserve"> </w:t>
      </w:r>
      <w:r>
        <w:rPr>
          <w:sz w:val="24"/>
        </w:rPr>
        <w:t>explains</w:t>
      </w:r>
      <w:r>
        <w:rPr>
          <w:spacing w:val="-2"/>
          <w:sz w:val="24"/>
        </w:rPr>
        <w:t xml:space="preserve"> </w:t>
      </w:r>
      <w:r>
        <w:rPr>
          <w:sz w:val="24"/>
        </w:rPr>
        <w:t>the</w:t>
      </w:r>
      <w:r>
        <w:rPr>
          <w:spacing w:val="-4"/>
          <w:sz w:val="24"/>
        </w:rPr>
        <w:t xml:space="preserve"> </w:t>
      </w:r>
      <w:r>
        <w:rPr>
          <w:sz w:val="24"/>
        </w:rPr>
        <w:t>relationship</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parties</w:t>
      </w:r>
      <w:r>
        <w:rPr>
          <w:spacing w:val="-5"/>
          <w:sz w:val="24"/>
        </w:rPr>
        <w:t xml:space="preserve"> </w:t>
      </w:r>
      <w:r>
        <w:rPr>
          <w:sz w:val="24"/>
        </w:rPr>
        <w:t>involved</w:t>
      </w:r>
      <w:r>
        <w:rPr>
          <w:spacing w:val="-4"/>
          <w:sz w:val="24"/>
        </w:rPr>
        <w:t xml:space="preserve"> </w:t>
      </w:r>
      <w:r>
        <w:rPr>
          <w:sz w:val="24"/>
        </w:rPr>
        <w:t>and</w:t>
      </w:r>
      <w:r>
        <w:rPr>
          <w:spacing w:val="-4"/>
          <w:sz w:val="24"/>
        </w:rPr>
        <w:t xml:space="preserve"> </w:t>
      </w:r>
      <w:r>
        <w:rPr>
          <w:sz w:val="24"/>
        </w:rPr>
        <w:t>common ownership, control, and investment in the base period and projection period.</w:t>
      </w:r>
    </w:p>
    <w:p>
      <w:pPr>
        <w:pStyle w:val="ListParagraph"/>
        <w:numPr>
          <w:ilvl w:val="1"/>
          <w:numId w:val="35"/>
        </w:numPr>
        <w:tabs>
          <w:tab w:val="left" w:pos="1495"/>
        </w:tabs>
        <w:spacing w:before="120" w:after="0" w:line="240" w:lineRule="auto"/>
        <w:ind w:left="1495" w:right="1458" w:hanging="632"/>
        <w:jc w:val="left"/>
        <w:rPr>
          <w:sz w:val="24"/>
        </w:rPr>
      </w:pPr>
      <w:r>
        <w:rPr>
          <w:sz w:val="24"/>
        </w:rPr>
        <w:t>If the ratio of the total related-party expenses (Worksheet 4 cell M104 plus Worksheet 4 cell M105) to the total allowed cost plus total non-benefit expenses (Worksheet 2 cell O38 plus Worksheet 4 cell H106) is greater than 30 percent, provide a summary of the contractual terms for the five largest related parties declared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projection</w:t>
      </w:r>
      <w:r>
        <w:rPr>
          <w:spacing w:val="-2"/>
          <w:sz w:val="24"/>
        </w:rPr>
        <w:t xml:space="preserve"> </w:t>
      </w:r>
      <w:r>
        <w:rPr>
          <w:sz w:val="24"/>
        </w:rPr>
        <w:t>period,</w:t>
      </w:r>
      <w:r>
        <w:rPr>
          <w:spacing w:val="-3"/>
          <w:sz w:val="24"/>
        </w:rPr>
        <w:t xml:space="preserve"> </w:t>
      </w:r>
      <w:r>
        <w:rPr>
          <w:sz w:val="24"/>
        </w:rPr>
        <w:t>including</w:t>
      </w:r>
      <w:r>
        <w:rPr>
          <w:spacing w:val="-3"/>
          <w:sz w:val="24"/>
        </w:rPr>
        <w:t xml:space="preserve"> </w:t>
      </w:r>
      <w:r>
        <w:rPr>
          <w:sz w:val="24"/>
        </w:rPr>
        <w:t>a</w:t>
      </w:r>
      <w:r>
        <w:rPr>
          <w:spacing w:val="-4"/>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services</w:t>
      </w:r>
      <w:r>
        <w:rPr>
          <w:spacing w:val="-4"/>
          <w:sz w:val="24"/>
        </w:rPr>
        <w:t xml:space="preserve"> </w:t>
      </w:r>
      <w:r>
        <w:rPr>
          <w:sz w:val="24"/>
        </w:rPr>
        <w:t>provided</w:t>
      </w:r>
      <w:r>
        <w:rPr>
          <w:spacing w:val="-3"/>
          <w:sz w:val="24"/>
        </w:rPr>
        <w:t xml:space="preserve"> </w:t>
      </w:r>
      <w:r>
        <w:rPr>
          <w:sz w:val="24"/>
        </w:rPr>
        <w:t>and money exchanged. The five largest related party relationships are to be determined</w:t>
      </w:r>
      <w:r>
        <w:rPr>
          <w:spacing w:val="40"/>
          <w:sz w:val="24"/>
        </w:rPr>
        <w:t xml:space="preserve"> </w:t>
      </w:r>
      <w:r>
        <w:rPr>
          <w:sz w:val="24"/>
        </w:rPr>
        <w:t xml:space="preserve">by their share in the total related-party expenses (Worksheet 4 cells M104 and </w:t>
      </w:r>
      <w:r>
        <w:rPr>
          <w:spacing w:val="-2"/>
          <w:sz w:val="24"/>
        </w:rPr>
        <w:t>M105).</w:t>
      </w:r>
    </w:p>
    <w:p>
      <w:pPr>
        <w:pStyle w:val="ListParagraph"/>
        <w:numPr>
          <w:ilvl w:val="1"/>
          <w:numId w:val="35"/>
        </w:numPr>
        <w:tabs>
          <w:tab w:val="left" w:pos="1498"/>
        </w:tabs>
        <w:spacing w:before="121" w:after="0" w:line="240" w:lineRule="auto"/>
        <w:ind w:left="1498" w:right="1490" w:hanging="634"/>
        <w:jc w:val="left"/>
        <w:rPr>
          <w:sz w:val="24"/>
        </w:rPr>
      </w:pPr>
      <w:r>
        <w:rPr>
          <w:sz w:val="24"/>
        </w:rPr>
        <w:t>If the ratio of the total related-party expenses (Worksheet 4 cell M104 plus Worksheet 4 cell M105) to the total allowed cost plus total non-benefit expenses (Worksheet 2 cell O38 plus Worksheet 4 cell H106) is greater than 30 percent, provide items 13.5.1 and 13.5.2 for the five largest related parties declared in the projection</w:t>
      </w:r>
      <w:r>
        <w:rPr>
          <w:spacing w:val="-4"/>
          <w:sz w:val="24"/>
        </w:rPr>
        <w:t xml:space="preserve"> </w:t>
      </w:r>
      <w:r>
        <w:rPr>
          <w:sz w:val="24"/>
        </w:rPr>
        <w:t>period.</w:t>
      </w:r>
      <w:r>
        <w:rPr>
          <w:spacing w:val="-4"/>
          <w:sz w:val="24"/>
        </w:rPr>
        <w:t xml:space="preserve"> </w:t>
      </w:r>
      <w:r>
        <w:rPr>
          <w:sz w:val="24"/>
        </w:rPr>
        <w:t>The</w:t>
      </w:r>
      <w:r>
        <w:rPr>
          <w:spacing w:val="-3"/>
          <w:sz w:val="24"/>
        </w:rPr>
        <w:t xml:space="preserve"> </w:t>
      </w:r>
      <w:r>
        <w:rPr>
          <w:sz w:val="24"/>
        </w:rPr>
        <w:t>five</w:t>
      </w:r>
      <w:r>
        <w:rPr>
          <w:spacing w:val="-5"/>
          <w:sz w:val="24"/>
        </w:rPr>
        <w:t xml:space="preserve"> </w:t>
      </w:r>
      <w:r>
        <w:rPr>
          <w:sz w:val="24"/>
        </w:rPr>
        <w:t>largest</w:t>
      </w:r>
      <w:r>
        <w:rPr>
          <w:spacing w:val="-4"/>
          <w:sz w:val="24"/>
        </w:rPr>
        <w:t xml:space="preserve"> </w:t>
      </w:r>
      <w:r>
        <w:rPr>
          <w:sz w:val="24"/>
        </w:rPr>
        <w:t>related-party</w:t>
      </w:r>
      <w:r>
        <w:rPr>
          <w:spacing w:val="-4"/>
          <w:sz w:val="24"/>
        </w:rPr>
        <w:t xml:space="preserve"> </w:t>
      </w:r>
      <w:r>
        <w:rPr>
          <w:sz w:val="24"/>
        </w:rPr>
        <w:t>relationships</w:t>
      </w:r>
      <w:r>
        <w:rPr>
          <w:spacing w:val="-5"/>
          <w:sz w:val="24"/>
        </w:rPr>
        <w:t xml:space="preserve"> </w:t>
      </w:r>
      <w:r>
        <w:rPr>
          <w:sz w:val="24"/>
        </w:rPr>
        <w:t>are</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determined</w:t>
      </w:r>
      <w:r>
        <w:rPr>
          <w:spacing w:val="-4"/>
          <w:sz w:val="24"/>
        </w:rPr>
        <w:t xml:space="preserve"> </w:t>
      </w:r>
      <w:r>
        <w:rPr>
          <w:sz w:val="24"/>
        </w:rPr>
        <w:t>by their share in the total related-party expenses (Worksheet 4 cells M104 and M105).</w:t>
      </w:r>
    </w:p>
    <w:p>
      <w:pPr>
        <w:pStyle w:val="ListParagraph"/>
        <w:numPr>
          <w:ilvl w:val="2"/>
          <w:numId w:val="35"/>
        </w:numPr>
        <w:tabs>
          <w:tab w:val="left" w:pos="2304"/>
        </w:tabs>
        <w:spacing w:before="120" w:after="0" w:line="240" w:lineRule="auto"/>
        <w:ind w:left="2304" w:right="1717" w:hanging="809"/>
        <w:jc w:val="left"/>
        <w:rPr>
          <w:sz w:val="24"/>
        </w:rPr>
      </w:pPr>
      <w:r>
        <w:rPr>
          <w:sz w:val="24"/>
        </w:rPr>
        <w:t>The PMPM cost of services or benefits consistent with the contractual arrangement</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5"/>
          <w:sz w:val="24"/>
        </w:rPr>
        <w:t xml:space="preserve"> </w:t>
      </w:r>
      <w:r>
        <w:rPr>
          <w:sz w:val="24"/>
        </w:rPr>
        <w:t>member</w:t>
      </w:r>
      <w:r>
        <w:rPr>
          <w:spacing w:val="-4"/>
          <w:sz w:val="24"/>
        </w:rPr>
        <w:t xml:space="preserve"> </w:t>
      </w:r>
      <w:r>
        <w:rPr>
          <w:sz w:val="24"/>
        </w:rPr>
        <w:t>months</w:t>
      </w:r>
      <w:r>
        <w:rPr>
          <w:spacing w:val="-5"/>
          <w:sz w:val="24"/>
        </w:rPr>
        <w:t xml:space="preserve"> </w:t>
      </w:r>
      <w:r>
        <w:rPr>
          <w:sz w:val="24"/>
        </w:rPr>
        <w:t>eligible</w:t>
      </w:r>
      <w:r>
        <w:rPr>
          <w:spacing w:val="-4"/>
          <w:sz w:val="24"/>
        </w:rPr>
        <w:t xml:space="preserve"> </w:t>
      </w:r>
      <w:r>
        <w:rPr>
          <w:sz w:val="24"/>
        </w:rPr>
        <w:t>for</w:t>
      </w:r>
      <w:r>
        <w:rPr>
          <w:spacing w:val="-4"/>
          <w:sz w:val="24"/>
        </w:rPr>
        <w:t xml:space="preserve"> </w:t>
      </w:r>
      <w:r>
        <w:rPr>
          <w:sz w:val="24"/>
        </w:rPr>
        <w:t>each</w:t>
      </w:r>
      <w:r>
        <w:rPr>
          <w:spacing w:val="-4"/>
          <w:sz w:val="24"/>
        </w:rPr>
        <w:t xml:space="preserve"> </w:t>
      </w:r>
      <w:r>
        <w:rPr>
          <w:sz w:val="24"/>
        </w:rPr>
        <w:t xml:space="preserve">contract, </w:t>
      </w:r>
      <w:r>
        <w:rPr>
          <w:spacing w:val="-4"/>
          <w:sz w:val="24"/>
        </w:rPr>
        <w:t>and</w:t>
      </w:r>
    </w:p>
    <w:p>
      <w:pPr>
        <w:pStyle w:val="ListParagraph"/>
        <w:numPr>
          <w:ilvl w:val="2"/>
          <w:numId w:val="35"/>
        </w:numPr>
        <w:tabs>
          <w:tab w:val="left" w:pos="2304"/>
        </w:tabs>
        <w:spacing w:before="120" w:after="0" w:line="240" w:lineRule="auto"/>
        <w:ind w:left="2304" w:right="1524" w:hanging="809"/>
        <w:jc w:val="both"/>
        <w:rPr>
          <w:sz w:val="24"/>
        </w:rPr>
      </w:pPr>
      <w:r>
        <w:rPr>
          <w:sz w:val="24"/>
        </w:rPr>
        <w:t>A</w:t>
      </w:r>
      <w:r>
        <w:rPr>
          <w:spacing w:val="-5"/>
          <w:sz w:val="24"/>
        </w:rPr>
        <w:t xml:space="preserve"> </w:t>
      </w:r>
      <w:r>
        <w:rPr>
          <w:sz w:val="24"/>
        </w:rPr>
        <w:t>comparison</w:t>
      </w:r>
      <w:r>
        <w:rPr>
          <w:spacing w:val="-4"/>
          <w:sz w:val="24"/>
        </w:rPr>
        <w:t xml:space="preserve"> </w:t>
      </w:r>
      <w:r>
        <w:rPr>
          <w:sz w:val="24"/>
        </w:rPr>
        <w:t>for</w:t>
      </w:r>
      <w:r>
        <w:rPr>
          <w:spacing w:val="-3"/>
          <w:sz w:val="24"/>
        </w:rPr>
        <w:t xml:space="preserve"> </w:t>
      </w:r>
      <w:r>
        <w:rPr>
          <w:sz w:val="24"/>
        </w:rPr>
        <w:t>each</w:t>
      </w:r>
      <w:r>
        <w:rPr>
          <w:spacing w:val="-4"/>
          <w:sz w:val="24"/>
        </w:rPr>
        <w:t xml:space="preserve"> </w:t>
      </w:r>
      <w:r>
        <w:rPr>
          <w:sz w:val="24"/>
        </w:rPr>
        <w:t>contractual</w:t>
      </w:r>
      <w:r>
        <w:rPr>
          <w:spacing w:val="-4"/>
          <w:sz w:val="24"/>
        </w:rPr>
        <w:t xml:space="preserve"> </w:t>
      </w:r>
      <w:r>
        <w:rPr>
          <w:sz w:val="24"/>
        </w:rPr>
        <w:t>arrangement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cost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services</w:t>
      </w:r>
      <w:r>
        <w:rPr>
          <w:spacing w:val="-2"/>
          <w:sz w:val="24"/>
        </w:rPr>
        <w:t xml:space="preserve"> </w:t>
      </w:r>
      <w:r>
        <w:rPr>
          <w:sz w:val="24"/>
        </w:rPr>
        <w:t>or benefits in the absence of a related party or to actual cost. Acceptable forms of comparison are as follows:</w:t>
      </w:r>
    </w:p>
    <w:p>
      <w:pPr>
        <w:pStyle w:val="ListParagraph"/>
        <w:spacing w:after="0" w:line="240" w:lineRule="auto"/>
        <w:jc w:val="both"/>
        <w:rPr>
          <w:sz w:val="24"/>
        </w:rPr>
        <w:sectPr>
          <w:pgSz w:w="12240" w:h="15840"/>
          <w:pgMar w:top="960" w:right="0" w:bottom="940" w:left="1080" w:header="727" w:footer="747"/>
          <w:cols w:space="720"/>
        </w:sectPr>
      </w:pPr>
    </w:p>
    <w:p>
      <w:pPr>
        <w:pStyle w:val="BodyText"/>
        <w:spacing w:before="190"/>
        <w:ind w:left="0"/>
      </w:pPr>
    </w:p>
    <w:p>
      <w:pPr>
        <w:pStyle w:val="ListParagraph"/>
        <w:numPr>
          <w:ilvl w:val="3"/>
          <w:numId w:val="35"/>
        </w:numPr>
        <w:tabs>
          <w:tab w:val="left" w:pos="2663"/>
        </w:tabs>
        <w:spacing w:before="0" w:after="0" w:line="240" w:lineRule="auto"/>
        <w:ind w:left="2663" w:right="0" w:hanging="359"/>
        <w:jc w:val="left"/>
        <w:rPr>
          <w:sz w:val="24"/>
        </w:rPr>
      </w:pPr>
      <w:r>
        <w:rPr>
          <w:sz w:val="24"/>
          <w:u w:val="single"/>
        </w:rPr>
        <w:t>Market</w:t>
      </w:r>
      <w:r>
        <w:rPr>
          <w:spacing w:val="-2"/>
          <w:sz w:val="24"/>
          <w:u w:val="single"/>
        </w:rPr>
        <w:t xml:space="preserve"> </w:t>
      </w:r>
      <w:r>
        <w:rPr>
          <w:sz w:val="24"/>
          <w:u w:val="single"/>
        </w:rPr>
        <w:t>Comparison</w:t>
      </w:r>
      <w:r>
        <w:rPr>
          <w:spacing w:val="-1"/>
          <w:sz w:val="24"/>
          <w:u w:val="single"/>
        </w:rPr>
        <w:t xml:space="preserve"> </w:t>
      </w:r>
      <w:r>
        <w:rPr>
          <w:sz w:val="24"/>
          <w:u w:val="single"/>
        </w:rPr>
        <w:t>for</w:t>
      </w:r>
      <w:r>
        <w:rPr>
          <w:spacing w:val="-1"/>
          <w:sz w:val="24"/>
          <w:u w:val="single"/>
        </w:rPr>
        <w:t xml:space="preserve"> </w:t>
      </w:r>
      <w:r>
        <w:rPr>
          <w:sz w:val="24"/>
          <w:u w:val="single"/>
        </w:rPr>
        <w:t>Administrative</w:t>
      </w:r>
      <w:r>
        <w:rPr>
          <w:spacing w:val="-2"/>
          <w:sz w:val="24"/>
          <w:u w:val="single"/>
        </w:rPr>
        <w:t xml:space="preserve"> Services</w:t>
      </w:r>
    </w:p>
    <w:p>
      <w:pPr>
        <w:pStyle w:val="BodyText"/>
        <w:spacing w:before="120"/>
        <w:ind w:left="2664" w:right="1524"/>
      </w:pPr>
      <w:r>
        <w:t>Demonstrate through analysis and contract terms, how the fees associated</w:t>
      </w:r>
      <w:r>
        <w:rPr>
          <w:spacing w:val="-5"/>
        </w:rPr>
        <w:t xml:space="preserve"> </w:t>
      </w:r>
      <w:r>
        <w:t>with</w:t>
      </w:r>
      <w:r>
        <w:rPr>
          <w:spacing w:val="-5"/>
        </w:rPr>
        <w:t xml:space="preserve"> </w:t>
      </w:r>
      <w:r>
        <w:t>the</w:t>
      </w:r>
      <w:r>
        <w:rPr>
          <w:spacing w:val="-5"/>
        </w:rPr>
        <w:t xml:space="preserve"> </w:t>
      </w:r>
      <w:r>
        <w:t>MAO’s</w:t>
      </w:r>
      <w:r>
        <w:rPr>
          <w:spacing w:val="-6"/>
        </w:rPr>
        <w:t xml:space="preserve"> </w:t>
      </w:r>
      <w:r>
        <w:t>related-party</w:t>
      </w:r>
      <w:r>
        <w:rPr>
          <w:spacing w:val="-5"/>
        </w:rPr>
        <w:t xml:space="preserve"> </w:t>
      </w:r>
      <w:r>
        <w:t>arrangement</w:t>
      </w:r>
      <w:r>
        <w:rPr>
          <w:spacing w:val="-5"/>
        </w:rPr>
        <w:t xml:space="preserve"> </w:t>
      </w:r>
      <w:r>
        <w:t>are</w:t>
      </w:r>
      <w:r>
        <w:rPr>
          <w:spacing w:val="-4"/>
        </w:rPr>
        <w:t xml:space="preserve"> </w:t>
      </w:r>
      <w:r>
        <w:t>comparable</w:t>
      </w:r>
      <w:r>
        <w:rPr>
          <w:spacing w:val="-5"/>
        </w:rPr>
        <w:t xml:space="preserve"> </w:t>
      </w:r>
      <w:r>
        <w:t>to the fees for providing similar services in an administrative arrangement between the following entities:</w:t>
      </w:r>
    </w:p>
    <w:p>
      <w:pPr>
        <w:pStyle w:val="ListParagraph"/>
        <w:numPr>
          <w:ilvl w:val="4"/>
          <w:numId w:val="35"/>
        </w:numPr>
        <w:tabs>
          <w:tab w:val="left" w:pos="3384"/>
        </w:tabs>
        <w:spacing w:before="0" w:after="0" w:line="240" w:lineRule="auto"/>
        <w:ind w:left="3384" w:right="0" w:hanging="359"/>
        <w:jc w:val="left"/>
        <w:rPr>
          <w:sz w:val="24"/>
        </w:rPr>
      </w:pPr>
      <w:r>
        <w:rPr>
          <w:sz w:val="24"/>
        </w:rPr>
        <w:t>The</w:t>
      </w:r>
      <w:r>
        <w:rPr>
          <w:spacing w:val="-4"/>
          <w:sz w:val="24"/>
        </w:rPr>
        <w:t xml:space="preserve"> </w:t>
      </w:r>
      <w:r>
        <w:rPr>
          <w:sz w:val="24"/>
        </w:rPr>
        <w:t>MAO</w:t>
      </w:r>
      <w:r>
        <w:rPr>
          <w:spacing w:val="-2"/>
          <w:sz w:val="24"/>
        </w:rPr>
        <w:t xml:space="preserve"> </w:t>
      </w:r>
      <w:r>
        <w:rPr>
          <w:sz w:val="24"/>
        </w:rPr>
        <w:t>and</w:t>
      </w:r>
      <w:r>
        <w:rPr>
          <w:spacing w:val="1"/>
          <w:sz w:val="24"/>
        </w:rPr>
        <w:t xml:space="preserve"> </w:t>
      </w:r>
      <w:r>
        <w:rPr>
          <w:sz w:val="24"/>
        </w:rPr>
        <w:t>an</w:t>
      </w:r>
      <w:r>
        <w:rPr>
          <w:spacing w:val="-1"/>
          <w:sz w:val="24"/>
        </w:rPr>
        <w:t xml:space="preserve"> </w:t>
      </w:r>
      <w:r>
        <w:rPr>
          <w:sz w:val="24"/>
        </w:rPr>
        <w:t>unrelated</w:t>
      </w:r>
      <w:r>
        <w:rPr>
          <w:spacing w:val="-1"/>
          <w:sz w:val="24"/>
        </w:rPr>
        <w:t xml:space="preserve"> </w:t>
      </w:r>
      <w:r>
        <w:rPr>
          <w:sz w:val="24"/>
        </w:rPr>
        <w:t>party,</w:t>
      </w:r>
      <w:r>
        <w:rPr>
          <w:spacing w:val="-1"/>
          <w:sz w:val="24"/>
        </w:rPr>
        <w:t xml:space="preserve"> </w:t>
      </w:r>
      <w:r>
        <w:rPr>
          <w:spacing w:val="-5"/>
          <w:sz w:val="24"/>
        </w:rPr>
        <w:t>or</w:t>
      </w:r>
    </w:p>
    <w:p>
      <w:pPr>
        <w:pStyle w:val="ListParagraph"/>
        <w:numPr>
          <w:ilvl w:val="4"/>
          <w:numId w:val="35"/>
        </w:numPr>
        <w:tabs>
          <w:tab w:val="left" w:pos="3384"/>
        </w:tabs>
        <w:spacing w:before="0" w:after="0" w:line="240" w:lineRule="auto"/>
        <w:ind w:left="3384" w:right="0" w:hanging="359"/>
        <w:jc w:val="left"/>
        <w:rPr>
          <w:sz w:val="24"/>
        </w:rPr>
      </w:pPr>
      <w:r>
        <w:rPr>
          <w:sz w:val="24"/>
        </w:rPr>
        <w:t>The</w:t>
      </w:r>
      <w:r>
        <w:rPr>
          <w:spacing w:val="-3"/>
          <w:sz w:val="24"/>
        </w:rPr>
        <w:t xml:space="preserve"> </w:t>
      </w:r>
      <w:r>
        <w:rPr>
          <w:sz w:val="24"/>
        </w:rPr>
        <w:t>related-party</w:t>
      </w:r>
      <w:r>
        <w:rPr>
          <w:spacing w:val="-1"/>
          <w:sz w:val="24"/>
        </w:rPr>
        <w:t xml:space="preserve"> </w:t>
      </w:r>
      <w:r>
        <w:rPr>
          <w:sz w:val="24"/>
        </w:rPr>
        <w:t>organization</w:t>
      </w:r>
      <w:r>
        <w:rPr>
          <w:spacing w:val="-1"/>
          <w:sz w:val="24"/>
        </w:rPr>
        <w:t xml:space="preserve"> </w:t>
      </w:r>
      <w:r>
        <w:rPr>
          <w:sz w:val="24"/>
        </w:rPr>
        <w:t>and an</w:t>
      </w:r>
      <w:r>
        <w:rPr>
          <w:spacing w:val="-1"/>
          <w:sz w:val="24"/>
        </w:rPr>
        <w:t xml:space="preserve"> </w:t>
      </w:r>
      <w:r>
        <w:rPr>
          <w:sz w:val="24"/>
        </w:rPr>
        <w:t>unrelated</w:t>
      </w:r>
      <w:r>
        <w:rPr>
          <w:spacing w:val="-1"/>
          <w:sz w:val="24"/>
        </w:rPr>
        <w:t xml:space="preserve"> </w:t>
      </w:r>
      <w:r>
        <w:rPr>
          <w:spacing w:val="-2"/>
          <w:sz w:val="24"/>
        </w:rPr>
        <w:t>party.</w:t>
      </w:r>
    </w:p>
    <w:p>
      <w:pPr>
        <w:pStyle w:val="BodyText"/>
        <w:spacing w:before="120"/>
        <w:ind w:left="2578" w:right="1481"/>
      </w:pPr>
      <w:r>
        <w:t>To</w:t>
      </w:r>
      <w:r>
        <w:rPr>
          <w:spacing w:val="-3"/>
        </w:rPr>
        <w:t xml:space="preserve"> </w:t>
      </w:r>
      <w:r>
        <w:t>meet</w:t>
      </w:r>
      <w:r>
        <w:rPr>
          <w:spacing w:val="-4"/>
        </w:rPr>
        <w:t xml:space="preserve"> </w:t>
      </w:r>
      <w:r>
        <w:t>this</w:t>
      </w:r>
      <w:r>
        <w:rPr>
          <w:spacing w:val="-4"/>
        </w:rPr>
        <w:t xml:space="preserve"> </w:t>
      </w:r>
      <w:r>
        <w:t>requirement,</w:t>
      </w:r>
      <w:r>
        <w:rPr>
          <w:spacing w:val="-3"/>
        </w:rPr>
        <w:t xml:space="preserve"> </w:t>
      </w:r>
      <w:r>
        <w:t>the</w:t>
      </w:r>
      <w:r>
        <w:rPr>
          <w:spacing w:val="-4"/>
        </w:rPr>
        <w:t xml:space="preserve"> </w:t>
      </w:r>
      <w:r>
        <w:t>MAO</w:t>
      </w:r>
      <w:r>
        <w:rPr>
          <w:spacing w:val="-4"/>
        </w:rPr>
        <w:t xml:space="preserve"> </w:t>
      </w:r>
      <w:r>
        <w:t>must</w:t>
      </w:r>
      <w:r>
        <w:rPr>
          <w:spacing w:val="-3"/>
        </w:rPr>
        <w:t xml:space="preserve"> </w:t>
      </w:r>
      <w:r>
        <w:t>demonstrate</w:t>
      </w:r>
      <w:r>
        <w:rPr>
          <w:spacing w:val="-3"/>
        </w:rPr>
        <w:t xml:space="preserve"> </w:t>
      </w:r>
      <w:r>
        <w:t>at</w:t>
      </w:r>
      <w:r>
        <w:rPr>
          <w:spacing w:val="-4"/>
        </w:rPr>
        <w:t xml:space="preserve"> </w:t>
      </w:r>
      <w:r>
        <w:t>the</w:t>
      </w:r>
      <w:r>
        <w:rPr>
          <w:spacing w:val="-4"/>
        </w:rPr>
        <w:t xml:space="preserve"> </w:t>
      </w:r>
      <w:r>
        <w:t>time</w:t>
      </w:r>
      <w:r>
        <w:rPr>
          <w:spacing w:val="-3"/>
        </w:rPr>
        <w:t xml:space="preserve"> </w:t>
      </w:r>
      <w:r>
        <w:t>of</w:t>
      </w:r>
      <w:r>
        <w:rPr>
          <w:spacing w:val="-5"/>
        </w:rPr>
        <w:t xml:space="preserve"> </w:t>
      </w:r>
      <w:r>
        <w:t>bid submission that—</w:t>
      </w:r>
    </w:p>
    <w:p>
      <w:pPr>
        <w:pStyle w:val="ListParagraph"/>
        <w:numPr>
          <w:ilvl w:val="4"/>
          <w:numId w:val="35"/>
        </w:numPr>
        <w:tabs>
          <w:tab w:val="left" w:pos="3385"/>
        </w:tabs>
        <w:spacing w:before="120" w:after="0" w:line="240" w:lineRule="auto"/>
        <w:ind w:left="3385" w:right="1503" w:hanging="360"/>
        <w:jc w:val="left"/>
        <w:rPr>
          <w:sz w:val="24"/>
        </w:rPr>
      </w:pPr>
      <w:r>
        <w:rPr>
          <w:sz w:val="24"/>
        </w:rPr>
        <w:t>The</w:t>
      </w:r>
      <w:r>
        <w:rPr>
          <w:spacing w:val="-7"/>
          <w:sz w:val="24"/>
        </w:rPr>
        <w:t xml:space="preserve"> </w:t>
      </w:r>
      <w:r>
        <w:rPr>
          <w:sz w:val="24"/>
        </w:rPr>
        <w:t>contract</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unrelated</w:t>
      </w:r>
      <w:r>
        <w:rPr>
          <w:spacing w:val="-5"/>
          <w:sz w:val="24"/>
        </w:rPr>
        <w:t xml:space="preserve"> </w:t>
      </w:r>
      <w:r>
        <w:rPr>
          <w:sz w:val="24"/>
        </w:rPr>
        <w:t>party</w:t>
      </w:r>
      <w:r>
        <w:rPr>
          <w:spacing w:val="-5"/>
          <w:sz w:val="24"/>
        </w:rPr>
        <w:t xml:space="preserve"> </w:t>
      </w:r>
      <w:r>
        <w:rPr>
          <w:sz w:val="24"/>
        </w:rPr>
        <w:t>is</w:t>
      </w:r>
      <w:r>
        <w:rPr>
          <w:spacing w:val="-6"/>
          <w:sz w:val="24"/>
        </w:rPr>
        <w:t xml:space="preserve"> </w:t>
      </w:r>
      <w:r>
        <w:rPr>
          <w:sz w:val="24"/>
        </w:rPr>
        <w:t>associated</w:t>
      </w:r>
      <w:r>
        <w:rPr>
          <w:spacing w:val="-3"/>
          <w:sz w:val="24"/>
        </w:rPr>
        <w:t xml:space="preserve"> </w:t>
      </w:r>
      <w:r>
        <w:rPr>
          <w:sz w:val="24"/>
        </w:rPr>
        <w:t>with</w:t>
      </w:r>
      <w:r>
        <w:rPr>
          <w:spacing w:val="-5"/>
          <w:sz w:val="24"/>
        </w:rPr>
        <w:t xml:space="preserve"> </w:t>
      </w:r>
      <w:r>
        <w:rPr>
          <w:sz w:val="24"/>
        </w:rPr>
        <w:t>sufficient costs of services to be considered a valid contract.</w:t>
      </w:r>
    </w:p>
    <w:p>
      <w:pPr>
        <w:pStyle w:val="ListParagraph"/>
        <w:numPr>
          <w:ilvl w:val="4"/>
          <w:numId w:val="35"/>
        </w:numPr>
        <w:tabs>
          <w:tab w:val="left" w:pos="3384"/>
        </w:tabs>
        <w:spacing w:before="1" w:after="0" w:line="240" w:lineRule="auto"/>
        <w:ind w:left="3384" w:right="0" w:hanging="359"/>
        <w:jc w:val="left"/>
        <w:rPr>
          <w:sz w:val="24"/>
        </w:rPr>
      </w:pPr>
      <w:r>
        <w:rPr>
          <w:sz w:val="24"/>
        </w:rPr>
        <w:t>The</w:t>
      </w:r>
      <w:r>
        <w:rPr>
          <w:spacing w:val="-5"/>
          <w:sz w:val="24"/>
        </w:rPr>
        <w:t xml:space="preserve"> </w:t>
      </w:r>
      <w:r>
        <w:rPr>
          <w:sz w:val="24"/>
        </w:rPr>
        <w:t>fees</w:t>
      </w:r>
      <w:r>
        <w:rPr>
          <w:spacing w:val="-2"/>
          <w:sz w:val="24"/>
        </w:rPr>
        <w:t xml:space="preserve"> </w:t>
      </w:r>
      <w:r>
        <w:rPr>
          <w:sz w:val="24"/>
        </w:rPr>
        <w:t>associated with</w:t>
      </w:r>
      <w:r>
        <w:rPr>
          <w:spacing w:val="-1"/>
          <w:sz w:val="24"/>
        </w:rPr>
        <w:t xml:space="preserve"> </w:t>
      </w:r>
      <w:r>
        <w:rPr>
          <w:sz w:val="24"/>
        </w:rPr>
        <w:t>such</w:t>
      </w:r>
      <w:r>
        <w:rPr>
          <w:spacing w:val="-1"/>
          <w:sz w:val="24"/>
        </w:rPr>
        <w:t xml:space="preserve"> </w:t>
      </w:r>
      <w:r>
        <w:rPr>
          <w:sz w:val="24"/>
        </w:rPr>
        <w:t>arrangements</w:t>
      </w:r>
      <w:r>
        <w:rPr>
          <w:spacing w:val="-2"/>
          <w:sz w:val="24"/>
        </w:rPr>
        <w:t xml:space="preserve"> </w:t>
      </w:r>
      <w:r>
        <w:rPr>
          <w:sz w:val="24"/>
        </w:rPr>
        <w:t>are</w:t>
      </w:r>
      <w:r>
        <w:rPr>
          <w:spacing w:val="-3"/>
          <w:sz w:val="24"/>
        </w:rPr>
        <w:t xml:space="preserve"> </w:t>
      </w:r>
      <w:r>
        <w:rPr>
          <w:sz w:val="24"/>
        </w:rPr>
        <w:t>within</w:t>
      </w:r>
      <w:r>
        <w:rPr>
          <w:spacing w:val="-1"/>
          <w:sz w:val="24"/>
        </w:rPr>
        <w:t xml:space="preserve"> </w:t>
      </w:r>
      <w:r>
        <w:rPr>
          <w:sz w:val="24"/>
        </w:rPr>
        <w:t>5</w:t>
      </w:r>
      <w:r>
        <w:rPr>
          <w:spacing w:val="2"/>
          <w:sz w:val="24"/>
        </w:rPr>
        <w:t xml:space="preserve"> </w:t>
      </w:r>
      <w:r>
        <w:rPr>
          <w:spacing w:val="-2"/>
          <w:sz w:val="24"/>
        </w:rPr>
        <w:t>percent.</w:t>
      </w:r>
    </w:p>
    <w:p>
      <w:pPr>
        <w:pStyle w:val="ListParagraph"/>
        <w:numPr>
          <w:ilvl w:val="4"/>
          <w:numId w:val="35"/>
        </w:numPr>
        <w:tabs>
          <w:tab w:val="left" w:pos="3385"/>
        </w:tabs>
        <w:spacing w:before="0" w:after="0" w:line="240" w:lineRule="auto"/>
        <w:ind w:left="3385" w:right="1851" w:hanging="360"/>
        <w:jc w:val="left"/>
        <w:rPr>
          <w:sz w:val="24"/>
        </w:rPr>
      </w:pPr>
      <w:r>
        <w:rPr>
          <w:sz w:val="24"/>
        </w:rPr>
        <w:t>For a related-party administrative arrangement between the related-party organization and an unrelated party, provide a signed</w:t>
      </w:r>
      <w:r>
        <w:rPr>
          <w:spacing w:val="-5"/>
          <w:sz w:val="24"/>
        </w:rPr>
        <w:t xml:space="preserve"> </w:t>
      </w:r>
      <w:r>
        <w:rPr>
          <w:sz w:val="24"/>
        </w:rPr>
        <w:t>attestation</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related</w:t>
      </w:r>
      <w:r>
        <w:rPr>
          <w:spacing w:val="-5"/>
          <w:sz w:val="24"/>
        </w:rPr>
        <w:t xml:space="preserve"> </w:t>
      </w:r>
      <w:r>
        <w:rPr>
          <w:sz w:val="24"/>
        </w:rPr>
        <w:t>party</w:t>
      </w:r>
      <w:r>
        <w:rPr>
          <w:spacing w:val="-5"/>
          <w:sz w:val="24"/>
        </w:rPr>
        <w:t xml:space="preserve"> </w:t>
      </w:r>
      <w:r>
        <w:rPr>
          <w:sz w:val="24"/>
        </w:rPr>
        <w:t>stating</w:t>
      </w:r>
      <w:r>
        <w:rPr>
          <w:spacing w:val="-5"/>
          <w:sz w:val="24"/>
        </w:rPr>
        <w:t xml:space="preserve"> </w:t>
      </w:r>
      <w:r>
        <w:rPr>
          <w:sz w:val="24"/>
        </w:rPr>
        <w:t>that</w:t>
      </w:r>
      <w:r>
        <w:rPr>
          <w:spacing w:val="-5"/>
          <w:sz w:val="24"/>
        </w:rPr>
        <w:t xml:space="preserve"> </w:t>
      </w:r>
      <w:r>
        <w:rPr>
          <w:sz w:val="24"/>
        </w:rPr>
        <w:t>the</w:t>
      </w:r>
      <w:r>
        <w:rPr>
          <w:spacing w:val="-6"/>
          <w:sz w:val="24"/>
        </w:rPr>
        <w:t xml:space="preserve"> </w:t>
      </w:r>
      <w:r>
        <w:rPr>
          <w:sz w:val="24"/>
        </w:rPr>
        <w:t>actual contract will be available for review upon request by CMS.</w:t>
      </w:r>
    </w:p>
    <w:p>
      <w:pPr>
        <w:pStyle w:val="ListParagraph"/>
        <w:numPr>
          <w:ilvl w:val="3"/>
          <w:numId w:val="35"/>
        </w:numPr>
        <w:tabs>
          <w:tab w:val="left" w:pos="2664"/>
        </w:tabs>
        <w:spacing w:before="120" w:after="0" w:line="240" w:lineRule="auto"/>
        <w:ind w:left="2664" w:right="0" w:hanging="360"/>
        <w:jc w:val="left"/>
        <w:rPr>
          <w:sz w:val="24"/>
        </w:rPr>
      </w:pPr>
      <w:r>
        <w:rPr>
          <w:sz w:val="24"/>
          <w:u w:val="single"/>
        </w:rPr>
        <w:t>Actual</w:t>
      </w:r>
      <w:r>
        <w:rPr>
          <w:spacing w:val="-2"/>
          <w:sz w:val="24"/>
          <w:u w:val="single"/>
        </w:rPr>
        <w:t xml:space="preserve"> </w:t>
      </w:r>
      <w:r>
        <w:rPr>
          <w:sz w:val="24"/>
          <w:u w:val="single"/>
        </w:rPr>
        <w:t>Cost Comparison</w:t>
      </w:r>
      <w:r>
        <w:rPr>
          <w:spacing w:val="-1"/>
          <w:sz w:val="24"/>
          <w:u w:val="single"/>
        </w:rPr>
        <w:t xml:space="preserve"> </w:t>
      </w:r>
      <w:r>
        <w:rPr>
          <w:sz w:val="24"/>
          <w:u w:val="single"/>
        </w:rPr>
        <w:t>for</w:t>
      </w:r>
      <w:r>
        <w:rPr>
          <w:spacing w:val="-3"/>
          <w:sz w:val="24"/>
          <w:u w:val="single"/>
        </w:rPr>
        <w:t xml:space="preserve"> </w:t>
      </w:r>
      <w:r>
        <w:rPr>
          <w:sz w:val="24"/>
          <w:u w:val="single"/>
        </w:rPr>
        <w:t>Administrative</w:t>
      </w:r>
      <w:r>
        <w:rPr>
          <w:spacing w:val="-2"/>
          <w:sz w:val="24"/>
          <w:u w:val="single"/>
        </w:rPr>
        <w:t xml:space="preserve"> Services</w:t>
      </w:r>
    </w:p>
    <w:p>
      <w:pPr>
        <w:pStyle w:val="BodyText"/>
        <w:spacing w:before="120"/>
        <w:ind w:left="2664" w:right="1465"/>
      </w:pPr>
      <w:r>
        <w:t>Show the actual cost of the non-benefit services provided by the related party, excluding the gain/loss margin of the related party, compared to the</w:t>
      </w:r>
      <w:r>
        <w:rPr>
          <w:spacing w:val="-3"/>
        </w:rPr>
        <w:t xml:space="preserve"> </w:t>
      </w:r>
      <w:r>
        <w:t>cost</w:t>
      </w:r>
      <w:r>
        <w:rPr>
          <w:spacing w:val="-3"/>
        </w:rPr>
        <w:t xml:space="preserve"> </w:t>
      </w:r>
      <w:r>
        <w:t>in</w:t>
      </w:r>
      <w:r>
        <w:rPr>
          <w:spacing w:val="-3"/>
        </w:rPr>
        <w:t xml:space="preserve"> </w:t>
      </w:r>
      <w:r>
        <w:t>the</w:t>
      </w:r>
      <w:r>
        <w:rPr>
          <w:spacing w:val="-3"/>
        </w:rPr>
        <w:t xml:space="preserve"> </w:t>
      </w:r>
      <w:r>
        <w:t>bid,</w:t>
      </w:r>
      <w:r>
        <w:rPr>
          <w:spacing w:val="-3"/>
        </w:rPr>
        <w:t xml:space="preserve"> </w:t>
      </w:r>
      <w:r>
        <w:t>and</w:t>
      </w:r>
      <w:r>
        <w:rPr>
          <w:spacing w:val="-3"/>
        </w:rPr>
        <w:t xml:space="preserve"> </w:t>
      </w:r>
      <w:r>
        <w:t>provide</w:t>
      </w:r>
      <w:r>
        <w:rPr>
          <w:spacing w:val="-3"/>
        </w:rPr>
        <w:t xml:space="preserve"> </w:t>
      </w:r>
      <w:r>
        <w:t>a</w:t>
      </w:r>
      <w:r>
        <w:rPr>
          <w:spacing w:val="-5"/>
        </w:rPr>
        <w:t xml:space="preserve"> </w:t>
      </w:r>
      <w:r>
        <w:t>qualitative</w:t>
      </w:r>
      <w:r>
        <w:rPr>
          <w:spacing w:val="-3"/>
        </w:rPr>
        <w:t xml:space="preserve"> </w:t>
      </w:r>
      <w:r>
        <w:t>and</w:t>
      </w:r>
      <w:r>
        <w:rPr>
          <w:spacing w:val="-3"/>
        </w:rPr>
        <w:t xml:space="preserve"> </w:t>
      </w:r>
      <w:r>
        <w:t>quantitative</w:t>
      </w:r>
      <w:r>
        <w:rPr>
          <w:spacing w:val="-3"/>
        </w:rPr>
        <w:t xml:space="preserve"> </w:t>
      </w:r>
      <w:r>
        <w:t>summary</w:t>
      </w:r>
      <w:r>
        <w:rPr>
          <w:spacing w:val="-3"/>
        </w:rPr>
        <w:t xml:space="preserve"> </w:t>
      </w:r>
      <w:r>
        <w:t>of the development of the related party’s expenses to provide the administrative services.</w:t>
      </w:r>
    </w:p>
    <w:p>
      <w:pPr>
        <w:pStyle w:val="ListParagraph"/>
        <w:numPr>
          <w:ilvl w:val="3"/>
          <w:numId w:val="35"/>
        </w:numPr>
        <w:tabs>
          <w:tab w:val="left" w:pos="2663"/>
        </w:tabs>
        <w:spacing w:before="121" w:after="0" w:line="240" w:lineRule="auto"/>
        <w:ind w:left="2663" w:right="0" w:hanging="359"/>
        <w:jc w:val="left"/>
        <w:rPr>
          <w:sz w:val="24"/>
        </w:rPr>
      </w:pPr>
      <w:r>
        <w:rPr>
          <w:sz w:val="24"/>
          <w:u w:val="single"/>
        </w:rPr>
        <w:t>Alternative</w:t>
      </w:r>
      <w:r>
        <w:rPr>
          <w:spacing w:val="-3"/>
          <w:sz w:val="24"/>
          <w:u w:val="single"/>
        </w:rPr>
        <w:t xml:space="preserve"> </w:t>
      </w:r>
      <w:r>
        <w:rPr>
          <w:sz w:val="24"/>
          <w:u w:val="single"/>
        </w:rPr>
        <w:t>Comparison</w:t>
      </w:r>
      <w:r>
        <w:rPr>
          <w:spacing w:val="-1"/>
          <w:sz w:val="24"/>
          <w:u w:val="single"/>
        </w:rPr>
        <w:t xml:space="preserve"> </w:t>
      </w:r>
      <w:r>
        <w:rPr>
          <w:sz w:val="24"/>
          <w:u w:val="single"/>
        </w:rPr>
        <w:t>for</w:t>
      </w:r>
      <w:r>
        <w:rPr>
          <w:spacing w:val="-2"/>
          <w:sz w:val="24"/>
          <w:u w:val="single"/>
        </w:rPr>
        <w:t xml:space="preserve"> </w:t>
      </w:r>
      <w:r>
        <w:rPr>
          <w:sz w:val="24"/>
          <w:u w:val="single"/>
        </w:rPr>
        <w:t>Administrative</w:t>
      </w:r>
      <w:r>
        <w:rPr>
          <w:spacing w:val="-2"/>
          <w:sz w:val="24"/>
          <w:u w:val="single"/>
        </w:rPr>
        <w:t xml:space="preserve"> Services</w:t>
      </w:r>
    </w:p>
    <w:p>
      <w:pPr>
        <w:pStyle w:val="BodyText"/>
        <w:spacing w:before="120"/>
        <w:ind w:left="2664" w:right="1524"/>
      </w:pPr>
      <w:r>
        <w:t>If the MAO is not able to meet the requirements of 13.5.2a or 13.5.2b, the MAO must show a comparison for administrative services as outlined</w:t>
      </w:r>
      <w:r>
        <w:rPr>
          <w:spacing w:val="-4"/>
        </w:rPr>
        <w:t xml:space="preserve"> </w:t>
      </w:r>
      <w:r>
        <w:t>in</w:t>
      </w:r>
      <w:r>
        <w:rPr>
          <w:spacing w:val="-4"/>
        </w:rPr>
        <w:t xml:space="preserve"> </w:t>
      </w:r>
      <w:r>
        <w:t>13.5.2a</w:t>
      </w:r>
      <w:r>
        <w:rPr>
          <w:spacing w:val="-5"/>
        </w:rPr>
        <w:t xml:space="preserve"> </w:t>
      </w:r>
      <w:r>
        <w:t>even</w:t>
      </w:r>
      <w:r>
        <w:rPr>
          <w:spacing w:val="-4"/>
        </w:rPr>
        <w:t xml:space="preserve"> </w:t>
      </w:r>
      <w:r>
        <w:t>if</w:t>
      </w:r>
      <w:r>
        <w:rPr>
          <w:spacing w:val="-4"/>
        </w:rPr>
        <w:t xml:space="preserve"> </w:t>
      </w:r>
      <w:r>
        <w:t>the</w:t>
      </w:r>
      <w:r>
        <w:rPr>
          <w:spacing w:val="-6"/>
        </w:rPr>
        <w:t xml:space="preserve"> </w:t>
      </w:r>
      <w:r>
        <w:t>fees</w:t>
      </w:r>
      <w:r>
        <w:rPr>
          <w:spacing w:val="-5"/>
        </w:rPr>
        <w:t xml:space="preserve"> </w:t>
      </w:r>
      <w:r>
        <w:t>associated</w:t>
      </w:r>
      <w:r>
        <w:rPr>
          <w:spacing w:val="-3"/>
        </w:rPr>
        <w:t xml:space="preserve"> </w:t>
      </w:r>
      <w:r>
        <w:t>with</w:t>
      </w:r>
      <w:r>
        <w:rPr>
          <w:spacing w:val="-4"/>
        </w:rPr>
        <w:t xml:space="preserve"> </w:t>
      </w:r>
      <w:r>
        <w:t>the</w:t>
      </w:r>
      <w:r>
        <w:rPr>
          <w:spacing w:val="-5"/>
        </w:rPr>
        <w:t xml:space="preserve"> </w:t>
      </w:r>
      <w:r>
        <w:t>arrangement</w:t>
      </w:r>
      <w:r>
        <w:rPr>
          <w:spacing w:val="-4"/>
        </w:rPr>
        <w:t xml:space="preserve"> </w:t>
      </w:r>
      <w:r>
        <w:t>are not within 5 percent of the comparison.</w:t>
      </w:r>
    </w:p>
    <w:p>
      <w:pPr>
        <w:pStyle w:val="ListParagraph"/>
        <w:numPr>
          <w:ilvl w:val="3"/>
          <w:numId w:val="35"/>
        </w:numPr>
        <w:tabs>
          <w:tab w:val="left" w:pos="2664"/>
        </w:tabs>
        <w:spacing w:before="120" w:after="0" w:line="240" w:lineRule="auto"/>
        <w:ind w:left="2664" w:right="0" w:hanging="360"/>
        <w:jc w:val="left"/>
        <w:rPr>
          <w:sz w:val="24"/>
        </w:rPr>
      </w:pPr>
      <w:r>
        <w:rPr>
          <w:sz w:val="24"/>
          <w:u w:val="single"/>
        </w:rPr>
        <w:t>Market</w:t>
      </w:r>
      <w:r>
        <w:rPr>
          <w:spacing w:val="-2"/>
          <w:sz w:val="24"/>
          <w:u w:val="single"/>
        </w:rPr>
        <w:t xml:space="preserve"> </w:t>
      </w:r>
      <w:r>
        <w:rPr>
          <w:sz w:val="24"/>
          <w:u w:val="single"/>
        </w:rPr>
        <w:t>Comparison</w:t>
      </w:r>
      <w:r>
        <w:rPr>
          <w:spacing w:val="-2"/>
          <w:sz w:val="24"/>
          <w:u w:val="single"/>
        </w:rPr>
        <w:t xml:space="preserve"> </w:t>
      </w:r>
      <w:r>
        <w:rPr>
          <w:sz w:val="24"/>
          <w:u w:val="single"/>
        </w:rPr>
        <w:t>for</w:t>
      </w:r>
      <w:r>
        <w:rPr>
          <w:spacing w:val="-1"/>
          <w:sz w:val="24"/>
          <w:u w:val="single"/>
        </w:rPr>
        <w:t xml:space="preserve"> </w:t>
      </w:r>
      <w:r>
        <w:rPr>
          <w:sz w:val="24"/>
          <w:u w:val="single"/>
        </w:rPr>
        <w:t>Medical</w:t>
      </w:r>
      <w:r>
        <w:rPr>
          <w:spacing w:val="-2"/>
          <w:sz w:val="24"/>
          <w:u w:val="single"/>
        </w:rPr>
        <w:t xml:space="preserve"> Services</w:t>
      </w:r>
    </w:p>
    <w:p>
      <w:pPr>
        <w:pStyle w:val="BodyText"/>
        <w:spacing w:before="120"/>
        <w:ind w:left="2664" w:right="1481"/>
      </w:pPr>
      <w:r>
        <w:t>Either demonstrate through analysis and contract terms, that the fee associated with each service category in the MAO’s related-party arrangement</w:t>
      </w:r>
      <w:r>
        <w:rPr>
          <w:spacing w:val="-3"/>
        </w:rPr>
        <w:t xml:space="preserve"> </w:t>
      </w:r>
      <w:r>
        <w:t>is</w:t>
      </w:r>
      <w:r>
        <w:rPr>
          <w:spacing w:val="-3"/>
        </w:rPr>
        <w:t xml:space="preserve"> </w:t>
      </w:r>
      <w:r>
        <w:t>comparable</w:t>
      </w:r>
      <w:r>
        <w:rPr>
          <w:spacing w:val="-3"/>
        </w:rPr>
        <w:t xml:space="preserve"> </w:t>
      </w:r>
      <w:r>
        <w:t>to</w:t>
      </w:r>
      <w:r>
        <w:rPr>
          <w:spacing w:val="-3"/>
        </w:rPr>
        <w:t xml:space="preserve"> </w:t>
      </w:r>
      <w:r>
        <w:t>the</w:t>
      </w:r>
      <w:r>
        <w:rPr>
          <w:spacing w:val="-3"/>
        </w:rPr>
        <w:t xml:space="preserve"> </w:t>
      </w:r>
      <w:r>
        <w:t>fee</w:t>
      </w:r>
      <w:r>
        <w:rPr>
          <w:spacing w:val="-2"/>
        </w:rPr>
        <w:t xml:space="preserve"> </w:t>
      </w:r>
      <w:r>
        <w:t>for</w:t>
      </w:r>
      <w:r>
        <w:rPr>
          <w:spacing w:val="-5"/>
        </w:rPr>
        <w:t xml:space="preserve"> </w:t>
      </w:r>
      <w:r>
        <w:t>providing</w:t>
      </w:r>
      <w:r>
        <w:rPr>
          <w:spacing w:val="-2"/>
        </w:rPr>
        <w:t xml:space="preserve"> </w:t>
      </w:r>
      <w:r>
        <w:t>the</w:t>
      </w:r>
      <w:r>
        <w:rPr>
          <w:spacing w:val="-3"/>
        </w:rPr>
        <w:t xml:space="preserve"> </w:t>
      </w:r>
      <w:r>
        <w:t>same</w:t>
      </w:r>
      <w:r>
        <w:rPr>
          <w:spacing w:val="-3"/>
        </w:rPr>
        <w:t xml:space="preserve"> </w:t>
      </w:r>
      <w:r>
        <w:t>service</w:t>
      </w:r>
      <w:r>
        <w:rPr>
          <w:spacing w:val="-4"/>
        </w:rPr>
        <w:t xml:space="preserve"> </w:t>
      </w:r>
      <w:r>
        <w:t>to</w:t>
      </w:r>
      <w:r>
        <w:rPr>
          <w:spacing w:val="-3"/>
        </w:rPr>
        <w:t xml:space="preserve"> </w:t>
      </w:r>
      <w:r>
        <w:t xml:space="preserve">a Medicare population in a medical arrangement between the following </w:t>
      </w:r>
      <w:r>
        <w:rPr>
          <w:spacing w:val="-2"/>
        </w:rPr>
        <w:t>entities:</w:t>
      </w:r>
    </w:p>
    <w:p>
      <w:pPr>
        <w:pStyle w:val="ListParagraph"/>
        <w:numPr>
          <w:ilvl w:val="4"/>
          <w:numId w:val="35"/>
        </w:numPr>
        <w:tabs>
          <w:tab w:val="left" w:pos="3385"/>
        </w:tabs>
        <w:spacing w:before="0" w:after="0" w:line="240" w:lineRule="auto"/>
        <w:ind w:left="3385" w:right="1827" w:hanging="360"/>
        <w:jc w:val="left"/>
        <w:rPr>
          <w:sz w:val="24"/>
        </w:rPr>
      </w:pPr>
      <w:r>
        <w:rPr>
          <w:sz w:val="24"/>
        </w:rPr>
        <w:t>The</w:t>
      </w:r>
      <w:r>
        <w:rPr>
          <w:spacing w:val="-7"/>
          <w:sz w:val="24"/>
        </w:rPr>
        <w:t xml:space="preserve"> </w:t>
      </w:r>
      <w:r>
        <w:rPr>
          <w:sz w:val="24"/>
        </w:rPr>
        <w:t>related-party</w:t>
      </w:r>
      <w:r>
        <w:rPr>
          <w:spacing w:val="-5"/>
          <w:sz w:val="24"/>
        </w:rPr>
        <w:t xml:space="preserve"> </w:t>
      </w:r>
      <w:r>
        <w:rPr>
          <w:sz w:val="24"/>
        </w:rPr>
        <w:t>organization</w:t>
      </w:r>
      <w:r>
        <w:rPr>
          <w:spacing w:val="-5"/>
          <w:sz w:val="24"/>
        </w:rPr>
        <w:t xml:space="preserve"> </w:t>
      </w:r>
      <w:r>
        <w:rPr>
          <w:sz w:val="24"/>
        </w:rPr>
        <w:t>and</w:t>
      </w:r>
      <w:r>
        <w:rPr>
          <w:spacing w:val="-5"/>
          <w:sz w:val="24"/>
        </w:rPr>
        <w:t xml:space="preserve"> </w:t>
      </w:r>
      <w:r>
        <w:rPr>
          <w:sz w:val="24"/>
        </w:rPr>
        <w:t>an</w:t>
      </w:r>
      <w:r>
        <w:rPr>
          <w:spacing w:val="-5"/>
          <w:sz w:val="24"/>
        </w:rPr>
        <w:t xml:space="preserve"> </w:t>
      </w:r>
      <w:r>
        <w:rPr>
          <w:sz w:val="24"/>
        </w:rPr>
        <w:t>unrelated</w:t>
      </w:r>
      <w:r>
        <w:rPr>
          <w:spacing w:val="-4"/>
          <w:sz w:val="24"/>
        </w:rPr>
        <w:t xml:space="preserve"> </w:t>
      </w:r>
      <w:r>
        <w:rPr>
          <w:sz w:val="24"/>
        </w:rPr>
        <w:t>entity</w:t>
      </w:r>
      <w:r>
        <w:rPr>
          <w:spacing w:val="-5"/>
          <w:sz w:val="24"/>
        </w:rPr>
        <w:t xml:space="preserve"> </w:t>
      </w:r>
      <w:r>
        <w:rPr>
          <w:sz w:val="24"/>
        </w:rPr>
        <w:t>with</w:t>
      </w:r>
      <w:r>
        <w:rPr>
          <w:spacing w:val="-5"/>
          <w:sz w:val="24"/>
        </w:rPr>
        <w:t xml:space="preserve"> </w:t>
      </w:r>
      <w:r>
        <w:rPr>
          <w:sz w:val="24"/>
        </w:rPr>
        <w:t>an arrangement that covers Medicare beneficiaries, or</w:t>
      </w:r>
    </w:p>
    <w:p>
      <w:pPr>
        <w:pStyle w:val="ListParagraph"/>
        <w:numPr>
          <w:ilvl w:val="4"/>
          <w:numId w:val="35"/>
        </w:numPr>
        <w:tabs>
          <w:tab w:val="left" w:pos="3384"/>
        </w:tabs>
        <w:spacing w:before="0" w:after="0" w:line="240" w:lineRule="auto"/>
        <w:ind w:left="3384" w:right="0" w:hanging="359"/>
        <w:jc w:val="left"/>
        <w:rPr>
          <w:sz w:val="24"/>
        </w:rPr>
      </w:pPr>
      <w:r>
        <w:rPr>
          <w:sz w:val="24"/>
        </w:rPr>
        <w:t>The</w:t>
      </w:r>
      <w:r>
        <w:rPr>
          <w:spacing w:val="-6"/>
          <w:sz w:val="24"/>
        </w:rPr>
        <w:t xml:space="preserve"> </w:t>
      </w:r>
      <w:r>
        <w:rPr>
          <w:sz w:val="24"/>
        </w:rPr>
        <w:t>MAO</w:t>
      </w:r>
      <w:r>
        <w:rPr>
          <w:spacing w:val="-2"/>
          <w:sz w:val="24"/>
        </w:rPr>
        <w:t xml:space="preserve"> </w:t>
      </w:r>
      <w:r>
        <w:rPr>
          <w:sz w:val="24"/>
        </w:rPr>
        <w:t>and</w:t>
      </w:r>
      <w:r>
        <w:rPr>
          <w:spacing w:val="1"/>
          <w:sz w:val="24"/>
        </w:rPr>
        <w:t xml:space="preserve"> </w:t>
      </w:r>
      <w:r>
        <w:rPr>
          <w:sz w:val="24"/>
        </w:rPr>
        <w:t>an</w:t>
      </w:r>
      <w:r>
        <w:rPr>
          <w:spacing w:val="-1"/>
          <w:sz w:val="24"/>
        </w:rPr>
        <w:t xml:space="preserve"> </w:t>
      </w:r>
      <w:r>
        <w:rPr>
          <w:sz w:val="24"/>
        </w:rPr>
        <w:t>unrelated</w:t>
      </w:r>
      <w:r>
        <w:rPr>
          <w:spacing w:val="-2"/>
          <w:sz w:val="24"/>
        </w:rPr>
        <w:t xml:space="preserve"> </w:t>
      </w:r>
      <w:r>
        <w:rPr>
          <w:sz w:val="24"/>
        </w:rPr>
        <w:t>party</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bid’s</w:t>
      </w:r>
      <w:r>
        <w:rPr>
          <w:spacing w:val="-2"/>
          <w:sz w:val="24"/>
        </w:rPr>
        <w:t xml:space="preserve"> </w:t>
      </w:r>
      <w:r>
        <w:rPr>
          <w:sz w:val="24"/>
        </w:rPr>
        <w:t>service</w:t>
      </w:r>
      <w:r>
        <w:rPr>
          <w:spacing w:val="-2"/>
          <w:sz w:val="24"/>
        </w:rPr>
        <w:t xml:space="preserve"> area.</w:t>
      </w:r>
    </w:p>
    <w:p>
      <w:pPr>
        <w:pStyle w:val="ListParagraph"/>
        <w:numPr>
          <w:ilvl w:val="5"/>
          <w:numId w:val="35"/>
        </w:numPr>
        <w:tabs>
          <w:tab w:val="left" w:pos="3745"/>
        </w:tabs>
        <w:spacing w:before="1" w:after="0" w:line="240" w:lineRule="auto"/>
        <w:ind w:left="3745" w:right="1983" w:hanging="360"/>
        <w:jc w:val="left"/>
        <w:rPr>
          <w:sz w:val="24"/>
        </w:rPr>
      </w:pPr>
      <w:r>
        <w:rPr>
          <w:sz w:val="24"/>
        </w:rPr>
        <w:t>Global capitation arrangements that are contracted as a percentage</w:t>
      </w:r>
      <w:r>
        <w:rPr>
          <w:spacing w:val="-7"/>
          <w:sz w:val="24"/>
        </w:rPr>
        <w:t xml:space="preserve"> </w:t>
      </w:r>
      <w:r>
        <w:rPr>
          <w:sz w:val="24"/>
        </w:rPr>
        <w:t>of</w:t>
      </w:r>
      <w:r>
        <w:rPr>
          <w:spacing w:val="-5"/>
          <w:sz w:val="24"/>
        </w:rPr>
        <w:t xml:space="preserve"> </w:t>
      </w:r>
      <w:r>
        <w:rPr>
          <w:sz w:val="24"/>
        </w:rPr>
        <w:t>revenue</w:t>
      </w:r>
      <w:r>
        <w:rPr>
          <w:spacing w:val="-7"/>
          <w:sz w:val="24"/>
        </w:rPr>
        <w:t xml:space="preserve"> </w:t>
      </w:r>
      <w:r>
        <w:rPr>
          <w:sz w:val="24"/>
        </w:rPr>
        <w:t>may</w:t>
      </w:r>
      <w:r>
        <w:rPr>
          <w:spacing w:val="-6"/>
          <w:sz w:val="24"/>
        </w:rPr>
        <w:t xml:space="preserve"> </w:t>
      </w:r>
      <w:r>
        <w:rPr>
          <w:sz w:val="24"/>
        </w:rPr>
        <w:t>be</w:t>
      </w:r>
      <w:r>
        <w:rPr>
          <w:spacing w:val="-7"/>
          <w:sz w:val="24"/>
        </w:rPr>
        <w:t xml:space="preserve"> </w:t>
      </w:r>
      <w:r>
        <w:rPr>
          <w:sz w:val="24"/>
        </w:rPr>
        <w:t>compared</w:t>
      </w:r>
      <w:r>
        <w:rPr>
          <w:spacing w:val="-6"/>
          <w:sz w:val="24"/>
        </w:rPr>
        <w:t xml:space="preserve"> </w:t>
      </w:r>
      <w:r>
        <w:rPr>
          <w:sz w:val="24"/>
        </w:rPr>
        <w:t>across</w:t>
      </w:r>
      <w:r>
        <w:rPr>
          <w:spacing w:val="-7"/>
          <w:sz w:val="24"/>
        </w:rPr>
        <w:t xml:space="preserve"> </w:t>
      </w:r>
      <w:r>
        <w:rPr>
          <w:sz w:val="24"/>
        </w:rPr>
        <w:t>different service areas.</w:t>
      </w:r>
    </w:p>
    <w:p>
      <w:pPr>
        <w:pStyle w:val="BodyText"/>
        <w:ind w:left="2664" w:right="1481"/>
      </w:pPr>
      <w:r>
        <w:t>To</w:t>
      </w:r>
      <w:r>
        <w:rPr>
          <w:spacing w:val="-3"/>
        </w:rPr>
        <w:t xml:space="preserve"> </w:t>
      </w:r>
      <w:r>
        <w:t>meet</w:t>
      </w:r>
      <w:r>
        <w:rPr>
          <w:spacing w:val="-3"/>
        </w:rPr>
        <w:t xml:space="preserve"> </w:t>
      </w:r>
      <w:r>
        <w:t>this</w:t>
      </w:r>
      <w:r>
        <w:rPr>
          <w:spacing w:val="-4"/>
        </w:rPr>
        <w:t xml:space="preserve"> </w:t>
      </w:r>
      <w:r>
        <w:t>requirement,</w:t>
      </w:r>
      <w:r>
        <w:rPr>
          <w:spacing w:val="-3"/>
        </w:rPr>
        <w:t xml:space="preserve"> </w:t>
      </w:r>
      <w:r>
        <w:t>the</w:t>
      </w:r>
      <w:r>
        <w:rPr>
          <w:spacing w:val="-3"/>
        </w:rPr>
        <w:t xml:space="preserve"> </w:t>
      </w:r>
      <w:r>
        <w:t>MAO</w:t>
      </w:r>
      <w:r>
        <w:rPr>
          <w:spacing w:val="-4"/>
        </w:rPr>
        <w:t xml:space="preserve"> </w:t>
      </w:r>
      <w:r>
        <w:t>must</w:t>
      </w:r>
      <w:r>
        <w:rPr>
          <w:spacing w:val="-2"/>
        </w:rPr>
        <w:t xml:space="preserve"> </w:t>
      </w:r>
      <w:r>
        <w:t>demonstrate</w:t>
      </w:r>
      <w:r>
        <w:rPr>
          <w:spacing w:val="-3"/>
        </w:rPr>
        <w:t xml:space="preserve"> </w:t>
      </w:r>
      <w:r>
        <w:t>at</w:t>
      </w:r>
      <w:r>
        <w:rPr>
          <w:spacing w:val="-3"/>
        </w:rPr>
        <w:t xml:space="preserve"> </w:t>
      </w:r>
      <w:r>
        <w:t>the</w:t>
      </w:r>
      <w:r>
        <w:rPr>
          <w:spacing w:val="-4"/>
        </w:rPr>
        <w:t xml:space="preserve"> </w:t>
      </w:r>
      <w:r>
        <w:t>time</w:t>
      </w:r>
      <w:r>
        <w:rPr>
          <w:spacing w:val="-3"/>
        </w:rPr>
        <w:t xml:space="preserve"> </w:t>
      </w:r>
      <w:r>
        <w:t>of</w:t>
      </w:r>
      <w:r>
        <w:rPr>
          <w:spacing w:val="-5"/>
        </w:rPr>
        <w:t xml:space="preserve"> </w:t>
      </w:r>
      <w:r>
        <w:t>bid submission that—</w:t>
      </w:r>
    </w:p>
    <w:p>
      <w:pPr>
        <w:pStyle w:val="BodyText"/>
        <w:spacing w:after="0"/>
        <w:sectPr>
          <w:pgSz w:w="12240" w:h="15840"/>
          <w:pgMar w:top="960" w:right="0" w:bottom="940" w:left="1080" w:header="727" w:footer="747"/>
          <w:cols w:space="720"/>
        </w:sectPr>
      </w:pPr>
    </w:p>
    <w:p>
      <w:pPr>
        <w:pStyle w:val="BodyText"/>
        <w:spacing w:before="190"/>
        <w:ind w:left="0"/>
      </w:pPr>
    </w:p>
    <w:p>
      <w:pPr>
        <w:pStyle w:val="ListParagraph"/>
        <w:numPr>
          <w:ilvl w:val="4"/>
          <w:numId w:val="35"/>
        </w:numPr>
        <w:tabs>
          <w:tab w:val="left" w:pos="3385"/>
        </w:tabs>
        <w:spacing w:before="0" w:after="0" w:line="240" w:lineRule="auto"/>
        <w:ind w:left="3385" w:right="1503" w:hanging="360"/>
        <w:jc w:val="left"/>
        <w:rPr>
          <w:sz w:val="24"/>
        </w:rPr>
      </w:pPr>
      <w:r>
        <w:rPr>
          <w:sz w:val="24"/>
        </w:rPr>
        <w:t>The</w:t>
      </w:r>
      <w:r>
        <w:rPr>
          <w:spacing w:val="-7"/>
          <w:sz w:val="24"/>
        </w:rPr>
        <w:t xml:space="preserve"> </w:t>
      </w:r>
      <w:r>
        <w:rPr>
          <w:sz w:val="24"/>
        </w:rPr>
        <w:t>contract</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unrelated</w:t>
      </w:r>
      <w:r>
        <w:rPr>
          <w:spacing w:val="-5"/>
          <w:sz w:val="24"/>
        </w:rPr>
        <w:t xml:space="preserve"> </w:t>
      </w:r>
      <w:r>
        <w:rPr>
          <w:sz w:val="24"/>
        </w:rPr>
        <w:t>party</w:t>
      </w:r>
      <w:r>
        <w:rPr>
          <w:spacing w:val="-5"/>
          <w:sz w:val="24"/>
        </w:rPr>
        <w:t xml:space="preserve"> </w:t>
      </w:r>
      <w:r>
        <w:rPr>
          <w:sz w:val="24"/>
        </w:rPr>
        <w:t>is</w:t>
      </w:r>
      <w:r>
        <w:rPr>
          <w:spacing w:val="-6"/>
          <w:sz w:val="24"/>
        </w:rPr>
        <w:t xml:space="preserve"> </w:t>
      </w:r>
      <w:r>
        <w:rPr>
          <w:sz w:val="24"/>
        </w:rPr>
        <w:t>associated</w:t>
      </w:r>
      <w:r>
        <w:rPr>
          <w:spacing w:val="-3"/>
          <w:sz w:val="24"/>
        </w:rPr>
        <w:t xml:space="preserve"> </w:t>
      </w:r>
      <w:r>
        <w:rPr>
          <w:sz w:val="24"/>
        </w:rPr>
        <w:t>with</w:t>
      </w:r>
      <w:r>
        <w:rPr>
          <w:spacing w:val="-5"/>
          <w:sz w:val="24"/>
        </w:rPr>
        <w:t xml:space="preserve"> </w:t>
      </w:r>
      <w:r>
        <w:rPr>
          <w:sz w:val="24"/>
        </w:rPr>
        <w:t>sufficient costs of services to be considered a valid comparison.</w:t>
      </w:r>
    </w:p>
    <w:p>
      <w:pPr>
        <w:pStyle w:val="ListParagraph"/>
        <w:numPr>
          <w:ilvl w:val="4"/>
          <w:numId w:val="35"/>
        </w:numPr>
        <w:tabs>
          <w:tab w:val="left" w:pos="3385"/>
        </w:tabs>
        <w:spacing w:before="0" w:after="0" w:line="240" w:lineRule="auto"/>
        <w:ind w:left="3385" w:right="2059" w:hanging="360"/>
        <w:jc w:val="left"/>
        <w:rPr>
          <w:sz w:val="24"/>
        </w:rPr>
      </w:pPr>
      <w:r>
        <w:rPr>
          <w:sz w:val="24"/>
        </w:rPr>
        <w:t>The service categories included in the unrelated-party arrangement</w:t>
      </w:r>
      <w:r>
        <w:rPr>
          <w:spacing w:val="-5"/>
          <w:sz w:val="24"/>
        </w:rPr>
        <w:t xml:space="preserve"> </w:t>
      </w:r>
      <w:r>
        <w:rPr>
          <w:sz w:val="24"/>
        </w:rPr>
        <w:t>must</w:t>
      </w:r>
      <w:r>
        <w:rPr>
          <w:spacing w:val="-4"/>
          <w:sz w:val="24"/>
        </w:rPr>
        <w:t xml:space="preserve"> </w:t>
      </w:r>
      <w:r>
        <w:rPr>
          <w:sz w:val="24"/>
        </w:rPr>
        <w:t>be</w:t>
      </w:r>
      <w:r>
        <w:rPr>
          <w:spacing w:val="-5"/>
          <w:sz w:val="24"/>
        </w:rPr>
        <w:t xml:space="preserve"> </w:t>
      </w:r>
      <w:r>
        <w:rPr>
          <w:sz w:val="24"/>
        </w:rPr>
        <w:t>similar</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service</w:t>
      </w:r>
      <w:r>
        <w:rPr>
          <w:spacing w:val="-4"/>
          <w:sz w:val="24"/>
        </w:rPr>
        <w:t xml:space="preserve"> </w:t>
      </w:r>
      <w:r>
        <w:rPr>
          <w:sz w:val="24"/>
        </w:rPr>
        <w:t>categories</w:t>
      </w:r>
      <w:r>
        <w:rPr>
          <w:spacing w:val="-5"/>
          <w:sz w:val="24"/>
        </w:rPr>
        <w:t xml:space="preserve"> </w:t>
      </w:r>
      <w:r>
        <w:rPr>
          <w:sz w:val="24"/>
        </w:rPr>
        <w:t>in</w:t>
      </w:r>
      <w:r>
        <w:rPr>
          <w:spacing w:val="-3"/>
          <w:sz w:val="24"/>
        </w:rPr>
        <w:t xml:space="preserve"> </w:t>
      </w:r>
      <w:r>
        <w:rPr>
          <w:sz w:val="24"/>
        </w:rPr>
        <w:t>the related-party arrangement.</w:t>
      </w:r>
    </w:p>
    <w:p>
      <w:pPr>
        <w:pStyle w:val="ListParagraph"/>
        <w:numPr>
          <w:ilvl w:val="5"/>
          <w:numId w:val="35"/>
        </w:numPr>
        <w:tabs>
          <w:tab w:val="left" w:pos="3745"/>
        </w:tabs>
        <w:spacing w:before="0" w:after="0" w:line="240" w:lineRule="auto"/>
        <w:ind w:left="3745" w:right="2210" w:hanging="360"/>
        <w:jc w:val="left"/>
        <w:rPr>
          <w:sz w:val="24"/>
        </w:rPr>
      </w:pPr>
      <w:r>
        <w:rPr>
          <w:sz w:val="24"/>
        </w:rPr>
        <w:t>Global capitation arrangements are considered to be sufficiently similar even when there are some minor differences</w:t>
      </w:r>
      <w:r>
        <w:rPr>
          <w:spacing w:val="-3"/>
          <w:sz w:val="24"/>
        </w:rPr>
        <w:t xml:space="preserve"> </w:t>
      </w:r>
      <w:r>
        <w:rPr>
          <w:sz w:val="24"/>
        </w:rPr>
        <w:t>as</w:t>
      </w:r>
      <w:r>
        <w:rPr>
          <w:spacing w:val="-6"/>
          <w:sz w:val="24"/>
        </w:rPr>
        <w:t xml:space="preserve"> </w:t>
      </w:r>
      <w:r>
        <w:rPr>
          <w:sz w:val="24"/>
        </w:rPr>
        <w:t>long</w:t>
      </w:r>
      <w:r>
        <w:rPr>
          <w:spacing w:val="-5"/>
          <w:sz w:val="24"/>
        </w:rPr>
        <w:t xml:space="preserve"> </w:t>
      </w:r>
      <w:r>
        <w:rPr>
          <w:sz w:val="24"/>
        </w:rPr>
        <w:t>as</w:t>
      </w:r>
      <w:r>
        <w:rPr>
          <w:spacing w:val="-6"/>
          <w:sz w:val="24"/>
        </w:rPr>
        <w:t xml:space="preserve"> </w:t>
      </w:r>
      <w:r>
        <w:rPr>
          <w:sz w:val="24"/>
        </w:rPr>
        <w:t>the</w:t>
      </w:r>
      <w:r>
        <w:rPr>
          <w:spacing w:val="-4"/>
          <w:sz w:val="24"/>
        </w:rPr>
        <w:t xml:space="preserve"> </w:t>
      </w:r>
      <w:r>
        <w:rPr>
          <w:sz w:val="24"/>
        </w:rPr>
        <w:t>MAO</w:t>
      </w:r>
      <w:r>
        <w:rPr>
          <w:spacing w:val="-6"/>
          <w:sz w:val="24"/>
        </w:rPr>
        <w:t xml:space="preserve"> </w:t>
      </w:r>
      <w:r>
        <w:rPr>
          <w:sz w:val="24"/>
        </w:rPr>
        <w:t>is</w:t>
      </w:r>
      <w:r>
        <w:rPr>
          <w:spacing w:val="-6"/>
          <w:sz w:val="24"/>
        </w:rPr>
        <w:t xml:space="preserve"> </w:t>
      </w:r>
      <w:r>
        <w:rPr>
          <w:sz w:val="24"/>
        </w:rPr>
        <w:t>able</w:t>
      </w:r>
      <w:r>
        <w:rPr>
          <w:spacing w:val="-6"/>
          <w:sz w:val="24"/>
        </w:rPr>
        <w:t xml:space="preserve"> </w:t>
      </w:r>
      <w:r>
        <w:rPr>
          <w:sz w:val="24"/>
        </w:rPr>
        <w:t>to</w:t>
      </w:r>
      <w:r>
        <w:rPr>
          <w:spacing w:val="-5"/>
          <w:sz w:val="24"/>
        </w:rPr>
        <w:t xml:space="preserve"> </w:t>
      </w:r>
      <w:r>
        <w:rPr>
          <w:sz w:val="24"/>
        </w:rPr>
        <w:t>demonstrate through analysis that the fees are comparable.</w:t>
      </w:r>
    </w:p>
    <w:p>
      <w:pPr>
        <w:pStyle w:val="ListParagraph"/>
        <w:numPr>
          <w:ilvl w:val="4"/>
          <w:numId w:val="35"/>
        </w:numPr>
        <w:tabs>
          <w:tab w:val="left" w:pos="3385"/>
        </w:tabs>
        <w:spacing w:before="0" w:after="0" w:line="240" w:lineRule="auto"/>
        <w:ind w:left="3385" w:right="1597" w:hanging="360"/>
        <w:jc w:val="left"/>
        <w:rPr>
          <w:sz w:val="24"/>
        </w:rPr>
      </w:pPr>
      <w:r>
        <w:rPr>
          <w:sz w:val="24"/>
        </w:rPr>
        <w:t>The</w:t>
      </w:r>
      <w:r>
        <w:rPr>
          <w:spacing w:val="-6"/>
          <w:sz w:val="24"/>
        </w:rPr>
        <w:t xml:space="preserve"> </w:t>
      </w:r>
      <w:r>
        <w:rPr>
          <w:sz w:val="24"/>
        </w:rPr>
        <w:t>fees</w:t>
      </w:r>
      <w:r>
        <w:rPr>
          <w:spacing w:val="-6"/>
          <w:sz w:val="24"/>
        </w:rPr>
        <w:t xml:space="preserve"> </w:t>
      </w:r>
      <w:r>
        <w:rPr>
          <w:sz w:val="24"/>
        </w:rPr>
        <w:t>associated</w:t>
      </w:r>
      <w:r>
        <w:rPr>
          <w:spacing w:val="-4"/>
          <w:sz w:val="24"/>
        </w:rPr>
        <w:t xml:space="preserve"> </w:t>
      </w:r>
      <w:r>
        <w:rPr>
          <w:sz w:val="24"/>
        </w:rPr>
        <w:t>with</w:t>
      </w:r>
      <w:r>
        <w:rPr>
          <w:spacing w:val="-5"/>
          <w:sz w:val="24"/>
        </w:rPr>
        <w:t xml:space="preserve"> </w:t>
      </w:r>
      <w:r>
        <w:rPr>
          <w:sz w:val="24"/>
        </w:rPr>
        <w:t>such</w:t>
      </w:r>
      <w:r>
        <w:rPr>
          <w:spacing w:val="-5"/>
          <w:sz w:val="24"/>
        </w:rPr>
        <w:t xml:space="preserve"> </w:t>
      </w:r>
      <w:r>
        <w:rPr>
          <w:sz w:val="24"/>
        </w:rPr>
        <w:t>arrangements</w:t>
      </w:r>
      <w:r>
        <w:rPr>
          <w:spacing w:val="-6"/>
          <w:sz w:val="24"/>
        </w:rPr>
        <w:t xml:space="preserve"> </w:t>
      </w:r>
      <w:r>
        <w:rPr>
          <w:sz w:val="24"/>
        </w:rPr>
        <w:t>are</w:t>
      </w:r>
      <w:r>
        <w:rPr>
          <w:spacing w:val="-6"/>
          <w:sz w:val="24"/>
        </w:rPr>
        <w:t xml:space="preserve"> </w:t>
      </w:r>
      <w:r>
        <w:rPr>
          <w:sz w:val="24"/>
        </w:rPr>
        <w:t>within</w:t>
      </w:r>
      <w:r>
        <w:rPr>
          <w:spacing w:val="-5"/>
          <w:sz w:val="24"/>
        </w:rPr>
        <w:t xml:space="preserve"> </w:t>
      </w:r>
      <w:r>
        <w:rPr>
          <w:sz w:val="24"/>
        </w:rPr>
        <w:t>5</w:t>
      </w:r>
      <w:r>
        <w:rPr>
          <w:spacing w:val="-3"/>
          <w:sz w:val="24"/>
        </w:rPr>
        <w:t xml:space="preserve"> </w:t>
      </w:r>
      <w:r>
        <w:rPr>
          <w:sz w:val="24"/>
        </w:rPr>
        <w:t>percent or $2 PMPM—whichever is greater.</w:t>
      </w:r>
    </w:p>
    <w:p>
      <w:pPr>
        <w:pStyle w:val="ListParagraph"/>
        <w:numPr>
          <w:ilvl w:val="4"/>
          <w:numId w:val="35"/>
        </w:numPr>
        <w:tabs>
          <w:tab w:val="left" w:pos="3385"/>
        </w:tabs>
        <w:spacing w:before="0" w:after="0" w:line="240" w:lineRule="auto"/>
        <w:ind w:left="3385" w:right="1705" w:hanging="360"/>
        <w:jc w:val="left"/>
        <w:rPr>
          <w:sz w:val="24"/>
        </w:rPr>
      </w:pPr>
      <w:r>
        <w:rPr>
          <w:sz w:val="24"/>
        </w:rPr>
        <w:t>For a related-party medical arrangement between the related-party organization and an unrelated entity, provide a signed attestation</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related</w:t>
      </w:r>
      <w:r>
        <w:rPr>
          <w:spacing w:val="-5"/>
          <w:sz w:val="24"/>
        </w:rPr>
        <w:t xml:space="preserve"> </w:t>
      </w:r>
      <w:r>
        <w:rPr>
          <w:sz w:val="24"/>
        </w:rPr>
        <w:t>party</w:t>
      </w:r>
      <w:r>
        <w:rPr>
          <w:spacing w:val="-5"/>
          <w:sz w:val="24"/>
        </w:rPr>
        <w:t xml:space="preserve"> </w:t>
      </w:r>
      <w:r>
        <w:rPr>
          <w:sz w:val="24"/>
        </w:rPr>
        <w:t>stating</w:t>
      </w:r>
      <w:r>
        <w:rPr>
          <w:spacing w:val="-5"/>
          <w:sz w:val="24"/>
        </w:rPr>
        <w:t xml:space="preserve"> </w:t>
      </w:r>
      <w:r>
        <w:rPr>
          <w:sz w:val="24"/>
        </w:rPr>
        <w:t>that</w:t>
      </w:r>
      <w:r>
        <w:rPr>
          <w:spacing w:val="-5"/>
          <w:sz w:val="24"/>
        </w:rPr>
        <w:t xml:space="preserve"> </w:t>
      </w:r>
      <w:r>
        <w:rPr>
          <w:sz w:val="24"/>
        </w:rPr>
        <w:t>the</w:t>
      </w:r>
      <w:r>
        <w:rPr>
          <w:spacing w:val="-6"/>
          <w:sz w:val="24"/>
        </w:rPr>
        <w:t xml:space="preserve"> </w:t>
      </w:r>
      <w:r>
        <w:rPr>
          <w:sz w:val="24"/>
        </w:rPr>
        <w:t>actual</w:t>
      </w:r>
      <w:r>
        <w:rPr>
          <w:spacing w:val="-5"/>
          <w:sz w:val="24"/>
        </w:rPr>
        <w:t xml:space="preserve"> </w:t>
      </w:r>
      <w:r>
        <w:rPr>
          <w:sz w:val="24"/>
        </w:rPr>
        <w:t>contract will be available for review upon request by CMS.</w:t>
      </w:r>
    </w:p>
    <w:p>
      <w:pPr>
        <w:pStyle w:val="BodyText"/>
        <w:spacing w:before="121"/>
        <w:ind w:left="2664" w:right="1538"/>
      </w:pPr>
      <w:r>
        <w:t>Or</w:t>
      </w:r>
      <w:r>
        <w:rPr>
          <w:spacing w:val="-5"/>
        </w:rPr>
        <w:t xml:space="preserve"> </w:t>
      </w:r>
      <w:r>
        <w:t>demonstrate</w:t>
      </w:r>
      <w:r>
        <w:rPr>
          <w:spacing w:val="-4"/>
        </w:rPr>
        <w:t xml:space="preserve"> </w:t>
      </w:r>
      <w:r>
        <w:t>by</w:t>
      </w:r>
      <w:r>
        <w:rPr>
          <w:spacing w:val="-3"/>
        </w:rPr>
        <w:t xml:space="preserve"> </w:t>
      </w:r>
      <w:r>
        <w:t>pricing</w:t>
      </w:r>
      <w:r>
        <w:rPr>
          <w:spacing w:val="-3"/>
        </w:rPr>
        <w:t xml:space="preserve"> </w:t>
      </w:r>
      <w:r>
        <w:t>the</w:t>
      </w:r>
      <w:r>
        <w:rPr>
          <w:spacing w:val="-3"/>
        </w:rPr>
        <w:t xml:space="preserve"> </w:t>
      </w:r>
      <w:r>
        <w:t>utilization</w:t>
      </w:r>
      <w:r>
        <w:rPr>
          <w:spacing w:val="-3"/>
        </w:rPr>
        <w:t xml:space="preserve"> </w:t>
      </w:r>
      <w:r>
        <w:t>of</w:t>
      </w:r>
      <w:r>
        <w:rPr>
          <w:spacing w:val="-4"/>
        </w:rPr>
        <w:t xml:space="preserve"> </w:t>
      </w:r>
      <w:r>
        <w:t>the</w:t>
      </w:r>
      <w:r>
        <w:rPr>
          <w:spacing w:val="-3"/>
        </w:rPr>
        <w:t xml:space="preserve"> </w:t>
      </w:r>
      <w:r>
        <w:t>related</w:t>
      </w:r>
      <w:r>
        <w:rPr>
          <w:spacing w:val="-3"/>
        </w:rPr>
        <w:t xml:space="preserve"> </w:t>
      </w:r>
      <w:r>
        <w:t>party</w:t>
      </w:r>
      <w:r>
        <w:rPr>
          <w:spacing w:val="-3"/>
        </w:rPr>
        <w:t xml:space="preserve"> </w:t>
      </w:r>
      <w:r>
        <w:t>through</w:t>
      </w:r>
      <w:r>
        <w:rPr>
          <w:spacing w:val="-3"/>
        </w:rPr>
        <w:t xml:space="preserve"> </w:t>
      </w:r>
      <w:r>
        <w:t>the unrelated-party</w:t>
      </w:r>
      <w:r>
        <w:rPr>
          <w:spacing w:val="-5"/>
        </w:rPr>
        <w:t xml:space="preserve"> </w:t>
      </w:r>
      <w:r>
        <w:t>arrangement</w:t>
      </w:r>
      <w:r>
        <w:rPr>
          <w:spacing w:val="-5"/>
        </w:rPr>
        <w:t xml:space="preserve"> </w:t>
      </w:r>
      <w:r>
        <w:t>that</w:t>
      </w:r>
      <w:r>
        <w:rPr>
          <w:spacing w:val="-5"/>
        </w:rPr>
        <w:t xml:space="preserve"> </w:t>
      </w:r>
      <w:r>
        <w:t>the</w:t>
      </w:r>
      <w:r>
        <w:rPr>
          <w:spacing w:val="-5"/>
        </w:rPr>
        <w:t xml:space="preserve"> </w:t>
      </w:r>
      <w:r>
        <w:t>financial</w:t>
      </w:r>
      <w:r>
        <w:rPr>
          <w:spacing w:val="-5"/>
        </w:rPr>
        <w:t xml:space="preserve"> </w:t>
      </w:r>
      <w:r>
        <w:t>results</w:t>
      </w:r>
      <w:r>
        <w:rPr>
          <w:spacing w:val="-6"/>
        </w:rPr>
        <w:t xml:space="preserve"> </w:t>
      </w:r>
      <w:r>
        <w:t>are</w:t>
      </w:r>
      <w:r>
        <w:rPr>
          <w:spacing w:val="-7"/>
        </w:rPr>
        <w:t xml:space="preserve"> </w:t>
      </w:r>
      <w:r>
        <w:t>comparable</w:t>
      </w:r>
      <w:r>
        <w:rPr>
          <w:spacing w:val="-5"/>
        </w:rPr>
        <w:t xml:space="preserve"> </w:t>
      </w:r>
      <w:r>
        <w:t xml:space="preserve">for a Medicare population in a medical arrangement between the following </w:t>
      </w:r>
      <w:r>
        <w:rPr>
          <w:spacing w:val="-2"/>
        </w:rPr>
        <w:t>entities:</w:t>
      </w:r>
    </w:p>
    <w:p>
      <w:pPr>
        <w:pStyle w:val="ListParagraph"/>
        <w:numPr>
          <w:ilvl w:val="4"/>
          <w:numId w:val="35"/>
        </w:numPr>
        <w:tabs>
          <w:tab w:val="left" w:pos="3385"/>
        </w:tabs>
        <w:spacing w:before="0" w:after="0" w:line="240" w:lineRule="auto"/>
        <w:ind w:left="3385" w:right="1829" w:hanging="360"/>
        <w:jc w:val="left"/>
        <w:rPr>
          <w:sz w:val="24"/>
        </w:rPr>
      </w:pPr>
      <w:r>
        <w:rPr>
          <w:sz w:val="24"/>
        </w:rPr>
        <w:t>The</w:t>
      </w:r>
      <w:r>
        <w:rPr>
          <w:spacing w:val="-7"/>
          <w:sz w:val="24"/>
        </w:rPr>
        <w:t xml:space="preserve"> </w:t>
      </w:r>
      <w:r>
        <w:rPr>
          <w:sz w:val="24"/>
        </w:rPr>
        <w:t>related-party</w:t>
      </w:r>
      <w:r>
        <w:rPr>
          <w:spacing w:val="-5"/>
          <w:sz w:val="24"/>
        </w:rPr>
        <w:t xml:space="preserve"> </w:t>
      </w:r>
      <w:r>
        <w:rPr>
          <w:sz w:val="24"/>
        </w:rPr>
        <w:t>organization</w:t>
      </w:r>
      <w:r>
        <w:rPr>
          <w:spacing w:val="-5"/>
          <w:sz w:val="24"/>
        </w:rPr>
        <w:t xml:space="preserve"> </w:t>
      </w:r>
      <w:r>
        <w:rPr>
          <w:sz w:val="24"/>
        </w:rPr>
        <w:t>and</w:t>
      </w:r>
      <w:r>
        <w:rPr>
          <w:spacing w:val="-5"/>
          <w:sz w:val="24"/>
        </w:rPr>
        <w:t xml:space="preserve"> </w:t>
      </w:r>
      <w:r>
        <w:rPr>
          <w:sz w:val="24"/>
        </w:rPr>
        <w:t>an</w:t>
      </w:r>
      <w:r>
        <w:rPr>
          <w:spacing w:val="-5"/>
          <w:sz w:val="24"/>
        </w:rPr>
        <w:t xml:space="preserve"> </w:t>
      </w:r>
      <w:r>
        <w:rPr>
          <w:sz w:val="24"/>
        </w:rPr>
        <w:t>unrelated</w:t>
      </w:r>
      <w:r>
        <w:rPr>
          <w:spacing w:val="-5"/>
          <w:sz w:val="24"/>
        </w:rPr>
        <w:t xml:space="preserve"> </w:t>
      </w:r>
      <w:r>
        <w:rPr>
          <w:sz w:val="24"/>
        </w:rPr>
        <w:t>entity</w:t>
      </w:r>
      <w:r>
        <w:rPr>
          <w:spacing w:val="-5"/>
          <w:sz w:val="24"/>
        </w:rPr>
        <w:t xml:space="preserve"> </w:t>
      </w:r>
      <w:r>
        <w:rPr>
          <w:sz w:val="24"/>
        </w:rPr>
        <w:t>with</w:t>
      </w:r>
      <w:r>
        <w:rPr>
          <w:spacing w:val="-5"/>
          <w:sz w:val="24"/>
        </w:rPr>
        <w:t xml:space="preserve"> </w:t>
      </w:r>
      <w:r>
        <w:rPr>
          <w:sz w:val="24"/>
        </w:rPr>
        <w:t>an arrangement that covers Medicare beneficiaries, or</w:t>
      </w:r>
    </w:p>
    <w:p>
      <w:pPr>
        <w:pStyle w:val="ListParagraph"/>
        <w:numPr>
          <w:ilvl w:val="4"/>
          <w:numId w:val="35"/>
        </w:numPr>
        <w:tabs>
          <w:tab w:val="left" w:pos="3384"/>
        </w:tabs>
        <w:spacing w:before="0" w:after="0" w:line="240" w:lineRule="auto"/>
        <w:ind w:left="3384" w:right="0" w:hanging="359"/>
        <w:jc w:val="left"/>
        <w:rPr>
          <w:sz w:val="24"/>
        </w:rPr>
      </w:pPr>
      <w:r>
        <w:rPr>
          <w:sz w:val="24"/>
        </w:rPr>
        <w:t>The</w:t>
      </w:r>
      <w:r>
        <w:rPr>
          <w:spacing w:val="-6"/>
          <w:sz w:val="24"/>
        </w:rPr>
        <w:t xml:space="preserve"> </w:t>
      </w:r>
      <w:r>
        <w:rPr>
          <w:sz w:val="24"/>
        </w:rPr>
        <w:t>MAO</w:t>
      </w:r>
      <w:r>
        <w:rPr>
          <w:spacing w:val="-2"/>
          <w:sz w:val="24"/>
        </w:rPr>
        <w:t xml:space="preserve"> </w:t>
      </w:r>
      <w:r>
        <w:rPr>
          <w:sz w:val="24"/>
        </w:rPr>
        <w:t>and</w:t>
      </w:r>
      <w:r>
        <w:rPr>
          <w:spacing w:val="1"/>
          <w:sz w:val="24"/>
        </w:rPr>
        <w:t xml:space="preserve"> </w:t>
      </w:r>
      <w:r>
        <w:rPr>
          <w:sz w:val="24"/>
        </w:rPr>
        <w:t>an</w:t>
      </w:r>
      <w:r>
        <w:rPr>
          <w:spacing w:val="-1"/>
          <w:sz w:val="24"/>
        </w:rPr>
        <w:t xml:space="preserve"> </w:t>
      </w:r>
      <w:r>
        <w:rPr>
          <w:sz w:val="24"/>
        </w:rPr>
        <w:t>unrelated</w:t>
      </w:r>
      <w:r>
        <w:rPr>
          <w:spacing w:val="-2"/>
          <w:sz w:val="24"/>
        </w:rPr>
        <w:t xml:space="preserve"> </w:t>
      </w:r>
      <w:r>
        <w:rPr>
          <w:sz w:val="24"/>
        </w:rPr>
        <w:t>party</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bid’s</w:t>
      </w:r>
      <w:r>
        <w:rPr>
          <w:spacing w:val="-2"/>
          <w:sz w:val="24"/>
        </w:rPr>
        <w:t xml:space="preserve"> </w:t>
      </w:r>
      <w:r>
        <w:rPr>
          <w:sz w:val="24"/>
        </w:rPr>
        <w:t>service</w:t>
      </w:r>
      <w:r>
        <w:rPr>
          <w:spacing w:val="-2"/>
          <w:sz w:val="24"/>
        </w:rPr>
        <w:t xml:space="preserve"> area.</w:t>
      </w:r>
    </w:p>
    <w:p>
      <w:pPr>
        <w:pStyle w:val="BodyText"/>
        <w:spacing w:before="120"/>
        <w:ind w:left="2664" w:right="1481"/>
      </w:pPr>
      <w:r>
        <w:t>To</w:t>
      </w:r>
      <w:r>
        <w:rPr>
          <w:spacing w:val="-4"/>
        </w:rPr>
        <w:t xml:space="preserve"> </w:t>
      </w:r>
      <w:r>
        <w:t>meet</w:t>
      </w:r>
      <w:r>
        <w:rPr>
          <w:spacing w:val="-4"/>
        </w:rPr>
        <w:t xml:space="preserve"> </w:t>
      </w:r>
      <w:r>
        <w:t>this</w:t>
      </w:r>
      <w:r>
        <w:rPr>
          <w:spacing w:val="-4"/>
        </w:rPr>
        <w:t xml:space="preserve"> </w:t>
      </w:r>
      <w:r>
        <w:t>requirement,</w:t>
      </w:r>
      <w:r>
        <w:rPr>
          <w:spacing w:val="-4"/>
        </w:rPr>
        <w:t xml:space="preserve"> </w:t>
      </w:r>
      <w:r>
        <w:t>the</w:t>
      </w:r>
      <w:r>
        <w:rPr>
          <w:spacing w:val="-4"/>
        </w:rPr>
        <w:t xml:space="preserve"> </w:t>
      </w:r>
      <w:r>
        <w:t>MAO</w:t>
      </w:r>
      <w:r>
        <w:rPr>
          <w:spacing w:val="-4"/>
        </w:rPr>
        <w:t xml:space="preserve"> </w:t>
      </w:r>
      <w:r>
        <w:t>must</w:t>
      </w:r>
      <w:r>
        <w:rPr>
          <w:spacing w:val="-4"/>
        </w:rPr>
        <w:t xml:space="preserve"> </w:t>
      </w:r>
      <w:r>
        <w:t>demonstrate</w:t>
      </w:r>
      <w:r>
        <w:rPr>
          <w:spacing w:val="-4"/>
        </w:rPr>
        <w:t xml:space="preserve"> </w:t>
      </w:r>
      <w:r>
        <w:t>at</w:t>
      </w:r>
      <w:r>
        <w:rPr>
          <w:spacing w:val="-4"/>
        </w:rPr>
        <w:t xml:space="preserve"> </w:t>
      </w:r>
      <w:r>
        <w:t>the</w:t>
      </w:r>
      <w:r>
        <w:rPr>
          <w:spacing w:val="-4"/>
        </w:rPr>
        <w:t xml:space="preserve"> </w:t>
      </w:r>
      <w:r>
        <w:t>time</w:t>
      </w:r>
      <w:r>
        <w:rPr>
          <w:spacing w:val="-4"/>
        </w:rPr>
        <w:t xml:space="preserve"> </w:t>
      </w:r>
      <w:r>
        <w:t>of</w:t>
      </w:r>
      <w:r>
        <w:rPr>
          <w:spacing w:val="-5"/>
        </w:rPr>
        <w:t xml:space="preserve"> </w:t>
      </w:r>
      <w:r>
        <w:t>bid submission that—</w:t>
      </w:r>
    </w:p>
    <w:p>
      <w:pPr>
        <w:pStyle w:val="ListParagraph"/>
        <w:numPr>
          <w:ilvl w:val="4"/>
          <w:numId w:val="35"/>
        </w:numPr>
        <w:tabs>
          <w:tab w:val="left" w:pos="3385"/>
        </w:tabs>
        <w:spacing w:before="121" w:after="0" w:line="240" w:lineRule="auto"/>
        <w:ind w:left="3385" w:right="1503" w:hanging="360"/>
        <w:jc w:val="left"/>
        <w:rPr>
          <w:sz w:val="24"/>
        </w:rPr>
      </w:pPr>
      <w:r>
        <w:rPr>
          <w:sz w:val="24"/>
        </w:rPr>
        <w:t>The</w:t>
      </w:r>
      <w:r>
        <w:rPr>
          <w:spacing w:val="-7"/>
          <w:sz w:val="24"/>
        </w:rPr>
        <w:t xml:space="preserve"> </w:t>
      </w:r>
      <w:r>
        <w:rPr>
          <w:sz w:val="24"/>
        </w:rPr>
        <w:t>contract</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unrelated</w:t>
      </w:r>
      <w:r>
        <w:rPr>
          <w:spacing w:val="-5"/>
          <w:sz w:val="24"/>
        </w:rPr>
        <w:t xml:space="preserve"> </w:t>
      </w:r>
      <w:r>
        <w:rPr>
          <w:sz w:val="24"/>
        </w:rPr>
        <w:t>party</w:t>
      </w:r>
      <w:r>
        <w:rPr>
          <w:spacing w:val="-5"/>
          <w:sz w:val="24"/>
        </w:rPr>
        <w:t xml:space="preserve"> </w:t>
      </w:r>
      <w:r>
        <w:rPr>
          <w:sz w:val="24"/>
        </w:rPr>
        <w:t>is</w:t>
      </w:r>
      <w:r>
        <w:rPr>
          <w:spacing w:val="-6"/>
          <w:sz w:val="24"/>
        </w:rPr>
        <w:t xml:space="preserve"> </w:t>
      </w:r>
      <w:r>
        <w:rPr>
          <w:sz w:val="24"/>
        </w:rPr>
        <w:t>associated</w:t>
      </w:r>
      <w:r>
        <w:rPr>
          <w:spacing w:val="-3"/>
          <w:sz w:val="24"/>
        </w:rPr>
        <w:t xml:space="preserve"> </w:t>
      </w:r>
      <w:r>
        <w:rPr>
          <w:sz w:val="24"/>
        </w:rPr>
        <w:t>with</w:t>
      </w:r>
      <w:r>
        <w:rPr>
          <w:spacing w:val="-5"/>
          <w:sz w:val="24"/>
        </w:rPr>
        <w:t xml:space="preserve"> </w:t>
      </w:r>
      <w:r>
        <w:rPr>
          <w:sz w:val="24"/>
        </w:rPr>
        <w:t>sufficient costs of services to be considered a valid comparison.</w:t>
      </w:r>
    </w:p>
    <w:p>
      <w:pPr>
        <w:pStyle w:val="ListParagraph"/>
        <w:numPr>
          <w:ilvl w:val="4"/>
          <w:numId w:val="35"/>
        </w:numPr>
        <w:tabs>
          <w:tab w:val="left" w:pos="3385"/>
        </w:tabs>
        <w:spacing w:before="0" w:after="0" w:line="240" w:lineRule="auto"/>
        <w:ind w:left="3385" w:right="2062" w:hanging="360"/>
        <w:jc w:val="left"/>
        <w:rPr>
          <w:sz w:val="24"/>
        </w:rPr>
      </w:pPr>
      <w:r>
        <w:rPr>
          <w:sz w:val="24"/>
        </w:rPr>
        <w:t>The service categories included in the unrelated-party arrangement</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similar</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service</w:t>
      </w:r>
      <w:r>
        <w:rPr>
          <w:spacing w:val="-4"/>
          <w:sz w:val="24"/>
        </w:rPr>
        <w:t xml:space="preserve"> </w:t>
      </w:r>
      <w:r>
        <w:rPr>
          <w:sz w:val="24"/>
        </w:rPr>
        <w:t>categories</w:t>
      </w:r>
      <w:r>
        <w:rPr>
          <w:spacing w:val="-6"/>
          <w:sz w:val="24"/>
        </w:rPr>
        <w:t xml:space="preserve"> </w:t>
      </w:r>
      <w:r>
        <w:rPr>
          <w:sz w:val="24"/>
        </w:rPr>
        <w:t>in</w:t>
      </w:r>
      <w:r>
        <w:rPr>
          <w:spacing w:val="-5"/>
          <w:sz w:val="24"/>
        </w:rPr>
        <w:t xml:space="preserve"> </w:t>
      </w:r>
      <w:r>
        <w:rPr>
          <w:sz w:val="24"/>
        </w:rPr>
        <w:t>the related-party arrangement.</w:t>
      </w:r>
    </w:p>
    <w:p>
      <w:pPr>
        <w:pStyle w:val="ListParagraph"/>
        <w:numPr>
          <w:ilvl w:val="4"/>
          <w:numId w:val="35"/>
        </w:numPr>
        <w:tabs>
          <w:tab w:val="left" w:pos="3385"/>
        </w:tabs>
        <w:spacing w:before="0" w:after="0" w:line="240" w:lineRule="auto"/>
        <w:ind w:left="3385" w:right="1721" w:hanging="360"/>
        <w:jc w:val="both"/>
        <w:rPr>
          <w:sz w:val="24"/>
        </w:rPr>
      </w:pPr>
      <w:r>
        <w:rPr>
          <w:sz w:val="24"/>
        </w:rPr>
        <w:t>The</w:t>
      </w:r>
      <w:r>
        <w:rPr>
          <w:spacing w:val="-6"/>
          <w:sz w:val="24"/>
        </w:rPr>
        <w:t xml:space="preserve"> </w:t>
      </w:r>
      <w:r>
        <w:rPr>
          <w:sz w:val="24"/>
        </w:rPr>
        <w:t>utilization</w:t>
      </w:r>
      <w:r>
        <w:rPr>
          <w:spacing w:val="-4"/>
          <w:sz w:val="24"/>
        </w:rPr>
        <w:t xml:space="preserve"> </w:t>
      </w:r>
      <w:r>
        <w:rPr>
          <w:sz w:val="24"/>
        </w:rPr>
        <w:t>being</w:t>
      </w:r>
      <w:r>
        <w:rPr>
          <w:spacing w:val="-4"/>
          <w:sz w:val="24"/>
        </w:rPr>
        <w:t xml:space="preserve"> </w:t>
      </w:r>
      <w:r>
        <w:rPr>
          <w:sz w:val="24"/>
        </w:rPr>
        <w:t>priced</w:t>
      </w:r>
      <w:r>
        <w:rPr>
          <w:spacing w:val="-4"/>
          <w:sz w:val="24"/>
        </w:rPr>
        <w:t xml:space="preserve"> </w:t>
      </w:r>
      <w:r>
        <w:rPr>
          <w:sz w:val="24"/>
        </w:rPr>
        <w:t>either</w:t>
      </w:r>
      <w:r>
        <w:rPr>
          <w:spacing w:val="-4"/>
          <w:sz w:val="24"/>
        </w:rPr>
        <w:t xml:space="preserve"> </w:t>
      </w:r>
      <w:r>
        <w:rPr>
          <w:sz w:val="24"/>
        </w:rPr>
        <w:t>is</w:t>
      </w:r>
      <w:r>
        <w:rPr>
          <w:spacing w:val="-4"/>
          <w:sz w:val="24"/>
        </w:rPr>
        <w:t xml:space="preserve"> </w:t>
      </w:r>
      <w:r>
        <w:rPr>
          <w:sz w:val="24"/>
        </w:rPr>
        <w:t>aggregated</w:t>
      </w:r>
      <w:r>
        <w:rPr>
          <w:spacing w:val="-3"/>
          <w:sz w:val="24"/>
        </w:rPr>
        <w:t xml:space="preserve"> </w:t>
      </w:r>
      <w:r>
        <w:rPr>
          <w:sz w:val="24"/>
        </w:rPr>
        <w:t>for</w:t>
      </w:r>
      <w:r>
        <w:rPr>
          <w:spacing w:val="-4"/>
          <w:sz w:val="24"/>
        </w:rPr>
        <w:t xml:space="preserve"> </w:t>
      </w:r>
      <w:r>
        <w:rPr>
          <w:sz w:val="24"/>
        </w:rPr>
        <w:t>all</w:t>
      </w:r>
      <w:r>
        <w:rPr>
          <w:spacing w:val="-4"/>
          <w:sz w:val="24"/>
        </w:rPr>
        <w:t xml:space="preserve"> </w:t>
      </w:r>
      <w:r>
        <w:rPr>
          <w:sz w:val="24"/>
        </w:rPr>
        <w:t>the</w:t>
      </w:r>
      <w:r>
        <w:rPr>
          <w:spacing w:val="-4"/>
          <w:sz w:val="24"/>
        </w:rPr>
        <w:t xml:space="preserve"> </w:t>
      </w:r>
      <w:r>
        <w:rPr>
          <w:sz w:val="24"/>
        </w:rPr>
        <w:t>bids that utilize the related-party arrangement or is compared at the bid level.</w:t>
      </w:r>
    </w:p>
    <w:p>
      <w:pPr>
        <w:pStyle w:val="ListParagraph"/>
        <w:numPr>
          <w:ilvl w:val="4"/>
          <w:numId w:val="35"/>
        </w:numPr>
        <w:tabs>
          <w:tab w:val="left" w:pos="3385"/>
        </w:tabs>
        <w:spacing w:before="0" w:after="0" w:line="240" w:lineRule="auto"/>
        <w:ind w:left="3385" w:right="1735" w:hanging="360"/>
        <w:jc w:val="left"/>
        <w:rPr>
          <w:sz w:val="24"/>
        </w:rPr>
      </w:pPr>
      <w:r>
        <w:rPr>
          <w:sz w:val="24"/>
        </w:rPr>
        <w:t>The results of pricing the utilization associated with such arrangements</w:t>
      </w:r>
      <w:r>
        <w:rPr>
          <w:spacing w:val="-6"/>
          <w:sz w:val="24"/>
        </w:rPr>
        <w:t xml:space="preserve"> </w:t>
      </w:r>
      <w:r>
        <w:rPr>
          <w:sz w:val="24"/>
        </w:rPr>
        <w:t>are</w:t>
      </w:r>
      <w:r>
        <w:rPr>
          <w:spacing w:val="-6"/>
          <w:sz w:val="24"/>
        </w:rPr>
        <w:t xml:space="preserve"> </w:t>
      </w:r>
      <w:r>
        <w:rPr>
          <w:sz w:val="24"/>
        </w:rPr>
        <w:t>within</w:t>
      </w:r>
      <w:r>
        <w:rPr>
          <w:spacing w:val="-5"/>
          <w:sz w:val="24"/>
        </w:rPr>
        <w:t xml:space="preserve"> </w:t>
      </w:r>
      <w:r>
        <w:rPr>
          <w:sz w:val="24"/>
        </w:rPr>
        <w:t>5</w:t>
      </w:r>
      <w:r>
        <w:rPr>
          <w:spacing w:val="-4"/>
          <w:sz w:val="24"/>
        </w:rPr>
        <w:t xml:space="preserve"> </w:t>
      </w:r>
      <w:r>
        <w:rPr>
          <w:sz w:val="24"/>
        </w:rPr>
        <w:t>percent</w:t>
      </w:r>
      <w:r>
        <w:rPr>
          <w:spacing w:val="-5"/>
          <w:sz w:val="24"/>
        </w:rPr>
        <w:t xml:space="preserve"> </w:t>
      </w:r>
      <w:r>
        <w:rPr>
          <w:sz w:val="24"/>
        </w:rPr>
        <w:t>or</w:t>
      </w:r>
      <w:r>
        <w:rPr>
          <w:spacing w:val="-5"/>
          <w:sz w:val="24"/>
        </w:rPr>
        <w:t xml:space="preserve"> </w:t>
      </w:r>
      <w:r>
        <w:rPr>
          <w:sz w:val="24"/>
        </w:rPr>
        <w:t>$2</w:t>
      </w:r>
      <w:r>
        <w:rPr>
          <w:spacing w:val="-6"/>
          <w:sz w:val="24"/>
        </w:rPr>
        <w:t xml:space="preserve"> </w:t>
      </w:r>
      <w:r>
        <w:rPr>
          <w:sz w:val="24"/>
        </w:rPr>
        <w:t>PMPM—whichever</w:t>
      </w:r>
      <w:r>
        <w:rPr>
          <w:spacing w:val="-5"/>
          <w:sz w:val="24"/>
        </w:rPr>
        <w:t xml:space="preserve"> </w:t>
      </w:r>
      <w:r>
        <w:rPr>
          <w:sz w:val="24"/>
        </w:rPr>
        <w:t xml:space="preserve">is </w:t>
      </w:r>
      <w:r>
        <w:rPr>
          <w:spacing w:val="-2"/>
          <w:sz w:val="24"/>
        </w:rPr>
        <w:t>greater.</w:t>
      </w:r>
    </w:p>
    <w:p>
      <w:pPr>
        <w:pStyle w:val="ListParagraph"/>
        <w:numPr>
          <w:ilvl w:val="4"/>
          <w:numId w:val="35"/>
        </w:numPr>
        <w:tabs>
          <w:tab w:val="left" w:pos="3385"/>
        </w:tabs>
        <w:spacing w:before="0" w:after="0" w:line="240" w:lineRule="auto"/>
        <w:ind w:left="3385" w:right="1705" w:hanging="360"/>
        <w:jc w:val="left"/>
        <w:rPr>
          <w:sz w:val="24"/>
        </w:rPr>
      </w:pPr>
      <w:r>
        <w:rPr>
          <w:sz w:val="24"/>
        </w:rPr>
        <w:t>For a related-party medical arrangement between the related-party organization and an unrelated entity, provide a signed attestation</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related</w:t>
      </w:r>
      <w:r>
        <w:rPr>
          <w:spacing w:val="-5"/>
          <w:sz w:val="24"/>
        </w:rPr>
        <w:t xml:space="preserve"> </w:t>
      </w:r>
      <w:r>
        <w:rPr>
          <w:sz w:val="24"/>
        </w:rPr>
        <w:t>party</w:t>
      </w:r>
      <w:r>
        <w:rPr>
          <w:spacing w:val="-5"/>
          <w:sz w:val="24"/>
        </w:rPr>
        <w:t xml:space="preserve"> </w:t>
      </w:r>
      <w:r>
        <w:rPr>
          <w:sz w:val="24"/>
        </w:rPr>
        <w:t>stating</w:t>
      </w:r>
      <w:r>
        <w:rPr>
          <w:spacing w:val="-5"/>
          <w:sz w:val="24"/>
        </w:rPr>
        <w:t xml:space="preserve"> </w:t>
      </w:r>
      <w:r>
        <w:rPr>
          <w:sz w:val="24"/>
        </w:rPr>
        <w:t>that</w:t>
      </w:r>
      <w:r>
        <w:rPr>
          <w:spacing w:val="-5"/>
          <w:sz w:val="24"/>
        </w:rPr>
        <w:t xml:space="preserve"> </w:t>
      </w:r>
      <w:r>
        <w:rPr>
          <w:sz w:val="24"/>
        </w:rPr>
        <w:t>the</w:t>
      </w:r>
      <w:r>
        <w:rPr>
          <w:spacing w:val="-6"/>
          <w:sz w:val="24"/>
        </w:rPr>
        <w:t xml:space="preserve"> </w:t>
      </w:r>
      <w:r>
        <w:rPr>
          <w:sz w:val="24"/>
        </w:rPr>
        <w:t>actual</w:t>
      </w:r>
      <w:r>
        <w:rPr>
          <w:spacing w:val="-5"/>
          <w:sz w:val="24"/>
        </w:rPr>
        <w:t xml:space="preserve"> </w:t>
      </w:r>
      <w:r>
        <w:rPr>
          <w:sz w:val="24"/>
        </w:rPr>
        <w:t>contract will be available for review upon request by CMS.</w:t>
      </w:r>
    </w:p>
    <w:p>
      <w:pPr>
        <w:pStyle w:val="ListParagraph"/>
        <w:numPr>
          <w:ilvl w:val="3"/>
          <w:numId w:val="35"/>
        </w:numPr>
        <w:tabs>
          <w:tab w:val="left" w:pos="2663"/>
        </w:tabs>
        <w:spacing w:before="121" w:after="0" w:line="240" w:lineRule="auto"/>
        <w:ind w:left="2663" w:right="0" w:hanging="359"/>
        <w:jc w:val="left"/>
        <w:rPr>
          <w:sz w:val="24"/>
        </w:rPr>
      </w:pPr>
      <w:r>
        <w:rPr>
          <w:sz w:val="24"/>
          <w:u w:val="single"/>
        </w:rPr>
        <w:t>Fee-For-Service</w:t>
      </w:r>
      <w:r>
        <w:rPr>
          <w:spacing w:val="-3"/>
          <w:sz w:val="24"/>
          <w:u w:val="single"/>
        </w:rPr>
        <w:t xml:space="preserve"> </w:t>
      </w:r>
      <w:r>
        <w:rPr>
          <w:sz w:val="24"/>
          <w:u w:val="single"/>
        </w:rPr>
        <w:t>Comparison</w:t>
      </w:r>
      <w:r>
        <w:rPr>
          <w:spacing w:val="-2"/>
          <w:sz w:val="24"/>
          <w:u w:val="single"/>
        </w:rPr>
        <w:t xml:space="preserve"> </w:t>
      </w:r>
      <w:r>
        <w:rPr>
          <w:sz w:val="24"/>
          <w:u w:val="single"/>
        </w:rPr>
        <w:t>for</w:t>
      </w:r>
      <w:r>
        <w:rPr>
          <w:spacing w:val="-2"/>
          <w:sz w:val="24"/>
          <w:u w:val="single"/>
        </w:rPr>
        <w:t xml:space="preserve"> </w:t>
      </w:r>
      <w:r>
        <w:rPr>
          <w:sz w:val="24"/>
          <w:u w:val="single"/>
        </w:rPr>
        <w:t>Medical</w:t>
      </w:r>
      <w:r>
        <w:rPr>
          <w:spacing w:val="-2"/>
          <w:sz w:val="24"/>
          <w:u w:val="single"/>
        </w:rPr>
        <w:t xml:space="preserve"> Services</w:t>
      </w:r>
    </w:p>
    <w:p>
      <w:pPr>
        <w:pStyle w:val="BodyText"/>
        <w:spacing w:before="120"/>
        <w:ind w:left="2664" w:right="1481"/>
      </w:pPr>
      <w:r>
        <w:t>Either</w:t>
      </w:r>
      <w:r>
        <w:rPr>
          <w:spacing w:val="-5"/>
        </w:rPr>
        <w:t xml:space="preserve"> </w:t>
      </w:r>
      <w:r>
        <w:t>demonstrate</w:t>
      </w:r>
      <w:r>
        <w:rPr>
          <w:spacing w:val="-3"/>
        </w:rPr>
        <w:t xml:space="preserve"> </w:t>
      </w:r>
      <w:r>
        <w:t>at</w:t>
      </w:r>
      <w:r>
        <w:rPr>
          <w:spacing w:val="-4"/>
        </w:rPr>
        <w:t xml:space="preserve"> </w:t>
      </w:r>
      <w:r>
        <w:t>the</w:t>
      </w:r>
      <w:r>
        <w:rPr>
          <w:spacing w:val="-5"/>
        </w:rPr>
        <w:t xml:space="preserve"> </w:t>
      </w:r>
      <w:r>
        <w:t>time</w:t>
      </w:r>
      <w:r>
        <w:rPr>
          <w:spacing w:val="-4"/>
        </w:rPr>
        <w:t xml:space="preserve"> </w:t>
      </w:r>
      <w:r>
        <w:t>of</w:t>
      </w:r>
      <w:r>
        <w:rPr>
          <w:spacing w:val="-6"/>
        </w:rPr>
        <w:t xml:space="preserve"> </w:t>
      </w:r>
      <w:r>
        <w:t>bid</w:t>
      </w:r>
      <w:r>
        <w:rPr>
          <w:spacing w:val="-4"/>
        </w:rPr>
        <w:t xml:space="preserve"> </w:t>
      </w:r>
      <w:r>
        <w:t>submission</w:t>
      </w:r>
      <w:r>
        <w:rPr>
          <w:spacing w:val="-4"/>
        </w:rPr>
        <w:t xml:space="preserve"> </w:t>
      </w:r>
      <w:r>
        <w:t>that</w:t>
      </w:r>
      <w:r>
        <w:rPr>
          <w:spacing w:val="-4"/>
        </w:rPr>
        <w:t xml:space="preserve"> </w:t>
      </w:r>
      <w:r>
        <w:t>the</w:t>
      </w:r>
      <w:r>
        <w:rPr>
          <w:spacing w:val="-5"/>
        </w:rPr>
        <w:t xml:space="preserve"> </w:t>
      </w:r>
      <w:r>
        <w:t>fees</w:t>
      </w:r>
      <w:r>
        <w:rPr>
          <w:spacing w:val="-2"/>
        </w:rPr>
        <w:t xml:space="preserve"> </w:t>
      </w:r>
      <w:r>
        <w:t>associated with the related-party arrangement are comparable to 100 percent FFS costs, that is, within 5 percent or $2 PMPM—whichever is greater, or</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left="2664" w:right="1800"/>
        <w:jc w:val="both"/>
      </w:pPr>
      <w:r>
        <w:t>Demonstrate</w:t>
      </w:r>
      <w:r>
        <w:rPr>
          <w:spacing w:val="-4"/>
        </w:rPr>
        <w:t xml:space="preserve"> </w:t>
      </w:r>
      <w:r>
        <w:t>by</w:t>
      </w:r>
      <w:r>
        <w:rPr>
          <w:spacing w:val="-4"/>
        </w:rPr>
        <w:t xml:space="preserve"> </w:t>
      </w:r>
      <w:r>
        <w:t>pricing</w:t>
      </w:r>
      <w:r>
        <w:rPr>
          <w:spacing w:val="-4"/>
        </w:rPr>
        <w:t xml:space="preserve"> </w:t>
      </w:r>
      <w:r>
        <w:t>the</w:t>
      </w:r>
      <w:r>
        <w:rPr>
          <w:spacing w:val="-5"/>
        </w:rPr>
        <w:t xml:space="preserve"> </w:t>
      </w:r>
      <w:r>
        <w:t>utilization</w:t>
      </w:r>
      <w:r>
        <w:rPr>
          <w:spacing w:val="-4"/>
        </w:rPr>
        <w:t xml:space="preserve"> </w:t>
      </w:r>
      <w:r>
        <w:t>of</w:t>
      </w:r>
      <w:r>
        <w:rPr>
          <w:spacing w:val="-5"/>
        </w:rPr>
        <w:t xml:space="preserve"> </w:t>
      </w:r>
      <w:r>
        <w:t>the</w:t>
      </w:r>
      <w:r>
        <w:rPr>
          <w:spacing w:val="-4"/>
        </w:rPr>
        <w:t xml:space="preserve"> </w:t>
      </w:r>
      <w:r>
        <w:t>related</w:t>
      </w:r>
      <w:r>
        <w:rPr>
          <w:spacing w:val="-4"/>
        </w:rPr>
        <w:t xml:space="preserve"> </w:t>
      </w:r>
      <w:r>
        <w:t>party</w:t>
      </w:r>
      <w:r>
        <w:rPr>
          <w:spacing w:val="-4"/>
        </w:rPr>
        <w:t xml:space="preserve"> </w:t>
      </w:r>
      <w:r>
        <w:t>through</w:t>
      </w:r>
      <w:r>
        <w:rPr>
          <w:spacing w:val="-4"/>
        </w:rPr>
        <w:t xml:space="preserve"> </w:t>
      </w:r>
      <w:r>
        <w:t>the FFS</w:t>
      </w:r>
      <w:r>
        <w:rPr>
          <w:spacing w:val="-4"/>
        </w:rPr>
        <w:t xml:space="preserve"> </w:t>
      </w:r>
      <w:r>
        <w:t>fee</w:t>
      </w:r>
      <w:r>
        <w:rPr>
          <w:spacing w:val="-5"/>
        </w:rPr>
        <w:t xml:space="preserve"> </w:t>
      </w:r>
      <w:r>
        <w:t>schedules</w:t>
      </w:r>
      <w:r>
        <w:rPr>
          <w:spacing w:val="-5"/>
        </w:rPr>
        <w:t xml:space="preserve"> </w:t>
      </w:r>
      <w:r>
        <w:t>that</w:t>
      </w:r>
      <w:r>
        <w:rPr>
          <w:spacing w:val="-4"/>
        </w:rPr>
        <w:t xml:space="preserve"> </w:t>
      </w:r>
      <w:r>
        <w:t>the</w:t>
      </w:r>
      <w:r>
        <w:rPr>
          <w:spacing w:val="-5"/>
        </w:rPr>
        <w:t xml:space="preserve"> </w:t>
      </w:r>
      <w:r>
        <w:t>financial</w:t>
      </w:r>
      <w:r>
        <w:rPr>
          <w:spacing w:val="-2"/>
        </w:rPr>
        <w:t xml:space="preserve"> </w:t>
      </w:r>
      <w:r>
        <w:t>results</w:t>
      </w:r>
      <w:r>
        <w:rPr>
          <w:spacing w:val="-5"/>
        </w:rPr>
        <w:t xml:space="preserve"> </w:t>
      </w:r>
      <w:r>
        <w:t>are</w:t>
      </w:r>
      <w:r>
        <w:rPr>
          <w:spacing w:val="-4"/>
        </w:rPr>
        <w:t xml:space="preserve"> </w:t>
      </w:r>
      <w:r>
        <w:t>comparable</w:t>
      </w:r>
      <w:r>
        <w:rPr>
          <w:spacing w:val="-4"/>
        </w:rPr>
        <w:t xml:space="preserve"> </w:t>
      </w:r>
      <w:r>
        <w:t>to</w:t>
      </w:r>
      <w:r>
        <w:rPr>
          <w:spacing w:val="-4"/>
        </w:rPr>
        <w:t xml:space="preserve"> </w:t>
      </w:r>
      <w:r>
        <w:t>the</w:t>
      </w:r>
      <w:r>
        <w:rPr>
          <w:spacing w:val="-3"/>
        </w:rPr>
        <w:t xml:space="preserve"> </w:t>
      </w:r>
      <w:r>
        <w:t>FFS reimbursements,</w:t>
      </w:r>
      <w:r>
        <w:rPr>
          <w:spacing w:val="-4"/>
        </w:rPr>
        <w:t xml:space="preserve"> </w:t>
      </w:r>
      <w:r>
        <w:t>that</w:t>
      </w:r>
      <w:r>
        <w:rPr>
          <w:spacing w:val="-4"/>
        </w:rPr>
        <w:t xml:space="preserve"> </w:t>
      </w:r>
      <w:r>
        <w:t>is,</w:t>
      </w:r>
      <w:r>
        <w:rPr>
          <w:spacing w:val="-4"/>
        </w:rPr>
        <w:t xml:space="preserve"> </w:t>
      </w:r>
      <w:r>
        <w:t>within</w:t>
      </w:r>
      <w:r>
        <w:rPr>
          <w:spacing w:val="-4"/>
        </w:rPr>
        <w:t xml:space="preserve"> </w:t>
      </w:r>
      <w:r>
        <w:t>5</w:t>
      </w:r>
      <w:r>
        <w:rPr>
          <w:spacing w:val="-4"/>
        </w:rPr>
        <w:t xml:space="preserve"> </w:t>
      </w:r>
      <w:r>
        <w:t>percent</w:t>
      </w:r>
      <w:r>
        <w:rPr>
          <w:spacing w:val="-4"/>
        </w:rPr>
        <w:t xml:space="preserve"> </w:t>
      </w:r>
      <w:r>
        <w:t>or</w:t>
      </w:r>
      <w:r>
        <w:rPr>
          <w:spacing w:val="-4"/>
        </w:rPr>
        <w:t xml:space="preserve"> </w:t>
      </w:r>
      <w:r>
        <w:t>$2</w:t>
      </w:r>
      <w:r>
        <w:rPr>
          <w:spacing w:val="-4"/>
        </w:rPr>
        <w:t xml:space="preserve"> </w:t>
      </w:r>
      <w:r>
        <w:t>PMPM—whichever</w:t>
      </w:r>
      <w:r>
        <w:rPr>
          <w:spacing w:val="-4"/>
        </w:rPr>
        <w:t xml:space="preserve"> </w:t>
      </w:r>
      <w:r>
        <w:t xml:space="preserve">is </w:t>
      </w:r>
      <w:r>
        <w:rPr>
          <w:spacing w:val="-2"/>
        </w:rPr>
        <w:t>greater.</w:t>
      </w:r>
    </w:p>
    <w:p>
      <w:pPr>
        <w:pStyle w:val="BodyText"/>
        <w:spacing w:before="120"/>
        <w:ind w:left="2664" w:right="1524"/>
      </w:pPr>
      <w:r>
        <w:t>To</w:t>
      </w:r>
      <w:r>
        <w:rPr>
          <w:spacing w:val="-4"/>
        </w:rPr>
        <w:t xml:space="preserve"> </w:t>
      </w:r>
      <w:r>
        <w:t>meet</w:t>
      </w:r>
      <w:r>
        <w:rPr>
          <w:spacing w:val="-4"/>
        </w:rPr>
        <w:t xml:space="preserve"> </w:t>
      </w:r>
      <w:r>
        <w:t>this</w:t>
      </w:r>
      <w:r>
        <w:rPr>
          <w:spacing w:val="-4"/>
        </w:rPr>
        <w:t xml:space="preserve"> </w:t>
      </w:r>
      <w:r>
        <w:t>requirement,</w:t>
      </w:r>
      <w:r>
        <w:rPr>
          <w:spacing w:val="-4"/>
        </w:rPr>
        <w:t xml:space="preserve"> </w:t>
      </w:r>
      <w:r>
        <w:t>the</w:t>
      </w:r>
      <w:r>
        <w:rPr>
          <w:spacing w:val="-4"/>
        </w:rPr>
        <w:t xml:space="preserve"> </w:t>
      </w:r>
      <w:r>
        <w:t>MAO</w:t>
      </w:r>
      <w:r>
        <w:rPr>
          <w:spacing w:val="-4"/>
        </w:rPr>
        <w:t xml:space="preserve"> </w:t>
      </w:r>
      <w:r>
        <w:t>must</w:t>
      </w:r>
      <w:r>
        <w:rPr>
          <w:spacing w:val="-4"/>
        </w:rPr>
        <w:t xml:space="preserve"> </w:t>
      </w:r>
      <w:r>
        <w:t>demonstrate</w:t>
      </w:r>
      <w:r>
        <w:rPr>
          <w:spacing w:val="-4"/>
        </w:rPr>
        <w:t xml:space="preserve"> </w:t>
      </w:r>
      <w:r>
        <w:t>at</w:t>
      </w:r>
      <w:r>
        <w:rPr>
          <w:spacing w:val="-4"/>
        </w:rPr>
        <w:t xml:space="preserve"> </w:t>
      </w:r>
      <w:r>
        <w:t>the</w:t>
      </w:r>
      <w:r>
        <w:rPr>
          <w:spacing w:val="-4"/>
        </w:rPr>
        <w:t xml:space="preserve"> </w:t>
      </w:r>
      <w:r>
        <w:t>time</w:t>
      </w:r>
      <w:r>
        <w:rPr>
          <w:spacing w:val="-4"/>
        </w:rPr>
        <w:t xml:space="preserve"> </w:t>
      </w:r>
      <w:r>
        <w:t>of</w:t>
      </w:r>
      <w:r>
        <w:rPr>
          <w:spacing w:val="-5"/>
        </w:rPr>
        <w:t xml:space="preserve"> </w:t>
      </w:r>
      <w:r>
        <w:t>bid submission that the utilization being priced either is aggregated for all the bids that utilize the related-party arrangement or is compared at the bid level.</w:t>
      </w:r>
    </w:p>
    <w:p>
      <w:pPr>
        <w:pStyle w:val="ListParagraph"/>
        <w:numPr>
          <w:ilvl w:val="3"/>
          <w:numId w:val="35"/>
        </w:numPr>
        <w:tabs>
          <w:tab w:val="left" w:pos="2664"/>
        </w:tabs>
        <w:spacing w:before="120" w:after="0" w:line="240" w:lineRule="auto"/>
        <w:ind w:left="2664" w:right="0" w:hanging="360"/>
        <w:jc w:val="left"/>
        <w:rPr>
          <w:sz w:val="24"/>
        </w:rPr>
      </w:pPr>
      <w:r>
        <w:rPr>
          <w:sz w:val="24"/>
          <w:u w:val="single"/>
        </w:rPr>
        <w:t>Actual</w:t>
      </w:r>
      <w:r>
        <w:rPr>
          <w:spacing w:val="-2"/>
          <w:sz w:val="24"/>
          <w:u w:val="single"/>
        </w:rPr>
        <w:t xml:space="preserve"> </w:t>
      </w:r>
      <w:r>
        <w:rPr>
          <w:sz w:val="24"/>
          <w:u w:val="single"/>
        </w:rPr>
        <w:t>Cost</w:t>
      </w:r>
      <w:r>
        <w:rPr>
          <w:spacing w:val="-1"/>
          <w:sz w:val="24"/>
          <w:u w:val="single"/>
        </w:rPr>
        <w:t xml:space="preserve"> </w:t>
      </w:r>
      <w:r>
        <w:rPr>
          <w:sz w:val="24"/>
          <w:u w:val="single"/>
        </w:rPr>
        <w:t>Comparison</w:t>
      </w:r>
      <w:r>
        <w:rPr>
          <w:spacing w:val="-1"/>
          <w:sz w:val="24"/>
          <w:u w:val="single"/>
        </w:rPr>
        <w:t xml:space="preserve"> </w:t>
      </w:r>
      <w:r>
        <w:rPr>
          <w:sz w:val="24"/>
          <w:u w:val="single"/>
        </w:rPr>
        <w:t>for</w:t>
      </w:r>
      <w:r>
        <w:rPr>
          <w:spacing w:val="-4"/>
          <w:sz w:val="24"/>
          <w:u w:val="single"/>
        </w:rPr>
        <w:t xml:space="preserve"> </w:t>
      </w:r>
      <w:r>
        <w:rPr>
          <w:sz w:val="24"/>
          <w:u w:val="single"/>
        </w:rPr>
        <w:t>Medical</w:t>
      </w:r>
      <w:r>
        <w:rPr>
          <w:spacing w:val="-1"/>
          <w:sz w:val="24"/>
          <w:u w:val="single"/>
        </w:rPr>
        <w:t xml:space="preserve"> </w:t>
      </w:r>
      <w:r>
        <w:rPr>
          <w:spacing w:val="-2"/>
          <w:sz w:val="24"/>
          <w:u w:val="single"/>
        </w:rPr>
        <w:t>Services</w:t>
      </w:r>
    </w:p>
    <w:p>
      <w:pPr>
        <w:pStyle w:val="BodyText"/>
        <w:spacing w:before="120"/>
        <w:ind w:left="2664" w:right="1481"/>
      </w:pPr>
      <w:r>
        <w:t>Show</w:t>
      </w:r>
      <w:r>
        <w:rPr>
          <w:spacing w:val="-4"/>
        </w:rPr>
        <w:t xml:space="preserve"> </w:t>
      </w:r>
      <w:r>
        <w:t>the</w:t>
      </w:r>
      <w:r>
        <w:rPr>
          <w:spacing w:val="-4"/>
        </w:rPr>
        <w:t xml:space="preserve"> </w:t>
      </w:r>
      <w:r>
        <w:t>actual</w:t>
      </w:r>
      <w:r>
        <w:rPr>
          <w:spacing w:val="-4"/>
        </w:rPr>
        <w:t xml:space="preserve"> </w:t>
      </w:r>
      <w:r>
        <w:t>cost</w:t>
      </w:r>
      <w:r>
        <w:rPr>
          <w:spacing w:val="-4"/>
        </w:rPr>
        <w:t xml:space="preserve"> </w:t>
      </w:r>
      <w:r>
        <w:t>of</w:t>
      </w:r>
      <w:r>
        <w:rPr>
          <w:spacing w:val="-4"/>
        </w:rPr>
        <w:t xml:space="preserve"> </w:t>
      </w:r>
      <w:r>
        <w:t>the</w:t>
      </w:r>
      <w:r>
        <w:rPr>
          <w:spacing w:val="-4"/>
        </w:rPr>
        <w:t xml:space="preserve"> </w:t>
      </w:r>
      <w:r>
        <w:t>related</w:t>
      </w:r>
      <w:r>
        <w:rPr>
          <w:spacing w:val="-4"/>
        </w:rPr>
        <w:t xml:space="preserve"> </w:t>
      </w:r>
      <w:r>
        <w:t>party</w:t>
      </w:r>
      <w:r>
        <w:rPr>
          <w:spacing w:val="-4"/>
        </w:rPr>
        <w:t xml:space="preserve"> </w:t>
      </w:r>
      <w:r>
        <w:t>to</w:t>
      </w:r>
      <w:r>
        <w:rPr>
          <w:spacing w:val="-4"/>
        </w:rPr>
        <w:t xml:space="preserve"> </w:t>
      </w:r>
      <w:r>
        <w:t>provide</w:t>
      </w:r>
      <w:r>
        <w:rPr>
          <w:spacing w:val="-4"/>
        </w:rPr>
        <w:t xml:space="preserve"> </w:t>
      </w:r>
      <w:r>
        <w:t>the</w:t>
      </w:r>
      <w:r>
        <w:rPr>
          <w:spacing w:val="-4"/>
        </w:rPr>
        <w:t xml:space="preserve"> </w:t>
      </w:r>
      <w:r>
        <w:t>medical</w:t>
      </w:r>
      <w:r>
        <w:rPr>
          <w:spacing w:val="-4"/>
        </w:rPr>
        <w:t xml:space="preserve"> </w:t>
      </w:r>
      <w:r>
        <w:t>services, excluding</w:t>
      </w:r>
      <w:r>
        <w:rPr>
          <w:spacing w:val="-2"/>
        </w:rPr>
        <w:t xml:space="preserve"> </w:t>
      </w:r>
      <w:r>
        <w:t>the</w:t>
      </w:r>
      <w:r>
        <w:rPr>
          <w:spacing w:val="-2"/>
        </w:rPr>
        <w:t xml:space="preserve"> </w:t>
      </w:r>
      <w:r>
        <w:t>gain/loss</w:t>
      </w:r>
      <w:r>
        <w:rPr>
          <w:spacing w:val="-2"/>
        </w:rPr>
        <w:t xml:space="preserve"> </w:t>
      </w:r>
      <w:r>
        <w:t>margin</w:t>
      </w:r>
      <w:r>
        <w:rPr>
          <w:spacing w:val="-2"/>
        </w:rPr>
        <w:t xml:space="preserve"> </w:t>
      </w:r>
      <w:r>
        <w:t>of</w:t>
      </w:r>
      <w:r>
        <w:rPr>
          <w:spacing w:val="-2"/>
        </w:rPr>
        <w:t xml:space="preserve"> </w:t>
      </w:r>
      <w:r>
        <w:t>the</w:t>
      </w:r>
      <w:r>
        <w:rPr>
          <w:spacing w:val="-3"/>
        </w:rPr>
        <w:t xml:space="preserve"> </w:t>
      </w:r>
      <w:r>
        <w:t>related</w:t>
      </w:r>
      <w:r>
        <w:rPr>
          <w:spacing w:val="-2"/>
        </w:rPr>
        <w:t xml:space="preserve"> </w:t>
      </w:r>
      <w:r>
        <w:t>party,</w:t>
      </w:r>
      <w:r>
        <w:rPr>
          <w:spacing w:val="-1"/>
        </w:rPr>
        <w:t xml:space="preserve"> </w:t>
      </w:r>
      <w:r>
        <w:t>compared</w:t>
      </w:r>
      <w:r>
        <w:rPr>
          <w:spacing w:val="-2"/>
        </w:rPr>
        <w:t xml:space="preserve"> </w:t>
      </w:r>
      <w:r>
        <w:t>to</w:t>
      </w:r>
      <w:r>
        <w:rPr>
          <w:spacing w:val="-2"/>
        </w:rPr>
        <w:t xml:space="preserve"> </w:t>
      </w:r>
      <w:r>
        <w:t>the</w:t>
      </w:r>
      <w:r>
        <w:rPr>
          <w:spacing w:val="-1"/>
        </w:rPr>
        <w:t xml:space="preserve"> </w:t>
      </w:r>
      <w:r>
        <w:t xml:space="preserve">cost in the bid, and provide a qualitative and quantitative summary of the development of the related party’s expenses to provide the medical </w:t>
      </w:r>
      <w:r>
        <w:rPr>
          <w:spacing w:val="-2"/>
        </w:rPr>
        <w:t>services.</w:t>
      </w:r>
    </w:p>
    <w:p>
      <w:pPr>
        <w:pStyle w:val="ListParagraph"/>
        <w:numPr>
          <w:ilvl w:val="3"/>
          <w:numId w:val="35"/>
        </w:numPr>
        <w:tabs>
          <w:tab w:val="left" w:pos="2664"/>
        </w:tabs>
        <w:spacing w:before="121" w:after="0" w:line="240" w:lineRule="auto"/>
        <w:ind w:left="2664" w:right="0" w:hanging="360"/>
        <w:jc w:val="left"/>
        <w:rPr>
          <w:sz w:val="24"/>
        </w:rPr>
      </w:pPr>
      <w:r>
        <w:rPr>
          <w:sz w:val="24"/>
          <w:u w:val="single"/>
        </w:rPr>
        <w:t>Alternative</w:t>
      </w:r>
      <w:r>
        <w:rPr>
          <w:spacing w:val="-3"/>
          <w:sz w:val="24"/>
          <w:u w:val="single"/>
        </w:rPr>
        <w:t xml:space="preserve"> </w:t>
      </w:r>
      <w:r>
        <w:rPr>
          <w:sz w:val="24"/>
          <w:u w:val="single"/>
        </w:rPr>
        <w:t>Comparison</w:t>
      </w:r>
      <w:r>
        <w:rPr>
          <w:spacing w:val="-2"/>
          <w:sz w:val="24"/>
          <w:u w:val="single"/>
        </w:rPr>
        <w:t xml:space="preserve"> </w:t>
      </w:r>
      <w:r>
        <w:rPr>
          <w:sz w:val="24"/>
          <w:u w:val="single"/>
        </w:rPr>
        <w:t>for</w:t>
      </w:r>
      <w:r>
        <w:rPr>
          <w:spacing w:val="-2"/>
          <w:sz w:val="24"/>
          <w:u w:val="single"/>
        </w:rPr>
        <w:t xml:space="preserve"> </w:t>
      </w:r>
      <w:r>
        <w:rPr>
          <w:sz w:val="24"/>
          <w:u w:val="single"/>
        </w:rPr>
        <w:t>Medical</w:t>
      </w:r>
      <w:r>
        <w:rPr>
          <w:spacing w:val="-1"/>
          <w:sz w:val="24"/>
          <w:u w:val="single"/>
        </w:rPr>
        <w:t xml:space="preserve"> </w:t>
      </w:r>
      <w:r>
        <w:rPr>
          <w:spacing w:val="-2"/>
          <w:sz w:val="24"/>
          <w:u w:val="single"/>
        </w:rPr>
        <w:t>Services</w:t>
      </w:r>
    </w:p>
    <w:p>
      <w:pPr>
        <w:pStyle w:val="BodyText"/>
        <w:spacing w:before="120"/>
        <w:ind w:left="2664" w:right="1481"/>
      </w:pPr>
      <w:r>
        <w:t>If the MAO is not able to meet the requirements of 13.5.2d through 13.5.2f, the MAO must show a comparison for medical services as outlined in 13.5.2d or 13.5.2e, even if the fees associated with the arrangements</w:t>
      </w:r>
      <w:r>
        <w:rPr>
          <w:spacing w:val="-5"/>
        </w:rPr>
        <w:t xml:space="preserve"> </w:t>
      </w:r>
      <w:r>
        <w:t>are</w:t>
      </w:r>
      <w:r>
        <w:rPr>
          <w:spacing w:val="-5"/>
        </w:rPr>
        <w:t xml:space="preserve"> </w:t>
      </w:r>
      <w:r>
        <w:t>not</w:t>
      </w:r>
      <w:r>
        <w:rPr>
          <w:spacing w:val="-4"/>
        </w:rPr>
        <w:t xml:space="preserve"> </w:t>
      </w:r>
      <w:r>
        <w:t>within</w:t>
      </w:r>
      <w:r>
        <w:rPr>
          <w:spacing w:val="-4"/>
        </w:rPr>
        <w:t xml:space="preserve"> </w:t>
      </w:r>
      <w:r>
        <w:t>5</w:t>
      </w:r>
      <w:r>
        <w:rPr>
          <w:spacing w:val="-4"/>
        </w:rPr>
        <w:t xml:space="preserve"> </w:t>
      </w:r>
      <w:r>
        <w:t>percent</w:t>
      </w:r>
      <w:r>
        <w:rPr>
          <w:spacing w:val="-4"/>
        </w:rPr>
        <w:t xml:space="preserve"> </w:t>
      </w:r>
      <w:r>
        <w:t>or</w:t>
      </w:r>
      <w:r>
        <w:rPr>
          <w:spacing w:val="-4"/>
        </w:rPr>
        <w:t xml:space="preserve"> </w:t>
      </w:r>
      <w:r>
        <w:t>$2</w:t>
      </w:r>
      <w:r>
        <w:rPr>
          <w:spacing w:val="-3"/>
        </w:rPr>
        <w:t xml:space="preserve"> </w:t>
      </w:r>
      <w:r>
        <w:t>PMPM</w:t>
      </w:r>
      <w:r>
        <w:rPr>
          <w:spacing w:val="-4"/>
        </w:rPr>
        <w:t xml:space="preserve"> </w:t>
      </w:r>
      <w:r>
        <w:t>of</w:t>
      </w:r>
      <w:r>
        <w:rPr>
          <w:spacing w:val="-4"/>
        </w:rPr>
        <w:t xml:space="preserve"> </w:t>
      </w:r>
      <w:r>
        <w:t>the</w:t>
      </w:r>
      <w:r>
        <w:rPr>
          <w:spacing w:val="-6"/>
        </w:rPr>
        <w:t xml:space="preserve"> </w:t>
      </w:r>
      <w:r>
        <w:t>comparison.</w:t>
      </w:r>
    </w:p>
    <w:p>
      <w:pPr>
        <w:pStyle w:val="ListParagraph"/>
        <w:numPr>
          <w:ilvl w:val="1"/>
          <w:numId w:val="35"/>
        </w:numPr>
        <w:tabs>
          <w:tab w:val="left" w:pos="1493"/>
          <w:tab w:val="left" w:pos="1495"/>
        </w:tabs>
        <w:spacing w:before="120" w:after="0" w:line="240" w:lineRule="auto"/>
        <w:ind w:left="1495" w:right="1441" w:hanging="632"/>
        <w:jc w:val="left"/>
        <w:rPr>
          <w:sz w:val="24"/>
        </w:rPr>
      </w:pPr>
      <w:r>
        <w:rPr>
          <w:sz w:val="24"/>
        </w:rPr>
        <w:t>When</w:t>
      </w:r>
      <w:r>
        <w:rPr>
          <w:spacing w:val="-3"/>
          <w:sz w:val="24"/>
        </w:rPr>
        <w:t xml:space="preserve"> </w:t>
      </w:r>
      <w:r>
        <w:rPr>
          <w:sz w:val="24"/>
        </w:rPr>
        <w:t>a</w:t>
      </w:r>
      <w:r>
        <w:rPr>
          <w:spacing w:val="-4"/>
          <w:sz w:val="24"/>
        </w:rPr>
        <w:t xml:space="preserve"> </w:t>
      </w:r>
      <w:r>
        <w:rPr>
          <w:sz w:val="24"/>
        </w:rPr>
        <w:t>MAO</w:t>
      </w:r>
      <w:r>
        <w:rPr>
          <w:spacing w:val="-4"/>
          <w:sz w:val="24"/>
        </w:rPr>
        <w:t xml:space="preserve"> </w:t>
      </w:r>
      <w:r>
        <w:rPr>
          <w:sz w:val="24"/>
        </w:rPr>
        <w:t>has</w:t>
      </w:r>
      <w:r>
        <w:rPr>
          <w:spacing w:val="-4"/>
          <w:sz w:val="24"/>
        </w:rPr>
        <w:t xml:space="preserve"> </w:t>
      </w:r>
      <w:r>
        <w:rPr>
          <w:sz w:val="24"/>
        </w:rPr>
        <w:t>an</w:t>
      </w:r>
      <w:r>
        <w:rPr>
          <w:spacing w:val="-1"/>
          <w:sz w:val="24"/>
        </w:rPr>
        <w:t xml:space="preserve"> </w:t>
      </w:r>
      <w:r>
        <w:rPr>
          <w:sz w:val="24"/>
        </w:rPr>
        <w:t>arrangement</w:t>
      </w:r>
      <w:r>
        <w:rPr>
          <w:spacing w:val="-3"/>
          <w:sz w:val="24"/>
        </w:rPr>
        <w:t xml:space="preserve"> </w:t>
      </w:r>
      <w:r>
        <w:rPr>
          <w:sz w:val="24"/>
        </w:rPr>
        <w:t>for</w:t>
      </w:r>
      <w:r>
        <w:rPr>
          <w:spacing w:val="-3"/>
          <w:sz w:val="24"/>
        </w:rPr>
        <w:t xml:space="preserve"> </w:t>
      </w:r>
      <w:r>
        <w:rPr>
          <w:sz w:val="24"/>
        </w:rPr>
        <w:t>benefit</w:t>
      </w:r>
      <w:r>
        <w:rPr>
          <w:spacing w:val="-3"/>
          <w:sz w:val="24"/>
        </w:rPr>
        <w:t xml:space="preserve"> </w:t>
      </w:r>
      <w:r>
        <w:rPr>
          <w:sz w:val="24"/>
        </w:rPr>
        <w:t>services</w:t>
      </w:r>
      <w:r>
        <w:rPr>
          <w:spacing w:val="-4"/>
          <w:sz w:val="24"/>
        </w:rPr>
        <w:t xml:space="preserve"> </w:t>
      </w:r>
      <w:r>
        <w:rPr>
          <w:sz w:val="24"/>
        </w:rPr>
        <w:t>within</w:t>
      </w:r>
      <w:r>
        <w:rPr>
          <w:spacing w:val="-3"/>
          <w:sz w:val="24"/>
        </w:rPr>
        <w:t xml:space="preserve"> </w:t>
      </w:r>
      <w:r>
        <w:rPr>
          <w:sz w:val="24"/>
        </w:rPr>
        <w:t>their</w:t>
      </w:r>
      <w:r>
        <w:rPr>
          <w:spacing w:val="-4"/>
          <w:sz w:val="24"/>
        </w:rPr>
        <w:t xml:space="preserve"> </w:t>
      </w:r>
      <w:r>
        <w:rPr>
          <w:sz w:val="24"/>
        </w:rPr>
        <w:t>tax</w:t>
      </w:r>
      <w:r>
        <w:rPr>
          <w:spacing w:val="-2"/>
          <w:sz w:val="24"/>
        </w:rPr>
        <w:t xml:space="preserve"> </w:t>
      </w:r>
      <w:r>
        <w:rPr>
          <w:sz w:val="24"/>
        </w:rPr>
        <w:t>ID</w:t>
      </w:r>
      <w:r>
        <w:rPr>
          <w:spacing w:val="-2"/>
          <w:sz w:val="24"/>
        </w:rPr>
        <w:t xml:space="preserve"> </w:t>
      </w:r>
      <w:r>
        <w:rPr>
          <w:sz w:val="24"/>
        </w:rPr>
        <w:t>number</w:t>
      </w:r>
      <w:r>
        <w:rPr>
          <w:spacing w:val="-5"/>
          <w:sz w:val="24"/>
        </w:rPr>
        <w:t xml:space="preserve"> </w:t>
      </w:r>
      <w:r>
        <w:rPr>
          <w:sz w:val="24"/>
        </w:rPr>
        <w:t xml:space="preserve">and does not submit bid data that matches the reporting of these internal transactions in their financial statements, then the plan sponsor must submit supporting documentation—required by Appendix B, items 13.1 to 13.5— that explains and compares how these costs are reflected in the bid versus the MAO’s financial </w:t>
      </w:r>
      <w:r>
        <w:rPr>
          <w:spacing w:val="-2"/>
          <w:sz w:val="24"/>
        </w:rPr>
        <w:t>statements.</w:t>
      </w:r>
    </w:p>
    <w:p>
      <w:pPr>
        <w:pStyle w:val="ListParagraph"/>
        <w:numPr>
          <w:ilvl w:val="0"/>
          <w:numId w:val="35"/>
        </w:numPr>
        <w:tabs>
          <w:tab w:val="left" w:pos="864"/>
        </w:tabs>
        <w:spacing w:before="121" w:after="0" w:line="240" w:lineRule="auto"/>
        <w:ind w:left="864" w:right="0" w:hanging="360"/>
        <w:jc w:val="left"/>
        <w:rPr>
          <w:sz w:val="24"/>
        </w:rPr>
      </w:pPr>
      <w:r>
        <w:rPr>
          <w:sz w:val="24"/>
        </w:rPr>
        <w:t>The</w:t>
      </w:r>
      <w:r>
        <w:rPr>
          <w:spacing w:val="-3"/>
          <w:sz w:val="24"/>
        </w:rPr>
        <w:t xml:space="preserve"> </w:t>
      </w:r>
      <w:r>
        <w:rPr>
          <w:sz w:val="24"/>
        </w:rPr>
        <w:t>input</w:t>
      </w:r>
      <w:r>
        <w:rPr>
          <w:spacing w:val="-1"/>
          <w:sz w:val="24"/>
        </w:rPr>
        <w:t xml:space="preserve"> </w:t>
      </w:r>
      <w:r>
        <w:rPr>
          <w:sz w:val="24"/>
        </w:rPr>
        <w:t>sheet(s) for</w:t>
      </w:r>
      <w:r>
        <w:rPr>
          <w:spacing w:val="-1"/>
          <w:sz w:val="24"/>
        </w:rPr>
        <w:t xml:space="preserve"> </w:t>
      </w:r>
      <w:r>
        <w:rPr>
          <w:sz w:val="24"/>
        </w:rPr>
        <w:t>the pricing model</w:t>
      </w:r>
      <w:r>
        <w:rPr>
          <w:spacing w:val="-1"/>
          <w:sz w:val="24"/>
        </w:rPr>
        <w:t xml:space="preserve"> </w:t>
      </w:r>
      <w:r>
        <w:rPr>
          <w:sz w:val="24"/>
        </w:rPr>
        <w:t>used in</w:t>
      </w:r>
      <w:r>
        <w:rPr>
          <w:spacing w:val="-1"/>
          <w:sz w:val="24"/>
        </w:rPr>
        <w:t xml:space="preserve"> </w:t>
      </w:r>
      <w:r>
        <w:rPr>
          <w:sz w:val="24"/>
        </w:rPr>
        <w:t>the</w:t>
      </w:r>
      <w:r>
        <w:rPr>
          <w:spacing w:val="-2"/>
          <w:sz w:val="24"/>
        </w:rPr>
        <w:t xml:space="preserve"> </w:t>
      </w:r>
      <w:r>
        <w:rPr>
          <w:sz w:val="24"/>
        </w:rPr>
        <w:t>development of</w:t>
      </w:r>
      <w:r>
        <w:rPr>
          <w:spacing w:val="-1"/>
          <w:sz w:val="24"/>
        </w:rPr>
        <w:t xml:space="preserve"> </w:t>
      </w:r>
      <w:r>
        <w:rPr>
          <w:sz w:val="24"/>
        </w:rPr>
        <w:t xml:space="preserve">the </w:t>
      </w:r>
      <w:r>
        <w:rPr>
          <w:spacing w:val="-4"/>
          <w:sz w:val="24"/>
        </w:rPr>
        <w:t>bid.</w:t>
      </w:r>
    </w:p>
    <w:p>
      <w:pPr>
        <w:pStyle w:val="ListParagraph"/>
        <w:numPr>
          <w:ilvl w:val="0"/>
          <w:numId w:val="35"/>
        </w:numPr>
        <w:tabs>
          <w:tab w:val="left" w:pos="864"/>
        </w:tabs>
        <w:spacing w:before="120" w:after="0" w:line="240" w:lineRule="auto"/>
        <w:ind w:left="864" w:right="1443" w:hanging="360"/>
        <w:jc w:val="left"/>
        <w:rPr>
          <w:sz w:val="24"/>
        </w:rPr>
      </w:pPr>
      <w:r>
        <w:rPr>
          <w:sz w:val="24"/>
        </w:rPr>
        <w:t>An explanation of and detailed support for how CY2026 bid audit findings and compliance issues</w:t>
      </w:r>
      <w:r>
        <w:rPr>
          <w:spacing w:val="-3"/>
          <w:sz w:val="24"/>
        </w:rPr>
        <w:t xml:space="preserve"> </w:t>
      </w:r>
      <w:r>
        <w:rPr>
          <w:sz w:val="24"/>
        </w:rPr>
        <w:t>were</w:t>
      </w:r>
      <w:r>
        <w:rPr>
          <w:spacing w:val="-3"/>
          <w:sz w:val="24"/>
        </w:rPr>
        <w:t xml:space="preserve"> </w:t>
      </w:r>
      <w:r>
        <w:rPr>
          <w:sz w:val="24"/>
        </w:rPr>
        <w:t>corrected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current</w:t>
      </w:r>
      <w:r>
        <w:rPr>
          <w:spacing w:val="-3"/>
          <w:sz w:val="24"/>
        </w:rPr>
        <w:t xml:space="preserve"> </w:t>
      </w:r>
      <w:r>
        <w:rPr>
          <w:sz w:val="24"/>
        </w:rPr>
        <w:t>bid</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same</w:t>
      </w:r>
      <w:r>
        <w:rPr>
          <w:spacing w:val="-3"/>
          <w:sz w:val="24"/>
        </w:rPr>
        <w:t xml:space="preserve"> </w:t>
      </w:r>
      <w:r>
        <w:rPr>
          <w:sz w:val="24"/>
        </w:rPr>
        <w:t>plan.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that</w:t>
      </w:r>
      <w:r>
        <w:rPr>
          <w:spacing w:val="-2"/>
          <w:sz w:val="24"/>
        </w:rPr>
        <w:t xml:space="preserve"> </w:t>
      </w:r>
      <w:r>
        <w:rPr>
          <w:sz w:val="24"/>
        </w:rPr>
        <w:t>an</w:t>
      </w:r>
      <w:r>
        <w:rPr>
          <w:spacing w:val="-3"/>
          <w:sz w:val="24"/>
        </w:rPr>
        <w:t xml:space="preserve"> </w:t>
      </w:r>
      <w:r>
        <w:rPr>
          <w:sz w:val="24"/>
        </w:rPr>
        <w:t>issue</w:t>
      </w:r>
      <w:r>
        <w:rPr>
          <w:spacing w:val="-3"/>
          <w:sz w:val="24"/>
        </w:rPr>
        <w:t xml:space="preserve"> </w:t>
      </w:r>
      <w:r>
        <w:rPr>
          <w:sz w:val="24"/>
        </w:rPr>
        <w:t>applies to other bids in the same contract or parent organization, the documentation for the audited bids must describe how the bids for all plans are treated consistently regarding that issue. This does not apply if the plan audited for CY2026 is not renewed in CY2027. However, any audit findings remain applicable to other plans under the same parent organization in CY2027, and their pricing should be applied consistently with those findings.</w:t>
      </w:r>
    </w:p>
    <w:p>
      <w:pPr>
        <w:pStyle w:val="ListParagraph"/>
        <w:numPr>
          <w:ilvl w:val="0"/>
          <w:numId w:val="35"/>
        </w:numPr>
        <w:tabs>
          <w:tab w:val="left" w:pos="864"/>
        </w:tabs>
        <w:spacing w:before="120" w:after="0" w:line="240" w:lineRule="auto"/>
        <w:ind w:left="864" w:right="0" w:hanging="360"/>
        <w:jc w:val="left"/>
        <w:rPr>
          <w:sz w:val="24"/>
        </w:rPr>
      </w:pPr>
      <w:r>
        <w:rPr>
          <w:sz w:val="24"/>
        </w:rPr>
        <w:t>Support</w:t>
      </w:r>
      <w:r>
        <w:rPr>
          <w:spacing w:val="-1"/>
          <w:sz w:val="24"/>
        </w:rPr>
        <w:t xml:space="preserve"> </w:t>
      </w:r>
      <w:r>
        <w:rPr>
          <w:sz w:val="24"/>
        </w:rPr>
        <w:t>for</w:t>
      </w:r>
      <w:r>
        <w:rPr>
          <w:spacing w:val="-1"/>
          <w:sz w:val="24"/>
        </w:rPr>
        <w:t xml:space="preserve"> </w:t>
      </w:r>
      <w:r>
        <w:rPr>
          <w:sz w:val="24"/>
        </w:rPr>
        <w:t>reliance</w:t>
      </w:r>
      <w:r>
        <w:rPr>
          <w:spacing w:val="-2"/>
          <w:sz w:val="24"/>
        </w:rPr>
        <w:t xml:space="preserve"> </w:t>
      </w:r>
      <w:r>
        <w:rPr>
          <w:sz w:val="24"/>
        </w:rPr>
        <w:t>on information</w:t>
      </w:r>
      <w:r>
        <w:rPr>
          <w:spacing w:val="-1"/>
          <w:sz w:val="24"/>
        </w:rPr>
        <w:t xml:space="preserve"> </w:t>
      </w:r>
      <w:r>
        <w:rPr>
          <w:sz w:val="24"/>
        </w:rPr>
        <w:t>supplied by</w:t>
      </w:r>
      <w:r>
        <w:rPr>
          <w:spacing w:val="-1"/>
          <w:sz w:val="24"/>
        </w:rPr>
        <w:t xml:space="preserve"> </w:t>
      </w:r>
      <w:r>
        <w:rPr>
          <w:sz w:val="24"/>
        </w:rPr>
        <w:t>others</w:t>
      </w:r>
      <w:r>
        <w:rPr>
          <w:spacing w:val="-1"/>
          <w:sz w:val="24"/>
        </w:rPr>
        <w:t xml:space="preserve"> </w:t>
      </w:r>
      <w:r>
        <w:rPr>
          <w:spacing w:val="-2"/>
          <w:sz w:val="24"/>
        </w:rPr>
        <w:t>that—</w:t>
      </w:r>
    </w:p>
    <w:p>
      <w:pPr>
        <w:pStyle w:val="ListParagraph"/>
        <w:numPr>
          <w:ilvl w:val="1"/>
          <w:numId w:val="35"/>
        </w:numPr>
        <w:tabs>
          <w:tab w:val="left" w:pos="1495"/>
        </w:tabs>
        <w:spacing w:before="120" w:after="0" w:line="240" w:lineRule="auto"/>
        <w:ind w:left="1495" w:right="1670" w:hanging="632"/>
        <w:jc w:val="left"/>
        <w:rPr>
          <w:sz w:val="24"/>
        </w:rPr>
      </w:pPr>
      <w:r>
        <w:rPr>
          <w:sz w:val="24"/>
        </w:rPr>
        <w:t>Identifies</w:t>
      </w:r>
      <w:r>
        <w:rPr>
          <w:spacing w:val="-5"/>
          <w:sz w:val="24"/>
        </w:rPr>
        <w:t xml:space="preserve"> </w:t>
      </w:r>
      <w:r>
        <w:rPr>
          <w:sz w:val="24"/>
        </w:rPr>
        <w:t>the</w:t>
      </w:r>
      <w:r>
        <w:rPr>
          <w:spacing w:val="-4"/>
          <w:sz w:val="24"/>
        </w:rPr>
        <w:t xml:space="preserve"> </w:t>
      </w:r>
      <w:r>
        <w:rPr>
          <w:sz w:val="24"/>
        </w:rPr>
        <w:t>source(s)</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information—for</w:t>
      </w:r>
      <w:r>
        <w:rPr>
          <w:spacing w:val="-4"/>
          <w:sz w:val="24"/>
        </w:rPr>
        <w:t xml:space="preserve"> </w:t>
      </w:r>
      <w:r>
        <w:rPr>
          <w:sz w:val="24"/>
        </w:rPr>
        <w:t>example,</w:t>
      </w:r>
      <w:r>
        <w:rPr>
          <w:spacing w:val="-4"/>
          <w:sz w:val="24"/>
        </w:rPr>
        <w:t xml:space="preserve"> </w:t>
      </w:r>
      <w:r>
        <w:rPr>
          <w:sz w:val="24"/>
        </w:rPr>
        <w:t>name,</w:t>
      </w:r>
      <w:r>
        <w:rPr>
          <w:spacing w:val="-4"/>
          <w:sz w:val="24"/>
        </w:rPr>
        <w:t xml:space="preserve"> </w:t>
      </w:r>
      <w:r>
        <w:rPr>
          <w:sz w:val="24"/>
        </w:rPr>
        <w:t>position,</w:t>
      </w:r>
      <w:r>
        <w:rPr>
          <w:spacing w:val="-4"/>
          <w:sz w:val="24"/>
        </w:rPr>
        <w:t xml:space="preserve"> </w:t>
      </w:r>
      <w:r>
        <w:rPr>
          <w:sz w:val="24"/>
        </w:rPr>
        <w:t xml:space="preserve">company, </w:t>
      </w:r>
      <w:r>
        <w:rPr>
          <w:spacing w:val="-2"/>
          <w:sz w:val="24"/>
        </w:rPr>
        <w:t>date;</w:t>
      </w:r>
    </w:p>
    <w:p>
      <w:pPr>
        <w:pStyle w:val="ListParagraph"/>
        <w:numPr>
          <w:ilvl w:val="1"/>
          <w:numId w:val="35"/>
        </w:numPr>
        <w:tabs>
          <w:tab w:val="left" w:pos="1495"/>
        </w:tabs>
        <w:spacing w:before="121" w:after="0" w:line="240" w:lineRule="auto"/>
        <w:ind w:left="1495" w:right="0" w:hanging="631"/>
        <w:jc w:val="left"/>
        <w:rPr>
          <w:sz w:val="24"/>
        </w:rPr>
      </w:pPr>
      <w:r>
        <w:rPr>
          <w:sz w:val="24"/>
        </w:rPr>
        <w:t>Identifies</w:t>
      </w:r>
      <w:r>
        <w:rPr>
          <w:spacing w:val="-6"/>
          <w:sz w:val="24"/>
        </w:rPr>
        <w:t xml:space="preserve"> </w:t>
      </w:r>
      <w:r>
        <w:rPr>
          <w:sz w:val="24"/>
        </w:rPr>
        <w:t>the</w:t>
      </w:r>
      <w:r>
        <w:rPr>
          <w:spacing w:val="-2"/>
          <w:sz w:val="24"/>
        </w:rPr>
        <w:t xml:space="preserve"> </w:t>
      </w:r>
      <w:r>
        <w:rPr>
          <w:sz w:val="24"/>
        </w:rPr>
        <w:t>information</w:t>
      </w:r>
      <w:r>
        <w:rPr>
          <w:spacing w:val="-1"/>
          <w:sz w:val="24"/>
        </w:rPr>
        <w:t xml:space="preserve"> </w:t>
      </w:r>
      <w:r>
        <w:rPr>
          <w:sz w:val="24"/>
        </w:rPr>
        <w:t>relied</w:t>
      </w:r>
      <w:r>
        <w:rPr>
          <w:spacing w:val="-2"/>
          <w:sz w:val="24"/>
        </w:rPr>
        <w:t xml:space="preserve"> upon;</w:t>
      </w:r>
    </w:p>
    <w:p>
      <w:pPr>
        <w:pStyle w:val="ListParagraph"/>
        <w:numPr>
          <w:ilvl w:val="1"/>
          <w:numId w:val="35"/>
        </w:numPr>
        <w:tabs>
          <w:tab w:val="left" w:pos="1495"/>
        </w:tabs>
        <w:spacing w:before="120" w:after="0" w:line="240" w:lineRule="auto"/>
        <w:ind w:left="1495" w:right="2528" w:hanging="632"/>
        <w:jc w:val="left"/>
        <w:rPr>
          <w:sz w:val="24"/>
        </w:rPr>
      </w:pPr>
      <w:r>
        <w:rPr>
          <w:sz w:val="24"/>
        </w:rPr>
        <w:t>States</w:t>
      </w:r>
      <w:r>
        <w:rPr>
          <w:spacing w:val="-4"/>
          <w:sz w:val="24"/>
        </w:rPr>
        <w:t xml:space="preserve"> </w:t>
      </w:r>
      <w:r>
        <w:rPr>
          <w:sz w:val="24"/>
        </w:rPr>
        <w:t>the</w:t>
      </w:r>
      <w:r>
        <w:rPr>
          <w:spacing w:val="-3"/>
          <w:sz w:val="24"/>
        </w:rPr>
        <w:t xml:space="preserve"> </w:t>
      </w:r>
      <w:r>
        <w:rPr>
          <w:sz w:val="24"/>
        </w:rPr>
        <w:t>extent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reliance—for</w:t>
      </w:r>
      <w:r>
        <w:rPr>
          <w:spacing w:val="-3"/>
          <w:sz w:val="24"/>
        </w:rPr>
        <w:t xml:space="preserve"> </w:t>
      </w:r>
      <w:r>
        <w:rPr>
          <w:sz w:val="24"/>
        </w:rPr>
        <w:t>example,</w:t>
      </w:r>
      <w:r>
        <w:rPr>
          <w:spacing w:val="-3"/>
          <w:sz w:val="24"/>
        </w:rPr>
        <w:t xml:space="preserve"> </w:t>
      </w:r>
      <w:r>
        <w:rPr>
          <w:sz w:val="24"/>
        </w:rPr>
        <w:t>whether</w:t>
      </w:r>
      <w:r>
        <w:rPr>
          <w:spacing w:val="-5"/>
          <w:sz w:val="24"/>
        </w:rPr>
        <w:t xml:space="preserve"> </w:t>
      </w:r>
      <w:r>
        <w:rPr>
          <w:sz w:val="24"/>
        </w:rPr>
        <w:t>or</w:t>
      </w:r>
      <w:r>
        <w:rPr>
          <w:spacing w:val="-3"/>
          <w:sz w:val="24"/>
        </w:rPr>
        <w:t xml:space="preserve"> </w:t>
      </w:r>
      <w:r>
        <w:rPr>
          <w:sz w:val="24"/>
        </w:rPr>
        <w:t>not</w:t>
      </w:r>
      <w:r>
        <w:rPr>
          <w:spacing w:val="-3"/>
          <w:sz w:val="24"/>
        </w:rPr>
        <w:t xml:space="preserve"> </w:t>
      </w:r>
      <w:r>
        <w:rPr>
          <w:sz w:val="24"/>
        </w:rPr>
        <w:t>checks</w:t>
      </w:r>
      <w:r>
        <w:rPr>
          <w:spacing w:val="-4"/>
          <w:sz w:val="24"/>
        </w:rPr>
        <w:t xml:space="preserve"> </w:t>
      </w:r>
      <w:r>
        <w:rPr>
          <w:sz w:val="24"/>
        </w:rPr>
        <w:t>as</w:t>
      </w:r>
      <w:r>
        <w:rPr>
          <w:spacing w:val="-4"/>
          <w:sz w:val="24"/>
        </w:rPr>
        <w:t xml:space="preserve"> </w:t>
      </w:r>
      <w:r>
        <w:rPr>
          <w:sz w:val="24"/>
        </w:rPr>
        <w:t>to reasonableness have been applied; and</w:t>
      </w:r>
    </w:p>
    <w:p>
      <w:pPr>
        <w:pStyle w:val="ListParagraph"/>
        <w:numPr>
          <w:ilvl w:val="1"/>
          <w:numId w:val="35"/>
        </w:numPr>
        <w:tabs>
          <w:tab w:val="left" w:pos="1495"/>
        </w:tabs>
        <w:spacing w:before="120" w:after="0" w:line="240" w:lineRule="auto"/>
        <w:ind w:left="1495" w:right="0" w:hanging="631"/>
        <w:jc w:val="left"/>
        <w:rPr>
          <w:sz w:val="24"/>
        </w:rPr>
      </w:pPr>
      <w:r>
        <w:rPr>
          <w:sz w:val="24"/>
        </w:rPr>
        <w:t>Indicates</w:t>
      </w:r>
      <w:r>
        <w:rPr>
          <w:spacing w:val="-5"/>
          <w:sz w:val="24"/>
        </w:rPr>
        <w:t xml:space="preserve"> </w:t>
      </w:r>
      <w:r>
        <w:rPr>
          <w:sz w:val="24"/>
        </w:rPr>
        <w:t>to</w:t>
      </w:r>
      <w:r>
        <w:rPr>
          <w:spacing w:val="-2"/>
          <w:sz w:val="24"/>
        </w:rPr>
        <w:t xml:space="preserve"> </w:t>
      </w:r>
      <w:r>
        <w:rPr>
          <w:sz w:val="24"/>
        </w:rPr>
        <w:t>which</w:t>
      </w:r>
      <w:r>
        <w:rPr>
          <w:spacing w:val="-1"/>
          <w:sz w:val="24"/>
        </w:rPr>
        <w:t xml:space="preserve"> </w:t>
      </w:r>
      <w:r>
        <w:rPr>
          <w:sz w:val="24"/>
        </w:rPr>
        <w:t>bid(s)</w:t>
      </w:r>
      <w:r>
        <w:rPr>
          <w:spacing w:val="-2"/>
          <w:sz w:val="24"/>
        </w:rPr>
        <w:t xml:space="preserve"> </w:t>
      </w:r>
      <w:r>
        <w:rPr>
          <w:sz w:val="24"/>
        </w:rPr>
        <w:t>the</w:t>
      </w:r>
      <w:r>
        <w:rPr>
          <w:spacing w:val="-1"/>
          <w:sz w:val="24"/>
        </w:rPr>
        <w:t xml:space="preserve"> </w:t>
      </w:r>
      <w:r>
        <w:rPr>
          <w:sz w:val="24"/>
        </w:rPr>
        <w:t>reliance</w:t>
      </w:r>
      <w:r>
        <w:rPr>
          <w:spacing w:val="-3"/>
          <w:sz w:val="24"/>
        </w:rPr>
        <w:t xml:space="preserve"> </w:t>
      </w:r>
      <w:r>
        <w:rPr>
          <w:sz w:val="24"/>
        </w:rPr>
        <w:t>information</w:t>
      </w:r>
      <w:r>
        <w:rPr>
          <w:spacing w:val="1"/>
          <w:sz w:val="24"/>
        </w:rPr>
        <w:t xml:space="preserve"> </w:t>
      </w:r>
      <w:r>
        <w:rPr>
          <w:spacing w:val="-2"/>
          <w:sz w:val="24"/>
        </w:rPr>
        <w:t>applies.</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BodyText"/>
        <w:ind w:left="864"/>
      </w:pPr>
      <w:r>
        <w:t>See</w:t>
      </w:r>
      <w:r>
        <w:rPr>
          <w:spacing w:val="-2"/>
        </w:rPr>
        <w:t xml:space="preserve"> </w:t>
      </w:r>
      <w:r>
        <w:t>the</w:t>
      </w:r>
      <w:r>
        <w:rPr>
          <w:spacing w:val="-1"/>
        </w:rPr>
        <w:t xml:space="preserve"> </w:t>
      </w:r>
      <w:r>
        <w:t>sample</w:t>
      </w:r>
      <w:r>
        <w:rPr>
          <w:spacing w:val="-1"/>
        </w:rPr>
        <w:t xml:space="preserve"> </w:t>
      </w:r>
      <w:r>
        <w:t>format</w:t>
      </w:r>
      <w:r>
        <w:rPr>
          <w:spacing w:val="-1"/>
        </w:rPr>
        <w:t xml:space="preserve"> </w:t>
      </w:r>
      <w:r>
        <w:t>at</w:t>
      </w:r>
      <w:r>
        <w:rPr>
          <w:spacing w:val="1"/>
        </w:rPr>
        <w:t xml:space="preserve"> </w:t>
      </w:r>
      <w:r>
        <w:t>the</w:t>
      </w:r>
      <w:r>
        <w:rPr>
          <w:spacing w:val="-1"/>
        </w:rPr>
        <w:t xml:space="preserve"> </w:t>
      </w:r>
      <w:r>
        <w:t>end of</w:t>
      </w:r>
      <w:r>
        <w:rPr>
          <w:spacing w:val="-2"/>
        </w:rPr>
        <w:t xml:space="preserve"> </w:t>
      </w:r>
      <w:r>
        <w:t>this</w:t>
      </w:r>
      <w:r>
        <w:rPr>
          <w:spacing w:val="-1"/>
        </w:rPr>
        <w:t xml:space="preserve"> </w:t>
      </w:r>
      <w:r>
        <w:rPr>
          <w:spacing w:val="-2"/>
        </w:rPr>
        <w:t>appendix.</w:t>
      </w:r>
    </w:p>
    <w:p>
      <w:pPr>
        <w:pStyle w:val="ListParagraph"/>
        <w:numPr>
          <w:ilvl w:val="0"/>
          <w:numId w:val="35"/>
        </w:numPr>
        <w:tabs>
          <w:tab w:val="left" w:pos="864"/>
        </w:tabs>
        <w:spacing w:before="120" w:after="0" w:line="240" w:lineRule="auto"/>
        <w:ind w:left="864" w:right="1736" w:hanging="360"/>
        <w:jc w:val="left"/>
        <w:rPr>
          <w:sz w:val="24"/>
        </w:rPr>
      </w:pPr>
      <w:r>
        <w:rPr>
          <w:sz w:val="24"/>
        </w:rPr>
        <w:t>Not</w:t>
      </w:r>
      <w:r>
        <w:rPr>
          <w:spacing w:val="-4"/>
          <w:sz w:val="24"/>
        </w:rPr>
        <w:t xml:space="preserve"> </w:t>
      </w:r>
      <w:r>
        <w:rPr>
          <w:sz w:val="24"/>
        </w:rPr>
        <w:t>applicable</w:t>
      </w:r>
      <w:r>
        <w:rPr>
          <w:spacing w:val="-4"/>
          <w:sz w:val="24"/>
        </w:rPr>
        <w:t xml:space="preserve"> </w:t>
      </w:r>
      <w:r>
        <w:rPr>
          <w:sz w:val="24"/>
        </w:rPr>
        <w:t>because</w:t>
      </w:r>
      <w:r>
        <w:rPr>
          <w:spacing w:val="-5"/>
          <w:sz w:val="24"/>
        </w:rPr>
        <w:t xml:space="preserve"> </w:t>
      </w:r>
      <w:r>
        <w:rPr>
          <w:sz w:val="24"/>
        </w:rPr>
        <w:t>the</w:t>
      </w:r>
      <w:r>
        <w:rPr>
          <w:spacing w:val="-5"/>
          <w:sz w:val="24"/>
        </w:rPr>
        <w:t xml:space="preserve"> </w:t>
      </w:r>
      <w:r>
        <w:rPr>
          <w:sz w:val="24"/>
        </w:rPr>
        <w:t>Medicare</w:t>
      </w:r>
      <w:r>
        <w:rPr>
          <w:spacing w:val="-6"/>
          <w:sz w:val="24"/>
        </w:rPr>
        <w:t xml:space="preserve"> </w:t>
      </w:r>
      <w:r>
        <w:rPr>
          <w:sz w:val="24"/>
        </w:rPr>
        <w:t>Advantage</w:t>
      </w:r>
      <w:r>
        <w:rPr>
          <w:spacing w:val="-4"/>
          <w:sz w:val="24"/>
        </w:rPr>
        <w:t xml:space="preserve"> </w:t>
      </w:r>
      <w:r>
        <w:rPr>
          <w:sz w:val="24"/>
        </w:rPr>
        <w:t>Value-Based</w:t>
      </w:r>
      <w:r>
        <w:rPr>
          <w:spacing w:val="-2"/>
          <w:sz w:val="24"/>
        </w:rPr>
        <w:t xml:space="preserve"> </w:t>
      </w:r>
      <w:r>
        <w:rPr>
          <w:sz w:val="24"/>
        </w:rPr>
        <w:t>Insurance</w:t>
      </w:r>
      <w:r>
        <w:rPr>
          <w:spacing w:val="-3"/>
          <w:sz w:val="24"/>
        </w:rPr>
        <w:t xml:space="preserve"> </w:t>
      </w:r>
      <w:r>
        <w:rPr>
          <w:sz w:val="24"/>
        </w:rPr>
        <w:t>Design</w:t>
      </w:r>
      <w:r>
        <w:rPr>
          <w:spacing w:val="-2"/>
          <w:sz w:val="24"/>
        </w:rPr>
        <w:t xml:space="preserve"> </w:t>
      </w:r>
      <w:r>
        <w:rPr>
          <w:sz w:val="24"/>
        </w:rPr>
        <w:t>model</w:t>
      </w:r>
      <w:r>
        <w:rPr>
          <w:spacing w:val="-4"/>
          <w:sz w:val="24"/>
        </w:rPr>
        <w:t xml:space="preserve"> </w:t>
      </w:r>
      <w:r>
        <w:rPr>
          <w:sz w:val="24"/>
        </w:rPr>
        <w:t>is ending as of December 31, 2025.</w:t>
      </w:r>
    </w:p>
    <w:p>
      <w:pPr>
        <w:pStyle w:val="ListParagraph"/>
        <w:numPr>
          <w:ilvl w:val="0"/>
          <w:numId w:val="35"/>
        </w:numPr>
        <w:tabs>
          <w:tab w:val="left" w:pos="864"/>
        </w:tabs>
        <w:spacing w:before="120" w:after="0" w:line="240" w:lineRule="auto"/>
        <w:ind w:left="864" w:right="2129" w:hanging="360"/>
        <w:jc w:val="left"/>
        <w:rPr>
          <w:sz w:val="24"/>
        </w:rPr>
      </w:pPr>
      <w:r>
        <w:rPr>
          <w:sz w:val="24"/>
        </w:rPr>
        <w:t>Support</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development</w:t>
      </w:r>
      <w:r>
        <w:rPr>
          <w:spacing w:val="-3"/>
          <w:sz w:val="24"/>
        </w:rPr>
        <w:t xml:space="preserve"> </w:t>
      </w:r>
      <w:r>
        <w:rPr>
          <w:sz w:val="24"/>
        </w:rPr>
        <w:t>of</w:t>
      </w:r>
      <w:r>
        <w:rPr>
          <w:spacing w:val="-4"/>
          <w:sz w:val="24"/>
        </w:rPr>
        <w:t xml:space="preserve"> </w:t>
      </w:r>
      <w:r>
        <w:rPr>
          <w:sz w:val="24"/>
        </w:rPr>
        <w:t>DE#</w:t>
      </w:r>
      <w:r>
        <w:rPr>
          <w:spacing w:val="-3"/>
          <w:sz w:val="24"/>
        </w:rPr>
        <w:t xml:space="preserve"> </w:t>
      </w:r>
      <w:r>
        <w:rPr>
          <w:sz w:val="24"/>
        </w:rPr>
        <w:t>and</w:t>
      </w:r>
      <w:r>
        <w:rPr>
          <w:spacing w:val="-3"/>
          <w:sz w:val="24"/>
        </w:rPr>
        <w:t xml:space="preserve"> </w:t>
      </w:r>
      <w:r>
        <w:rPr>
          <w:sz w:val="24"/>
        </w:rPr>
        <w:t>non-DE#</w:t>
      </w:r>
      <w:r>
        <w:rPr>
          <w:spacing w:val="-3"/>
          <w:sz w:val="24"/>
        </w:rPr>
        <w:t xml:space="preserve"> </w:t>
      </w:r>
      <w:r>
        <w:rPr>
          <w:sz w:val="24"/>
        </w:rPr>
        <w:t>bid</w:t>
      </w:r>
      <w:r>
        <w:rPr>
          <w:spacing w:val="-3"/>
          <w:sz w:val="24"/>
        </w:rPr>
        <w:t xml:space="preserve"> </w:t>
      </w:r>
      <w:r>
        <w:rPr>
          <w:sz w:val="24"/>
        </w:rPr>
        <w:t>values.</w:t>
      </w:r>
      <w:r>
        <w:rPr>
          <w:spacing w:val="-3"/>
          <w:sz w:val="24"/>
        </w:rPr>
        <w:t xml:space="preserve"> </w:t>
      </w:r>
      <w:r>
        <w:rPr>
          <w:sz w:val="24"/>
        </w:rPr>
        <w:t>The</w:t>
      </w:r>
      <w:r>
        <w:rPr>
          <w:spacing w:val="-4"/>
          <w:sz w:val="24"/>
        </w:rPr>
        <w:t xml:space="preserve"> </w:t>
      </w:r>
      <w:r>
        <w:rPr>
          <w:sz w:val="24"/>
        </w:rPr>
        <w:t>required</w:t>
      </w:r>
      <w:r>
        <w:rPr>
          <w:spacing w:val="-3"/>
          <w:sz w:val="24"/>
        </w:rPr>
        <w:t xml:space="preserve"> </w:t>
      </w:r>
      <w:r>
        <w:rPr>
          <w:sz w:val="24"/>
        </w:rPr>
        <w:t xml:space="preserve">elements </w:t>
      </w:r>
      <w:r>
        <w:rPr>
          <w:spacing w:val="-2"/>
          <w:sz w:val="24"/>
        </w:rPr>
        <w:t>include—</w:t>
      </w:r>
    </w:p>
    <w:p>
      <w:pPr>
        <w:pStyle w:val="ListParagraph"/>
        <w:numPr>
          <w:ilvl w:val="1"/>
          <w:numId w:val="35"/>
        </w:numPr>
        <w:tabs>
          <w:tab w:val="left" w:pos="1495"/>
        </w:tabs>
        <w:spacing w:before="120" w:after="0" w:line="240" w:lineRule="auto"/>
        <w:ind w:left="1495" w:right="1852" w:hanging="632"/>
        <w:jc w:val="left"/>
        <w:rPr>
          <w:sz w:val="24"/>
        </w:rPr>
      </w:pPr>
      <w:r>
        <w:rPr>
          <w:sz w:val="24"/>
        </w:rPr>
        <w:t>Support</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allocation</w:t>
      </w:r>
      <w:r>
        <w:rPr>
          <w:spacing w:val="-4"/>
          <w:sz w:val="24"/>
        </w:rPr>
        <w:t xml:space="preserve"> </w:t>
      </w:r>
      <w:r>
        <w:rPr>
          <w:sz w:val="24"/>
        </w:rPr>
        <w:t>of</w:t>
      </w:r>
      <w:r>
        <w:rPr>
          <w:spacing w:val="-4"/>
          <w:sz w:val="24"/>
        </w:rPr>
        <w:t xml:space="preserve"> </w:t>
      </w:r>
      <w:r>
        <w:rPr>
          <w:sz w:val="24"/>
        </w:rPr>
        <w:t>enrollment</w:t>
      </w:r>
      <w:r>
        <w:rPr>
          <w:spacing w:val="-4"/>
          <w:sz w:val="24"/>
        </w:rPr>
        <w:t xml:space="preserve"> </w:t>
      </w:r>
      <w:r>
        <w:rPr>
          <w:sz w:val="24"/>
        </w:rPr>
        <w:t>between</w:t>
      </w:r>
      <w:r>
        <w:rPr>
          <w:spacing w:val="-3"/>
          <w:sz w:val="24"/>
        </w:rPr>
        <w:t xml:space="preserve"> </w:t>
      </w:r>
      <w:r>
        <w:rPr>
          <w:sz w:val="24"/>
        </w:rPr>
        <w:t>DE#</w:t>
      </w:r>
      <w:r>
        <w:rPr>
          <w:spacing w:val="-4"/>
          <w:sz w:val="24"/>
        </w:rPr>
        <w:t xml:space="preserve"> </w:t>
      </w:r>
      <w:r>
        <w:rPr>
          <w:sz w:val="24"/>
        </w:rPr>
        <w:t>and</w:t>
      </w:r>
      <w:r>
        <w:rPr>
          <w:spacing w:val="-4"/>
          <w:sz w:val="24"/>
        </w:rPr>
        <w:t xml:space="preserve"> </w:t>
      </w:r>
      <w:r>
        <w:rPr>
          <w:sz w:val="24"/>
        </w:rPr>
        <w:t>non-DE#</w:t>
      </w:r>
      <w:r>
        <w:rPr>
          <w:spacing w:val="-4"/>
          <w:sz w:val="24"/>
        </w:rPr>
        <w:t xml:space="preserve"> </w:t>
      </w:r>
      <w:r>
        <w:rPr>
          <w:sz w:val="24"/>
        </w:rPr>
        <w:t>beneficiaries including the basis for classifying dual-eligible enrollees as DE# (Worksheets 1 and 5).</w:t>
      </w:r>
    </w:p>
    <w:p>
      <w:pPr>
        <w:pStyle w:val="ListParagraph"/>
        <w:numPr>
          <w:ilvl w:val="1"/>
          <w:numId w:val="35"/>
        </w:numPr>
        <w:tabs>
          <w:tab w:val="left" w:pos="1495"/>
        </w:tabs>
        <w:spacing w:before="120" w:after="0" w:line="240" w:lineRule="auto"/>
        <w:ind w:left="1495" w:right="0" w:hanging="631"/>
        <w:jc w:val="left"/>
        <w:rPr>
          <w:sz w:val="24"/>
        </w:rPr>
      </w:pPr>
      <w:r>
        <w:rPr>
          <w:sz w:val="24"/>
        </w:rPr>
        <w:t>Support</w:t>
      </w:r>
      <w:r>
        <w:rPr>
          <w:spacing w:val="-2"/>
          <w:sz w:val="24"/>
        </w:rPr>
        <w:t xml:space="preserve"> </w:t>
      </w:r>
      <w:r>
        <w:rPr>
          <w:sz w:val="24"/>
        </w:rPr>
        <w:t>for</w:t>
      </w:r>
      <w:r>
        <w:rPr>
          <w:spacing w:val="-3"/>
          <w:sz w:val="24"/>
        </w:rPr>
        <w:t xml:space="preserve"> </w:t>
      </w:r>
      <w:r>
        <w:rPr>
          <w:sz w:val="24"/>
        </w:rPr>
        <w:t>DE#</w:t>
      </w:r>
      <w:r>
        <w:rPr>
          <w:spacing w:val="-1"/>
          <w:sz w:val="24"/>
        </w:rPr>
        <w:t xml:space="preserve"> </w:t>
      </w:r>
      <w:r>
        <w:rPr>
          <w:sz w:val="24"/>
        </w:rPr>
        <w:t>and</w:t>
      </w:r>
      <w:r>
        <w:rPr>
          <w:spacing w:val="-2"/>
          <w:sz w:val="24"/>
        </w:rPr>
        <w:t xml:space="preserve"> </w:t>
      </w:r>
      <w:r>
        <w:rPr>
          <w:sz w:val="24"/>
        </w:rPr>
        <w:t>non-DE#</w:t>
      </w:r>
      <w:r>
        <w:rPr>
          <w:spacing w:val="-1"/>
          <w:sz w:val="24"/>
        </w:rPr>
        <w:t xml:space="preserve"> </w:t>
      </w:r>
      <w:r>
        <w:rPr>
          <w:sz w:val="24"/>
        </w:rPr>
        <w:t>projected</w:t>
      </w:r>
      <w:r>
        <w:rPr>
          <w:spacing w:val="-2"/>
          <w:sz w:val="24"/>
        </w:rPr>
        <w:t xml:space="preserve"> </w:t>
      </w:r>
      <w:r>
        <w:rPr>
          <w:sz w:val="24"/>
        </w:rPr>
        <w:t>allowed</w:t>
      </w:r>
      <w:r>
        <w:rPr>
          <w:spacing w:val="1"/>
          <w:sz w:val="24"/>
        </w:rPr>
        <w:t xml:space="preserve"> </w:t>
      </w:r>
      <w:r>
        <w:rPr>
          <w:sz w:val="24"/>
        </w:rPr>
        <w:t>costs</w:t>
      </w:r>
      <w:r>
        <w:rPr>
          <w:spacing w:val="-2"/>
          <w:sz w:val="24"/>
        </w:rPr>
        <w:t xml:space="preserve"> </w:t>
      </w:r>
      <w:r>
        <w:rPr>
          <w:sz w:val="24"/>
        </w:rPr>
        <w:t xml:space="preserve">(Worksheet </w:t>
      </w:r>
      <w:r>
        <w:rPr>
          <w:spacing w:val="-5"/>
          <w:sz w:val="24"/>
        </w:rPr>
        <w:t>2).</w:t>
      </w:r>
    </w:p>
    <w:p>
      <w:pPr>
        <w:pStyle w:val="ListParagraph"/>
        <w:numPr>
          <w:ilvl w:val="1"/>
          <w:numId w:val="35"/>
        </w:numPr>
        <w:tabs>
          <w:tab w:val="left" w:pos="1495"/>
        </w:tabs>
        <w:spacing w:before="120" w:after="0" w:line="240" w:lineRule="auto"/>
        <w:ind w:left="1495" w:right="1512" w:hanging="632"/>
        <w:jc w:val="left"/>
        <w:rPr>
          <w:sz w:val="24"/>
        </w:rPr>
      </w:pPr>
      <w:r>
        <w:rPr>
          <w:sz w:val="24"/>
        </w:rPr>
        <w:t>Support</w:t>
      </w:r>
      <w:r>
        <w:rPr>
          <w:spacing w:val="-3"/>
          <w:sz w:val="24"/>
        </w:rPr>
        <w:t xml:space="preserve"> </w:t>
      </w:r>
      <w:r>
        <w:rPr>
          <w:sz w:val="24"/>
        </w:rPr>
        <w:t>for</w:t>
      </w:r>
      <w:r>
        <w:rPr>
          <w:spacing w:val="-4"/>
          <w:sz w:val="24"/>
        </w:rPr>
        <w:t xml:space="preserve"> </w:t>
      </w:r>
      <w:r>
        <w:rPr>
          <w:sz w:val="24"/>
        </w:rPr>
        <w:t>zero</w:t>
      </w:r>
      <w:r>
        <w:rPr>
          <w:spacing w:val="-3"/>
          <w:sz w:val="24"/>
        </w:rPr>
        <w:t xml:space="preserve"> </w:t>
      </w:r>
      <w:r>
        <w:rPr>
          <w:sz w:val="24"/>
        </w:rPr>
        <w:t>projected</w:t>
      </w:r>
      <w:r>
        <w:rPr>
          <w:spacing w:val="-3"/>
          <w:sz w:val="24"/>
        </w:rPr>
        <w:t xml:space="preserve"> </w:t>
      </w:r>
      <w:r>
        <w:rPr>
          <w:sz w:val="24"/>
        </w:rPr>
        <w:t>DE#</w:t>
      </w:r>
      <w:r>
        <w:rPr>
          <w:spacing w:val="-3"/>
          <w:sz w:val="24"/>
        </w:rPr>
        <w:t xml:space="preserve"> </w:t>
      </w:r>
      <w:r>
        <w:rPr>
          <w:sz w:val="24"/>
        </w:rPr>
        <w:t>member</w:t>
      </w:r>
      <w:r>
        <w:rPr>
          <w:spacing w:val="-3"/>
          <w:sz w:val="24"/>
        </w:rPr>
        <w:t xml:space="preserve"> </w:t>
      </w:r>
      <w:r>
        <w:rPr>
          <w:sz w:val="24"/>
        </w:rPr>
        <w:t>months</w:t>
      </w:r>
      <w:r>
        <w:rPr>
          <w:spacing w:val="-4"/>
          <w:sz w:val="24"/>
        </w:rPr>
        <w:t xml:space="preserve"> </w:t>
      </w:r>
      <w:r>
        <w:rPr>
          <w:sz w:val="24"/>
        </w:rPr>
        <w:t>when</w:t>
      </w:r>
      <w:r>
        <w:rPr>
          <w:spacing w:val="-3"/>
          <w:sz w:val="24"/>
        </w:rPr>
        <w:t xml:space="preserve"> </w:t>
      </w:r>
      <w:r>
        <w:rPr>
          <w:sz w:val="24"/>
        </w:rPr>
        <w:t>there</w:t>
      </w:r>
      <w:r>
        <w:rPr>
          <w:spacing w:val="-2"/>
          <w:sz w:val="24"/>
        </w:rPr>
        <w:t xml:space="preserve"> </w:t>
      </w:r>
      <w:r>
        <w:rPr>
          <w:sz w:val="24"/>
        </w:rPr>
        <w:t>are</w:t>
      </w:r>
      <w:r>
        <w:rPr>
          <w:spacing w:val="-4"/>
          <w:sz w:val="24"/>
        </w:rPr>
        <w:t xml:space="preserve"> </w:t>
      </w:r>
      <w:r>
        <w:rPr>
          <w:sz w:val="24"/>
        </w:rPr>
        <w:t>DE#</w:t>
      </w:r>
      <w:r>
        <w:rPr>
          <w:spacing w:val="-1"/>
          <w:sz w:val="24"/>
        </w:rPr>
        <w:t xml:space="preserve"> </w:t>
      </w:r>
      <w:r>
        <w:rPr>
          <w:sz w:val="24"/>
        </w:rPr>
        <w:t>members</w:t>
      </w:r>
      <w:r>
        <w:rPr>
          <w:spacing w:val="-4"/>
          <w:sz w:val="24"/>
        </w:rPr>
        <w:t xml:space="preserve"> </w:t>
      </w:r>
      <w:r>
        <w:rPr>
          <w:sz w:val="24"/>
        </w:rPr>
        <w:t>in</w:t>
      </w:r>
      <w:r>
        <w:rPr>
          <w:spacing w:val="-3"/>
          <w:sz w:val="24"/>
        </w:rPr>
        <w:t xml:space="preserve"> </w:t>
      </w:r>
      <w:r>
        <w:rPr>
          <w:sz w:val="24"/>
        </w:rPr>
        <w:t>the base period (Worksheet 5).</w:t>
      </w:r>
    </w:p>
    <w:p>
      <w:pPr>
        <w:pStyle w:val="ListParagraph"/>
        <w:numPr>
          <w:ilvl w:val="0"/>
          <w:numId w:val="35"/>
        </w:numPr>
        <w:tabs>
          <w:tab w:val="left" w:pos="864"/>
        </w:tabs>
        <w:spacing w:before="121" w:after="0" w:line="240" w:lineRule="auto"/>
        <w:ind w:left="864" w:right="1839" w:hanging="360"/>
        <w:jc w:val="left"/>
        <w:rPr>
          <w:sz w:val="24"/>
        </w:rPr>
      </w:pPr>
      <w:r>
        <w:rPr>
          <w:sz w:val="24"/>
        </w:rPr>
        <w:t>Support</w:t>
      </w:r>
      <w:r>
        <w:rPr>
          <w:spacing w:val="-4"/>
          <w:sz w:val="24"/>
        </w:rPr>
        <w:t xml:space="preserve"> </w:t>
      </w:r>
      <w:r>
        <w:rPr>
          <w:sz w:val="24"/>
        </w:rPr>
        <w:t>for</w:t>
      </w:r>
      <w:r>
        <w:rPr>
          <w:spacing w:val="-5"/>
          <w:sz w:val="24"/>
        </w:rPr>
        <w:t xml:space="preserve"> </w:t>
      </w:r>
      <w:r>
        <w:rPr>
          <w:sz w:val="24"/>
        </w:rPr>
        <w:t>claim</w:t>
      </w:r>
      <w:r>
        <w:rPr>
          <w:spacing w:val="-4"/>
          <w:sz w:val="24"/>
        </w:rPr>
        <w:t xml:space="preserve"> </w:t>
      </w:r>
      <w:r>
        <w:rPr>
          <w:sz w:val="24"/>
        </w:rPr>
        <w:t>costs</w:t>
      </w:r>
      <w:r>
        <w:rPr>
          <w:spacing w:val="-5"/>
          <w:sz w:val="24"/>
        </w:rPr>
        <w:t xml:space="preserve"> </w:t>
      </w:r>
      <w:r>
        <w:rPr>
          <w:sz w:val="24"/>
        </w:rPr>
        <w:t>for</w:t>
      </w:r>
      <w:r>
        <w:rPr>
          <w:spacing w:val="-4"/>
          <w:sz w:val="24"/>
        </w:rPr>
        <w:t xml:space="preserve"> </w:t>
      </w:r>
      <w:r>
        <w:rPr>
          <w:sz w:val="24"/>
        </w:rPr>
        <w:t>hospice</w:t>
      </w:r>
      <w:r>
        <w:rPr>
          <w:spacing w:val="-6"/>
          <w:sz w:val="24"/>
        </w:rPr>
        <w:t xml:space="preserve"> </w:t>
      </w:r>
      <w:r>
        <w:rPr>
          <w:sz w:val="24"/>
        </w:rPr>
        <w:t>enrollees</w:t>
      </w:r>
      <w:r>
        <w:rPr>
          <w:spacing w:val="-5"/>
          <w:sz w:val="24"/>
        </w:rPr>
        <w:t xml:space="preserve"> </w:t>
      </w:r>
      <w:r>
        <w:rPr>
          <w:sz w:val="24"/>
        </w:rPr>
        <w:t>for</w:t>
      </w:r>
      <w:r>
        <w:rPr>
          <w:spacing w:val="-4"/>
          <w:sz w:val="24"/>
        </w:rPr>
        <w:t xml:space="preserve"> </w:t>
      </w:r>
      <w:r>
        <w:rPr>
          <w:sz w:val="24"/>
        </w:rPr>
        <w:t>mandatory</w:t>
      </w:r>
      <w:r>
        <w:rPr>
          <w:spacing w:val="-4"/>
          <w:sz w:val="24"/>
        </w:rPr>
        <w:t xml:space="preserve"> </w:t>
      </w:r>
      <w:r>
        <w:rPr>
          <w:sz w:val="24"/>
        </w:rPr>
        <w:t>supplemental</w:t>
      </w:r>
      <w:r>
        <w:rPr>
          <w:spacing w:val="-2"/>
          <w:sz w:val="24"/>
        </w:rPr>
        <w:t xml:space="preserve"> </w:t>
      </w:r>
      <w:r>
        <w:rPr>
          <w:sz w:val="24"/>
        </w:rPr>
        <w:t>benefits</w:t>
      </w:r>
      <w:r>
        <w:rPr>
          <w:spacing w:val="-5"/>
          <w:sz w:val="24"/>
        </w:rPr>
        <w:t xml:space="preserve"> </w:t>
      </w:r>
      <w:r>
        <w:rPr>
          <w:sz w:val="24"/>
        </w:rPr>
        <w:t>when these costs are included in the projected allowed cost PMPM.</w:t>
      </w:r>
    </w:p>
    <w:p>
      <w:pPr>
        <w:pStyle w:val="ListParagraph"/>
        <w:numPr>
          <w:ilvl w:val="0"/>
          <w:numId w:val="35"/>
        </w:numPr>
        <w:tabs>
          <w:tab w:val="left" w:pos="864"/>
        </w:tabs>
        <w:spacing w:before="120" w:after="0" w:line="240" w:lineRule="auto"/>
        <w:ind w:left="864" w:right="1714" w:hanging="360"/>
        <w:jc w:val="left"/>
        <w:rPr>
          <w:sz w:val="24"/>
        </w:rPr>
      </w:pPr>
      <w:r>
        <w:rPr>
          <w:sz w:val="24"/>
        </w:rPr>
        <w:t>The</w:t>
      </w:r>
      <w:r>
        <w:rPr>
          <w:spacing w:val="-4"/>
          <w:sz w:val="24"/>
        </w:rPr>
        <w:t xml:space="preserve"> </w:t>
      </w:r>
      <w:r>
        <w:rPr>
          <w:sz w:val="24"/>
        </w:rPr>
        <w:t>rationale</w:t>
      </w:r>
      <w:r>
        <w:rPr>
          <w:spacing w:val="-1"/>
          <w:sz w:val="24"/>
        </w:rPr>
        <w:t xml:space="preserve"> </w:t>
      </w:r>
      <w:r>
        <w:rPr>
          <w:sz w:val="24"/>
        </w:rPr>
        <w:t>for</w:t>
      </w:r>
      <w:r>
        <w:rPr>
          <w:spacing w:val="-4"/>
          <w:sz w:val="24"/>
        </w:rPr>
        <w:t xml:space="preserve"> </w:t>
      </w:r>
      <w:r>
        <w:rPr>
          <w:sz w:val="24"/>
        </w:rPr>
        <w:t>entering</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BPT</w:t>
      </w:r>
      <w:r>
        <w:rPr>
          <w:spacing w:val="-2"/>
          <w:sz w:val="24"/>
        </w:rPr>
        <w:t xml:space="preserve"> </w:t>
      </w:r>
      <w:r>
        <w:rPr>
          <w:sz w:val="24"/>
        </w:rPr>
        <w:t>a</w:t>
      </w:r>
      <w:r>
        <w:rPr>
          <w:spacing w:val="-4"/>
          <w:sz w:val="24"/>
        </w:rPr>
        <w:t xml:space="preserve"> </w:t>
      </w:r>
      <w:r>
        <w:rPr>
          <w:sz w:val="24"/>
        </w:rPr>
        <w:t>projected</w:t>
      </w:r>
      <w:r>
        <w:rPr>
          <w:spacing w:val="-1"/>
          <w:sz w:val="24"/>
        </w:rPr>
        <w:t xml:space="preserve"> </w:t>
      </w:r>
      <w:r>
        <w:rPr>
          <w:sz w:val="24"/>
        </w:rPr>
        <w:t>cost</w:t>
      </w:r>
      <w:r>
        <w:rPr>
          <w:spacing w:val="-2"/>
          <w:sz w:val="24"/>
        </w:rPr>
        <w:t xml:space="preserve"> </w:t>
      </w:r>
      <w:r>
        <w:rPr>
          <w:sz w:val="24"/>
        </w:rPr>
        <w:t>of</w:t>
      </w:r>
      <w:r>
        <w:rPr>
          <w:spacing w:val="-2"/>
          <w:sz w:val="24"/>
        </w:rPr>
        <w:t xml:space="preserve"> </w:t>
      </w:r>
      <w:r>
        <w:rPr>
          <w:sz w:val="24"/>
        </w:rPr>
        <w:t>zero</w:t>
      </w:r>
      <w:r>
        <w:rPr>
          <w:spacing w:val="-1"/>
          <w:sz w:val="24"/>
        </w:rPr>
        <w:t xml:space="preserve"> </w:t>
      </w:r>
      <w:r>
        <w:rPr>
          <w:sz w:val="24"/>
        </w:rPr>
        <w:t>(0)</w:t>
      </w:r>
      <w:r>
        <w:rPr>
          <w:spacing w:val="-4"/>
          <w:sz w:val="24"/>
        </w:rPr>
        <w:t xml:space="preserve"> </w:t>
      </w:r>
      <w:r>
        <w:rPr>
          <w:sz w:val="24"/>
        </w:rPr>
        <w:t>for</w:t>
      </w:r>
      <w:r>
        <w:rPr>
          <w:spacing w:val="-2"/>
          <w:sz w:val="24"/>
        </w:rPr>
        <w:t xml:space="preserve"> </w:t>
      </w:r>
      <w:r>
        <w:rPr>
          <w:sz w:val="24"/>
        </w:rPr>
        <w:t>a</w:t>
      </w:r>
      <w:r>
        <w:rPr>
          <w:spacing w:val="-4"/>
          <w:sz w:val="24"/>
        </w:rPr>
        <w:t xml:space="preserve"> </w:t>
      </w:r>
      <w:r>
        <w:rPr>
          <w:sz w:val="24"/>
        </w:rPr>
        <w:t>benefit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PBP. The required elements for each benefit include—</w:t>
      </w:r>
    </w:p>
    <w:p>
      <w:pPr>
        <w:pStyle w:val="ListParagraph"/>
        <w:numPr>
          <w:ilvl w:val="1"/>
          <w:numId w:val="35"/>
        </w:numPr>
        <w:tabs>
          <w:tab w:val="left" w:pos="1495"/>
        </w:tabs>
        <w:spacing w:before="120" w:after="0" w:line="240" w:lineRule="auto"/>
        <w:ind w:left="1495" w:right="0" w:hanging="631"/>
        <w:jc w:val="left"/>
        <w:rPr>
          <w:sz w:val="24"/>
        </w:rPr>
      </w:pPr>
      <w:r>
        <w:rPr>
          <w:sz w:val="24"/>
        </w:rPr>
        <w:t>The</w:t>
      </w:r>
      <w:r>
        <w:rPr>
          <w:spacing w:val="-4"/>
          <w:sz w:val="24"/>
        </w:rPr>
        <w:t xml:space="preserve"> </w:t>
      </w:r>
      <w:r>
        <w:rPr>
          <w:sz w:val="24"/>
        </w:rPr>
        <w:t>applicable</w:t>
      </w:r>
      <w:r>
        <w:rPr>
          <w:spacing w:val="-2"/>
          <w:sz w:val="24"/>
        </w:rPr>
        <w:t xml:space="preserve"> </w:t>
      </w:r>
      <w:r>
        <w:rPr>
          <w:sz w:val="24"/>
        </w:rPr>
        <w:t>Contract-Plan</w:t>
      </w:r>
      <w:r>
        <w:rPr>
          <w:spacing w:val="-2"/>
          <w:sz w:val="24"/>
        </w:rPr>
        <w:t xml:space="preserve"> </w:t>
      </w:r>
      <w:r>
        <w:rPr>
          <w:sz w:val="24"/>
        </w:rPr>
        <w:t xml:space="preserve">ID-Segment </w:t>
      </w:r>
      <w:r>
        <w:rPr>
          <w:spacing w:val="-5"/>
          <w:sz w:val="24"/>
        </w:rPr>
        <w:t>ID.</w:t>
      </w:r>
    </w:p>
    <w:p>
      <w:pPr>
        <w:pStyle w:val="ListParagraph"/>
        <w:numPr>
          <w:ilvl w:val="1"/>
          <w:numId w:val="35"/>
        </w:numPr>
        <w:tabs>
          <w:tab w:val="left" w:pos="1495"/>
        </w:tabs>
        <w:spacing w:before="120" w:after="0" w:line="240" w:lineRule="auto"/>
        <w:ind w:left="1495" w:right="0" w:hanging="631"/>
        <w:jc w:val="left"/>
        <w:rPr>
          <w:sz w:val="24"/>
        </w:rPr>
      </w:pPr>
      <w:r>
        <w:rPr>
          <w:sz w:val="24"/>
        </w:rPr>
        <w:t>Medicare-covered</w:t>
      </w:r>
      <w:r>
        <w:rPr>
          <w:spacing w:val="-4"/>
          <w:sz w:val="24"/>
        </w:rPr>
        <w:t xml:space="preserve"> </w:t>
      </w:r>
      <w:r>
        <w:rPr>
          <w:sz w:val="24"/>
        </w:rPr>
        <w:t>or</w:t>
      </w:r>
      <w:r>
        <w:rPr>
          <w:spacing w:val="-2"/>
          <w:sz w:val="24"/>
        </w:rPr>
        <w:t xml:space="preserve"> </w:t>
      </w:r>
      <w:r>
        <w:rPr>
          <w:sz w:val="24"/>
        </w:rPr>
        <w:t>non-covered</w:t>
      </w:r>
      <w:r>
        <w:rPr>
          <w:spacing w:val="-2"/>
          <w:sz w:val="24"/>
        </w:rPr>
        <w:t xml:space="preserve"> </w:t>
      </w:r>
      <w:r>
        <w:rPr>
          <w:sz w:val="24"/>
        </w:rPr>
        <w:t>services,</w:t>
      </w:r>
      <w:r>
        <w:rPr>
          <w:spacing w:val="-2"/>
          <w:sz w:val="24"/>
        </w:rPr>
        <w:t xml:space="preserve"> </w:t>
      </w:r>
      <w:r>
        <w:rPr>
          <w:sz w:val="24"/>
        </w:rPr>
        <w:t>as</w:t>
      </w:r>
      <w:r>
        <w:rPr>
          <w:spacing w:val="1"/>
          <w:sz w:val="24"/>
        </w:rPr>
        <w:t xml:space="preserve"> </w:t>
      </w:r>
      <w:r>
        <w:rPr>
          <w:spacing w:val="-2"/>
          <w:sz w:val="24"/>
        </w:rPr>
        <w:t>applicable.</w:t>
      </w:r>
    </w:p>
    <w:p>
      <w:pPr>
        <w:pStyle w:val="ListParagraph"/>
        <w:numPr>
          <w:ilvl w:val="1"/>
          <w:numId w:val="35"/>
        </w:numPr>
        <w:tabs>
          <w:tab w:val="left" w:pos="1495"/>
        </w:tabs>
        <w:spacing w:before="120" w:after="0" w:line="240" w:lineRule="auto"/>
        <w:ind w:left="1495" w:right="0" w:hanging="631"/>
        <w:jc w:val="left"/>
        <w:rPr>
          <w:sz w:val="24"/>
        </w:rPr>
      </w:pPr>
      <w:r>
        <w:rPr>
          <w:sz w:val="24"/>
        </w:rPr>
        <w:t>The</w:t>
      </w:r>
      <w:r>
        <w:rPr>
          <w:spacing w:val="-3"/>
          <w:sz w:val="24"/>
        </w:rPr>
        <w:t xml:space="preserve"> </w:t>
      </w:r>
      <w:r>
        <w:rPr>
          <w:sz w:val="24"/>
        </w:rPr>
        <w:t>source</w:t>
      </w:r>
      <w:r>
        <w:rPr>
          <w:spacing w:val="-2"/>
          <w:sz w:val="24"/>
        </w:rPr>
        <w:t xml:space="preserve"> data.</w:t>
      </w:r>
    </w:p>
    <w:p>
      <w:pPr>
        <w:pStyle w:val="ListParagraph"/>
        <w:numPr>
          <w:ilvl w:val="1"/>
          <w:numId w:val="35"/>
        </w:numPr>
        <w:tabs>
          <w:tab w:val="left" w:pos="1495"/>
        </w:tabs>
        <w:spacing w:before="120" w:after="0" w:line="240" w:lineRule="auto"/>
        <w:ind w:left="1495" w:right="2288" w:hanging="632"/>
        <w:jc w:val="left"/>
        <w:rPr>
          <w:sz w:val="24"/>
        </w:rPr>
      </w:pPr>
      <w:r>
        <w:rPr>
          <w:sz w:val="24"/>
        </w:rPr>
        <w:t>An</w:t>
      </w:r>
      <w:r>
        <w:rPr>
          <w:spacing w:val="-3"/>
          <w:sz w:val="24"/>
        </w:rPr>
        <w:t xml:space="preserve"> </w:t>
      </w:r>
      <w:r>
        <w:rPr>
          <w:sz w:val="24"/>
        </w:rPr>
        <w:t>explicit</w:t>
      </w:r>
      <w:r>
        <w:rPr>
          <w:spacing w:val="-3"/>
          <w:sz w:val="24"/>
        </w:rPr>
        <w:t xml:space="preserve"> </w:t>
      </w:r>
      <w:r>
        <w:rPr>
          <w:sz w:val="24"/>
        </w:rPr>
        <w:t>statement</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projected</w:t>
      </w:r>
      <w:r>
        <w:rPr>
          <w:spacing w:val="-3"/>
          <w:sz w:val="24"/>
        </w:rPr>
        <w:t xml:space="preserve"> </w:t>
      </w:r>
      <w:r>
        <w:rPr>
          <w:sz w:val="24"/>
        </w:rPr>
        <w:t>cost</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contract</w:t>
      </w:r>
      <w:r>
        <w:rPr>
          <w:spacing w:val="-3"/>
          <w:sz w:val="24"/>
        </w:rPr>
        <w:t xml:space="preserve"> </w:t>
      </w:r>
      <w:r>
        <w:rPr>
          <w:sz w:val="24"/>
        </w:rPr>
        <w:t>year</w:t>
      </w:r>
      <w:r>
        <w:rPr>
          <w:spacing w:val="-2"/>
          <w:sz w:val="24"/>
        </w:rPr>
        <w:t xml:space="preserve"> </w:t>
      </w:r>
      <w:r>
        <w:rPr>
          <w:sz w:val="24"/>
        </w:rPr>
        <w:t>equals</w:t>
      </w:r>
      <w:r>
        <w:rPr>
          <w:spacing w:val="-2"/>
          <w:sz w:val="24"/>
        </w:rPr>
        <w:t xml:space="preserve"> </w:t>
      </w:r>
      <w:r>
        <w:rPr>
          <w:sz w:val="24"/>
        </w:rPr>
        <w:t>zero (or “essentially zero”.)</w:t>
      </w:r>
    </w:p>
    <w:p>
      <w:pPr>
        <w:pStyle w:val="BodyText"/>
        <w:spacing w:before="121"/>
        <w:ind w:left="864"/>
      </w:pPr>
      <w:r>
        <w:t>(Detailed</w:t>
      </w:r>
      <w:r>
        <w:rPr>
          <w:spacing w:val="-4"/>
        </w:rPr>
        <w:t xml:space="preserve"> </w:t>
      </w:r>
      <w:r>
        <w:t>support</w:t>
      </w:r>
      <w:r>
        <w:rPr>
          <w:spacing w:val="-1"/>
        </w:rPr>
        <w:t xml:space="preserve"> </w:t>
      </w:r>
      <w:r>
        <w:t>for</w:t>
      </w:r>
      <w:r>
        <w:rPr>
          <w:spacing w:val="-1"/>
        </w:rPr>
        <w:t xml:space="preserve"> </w:t>
      </w:r>
      <w:r>
        <w:t>the pricing</w:t>
      </w:r>
      <w:r>
        <w:rPr>
          <w:spacing w:val="-1"/>
        </w:rPr>
        <w:t xml:space="preserve"> </w:t>
      </w:r>
      <w:r>
        <w:t>of</w:t>
      </w:r>
      <w:r>
        <w:rPr>
          <w:spacing w:val="-3"/>
        </w:rPr>
        <w:t xml:space="preserve"> </w:t>
      </w:r>
      <w:r>
        <w:t>non-covered</w:t>
      </w:r>
      <w:r>
        <w:rPr>
          <w:spacing w:val="-1"/>
        </w:rPr>
        <w:t xml:space="preserve"> </w:t>
      </w:r>
      <w:r>
        <w:t>services</w:t>
      </w:r>
      <w:r>
        <w:rPr>
          <w:spacing w:val="-1"/>
        </w:rPr>
        <w:t xml:space="preserve"> </w:t>
      </w:r>
      <w:r>
        <w:t>is</w:t>
      </w:r>
      <w:r>
        <w:rPr>
          <w:spacing w:val="-2"/>
        </w:rPr>
        <w:t xml:space="preserve"> </w:t>
      </w:r>
      <w:r>
        <w:t>available</w:t>
      </w:r>
      <w:r>
        <w:rPr>
          <w:spacing w:val="-1"/>
        </w:rPr>
        <w:t xml:space="preserve"> </w:t>
      </w:r>
      <w:r>
        <w:t xml:space="preserve">upon </w:t>
      </w:r>
      <w:r>
        <w:rPr>
          <w:spacing w:val="-2"/>
        </w:rPr>
        <w:t>request.)</w:t>
      </w:r>
    </w:p>
    <w:p>
      <w:pPr>
        <w:pStyle w:val="ListParagraph"/>
        <w:numPr>
          <w:ilvl w:val="0"/>
          <w:numId w:val="35"/>
        </w:numPr>
        <w:tabs>
          <w:tab w:val="left" w:pos="864"/>
        </w:tabs>
        <w:spacing w:before="120" w:after="0" w:line="240" w:lineRule="auto"/>
        <w:ind w:left="864" w:right="1596" w:hanging="360"/>
        <w:jc w:val="left"/>
        <w:rPr>
          <w:sz w:val="24"/>
        </w:rPr>
      </w:pPr>
      <w:r>
        <w:rPr>
          <w:sz w:val="24"/>
        </w:rPr>
        <w:t>Support, at the benefit level, for non-covered services (Worksheet 2, lines l through q, column o), if any, including a breakdown of the PMPM value shown in the BPT. For example,</w:t>
      </w:r>
      <w:r>
        <w:rPr>
          <w:spacing w:val="-2"/>
          <w:sz w:val="24"/>
        </w:rPr>
        <w:t xml:space="preserve"> </w:t>
      </w:r>
      <w:r>
        <w:rPr>
          <w:sz w:val="24"/>
        </w:rPr>
        <w:t>a</w:t>
      </w:r>
      <w:r>
        <w:rPr>
          <w:spacing w:val="-3"/>
          <w:sz w:val="24"/>
        </w:rPr>
        <w:t xml:space="preserve"> </w:t>
      </w:r>
      <w:r>
        <w:rPr>
          <w:sz w:val="24"/>
        </w:rPr>
        <w:t>$4.00</w:t>
      </w:r>
      <w:r>
        <w:rPr>
          <w:spacing w:val="-2"/>
          <w:sz w:val="24"/>
        </w:rPr>
        <w:t xml:space="preserve"> </w:t>
      </w:r>
      <w:r>
        <w:rPr>
          <w:sz w:val="24"/>
        </w:rPr>
        <w:t>PMPM</w:t>
      </w:r>
      <w:r>
        <w:rPr>
          <w:spacing w:val="-3"/>
          <w:sz w:val="24"/>
        </w:rPr>
        <w:t xml:space="preserve"> </w:t>
      </w:r>
      <w:r>
        <w:rPr>
          <w:sz w:val="24"/>
        </w:rPr>
        <w:t>in</w:t>
      </w:r>
      <w:r>
        <w:rPr>
          <w:spacing w:val="-2"/>
          <w:sz w:val="24"/>
        </w:rPr>
        <w:t xml:space="preserve"> </w:t>
      </w:r>
      <w:r>
        <w:rPr>
          <w:sz w:val="24"/>
        </w:rPr>
        <w:t>column</w:t>
      </w:r>
      <w:r>
        <w:rPr>
          <w:spacing w:val="-2"/>
          <w:sz w:val="24"/>
        </w:rPr>
        <w:t xml:space="preserve"> </w:t>
      </w:r>
      <w:r>
        <w:rPr>
          <w:sz w:val="24"/>
        </w:rPr>
        <w:t>o</w:t>
      </w:r>
      <w:r>
        <w:rPr>
          <w:spacing w:val="-2"/>
          <w:sz w:val="24"/>
        </w:rPr>
        <w:t xml:space="preserve"> </w:t>
      </w:r>
      <w:r>
        <w:rPr>
          <w:sz w:val="24"/>
        </w:rPr>
        <w:t>of</w:t>
      </w:r>
      <w:r>
        <w:rPr>
          <w:spacing w:val="-3"/>
          <w:sz w:val="24"/>
        </w:rPr>
        <w:t xml:space="preserve"> </w:t>
      </w:r>
      <w:r>
        <w:rPr>
          <w:sz w:val="24"/>
        </w:rPr>
        <w:t>row</w:t>
      </w:r>
      <w:r>
        <w:rPr>
          <w:spacing w:val="-4"/>
          <w:sz w:val="24"/>
        </w:rPr>
        <w:t xml:space="preserve"> </w:t>
      </w:r>
      <w:r>
        <w:rPr>
          <w:sz w:val="24"/>
        </w:rPr>
        <w:t>p,</w:t>
      </w:r>
      <w:r>
        <w:rPr>
          <w:spacing w:val="-2"/>
          <w:sz w:val="24"/>
        </w:rPr>
        <w:t xml:space="preserve"> </w:t>
      </w:r>
      <w:r>
        <w:rPr>
          <w:sz w:val="24"/>
        </w:rPr>
        <w:t>“Suppl.</w:t>
      </w:r>
      <w:r>
        <w:rPr>
          <w:spacing w:val="-2"/>
          <w:sz w:val="24"/>
        </w:rPr>
        <w:t xml:space="preserve"> </w:t>
      </w:r>
      <w:r>
        <w:rPr>
          <w:sz w:val="24"/>
        </w:rPr>
        <w:t>Ben.</w:t>
      </w:r>
      <w:r>
        <w:rPr>
          <w:spacing w:val="-2"/>
          <w:sz w:val="24"/>
        </w:rPr>
        <w:t xml:space="preserve"> </w:t>
      </w:r>
      <w:r>
        <w:rPr>
          <w:sz w:val="24"/>
        </w:rPr>
        <w:t>Chpt</w:t>
      </w:r>
      <w:r>
        <w:rPr>
          <w:spacing w:val="-2"/>
          <w:sz w:val="24"/>
        </w:rPr>
        <w:t xml:space="preserve"> </w:t>
      </w:r>
      <w:r>
        <w:rPr>
          <w:sz w:val="24"/>
        </w:rPr>
        <w:t>4</w:t>
      </w:r>
      <w:r>
        <w:rPr>
          <w:spacing w:val="-1"/>
          <w:sz w:val="24"/>
        </w:rPr>
        <w:t xml:space="preserve"> </w:t>
      </w:r>
      <w:r>
        <w:rPr>
          <w:sz w:val="24"/>
        </w:rPr>
        <w:t>(Non-Covered),”</w:t>
      </w:r>
      <w:r>
        <w:rPr>
          <w:spacing w:val="-3"/>
          <w:sz w:val="24"/>
        </w:rPr>
        <w:t xml:space="preserve"> </w:t>
      </w:r>
      <w:r>
        <w:rPr>
          <w:sz w:val="24"/>
        </w:rPr>
        <w:t>is</w:t>
      </w:r>
      <w:r>
        <w:rPr>
          <w:spacing w:val="-3"/>
          <w:sz w:val="24"/>
        </w:rPr>
        <w:t xml:space="preserve"> </w:t>
      </w:r>
      <w:r>
        <w:rPr>
          <w:sz w:val="24"/>
        </w:rPr>
        <w:t>to be shown in the supporting documentation as $1.50 PMPM for a smoking and tobacco cessation</w:t>
      </w:r>
      <w:r>
        <w:rPr>
          <w:spacing w:val="-4"/>
          <w:sz w:val="24"/>
        </w:rPr>
        <w:t xml:space="preserve"> </w:t>
      </w:r>
      <w:r>
        <w:rPr>
          <w:sz w:val="24"/>
        </w:rPr>
        <w:t>counseling</w:t>
      </w:r>
      <w:r>
        <w:rPr>
          <w:spacing w:val="-4"/>
          <w:sz w:val="24"/>
        </w:rPr>
        <w:t xml:space="preserve"> </w:t>
      </w:r>
      <w:r>
        <w:rPr>
          <w:sz w:val="24"/>
        </w:rPr>
        <w:t>and</w:t>
      </w:r>
      <w:r>
        <w:rPr>
          <w:spacing w:val="-2"/>
          <w:sz w:val="24"/>
        </w:rPr>
        <w:t xml:space="preserve"> </w:t>
      </w:r>
      <w:r>
        <w:rPr>
          <w:sz w:val="24"/>
        </w:rPr>
        <w:t>$2.50</w:t>
      </w:r>
      <w:r>
        <w:rPr>
          <w:spacing w:val="-4"/>
          <w:sz w:val="24"/>
        </w:rPr>
        <w:t xml:space="preserve"> </w:t>
      </w:r>
      <w:r>
        <w:rPr>
          <w:sz w:val="24"/>
        </w:rPr>
        <w:t>PMPM</w:t>
      </w:r>
      <w:r>
        <w:rPr>
          <w:spacing w:val="-5"/>
          <w:sz w:val="24"/>
        </w:rPr>
        <w:t xml:space="preserve"> </w:t>
      </w:r>
      <w:r>
        <w:rPr>
          <w:sz w:val="24"/>
        </w:rPr>
        <w:t>for</w:t>
      </w:r>
      <w:r>
        <w:rPr>
          <w:spacing w:val="-5"/>
          <w:sz w:val="24"/>
        </w:rPr>
        <w:t xml:space="preserve"> </w:t>
      </w:r>
      <w:r>
        <w:rPr>
          <w:sz w:val="24"/>
        </w:rPr>
        <w:t>medical</w:t>
      </w:r>
      <w:r>
        <w:rPr>
          <w:spacing w:val="-4"/>
          <w:sz w:val="24"/>
        </w:rPr>
        <w:t xml:space="preserve"> </w:t>
      </w:r>
      <w:r>
        <w:rPr>
          <w:sz w:val="24"/>
        </w:rPr>
        <w:t>nutrition</w:t>
      </w:r>
      <w:r>
        <w:rPr>
          <w:spacing w:val="-4"/>
          <w:sz w:val="24"/>
        </w:rPr>
        <w:t xml:space="preserve"> </w:t>
      </w:r>
      <w:r>
        <w:rPr>
          <w:sz w:val="24"/>
        </w:rPr>
        <w:t>therapy.</w:t>
      </w:r>
      <w:r>
        <w:rPr>
          <w:spacing w:val="-4"/>
          <w:sz w:val="24"/>
        </w:rPr>
        <w:t xml:space="preserve"> </w:t>
      </w:r>
      <w:r>
        <w:rPr>
          <w:sz w:val="24"/>
        </w:rPr>
        <w:t>(Detailed</w:t>
      </w:r>
      <w:r>
        <w:rPr>
          <w:spacing w:val="-4"/>
          <w:sz w:val="24"/>
        </w:rPr>
        <w:t xml:space="preserve"> </w:t>
      </w:r>
      <w:r>
        <w:rPr>
          <w:sz w:val="24"/>
        </w:rPr>
        <w:t>support</w:t>
      </w:r>
      <w:r>
        <w:rPr>
          <w:spacing w:val="-4"/>
          <w:sz w:val="24"/>
        </w:rPr>
        <w:t xml:space="preserve"> </w:t>
      </w:r>
      <w:r>
        <w:rPr>
          <w:sz w:val="24"/>
        </w:rPr>
        <w:t>for the pricing of non-covered services is available upon request.)</w:t>
      </w:r>
    </w:p>
    <w:p>
      <w:pPr>
        <w:pStyle w:val="ListParagraph"/>
        <w:numPr>
          <w:ilvl w:val="1"/>
          <w:numId w:val="35"/>
        </w:numPr>
        <w:tabs>
          <w:tab w:val="left" w:pos="1493"/>
          <w:tab w:val="left" w:pos="1495"/>
        </w:tabs>
        <w:spacing w:before="120" w:after="0" w:line="240" w:lineRule="auto"/>
        <w:ind w:left="1495" w:right="1437" w:hanging="632"/>
        <w:jc w:val="left"/>
        <w:rPr>
          <w:sz w:val="24"/>
        </w:rPr>
      </w:pPr>
      <w:r>
        <w:rPr>
          <w:sz w:val="24"/>
        </w:rPr>
        <w:t>If non-covered services are aggregated into a single benefit (for example, debit card, OTC card, flex card, or any comparable means that can be applied across multiple PBP benefits), the support must report each underlying non-covered service separately regardless of the PBP benefit category under which the service would otherwise be classified. If any of the aggregated services are 14c or 19b services,</w:t>
      </w:r>
      <w:r>
        <w:rPr>
          <w:spacing w:val="40"/>
          <w:sz w:val="24"/>
        </w:rPr>
        <w:t xml:space="preserve"> </w:t>
      </w:r>
      <w:r>
        <w:rPr>
          <w:sz w:val="24"/>
        </w:rPr>
        <w:t>they</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reported</w:t>
      </w:r>
      <w:r>
        <w:rPr>
          <w:spacing w:val="-1"/>
          <w:sz w:val="24"/>
        </w:rPr>
        <w:t xml:space="preserve"> </w:t>
      </w:r>
      <w:r>
        <w:rPr>
          <w:sz w:val="24"/>
        </w:rPr>
        <w:t>at</w:t>
      </w:r>
      <w:r>
        <w:rPr>
          <w:spacing w:val="-3"/>
          <w:sz w:val="24"/>
        </w:rPr>
        <w:t xml:space="preserve"> </w:t>
      </w:r>
      <w:r>
        <w:rPr>
          <w:sz w:val="24"/>
        </w:rPr>
        <w:t>the</w:t>
      </w:r>
      <w:r>
        <w:rPr>
          <w:spacing w:val="-4"/>
          <w:sz w:val="24"/>
        </w:rPr>
        <w:t xml:space="preserve"> </w:t>
      </w:r>
      <w:r>
        <w:rPr>
          <w:sz w:val="24"/>
        </w:rPr>
        <w:t>subcategory</w:t>
      </w:r>
      <w:r>
        <w:rPr>
          <w:spacing w:val="-3"/>
          <w:sz w:val="24"/>
        </w:rPr>
        <w:t xml:space="preserve"> </w:t>
      </w:r>
      <w:r>
        <w:rPr>
          <w:sz w:val="24"/>
        </w:rPr>
        <w:t>level</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you</w:t>
      </w:r>
      <w:r>
        <w:rPr>
          <w:spacing w:val="-3"/>
          <w:sz w:val="24"/>
        </w:rPr>
        <w:t xml:space="preserve"> </w:t>
      </w:r>
      <w:r>
        <w:rPr>
          <w:sz w:val="24"/>
        </w:rPr>
        <w:t>must</w:t>
      </w:r>
      <w:r>
        <w:rPr>
          <w:spacing w:val="-3"/>
          <w:sz w:val="24"/>
        </w:rPr>
        <w:t xml:space="preserve"> </w:t>
      </w:r>
      <w:r>
        <w:rPr>
          <w:sz w:val="24"/>
        </w:rPr>
        <w:t>report</w:t>
      </w:r>
      <w:r>
        <w:rPr>
          <w:spacing w:val="-3"/>
          <w:sz w:val="24"/>
        </w:rPr>
        <w:t xml:space="preserve"> </w:t>
      </w:r>
      <w:r>
        <w:rPr>
          <w:sz w:val="24"/>
        </w:rPr>
        <w:t>the</w:t>
      </w:r>
      <w:r>
        <w:rPr>
          <w:spacing w:val="-3"/>
          <w:sz w:val="24"/>
        </w:rPr>
        <w:t xml:space="preserve"> </w:t>
      </w:r>
      <w:r>
        <w:rPr>
          <w:sz w:val="24"/>
        </w:rPr>
        <w:t>PMPM</w:t>
      </w:r>
      <w:r>
        <w:rPr>
          <w:spacing w:val="-4"/>
          <w:sz w:val="24"/>
        </w:rPr>
        <w:t xml:space="preserve"> </w:t>
      </w:r>
      <w:r>
        <w:rPr>
          <w:sz w:val="24"/>
        </w:rPr>
        <w:t>for “14c4: Fitness Benefit” and “14c18: Therapeutic Massage” separately). The</w:t>
      </w:r>
      <w:r>
        <w:rPr>
          <w:spacing w:val="40"/>
          <w:sz w:val="24"/>
        </w:rPr>
        <w:t xml:space="preserve"> </w:t>
      </w:r>
      <w:r>
        <w:rPr>
          <w:sz w:val="24"/>
        </w:rPr>
        <w:t>reporting must include a breakdown of the PMPM value corresponding to each service, consistent with the amounts reflected in the BPT.</w:t>
      </w:r>
    </w:p>
    <w:p>
      <w:pPr>
        <w:pStyle w:val="ListParagraph"/>
        <w:numPr>
          <w:ilvl w:val="1"/>
          <w:numId w:val="35"/>
        </w:numPr>
        <w:tabs>
          <w:tab w:val="left" w:pos="1493"/>
          <w:tab w:val="left" w:pos="1495"/>
        </w:tabs>
        <w:spacing w:before="140" w:after="0" w:line="240" w:lineRule="auto"/>
        <w:ind w:left="1495" w:right="1548" w:hanging="632"/>
        <w:jc w:val="left"/>
        <w:rPr>
          <w:sz w:val="24"/>
        </w:rPr>
      </w:pPr>
      <w:r>
        <w:rPr>
          <w:sz w:val="24"/>
        </w:rPr>
        <w:t>Ensure that the benefits described in your supporting documentation are consistent with the benefit terminology used in the PBP. Benefits listed in the support must be easily</w:t>
      </w:r>
      <w:r>
        <w:rPr>
          <w:spacing w:val="-5"/>
          <w:sz w:val="24"/>
        </w:rPr>
        <w:t xml:space="preserve"> </w:t>
      </w:r>
      <w:r>
        <w:rPr>
          <w:sz w:val="24"/>
        </w:rPr>
        <w:t>traceable</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corresponding</w:t>
      </w:r>
      <w:r>
        <w:rPr>
          <w:spacing w:val="-5"/>
          <w:sz w:val="24"/>
        </w:rPr>
        <w:t xml:space="preserve"> </w:t>
      </w:r>
      <w:r>
        <w:rPr>
          <w:sz w:val="24"/>
        </w:rPr>
        <w:t>PBP</w:t>
      </w:r>
      <w:r>
        <w:rPr>
          <w:spacing w:val="-5"/>
          <w:sz w:val="24"/>
        </w:rPr>
        <w:t xml:space="preserve"> </w:t>
      </w:r>
      <w:r>
        <w:rPr>
          <w:sz w:val="24"/>
        </w:rPr>
        <w:t>benefits.</w:t>
      </w:r>
      <w:r>
        <w:rPr>
          <w:spacing w:val="-5"/>
          <w:sz w:val="24"/>
        </w:rPr>
        <w:t xml:space="preserve"> </w:t>
      </w:r>
      <w:r>
        <w:rPr>
          <w:sz w:val="24"/>
        </w:rPr>
        <w:t>For</w:t>
      </w:r>
      <w:r>
        <w:rPr>
          <w:spacing w:val="-5"/>
          <w:sz w:val="24"/>
        </w:rPr>
        <w:t xml:space="preserve"> </w:t>
      </w:r>
      <w:r>
        <w:rPr>
          <w:sz w:val="24"/>
        </w:rPr>
        <w:t>example,</w:t>
      </w:r>
      <w:r>
        <w:rPr>
          <w:spacing w:val="-5"/>
          <w:sz w:val="24"/>
        </w:rPr>
        <w:t xml:space="preserve"> </w:t>
      </w:r>
      <w:r>
        <w:rPr>
          <w:sz w:val="24"/>
        </w:rPr>
        <w:t>referencing</w:t>
      </w:r>
      <w:r>
        <w:rPr>
          <w:spacing w:val="-5"/>
          <w:sz w:val="24"/>
        </w:rPr>
        <w:t xml:space="preserve"> </w:t>
      </w:r>
      <w:r>
        <w:rPr>
          <w:sz w:val="24"/>
        </w:rPr>
        <w:t>“Meals</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BodyText"/>
        <w:ind w:left="1495"/>
      </w:pPr>
      <w:r>
        <w:t>on</w:t>
      </w:r>
      <w:r>
        <w:rPr>
          <w:spacing w:val="-3"/>
        </w:rPr>
        <w:t xml:space="preserve"> </w:t>
      </w:r>
      <w:r>
        <w:t>Wheels”</w:t>
      </w:r>
      <w:r>
        <w:rPr>
          <w:spacing w:val="-1"/>
        </w:rPr>
        <w:t xml:space="preserve"> </w:t>
      </w:r>
      <w:r>
        <w:t>in</w:t>
      </w:r>
      <w:r>
        <w:rPr>
          <w:spacing w:val="-1"/>
        </w:rPr>
        <w:t xml:space="preserve"> </w:t>
      </w:r>
      <w:r>
        <w:t>support</w:t>
      </w:r>
      <w:r>
        <w:rPr>
          <w:spacing w:val="-1"/>
        </w:rPr>
        <w:t xml:space="preserve"> </w:t>
      </w:r>
      <w:r>
        <w:t>for</w:t>
      </w:r>
      <w:r>
        <w:rPr>
          <w:spacing w:val="-1"/>
        </w:rPr>
        <w:t xml:space="preserve"> </w:t>
      </w:r>
      <w:r>
        <w:t>the</w:t>
      </w:r>
      <w:r>
        <w:rPr>
          <w:spacing w:val="-3"/>
        </w:rPr>
        <w:t xml:space="preserve"> </w:t>
      </w:r>
      <w:r>
        <w:t>PBP</w:t>
      </w:r>
      <w:r>
        <w:rPr>
          <w:spacing w:val="-1"/>
        </w:rPr>
        <w:t xml:space="preserve"> </w:t>
      </w:r>
      <w:r>
        <w:t>benefit</w:t>
      </w:r>
      <w:r>
        <w:rPr>
          <w:spacing w:val="-1"/>
        </w:rPr>
        <w:t xml:space="preserve"> </w:t>
      </w:r>
      <w:r>
        <w:t>“Food</w:t>
      </w:r>
      <w:r>
        <w:rPr>
          <w:spacing w:val="1"/>
        </w:rPr>
        <w:t xml:space="preserve"> </w:t>
      </w:r>
      <w:r>
        <w:t>and</w:t>
      </w:r>
      <w:r>
        <w:rPr>
          <w:spacing w:val="-1"/>
        </w:rPr>
        <w:t xml:space="preserve"> </w:t>
      </w:r>
      <w:r>
        <w:t>Produce”</w:t>
      </w:r>
      <w:r>
        <w:rPr>
          <w:spacing w:val="-2"/>
        </w:rPr>
        <w:t xml:space="preserve"> </w:t>
      </w:r>
      <w:r>
        <w:t>is</w:t>
      </w:r>
      <w:r>
        <w:rPr>
          <w:spacing w:val="-2"/>
        </w:rPr>
        <w:t xml:space="preserve"> </w:t>
      </w:r>
      <w:r>
        <w:t xml:space="preserve">not </w:t>
      </w:r>
      <w:r>
        <w:rPr>
          <w:spacing w:val="-2"/>
        </w:rPr>
        <w:t>acceptable</w:t>
      </w:r>
    </w:p>
    <w:p>
      <w:pPr>
        <w:pStyle w:val="BodyText"/>
        <w:ind w:left="1495"/>
      </w:pPr>
      <w:r>
        <w:t>unless</w:t>
      </w:r>
      <w:r>
        <w:rPr>
          <w:spacing w:val="-4"/>
        </w:rPr>
        <w:t xml:space="preserve"> </w:t>
      </w:r>
      <w:r>
        <w:t>both</w:t>
      </w:r>
      <w:r>
        <w:rPr>
          <w:spacing w:val="-2"/>
        </w:rPr>
        <w:t xml:space="preserve"> </w:t>
      </w:r>
      <w:r>
        <w:t>benefits</w:t>
      </w:r>
      <w:r>
        <w:rPr>
          <w:spacing w:val="-4"/>
        </w:rPr>
        <w:t xml:space="preserve"> </w:t>
      </w:r>
      <w:r>
        <w:t>are</w:t>
      </w:r>
      <w:r>
        <w:rPr>
          <w:spacing w:val="-1"/>
        </w:rPr>
        <w:t xml:space="preserve"> </w:t>
      </w:r>
      <w:r>
        <w:t>clearly</w:t>
      </w:r>
      <w:r>
        <w:rPr>
          <w:spacing w:val="-3"/>
        </w:rPr>
        <w:t xml:space="preserve"> </w:t>
      </w:r>
      <w:r>
        <w:t>identified</w:t>
      </w:r>
      <w:r>
        <w:rPr>
          <w:spacing w:val="-2"/>
        </w:rPr>
        <w:t xml:space="preserve"> </w:t>
      </w:r>
      <w:r>
        <w:t>and</w:t>
      </w:r>
      <w:r>
        <w:rPr>
          <w:spacing w:val="-2"/>
        </w:rPr>
        <w:t xml:space="preserve"> mapped.</w:t>
      </w:r>
    </w:p>
    <w:p>
      <w:pPr>
        <w:pStyle w:val="ListParagraph"/>
        <w:numPr>
          <w:ilvl w:val="0"/>
          <w:numId w:val="35"/>
        </w:numPr>
        <w:tabs>
          <w:tab w:val="left" w:pos="864"/>
        </w:tabs>
        <w:spacing w:before="139" w:after="0" w:line="240" w:lineRule="auto"/>
        <w:ind w:left="864" w:right="2324" w:hanging="360"/>
        <w:jc w:val="left"/>
        <w:rPr>
          <w:sz w:val="24"/>
        </w:rPr>
      </w:pPr>
      <w:r>
        <w:rPr>
          <w:sz w:val="24"/>
        </w:rPr>
        <w:t>Support</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development</w:t>
      </w:r>
      <w:r>
        <w:rPr>
          <w:spacing w:val="-4"/>
          <w:sz w:val="24"/>
        </w:rPr>
        <w:t xml:space="preserve"> </w:t>
      </w:r>
      <w:r>
        <w:rPr>
          <w:sz w:val="24"/>
        </w:rPr>
        <w:t>of</w:t>
      </w:r>
      <w:r>
        <w:rPr>
          <w:spacing w:val="-5"/>
          <w:sz w:val="24"/>
        </w:rPr>
        <w:t xml:space="preserve"> </w:t>
      </w:r>
      <w:r>
        <w:rPr>
          <w:sz w:val="24"/>
        </w:rPr>
        <w:t>projected</w:t>
      </w:r>
      <w:r>
        <w:rPr>
          <w:spacing w:val="-3"/>
          <w:sz w:val="24"/>
        </w:rPr>
        <w:t xml:space="preserve"> </w:t>
      </w:r>
      <w:r>
        <w:rPr>
          <w:sz w:val="24"/>
        </w:rPr>
        <w:t>cost</w:t>
      </w:r>
      <w:r>
        <w:rPr>
          <w:spacing w:val="-4"/>
          <w:sz w:val="24"/>
        </w:rPr>
        <w:t xml:space="preserve"> </w:t>
      </w:r>
      <w:r>
        <w:rPr>
          <w:sz w:val="24"/>
        </w:rPr>
        <w:t>sharing</w:t>
      </w:r>
      <w:r>
        <w:rPr>
          <w:spacing w:val="-3"/>
          <w:sz w:val="24"/>
        </w:rPr>
        <w:t xml:space="preserve"> </w:t>
      </w:r>
      <w:r>
        <w:rPr>
          <w:sz w:val="24"/>
        </w:rPr>
        <w:t>(Worksheet</w:t>
      </w:r>
      <w:r>
        <w:rPr>
          <w:spacing w:val="-4"/>
          <w:sz w:val="24"/>
        </w:rPr>
        <w:t xml:space="preserve"> </w:t>
      </w:r>
      <w:r>
        <w:rPr>
          <w:sz w:val="24"/>
        </w:rPr>
        <w:t>3).</w:t>
      </w:r>
      <w:r>
        <w:rPr>
          <w:spacing w:val="-4"/>
          <w:sz w:val="24"/>
        </w:rPr>
        <w:t xml:space="preserve"> </w:t>
      </w:r>
      <w:r>
        <w:rPr>
          <w:sz w:val="24"/>
        </w:rPr>
        <w:t>The</w:t>
      </w:r>
      <w:r>
        <w:rPr>
          <w:spacing w:val="-3"/>
          <w:sz w:val="24"/>
        </w:rPr>
        <w:t xml:space="preserve"> </w:t>
      </w:r>
      <w:r>
        <w:rPr>
          <w:sz w:val="24"/>
        </w:rPr>
        <w:t>required elements include—</w:t>
      </w:r>
    </w:p>
    <w:p>
      <w:pPr>
        <w:pStyle w:val="ListParagraph"/>
        <w:numPr>
          <w:ilvl w:val="1"/>
          <w:numId w:val="35"/>
        </w:numPr>
        <w:tabs>
          <w:tab w:val="left" w:pos="1495"/>
        </w:tabs>
        <w:spacing w:before="120" w:after="0" w:line="240" w:lineRule="auto"/>
        <w:ind w:left="1495" w:right="1715" w:hanging="632"/>
        <w:jc w:val="left"/>
        <w:rPr>
          <w:sz w:val="24"/>
        </w:rPr>
      </w:pPr>
      <w:r>
        <w:rPr>
          <w:sz w:val="24"/>
        </w:rPr>
        <w:t>A</w:t>
      </w:r>
      <w:r>
        <w:rPr>
          <w:spacing w:val="-5"/>
          <w:sz w:val="24"/>
        </w:rPr>
        <w:t xml:space="preserve"> </w:t>
      </w:r>
      <w:r>
        <w:rPr>
          <w:sz w:val="24"/>
        </w:rPr>
        <w:t>detailed</w:t>
      </w:r>
      <w:r>
        <w:rPr>
          <w:spacing w:val="-4"/>
          <w:sz w:val="24"/>
        </w:rPr>
        <w:t xml:space="preserve"> </w:t>
      </w:r>
      <w:r>
        <w:rPr>
          <w:sz w:val="24"/>
        </w:rPr>
        <w:t>demonstration</w:t>
      </w:r>
      <w:r>
        <w:rPr>
          <w:spacing w:val="-1"/>
          <w:sz w:val="24"/>
        </w:rPr>
        <w:t xml:space="preserve"> </w:t>
      </w:r>
      <w:r>
        <w:rPr>
          <w:sz w:val="24"/>
        </w:rPr>
        <w:t>of</w:t>
      </w:r>
      <w:r>
        <w:rPr>
          <w:spacing w:val="-4"/>
          <w:sz w:val="24"/>
        </w:rPr>
        <w:t xml:space="preserve"> </w:t>
      </w:r>
      <w:r>
        <w:rPr>
          <w:sz w:val="24"/>
        </w:rPr>
        <w:t>how</w:t>
      </w:r>
      <w:r>
        <w:rPr>
          <w:spacing w:val="-5"/>
          <w:sz w:val="24"/>
        </w:rPr>
        <w:t xml:space="preserve"> </w:t>
      </w:r>
      <w:r>
        <w:rPr>
          <w:sz w:val="24"/>
        </w:rPr>
        <w:t>coinsurance</w:t>
      </w:r>
      <w:r>
        <w:rPr>
          <w:spacing w:val="-5"/>
          <w:sz w:val="24"/>
        </w:rPr>
        <w:t xml:space="preserve"> </w:t>
      </w:r>
      <w:r>
        <w:rPr>
          <w:sz w:val="24"/>
        </w:rPr>
        <w:t>or</w:t>
      </w:r>
      <w:r>
        <w:rPr>
          <w:spacing w:val="-3"/>
          <w:sz w:val="24"/>
        </w:rPr>
        <w:t xml:space="preserve"> </w:t>
      </w:r>
      <w:r>
        <w:rPr>
          <w:sz w:val="24"/>
        </w:rPr>
        <w:t>copayments,</w:t>
      </w:r>
      <w:r>
        <w:rPr>
          <w:spacing w:val="-4"/>
          <w:sz w:val="24"/>
        </w:rPr>
        <w:t xml:space="preserve"> </w:t>
      </w:r>
      <w:r>
        <w:rPr>
          <w:sz w:val="24"/>
        </w:rPr>
        <w:t>for</w:t>
      </w:r>
      <w:r>
        <w:rPr>
          <w:spacing w:val="-5"/>
          <w:sz w:val="24"/>
        </w:rPr>
        <w:t xml:space="preserve"> </w:t>
      </w:r>
      <w:r>
        <w:rPr>
          <w:sz w:val="24"/>
        </w:rPr>
        <w:t>which</w:t>
      </w:r>
      <w:r>
        <w:rPr>
          <w:spacing w:val="-4"/>
          <w:sz w:val="24"/>
        </w:rPr>
        <w:t xml:space="preserve"> </w:t>
      </w:r>
      <w:r>
        <w:rPr>
          <w:sz w:val="24"/>
        </w:rPr>
        <w:t>CMS</w:t>
      </w:r>
      <w:r>
        <w:rPr>
          <w:spacing w:val="-4"/>
          <w:sz w:val="24"/>
        </w:rPr>
        <w:t xml:space="preserve"> </w:t>
      </w:r>
      <w:r>
        <w:rPr>
          <w:sz w:val="24"/>
        </w:rPr>
        <w:t>does not have an established amount, satisfy CMS service category requirements. This demonstration must be included when:</w:t>
      </w:r>
    </w:p>
    <w:p>
      <w:pPr>
        <w:pStyle w:val="ListParagraph"/>
        <w:numPr>
          <w:ilvl w:val="0"/>
          <w:numId w:val="34"/>
        </w:numPr>
        <w:tabs>
          <w:tab w:val="left" w:pos="2232"/>
        </w:tabs>
        <w:spacing w:before="120" w:after="0" w:line="240" w:lineRule="auto"/>
        <w:ind w:left="2232" w:right="1450" w:hanging="648"/>
        <w:jc w:val="left"/>
        <w:rPr>
          <w:sz w:val="24"/>
        </w:rPr>
      </w:pPr>
      <w:r>
        <w:rPr>
          <w:sz w:val="24"/>
        </w:rPr>
        <w:t>A</w:t>
      </w:r>
      <w:r>
        <w:rPr>
          <w:spacing w:val="-4"/>
          <w:sz w:val="24"/>
        </w:rPr>
        <w:t xml:space="preserve"> </w:t>
      </w:r>
      <w:r>
        <w:rPr>
          <w:sz w:val="24"/>
        </w:rPr>
        <w:t>coinsurance</w:t>
      </w:r>
      <w:r>
        <w:rPr>
          <w:spacing w:val="-4"/>
          <w:sz w:val="24"/>
        </w:rPr>
        <w:t xml:space="preserve"> </w:t>
      </w:r>
      <w:r>
        <w:rPr>
          <w:sz w:val="24"/>
        </w:rPr>
        <w:t>is</w:t>
      </w:r>
      <w:r>
        <w:rPr>
          <w:spacing w:val="-4"/>
          <w:sz w:val="24"/>
        </w:rPr>
        <w:t xml:space="preserve"> </w:t>
      </w:r>
      <w:r>
        <w:rPr>
          <w:sz w:val="24"/>
        </w:rPr>
        <w:t>used</w:t>
      </w:r>
      <w:r>
        <w:rPr>
          <w:spacing w:val="-3"/>
          <w:sz w:val="24"/>
        </w:rPr>
        <w:t xml:space="preserve"> </w:t>
      </w:r>
      <w:r>
        <w:rPr>
          <w:sz w:val="24"/>
        </w:rPr>
        <w:t>for</w:t>
      </w:r>
      <w:r>
        <w:rPr>
          <w:spacing w:val="-3"/>
          <w:sz w:val="24"/>
        </w:rPr>
        <w:t xml:space="preserve"> </w:t>
      </w:r>
      <w:r>
        <w:rPr>
          <w:sz w:val="24"/>
        </w:rPr>
        <w:t>inpatient</w:t>
      </w:r>
      <w:r>
        <w:rPr>
          <w:spacing w:val="-3"/>
          <w:sz w:val="24"/>
        </w:rPr>
        <w:t xml:space="preserve"> </w:t>
      </w:r>
      <w:r>
        <w:rPr>
          <w:sz w:val="24"/>
        </w:rPr>
        <w:t>hospital</w:t>
      </w:r>
      <w:r>
        <w:rPr>
          <w:spacing w:val="-3"/>
          <w:sz w:val="24"/>
        </w:rPr>
        <w:t xml:space="preserve"> </w:t>
      </w:r>
      <w:r>
        <w:rPr>
          <w:sz w:val="24"/>
        </w:rPr>
        <w:t>acute</w:t>
      </w:r>
      <w:r>
        <w:rPr>
          <w:spacing w:val="-3"/>
          <w:sz w:val="24"/>
        </w:rPr>
        <w:t xml:space="preserve"> </w:t>
      </w:r>
      <w:r>
        <w:rPr>
          <w:sz w:val="24"/>
        </w:rPr>
        <w:t>and</w:t>
      </w:r>
      <w:r>
        <w:rPr>
          <w:spacing w:val="-3"/>
          <w:sz w:val="24"/>
        </w:rPr>
        <w:t xml:space="preserve"> </w:t>
      </w:r>
      <w:r>
        <w:rPr>
          <w:sz w:val="24"/>
        </w:rPr>
        <w:t>psychiatric</w:t>
      </w:r>
      <w:r>
        <w:rPr>
          <w:spacing w:val="-3"/>
          <w:sz w:val="24"/>
        </w:rPr>
        <w:t xml:space="preserve"> </w:t>
      </w:r>
      <w:r>
        <w:rPr>
          <w:sz w:val="24"/>
        </w:rPr>
        <w:t>or</w:t>
      </w:r>
      <w:r>
        <w:rPr>
          <w:spacing w:val="-5"/>
          <w:sz w:val="24"/>
        </w:rPr>
        <w:t xml:space="preserve"> </w:t>
      </w:r>
      <w:r>
        <w:rPr>
          <w:sz w:val="24"/>
        </w:rPr>
        <w:t>SNF</w:t>
      </w:r>
      <w:r>
        <w:rPr>
          <w:spacing w:val="-5"/>
          <w:sz w:val="24"/>
        </w:rPr>
        <w:t xml:space="preserve"> </w:t>
      </w:r>
      <w:r>
        <w:rPr>
          <w:sz w:val="24"/>
        </w:rPr>
        <w:t xml:space="preserve">plan </w:t>
      </w:r>
      <w:r>
        <w:rPr>
          <w:spacing w:val="-2"/>
          <w:sz w:val="24"/>
        </w:rPr>
        <w:t>benefits;</w:t>
      </w:r>
    </w:p>
    <w:p>
      <w:pPr>
        <w:pStyle w:val="ListParagraph"/>
        <w:numPr>
          <w:ilvl w:val="0"/>
          <w:numId w:val="34"/>
        </w:numPr>
        <w:tabs>
          <w:tab w:val="left" w:pos="2232"/>
        </w:tabs>
        <w:spacing w:before="120" w:after="0" w:line="240" w:lineRule="auto"/>
        <w:ind w:left="2232" w:right="1794" w:hanging="648"/>
        <w:jc w:val="left"/>
        <w:rPr>
          <w:sz w:val="24"/>
        </w:rPr>
      </w:pPr>
      <w:r>
        <w:rPr>
          <w:sz w:val="24"/>
        </w:rPr>
        <w:t>A</w:t>
      </w:r>
      <w:r>
        <w:rPr>
          <w:spacing w:val="-5"/>
          <w:sz w:val="24"/>
        </w:rPr>
        <w:t xml:space="preserve"> </w:t>
      </w:r>
      <w:r>
        <w:rPr>
          <w:sz w:val="24"/>
        </w:rPr>
        <w:t>copayment</w:t>
      </w:r>
      <w:r>
        <w:rPr>
          <w:spacing w:val="-4"/>
          <w:sz w:val="24"/>
        </w:rPr>
        <w:t xml:space="preserve"> </w:t>
      </w:r>
      <w:r>
        <w:rPr>
          <w:sz w:val="24"/>
        </w:rPr>
        <w:t>is</w:t>
      </w:r>
      <w:r>
        <w:rPr>
          <w:spacing w:val="-5"/>
          <w:sz w:val="24"/>
        </w:rPr>
        <w:t xml:space="preserve"> </w:t>
      </w:r>
      <w:r>
        <w:rPr>
          <w:sz w:val="24"/>
        </w:rPr>
        <w:t>used</w:t>
      </w:r>
      <w:r>
        <w:rPr>
          <w:spacing w:val="-4"/>
          <w:sz w:val="24"/>
        </w:rPr>
        <w:t xml:space="preserve"> </w:t>
      </w:r>
      <w:r>
        <w:rPr>
          <w:sz w:val="24"/>
        </w:rPr>
        <w:t>for</w:t>
      </w:r>
      <w:r>
        <w:rPr>
          <w:spacing w:val="-3"/>
          <w:sz w:val="24"/>
        </w:rPr>
        <w:t xml:space="preserve"> </w:t>
      </w:r>
      <w:r>
        <w:rPr>
          <w:sz w:val="24"/>
        </w:rPr>
        <w:t>DME</w:t>
      </w:r>
      <w:r>
        <w:rPr>
          <w:spacing w:val="-4"/>
          <w:sz w:val="24"/>
        </w:rPr>
        <w:t xml:space="preserve"> </w:t>
      </w:r>
      <w:r>
        <w:rPr>
          <w:sz w:val="24"/>
        </w:rPr>
        <w:t>service</w:t>
      </w:r>
      <w:r>
        <w:rPr>
          <w:spacing w:val="-3"/>
          <w:sz w:val="24"/>
        </w:rPr>
        <w:t xml:space="preserve"> </w:t>
      </w:r>
      <w:r>
        <w:rPr>
          <w:sz w:val="24"/>
        </w:rPr>
        <w:t>categories</w:t>
      </w:r>
      <w:r>
        <w:rPr>
          <w:spacing w:val="-5"/>
          <w:sz w:val="24"/>
        </w:rPr>
        <w:t xml:space="preserve"> </w:t>
      </w:r>
      <w:r>
        <w:rPr>
          <w:sz w:val="24"/>
        </w:rPr>
        <w:t>for</w:t>
      </w:r>
      <w:r>
        <w:rPr>
          <w:spacing w:val="-4"/>
          <w:sz w:val="24"/>
        </w:rPr>
        <w:t xml:space="preserve"> </w:t>
      </w:r>
      <w:r>
        <w:rPr>
          <w:sz w:val="24"/>
        </w:rPr>
        <w:t>which</w:t>
      </w:r>
      <w:r>
        <w:rPr>
          <w:spacing w:val="-4"/>
          <w:sz w:val="24"/>
        </w:rPr>
        <w:t xml:space="preserve"> </w:t>
      </w:r>
      <w:r>
        <w:rPr>
          <w:sz w:val="24"/>
        </w:rPr>
        <w:t>CMS</w:t>
      </w:r>
      <w:r>
        <w:rPr>
          <w:spacing w:val="-3"/>
          <w:sz w:val="24"/>
        </w:rPr>
        <w:t xml:space="preserve"> </w:t>
      </w:r>
      <w:r>
        <w:rPr>
          <w:sz w:val="24"/>
        </w:rPr>
        <w:t>does</w:t>
      </w:r>
      <w:r>
        <w:rPr>
          <w:spacing w:val="-5"/>
          <w:sz w:val="24"/>
        </w:rPr>
        <w:t xml:space="preserve"> </w:t>
      </w:r>
      <w:r>
        <w:rPr>
          <w:sz w:val="24"/>
        </w:rPr>
        <w:t>not have a set copayment limit;</w:t>
      </w:r>
    </w:p>
    <w:p>
      <w:pPr>
        <w:pStyle w:val="ListParagraph"/>
        <w:numPr>
          <w:ilvl w:val="0"/>
          <w:numId w:val="34"/>
        </w:numPr>
        <w:tabs>
          <w:tab w:val="left" w:pos="2232"/>
        </w:tabs>
        <w:spacing w:before="121" w:after="0" w:line="240" w:lineRule="auto"/>
        <w:ind w:left="2232" w:right="1669" w:hanging="648"/>
        <w:jc w:val="left"/>
        <w:rPr>
          <w:sz w:val="24"/>
        </w:rPr>
      </w:pPr>
      <w:r>
        <w:rPr>
          <w:sz w:val="24"/>
        </w:rPr>
        <w:t>A</w:t>
      </w:r>
      <w:r>
        <w:rPr>
          <w:spacing w:val="-4"/>
          <w:sz w:val="24"/>
        </w:rPr>
        <w:t xml:space="preserve"> </w:t>
      </w:r>
      <w:r>
        <w:rPr>
          <w:sz w:val="24"/>
        </w:rPr>
        <w:t>coinsurance</w:t>
      </w:r>
      <w:r>
        <w:rPr>
          <w:spacing w:val="-4"/>
          <w:sz w:val="24"/>
        </w:rPr>
        <w:t xml:space="preserve"> </w:t>
      </w:r>
      <w:r>
        <w:rPr>
          <w:sz w:val="24"/>
        </w:rPr>
        <w:t>or</w:t>
      </w:r>
      <w:r>
        <w:rPr>
          <w:spacing w:val="-3"/>
          <w:sz w:val="24"/>
        </w:rPr>
        <w:t xml:space="preserve"> </w:t>
      </w:r>
      <w:r>
        <w:rPr>
          <w:sz w:val="24"/>
        </w:rPr>
        <w:t>copayment</w:t>
      </w:r>
      <w:r>
        <w:rPr>
          <w:spacing w:val="-3"/>
          <w:sz w:val="24"/>
        </w:rPr>
        <w:t xml:space="preserve"> </w:t>
      </w:r>
      <w:r>
        <w:rPr>
          <w:sz w:val="24"/>
        </w:rPr>
        <w:t>amount</w:t>
      </w:r>
      <w:r>
        <w:rPr>
          <w:spacing w:val="-3"/>
          <w:sz w:val="24"/>
        </w:rPr>
        <w:t xml:space="preserve"> </w:t>
      </w:r>
      <w:r>
        <w:rPr>
          <w:sz w:val="24"/>
        </w:rPr>
        <w:t>is</w:t>
      </w:r>
      <w:r>
        <w:rPr>
          <w:spacing w:val="-4"/>
          <w:sz w:val="24"/>
        </w:rPr>
        <w:t xml:space="preserve"> </w:t>
      </w:r>
      <w:r>
        <w:rPr>
          <w:sz w:val="24"/>
        </w:rPr>
        <w:t>used</w:t>
      </w:r>
      <w:r>
        <w:rPr>
          <w:spacing w:val="-3"/>
          <w:sz w:val="24"/>
        </w:rPr>
        <w:t xml:space="preserve"> </w:t>
      </w:r>
      <w:r>
        <w:rPr>
          <w:sz w:val="24"/>
        </w:rPr>
        <w:t>for</w:t>
      </w:r>
      <w:r>
        <w:rPr>
          <w:spacing w:val="-3"/>
          <w:sz w:val="24"/>
        </w:rPr>
        <w:t xml:space="preserve"> </w:t>
      </w:r>
      <w:r>
        <w:rPr>
          <w:sz w:val="24"/>
        </w:rPr>
        <w:t>other</w:t>
      </w:r>
      <w:r>
        <w:rPr>
          <w:spacing w:val="-5"/>
          <w:sz w:val="24"/>
        </w:rPr>
        <w:t xml:space="preserve"> </w:t>
      </w:r>
      <w:r>
        <w:rPr>
          <w:sz w:val="24"/>
        </w:rPr>
        <w:t>service</w:t>
      </w:r>
      <w:r>
        <w:rPr>
          <w:spacing w:val="-4"/>
          <w:sz w:val="24"/>
        </w:rPr>
        <w:t xml:space="preserve"> </w:t>
      </w:r>
      <w:r>
        <w:rPr>
          <w:sz w:val="24"/>
        </w:rPr>
        <w:t>categories</w:t>
      </w:r>
      <w:r>
        <w:rPr>
          <w:spacing w:val="-4"/>
          <w:sz w:val="24"/>
        </w:rPr>
        <w:t xml:space="preserve"> </w:t>
      </w:r>
      <w:r>
        <w:rPr>
          <w:sz w:val="24"/>
        </w:rPr>
        <w:t>for which CMS does not have an established limit on cost sharing under §§</w:t>
      </w:r>
    </w:p>
    <w:p>
      <w:pPr>
        <w:pStyle w:val="BodyText"/>
        <w:ind w:left="2232"/>
      </w:pPr>
      <w:r>
        <w:t>422.100</w:t>
      </w:r>
      <w:r>
        <w:rPr>
          <w:spacing w:val="-2"/>
        </w:rPr>
        <w:t xml:space="preserve"> </w:t>
      </w:r>
      <w:r>
        <w:t>or</w:t>
      </w:r>
      <w:r>
        <w:rPr>
          <w:spacing w:val="-1"/>
        </w:rPr>
        <w:t xml:space="preserve"> </w:t>
      </w:r>
      <w:r>
        <w:rPr>
          <w:spacing w:val="-2"/>
        </w:rPr>
        <w:t>422.113.</w:t>
      </w:r>
    </w:p>
    <w:p>
      <w:pPr>
        <w:pStyle w:val="ListParagraph"/>
        <w:numPr>
          <w:ilvl w:val="1"/>
          <w:numId w:val="35"/>
        </w:numPr>
        <w:tabs>
          <w:tab w:val="left" w:pos="1495"/>
        </w:tabs>
        <w:spacing w:before="120" w:after="0" w:line="240" w:lineRule="auto"/>
        <w:ind w:left="1495" w:right="0" w:hanging="631"/>
        <w:jc w:val="left"/>
        <w:rPr>
          <w:sz w:val="24"/>
        </w:rPr>
      </w:pPr>
      <w:r>
        <w:rPr>
          <w:sz w:val="24"/>
        </w:rPr>
        <w:t>The</w:t>
      </w:r>
      <w:r>
        <w:rPr>
          <w:spacing w:val="-3"/>
          <w:sz w:val="24"/>
        </w:rPr>
        <w:t xml:space="preserve"> </w:t>
      </w:r>
      <w:r>
        <w:rPr>
          <w:sz w:val="24"/>
        </w:rPr>
        <w:t>determination of</w:t>
      </w:r>
      <w:r>
        <w:rPr>
          <w:spacing w:val="-2"/>
          <w:sz w:val="24"/>
        </w:rPr>
        <w:t xml:space="preserve"> </w:t>
      </w:r>
      <w:r>
        <w:rPr>
          <w:sz w:val="24"/>
        </w:rPr>
        <w:t>the PMPM</w:t>
      </w:r>
      <w:r>
        <w:rPr>
          <w:spacing w:val="-2"/>
          <w:sz w:val="24"/>
        </w:rPr>
        <w:t xml:space="preserve"> </w:t>
      </w:r>
      <w:r>
        <w:rPr>
          <w:sz w:val="24"/>
        </w:rPr>
        <w:t>impact</w:t>
      </w:r>
      <w:r>
        <w:rPr>
          <w:spacing w:val="-1"/>
          <w:sz w:val="24"/>
        </w:rPr>
        <w:t xml:space="preserve"> </w:t>
      </w:r>
      <w:r>
        <w:rPr>
          <w:sz w:val="24"/>
        </w:rPr>
        <w:t>of</w:t>
      </w:r>
      <w:r>
        <w:rPr>
          <w:spacing w:val="1"/>
          <w:sz w:val="24"/>
        </w:rPr>
        <w:t xml:space="preserve"> </w:t>
      </w:r>
      <w:r>
        <w:rPr>
          <w:spacing w:val="-2"/>
          <w:sz w:val="24"/>
        </w:rPr>
        <w:t>deductibles.</w:t>
      </w:r>
    </w:p>
    <w:p>
      <w:pPr>
        <w:pStyle w:val="ListParagraph"/>
        <w:numPr>
          <w:ilvl w:val="1"/>
          <w:numId w:val="35"/>
        </w:numPr>
        <w:tabs>
          <w:tab w:val="left" w:pos="1495"/>
        </w:tabs>
        <w:spacing w:before="120" w:after="0" w:line="240" w:lineRule="auto"/>
        <w:ind w:left="1495" w:right="1487" w:hanging="632"/>
        <w:jc w:val="left"/>
        <w:rPr>
          <w:sz w:val="24"/>
        </w:rPr>
      </w:pPr>
      <w:r>
        <w:rPr>
          <w:sz w:val="24"/>
        </w:rPr>
        <w:t>When any of the actuarial equivalent cost sharing tests fail (failing “red circle” validations)</w:t>
      </w:r>
      <w:r>
        <w:rPr>
          <w:spacing w:val="-4"/>
          <w:sz w:val="24"/>
        </w:rPr>
        <w:t xml:space="preserve"> </w:t>
      </w:r>
      <w:r>
        <w:rPr>
          <w:sz w:val="24"/>
        </w:rPr>
        <w:t>on</w:t>
      </w:r>
      <w:r>
        <w:rPr>
          <w:spacing w:val="-4"/>
          <w:sz w:val="24"/>
        </w:rPr>
        <w:t xml:space="preserve"> </w:t>
      </w:r>
      <w:r>
        <w:rPr>
          <w:sz w:val="24"/>
        </w:rPr>
        <w:t>Worksheet</w:t>
      </w:r>
      <w:r>
        <w:rPr>
          <w:spacing w:val="-4"/>
          <w:sz w:val="24"/>
        </w:rPr>
        <w:t xml:space="preserve"> </w:t>
      </w:r>
      <w:r>
        <w:rPr>
          <w:sz w:val="24"/>
        </w:rPr>
        <w:t>4,</w:t>
      </w:r>
      <w:r>
        <w:rPr>
          <w:spacing w:val="-4"/>
          <w:sz w:val="24"/>
        </w:rPr>
        <w:t xml:space="preserve"> </w:t>
      </w:r>
      <w:r>
        <w:rPr>
          <w:sz w:val="24"/>
        </w:rPr>
        <w:t>the</w:t>
      </w:r>
      <w:r>
        <w:rPr>
          <w:spacing w:val="-5"/>
          <w:sz w:val="24"/>
        </w:rPr>
        <w:t xml:space="preserve"> </w:t>
      </w:r>
      <w:r>
        <w:rPr>
          <w:sz w:val="24"/>
        </w:rPr>
        <w:t>MAO</w:t>
      </w:r>
      <w:r>
        <w:rPr>
          <w:spacing w:val="-5"/>
          <w:sz w:val="24"/>
        </w:rPr>
        <w:t xml:space="preserve"> </w:t>
      </w:r>
      <w:r>
        <w:rPr>
          <w:sz w:val="24"/>
        </w:rPr>
        <w:t>must</w:t>
      </w:r>
      <w:r>
        <w:rPr>
          <w:spacing w:val="-4"/>
          <w:sz w:val="24"/>
        </w:rPr>
        <w:t xml:space="preserve"> </w:t>
      </w:r>
      <w:r>
        <w:rPr>
          <w:sz w:val="24"/>
        </w:rPr>
        <w:t>adequately</w:t>
      </w:r>
      <w:r>
        <w:rPr>
          <w:spacing w:val="-4"/>
          <w:sz w:val="24"/>
        </w:rPr>
        <w:t xml:space="preserve"> </w:t>
      </w:r>
      <w:r>
        <w:rPr>
          <w:sz w:val="24"/>
        </w:rPr>
        <w:t>demonstrate</w:t>
      </w:r>
      <w:r>
        <w:rPr>
          <w:spacing w:val="-4"/>
          <w:sz w:val="24"/>
        </w:rPr>
        <w:t xml:space="preserve"> </w:t>
      </w:r>
      <w:r>
        <w:rPr>
          <w:sz w:val="24"/>
        </w:rPr>
        <w:t>the</w:t>
      </w:r>
      <w:r>
        <w:rPr>
          <w:spacing w:val="-4"/>
          <w:sz w:val="24"/>
        </w:rPr>
        <w:t xml:space="preserve"> </w:t>
      </w:r>
      <w:r>
        <w:rPr>
          <w:sz w:val="24"/>
        </w:rPr>
        <w:t>requirement that the plan cost sharing for Medicare-covered benefits entered in the PBP is not greater than FFS cost sharing.</w:t>
      </w:r>
    </w:p>
    <w:p>
      <w:pPr>
        <w:pStyle w:val="ListParagraph"/>
        <w:numPr>
          <w:ilvl w:val="0"/>
          <w:numId w:val="35"/>
        </w:numPr>
        <w:tabs>
          <w:tab w:val="left" w:pos="864"/>
        </w:tabs>
        <w:spacing w:before="120" w:after="0" w:line="240" w:lineRule="auto"/>
        <w:ind w:left="864" w:right="1642" w:hanging="360"/>
        <w:jc w:val="left"/>
        <w:rPr>
          <w:sz w:val="24"/>
        </w:rPr>
      </w:pPr>
      <w:r>
        <w:rPr>
          <w:sz w:val="24"/>
        </w:rPr>
        <w:t>Support</w:t>
      </w:r>
      <w:r>
        <w:rPr>
          <w:spacing w:val="-4"/>
          <w:sz w:val="24"/>
        </w:rPr>
        <w:t xml:space="preserve"> </w:t>
      </w:r>
      <w:r>
        <w:rPr>
          <w:sz w:val="24"/>
        </w:rPr>
        <w:t>for</w:t>
      </w:r>
      <w:r>
        <w:rPr>
          <w:spacing w:val="-5"/>
          <w:sz w:val="24"/>
        </w:rPr>
        <w:t xml:space="preserve"> </w:t>
      </w:r>
      <w:r>
        <w:rPr>
          <w:sz w:val="24"/>
        </w:rPr>
        <w:t>provider</w:t>
      </w:r>
      <w:r>
        <w:rPr>
          <w:spacing w:val="-4"/>
          <w:sz w:val="24"/>
        </w:rPr>
        <w:t xml:space="preserve"> </w:t>
      </w:r>
      <w:r>
        <w:rPr>
          <w:sz w:val="24"/>
        </w:rPr>
        <w:t>capitation</w:t>
      </w:r>
      <w:r>
        <w:rPr>
          <w:spacing w:val="-4"/>
          <w:sz w:val="24"/>
        </w:rPr>
        <w:t xml:space="preserve"> </w:t>
      </w:r>
      <w:r>
        <w:rPr>
          <w:sz w:val="24"/>
        </w:rPr>
        <w:t>arrangements</w:t>
      </w:r>
      <w:r>
        <w:rPr>
          <w:spacing w:val="-4"/>
          <w:sz w:val="24"/>
        </w:rPr>
        <w:t xml:space="preserve"> </w:t>
      </w:r>
      <w:r>
        <w:rPr>
          <w:sz w:val="24"/>
        </w:rPr>
        <w:t>and</w:t>
      </w:r>
      <w:r>
        <w:rPr>
          <w:spacing w:val="-4"/>
          <w:sz w:val="24"/>
        </w:rPr>
        <w:t xml:space="preserve"> </w:t>
      </w:r>
      <w:r>
        <w:rPr>
          <w:sz w:val="24"/>
        </w:rPr>
        <w:t>risk-sharing</w:t>
      </w:r>
      <w:r>
        <w:rPr>
          <w:spacing w:val="-4"/>
          <w:sz w:val="24"/>
        </w:rPr>
        <w:t xml:space="preserve"> </w:t>
      </w:r>
      <w:r>
        <w:rPr>
          <w:sz w:val="24"/>
        </w:rPr>
        <w:t>arrangements.</w:t>
      </w:r>
      <w:r>
        <w:rPr>
          <w:spacing w:val="-4"/>
          <w:sz w:val="24"/>
        </w:rPr>
        <w:t xml:space="preserve"> </w:t>
      </w:r>
      <w:r>
        <w:rPr>
          <w:sz w:val="24"/>
        </w:rPr>
        <w:t>The</w:t>
      </w:r>
      <w:r>
        <w:rPr>
          <w:spacing w:val="-6"/>
          <w:sz w:val="24"/>
        </w:rPr>
        <w:t xml:space="preserve"> </w:t>
      </w:r>
      <w:r>
        <w:rPr>
          <w:sz w:val="24"/>
        </w:rPr>
        <w:t>required elements for the base and projected periods include—</w:t>
      </w:r>
    </w:p>
    <w:p>
      <w:pPr>
        <w:pStyle w:val="ListParagraph"/>
        <w:numPr>
          <w:ilvl w:val="1"/>
          <w:numId w:val="35"/>
        </w:numPr>
        <w:tabs>
          <w:tab w:val="left" w:pos="1497"/>
        </w:tabs>
        <w:spacing w:before="121" w:after="0" w:line="240" w:lineRule="auto"/>
        <w:ind w:left="1497" w:right="0" w:hanging="633"/>
        <w:jc w:val="left"/>
        <w:rPr>
          <w:sz w:val="24"/>
        </w:rPr>
      </w:pPr>
      <w:r>
        <w:rPr>
          <w:sz w:val="24"/>
        </w:rPr>
        <w:t>For</w:t>
      </w:r>
      <w:r>
        <w:rPr>
          <w:spacing w:val="-2"/>
          <w:sz w:val="24"/>
        </w:rPr>
        <w:t xml:space="preserve"> </w:t>
      </w:r>
      <w:r>
        <w:rPr>
          <w:sz w:val="24"/>
        </w:rPr>
        <w:t>provider</w:t>
      </w:r>
      <w:r>
        <w:rPr>
          <w:spacing w:val="-2"/>
          <w:sz w:val="24"/>
        </w:rPr>
        <w:t xml:space="preserve"> </w:t>
      </w:r>
      <w:r>
        <w:rPr>
          <w:sz w:val="24"/>
        </w:rPr>
        <w:t>capitation</w:t>
      </w:r>
      <w:r>
        <w:rPr>
          <w:spacing w:val="-1"/>
          <w:sz w:val="24"/>
        </w:rPr>
        <w:t xml:space="preserve"> </w:t>
      </w:r>
      <w:r>
        <w:rPr>
          <w:spacing w:val="-2"/>
          <w:sz w:val="24"/>
        </w:rPr>
        <w:t>arrangements—</w:t>
      </w:r>
    </w:p>
    <w:p>
      <w:pPr>
        <w:pStyle w:val="ListParagraph"/>
        <w:numPr>
          <w:ilvl w:val="0"/>
          <w:numId w:val="33"/>
        </w:numPr>
        <w:tabs>
          <w:tab w:val="left" w:pos="2232"/>
        </w:tabs>
        <w:spacing w:before="120" w:after="0" w:line="240" w:lineRule="auto"/>
        <w:ind w:left="2232" w:right="1708" w:hanging="648"/>
        <w:jc w:val="left"/>
        <w:rPr>
          <w:sz w:val="24"/>
        </w:rPr>
      </w:pPr>
      <w:r>
        <w:rPr>
          <w:sz w:val="24"/>
        </w:rPr>
        <w:t>A</w:t>
      </w:r>
      <w:r>
        <w:rPr>
          <w:spacing w:val="-5"/>
          <w:sz w:val="24"/>
        </w:rPr>
        <w:t xml:space="preserve"> </w:t>
      </w:r>
      <w:r>
        <w:rPr>
          <w:sz w:val="24"/>
        </w:rPr>
        <w:t>description</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arrangement.</w:t>
      </w:r>
      <w:r>
        <w:rPr>
          <w:spacing w:val="-4"/>
          <w:sz w:val="24"/>
        </w:rPr>
        <w:t xml:space="preserve"> </w:t>
      </w:r>
      <w:r>
        <w:rPr>
          <w:sz w:val="24"/>
        </w:rPr>
        <w:t>Arrangements</w:t>
      </w:r>
      <w:r>
        <w:rPr>
          <w:spacing w:val="-5"/>
          <w:sz w:val="24"/>
        </w:rPr>
        <w:t xml:space="preserve"> </w:t>
      </w:r>
      <w:r>
        <w:rPr>
          <w:sz w:val="24"/>
        </w:rPr>
        <w:t>similar</w:t>
      </w:r>
      <w:r>
        <w:rPr>
          <w:spacing w:val="-4"/>
          <w:sz w:val="24"/>
        </w:rPr>
        <w:t xml:space="preserve"> </w:t>
      </w:r>
      <w:r>
        <w:rPr>
          <w:sz w:val="24"/>
        </w:rPr>
        <w:t>in</w:t>
      </w:r>
      <w:r>
        <w:rPr>
          <w:spacing w:val="-4"/>
          <w:sz w:val="24"/>
        </w:rPr>
        <w:t xml:space="preserve"> </w:t>
      </w:r>
      <w:r>
        <w:rPr>
          <w:sz w:val="24"/>
        </w:rPr>
        <w:t>design</w:t>
      </w:r>
      <w:r>
        <w:rPr>
          <w:spacing w:val="-4"/>
          <w:sz w:val="24"/>
        </w:rPr>
        <w:t xml:space="preserve"> </w:t>
      </w:r>
      <w:r>
        <w:rPr>
          <w:sz w:val="24"/>
        </w:rPr>
        <w:t>may</w:t>
      </w:r>
      <w:r>
        <w:rPr>
          <w:spacing w:val="-4"/>
          <w:sz w:val="24"/>
        </w:rPr>
        <w:t xml:space="preserve"> </w:t>
      </w:r>
      <w:r>
        <w:rPr>
          <w:sz w:val="24"/>
        </w:rPr>
        <w:t>be grouped in the description.</w:t>
      </w:r>
    </w:p>
    <w:p>
      <w:pPr>
        <w:pStyle w:val="ListParagraph"/>
        <w:numPr>
          <w:ilvl w:val="0"/>
          <w:numId w:val="33"/>
        </w:numPr>
        <w:tabs>
          <w:tab w:val="left" w:pos="2232"/>
        </w:tabs>
        <w:spacing w:before="120" w:after="0" w:line="240" w:lineRule="auto"/>
        <w:ind w:left="2232" w:right="1876" w:hanging="648"/>
        <w:jc w:val="left"/>
        <w:rPr>
          <w:sz w:val="24"/>
        </w:rPr>
      </w:pPr>
      <w:r>
        <w:rPr>
          <w:sz w:val="24"/>
        </w:rPr>
        <w:t>A description and numerical demonstration of the methodology used to allocate</w:t>
      </w:r>
      <w:r>
        <w:rPr>
          <w:spacing w:val="-5"/>
          <w:sz w:val="24"/>
        </w:rPr>
        <w:t xml:space="preserve"> </w:t>
      </w:r>
      <w:r>
        <w:rPr>
          <w:sz w:val="24"/>
        </w:rPr>
        <w:t>payments</w:t>
      </w:r>
      <w:r>
        <w:rPr>
          <w:spacing w:val="-6"/>
          <w:sz w:val="24"/>
        </w:rPr>
        <w:t xml:space="preserve"> </w:t>
      </w:r>
      <w:r>
        <w:rPr>
          <w:sz w:val="24"/>
        </w:rPr>
        <w:t>to</w:t>
      </w:r>
      <w:r>
        <w:rPr>
          <w:spacing w:val="-5"/>
          <w:sz w:val="24"/>
        </w:rPr>
        <w:t xml:space="preserve"> </w:t>
      </w:r>
      <w:r>
        <w:rPr>
          <w:sz w:val="24"/>
        </w:rPr>
        <w:t>service</w:t>
      </w:r>
      <w:r>
        <w:rPr>
          <w:spacing w:val="-6"/>
          <w:sz w:val="24"/>
        </w:rPr>
        <w:t xml:space="preserve"> </w:t>
      </w:r>
      <w:r>
        <w:rPr>
          <w:sz w:val="24"/>
        </w:rPr>
        <w:t>categories.</w:t>
      </w:r>
      <w:r>
        <w:rPr>
          <w:spacing w:val="-3"/>
          <w:sz w:val="24"/>
        </w:rPr>
        <w:t xml:space="preserve"> </w:t>
      </w:r>
      <w:r>
        <w:rPr>
          <w:sz w:val="24"/>
        </w:rPr>
        <w:t>Provide</w:t>
      </w:r>
      <w:r>
        <w:rPr>
          <w:spacing w:val="-6"/>
          <w:sz w:val="24"/>
        </w:rPr>
        <w:t xml:space="preserve"> </w:t>
      </w:r>
      <w:r>
        <w:rPr>
          <w:sz w:val="24"/>
        </w:rPr>
        <w:t>a</w:t>
      </w:r>
      <w:r>
        <w:rPr>
          <w:spacing w:val="-4"/>
          <w:sz w:val="24"/>
        </w:rPr>
        <w:t xml:space="preserve"> </w:t>
      </w:r>
      <w:r>
        <w:rPr>
          <w:sz w:val="24"/>
        </w:rPr>
        <w:t>demonstration</w:t>
      </w:r>
      <w:r>
        <w:rPr>
          <w:spacing w:val="-5"/>
          <w:sz w:val="24"/>
        </w:rPr>
        <w:t xml:space="preserve"> </w:t>
      </w:r>
      <w:r>
        <w:rPr>
          <w:sz w:val="24"/>
        </w:rPr>
        <w:t>for</w:t>
      </w:r>
      <w:r>
        <w:rPr>
          <w:spacing w:val="-5"/>
          <w:sz w:val="24"/>
        </w:rPr>
        <w:t xml:space="preserve"> </w:t>
      </w:r>
      <w:r>
        <w:rPr>
          <w:sz w:val="24"/>
        </w:rPr>
        <w:t>each separate methodology.</w:t>
      </w:r>
    </w:p>
    <w:p>
      <w:pPr>
        <w:pStyle w:val="ListParagraph"/>
        <w:numPr>
          <w:ilvl w:val="1"/>
          <w:numId w:val="35"/>
        </w:numPr>
        <w:tabs>
          <w:tab w:val="left" w:pos="1497"/>
        </w:tabs>
        <w:spacing w:before="120" w:after="0" w:line="240" w:lineRule="auto"/>
        <w:ind w:left="1497" w:right="0" w:hanging="633"/>
        <w:jc w:val="left"/>
        <w:rPr>
          <w:sz w:val="24"/>
        </w:rPr>
      </w:pPr>
      <w:r>
        <w:rPr>
          <w:sz w:val="24"/>
        </w:rPr>
        <w:t>For</w:t>
      </w:r>
      <w:r>
        <w:rPr>
          <w:spacing w:val="-2"/>
          <w:sz w:val="24"/>
        </w:rPr>
        <w:t xml:space="preserve"> </w:t>
      </w:r>
      <w:r>
        <w:rPr>
          <w:sz w:val="24"/>
        </w:rPr>
        <w:t>provider</w:t>
      </w:r>
      <w:r>
        <w:rPr>
          <w:spacing w:val="-1"/>
          <w:sz w:val="24"/>
        </w:rPr>
        <w:t xml:space="preserve"> </w:t>
      </w:r>
      <w:r>
        <w:rPr>
          <w:sz w:val="24"/>
        </w:rPr>
        <w:t>risk-sharing</w:t>
      </w:r>
      <w:r>
        <w:rPr>
          <w:spacing w:val="-1"/>
          <w:sz w:val="24"/>
        </w:rPr>
        <w:t xml:space="preserve"> </w:t>
      </w:r>
      <w:r>
        <w:rPr>
          <w:spacing w:val="-2"/>
          <w:sz w:val="24"/>
        </w:rPr>
        <w:t>arrangements—</w:t>
      </w:r>
    </w:p>
    <w:p>
      <w:pPr>
        <w:pStyle w:val="ListParagraph"/>
        <w:numPr>
          <w:ilvl w:val="0"/>
          <w:numId w:val="32"/>
        </w:numPr>
        <w:tabs>
          <w:tab w:val="left" w:pos="2232"/>
        </w:tabs>
        <w:spacing w:before="120" w:after="0" w:line="240" w:lineRule="auto"/>
        <w:ind w:left="2232" w:right="1708" w:hanging="648"/>
        <w:jc w:val="left"/>
        <w:rPr>
          <w:sz w:val="24"/>
        </w:rPr>
      </w:pPr>
      <w:r>
        <w:rPr>
          <w:sz w:val="24"/>
        </w:rPr>
        <w:t>A</w:t>
      </w:r>
      <w:r>
        <w:rPr>
          <w:spacing w:val="-5"/>
          <w:sz w:val="24"/>
        </w:rPr>
        <w:t xml:space="preserve"> </w:t>
      </w:r>
      <w:r>
        <w:rPr>
          <w:sz w:val="24"/>
        </w:rPr>
        <w:t>description</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arrangement.</w:t>
      </w:r>
      <w:r>
        <w:rPr>
          <w:spacing w:val="-4"/>
          <w:sz w:val="24"/>
        </w:rPr>
        <w:t xml:space="preserve"> </w:t>
      </w:r>
      <w:r>
        <w:rPr>
          <w:sz w:val="24"/>
        </w:rPr>
        <w:t>Arrangements</w:t>
      </w:r>
      <w:r>
        <w:rPr>
          <w:spacing w:val="-5"/>
          <w:sz w:val="24"/>
        </w:rPr>
        <w:t xml:space="preserve"> </w:t>
      </w:r>
      <w:r>
        <w:rPr>
          <w:sz w:val="24"/>
        </w:rPr>
        <w:t>similar</w:t>
      </w:r>
      <w:r>
        <w:rPr>
          <w:spacing w:val="-4"/>
          <w:sz w:val="24"/>
        </w:rPr>
        <w:t xml:space="preserve"> </w:t>
      </w:r>
      <w:r>
        <w:rPr>
          <w:sz w:val="24"/>
        </w:rPr>
        <w:t>in</w:t>
      </w:r>
      <w:r>
        <w:rPr>
          <w:spacing w:val="-4"/>
          <w:sz w:val="24"/>
        </w:rPr>
        <w:t xml:space="preserve"> </w:t>
      </w:r>
      <w:r>
        <w:rPr>
          <w:sz w:val="24"/>
        </w:rPr>
        <w:t>design</w:t>
      </w:r>
      <w:r>
        <w:rPr>
          <w:spacing w:val="-4"/>
          <w:sz w:val="24"/>
        </w:rPr>
        <w:t xml:space="preserve"> </w:t>
      </w:r>
      <w:r>
        <w:rPr>
          <w:sz w:val="24"/>
        </w:rPr>
        <w:t>may</w:t>
      </w:r>
      <w:r>
        <w:rPr>
          <w:spacing w:val="-4"/>
          <w:sz w:val="24"/>
        </w:rPr>
        <w:t xml:space="preserve"> </w:t>
      </w:r>
      <w:r>
        <w:rPr>
          <w:sz w:val="24"/>
        </w:rPr>
        <w:t>be grouped in the description.</w:t>
      </w:r>
    </w:p>
    <w:p>
      <w:pPr>
        <w:pStyle w:val="ListParagraph"/>
        <w:numPr>
          <w:ilvl w:val="0"/>
          <w:numId w:val="32"/>
        </w:numPr>
        <w:tabs>
          <w:tab w:val="left" w:pos="2232"/>
        </w:tabs>
        <w:spacing w:before="121" w:after="0" w:line="240" w:lineRule="auto"/>
        <w:ind w:left="2232" w:right="1876" w:hanging="648"/>
        <w:jc w:val="left"/>
        <w:rPr>
          <w:sz w:val="24"/>
        </w:rPr>
      </w:pPr>
      <w:r>
        <w:rPr>
          <w:sz w:val="24"/>
        </w:rPr>
        <w:t>A description and numerical demonstration of the methodology used to allocate</w:t>
      </w:r>
      <w:r>
        <w:rPr>
          <w:spacing w:val="-5"/>
          <w:sz w:val="24"/>
        </w:rPr>
        <w:t xml:space="preserve"> </w:t>
      </w:r>
      <w:r>
        <w:rPr>
          <w:sz w:val="24"/>
        </w:rPr>
        <w:t>payments</w:t>
      </w:r>
      <w:r>
        <w:rPr>
          <w:spacing w:val="-6"/>
          <w:sz w:val="24"/>
        </w:rPr>
        <w:t xml:space="preserve"> </w:t>
      </w:r>
      <w:r>
        <w:rPr>
          <w:sz w:val="24"/>
        </w:rPr>
        <w:t>to</w:t>
      </w:r>
      <w:r>
        <w:rPr>
          <w:spacing w:val="-5"/>
          <w:sz w:val="24"/>
        </w:rPr>
        <w:t xml:space="preserve"> </w:t>
      </w:r>
      <w:r>
        <w:rPr>
          <w:sz w:val="24"/>
        </w:rPr>
        <w:t>service</w:t>
      </w:r>
      <w:r>
        <w:rPr>
          <w:spacing w:val="-6"/>
          <w:sz w:val="24"/>
        </w:rPr>
        <w:t xml:space="preserve"> </w:t>
      </w:r>
      <w:r>
        <w:rPr>
          <w:sz w:val="24"/>
        </w:rPr>
        <w:t>categories.</w:t>
      </w:r>
      <w:r>
        <w:rPr>
          <w:spacing w:val="-3"/>
          <w:sz w:val="24"/>
        </w:rPr>
        <w:t xml:space="preserve"> </w:t>
      </w:r>
      <w:r>
        <w:rPr>
          <w:sz w:val="24"/>
        </w:rPr>
        <w:t>Provide</w:t>
      </w:r>
      <w:r>
        <w:rPr>
          <w:spacing w:val="-6"/>
          <w:sz w:val="24"/>
        </w:rPr>
        <w:t xml:space="preserve"> </w:t>
      </w:r>
      <w:r>
        <w:rPr>
          <w:sz w:val="24"/>
        </w:rPr>
        <w:t>a</w:t>
      </w:r>
      <w:r>
        <w:rPr>
          <w:spacing w:val="-4"/>
          <w:sz w:val="24"/>
        </w:rPr>
        <w:t xml:space="preserve"> </w:t>
      </w:r>
      <w:r>
        <w:rPr>
          <w:sz w:val="24"/>
        </w:rPr>
        <w:t>demonstration</w:t>
      </w:r>
      <w:r>
        <w:rPr>
          <w:spacing w:val="-5"/>
          <w:sz w:val="24"/>
        </w:rPr>
        <w:t xml:space="preserve"> </w:t>
      </w:r>
      <w:r>
        <w:rPr>
          <w:sz w:val="24"/>
        </w:rPr>
        <w:t>for</w:t>
      </w:r>
      <w:r>
        <w:rPr>
          <w:spacing w:val="-5"/>
          <w:sz w:val="24"/>
        </w:rPr>
        <w:t xml:space="preserve"> </w:t>
      </w:r>
      <w:r>
        <w:rPr>
          <w:sz w:val="24"/>
        </w:rPr>
        <w:t>each separate methodology.</w:t>
      </w:r>
    </w:p>
    <w:p>
      <w:pPr>
        <w:pStyle w:val="ListParagraph"/>
        <w:numPr>
          <w:ilvl w:val="0"/>
          <w:numId w:val="32"/>
        </w:numPr>
        <w:tabs>
          <w:tab w:val="left" w:pos="2232"/>
        </w:tabs>
        <w:spacing w:before="120" w:after="0" w:line="240" w:lineRule="auto"/>
        <w:ind w:left="2232" w:right="1690" w:hanging="648"/>
        <w:jc w:val="left"/>
        <w:rPr>
          <w:sz w:val="24"/>
        </w:rPr>
      </w:pPr>
      <w:r>
        <w:rPr>
          <w:sz w:val="24"/>
        </w:rPr>
        <w:t>A description and numerical demonstration of the methodology used to allocate</w:t>
      </w:r>
      <w:r>
        <w:rPr>
          <w:spacing w:val="-5"/>
          <w:sz w:val="24"/>
        </w:rPr>
        <w:t xml:space="preserve"> </w:t>
      </w:r>
      <w:r>
        <w:rPr>
          <w:sz w:val="24"/>
        </w:rPr>
        <w:t>payments</w:t>
      </w:r>
      <w:r>
        <w:rPr>
          <w:spacing w:val="-3"/>
          <w:sz w:val="24"/>
        </w:rPr>
        <w:t xml:space="preserve"> </w:t>
      </w:r>
      <w:r>
        <w:rPr>
          <w:sz w:val="24"/>
        </w:rPr>
        <w:t>across</w:t>
      </w:r>
      <w:r>
        <w:rPr>
          <w:spacing w:val="-4"/>
          <w:sz w:val="24"/>
        </w:rPr>
        <w:t xml:space="preserve"> </w:t>
      </w:r>
      <w:r>
        <w:rPr>
          <w:sz w:val="24"/>
        </w:rPr>
        <w:t>each</w:t>
      </w:r>
      <w:r>
        <w:rPr>
          <w:spacing w:val="-3"/>
          <w:sz w:val="24"/>
        </w:rPr>
        <w:t xml:space="preserve"> </w:t>
      </w:r>
      <w:r>
        <w:rPr>
          <w:sz w:val="24"/>
        </w:rPr>
        <w:t>associated</w:t>
      </w:r>
      <w:r>
        <w:rPr>
          <w:spacing w:val="-5"/>
          <w:sz w:val="24"/>
        </w:rPr>
        <w:t xml:space="preserve"> </w:t>
      </w:r>
      <w:r>
        <w:rPr>
          <w:sz w:val="24"/>
        </w:rPr>
        <w:t>BPT.</w:t>
      </w:r>
      <w:r>
        <w:rPr>
          <w:spacing w:val="-3"/>
          <w:sz w:val="24"/>
        </w:rPr>
        <w:t xml:space="preserve"> </w:t>
      </w:r>
      <w:r>
        <w:rPr>
          <w:sz w:val="24"/>
        </w:rPr>
        <w:t>Provide</w:t>
      </w:r>
      <w:r>
        <w:rPr>
          <w:spacing w:val="-7"/>
          <w:sz w:val="24"/>
        </w:rPr>
        <w:t xml:space="preserve"> </w:t>
      </w:r>
      <w:r>
        <w:rPr>
          <w:sz w:val="24"/>
        </w:rPr>
        <w:t>a</w:t>
      </w:r>
      <w:r>
        <w:rPr>
          <w:spacing w:val="-6"/>
          <w:sz w:val="24"/>
        </w:rPr>
        <w:t xml:space="preserve"> </w:t>
      </w:r>
      <w:r>
        <w:rPr>
          <w:sz w:val="24"/>
        </w:rPr>
        <w:t>demonstration</w:t>
      </w:r>
      <w:r>
        <w:rPr>
          <w:spacing w:val="-5"/>
          <w:sz w:val="24"/>
        </w:rPr>
        <w:t xml:space="preserve"> </w:t>
      </w:r>
      <w:r>
        <w:rPr>
          <w:sz w:val="24"/>
        </w:rPr>
        <w:t>for each separate methodology.</w:t>
      </w:r>
    </w:p>
    <w:p>
      <w:pPr>
        <w:pStyle w:val="ListParagraph"/>
        <w:numPr>
          <w:ilvl w:val="0"/>
          <w:numId w:val="35"/>
        </w:numPr>
        <w:tabs>
          <w:tab w:val="left" w:pos="864"/>
        </w:tabs>
        <w:spacing w:before="120" w:after="0" w:line="240" w:lineRule="auto"/>
        <w:ind w:left="864" w:right="0" w:hanging="360"/>
        <w:jc w:val="left"/>
        <w:rPr>
          <w:sz w:val="24"/>
        </w:rPr>
      </w:pPr>
      <w:r>
        <w:rPr>
          <w:sz w:val="24"/>
        </w:rPr>
        <w:t>Support</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“Development of</w:t>
      </w:r>
      <w:r>
        <w:rPr>
          <w:spacing w:val="-2"/>
          <w:sz w:val="24"/>
        </w:rPr>
        <w:t xml:space="preserve"> </w:t>
      </w:r>
      <w:r>
        <w:rPr>
          <w:sz w:val="24"/>
        </w:rPr>
        <w:t>the</w:t>
      </w:r>
      <w:r>
        <w:rPr>
          <w:spacing w:val="-1"/>
          <w:sz w:val="24"/>
        </w:rPr>
        <w:t xml:space="preserve"> </w:t>
      </w:r>
      <w:r>
        <w:rPr>
          <w:sz w:val="24"/>
        </w:rPr>
        <w:t>Projected Contract</w:t>
      </w:r>
      <w:r>
        <w:rPr>
          <w:spacing w:val="-1"/>
          <w:sz w:val="24"/>
        </w:rPr>
        <w:t xml:space="preserve"> </w:t>
      </w:r>
      <w:r>
        <w:rPr>
          <w:sz w:val="24"/>
        </w:rPr>
        <w:t>Year</w:t>
      </w:r>
      <w:r>
        <w:rPr>
          <w:spacing w:val="-1"/>
          <w:sz w:val="24"/>
        </w:rPr>
        <w:t xml:space="preserve"> </w:t>
      </w:r>
      <w:r>
        <w:rPr>
          <w:sz w:val="24"/>
        </w:rPr>
        <w:t xml:space="preserve">ESRD </w:t>
      </w:r>
      <w:r>
        <w:rPr>
          <w:spacing w:val="-2"/>
          <w:sz w:val="24"/>
        </w:rPr>
        <w:t>‘Subsidy’”</w:t>
      </w:r>
    </w:p>
    <w:p>
      <w:pPr>
        <w:pStyle w:val="BodyText"/>
        <w:ind w:left="864"/>
      </w:pPr>
      <w:r>
        <w:t>(Worksheet</w:t>
      </w:r>
      <w:r>
        <w:rPr>
          <w:spacing w:val="-2"/>
        </w:rPr>
        <w:t xml:space="preserve"> </w:t>
      </w:r>
      <w:r>
        <w:t>4).</w:t>
      </w:r>
      <w:r>
        <w:rPr>
          <w:spacing w:val="-1"/>
        </w:rPr>
        <w:t xml:space="preserve"> </w:t>
      </w:r>
      <w:r>
        <w:t>This</w:t>
      </w:r>
      <w:r>
        <w:rPr>
          <w:spacing w:val="-1"/>
        </w:rPr>
        <w:t xml:space="preserve"> </w:t>
      </w:r>
      <w:r>
        <w:t>required</w:t>
      </w:r>
      <w:r>
        <w:rPr>
          <w:spacing w:val="-1"/>
        </w:rPr>
        <w:t xml:space="preserve"> </w:t>
      </w:r>
      <w:r>
        <w:t>documentation</w:t>
      </w:r>
      <w:r>
        <w:rPr>
          <w:spacing w:val="-2"/>
        </w:rPr>
        <w:t xml:space="preserve"> </w:t>
      </w:r>
      <w:r>
        <w:t>includes</w:t>
      </w:r>
      <w:r>
        <w:rPr>
          <w:spacing w:val="-1"/>
        </w:rPr>
        <w:t xml:space="preserve"> </w:t>
      </w:r>
      <w:r>
        <w:t>the</w:t>
      </w:r>
      <w:r>
        <w:rPr>
          <w:spacing w:val="-1"/>
        </w:rPr>
        <w:t xml:space="preserve"> </w:t>
      </w:r>
      <w:r>
        <w:rPr>
          <w:spacing w:val="-2"/>
        </w:rPr>
        <w:t>following:</w:t>
      </w:r>
    </w:p>
    <w:p>
      <w:pPr>
        <w:pStyle w:val="BodyText"/>
        <w:spacing w:after="0"/>
        <w:sectPr>
          <w:pgSz w:w="12240" w:h="15840"/>
          <w:pgMar w:top="960" w:right="0" w:bottom="940" w:left="1080" w:header="727" w:footer="747"/>
          <w:cols w:space="720"/>
        </w:sectPr>
      </w:pPr>
    </w:p>
    <w:p>
      <w:pPr>
        <w:pStyle w:val="BodyText"/>
        <w:spacing w:before="190"/>
        <w:ind w:left="0"/>
      </w:pPr>
    </w:p>
    <w:p>
      <w:pPr>
        <w:pStyle w:val="ListParagraph"/>
        <w:numPr>
          <w:ilvl w:val="1"/>
          <w:numId w:val="35"/>
        </w:numPr>
        <w:tabs>
          <w:tab w:val="left" w:pos="1495"/>
        </w:tabs>
        <w:spacing w:before="0" w:after="0" w:line="240" w:lineRule="auto"/>
        <w:ind w:left="1495" w:right="2784" w:hanging="632"/>
        <w:jc w:val="left"/>
        <w:rPr>
          <w:sz w:val="24"/>
        </w:rPr>
      </w:pPr>
      <w:r>
        <w:rPr>
          <w:sz w:val="24"/>
        </w:rPr>
        <w:t>Base</w:t>
      </w:r>
      <w:r>
        <w:rPr>
          <w:spacing w:val="-6"/>
          <w:sz w:val="24"/>
        </w:rPr>
        <w:t xml:space="preserve"> </w:t>
      </w:r>
      <w:r>
        <w:rPr>
          <w:sz w:val="24"/>
        </w:rPr>
        <w:t>period</w:t>
      </w:r>
      <w:r>
        <w:rPr>
          <w:spacing w:val="-5"/>
          <w:sz w:val="24"/>
        </w:rPr>
        <w:t xml:space="preserve"> </w:t>
      </w:r>
      <w:r>
        <w:rPr>
          <w:sz w:val="24"/>
        </w:rPr>
        <w:t>(for</w:t>
      </w:r>
      <w:r>
        <w:rPr>
          <w:spacing w:val="-5"/>
          <w:sz w:val="24"/>
        </w:rPr>
        <w:t xml:space="preserve"> </w:t>
      </w:r>
      <w:r>
        <w:rPr>
          <w:sz w:val="24"/>
        </w:rPr>
        <w:t>example,</w:t>
      </w:r>
      <w:r>
        <w:rPr>
          <w:spacing w:val="-4"/>
          <w:sz w:val="24"/>
        </w:rPr>
        <w:t xml:space="preserve"> </w:t>
      </w:r>
      <w:r>
        <w:rPr>
          <w:sz w:val="24"/>
        </w:rPr>
        <w:t>2025)</w:t>
      </w:r>
      <w:r>
        <w:rPr>
          <w:spacing w:val="-5"/>
          <w:sz w:val="24"/>
        </w:rPr>
        <w:t xml:space="preserve"> </w:t>
      </w:r>
      <w:r>
        <w:rPr>
          <w:sz w:val="24"/>
        </w:rPr>
        <w:t>revenues</w:t>
      </w:r>
      <w:r>
        <w:rPr>
          <w:spacing w:val="-5"/>
          <w:sz w:val="24"/>
        </w:rPr>
        <w:t xml:space="preserve"> </w:t>
      </w:r>
      <w:r>
        <w:rPr>
          <w:sz w:val="24"/>
        </w:rPr>
        <w:t>and</w:t>
      </w:r>
      <w:r>
        <w:rPr>
          <w:spacing w:val="-5"/>
          <w:sz w:val="24"/>
        </w:rPr>
        <w:t xml:space="preserve"> </w:t>
      </w:r>
      <w:r>
        <w:rPr>
          <w:sz w:val="24"/>
        </w:rPr>
        <w:t>medical</w:t>
      </w:r>
      <w:r>
        <w:rPr>
          <w:spacing w:val="-5"/>
          <w:sz w:val="24"/>
        </w:rPr>
        <w:t xml:space="preserve"> </w:t>
      </w:r>
      <w:r>
        <w:rPr>
          <w:sz w:val="24"/>
        </w:rPr>
        <w:t>expenditures</w:t>
      </w:r>
      <w:r>
        <w:rPr>
          <w:spacing w:val="-3"/>
          <w:sz w:val="24"/>
        </w:rPr>
        <w:t xml:space="preserve"> </w:t>
      </w:r>
      <w:r>
        <w:rPr>
          <w:sz w:val="24"/>
        </w:rPr>
        <w:t>for Medicare-covered benefits provided to enrollees in ESRD status.</w:t>
      </w:r>
    </w:p>
    <w:p>
      <w:pPr>
        <w:pStyle w:val="ListParagraph"/>
        <w:numPr>
          <w:ilvl w:val="1"/>
          <w:numId w:val="35"/>
        </w:numPr>
        <w:tabs>
          <w:tab w:val="left" w:pos="1495"/>
        </w:tabs>
        <w:spacing w:before="120" w:after="0" w:line="240" w:lineRule="auto"/>
        <w:ind w:left="1495" w:right="0" w:hanging="631"/>
        <w:jc w:val="left"/>
        <w:rPr>
          <w:sz w:val="24"/>
        </w:rPr>
      </w:pPr>
      <w:r>
        <w:rPr>
          <w:sz w:val="24"/>
        </w:rPr>
        <w:t>The</w:t>
      </w:r>
      <w:r>
        <w:rPr>
          <w:spacing w:val="-3"/>
          <w:sz w:val="24"/>
        </w:rPr>
        <w:t xml:space="preserve"> </w:t>
      </w:r>
      <w:r>
        <w:rPr>
          <w:sz w:val="24"/>
        </w:rPr>
        <w:t>source for,</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development</w:t>
      </w:r>
      <w:r>
        <w:rPr>
          <w:spacing w:val="-2"/>
          <w:sz w:val="24"/>
        </w:rPr>
        <w:t xml:space="preserve"> </w:t>
      </w:r>
      <w:r>
        <w:rPr>
          <w:sz w:val="24"/>
        </w:rPr>
        <w:t>process</w:t>
      </w:r>
      <w:r>
        <w:rPr>
          <w:spacing w:val="-1"/>
          <w:sz w:val="24"/>
        </w:rPr>
        <w:t xml:space="preserve"> </w:t>
      </w:r>
      <w:r>
        <w:rPr>
          <w:sz w:val="24"/>
        </w:rPr>
        <w:t>of,</w:t>
      </w:r>
      <w:r>
        <w:rPr>
          <w:spacing w:val="-1"/>
          <w:sz w:val="24"/>
        </w:rPr>
        <w:t xml:space="preserve"> </w:t>
      </w:r>
      <w:r>
        <w:rPr>
          <w:sz w:val="24"/>
        </w:rPr>
        <w:t>any</w:t>
      </w:r>
      <w:r>
        <w:rPr>
          <w:spacing w:val="-1"/>
          <w:sz w:val="24"/>
        </w:rPr>
        <w:t xml:space="preserve"> </w:t>
      </w:r>
      <w:r>
        <w:rPr>
          <w:sz w:val="24"/>
        </w:rPr>
        <w:t>manual</w:t>
      </w:r>
      <w:r>
        <w:rPr>
          <w:spacing w:val="-2"/>
          <w:sz w:val="24"/>
        </w:rPr>
        <w:t xml:space="preserve"> </w:t>
      </w:r>
      <w:r>
        <w:rPr>
          <w:sz w:val="24"/>
        </w:rPr>
        <w:t>rates</w:t>
      </w:r>
      <w:r>
        <w:rPr>
          <w:spacing w:val="-1"/>
          <w:sz w:val="24"/>
        </w:rPr>
        <w:t xml:space="preserve"> </w:t>
      </w:r>
      <w:r>
        <w:rPr>
          <w:spacing w:val="-2"/>
          <w:sz w:val="24"/>
        </w:rPr>
        <w:t>used.</w:t>
      </w:r>
    </w:p>
    <w:p>
      <w:pPr>
        <w:pStyle w:val="ListParagraph"/>
        <w:numPr>
          <w:ilvl w:val="1"/>
          <w:numId w:val="35"/>
        </w:numPr>
        <w:tabs>
          <w:tab w:val="left" w:pos="1495"/>
        </w:tabs>
        <w:spacing w:before="120" w:after="0" w:line="240" w:lineRule="auto"/>
        <w:ind w:left="1495" w:right="0" w:hanging="631"/>
        <w:jc w:val="left"/>
        <w:rPr>
          <w:sz w:val="24"/>
        </w:rPr>
      </w:pPr>
      <w:r>
        <w:rPr>
          <w:sz w:val="24"/>
        </w:rPr>
        <w:t>Relevant</w:t>
      </w:r>
      <w:r>
        <w:rPr>
          <w:spacing w:val="-4"/>
          <w:sz w:val="24"/>
        </w:rPr>
        <w:t xml:space="preserve"> </w:t>
      </w:r>
      <w:r>
        <w:rPr>
          <w:sz w:val="24"/>
        </w:rPr>
        <w:t>base-to-contract</w:t>
      </w:r>
      <w:r>
        <w:rPr>
          <w:spacing w:val="-2"/>
          <w:sz w:val="24"/>
        </w:rPr>
        <w:t xml:space="preserve"> </w:t>
      </w:r>
      <w:r>
        <w:rPr>
          <w:sz w:val="24"/>
        </w:rPr>
        <w:t>year</w:t>
      </w:r>
      <w:r>
        <w:rPr>
          <w:spacing w:val="-2"/>
          <w:sz w:val="24"/>
        </w:rPr>
        <w:t xml:space="preserve"> </w:t>
      </w:r>
      <w:r>
        <w:rPr>
          <w:sz w:val="24"/>
        </w:rPr>
        <w:t>trend</w:t>
      </w:r>
      <w:r>
        <w:rPr>
          <w:spacing w:val="1"/>
          <w:sz w:val="24"/>
        </w:rPr>
        <w:t xml:space="preserve"> </w:t>
      </w:r>
      <w:r>
        <w:rPr>
          <w:spacing w:val="-2"/>
          <w:sz w:val="24"/>
        </w:rPr>
        <w:t>factors.</w:t>
      </w:r>
    </w:p>
    <w:p>
      <w:pPr>
        <w:pStyle w:val="ListParagraph"/>
        <w:numPr>
          <w:ilvl w:val="1"/>
          <w:numId w:val="35"/>
        </w:numPr>
        <w:tabs>
          <w:tab w:val="left" w:pos="1495"/>
        </w:tabs>
        <w:spacing w:before="120" w:after="0" w:line="240" w:lineRule="auto"/>
        <w:ind w:left="1495" w:right="1968" w:hanging="632"/>
        <w:jc w:val="left"/>
        <w:rPr>
          <w:sz w:val="24"/>
        </w:rPr>
      </w:pPr>
      <w:r>
        <w:rPr>
          <w:sz w:val="24"/>
        </w:rPr>
        <w:t>A</w:t>
      </w:r>
      <w:r>
        <w:rPr>
          <w:spacing w:val="-5"/>
          <w:sz w:val="24"/>
        </w:rPr>
        <w:t xml:space="preserve"> </w:t>
      </w:r>
      <w:r>
        <w:rPr>
          <w:sz w:val="24"/>
        </w:rPr>
        <w:t>demonstration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revenue</w:t>
      </w:r>
      <w:r>
        <w:rPr>
          <w:spacing w:val="-5"/>
          <w:sz w:val="24"/>
        </w:rPr>
        <w:t xml:space="preserve"> </w:t>
      </w:r>
      <w:r>
        <w:rPr>
          <w:sz w:val="24"/>
        </w:rPr>
        <w:t>development,</w:t>
      </w:r>
      <w:r>
        <w:rPr>
          <w:spacing w:val="-4"/>
          <w:sz w:val="24"/>
        </w:rPr>
        <w:t xml:space="preserve"> </w:t>
      </w:r>
      <w:r>
        <w:rPr>
          <w:sz w:val="24"/>
        </w:rPr>
        <w:t>including</w:t>
      </w:r>
      <w:r>
        <w:rPr>
          <w:spacing w:val="-4"/>
          <w:sz w:val="24"/>
        </w:rPr>
        <w:t xml:space="preserve"> </w:t>
      </w:r>
      <w:r>
        <w:rPr>
          <w:sz w:val="24"/>
        </w:rPr>
        <w:t>the</w:t>
      </w:r>
      <w:r>
        <w:rPr>
          <w:spacing w:val="-4"/>
          <w:sz w:val="24"/>
        </w:rPr>
        <w:t xml:space="preserve"> </w:t>
      </w:r>
      <w:r>
        <w:rPr>
          <w:sz w:val="24"/>
        </w:rPr>
        <w:t>development</w:t>
      </w:r>
      <w:r>
        <w:rPr>
          <w:spacing w:val="-4"/>
          <w:sz w:val="24"/>
        </w:rPr>
        <w:t xml:space="preserve"> </w:t>
      </w:r>
      <w:r>
        <w:rPr>
          <w:sz w:val="24"/>
        </w:rPr>
        <w:t>of</w:t>
      </w:r>
      <w:r>
        <w:rPr>
          <w:spacing w:val="-4"/>
          <w:sz w:val="24"/>
        </w:rPr>
        <w:t xml:space="preserve"> </w:t>
      </w:r>
      <w:r>
        <w:rPr>
          <w:sz w:val="24"/>
        </w:rPr>
        <w:t>risk scores, split by dialysis, transplant and functioning graft status.</w:t>
      </w:r>
    </w:p>
    <w:p>
      <w:pPr>
        <w:pStyle w:val="ListParagraph"/>
        <w:numPr>
          <w:ilvl w:val="1"/>
          <w:numId w:val="35"/>
        </w:numPr>
        <w:tabs>
          <w:tab w:val="left" w:pos="1495"/>
        </w:tabs>
        <w:spacing w:before="120" w:after="0" w:line="240" w:lineRule="auto"/>
        <w:ind w:left="1495" w:right="0" w:hanging="631"/>
        <w:jc w:val="left"/>
        <w:rPr>
          <w:sz w:val="24"/>
        </w:rPr>
      </w:pPr>
      <w:r>
        <w:rPr>
          <w:sz w:val="24"/>
        </w:rPr>
        <w:t>A</w:t>
      </w:r>
      <w:r>
        <w:rPr>
          <w:spacing w:val="-2"/>
          <w:sz w:val="24"/>
        </w:rPr>
        <w:t xml:space="preserve"> </w:t>
      </w:r>
      <w:r>
        <w:rPr>
          <w:sz w:val="24"/>
        </w:rPr>
        <w:t>statement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credibility</w:t>
      </w:r>
      <w:r>
        <w:rPr>
          <w:spacing w:val="-1"/>
          <w:sz w:val="24"/>
        </w:rPr>
        <w:t xml:space="preserve"> </w:t>
      </w:r>
      <w:r>
        <w:rPr>
          <w:sz w:val="24"/>
        </w:rPr>
        <w:t>approach</w:t>
      </w:r>
      <w:r>
        <w:rPr>
          <w:spacing w:val="-1"/>
          <w:sz w:val="24"/>
        </w:rPr>
        <w:t xml:space="preserve"> </w:t>
      </w:r>
      <w:r>
        <w:rPr>
          <w:sz w:val="24"/>
        </w:rPr>
        <w:t>used—for example,</w:t>
      </w:r>
      <w:r>
        <w:rPr>
          <w:spacing w:val="-1"/>
          <w:sz w:val="24"/>
        </w:rPr>
        <w:t xml:space="preserve"> </w:t>
      </w:r>
      <w:r>
        <w:rPr>
          <w:sz w:val="24"/>
        </w:rPr>
        <w:t>CMS</w:t>
      </w:r>
      <w:r>
        <w:rPr>
          <w:spacing w:val="-1"/>
          <w:sz w:val="24"/>
        </w:rPr>
        <w:t xml:space="preserve"> </w:t>
      </w:r>
      <w:r>
        <w:rPr>
          <w:spacing w:val="-2"/>
          <w:sz w:val="24"/>
        </w:rPr>
        <w:t>guidelines.</w:t>
      </w:r>
    </w:p>
    <w:p>
      <w:pPr>
        <w:pStyle w:val="ListParagraph"/>
        <w:numPr>
          <w:ilvl w:val="1"/>
          <w:numId w:val="35"/>
        </w:numPr>
        <w:tabs>
          <w:tab w:val="left" w:pos="1495"/>
        </w:tabs>
        <w:spacing w:before="120" w:after="0" w:line="240" w:lineRule="auto"/>
        <w:ind w:left="1495" w:right="0" w:hanging="631"/>
        <w:jc w:val="left"/>
        <w:rPr>
          <w:sz w:val="24"/>
        </w:rPr>
      </w:pPr>
      <w:r>
        <w:rPr>
          <w:sz w:val="24"/>
        </w:rPr>
        <w:t>A</w:t>
      </w:r>
      <w:r>
        <w:rPr>
          <w:spacing w:val="-4"/>
          <w:sz w:val="24"/>
        </w:rPr>
        <w:t xml:space="preserve"> </w:t>
      </w:r>
      <w:r>
        <w:rPr>
          <w:sz w:val="24"/>
        </w:rPr>
        <w:t>description</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credibility</w:t>
      </w:r>
      <w:r>
        <w:rPr>
          <w:spacing w:val="-1"/>
          <w:sz w:val="24"/>
        </w:rPr>
        <w:t xml:space="preserve"> </w:t>
      </w:r>
      <w:r>
        <w:rPr>
          <w:sz w:val="24"/>
        </w:rPr>
        <w:t>methodology used</w:t>
      </w:r>
      <w:r>
        <w:rPr>
          <w:spacing w:val="-4"/>
          <w:sz w:val="24"/>
        </w:rPr>
        <w:t xml:space="preserve"> </w:t>
      </w:r>
      <w:r>
        <w:rPr>
          <w:sz w:val="24"/>
        </w:rPr>
        <w:t>if</w:t>
      </w:r>
      <w:r>
        <w:rPr>
          <w:spacing w:val="1"/>
          <w:sz w:val="24"/>
        </w:rPr>
        <w:t xml:space="preserve"> </w:t>
      </w:r>
      <w:r>
        <w:rPr>
          <w:sz w:val="24"/>
        </w:rPr>
        <w:t>it</w:t>
      </w:r>
      <w:r>
        <w:rPr>
          <w:spacing w:val="-1"/>
          <w:sz w:val="24"/>
        </w:rPr>
        <w:t xml:space="preserve"> </w:t>
      </w:r>
      <w:r>
        <w:rPr>
          <w:sz w:val="24"/>
        </w:rPr>
        <w:t>varies</w:t>
      </w:r>
      <w:r>
        <w:rPr>
          <w:spacing w:val="-2"/>
          <w:sz w:val="24"/>
        </w:rPr>
        <w:t xml:space="preserve"> </w:t>
      </w:r>
      <w:r>
        <w:rPr>
          <w:sz w:val="24"/>
        </w:rPr>
        <w:t>from</w:t>
      </w:r>
      <w:r>
        <w:rPr>
          <w:spacing w:val="-1"/>
          <w:sz w:val="24"/>
        </w:rPr>
        <w:t xml:space="preserve"> </w:t>
      </w:r>
      <w:r>
        <w:rPr>
          <w:sz w:val="24"/>
        </w:rPr>
        <w:t xml:space="preserve">CMS </w:t>
      </w:r>
      <w:r>
        <w:rPr>
          <w:spacing w:val="-2"/>
          <w:sz w:val="24"/>
        </w:rPr>
        <w:t>guidelines.</w:t>
      </w:r>
    </w:p>
    <w:p>
      <w:pPr>
        <w:pStyle w:val="ListParagraph"/>
        <w:numPr>
          <w:ilvl w:val="1"/>
          <w:numId w:val="35"/>
        </w:numPr>
        <w:tabs>
          <w:tab w:val="left" w:pos="1495"/>
        </w:tabs>
        <w:spacing w:before="120" w:after="0" w:line="240" w:lineRule="auto"/>
        <w:ind w:left="1495" w:right="1818" w:hanging="632"/>
        <w:jc w:val="left"/>
        <w:rPr>
          <w:sz w:val="24"/>
        </w:rPr>
      </w:pPr>
      <w:r>
        <w:rPr>
          <w:sz w:val="24"/>
        </w:rPr>
        <w:t>Each</w:t>
      </w:r>
      <w:r>
        <w:rPr>
          <w:spacing w:val="-3"/>
          <w:sz w:val="24"/>
        </w:rPr>
        <w:t xml:space="preserve"> </w:t>
      </w:r>
      <w:r>
        <w:rPr>
          <w:sz w:val="24"/>
        </w:rPr>
        <w:t>support</w:t>
      </w:r>
      <w:r>
        <w:rPr>
          <w:spacing w:val="-3"/>
          <w:sz w:val="24"/>
        </w:rPr>
        <w:t xml:space="preserve"> </w:t>
      </w:r>
      <w:r>
        <w:rPr>
          <w:sz w:val="24"/>
        </w:rPr>
        <w:t>item</w:t>
      </w:r>
      <w:r>
        <w:rPr>
          <w:spacing w:val="-3"/>
          <w:sz w:val="24"/>
        </w:rPr>
        <w:t xml:space="preserve"> </w:t>
      </w:r>
      <w:r>
        <w:rPr>
          <w:sz w:val="24"/>
        </w:rPr>
        <w:t>listed</w:t>
      </w:r>
      <w:r>
        <w:rPr>
          <w:spacing w:val="-3"/>
          <w:sz w:val="24"/>
        </w:rPr>
        <w:t xml:space="preserve"> </w:t>
      </w:r>
      <w:r>
        <w:rPr>
          <w:sz w:val="24"/>
        </w:rPr>
        <w:t>above</w:t>
      </w:r>
      <w:r>
        <w:rPr>
          <w:spacing w:val="-4"/>
          <w:sz w:val="24"/>
        </w:rPr>
        <w:t xml:space="preserve"> </w:t>
      </w:r>
      <w:r>
        <w:rPr>
          <w:sz w:val="24"/>
        </w:rPr>
        <w:t>must</w:t>
      </w:r>
      <w:r>
        <w:rPr>
          <w:spacing w:val="-2"/>
          <w:sz w:val="24"/>
        </w:rPr>
        <w:t xml:space="preserve"> </w:t>
      </w:r>
      <w:r>
        <w:rPr>
          <w:sz w:val="24"/>
        </w:rPr>
        <w:t>be</w:t>
      </w:r>
      <w:r>
        <w:rPr>
          <w:spacing w:val="-4"/>
          <w:sz w:val="24"/>
        </w:rPr>
        <w:t xml:space="preserve"> </w:t>
      </w:r>
      <w:r>
        <w:rPr>
          <w:sz w:val="24"/>
        </w:rPr>
        <w:t>split</w:t>
      </w:r>
      <w:r>
        <w:rPr>
          <w:spacing w:val="-2"/>
          <w:sz w:val="24"/>
        </w:rPr>
        <w:t xml:space="preserve"> </w:t>
      </w:r>
      <w:r>
        <w:rPr>
          <w:sz w:val="24"/>
        </w:rPr>
        <w:t>between</w:t>
      </w:r>
      <w:r>
        <w:rPr>
          <w:spacing w:val="-3"/>
          <w:sz w:val="24"/>
        </w:rPr>
        <w:t xml:space="preserve"> </w:t>
      </w:r>
      <w:r>
        <w:rPr>
          <w:sz w:val="24"/>
        </w:rPr>
        <w:t>dialysis</w:t>
      </w:r>
      <w:r>
        <w:rPr>
          <w:spacing w:val="-4"/>
          <w:sz w:val="24"/>
        </w:rPr>
        <w:t xml:space="preserve"> </w:t>
      </w:r>
      <w:r>
        <w:rPr>
          <w:sz w:val="24"/>
        </w:rPr>
        <w:t>claims</w:t>
      </w:r>
      <w:r>
        <w:rPr>
          <w:spacing w:val="-3"/>
          <w:sz w:val="24"/>
        </w:rPr>
        <w:t xml:space="preserve"> </w:t>
      </w:r>
      <w:r>
        <w:rPr>
          <w:sz w:val="24"/>
        </w:rPr>
        <w:t>and</w:t>
      </w:r>
      <w:r>
        <w:rPr>
          <w:spacing w:val="-3"/>
          <w:sz w:val="24"/>
        </w:rPr>
        <w:t xml:space="preserve"> </w:t>
      </w:r>
      <w:r>
        <w:rPr>
          <w:sz w:val="24"/>
        </w:rPr>
        <w:t>all</w:t>
      </w:r>
      <w:r>
        <w:rPr>
          <w:spacing w:val="-3"/>
          <w:sz w:val="24"/>
        </w:rPr>
        <w:t xml:space="preserve"> </w:t>
      </w:r>
      <w:r>
        <w:rPr>
          <w:sz w:val="24"/>
        </w:rPr>
        <w:t xml:space="preserve">other </w:t>
      </w:r>
      <w:r>
        <w:rPr>
          <w:spacing w:val="-2"/>
          <w:sz w:val="24"/>
        </w:rPr>
        <w:t>claims.</w:t>
      </w:r>
    </w:p>
    <w:p>
      <w:pPr>
        <w:pStyle w:val="ListParagraph"/>
        <w:numPr>
          <w:ilvl w:val="0"/>
          <w:numId w:val="35"/>
        </w:numPr>
        <w:tabs>
          <w:tab w:val="left" w:pos="864"/>
        </w:tabs>
        <w:spacing w:before="121" w:after="0" w:line="240" w:lineRule="auto"/>
        <w:ind w:left="864" w:right="2298" w:hanging="360"/>
        <w:jc w:val="left"/>
        <w:rPr>
          <w:sz w:val="24"/>
        </w:rPr>
      </w:pPr>
      <w:r>
        <w:rPr>
          <w:sz w:val="24"/>
        </w:rPr>
        <w:t>Detailed</w:t>
      </w:r>
      <w:r>
        <w:rPr>
          <w:spacing w:val="-4"/>
          <w:sz w:val="24"/>
        </w:rPr>
        <w:t xml:space="preserve"> </w:t>
      </w:r>
      <w:r>
        <w:rPr>
          <w:sz w:val="24"/>
        </w:rPr>
        <w:t>support</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MSP</w:t>
      </w:r>
      <w:r>
        <w:rPr>
          <w:spacing w:val="-4"/>
          <w:sz w:val="24"/>
        </w:rPr>
        <w:t xml:space="preserve"> </w:t>
      </w:r>
      <w:r>
        <w:rPr>
          <w:sz w:val="24"/>
        </w:rPr>
        <w:t>adjustment,</w:t>
      </w:r>
      <w:r>
        <w:rPr>
          <w:spacing w:val="-4"/>
          <w:sz w:val="24"/>
        </w:rPr>
        <w:t xml:space="preserve"> </w:t>
      </w:r>
      <w:r>
        <w:rPr>
          <w:sz w:val="24"/>
        </w:rPr>
        <w:t>including</w:t>
      </w:r>
      <w:r>
        <w:rPr>
          <w:spacing w:val="-4"/>
          <w:sz w:val="24"/>
        </w:rPr>
        <w:t xml:space="preserve"> </w:t>
      </w:r>
      <w:r>
        <w:rPr>
          <w:sz w:val="24"/>
        </w:rPr>
        <w:t>justification</w:t>
      </w:r>
      <w:r>
        <w:rPr>
          <w:spacing w:val="-4"/>
          <w:sz w:val="24"/>
        </w:rPr>
        <w:t xml:space="preserve"> </w:t>
      </w:r>
      <w:r>
        <w:rPr>
          <w:sz w:val="24"/>
        </w:rPr>
        <w:t>for</w:t>
      </w:r>
      <w:r>
        <w:rPr>
          <w:spacing w:val="-4"/>
          <w:sz w:val="24"/>
        </w:rPr>
        <w:t xml:space="preserve"> </w:t>
      </w:r>
      <w:r>
        <w:rPr>
          <w:sz w:val="24"/>
        </w:rPr>
        <w:t>a</w:t>
      </w:r>
      <w:r>
        <w:rPr>
          <w:spacing w:val="-5"/>
          <w:sz w:val="24"/>
        </w:rPr>
        <w:t xml:space="preserve"> </w:t>
      </w:r>
      <w:r>
        <w:rPr>
          <w:sz w:val="24"/>
        </w:rPr>
        <w:t>zero</w:t>
      </w:r>
      <w:r>
        <w:rPr>
          <w:spacing w:val="-3"/>
          <w:sz w:val="24"/>
        </w:rPr>
        <w:t xml:space="preserve"> </w:t>
      </w:r>
      <w:r>
        <w:rPr>
          <w:sz w:val="24"/>
        </w:rPr>
        <w:t>amount. (Worksheet 5).</w:t>
      </w:r>
    </w:p>
    <w:p>
      <w:pPr>
        <w:pStyle w:val="ListParagraph"/>
        <w:numPr>
          <w:ilvl w:val="0"/>
          <w:numId w:val="35"/>
        </w:numPr>
        <w:tabs>
          <w:tab w:val="left" w:pos="864"/>
        </w:tabs>
        <w:spacing w:before="120" w:after="0" w:line="240" w:lineRule="auto"/>
        <w:ind w:left="864" w:right="1462" w:hanging="360"/>
        <w:jc w:val="left"/>
        <w:rPr>
          <w:sz w:val="24"/>
        </w:rPr>
      </w:pPr>
      <w:r>
        <w:rPr>
          <w:sz w:val="24"/>
        </w:rPr>
        <w:t>Support for the development of plan-provided ISAR factors (Worksheet 5), if used. (This requirement applies to regional PPOs only.) A description of the methodology and data source(s)</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calculate</w:t>
      </w:r>
      <w:r>
        <w:rPr>
          <w:spacing w:val="-4"/>
          <w:sz w:val="24"/>
        </w:rPr>
        <w:t xml:space="preserve"> </w:t>
      </w:r>
      <w:r>
        <w:rPr>
          <w:sz w:val="24"/>
        </w:rPr>
        <w:t>the</w:t>
      </w:r>
      <w:r>
        <w:rPr>
          <w:spacing w:val="-2"/>
          <w:sz w:val="24"/>
        </w:rPr>
        <w:t xml:space="preserve"> </w:t>
      </w:r>
      <w:r>
        <w:rPr>
          <w:sz w:val="24"/>
        </w:rPr>
        <w:t>ISAR</w:t>
      </w:r>
      <w:r>
        <w:rPr>
          <w:spacing w:val="-2"/>
          <w:sz w:val="24"/>
        </w:rPr>
        <w:t xml:space="preserve"> </w:t>
      </w:r>
      <w:r>
        <w:rPr>
          <w:sz w:val="24"/>
        </w:rPr>
        <w:t>factor(s)</w:t>
      </w:r>
      <w:r>
        <w:rPr>
          <w:spacing w:val="-5"/>
          <w:sz w:val="24"/>
        </w:rPr>
        <w:t xml:space="preserve"> </w:t>
      </w:r>
      <w:r>
        <w:rPr>
          <w:sz w:val="24"/>
        </w:rPr>
        <w:t>must</w:t>
      </w:r>
      <w:r>
        <w:rPr>
          <w:spacing w:val="-3"/>
          <w:sz w:val="24"/>
        </w:rPr>
        <w:t xml:space="preserve"> </w:t>
      </w:r>
      <w:r>
        <w:rPr>
          <w:sz w:val="24"/>
        </w:rPr>
        <w:t>be</w:t>
      </w:r>
      <w:r>
        <w:rPr>
          <w:spacing w:val="-3"/>
          <w:sz w:val="24"/>
        </w:rPr>
        <w:t xml:space="preserve"> </w:t>
      </w:r>
      <w:r>
        <w:rPr>
          <w:sz w:val="24"/>
        </w:rPr>
        <w:t>included.</w:t>
      </w:r>
      <w:r>
        <w:rPr>
          <w:spacing w:val="-3"/>
          <w:sz w:val="24"/>
        </w:rPr>
        <w:t xml:space="preserve"> </w:t>
      </w:r>
      <w:r>
        <w:rPr>
          <w:sz w:val="24"/>
        </w:rPr>
        <w:t>The</w:t>
      </w:r>
      <w:r>
        <w:rPr>
          <w:spacing w:val="-4"/>
          <w:sz w:val="24"/>
        </w:rPr>
        <w:t xml:space="preserve"> </w:t>
      </w:r>
      <w:r>
        <w:rPr>
          <w:sz w:val="24"/>
        </w:rPr>
        <w:t>factors</w:t>
      </w:r>
      <w:r>
        <w:rPr>
          <w:spacing w:val="-1"/>
          <w:sz w:val="24"/>
        </w:rPr>
        <w:t xml:space="preserve"> </w:t>
      </w:r>
      <w:r>
        <w:rPr>
          <w:sz w:val="24"/>
        </w:rPr>
        <w:t>must</w:t>
      </w:r>
      <w:r>
        <w:rPr>
          <w:spacing w:val="-2"/>
          <w:sz w:val="24"/>
        </w:rPr>
        <w:t xml:space="preserve"> </w:t>
      </w:r>
      <w:r>
        <w:rPr>
          <w:sz w:val="24"/>
        </w:rPr>
        <w:t>reflect</w:t>
      </w:r>
      <w:r>
        <w:rPr>
          <w:spacing w:val="-3"/>
          <w:sz w:val="24"/>
        </w:rPr>
        <w:t xml:space="preserve"> </w:t>
      </w:r>
      <w:r>
        <w:rPr>
          <w:sz w:val="24"/>
        </w:rPr>
        <w:t>the requirements</w:t>
      </w:r>
      <w:r>
        <w:rPr>
          <w:spacing w:val="-4"/>
          <w:sz w:val="24"/>
        </w:rPr>
        <w:t xml:space="preserve"> </w:t>
      </w:r>
      <w:r>
        <w:rPr>
          <w:sz w:val="24"/>
        </w:rPr>
        <w:t>for</w:t>
      </w:r>
      <w:r>
        <w:rPr>
          <w:spacing w:val="-3"/>
          <w:sz w:val="24"/>
        </w:rPr>
        <w:t xml:space="preserve"> </w:t>
      </w:r>
      <w:r>
        <w:rPr>
          <w:sz w:val="24"/>
        </w:rPr>
        <w:t>medical</w:t>
      </w:r>
      <w:r>
        <w:rPr>
          <w:spacing w:val="-1"/>
          <w:sz w:val="24"/>
        </w:rPr>
        <w:t xml:space="preserve"> </w:t>
      </w:r>
      <w:r>
        <w:rPr>
          <w:sz w:val="24"/>
        </w:rPr>
        <w:t>expense,</w:t>
      </w:r>
      <w:r>
        <w:rPr>
          <w:spacing w:val="-3"/>
          <w:sz w:val="24"/>
        </w:rPr>
        <w:t xml:space="preserve"> </w:t>
      </w:r>
      <w:r>
        <w:rPr>
          <w:sz w:val="24"/>
        </w:rPr>
        <w:t>non-benefit</w:t>
      </w:r>
      <w:r>
        <w:rPr>
          <w:spacing w:val="-3"/>
          <w:sz w:val="24"/>
        </w:rPr>
        <w:t xml:space="preserve"> </w:t>
      </w:r>
      <w:r>
        <w:rPr>
          <w:sz w:val="24"/>
        </w:rPr>
        <w:t>expense,</w:t>
      </w:r>
      <w:r>
        <w:rPr>
          <w:spacing w:val="-3"/>
          <w:sz w:val="24"/>
        </w:rPr>
        <w:t xml:space="preserve"> </w:t>
      </w:r>
      <w:r>
        <w:rPr>
          <w:sz w:val="24"/>
        </w:rPr>
        <w:t>and</w:t>
      </w:r>
      <w:r>
        <w:rPr>
          <w:spacing w:val="-3"/>
          <w:sz w:val="24"/>
        </w:rPr>
        <w:t xml:space="preserve"> </w:t>
      </w:r>
      <w:r>
        <w:rPr>
          <w:sz w:val="24"/>
        </w:rPr>
        <w:t>gain/loss</w:t>
      </w:r>
      <w:r>
        <w:rPr>
          <w:spacing w:val="-3"/>
          <w:sz w:val="24"/>
        </w:rPr>
        <w:t xml:space="preserve"> </w:t>
      </w:r>
      <w:r>
        <w:rPr>
          <w:sz w:val="24"/>
        </w:rPr>
        <w:t>margin.</w:t>
      </w:r>
      <w:r>
        <w:rPr>
          <w:spacing w:val="-3"/>
          <w:sz w:val="24"/>
        </w:rPr>
        <w:t xml:space="preserve"> </w:t>
      </w:r>
      <w:r>
        <w:rPr>
          <w:sz w:val="24"/>
        </w:rPr>
        <w:t>Additionally, the support must illustrate the county-level medical costs (such as unit costs and/or utilization) and retention (that is, non-benefit expense and gain/loss margin) that were assumed in the development of the factors.</w:t>
      </w:r>
    </w:p>
    <w:p>
      <w:pPr>
        <w:pStyle w:val="ListParagraph"/>
        <w:numPr>
          <w:ilvl w:val="0"/>
          <w:numId w:val="35"/>
        </w:numPr>
        <w:tabs>
          <w:tab w:val="left" w:pos="864"/>
        </w:tabs>
        <w:spacing w:before="120" w:after="0" w:line="240" w:lineRule="auto"/>
        <w:ind w:left="864" w:right="1802" w:hanging="360"/>
        <w:jc w:val="left"/>
        <w:rPr>
          <w:sz w:val="24"/>
        </w:rPr>
      </w:pPr>
      <w:r>
        <w:rPr>
          <w:sz w:val="24"/>
        </w:rPr>
        <w:t>Support</w:t>
      </w:r>
      <w:r>
        <w:rPr>
          <w:spacing w:val="-4"/>
          <w:sz w:val="24"/>
        </w:rPr>
        <w:t xml:space="preserve"> </w:t>
      </w:r>
      <w:r>
        <w:rPr>
          <w:sz w:val="24"/>
        </w:rPr>
        <w:t>for</w:t>
      </w:r>
      <w:r>
        <w:rPr>
          <w:spacing w:val="-6"/>
          <w:sz w:val="24"/>
        </w:rPr>
        <w:t xml:space="preserve"> </w:t>
      </w:r>
      <w:r>
        <w:rPr>
          <w:sz w:val="24"/>
        </w:rPr>
        <w:t>the</w:t>
      </w:r>
      <w:r>
        <w:rPr>
          <w:spacing w:val="-5"/>
          <w:sz w:val="24"/>
        </w:rPr>
        <w:t xml:space="preserve"> </w:t>
      </w:r>
      <w:r>
        <w:rPr>
          <w:sz w:val="24"/>
        </w:rPr>
        <w:t>projected</w:t>
      </w:r>
      <w:r>
        <w:rPr>
          <w:spacing w:val="-2"/>
          <w:sz w:val="24"/>
        </w:rPr>
        <w:t xml:space="preserve"> </w:t>
      </w:r>
      <w:r>
        <w:rPr>
          <w:sz w:val="24"/>
        </w:rPr>
        <w:t>medical</w:t>
      </w:r>
      <w:r>
        <w:rPr>
          <w:spacing w:val="-4"/>
          <w:sz w:val="24"/>
        </w:rPr>
        <w:t xml:space="preserve"> </w:t>
      </w:r>
      <w:r>
        <w:rPr>
          <w:sz w:val="24"/>
        </w:rPr>
        <w:t>expense,</w:t>
      </w:r>
      <w:r>
        <w:rPr>
          <w:spacing w:val="-4"/>
          <w:sz w:val="24"/>
        </w:rPr>
        <w:t xml:space="preserve"> </w:t>
      </w:r>
      <w:r>
        <w:rPr>
          <w:sz w:val="24"/>
        </w:rPr>
        <w:t>projected</w:t>
      </w:r>
      <w:r>
        <w:rPr>
          <w:spacing w:val="-4"/>
          <w:sz w:val="24"/>
        </w:rPr>
        <w:t xml:space="preserve"> </w:t>
      </w:r>
      <w:r>
        <w:rPr>
          <w:sz w:val="24"/>
        </w:rPr>
        <w:t>non-benefit</w:t>
      </w:r>
      <w:r>
        <w:rPr>
          <w:spacing w:val="-4"/>
          <w:sz w:val="24"/>
        </w:rPr>
        <w:t xml:space="preserve"> </w:t>
      </w:r>
      <w:r>
        <w:rPr>
          <w:sz w:val="24"/>
        </w:rPr>
        <w:t>expense,</w:t>
      </w:r>
      <w:r>
        <w:rPr>
          <w:spacing w:val="-2"/>
          <w:sz w:val="24"/>
        </w:rPr>
        <w:t xml:space="preserve"> </w:t>
      </w:r>
      <w:r>
        <w:rPr>
          <w:sz w:val="24"/>
        </w:rPr>
        <w:t>and</w:t>
      </w:r>
      <w:r>
        <w:rPr>
          <w:spacing w:val="-4"/>
          <w:sz w:val="24"/>
        </w:rPr>
        <w:t xml:space="preserve"> </w:t>
      </w:r>
      <w:r>
        <w:rPr>
          <w:sz w:val="24"/>
        </w:rPr>
        <w:t>projected gain/loss margin for specific optional supplemental benefit packages (Worksheet 7).</w:t>
      </w:r>
    </w:p>
    <w:p>
      <w:pPr>
        <w:pStyle w:val="ListParagraph"/>
        <w:numPr>
          <w:ilvl w:val="0"/>
          <w:numId w:val="35"/>
        </w:numPr>
        <w:tabs>
          <w:tab w:val="left" w:pos="864"/>
        </w:tabs>
        <w:spacing w:before="121" w:after="0" w:line="240" w:lineRule="auto"/>
        <w:ind w:left="864" w:right="2075" w:hanging="360"/>
        <w:jc w:val="left"/>
        <w:rPr>
          <w:sz w:val="24"/>
        </w:rPr>
      </w:pPr>
      <w:r>
        <w:rPr>
          <w:sz w:val="24"/>
        </w:rPr>
        <w:t>Support</w:t>
      </w:r>
      <w:r>
        <w:rPr>
          <w:spacing w:val="-6"/>
          <w:sz w:val="24"/>
        </w:rPr>
        <w:t xml:space="preserve"> </w:t>
      </w:r>
      <w:r>
        <w:rPr>
          <w:sz w:val="24"/>
        </w:rPr>
        <w:t>for</w:t>
      </w:r>
      <w:r>
        <w:rPr>
          <w:spacing w:val="-7"/>
          <w:sz w:val="24"/>
        </w:rPr>
        <w:t xml:space="preserve"> </w:t>
      </w:r>
      <w:r>
        <w:rPr>
          <w:sz w:val="24"/>
        </w:rPr>
        <w:t>actuarial</w:t>
      </w:r>
      <w:r>
        <w:rPr>
          <w:spacing w:val="-6"/>
          <w:sz w:val="24"/>
        </w:rPr>
        <w:t xml:space="preserve"> </w:t>
      </w:r>
      <w:r>
        <w:rPr>
          <w:sz w:val="24"/>
        </w:rPr>
        <w:t>swapping/equivalence</w:t>
      </w:r>
      <w:r>
        <w:rPr>
          <w:spacing w:val="-5"/>
          <w:sz w:val="24"/>
        </w:rPr>
        <w:t xml:space="preserve"> </w:t>
      </w:r>
      <w:r>
        <w:rPr>
          <w:sz w:val="24"/>
        </w:rPr>
        <w:t>customization</w:t>
      </w:r>
      <w:r>
        <w:rPr>
          <w:spacing w:val="-6"/>
          <w:sz w:val="24"/>
        </w:rPr>
        <w:t xml:space="preserve"> </w:t>
      </w:r>
      <w:r>
        <w:rPr>
          <w:sz w:val="24"/>
        </w:rPr>
        <w:t>for</w:t>
      </w:r>
      <w:r>
        <w:rPr>
          <w:spacing w:val="-6"/>
          <w:sz w:val="24"/>
        </w:rPr>
        <w:t xml:space="preserve"> </w:t>
      </w:r>
      <w:r>
        <w:rPr>
          <w:sz w:val="24"/>
        </w:rPr>
        <w:t>employer/union</w:t>
      </w:r>
      <w:r>
        <w:rPr>
          <w:spacing w:val="-6"/>
          <w:sz w:val="24"/>
        </w:rPr>
        <w:t xml:space="preserve"> </w:t>
      </w:r>
      <w:r>
        <w:rPr>
          <w:sz w:val="24"/>
        </w:rPr>
        <w:t>groups enrolled in individual-market plans (Worksheet 1).</w:t>
      </w:r>
    </w:p>
    <w:p>
      <w:pPr>
        <w:pStyle w:val="ListParagraph"/>
        <w:numPr>
          <w:ilvl w:val="0"/>
          <w:numId w:val="35"/>
        </w:numPr>
        <w:tabs>
          <w:tab w:val="left" w:pos="864"/>
        </w:tabs>
        <w:spacing w:before="120" w:after="0" w:line="240" w:lineRule="auto"/>
        <w:ind w:left="864" w:right="0" w:hanging="360"/>
        <w:jc w:val="left"/>
        <w:rPr>
          <w:sz w:val="24"/>
        </w:rPr>
      </w:pPr>
      <w:r>
        <w:rPr>
          <w:sz w:val="24"/>
        </w:rPr>
        <w:t>Detailed</w:t>
      </w:r>
      <w:r>
        <w:rPr>
          <w:spacing w:val="-5"/>
          <w:sz w:val="24"/>
        </w:rPr>
        <w:t xml:space="preserve"> </w:t>
      </w:r>
      <w:r>
        <w:rPr>
          <w:sz w:val="24"/>
        </w:rPr>
        <w:t>support</w:t>
      </w:r>
      <w:r>
        <w:rPr>
          <w:spacing w:val="-2"/>
          <w:sz w:val="24"/>
        </w:rPr>
        <w:t xml:space="preserve"> </w:t>
      </w:r>
      <w:r>
        <w:rPr>
          <w:sz w:val="24"/>
        </w:rPr>
        <w:t>for</w:t>
      </w:r>
      <w:r>
        <w:rPr>
          <w:spacing w:val="-1"/>
          <w:sz w:val="24"/>
        </w:rPr>
        <w:t xml:space="preserve"> </w:t>
      </w:r>
      <w:r>
        <w:rPr>
          <w:sz w:val="24"/>
        </w:rPr>
        <w:t>cost-sharing</w:t>
      </w:r>
      <w:r>
        <w:rPr>
          <w:spacing w:val="-2"/>
          <w:sz w:val="24"/>
        </w:rPr>
        <w:t xml:space="preserve"> </w:t>
      </w:r>
      <w:r>
        <w:rPr>
          <w:sz w:val="24"/>
        </w:rPr>
        <w:t>utilization</w:t>
      </w:r>
      <w:r>
        <w:rPr>
          <w:spacing w:val="-2"/>
          <w:sz w:val="24"/>
        </w:rPr>
        <w:t xml:space="preserve"> </w:t>
      </w:r>
      <w:r>
        <w:rPr>
          <w:sz w:val="24"/>
        </w:rPr>
        <w:t>assumptions</w:t>
      </w:r>
      <w:r>
        <w:rPr>
          <w:spacing w:val="-3"/>
          <w:sz w:val="24"/>
        </w:rPr>
        <w:t xml:space="preserve"> </w:t>
      </w:r>
      <w:r>
        <w:rPr>
          <w:sz w:val="24"/>
        </w:rPr>
        <w:t>(Worksheet</w:t>
      </w:r>
      <w:r>
        <w:rPr>
          <w:spacing w:val="-2"/>
          <w:sz w:val="24"/>
        </w:rPr>
        <w:t xml:space="preserve"> </w:t>
      </w:r>
      <w:r>
        <w:rPr>
          <w:spacing w:val="-5"/>
          <w:sz w:val="24"/>
        </w:rPr>
        <w:t>3).</w:t>
      </w:r>
    </w:p>
    <w:p>
      <w:pPr>
        <w:pStyle w:val="ListParagraph"/>
        <w:numPr>
          <w:ilvl w:val="0"/>
          <w:numId w:val="35"/>
        </w:numPr>
        <w:tabs>
          <w:tab w:val="left" w:pos="864"/>
        </w:tabs>
        <w:spacing w:before="120" w:after="0" w:line="240" w:lineRule="auto"/>
        <w:ind w:left="864" w:right="0" w:hanging="360"/>
        <w:jc w:val="left"/>
        <w:rPr>
          <w:sz w:val="24"/>
        </w:rPr>
      </w:pPr>
      <w:r>
        <w:rPr>
          <w:sz w:val="24"/>
        </w:rPr>
        <w:t>–</w:t>
      </w:r>
      <w:r>
        <w:rPr>
          <w:spacing w:val="-2"/>
          <w:sz w:val="24"/>
        </w:rPr>
        <w:t xml:space="preserve"> </w:t>
      </w:r>
      <w:r>
        <w:rPr>
          <w:sz w:val="24"/>
        </w:rPr>
        <w:t>33.</w:t>
      </w:r>
      <w:r>
        <w:rPr>
          <w:spacing w:val="-1"/>
          <w:sz w:val="24"/>
        </w:rPr>
        <w:t xml:space="preserve"> </w:t>
      </w:r>
      <w:r>
        <w:rPr>
          <w:sz w:val="24"/>
        </w:rPr>
        <w:t>For</w:t>
      </w:r>
      <w:r>
        <w:rPr>
          <w:spacing w:val="-1"/>
          <w:sz w:val="24"/>
        </w:rPr>
        <w:t xml:space="preserve"> </w:t>
      </w:r>
      <w:r>
        <w:rPr>
          <w:sz w:val="24"/>
        </w:rPr>
        <w:t>future</w:t>
      </w:r>
      <w:r>
        <w:rPr>
          <w:spacing w:val="-1"/>
          <w:sz w:val="24"/>
        </w:rPr>
        <w:t xml:space="preserve"> </w:t>
      </w:r>
      <w:r>
        <w:rPr>
          <w:spacing w:val="-4"/>
          <w:sz w:val="24"/>
        </w:rPr>
        <w:t>use.</w:t>
      </w:r>
    </w:p>
    <w:p>
      <w:pPr>
        <w:spacing w:before="240"/>
        <w:ind w:left="504" w:right="0" w:firstLine="0"/>
        <w:jc w:val="left"/>
        <w:rPr>
          <w:rFonts w:ascii="Arial"/>
          <w:b/>
          <w:sz w:val="21"/>
        </w:rPr>
      </w:pPr>
      <w:bookmarkStart w:id="339" w:name="Upon Request by CMS Reviewers"/>
      <w:bookmarkEnd w:id="339"/>
      <w:r>
        <w:rPr>
          <w:rFonts w:ascii="Arial"/>
          <w:b/>
          <w:sz w:val="21"/>
        </w:rPr>
        <w:t>Upon</w:t>
      </w:r>
      <w:r>
        <w:rPr>
          <w:rFonts w:ascii="Arial"/>
          <w:b/>
          <w:spacing w:val="-6"/>
          <w:sz w:val="21"/>
        </w:rPr>
        <w:t xml:space="preserve"> </w:t>
      </w:r>
      <w:r>
        <w:rPr>
          <w:rFonts w:ascii="Arial"/>
          <w:b/>
          <w:sz w:val="21"/>
        </w:rPr>
        <w:t>Request</w:t>
      </w:r>
      <w:r>
        <w:rPr>
          <w:rFonts w:ascii="Arial"/>
          <w:b/>
          <w:spacing w:val="-5"/>
          <w:sz w:val="21"/>
        </w:rPr>
        <w:t xml:space="preserve"> </w:t>
      </w:r>
      <w:r>
        <w:rPr>
          <w:rFonts w:ascii="Arial"/>
          <w:b/>
          <w:sz w:val="21"/>
        </w:rPr>
        <w:t>by</w:t>
      </w:r>
      <w:r>
        <w:rPr>
          <w:rFonts w:ascii="Arial"/>
          <w:b/>
          <w:spacing w:val="-6"/>
          <w:sz w:val="21"/>
        </w:rPr>
        <w:t xml:space="preserve"> </w:t>
      </w:r>
      <w:r>
        <w:rPr>
          <w:rFonts w:ascii="Arial"/>
          <w:b/>
          <w:sz w:val="21"/>
        </w:rPr>
        <w:t>CMS</w:t>
      </w:r>
      <w:r>
        <w:rPr>
          <w:rFonts w:ascii="Arial"/>
          <w:b/>
          <w:spacing w:val="-4"/>
          <w:sz w:val="21"/>
        </w:rPr>
        <w:t xml:space="preserve"> </w:t>
      </w:r>
      <w:r>
        <w:rPr>
          <w:rFonts w:ascii="Arial"/>
          <w:b/>
          <w:spacing w:val="-2"/>
          <w:sz w:val="21"/>
        </w:rPr>
        <w:t>Reviewers</w:t>
      </w:r>
    </w:p>
    <w:p>
      <w:pPr>
        <w:pStyle w:val="BodyText"/>
        <w:spacing w:before="118"/>
        <w:ind w:right="1465"/>
      </w:pPr>
      <w:r>
        <w:t>It</w:t>
      </w:r>
      <w:r>
        <w:rPr>
          <w:spacing w:val="-3"/>
        </w:rPr>
        <w:t xml:space="preserve"> </w:t>
      </w:r>
      <w:r>
        <w:t>is</w:t>
      </w:r>
      <w:r>
        <w:rPr>
          <w:spacing w:val="-4"/>
        </w:rPr>
        <w:t xml:space="preserve"> </w:t>
      </w:r>
      <w:r>
        <w:t>not</w:t>
      </w:r>
      <w:r>
        <w:rPr>
          <w:spacing w:val="-3"/>
        </w:rPr>
        <w:t xml:space="preserve"> </w:t>
      </w:r>
      <w:r>
        <w:t>required</w:t>
      </w:r>
      <w:r>
        <w:rPr>
          <w:spacing w:val="-3"/>
        </w:rPr>
        <w:t xml:space="preserve"> </w:t>
      </w:r>
      <w:r>
        <w:t>that</w:t>
      </w:r>
      <w:r>
        <w:rPr>
          <w:spacing w:val="-3"/>
        </w:rPr>
        <w:t xml:space="preserve"> </w:t>
      </w:r>
      <w:r>
        <w:t>the</w:t>
      </w:r>
      <w:r>
        <w:rPr>
          <w:spacing w:val="-2"/>
        </w:rPr>
        <w:t xml:space="preserve"> </w:t>
      </w:r>
      <w:r>
        <w:t>items</w:t>
      </w:r>
      <w:r>
        <w:rPr>
          <w:spacing w:val="-2"/>
        </w:rPr>
        <w:t xml:space="preserve"> </w:t>
      </w:r>
      <w:r>
        <w:t>below</w:t>
      </w:r>
      <w:r>
        <w:rPr>
          <w:spacing w:val="-3"/>
        </w:rPr>
        <w:t xml:space="preserve"> </w:t>
      </w:r>
      <w:r>
        <w:t>be</w:t>
      </w:r>
      <w:r>
        <w:rPr>
          <w:spacing w:val="-4"/>
        </w:rPr>
        <w:t xml:space="preserve"> </w:t>
      </w:r>
      <w:r>
        <w:t>uploaded</w:t>
      </w:r>
      <w:r>
        <w:rPr>
          <w:spacing w:val="-1"/>
        </w:rPr>
        <w:t xml:space="preserve"> </w:t>
      </w:r>
      <w:r>
        <w:t>with</w:t>
      </w:r>
      <w:r>
        <w:rPr>
          <w:spacing w:val="-3"/>
        </w:rPr>
        <w:t xml:space="preserve"> </w:t>
      </w:r>
      <w:r>
        <w:t>the</w:t>
      </w:r>
      <w:r>
        <w:rPr>
          <w:spacing w:val="-4"/>
        </w:rPr>
        <w:t xml:space="preserve"> </w:t>
      </w:r>
      <w:r>
        <w:t>initial</w:t>
      </w:r>
      <w:r>
        <w:rPr>
          <w:spacing w:val="-3"/>
        </w:rPr>
        <w:t xml:space="preserve"> </w:t>
      </w:r>
      <w:r>
        <w:t>June</w:t>
      </w:r>
      <w:r>
        <w:rPr>
          <w:spacing w:val="-3"/>
        </w:rPr>
        <w:t xml:space="preserve"> </w:t>
      </w:r>
      <w:r>
        <w:t>bid</w:t>
      </w:r>
      <w:r>
        <w:rPr>
          <w:spacing w:val="-3"/>
        </w:rPr>
        <w:t xml:space="preserve"> </w:t>
      </w:r>
      <w:r>
        <w:t>submission,</w:t>
      </w:r>
      <w:r>
        <w:rPr>
          <w:spacing w:val="-3"/>
        </w:rPr>
        <w:t xml:space="preserve"> </w:t>
      </w:r>
      <w:r>
        <w:t>but</w:t>
      </w:r>
      <w:r>
        <w:rPr>
          <w:spacing w:val="-1"/>
        </w:rPr>
        <w:t xml:space="preserve"> </w:t>
      </w:r>
      <w:r>
        <w:t>they must be prepared at that time in order to be readily available for CMS reviewers upon request. If substantiation is requested by CMS reviewers, it must be provided by the certifying actuary or additional MA BPT contact within 48 hours. These materials will be reviewed at audit:</w:t>
      </w:r>
    </w:p>
    <w:p>
      <w:pPr>
        <w:pStyle w:val="ListParagraph"/>
        <w:numPr>
          <w:ilvl w:val="0"/>
          <w:numId w:val="31"/>
        </w:numPr>
        <w:tabs>
          <w:tab w:val="left" w:pos="864"/>
        </w:tabs>
        <w:spacing w:before="121" w:after="0" w:line="240" w:lineRule="auto"/>
        <w:ind w:left="864" w:right="1443" w:hanging="360"/>
        <w:jc w:val="left"/>
        <w:rPr>
          <w:sz w:val="24"/>
        </w:rPr>
      </w:pPr>
      <w:r>
        <w:rPr>
          <w:sz w:val="24"/>
        </w:rPr>
        <w:t>Support</w:t>
      </w:r>
      <w:r>
        <w:rPr>
          <w:spacing w:val="-3"/>
          <w:sz w:val="24"/>
        </w:rPr>
        <w:t xml:space="preserve"> </w:t>
      </w:r>
      <w:r>
        <w:rPr>
          <w:sz w:val="24"/>
        </w:rPr>
        <w:t>for</w:t>
      </w:r>
      <w:r>
        <w:rPr>
          <w:spacing w:val="-4"/>
          <w:sz w:val="24"/>
        </w:rPr>
        <w:t xml:space="preserve"> </w:t>
      </w:r>
      <w:r>
        <w:rPr>
          <w:sz w:val="24"/>
        </w:rPr>
        <w:t>how</w:t>
      </w:r>
      <w:r>
        <w:rPr>
          <w:spacing w:val="-4"/>
          <w:sz w:val="24"/>
        </w:rPr>
        <w:t xml:space="preserve"> </w:t>
      </w:r>
      <w:r>
        <w:rPr>
          <w:sz w:val="24"/>
        </w:rPr>
        <w:t>the</w:t>
      </w:r>
      <w:r>
        <w:rPr>
          <w:spacing w:val="-4"/>
          <w:sz w:val="24"/>
        </w:rPr>
        <w:t xml:space="preserve"> </w:t>
      </w:r>
      <w:r>
        <w:rPr>
          <w:sz w:val="24"/>
        </w:rPr>
        <w:t>pricing</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bid</w:t>
      </w:r>
      <w:r>
        <w:rPr>
          <w:spacing w:val="-3"/>
          <w:sz w:val="24"/>
        </w:rPr>
        <w:t xml:space="preserve"> </w:t>
      </w:r>
      <w:r>
        <w:rPr>
          <w:sz w:val="24"/>
        </w:rPr>
        <w:t>is</w:t>
      </w:r>
      <w:r>
        <w:rPr>
          <w:spacing w:val="-4"/>
          <w:sz w:val="24"/>
        </w:rPr>
        <w:t xml:space="preserve"> </w:t>
      </w:r>
      <w:r>
        <w:rPr>
          <w:sz w:val="24"/>
        </w:rPr>
        <w:t>not</w:t>
      </w:r>
      <w:r>
        <w:rPr>
          <w:spacing w:val="-2"/>
          <w:sz w:val="24"/>
        </w:rPr>
        <w:t xml:space="preserve"> </w:t>
      </w:r>
      <w:r>
        <w:rPr>
          <w:sz w:val="24"/>
        </w:rPr>
        <w:t>anti-competitive,</w:t>
      </w:r>
      <w:r>
        <w:rPr>
          <w:spacing w:val="-3"/>
          <w:sz w:val="24"/>
        </w:rPr>
        <w:t xml:space="preserve"> </w:t>
      </w:r>
      <w:r>
        <w:rPr>
          <w:sz w:val="24"/>
        </w:rPr>
        <w:t>including</w:t>
      </w:r>
      <w:r>
        <w:rPr>
          <w:spacing w:val="-3"/>
          <w:sz w:val="24"/>
        </w:rPr>
        <w:t xml:space="preserve"> </w:t>
      </w:r>
      <w:r>
        <w:rPr>
          <w:sz w:val="24"/>
        </w:rPr>
        <w:t>a</w:t>
      </w:r>
      <w:r>
        <w:rPr>
          <w:spacing w:val="-3"/>
          <w:sz w:val="24"/>
        </w:rPr>
        <w:t xml:space="preserve"> </w:t>
      </w:r>
      <w:r>
        <w:rPr>
          <w:sz w:val="24"/>
        </w:rPr>
        <w:t>comparison</w:t>
      </w:r>
      <w:r>
        <w:rPr>
          <w:spacing w:val="-3"/>
          <w:sz w:val="24"/>
        </w:rPr>
        <w:t xml:space="preserve"> </w:t>
      </w:r>
      <w:r>
        <w:rPr>
          <w:sz w:val="24"/>
        </w:rPr>
        <w:t>of</w:t>
      </w:r>
      <w:r>
        <w:rPr>
          <w:spacing w:val="-3"/>
          <w:sz w:val="24"/>
        </w:rPr>
        <w:t xml:space="preserve"> </w:t>
      </w:r>
      <w:r>
        <w:rPr>
          <w:sz w:val="24"/>
        </w:rPr>
        <w:t>the bid benefits and premium to the benefits and premiums of competitors.</w:t>
      </w:r>
    </w:p>
    <w:p>
      <w:pPr>
        <w:pStyle w:val="ListParagraph"/>
        <w:numPr>
          <w:ilvl w:val="0"/>
          <w:numId w:val="31"/>
        </w:numPr>
        <w:tabs>
          <w:tab w:val="left" w:pos="864"/>
        </w:tabs>
        <w:spacing w:before="120" w:after="0" w:line="240" w:lineRule="auto"/>
        <w:ind w:left="864" w:right="0" w:hanging="360"/>
        <w:jc w:val="left"/>
        <w:rPr>
          <w:sz w:val="24"/>
        </w:rPr>
      </w:pPr>
      <w:r>
        <w:rPr>
          <w:sz w:val="24"/>
        </w:rPr>
        <w:t>Copies</w:t>
      </w:r>
      <w:r>
        <w:rPr>
          <w:spacing w:val="-4"/>
          <w:sz w:val="24"/>
        </w:rPr>
        <w:t xml:space="preserve"> </w:t>
      </w:r>
      <w:r>
        <w:rPr>
          <w:sz w:val="24"/>
        </w:rPr>
        <w:t>of</w:t>
      </w:r>
      <w:r>
        <w:rPr>
          <w:spacing w:val="-3"/>
          <w:sz w:val="24"/>
        </w:rPr>
        <w:t xml:space="preserve"> </w:t>
      </w:r>
      <w:r>
        <w:rPr>
          <w:sz w:val="24"/>
        </w:rPr>
        <w:t>related-party</w:t>
      </w:r>
      <w:r>
        <w:rPr>
          <w:spacing w:val="-2"/>
          <w:sz w:val="24"/>
        </w:rPr>
        <w:t xml:space="preserve"> contracts.</w:t>
      </w:r>
    </w:p>
    <w:p>
      <w:pPr>
        <w:pStyle w:val="ListParagraph"/>
        <w:numPr>
          <w:ilvl w:val="0"/>
          <w:numId w:val="31"/>
        </w:numPr>
        <w:tabs>
          <w:tab w:val="left" w:pos="864"/>
        </w:tabs>
        <w:spacing w:before="120" w:after="0" w:line="240" w:lineRule="auto"/>
        <w:ind w:left="864" w:right="1601" w:hanging="360"/>
        <w:jc w:val="left"/>
        <w:rPr>
          <w:sz w:val="24"/>
        </w:rPr>
      </w:pPr>
      <w:r>
        <w:rPr>
          <w:sz w:val="24"/>
        </w:rPr>
        <w:t>A</w:t>
      </w:r>
      <w:r>
        <w:rPr>
          <w:spacing w:val="-4"/>
          <w:sz w:val="24"/>
        </w:rPr>
        <w:t xml:space="preserve"> </w:t>
      </w:r>
      <w:r>
        <w:rPr>
          <w:sz w:val="24"/>
        </w:rPr>
        <w:t>letter</w:t>
      </w:r>
      <w:r>
        <w:rPr>
          <w:spacing w:val="-5"/>
          <w:sz w:val="24"/>
        </w:rPr>
        <w:t xml:space="preserve"> </w:t>
      </w:r>
      <w:r>
        <w:rPr>
          <w:sz w:val="24"/>
        </w:rPr>
        <w:t>supporting</w:t>
      </w:r>
      <w:r>
        <w:rPr>
          <w:spacing w:val="-3"/>
          <w:sz w:val="24"/>
        </w:rPr>
        <w:t xml:space="preserve"> </w:t>
      </w:r>
      <w:r>
        <w:rPr>
          <w:sz w:val="24"/>
        </w:rPr>
        <w:t>any</w:t>
      </w:r>
      <w:r>
        <w:rPr>
          <w:spacing w:val="-3"/>
          <w:sz w:val="24"/>
        </w:rPr>
        <w:t xml:space="preserve"> </w:t>
      </w:r>
      <w:r>
        <w:rPr>
          <w:sz w:val="24"/>
        </w:rPr>
        <w:t>information</w:t>
      </w:r>
      <w:r>
        <w:rPr>
          <w:spacing w:val="-3"/>
          <w:sz w:val="24"/>
        </w:rPr>
        <w:t xml:space="preserve"> </w:t>
      </w:r>
      <w:r>
        <w:rPr>
          <w:sz w:val="24"/>
        </w:rPr>
        <w:t>upon</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certifying</w:t>
      </w:r>
      <w:r>
        <w:rPr>
          <w:spacing w:val="-2"/>
          <w:sz w:val="24"/>
        </w:rPr>
        <w:t xml:space="preserve"> </w:t>
      </w:r>
      <w:r>
        <w:rPr>
          <w:sz w:val="24"/>
        </w:rPr>
        <w:t>actuary</w:t>
      </w:r>
      <w:r>
        <w:rPr>
          <w:spacing w:val="-2"/>
          <w:sz w:val="24"/>
        </w:rPr>
        <w:t xml:space="preserve"> </w:t>
      </w:r>
      <w:r>
        <w:rPr>
          <w:sz w:val="24"/>
        </w:rPr>
        <w:t>relied,</w:t>
      </w:r>
      <w:r>
        <w:rPr>
          <w:spacing w:val="-3"/>
          <w:sz w:val="24"/>
        </w:rPr>
        <w:t xml:space="preserve"> </w:t>
      </w:r>
      <w:r>
        <w:rPr>
          <w:sz w:val="24"/>
        </w:rPr>
        <w:t>if</w:t>
      </w:r>
      <w:r>
        <w:rPr>
          <w:spacing w:val="-3"/>
          <w:sz w:val="24"/>
        </w:rPr>
        <w:t xml:space="preserve"> </w:t>
      </w:r>
      <w:r>
        <w:rPr>
          <w:sz w:val="24"/>
        </w:rPr>
        <w:t>applicable. This letter must be signed by the person (source) who provided the information.</w:t>
      </w:r>
    </w:p>
    <w:p>
      <w:pPr>
        <w:pStyle w:val="ListParagraph"/>
        <w:numPr>
          <w:ilvl w:val="0"/>
          <w:numId w:val="31"/>
        </w:numPr>
        <w:tabs>
          <w:tab w:val="left" w:pos="864"/>
        </w:tabs>
        <w:spacing w:before="120" w:after="0" w:line="240" w:lineRule="auto"/>
        <w:ind w:left="864" w:right="1710" w:hanging="360"/>
        <w:jc w:val="left"/>
        <w:rPr>
          <w:sz w:val="24"/>
        </w:rPr>
      </w:pPr>
      <w:r>
        <w:rPr>
          <w:sz w:val="24"/>
        </w:rPr>
        <w:t>An</w:t>
      </w:r>
      <w:r>
        <w:rPr>
          <w:spacing w:val="-4"/>
          <w:sz w:val="24"/>
        </w:rPr>
        <w:t xml:space="preserve"> </w:t>
      </w:r>
      <w:r>
        <w:rPr>
          <w:sz w:val="24"/>
        </w:rPr>
        <w:t>explanation</w:t>
      </w:r>
      <w:r>
        <w:rPr>
          <w:spacing w:val="-4"/>
          <w:sz w:val="24"/>
        </w:rPr>
        <w:t xml:space="preserve"> </w:t>
      </w:r>
      <w:r>
        <w:rPr>
          <w:sz w:val="24"/>
        </w:rPr>
        <w:t>of</w:t>
      </w:r>
      <w:r>
        <w:rPr>
          <w:spacing w:val="-5"/>
          <w:sz w:val="24"/>
        </w:rPr>
        <w:t xml:space="preserve"> </w:t>
      </w:r>
      <w:r>
        <w:rPr>
          <w:sz w:val="24"/>
        </w:rPr>
        <w:t>how</w:t>
      </w:r>
      <w:r>
        <w:rPr>
          <w:spacing w:val="-3"/>
          <w:sz w:val="24"/>
        </w:rPr>
        <w:t xml:space="preserve"> </w:t>
      </w:r>
      <w:r>
        <w:rPr>
          <w:sz w:val="24"/>
        </w:rPr>
        <w:t>certain</w:t>
      </w:r>
      <w:r>
        <w:rPr>
          <w:spacing w:val="-4"/>
          <w:sz w:val="24"/>
        </w:rPr>
        <w:t xml:space="preserve"> </w:t>
      </w:r>
      <w:r>
        <w:rPr>
          <w:sz w:val="24"/>
        </w:rPr>
        <w:t>findings</w:t>
      </w:r>
      <w:r>
        <w:rPr>
          <w:spacing w:val="-5"/>
          <w:sz w:val="24"/>
        </w:rPr>
        <w:t xml:space="preserve"> </w:t>
      </w:r>
      <w:r>
        <w:rPr>
          <w:sz w:val="24"/>
        </w:rPr>
        <w:t>from</w:t>
      </w:r>
      <w:r>
        <w:rPr>
          <w:spacing w:val="-4"/>
          <w:sz w:val="24"/>
        </w:rPr>
        <w:t xml:space="preserve"> </w:t>
      </w:r>
      <w:r>
        <w:rPr>
          <w:sz w:val="24"/>
        </w:rPr>
        <w:t>the</w:t>
      </w:r>
      <w:r>
        <w:rPr>
          <w:spacing w:val="-3"/>
          <w:sz w:val="24"/>
        </w:rPr>
        <w:t xml:space="preserve"> </w:t>
      </w:r>
      <w:r>
        <w:rPr>
          <w:sz w:val="24"/>
        </w:rPr>
        <w:t>Office</w:t>
      </w:r>
      <w:r>
        <w:rPr>
          <w:spacing w:val="-5"/>
          <w:sz w:val="24"/>
        </w:rPr>
        <w:t xml:space="preserve"> </w:t>
      </w:r>
      <w:r>
        <w:rPr>
          <w:sz w:val="24"/>
        </w:rPr>
        <w:t>of</w:t>
      </w:r>
      <w:r>
        <w:rPr>
          <w:spacing w:val="-4"/>
          <w:sz w:val="24"/>
        </w:rPr>
        <w:t xml:space="preserve"> </w:t>
      </w:r>
      <w:r>
        <w:rPr>
          <w:sz w:val="24"/>
        </w:rPr>
        <w:t>Financial</w:t>
      </w:r>
      <w:r>
        <w:rPr>
          <w:spacing w:val="-4"/>
          <w:sz w:val="24"/>
        </w:rPr>
        <w:t xml:space="preserve"> </w:t>
      </w:r>
      <w:r>
        <w:rPr>
          <w:sz w:val="24"/>
        </w:rPr>
        <w:t>Management</w:t>
      </w:r>
      <w:r>
        <w:rPr>
          <w:spacing w:val="-4"/>
          <w:sz w:val="24"/>
        </w:rPr>
        <w:t xml:space="preserve"> </w:t>
      </w:r>
      <w:r>
        <w:rPr>
          <w:sz w:val="24"/>
        </w:rPr>
        <w:t>(OFM) audit were addressed in the current bid.</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ListParagraph"/>
        <w:numPr>
          <w:ilvl w:val="0"/>
          <w:numId w:val="31"/>
        </w:numPr>
        <w:tabs>
          <w:tab w:val="left" w:pos="864"/>
        </w:tabs>
        <w:spacing w:before="0" w:after="0" w:line="240" w:lineRule="auto"/>
        <w:ind w:left="864" w:right="1560" w:hanging="360"/>
        <w:jc w:val="left"/>
        <w:rPr>
          <w:sz w:val="24"/>
        </w:rPr>
      </w:pPr>
      <w:r>
        <w:rPr>
          <w:sz w:val="24"/>
        </w:rPr>
        <w:t>Justification</w:t>
      </w:r>
      <w:r>
        <w:rPr>
          <w:spacing w:val="-3"/>
          <w:sz w:val="24"/>
        </w:rPr>
        <w:t xml:space="preserve"> </w:t>
      </w:r>
      <w:r>
        <w:rPr>
          <w:sz w:val="24"/>
        </w:rPr>
        <w:t>of</w:t>
      </w:r>
      <w:r>
        <w:rPr>
          <w:spacing w:val="-4"/>
          <w:sz w:val="24"/>
        </w:rPr>
        <w:t xml:space="preserve"> </w:t>
      </w:r>
      <w:r>
        <w:rPr>
          <w:sz w:val="24"/>
        </w:rPr>
        <w:t>benefit</w:t>
      </w:r>
      <w:r>
        <w:rPr>
          <w:spacing w:val="-3"/>
          <w:sz w:val="24"/>
        </w:rPr>
        <w:t xml:space="preserve"> </w:t>
      </w:r>
      <w:r>
        <w:rPr>
          <w:sz w:val="24"/>
        </w:rPr>
        <w:t>value</w:t>
      </w:r>
      <w:r>
        <w:rPr>
          <w:spacing w:val="-3"/>
          <w:sz w:val="24"/>
        </w:rPr>
        <w:t xml:space="preserve"> </w:t>
      </w:r>
      <w:r>
        <w:rPr>
          <w:sz w:val="24"/>
        </w:rPr>
        <w:t>in</w:t>
      </w:r>
      <w:r>
        <w:rPr>
          <w:spacing w:val="-3"/>
          <w:sz w:val="24"/>
        </w:rPr>
        <w:t xml:space="preserve"> </w:t>
      </w:r>
      <w:r>
        <w:rPr>
          <w:sz w:val="24"/>
        </w:rPr>
        <w:t>relation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gain/loss</w:t>
      </w:r>
      <w:r>
        <w:rPr>
          <w:spacing w:val="-4"/>
          <w:sz w:val="24"/>
        </w:rPr>
        <w:t xml:space="preserve"> </w:t>
      </w:r>
      <w:r>
        <w:rPr>
          <w:sz w:val="24"/>
        </w:rPr>
        <w:t>margin,</w:t>
      </w:r>
      <w:r>
        <w:rPr>
          <w:spacing w:val="-3"/>
          <w:sz w:val="24"/>
        </w:rPr>
        <w:t xml:space="preserve"> </w:t>
      </w:r>
      <w:r>
        <w:rPr>
          <w:sz w:val="24"/>
        </w:rPr>
        <w:t>if</w:t>
      </w:r>
      <w:r>
        <w:rPr>
          <w:spacing w:val="-3"/>
          <w:sz w:val="24"/>
        </w:rPr>
        <w:t xml:space="preserve"> </w:t>
      </w:r>
      <w:r>
        <w:rPr>
          <w:sz w:val="24"/>
        </w:rPr>
        <w:t>the</w:t>
      </w:r>
      <w:r>
        <w:rPr>
          <w:spacing w:val="-4"/>
          <w:sz w:val="24"/>
        </w:rPr>
        <w:t xml:space="preserve"> </w:t>
      </w:r>
      <w:r>
        <w:rPr>
          <w:sz w:val="24"/>
        </w:rPr>
        <w:t>gain/loss</w:t>
      </w:r>
      <w:r>
        <w:rPr>
          <w:spacing w:val="-3"/>
          <w:sz w:val="24"/>
        </w:rPr>
        <w:t xml:space="preserve"> </w:t>
      </w:r>
      <w:r>
        <w:rPr>
          <w:sz w:val="24"/>
        </w:rPr>
        <w:t>margin as</w:t>
      </w:r>
      <w:r>
        <w:rPr>
          <w:spacing w:val="-4"/>
          <w:sz w:val="24"/>
        </w:rPr>
        <w:t xml:space="preserve"> </w:t>
      </w:r>
      <w:r>
        <w:rPr>
          <w:sz w:val="24"/>
        </w:rPr>
        <w:t>a percentage of revenue at the bid level is less than or equal to 11.5 percent. The required elements include the elements listed in 8.6.</w:t>
      </w:r>
    </w:p>
    <w:p>
      <w:pPr>
        <w:pStyle w:val="ListParagraph"/>
        <w:numPr>
          <w:ilvl w:val="0"/>
          <w:numId w:val="31"/>
        </w:numPr>
        <w:tabs>
          <w:tab w:val="left" w:pos="864"/>
        </w:tabs>
        <w:spacing w:before="120" w:after="0" w:line="240" w:lineRule="auto"/>
        <w:ind w:left="864" w:right="1631" w:hanging="360"/>
        <w:jc w:val="left"/>
        <w:rPr>
          <w:sz w:val="24"/>
        </w:rPr>
      </w:pPr>
      <w:r>
        <w:rPr>
          <w:sz w:val="24"/>
        </w:rPr>
        <w:t>For</w:t>
      </w:r>
      <w:r>
        <w:rPr>
          <w:spacing w:val="-3"/>
          <w:sz w:val="24"/>
        </w:rPr>
        <w:t xml:space="preserve"> </w:t>
      </w:r>
      <w:r>
        <w:rPr>
          <w:sz w:val="24"/>
        </w:rPr>
        <w:t>the</w:t>
      </w:r>
      <w:r>
        <w:rPr>
          <w:spacing w:val="-5"/>
          <w:sz w:val="24"/>
        </w:rPr>
        <w:t xml:space="preserve"> </w:t>
      </w:r>
      <w:r>
        <w:rPr>
          <w:sz w:val="24"/>
        </w:rPr>
        <w:t>projected</w:t>
      </w:r>
      <w:r>
        <w:rPr>
          <w:spacing w:val="-4"/>
          <w:sz w:val="24"/>
        </w:rPr>
        <w:t xml:space="preserve"> </w:t>
      </w:r>
      <w:r>
        <w:rPr>
          <w:sz w:val="24"/>
        </w:rPr>
        <w:t>bid</w:t>
      </w:r>
      <w:r>
        <w:rPr>
          <w:spacing w:val="-3"/>
          <w:sz w:val="24"/>
        </w:rPr>
        <w:t xml:space="preserve"> </w:t>
      </w:r>
      <w:r>
        <w:rPr>
          <w:sz w:val="24"/>
        </w:rPr>
        <w:t>values</w:t>
      </w:r>
      <w:r>
        <w:rPr>
          <w:spacing w:val="-4"/>
          <w:sz w:val="24"/>
        </w:rPr>
        <w:t xml:space="preserve"> </w:t>
      </w:r>
      <w:r>
        <w:rPr>
          <w:sz w:val="24"/>
        </w:rPr>
        <w:t>listed</w:t>
      </w:r>
      <w:r>
        <w:rPr>
          <w:spacing w:val="-3"/>
          <w:sz w:val="24"/>
        </w:rPr>
        <w:t xml:space="preserve"> </w:t>
      </w:r>
      <w:r>
        <w:rPr>
          <w:sz w:val="24"/>
        </w:rPr>
        <w:t>below,</w:t>
      </w:r>
      <w:r>
        <w:rPr>
          <w:spacing w:val="-3"/>
          <w:sz w:val="24"/>
        </w:rPr>
        <w:t xml:space="preserve"> </w:t>
      </w:r>
      <w:r>
        <w:rPr>
          <w:sz w:val="24"/>
        </w:rPr>
        <w:t>an</w:t>
      </w:r>
      <w:r>
        <w:rPr>
          <w:spacing w:val="-3"/>
          <w:sz w:val="24"/>
        </w:rPr>
        <w:t xml:space="preserve"> </w:t>
      </w:r>
      <w:r>
        <w:rPr>
          <w:sz w:val="24"/>
        </w:rPr>
        <w:t>analysis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relationship</w:t>
      </w:r>
      <w:r>
        <w:rPr>
          <w:spacing w:val="-2"/>
          <w:sz w:val="24"/>
        </w:rPr>
        <w:t xml:space="preserve"> </w:t>
      </w:r>
      <w:r>
        <w:rPr>
          <w:sz w:val="24"/>
        </w:rPr>
        <w:t>between</w:t>
      </w:r>
      <w:r>
        <w:rPr>
          <w:spacing w:val="-3"/>
          <w:sz w:val="24"/>
        </w:rPr>
        <w:t xml:space="preserve"> </w:t>
      </w:r>
      <w:r>
        <w:rPr>
          <w:sz w:val="24"/>
        </w:rPr>
        <w:t>bid-level actual and projected experience for CY2023, CY2024 and CY2025, including an explanation of how that knowledge was incorporated into the current bid submission.</w:t>
      </w:r>
    </w:p>
    <w:p>
      <w:pPr>
        <w:pStyle w:val="ListParagraph"/>
        <w:numPr>
          <w:ilvl w:val="1"/>
          <w:numId w:val="31"/>
        </w:numPr>
        <w:tabs>
          <w:tab w:val="left" w:pos="1495"/>
        </w:tabs>
        <w:spacing w:before="120" w:after="0" w:line="240" w:lineRule="auto"/>
        <w:ind w:left="1495" w:right="0" w:hanging="631"/>
        <w:jc w:val="left"/>
        <w:rPr>
          <w:sz w:val="24"/>
        </w:rPr>
      </w:pPr>
      <w:r>
        <w:rPr>
          <w:sz w:val="24"/>
        </w:rPr>
        <w:t>Total</w:t>
      </w:r>
      <w:r>
        <w:rPr>
          <w:spacing w:val="-2"/>
          <w:sz w:val="24"/>
        </w:rPr>
        <w:t xml:space="preserve"> </w:t>
      </w:r>
      <w:r>
        <w:rPr>
          <w:sz w:val="24"/>
        </w:rPr>
        <w:t>Non-benefit</w:t>
      </w:r>
      <w:r>
        <w:rPr>
          <w:spacing w:val="-1"/>
          <w:sz w:val="24"/>
        </w:rPr>
        <w:t xml:space="preserve"> </w:t>
      </w:r>
      <w:r>
        <w:rPr>
          <w:sz w:val="24"/>
        </w:rPr>
        <w:t>Expense,</w:t>
      </w:r>
      <w:r>
        <w:rPr>
          <w:spacing w:val="-1"/>
          <w:sz w:val="24"/>
        </w:rPr>
        <w:t xml:space="preserve"> </w:t>
      </w:r>
      <w:r>
        <w:rPr>
          <w:sz w:val="24"/>
        </w:rPr>
        <w:t>Worksheet</w:t>
      </w:r>
      <w:r>
        <w:rPr>
          <w:spacing w:val="-1"/>
          <w:sz w:val="24"/>
        </w:rPr>
        <w:t xml:space="preserve"> </w:t>
      </w:r>
      <w:r>
        <w:rPr>
          <w:sz w:val="24"/>
        </w:rPr>
        <w:t>4,</w:t>
      </w:r>
      <w:r>
        <w:rPr>
          <w:spacing w:val="-1"/>
          <w:sz w:val="24"/>
        </w:rPr>
        <w:t xml:space="preserve"> </w:t>
      </w:r>
      <w:r>
        <w:rPr>
          <w:sz w:val="24"/>
        </w:rPr>
        <w:t>cell</w:t>
      </w:r>
      <w:r>
        <w:rPr>
          <w:spacing w:val="-1"/>
          <w:sz w:val="24"/>
        </w:rPr>
        <w:t xml:space="preserve"> </w:t>
      </w:r>
      <w:r>
        <w:rPr>
          <w:spacing w:val="-4"/>
          <w:sz w:val="24"/>
        </w:rPr>
        <w:t>H106</w:t>
      </w:r>
    </w:p>
    <w:p>
      <w:pPr>
        <w:pStyle w:val="ListParagraph"/>
        <w:numPr>
          <w:ilvl w:val="1"/>
          <w:numId w:val="31"/>
        </w:numPr>
        <w:tabs>
          <w:tab w:val="left" w:pos="1495"/>
        </w:tabs>
        <w:spacing w:before="120" w:after="0" w:line="240" w:lineRule="auto"/>
        <w:ind w:left="1495" w:right="0" w:hanging="631"/>
        <w:jc w:val="left"/>
        <w:rPr>
          <w:sz w:val="24"/>
        </w:rPr>
      </w:pPr>
      <w:r>
        <w:rPr>
          <w:sz w:val="24"/>
        </w:rPr>
        <w:t>Total</w:t>
      </w:r>
      <w:r>
        <w:rPr>
          <w:spacing w:val="-4"/>
          <w:sz w:val="24"/>
        </w:rPr>
        <w:t xml:space="preserve"> </w:t>
      </w:r>
      <w:r>
        <w:rPr>
          <w:sz w:val="24"/>
        </w:rPr>
        <w:t>Allowed</w:t>
      </w:r>
      <w:r>
        <w:rPr>
          <w:spacing w:val="-2"/>
          <w:sz w:val="24"/>
        </w:rPr>
        <w:t xml:space="preserve"> </w:t>
      </w:r>
      <w:r>
        <w:rPr>
          <w:sz w:val="24"/>
        </w:rPr>
        <w:t>PMPM,</w:t>
      </w:r>
      <w:r>
        <w:rPr>
          <w:spacing w:val="-1"/>
          <w:sz w:val="24"/>
        </w:rPr>
        <w:t xml:space="preserve"> </w:t>
      </w:r>
      <w:r>
        <w:rPr>
          <w:sz w:val="24"/>
        </w:rPr>
        <w:t>Worksheet</w:t>
      </w:r>
      <w:r>
        <w:rPr>
          <w:spacing w:val="-2"/>
          <w:sz w:val="24"/>
        </w:rPr>
        <w:t xml:space="preserve"> </w:t>
      </w:r>
      <w:r>
        <w:rPr>
          <w:sz w:val="24"/>
        </w:rPr>
        <w:t>2, cell</w:t>
      </w:r>
      <w:r>
        <w:rPr>
          <w:spacing w:val="-1"/>
          <w:sz w:val="24"/>
        </w:rPr>
        <w:t xml:space="preserve"> </w:t>
      </w:r>
      <w:r>
        <w:rPr>
          <w:spacing w:val="-4"/>
          <w:sz w:val="24"/>
        </w:rPr>
        <w:t>O38.</w:t>
      </w:r>
    </w:p>
    <w:p>
      <w:pPr>
        <w:pStyle w:val="ListParagraph"/>
        <w:numPr>
          <w:ilvl w:val="1"/>
          <w:numId w:val="31"/>
        </w:numPr>
        <w:tabs>
          <w:tab w:val="left" w:pos="1495"/>
        </w:tabs>
        <w:spacing w:before="120" w:after="0" w:line="240" w:lineRule="auto"/>
        <w:ind w:left="1495" w:right="0" w:hanging="631"/>
        <w:jc w:val="left"/>
        <w:rPr>
          <w:sz w:val="24"/>
        </w:rPr>
      </w:pPr>
      <w:r>
        <w:rPr>
          <w:sz w:val="24"/>
        </w:rPr>
        <w:t>Total</w:t>
      </w:r>
      <w:r>
        <w:rPr>
          <w:spacing w:val="-2"/>
          <w:sz w:val="24"/>
        </w:rPr>
        <w:t xml:space="preserve"> </w:t>
      </w:r>
      <w:r>
        <w:rPr>
          <w:sz w:val="24"/>
        </w:rPr>
        <w:t>Weighted</w:t>
      </w:r>
      <w:r>
        <w:rPr>
          <w:spacing w:val="-1"/>
          <w:sz w:val="24"/>
        </w:rPr>
        <w:t xml:space="preserve"> </w:t>
      </w:r>
      <w:r>
        <w:rPr>
          <w:sz w:val="24"/>
        </w:rPr>
        <w:t>Avg</w:t>
      </w:r>
      <w:r>
        <w:rPr>
          <w:spacing w:val="-2"/>
          <w:sz w:val="24"/>
        </w:rPr>
        <w:t xml:space="preserve"> </w:t>
      </w:r>
      <w:r>
        <w:rPr>
          <w:sz w:val="24"/>
        </w:rPr>
        <w:t>Risk</w:t>
      </w:r>
      <w:r>
        <w:rPr>
          <w:spacing w:val="-1"/>
          <w:sz w:val="24"/>
        </w:rPr>
        <w:t xml:space="preserve"> </w:t>
      </w:r>
      <w:r>
        <w:rPr>
          <w:sz w:val="24"/>
        </w:rPr>
        <w:t>Factor,</w:t>
      </w:r>
      <w:r>
        <w:rPr>
          <w:spacing w:val="-1"/>
          <w:sz w:val="24"/>
        </w:rPr>
        <w:t xml:space="preserve"> </w:t>
      </w:r>
      <w:r>
        <w:rPr>
          <w:sz w:val="24"/>
        </w:rPr>
        <w:t>Worksheet</w:t>
      </w:r>
      <w:r>
        <w:rPr>
          <w:spacing w:val="-1"/>
          <w:sz w:val="24"/>
        </w:rPr>
        <w:t xml:space="preserve"> </w:t>
      </w:r>
      <w:r>
        <w:rPr>
          <w:sz w:val="24"/>
        </w:rPr>
        <w:t>5,</w:t>
      </w:r>
      <w:r>
        <w:rPr>
          <w:spacing w:val="-2"/>
          <w:sz w:val="24"/>
        </w:rPr>
        <w:t xml:space="preserve"> </w:t>
      </w:r>
      <w:r>
        <w:rPr>
          <w:sz w:val="24"/>
        </w:rPr>
        <w:t>cell</w:t>
      </w:r>
      <w:r>
        <w:rPr>
          <w:spacing w:val="-1"/>
          <w:sz w:val="24"/>
        </w:rPr>
        <w:t xml:space="preserve"> </w:t>
      </w:r>
      <w:r>
        <w:rPr>
          <w:spacing w:val="-4"/>
          <w:sz w:val="24"/>
        </w:rPr>
        <w:t>E15.</w:t>
      </w:r>
    </w:p>
    <w:p>
      <w:pPr>
        <w:pStyle w:val="ListParagraph"/>
        <w:numPr>
          <w:ilvl w:val="0"/>
          <w:numId w:val="31"/>
        </w:numPr>
        <w:tabs>
          <w:tab w:val="left" w:pos="864"/>
        </w:tabs>
        <w:spacing w:before="120" w:after="0" w:line="240" w:lineRule="auto"/>
        <w:ind w:left="864" w:right="1646" w:hanging="360"/>
        <w:jc w:val="left"/>
        <w:rPr>
          <w:sz w:val="24"/>
        </w:rPr>
      </w:pPr>
      <w:r>
        <w:rPr>
          <w:sz w:val="24"/>
        </w:rPr>
        <w:t xml:space="preserve"> For an MA-PD plan, if the MA and Part D enrollment differ after taking into account hospice</w:t>
      </w:r>
      <w:r>
        <w:rPr>
          <w:spacing w:val="-4"/>
          <w:sz w:val="24"/>
        </w:rPr>
        <w:t xml:space="preserve"> </w:t>
      </w:r>
      <w:r>
        <w:rPr>
          <w:sz w:val="24"/>
        </w:rPr>
        <w:t>and</w:t>
      </w:r>
      <w:r>
        <w:rPr>
          <w:spacing w:val="-3"/>
          <w:sz w:val="24"/>
        </w:rPr>
        <w:t xml:space="preserve"> </w:t>
      </w:r>
      <w:r>
        <w:rPr>
          <w:sz w:val="24"/>
        </w:rPr>
        <w:t>ESRD</w:t>
      </w:r>
      <w:r>
        <w:rPr>
          <w:spacing w:val="-4"/>
          <w:sz w:val="24"/>
        </w:rPr>
        <w:t xml:space="preserve"> </w:t>
      </w:r>
      <w:r>
        <w:rPr>
          <w:sz w:val="24"/>
        </w:rPr>
        <w:t>enrollees,</w:t>
      </w:r>
      <w:r>
        <w:rPr>
          <w:spacing w:val="-3"/>
          <w:sz w:val="24"/>
        </w:rPr>
        <w:t xml:space="preserve"> </w:t>
      </w:r>
      <w:r>
        <w:rPr>
          <w:sz w:val="24"/>
        </w:rPr>
        <w:t>justification</w:t>
      </w:r>
      <w:r>
        <w:rPr>
          <w:spacing w:val="-3"/>
          <w:sz w:val="24"/>
        </w:rPr>
        <w:t xml:space="preserve"> </w:t>
      </w:r>
      <w:r>
        <w:rPr>
          <w:sz w:val="24"/>
        </w:rPr>
        <w:t>that</w:t>
      </w:r>
      <w:r>
        <w:rPr>
          <w:spacing w:val="-3"/>
          <w:sz w:val="24"/>
        </w:rPr>
        <w:t xml:space="preserve"> </w:t>
      </w:r>
      <w:r>
        <w:rPr>
          <w:sz w:val="24"/>
        </w:rPr>
        <w:t>base</w:t>
      </w:r>
      <w:r>
        <w:rPr>
          <w:spacing w:val="-4"/>
          <w:sz w:val="24"/>
        </w:rPr>
        <w:t xml:space="preserve"> </w:t>
      </w:r>
      <w:r>
        <w:rPr>
          <w:sz w:val="24"/>
        </w:rPr>
        <w:t>period</w:t>
      </w:r>
      <w:r>
        <w:rPr>
          <w:spacing w:val="-3"/>
          <w:sz w:val="24"/>
        </w:rPr>
        <w:t xml:space="preserve"> </w:t>
      </w:r>
      <w:r>
        <w:rPr>
          <w:sz w:val="24"/>
        </w:rPr>
        <w:t>and</w:t>
      </w:r>
      <w:r>
        <w:rPr>
          <w:spacing w:val="-3"/>
          <w:sz w:val="24"/>
        </w:rPr>
        <w:t xml:space="preserve"> </w:t>
      </w:r>
      <w:r>
        <w:rPr>
          <w:sz w:val="24"/>
        </w:rPr>
        <w:t>projected</w:t>
      </w:r>
      <w:r>
        <w:rPr>
          <w:spacing w:val="-2"/>
          <w:sz w:val="24"/>
        </w:rPr>
        <w:t xml:space="preserve"> </w:t>
      </w:r>
      <w:r>
        <w:rPr>
          <w:sz w:val="24"/>
        </w:rPr>
        <w:t>enrollment</w:t>
      </w:r>
      <w:r>
        <w:rPr>
          <w:spacing w:val="-3"/>
          <w:sz w:val="24"/>
        </w:rPr>
        <w:t xml:space="preserve"> </w:t>
      </w:r>
      <w:r>
        <w:rPr>
          <w:sz w:val="24"/>
        </w:rPr>
        <w:t>in</w:t>
      </w:r>
      <w:r>
        <w:rPr>
          <w:spacing w:val="-3"/>
          <w:sz w:val="24"/>
        </w:rPr>
        <w:t xml:space="preserve"> </w:t>
      </w:r>
      <w:r>
        <w:rPr>
          <w:sz w:val="24"/>
        </w:rPr>
        <w:t>the corresponding MA and Part D bids reflect the same underlying population.</w:t>
      </w:r>
    </w:p>
    <w:p>
      <w:pPr>
        <w:pStyle w:val="BodyText"/>
        <w:spacing w:before="1"/>
        <w:ind w:left="864"/>
      </w:pPr>
      <w:r>
        <w:t>(Worksheets</w:t>
      </w:r>
      <w:r>
        <w:rPr>
          <w:spacing w:val="-4"/>
        </w:rPr>
        <w:t xml:space="preserve"> </w:t>
      </w:r>
      <w:r>
        <w:t>1</w:t>
      </w:r>
      <w:r>
        <w:rPr>
          <w:spacing w:val="-2"/>
        </w:rPr>
        <w:t xml:space="preserve"> </w:t>
      </w:r>
      <w:r>
        <w:t>and</w:t>
      </w:r>
      <w:r>
        <w:rPr>
          <w:spacing w:val="-1"/>
        </w:rPr>
        <w:t xml:space="preserve"> </w:t>
      </w:r>
      <w:r>
        <w:rPr>
          <w:spacing w:val="-5"/>
        </w:rPr>
        <w:t>5)</w:t>
      </w:r>
    </w:p>
    <w:p>
      <w:pPr>
        <w:pStyle w:val="ListParagraph"/>
        <w:numPr>
          <w:ilvl w:val="0"/>
          <w:numId w:val="31"/>
        </w:numPr>
        <w:tabs>
          <w:tab w:val="left" w:pos="864"/>
        </w:tabs>
        <w:spacing w:before="120" w:after="0" w:line="240" w:lineRule="auto"/>
        <w:ind w:left="864" w:right="1769" w:hanging="360"/>
        <w:jc w:val="left"/>
        <w:rPr>
          <w:sz w:val="24"/>
        </w:rPr>
      </w:pPr>
      <w:r>
        <w:rPr>
          <w:sz w:val="24"/>
        </w:rPr>
        <w:t>Support for the pricing of non-covered services, including utilization and unit cost (Worksheet</w:t>
      </w:r>
      <w:r>
        <w:rPr>
          <w:spacing w:val="-3"/>
          <w:sz w:val="24"/>
        </w:rPr>
        <w:t xml:space="preserve"> </w:t>
      </w:r>
      <w:r>
        <w:rPr>
          <w:sz w:val="24"/>
        </w:rPr>
        <w:t>2,</w:t>
      </w:r>
      <w:r>
        <w:rPr>
          <w:spacing w:val="-3"/>
          <w:sz w:val="24"/>
        </w:rPr>
        <w:t xml:space="preserve"> </w:t>
      </w:r>
      <w:r>
        <w:rPr>
          <w:sz w:val="24"/>
        </w:rPr>
        <w:t>lines</w:t>
      </w:r>
      <w:r>
        <w:rPr>
          <w:spacing w:val="-4"/>
          <w:sz w:val="24"/>
        </w:rPr>
        <w:t xml:space="preserve"> </w:t>
      </w:r>
      <w:r>
        <w:rPr>
          <w:sz w:val="24"/>
        </w:rPr>
        <w:t>l</w:t>
      </w:r>
      <w:r>
        <w:rPr>
          <w:spacing w:val="-3"/>
          <w:sz w:val="24"/>
        </w:rPr>
        <w:t xml:space="preserve"> </w:t>
      </w:r>
      <w:r>
        <w:rPr>
          <w:sz w:val="24"/>
        </w:rPr>
        <w:t>through</w:t>
      </w:r>
      <w:r>
        <w:rPr>
          <w:spacing w:val="-3"/>
          <w:sz w:val="24"/>
        </w:rPr>
        <w:t xml:space="preserve"> </w:t>
      </w:r>
      <w:r>
        <w:rPr>
          <w:sz w:val="24"/>
        </w:rPr>
        <w:t>r,</w:t>
      </w:r>
      <w:r>
        <w:rPr>
          <w:spacing w:val="-3"/>
          <w:sz w:val="24"/>
        </w:rPr>
        <w:t xml:space="preserve"> </w:t>
      </w:r>
      <w:r>
        <w:rPr>
          <w:sz w:val="24"/>
        </w:rPr>
        <w:t>column</w:t>
      </w:r>
      <w:r>
        <w:rPr>
          <w:spacing w:val="-3"/>
          <w:sz w:val="24"/>
        </w:rPr>
        <w:t xml:space="preserve"> </w:t>
      </w:r>
      <w:r>
        <w:rPr>
          <w:sz w:val="24"/>
        </w:rPr>
        <w:t>o).</w:t>
      </w:r>
      <w:r>
        <w:rPr>
          <w:spacing w:val="-4"/>
          <w:sz w:val="24"/>
        </w:rPr>
        <w:t xml:space="preserve"> </w:t>
      </w:r>
      <w:r>
        <w:rPr>
          <w:sz w:val="24"/>
        </w:rPr>
        <w:t>(Support</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benefit</w:t>
      </w:r>
      <w:r>
        <w:rPr>
          <w:spacing w:val="-3"/>
          <w:sz w:val="24"/>
        </w:rPr>
        <w:t xml:space="preserve"> </w:t>
      </w:r>
      <w:r>
        <w:rPr>
          <w:sz w:val="24"/>
        </w:rPr>
        <w:t>level</w:t>
      </w:r>
      <w:r>
        <w:rPr>
          <w:spacing w:val="-3"/>
          <w:sz w:val="24"/>
        </w:rPr>
        <w:t xml:space="preserve"> </w:t>
      </w:r>
      <w:r>
        <w:rPr>
          <w:sz w:val="24"/>
        </w:rPr>
        <w:t>is</w:t>
      </w:r>
      <w:r>
        <w:rPr>
          <w:spacing w:val="-4"/>
          <w:sz w:val="24"/>
        </w:rPr>
        <w:t xml:space="preserve"> </w:t>
      </w:r>
      <w:r>
        <w:rPr>
          <w:sz w:val="24"/>
        </w:rPr>
        <w:t>required</w:t>
      </w:r>
      <w:r>
        <w:rPr>
          <w:spacing w:val="-3"/>
          <w:sz w:val="24"/>
        </w:rPr>
        <w:t xml:space="preserve"> </w:t>
      </w:r>
      <w:r>
        <w:rPr>
          <w:sz w:val="24"/>
        </w:rPr>
        <w:t>in</w:t>
      </w:r>
      <w:r>
        <w:rPr>
          <w:spacing w:val="-3"/>
          <w:sz w:val="24"/>
        </w:rPr>
        <w:t xml:space="preserve"> </w:t>
      </w:r>
      <w:r>
        <w:rPr>
          <w:sz w:val="24"/>
        </w:rPr>
        <w:t>the initial June bid submission.)</w:t>
      </w:r>
    </w:p>
    <w:p>
      <w:pPr>
        <w:pStyle w:val="ListParagraph"/>
        <w:numPr>
          <w:ilvl w:val="0"/>
          <w:numId w:val="31"/>
        </w:numPr>
        <w:tabs>
          <w:tab w:val="left" w:pos="864"/>
        </w:tabs>
        <w:spacing w:before="120" w:after="0" w:line="240" w:lineRule="auto"/>
        <w:ind w:left="864" w:right="1522" w:hanging="360"/>
        <w:jc w:val="left"/>
        <w:rPr>
          <w:sz w:val="24"/>
        </w:rPr>
      </w:pPr>
      <w:r>
        <w:rPr>
          <w:sz w:val="24"/>
        </w:rPr>
        <w:t>Support</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allocation</w:t>
      </w:r>
      <w:r>
        <w:rPr>
          <w:spacing w:val="-4"/>
          <w:sz w:val="24"/>
        </w:rPr>
        <w:t xml:space="preserve"> </w:t>
      </w:r>
      <w:r>
        <w:rPr>
          <w:sz w:val="24"/>
        </w:rPr>
        <w:t>of</w:t>
      </w:r>
      <w:r>
        <w:rPr>
          <w:spacing w:val="-4"/>
          <w:sz w:val="24"/>
        </w:rPr>
        <w:t xml:space="preserve"> </w:t>
      </w:r>
      <w:r>
        <w:rPr>
          <w:sz w:val="24"/>
        </w:rPr>
        <w:t>allowed</w:t>
      </w:r>
      <w:r>
        <w:rPr>
          <w:spacing w:val="-4"/>
          <w:sz w:val="24"/>
        </w:rPr>
        <w:t xml:space="preserve"> </w:t>
      </w:r>
      <w:r>
        <w:rPr>
          <w:sz w:val="24"/>
        </w:rPr>
        <w:t>costs</w:t>
      </w:r>
      <w:r>
        <w:rPr>
          <w:spacing w:val="-4"/>
          <w:sz w:val="24"/>
        </w:rPr>
        <w:t xml:space="preserve"> </w:t>
      </w:r>
      <w:r>
        <w:rPr>
          <w:sz w:val="24"/>
        </w:rPr>
        <w:t>and</w:t>
      </w:r>
      <w:r>
        <w:rPr>
          <w:spacing w:val="-2"/>
          <w:sz w:val="24"/>
        </w:rPr>
        <w:t xml:space="preserve"> </w:t>
      </w:r>
      <w:r>
        <w:rPr>
          <w:sz w:val="24"/>
        </w:rPr>
        <w:t>cost</w:t>
      </w:r>
      <w:r>
        <w:rPr>
          <w:spacing w:val="-4"/>
          <w:sz w:val="24"/>
        </w:rPr>
        <w:t xml:space="preserve"> </w:t>
      </w:r>
      <w:r>
        <w:rPr>
          <w:sz w:val="24"/>
        </w:rPr>
        <w:t>sharing</w:t>
      </w:r>
      <w:r>
        <w:rPr>
          <w:spacing w:val="-4"/>
          <w:sz w:val="24"/>
        </w:rPr>
        <w:t xml:space="preserve"> </w:t>
      </w:r>
      <w:r>
        <w:rPr>
          <w:sz w:val="24"/>
        </w:rPr>
        <w:t>between</w:t>
      </w:r>
      <w:r>
        <w:rPr>
          <w:spacing w:val="-4"/>
          <w:sz w:val="24"/>
        </w:rPr>
        <w:t xml:space="preserve"> </w:t>
      </w:r>
      <w:r>
        <w:rPr>
          <w:sz w:val="24"/>
        </w:rPr>
        <w:t>Medicare-covered</w:t>
      </w:r>
      <w:r>
        <w:rPr>
          <w:spacing w:val="-2"/>
          <w:sz w:val="24"/>
        </w:rPr>
        <w:t xml:space="preserve"> </w:t>
      </w:r>
      <w:r>
        <w:rPr>
          <w:sz w:val="24"/>
        </w:rPr>
        <w:t>and A/B mandatory supplemental benefits (Worksheet 4).</w:t>
      </w:r>
    </w:p>
    <w:p>
      <w:pPr>
        <w:pStyle w:val="ListParagraph"/>
        <w:numPr>
          <w:ilvl w:val="0"/>
          <w:numId w:val="31"/>
        </w:numPr>
        <w:tabs>
          <w:tab w:val="left" w:pos="864"/>
        </w:tabs>
        <w:spacing w:before="120" w:after="0" w:line="240" w:lineRule="auto"/>
        <w:ind w:left="864" w:right="2001" w:hanging="360"/>
        <w:jc w:val="left"/>
        <w:rPr>
          <w:sz w:val="24"/>
        </w:rPr>
      </w:pPr>
      <w:r>
        <w:rPr>
          <w:sz w:val="24"/>
        </w:rPr>
        <w:t>Support for when the formulas provided in the BPT for DE# plan cost sharing (Worksheet</w:t>
      </w:r>
      <w:r>
        <w:rPr>
          <w:spacing w:val="-3"/>
          <w:sz w:val="24"/>
        </w:rPr>
        <w:t xml:space="preserve"> </w:t>
      </w:r>
      <w:r>
        <w:rPr>
          <w:sz w:val="24"/>
        </w:rPr>
        <w:t>4,</w:t>
      </w:r>
      <w:r>
        <w:rPr>
          <w:spacing w:val="-3"/>
          <w:sz w:val="24"/>
        </w:rPr>
        <w:t xml:space="preserve"> </w:t>
      </w:r>
      <w:r>
        <w:rPr>
          <w:sz w:val="24"/>
        </w:rPr>
        <w:t>Section</w:t>
      </w:r>
      <w:r>
        <w:rPr>
          <w:spacing w:val="-1"/>
          <w:sz w:val="24"/>
        </w:rPr>
        <w:t xml:space="preserve"> </w:t>
      </w:r>
      <w:r>
        <w:rPr>
          <w:sz w:val="24"/>
        </w:rPr>
        <w:t>IIB,</w:t>
      </w:r>
      <w:r>
        <w:rPr>
          <w:spacing w:val="-3"/>
          <w:sz w:val="24"/>
        </w:rPr>
        <w:t xml:space="preserve"> </w:t>
      </w:r>
      <w:r>
        <w:rPr>
          <w:sz w:val="24"/>
        </w:rPr>
        <w:t>column</w:t>
      </w:r>
      <w:r>
        <w:rPr>
          <w:spacing w:val="-3"/>
          <w:sz w:val="24"/>
        </w:rPr>
        <w:t xml:space="preserve"> </w:t>
      </w:r>
      <w:r>
        <w:rPr>
          <w:sz w:val="24"/>
        </w:rPr>
        <w:t>f)</w:t>
      </w:r>
      <w:r>
        <w:rPr>
          <w:spacing w:val="-5"/>
          <w:sz w:val="24"/>
        </w:rPr>
        <w:t xml:space="preserve"> </w:t>
      </w:r>
      <w:r>
        <w:rPr>
          <w:sz w:val="24"/>
        </w:rPr>
        <w:t>are</w:t>
      </w:r>
      <w:r>
        <w:rPr>
          <w:spacing w:val="-5"/>
          <w:sz w:val="24"/>
        </w:rPr>
        <w:t xml:space="preserve"> </w:t>
      </w:r>
      <w:r>
        <w:rPr>
          <w:sz w:val="24"/>
        </w:rPr>
        <w:t>overwritten</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discretion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 xml:space="preserve">certifying </w:t>
      </w:r>
      <w:r>
        <w:rPr>
          <w:spacing w:val="-2"/>
          <w:sz w:val="24"/>
        </w:rPr>
        <w:t>actuary.</w:t>
      </w:r>
    </w:p>
    <w:p>
      <w:pPr>
        <w:pStyle w:val="ListParagraph"/>
        <w:numPr>
          <w:ilvl w:val="0"/>
          <w:numId w:val="31"/>
        </w:numPr>
        <w:tabs>
          <w:tab w:val="left" w:pos="864"/>
        </w:tabs>
        <w:spacing w:before="121" w:after="0" w:line="240" w:lineRule="auto"/>
        <w:ind w:left="864" w:right="1776" w:hanging="360"/>
        <w:jc w:val="left"/>
        <w:rPr>
          <w:sz w:val="24"/>
        </w:rPr>
      </w:pPr>
      <w:r>
        <w:rPr>
          <w:sz w:val="24"/>
        </w:rPr>
        <w:t>Support for the calculation of “Medicaid Cost Sharing” (Worksheet 4, Section IIB, column</w:t>
      </w:r>
      <w:r>
        <w:rPr>
          <w:spacing w:val="-3"/>
          <w:sz w:val="24"/>
        </w:rPr>
        <w:t xml:space="preserve"> </w:t>
      </w:r>
      <w:r>
        <w:rPr>
          <w:sz w:val="24"/>
        </w:rPr>
        <w:t>k),</w:t>
      </w:r>
      <w:r>
        <w:rPr>
          <w:spacing w:val="-3"/>
          <w:sz w:val="24"/>
        </w:rPr>
        <w:t xml:space="preserve"> </w:t>
      </w:r>
      <w:r>
        <w:rPr>
          <w:sz w:val="24"/>
        </w:rPr>
        <w:t>including</w:t>
      </w:r>
      <w:r>
        <w:rPr>
          <w:spacing w:val="-3"/>
          <w:sz w:val="24"/>
        </w:rPr>
        <w:t xml:space="preserve"> </w:t>
      </w:r>
      <w:r>
        <w:rPr>
          <w:sz w:val="24"/>
        </w:rPr>
        <w:t>cost</w:t>
      </w:r>
      <w:r>
        <w:rPr>
          <w:spacing w:val="-3"/>
          <w:sz w:val="24"/>
        </w:rPr>
        <w:t xml:space="preserve"> </w:t>
      </w:r>
      <w:r>
        <w:rPr>
          <w:sz w:val="24"/>
        </w:rPr>
        <w:t>sharing</w:t>
      </w:r>
      <w:r>
        <w:rPr>
          <w:spacing w:val="-3"/>
          <w:sz w:val="24"/>
        </w:rPr>
        <w:t xml:space="preserve"> </w:t>
      </w:r>
      <w:r>
        <w:rPr>
          <w:sz w:val="24"/>
        </w:rPr>
        <w:t>required</w:t>
      </w:r>
      <w:r>
        <w:rPr>
          <w:spacing w:val="-3"/>
          <w:sz w:val="24"/>
        </w:rPr>
        <w:t xml:space="preserve"> </w:t>
      </w:r>
      <w:r>
        <w:rPr>
          <w:sz w:val="24"/>
        </w:rPr>
        <w:t>by</w:t>
      </w:r>
      <w:r>
        <w:rPr>
          <w:spacing w:val="-3"/>
          <w:sz w:val="24"/>
        </w:rPr>
        <w:t xml:space="preserve"> </w:t>
      </w:r>
      <w:r>
        <w:rPr>
          <w:sz w:val="24"/>
        </w:rPr>
        <w:t>state</w:t>
      </w:r>
      <w:r>
        <w:rPr>
          <w:spacing w:val="-3"/>
          <w:sz w:val="24"/>
        </w:rPr>
        <w:t xml:space="preserve"> </w:t>
      </w:r>
      <w:r>
        <w:rPr>
          <w:sz w:val="24"/>
        </w:rPr>
        <w:t>or</w:t>
      </w:r>
      <w:r>
        <w:rPr>
          <w:spacing w:val="-3"/>
          <w:sz w:val="24"/>
        </w:rPr>
        <w:t xml:space="preserve"> </w:t>
      </w:r>
      <w:r>
        <w:rPr>
          <w:sz w:val="24"/>
        </w:rPr>
        <w:t>territory</w:t>
      </w:r>
      <w:r>
        <w:rPr>
          <w:spacing w:val="-3"/>
          <w:sz w:val="24"/>
        </w:rPr>
        <w:t xml:space="preserve"> </w:t>
      </w:r>
      <w:r>
        <w:rPr>
          <w:sz w:val="24"/>
        </w:rPr>
        <w:t>Medicaid</w:t>
      </w:r>
      <w:r>
        <w:rPr>
          <w:spacing w:val="-3"/>
          <w:sz w:val="24"/>
        </w:rPr>
        <w:t xml:space="preserve"> </w:t>
      </w:r>
      <w:r>
        <w:rPr>
          <w:sz w:val="24"/>
        </w:rPr>
        <w:t>programs</w:t>
      </w:r>
      <w:r>
        <w:rPr>
          <w:spacing w:val="-4"/>
          <w:sz w:val="24"/>
        </w:rPr>
        <w:t xml:space="preserve"> </w:t>
      </w:r>
      <w:r>
        <w:rPr>
          <w:sz w:val="24"/>
        </w:rPr>
        <w:t>in</w:t>
      </w:r>
      <w:r>
        <w:rPr>
          <w:spacing w:val="-3"/>
          <w:sz w:val="24"/>
        </w:rPr>
        <w:t xml:space="preserve"> </w:t>
      </w:r>
      <w:r>
        <w:rPr>
          <w:sz w:val="24"/>
        </w:rPr>
        <w:t>the bid’s service area based on the eligibility rules for subsidized cost sharing for</w:t>
      </w:r>
    </w:p>
    <w:p>
      <w:pPr>
        <w:pStyle w:val="BodyText"/>
        <w:ind w:left="864"/>
      </w:pPr>
      <w:r>
        <w:t>DE#</w:t>
      </w:r>
      <w:r>
        <w:rPr>
          <w:spacing w:val="-2"/>
        </w:rPr>
        <w:t xml:space="preserve"> beneficiaries.</w:t>
      </w:r>
    </w:p>
    <w:p>
      <w:pPr>
        <w:pStyle w:val="ListParagraph"/>
        <w:numPr>
          <w:ilvl w:val="0"/>
          <w:numId w:val="31"/>
        </w:numPr>
        <w:tabs>
          <w:tab w:val="left" w:pos="864"/>
        </w:tabs>
        <w:spacing w:before="120" w:after="0" w:line="240" w:lineRule="auto"/>
        <w:ind w:left="864" w:right="1676" w:hanging="360"/>
        <w:jc w:val="left"/>
        <w:rPr>
          <w:sz w:val="24"/>
        </w:rPr>
      </w:pPr>
      <w:r>
        <w:rPr>
          <w:sz w:val="24"/>
        </w:rPr>
        <w:t>Support that changes in PMPM bid values as a result of rebate reallocation are consistent with</w:t>
      </w:r>
      <w:r>
        <w:rPr>
          <w:spacing w:val="-3"/>
          <w:sz w:val="24"/>
        </w:rPr>
        <w:t xml:space="preserve"> </w:t>
      </w:r>
      <w:r>
        <w:rPr>
          <w:sz w:val="24"/>
        </w:rPr>
        <w:t>the</w:t>
      </w:r>
      <w:r>
        <w:rPr>
          <w:spacing w:val="-4"/>
          <w:sz w:val="24"/>
        </w:rPr>
        <w:t xml:space="preserve"> </w:t>
      </w:r>
      <w:r>
        <w:rPr>
          <w:sz w:val="24"/>
        </w:rPr>
        <w:t>pricing</w:t>
      </w:r>
      <w:r>
        <w:rPr>
          <w:spacing w:val="-3"/>
          <w:sz w:val="24"/>
        </w:rPr>
        <w:t xml:space="preserve"> </w:t>
      </w:r>
      <w:r>
        <w:rPr>
          <w:sz w:val="24"/>
        </w:rPr>
        <w:t>approach</w:t>
      </w:r>
      <w:r>
        <w:rPr>
          <w:spacing w:val="-3"/>
          <w:sz w:val="24"/>
        </w:rPr>
        <w:t xml:space="preserve"> </w:t>
      </w:r>
      <w:r>
        <w:rPr>
          <w:sz w:val="24"/>
        </w:rPr>
        <w:t>and</w:t>
      </w:r>
      <w:r>
        <w:rPr>
          <w:spacing w:val="-3"/>
          <w:sz w:val="24"/>
        </w:rPr>
        <w:t xml:space="preserve"> </w:t>
      </w:r>
      <w:r>
        <w:rPr>
          <w:sz w:val="24"/>
        </w:rPr>
        <w:t>methodologies</w:t>
      </w:r>
      <w:r>
        <w:rPr>
          <w:spacing w:val="-4"/>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initial</w:t>
      </w:r>
      <w:r>
        <w:rPr>
          <w:spacing w:val="-3"/>
          <w:sz w:val="24"/>
        </w:rPr>
        <w:t xml:space="preserve"> </w:t>
      </w:r>
      <w:r>
        <w:rPr>
          <w:sz w:val="24"/>
        </w:rPr>
        <w:t>June</w:t>
      </w:r>
      <w:r>
        <w:rPr>
          <w:spacing w:val="-3"/>
          <w:sz w:val="24"/>
        </w:rPr>
        <w:t xml:space="preserve"> </w:t>
      </w:r>
      <w:r>
        <w:rPr>
          <w:sz w:val="24"/>
        </w:rPr>
        <w:t>bid</w:t>
      </w:r>
      <w:r>
        <w:rPr>
          <w:spacing w:val="-3"/>
          <w:sz w:val="24"/>
        </w:rPr>
        <w:t xml:space="preserve"> </w:t>
      </w:r>
      <w:r>
        <w:rPr>
          <w:sz w:val="24"/>
        </w:rPr>
        <w:t>submission.</w:t>
      </w:r>
      <w:r>
        <w:rPr>
          <w:spacing w:val="-3"/>
          <w:sz w:val="24"/>
        </w:rPr>
        <w:t xml:space="preserve"> </w:t>
      </w:r>
      <w:r>
        <w:rPr>
          <w:sz w:val="24"/>
        </w:rPr>
        <w:t>This support must include the cause and effect of each revision proposed by the MAO. See Appendix E, item 12 for more detail.</w:t>
      </w:r>
    </w:p>
    <w:p>
      <w:pPr>
        <w:pStyle w:val="ListParagraph"/>
        <w:numPr>
          <w:ilvl w:val="0"/>
          <w:numId w:val="31"/>
        </w:numPr>
        <w:tabs>
          <w:tab w:val="left" w:pos="864"/>
        </w:tabs>
        <w:spacing w:before="120" w:after="0" w:line="240" w:lineRule="auto"/>
        <w:ind w:left="864" w:right="1450" w:hanging="360"/>
        <w:jc w:val="left"/>
        <w:rPr>
          <w:sz w:val="24"/>
        </w:rPr>
      </w:pPr>
      <w:r>
        <w:rPr>
          <w:sz w:val="24"/>
        </w:rPr>
        <w:t>Justification</w:t>
      </w:r>
      <w:r>
        <w:rPr>
          <w:spacing w:val="-4"/>
          <w:sz w:val="24"/>
        </w:rPr>
        <w:t xml:space="preserve"> </w:t>
      </w:r>
      <w:r>
        <w:rPr>
          <w:sz w:val="24"/>
        </w:rPr>
        <w:t>for</w:t>
      </w:r>
      <w:r>
        <w:rPr>
          <w:spacing w:val="-4"/>
          <w:sz w:val="24"/>
        </w:rPr>
        <w:t xml:space="preserve"> </w:t>
      </w:r>
      <w:r>
        <w:rPr>
          <w:sz w:val="24"/>
        </w:rPr>
        <w:t>changes</w:t>
      </w:r>
      <w:r>
        <w:rPr>
          <w:spacing w:val="-2"/>
          <w:sz w:val="24"/>
        </w:rPr>
        <w:t xml:space="preserve"> </w:t>
      </w:r>
      <w:r>
        <w:rPr>
          <w:sz w:val="24"/>
        </w:rPr>
        <w:t>in</w:t>
      </w:r>
      <w:r>
        <w:rPr>
          <w:spacing w:val="-4"/>
          <w:sz w:val="24"/>
        </w:rPr>
        <w:t xml:space="preserve"> </w:t>
      </w:r>
      <w:r>
        <w:rPr>
          <w:sz w:val="24"/>
        </w:rPr>
        <w:t>DE#</w:t>
      </w:r>
      <w:r>
        <w:rPr>
          <w:spacing w:val="-4"/>
          <w:sz w:val="24"/>
        </w:rPr>
        <w:t xml:space="preserve"> </w:t>
      </w:r>
      <w:r>
        <w:rPr>
          <w:sz w:val="24"/>
        </w:rPr>
        <w:t>plan</w:t>
      </w:r>
      <w:r>
        <w:rPr>
          <w:spacing w:val="-4"/>
          <w:sz w:val="24"/>
        </w:rPr>
        <w:t xml:space="preserve"> </w:t>
      </w:r>
      <w:r>
        <w:rPr>
          <w:sz w:val="24"/>
        </w:rPr>
        <w:t>reimbursement,</w:t>
      </w:r>
      <w:r>
        <w:rPr>
          <w:spacing w:val="-4"/>
          <w:sz w:val="24"/>
        </w:rPr>
        <w:t xml:space="preserve"> </w:t>
      </w:r>
      <w:r>
        <w:rPr>
          <w:sz w:val="24"/>
        </w:rPr>
        <w:t>including</w:t>
      </w:r>
      <w:r>
        <w:rPr>
          <w:spacing w:val="-4"/>
          <w:sz w:val="24"/>
        </w:rPr>
        <w:t xml:space="preserve"> </w:t>
      </w:r>
      <w:r>
        <w:rPr>
          <w:sz w:val="24"/>
        </w:rPr>
        <w:t>the</w:t>
      </w:r>
      <w:r>
        <w:rPr>
          <w:spacing w:val="-4"/>
          <w:sz w:val="24"/>
        </w:rPr>
        <w:t xml:space="preserve"> </w:t>
      </w:r>
      <w:r>
        <w:rPr>
          <w:sz w:val="24"/>
        </w:rPr>
        <w:t>derivation</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revised plan reimbursement PMPMs in Worksheet 4, column h.</w:t>
      </w:r>
    </w:p>
    <w:p>
      <w:pPr>
        <w:pStyle w:val="ListParagraph"/>
        <w:numPr>
          <w:ilvl w:val="0"/>
          <w:numId w:val="31"/>
        </w:numPr>
        <w:tabs>
          <w:tab w:val="left" w:pos="864"/>
        </w:tabs>
        <w:spacing w:before="120" w:after="0" w:line="240" w:lineRule="auto"/>
        <w:ind w:left="864" w:right="2115" w:hanging="360"/>
        <w:jc w:val="left"/>
        <w:rPr>
          <w:sz w:val="24"/>
        </w:rPr>
      </w:pPr>
      <w:r>
        <w:rPr>
          <w:sz w:val="24"/>
        </w:rPr>
        <w:t>For</w:t>
      </w:r>
      <w:r>
        <w:rPr>
          <w:spacing w:val="-4"/>
          <w:sz w:val="24"/>
        </w:rPr>
        <w:t xml:space="preserve"> </w:t>
      </w:r>
      <w:r>
        <w:rPr>
          <w:sz w:val="24"/>
        </w:rPr>
        <w:t>the</w:t>
      </w:r>
      <w:r>
        <w:rPr>
          <w:spacing w:val="-5"/>
          <w:sz w:val="24"/>
        </w:rPr>
        <w:t xml:space="preserve"> </w:t>
      </w:r>
      <w:r>
        <w:rPr>
          <w:sz w:val="24"/>
        </w:rPr>
        <w:t>Low-Income</w:t>
      </w:r>
      <w:r>
        <w:rPr>
          <w:spacing w:val="-5"/>
          <w:sz w:val="24"/>
        </w:rPr>
        <w:t xml:space="preserve"> </w:t>
      </w:r>
      <w:r>
        <w:rPr>
          <w:sz w:val="24"/>
        </w:rPr>
        <w:t>Premium</w:t>
      </w:r>
      <w:r>
        <w:rPr>
          <w:spacing w:val="-4"/>
          <w:sz w:val="24"/>
        </w:rPr>
        <w:t xml:space="preserve"> </w:t>
      </w:r>
      <w:r>
        <w:rPr>
          <w:sz w:val="24"/>
        </w:rPr>
        <w:t>Subsidy</w:t>
      </w:r>
      <w:r>
        <w:rPr>
          <w:spacing w:val="-4"/>
          <w:sz w:val="24"/>
        </w:rPr>
        <w:t xml:space="preserve"> </w:t>
      </w:r>
      <w:r>
        <w:rPr>
          <w:sz w:val="24"/>
        </w:rPr>
        <w:t>Amount</w:t>
      </w:r>
      <w:r>
        <w:rPr>
          <w:spacing w:val="-4"/>
          <w:sz w:val="24"/>
        </w:rPr>
        <w:t xml:space="preserve"> </w:t>
      </w:r>
      <w:r>
        <w:rPr>
          <w:sz w:val="24"/>
        </w:rPr>
        <w:t>(LIPSA)</w:t>
      </w:r>
      <w:r>
        <w:rPr>
          <w:spacing w:val="-3"/>
          <w:sz w:val="24"/>
        </w:rPr>
        <w:t xml:space="preserve"> </w:t>
      </w:r>
      <w:r>
        <w:rPr>
          <w:sz w:val="24"/>
        </w:rPr>
        <w:t>plan</w:t>
      </w:r>
      <w:r>
        <w:rPr>
          <w:spacing w:val="-5"/>
          <w:sz w:val="24"/>
        </w:rPr>
        <w:t xml:space="preserve"> </w:t>
      </w:r>
      <w:r>
        <w:rPr>
          <w:sz w:val="24"/>
        </w:rPr>
        <w:t>intention</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target Part D basic premium option, support for the LIPSA estimate in Worksheet 6, Subsection C, line 7d, including historical data.</w:t>
      </w:r>
    </w:p>
    <w:p>
      <w:pPr>
        <w:pStyle w:val="ListParagraph"/>
        <w:spacing w:after="0" w:line="240" w:lineRule="auto"/>
        <w:jc w:val="left"/>
        <w:rPr>
          <w:sz w:val="24"/>
        </w:rPr>
        <w:sectPr>
          <w:pgSz w:w="12240" w:h="15840"/>
          <w:pgMar w:top="960" w:right="0" w:bottom="940" w:left="1080" w:header="727" w:footer="747"/>
          <w:cols w:space="720"/>
        </w:sectPr>
      </w:pPr>
    </w:p>
    <w:p>
      <w:pPr>
        <w:pStyle w:val="BodyText"/>
        <w:ind w:left="0"/>
        <w:rPr>
          <w:sz w:val="21"/>
        </w:rPr>
      </w:pPr>
    </w:p>
    <w:p>
      <w:pPr>
        <w:pStyle w:val="BodyText"/>
        <w:spacing w:before="184"/>
        <w:ind w:left="0"/>
        <w:rPr>
          <w:sz w:val="21"/>
        </w:rPr>
      </w:pPr>
    </w:p>
    <w:p>
      <w:pPr>
        <w:pStyle w:val="Heading2"/>
      </w:pPr>
      <w:bookmarkStart w:id="340" w:name="MA Checklist for Required Supporting Doc"/>
      <w:bookmarkEnd w:id="340"/>
      <w:bookmarkStart w:id="341" w:name="_bookmark90"/>
      <w:bookmarkEnd w:id="341"/>
      <w:r>
        <w:rPr>
          <w:smallCaps/>
        </w:rPr>
        <w:t>MA</w:t>
      </w:r>
      <w:r>
        <w:rPr>
          <w:smallCaps/>
          <w:spacing w:val="-15"/>
        </w:rPr>
        <w:t xml:space="preserve"> </w:t>
      </w:r>
      <w:r>
        <w:rPr>
          <w:smallCaps/>
        </w:rPr>
        <w:t>Checklist</w:t>
      </w:r>
      <w:r>
        <w:rPr>
          <w:smallCaps/>
          <w:spacing w:val="-15"/>
        </w:rPr>
        <w:t xml:space="preserve"> </w:t>
      </w:r>
      <w:r>
        <w:rPr>
          <w:smallCaps/>
        </w:rPr>
        <w:t>for</w:t>
      </w:r>
      <w:r>
        <w:rPr>
          <w:smallCaps/>
          <w:spacing w:val="-10"/>
        </w:rPr>
        <w:t xml:space="preserve"> </w:t>
      </w:r>
      <w:r>
        <w:rPr>
          <w:smallCaps/>
        </w:rPr>
        <w:t>Required</w:t>
      </w:r>
      <w:r>
        <w:rPr>
          <w:smallCaps/>
          <w:spacing w:val="-8"/>
        </w:rPr>
        <w:t xml:space="preserve"> </w:t>
      </w:r>
      <w:r>
        <w:rPr>
          <w:smallCaps/>
        </w:rPr>
        <w:t>Supporting</w:t>
      </w:r>
      <w:r>
        <w:rPr>
          <w:smallCaps/>
          <w:spacing w:val="-12"/>
        </w:rPr>
        <w:t xml:space="preserve"> </w:t>
      </w:r>
      <w:r>
        <w:rPr>
          <w:smallCaps/>
          <w:spacing w:val="-2"/>
        </w:rPr>
        <w:t>Documentation</w:t>
      </w:r>
    </w:p>
    <w:p>
      <w:pPr>
        <w:pStyle w:val="BodyText"/>
        <w:spacing w:before="12" w:after="1"/>
        <w:ind w:left="0"/>
        <w:rPr>
          <w:rFonts w:ascii="Arial"/>
          <w:b/>
          <w:sz w:val="20"/>
        </w:rPr>
      </w:pPr>
    </w:p>
    <w:tbl>
      <w:tblPr>
        <w:tblStyle w:val="TableNormal"/>
        <w:tblW w:w="0" w:type="auto"/>
        <w:jc w:val="left"/>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67"/>
      </w:tblGrid>
      <w:tr>
        <w:tblPrEx>
          <w:tblW w:w="0" w:type="auto"/>
          <w:jc w:val="left"/>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7"/>
          <w:jc w:val="left"/>
        </w:trPr>
        <w:tc>
          <w:tcPr>
            <w:tcW w:w="8867" w:type="dxa"/>
          </w:tcPr>
          <w:p>
            <w:pPr>
              <w:pStyle w:val="TableParagraph"/>
              <w:spacing w:before="19" w:line="239" w:lineRule="exact"/>
              <w:ind w:left="112"/>
              <w:rPr>
                <w:rFonts w:ascii="Arial" w:hAnsi="Arial"/>
                <w:b/>
                <w:sz w:val="21"/>
              </w:rPr>
            </w:pPr>
            <w:bookmarkStart w:id="342" w:name="Initial June Bid Submission – Required f"/>
            <w:bookmarkEnd w:id="342"/>
            <w:r>
              <w:rPr>
                <w:rFonts w:ascii="Arial" w:hAnsi="Arial"/>
                <w:b/>
                <w:sz w:val="21"/>
              </w:rPr>
              <w:t>Initial</w:t>
            </w:r>
            <w:r>
              <w:rPr>
                <w:rFonts w:ascii="Arial" w:hAnsi="Arial"/>
                <w:b/>
                <w:spacing w:val="-7"/>
                <w:sz w:val="21"/>
              </w:rPr>
              <w:t xml:space="preserve"> </w:t>
            </w:r>
            <w:r>
              <w:rPr>
                <w:rFonts w:ascii="Arial" w:hAnsi="Arial"/>
                <w:b/>
                <w:sz w:val="21"/>
              </w:rPr>
              <w:t>June</w:t>
            </w:r>
            <w:r>
              <w:rPr>
                <w:rFonts w:ascii="Arial" w:hAnsi="Arial"/>
                <w:b/>
                <w:spacing w:val="-5"/>
                <w:sz w:val="21"/>
              </w:rPr>
              <w:t xml:space="preserve"> </w:t>
            </w:r>
            <w:r>
              <w:rPr>
                <w:rFonts w:ascii="Arial" w:hAnsi="Arial"/>
                <w:b/>
                <w:sz w:val="21"/>
              </w:rPr>
              <w:t>Bid</w:t>
            </w:r>
            <w:r>
              <w:rPr>
                <w:rFonts w:ascii="Arial" w:hAnsi="Arial"/>
                <w:b/>
                <w:spacing w:val="-5"/>
                <w:sz w:val="21"/>
              </w:rPr>
              <w:t xml:space="preserve"> </w:t>
            </w:r>
            <w:r>
              <w:rPr>
                <w:rFonts w:ascii="Arial" w:hAnsi="Arial"/>
                <w:b/>
                <w:sz w:val="21"/>
              </w:rPr>
              <w:t>Submission</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Required</w:t>
            </w:r>
            <w:r>
              <w:rPr>
                <w:rFonts w:ascii="Arial" w:hAnsi="Arial"/>
                <w:b/>
                <w:spacing w:val="-6"/>
                <w:sz w:val="21"/>
              </w:rPr>
              <w:t xml:space="preserve"> </w:t>
            </w:r>
            <w:r>
              <w:rPr>
                <w:rFonts w:ascii="Arial" w:hAnsi="Arial"/>
                <w:b/>
                <w:sz w:val="21"/>
              </w:rPr>
              <w:t>for</w:t>
            </w:r>
            <w:r>
              <w:rPr>
                <w:rFonts w:ascii="Arial" w:hAnsi="Arial"/>
                <w:b/>
                <w:spacing w:val="-8"/>
                <w:sz w:val="21"/>
              </w:rPr>
              <w:t xml:space="preserve"> </w:t>
            </w:r>
            <w:r>
              <w:rPr>
                <w:rFonts w:ascii="Arial" w:hAnsi="Arial"/>
                <w:b/>
                <w:sz w:val="21"/>
              </w:rPr>
              <w:t>All</w:t>
            </w:r>
            <w:r>
              <w:rPr>
                <w:rFonts w:ascii="Arial" w:hAnsi="Arial"/>
                <w:b/>
                <w:spacing w:val="-6"/>
                <w:sz w:val="21"/>
              </w:rPr>
              <w:t xml:space="preserve"> </w:t>
            </w:r>
            <w:r>
              <w:rPr>
                <w:rFonts w:ascii="Arial" w:hAnsi="Arial"/>
                <w:b/>
                <w:spacing w:val="-4"/>
                <w:sz w:val="21"/>
              </w:rPr>
              <w:t>Bids</w:t>
            </w:r>
          </w:p>
        </w:tc>
      </w:tr>
      <w:tr>
        <w:tblPrEx>
          <w:tblW w:w="0" w:type="auto"/>
          <w:jc w:val="left"/>
          <w:tblInd w:w="396" w:type="dxa"/>
          <w:tblLayout w:type="fixed"/>
          <w:tblCellMar>
            <w:top w:w="0" w:type="dxa"/>
            <w:left w:w="0" w:type="dxa"/>
            <w:bottom w:w="0" w:type="dxa"/>
            <w:right w:w="0" w:type="dxa"/>
          </w:tblCellMar>
          <w:tblLook w:val="01E0"/>
        </w:tblPrEx>
        <w:trPr>
          <w:trHeight w:val="294"/>
          <w:jc w:val="left"/>
        </w:trPr>
        <w:tc>
          <w:tcPr>
            <w:tcW w:w="8867" w:type="dxa"/>
          </w:tcPr>
          <w:p>
            <w:pPr>
              <w:pStyle w:val="TableParagraph"/>
              <w:spacing w:before="22" w:line="252" w:lineRule="exact"/>
              <w:ind w:left="167"/>
              <w:rPr>
                <w:sz w:val="22"/>
              </w:rPr>
            </w:pPr>
            <w:r>
              <w:rPr>
                <w:sz w:val="22"/>
              </w:rPr>
              <w:t>1</w:t>
            </w:r>
            <w:r>
              <w:rPr>
                <w:spacing w:val="-1"/>
                <w:sz w:val="22"/>
              </w:rPr>
              <w:t xml:space="preserve"> </w:t>
            </w:r>
            <w:r>
              <w:rPr>
                <w:sz w:val="22"/>
              </w:rPr>
              <w:t>Cover</w:t>
            </w:r>
            <w:r>
              <w:rPr>
                <w:spacing w:val="-2"/>
                <w:sz w:val="22"/>
              </w:rPr>
              <w:t xml:space="preserve"> sheet</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67"/>
              <w:rPr>
                <w:sz w:val="22"/>
              </w:rPr>
            </w:pPr>
            <w:r>
              <w:rPr>
                <w:sz w:val="22"/>
              </w:rPr>
              <w:t>2</w:t>
            </w:r>
            <w:r>
              <w:rPr>
                <w:spacing w:val="-1"/>
                <w:sz w:val="22"/>
              </w:rPr>
              <w:t xml:space="preserve"> </w:t>
            </w:r>
            <w:r>
              <w:rPr>
                <w:sz w:val="22"/>
              </w:rPr>
              <w:t xml:space="preserve">Product </w:t>
            </w:r>
            <w:r>
              <w:rPr>
                <w:spacing w:val="-2"/>
                <w:sz w:val="22"/>
              </w:rPr>
              <w:t>narrative</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67"/>
              <w:rPr>
                <w:sz w:val="22"/>
              </w:rPr>
            </w:pPr>
            <w:r>
              <w:rPr>
                <w:sz w:val="22"/>
              </w:rPr>
              <w:t>3</w:t>
            </w:r>
            <w:r>
              <w:rPr>
                <w:spacing w:val="-4"/>
                <w:sz w:val="22"/>
              </w:rPr>
              <w:t xml:space="preserve"> </w:t>
            </w:r>
            <w:r>
              <w:rPr>
                <w:sz w:val="22"/>
              </w:rPr>
              <w:t>Related-party</w:t>
            </w:r>
            <w:r>
              <w:rPr>
                <w:spacing w:val="-4"/>
                <w:sz w:val="22"/>
              </w:rPr>
              <w:t xml:space="preserve"> </w:t>
            </w:r>
            <w:r>
              <w:rPr>
                <w:spacing w:val="-2"/>
                <w:sz w:val="22"/>
              </w:rPr>
              <w:t>declaration</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67"/>
              <w:rPr>
                <w:sz w:val="22"/>
              </w:rPr>
            </w:pPr>
            <w:r>
              <w:rPr>
                <w:sz w:val="22"/>
              </w:rPr>
              <w:t xml:space="preserve">4 </w:t>
            </w:r>
            <w:r>
              <w:rPr>
                <w:spacing w:val="-2"/>
                <w:sz w:val="22"/>
              </w:rPr>
              <w:t>Sequestration</w:t>
            </w:r>
          </w:p>
        </w:tc>
      </w:tr>
      <w:tr>
        <w:tblPrEx>
          <w:tblW w:w="0" w:type="auto"/>
          <w:jc w:val="left"/>
          <w:tblInd w:w="396" w:type="dxa"/>
          <w:tblLayout w:type="fixed"/>
          <w:tblCellMar>
            <w:top w:w="0" w:type="dxa"/>
            <w:left w:w="0" w:type="dxa"/>
            <w:bottom w:w="0" w:type="dxa"/>
            <w:right w:w="0" w:type="dxa"/>
          </w:tblCellMar>
          <w:tblLook w:val="01E0"/>
        </w:tblPrEx>
        <w:trPr>
          <w:trHeight w:val="294"/>
          <w:jc w:val="left"/>
        </w:trPr>
        <w:tc>
          <w:tcPr>
            <w:tcW w:w="8867" w:type="dxa"/>
          </w:tcPr>
          <w:p>
            <w:pPr>
              <w:pStyle w:val="TableParagraph"/>
              <w:spacing w:before="22" w:line="252" w:lineRule="exact"/>
              <w:ind w:left="167"/>
              <w:rPr>
                <w:sz w:val="22"/>
              </w:rPr>
            </w:pPr>
            <w:r>
              <w:rPr>
                <w:sz w:val="22"/>
              </w:rPr>
              <w:t>5</w:t>
            </w:r>
            <w:r>
              <w:rPr>
                <w:spacing w:val="-5"/>
                <w:sz w:val="22"/>
              </w:rPr>
              <w:t xml:space="preserve"> </w:t>
            </w:r>
            <w:r>
              <w:rPr>
                <w:sz w:val="22"/>
              </w:rPr>
              <w:t>Claims</w:t>
            </w:r>
            <w:r>
              <w:rPr>
                <w:spacing w:val="-4"/>
                <w:sz w:val="22"/>
              </w:rPr>
              <w:t xml:space="preserve"> </w:t>
            </w:r>
            <w:r>
              <w:rPr>
                <w:sz w:val="22"/>
              </w:rPr>
              <w:t>credibility</w:t>
            </w:r>
            <w:r>
              <w:rPr>
                <w:spacing w:val="-4"/>
                <w:sz w:val="22"/>
              </w:rPr>
              <w:t xml:space="preserve"> </w:t>
            </w:r>
            <w:r>
              <w:rPr>
                <w:spacing w:val="-2"/>
                <w:sz w:val="22"/>
              </w:rPr>
              <w:t>assumption</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67"/>
              <w:rPr>
                <w:sz w:val="22"/>
              </w:rPr>
            </w:pPr>
            <w:r>
              <w:rPr>
                <w:sz w:val="22"/>
              </w:rPr>
              <w:t>6</w:t>
            </w:r>
            <w:r>
              <w:rPr>
                <w:spacing w:val="-5"/>
                <w:sz w:val="22"/>
              </w:rPr>
              <w:t xml:space="preserve"> </w:t>
            </w:r>
            <w:r>
              <w:rPr>
                <w:sz w:val="22"/>
              </w:rPr>
              <w:t>Adjustment</w:t>
            </w:r>
            <w:r>
              <w:rPr>
                <w:spacing w:val="-3"/>
                <w:sz w:val="22"/>
              </w:rPr>
              <w:t xml:space="preserve"> </w:t>
            </w:r>
            <w:r>
              <w:rPr>
                <w:sz w:val="22"/>
              </w:rPr>
              <w:t>to</w:t>
            </w:r>
            <w:r>
              <w:rPr>
                <w:spacing w:val="-7"/>
                <w:sz w:val="22"/>
              </w:rPr>
              <w:t xml:space="preserve"> </w:t>
            </w:r>
            <w:r>
              <w:rPr>
                <w:sz w:val="22"/>
              </w:rPr>
              <w:t>cost</w:t>
            </w:r>
            <w:r>
              <w:rPr>
                <w:spacing w:val="-3"/>
                <w:sz w:val="22"/>
              </w:rPr>
              <w:t xml:space="preserve"> </w:t>
            </w:r>
            <w:r>
              <w:rPr>
                <w:sz w:val="22"/>
              </w:rPr>
              <w:t>sharing</w:t>
            </w:r>
            <w:r>
              <w:rPr>
                <w:spacing w:val="-5"/>
                <w:sz w:val="22"/>
              </w:rPr>
              <w:t xml:space="preserve"> </w:t>
            </w:r>
            <w:r>
              <w:rPr>
                <w:sz w:val="22"/>
              </w:rPr>
              <w:t>for</w:t>
            </w:r>
            <w:r>
              <w:rPr>
                <w:spacing w:val="-2"/>
                <w:sz w:val="22"/>
              </w:rPr>
              <w:t xml:space="preserve"> </w:t>
            </w:r>
            <w:r>
              <w:rPr>
                <w:sz w:val="22"/>
              </w:rPr>
              <w:t>maximum</w:t>
            </w:r>
            <w:r>
              <w:rPr>
                <w:spacing w:val="-3"/>
                <w:sz w:val="22"/>
              </w:rPr>
              <w:t xml:space="preserve"> </w:t>
            </w:r>
            <w:r>
              <w:rPr>
                <w:sz w:val="22"/>
              </w:rPr>
              <w:t>OOP</w:t>
            </w:r>
            <w:r>
              <w:rPr>
                <w:spacing w:val="-5"/>
                <w:sz w:val="22"/>
              </w:rPr>
              <w:t xml:space="preserve"> </w:t>
            </w:r>
            <w:r>
              <w:rPr>
                <w:spacing w:val="-4"/>
                <w:sz w:val="22"/>
              </w:rPr>
              <w:t>limit</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67"/>
              <w:rPr>
                <w:sz w:val="22"/>
              </w:rPr>
            </w:pPr>
            <w:r>
              <w:rPr>
                <w:sz w:val="22"/>
              </w:rPr>
              <w:t>7</w:t>
            </w:r>
            <w:r>
              <w:rPr>
                <w:spacing w:val="-4"/>
                <w:sz w:val="22"/>
              </w:rPr>
              <w:t xml:space="preserve"> </w:t>
            </w:r>
            <w:r>
              <w:rPr>
                <w:sz w:val="22"/>
              </w:rPr>
              <w:t>Non-benefit</w:t>
            </w:r>
            <w:r>
              <w:rPr>
                <w:spacing w:val="-5"/>
                <w:sz w:val="22"/>
              </w:rPr>
              <w:t xml:space="preserve"> </w:t>
            </w:r>
            <w:r>
              <w:rPr>
                <w:spacing w:val="-2"/>
                <w:sz w:val="22"/>
              </w:rPr>
              <w:t>expenses</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67"/>
              <w:rPr>
                <w:sz w:val="22"/>
              </w:rPr>
            </w:pPr>
            <w:r>
              <w:rPr>
                <w:sz w:val="22"/>
              </w:rPr>
              <w:t>8</w:t>
            </w:r>
            <w:r>
              <w:rPr>
                <w:spacing w:val="-5"/>
                <w:sz w:val="22"/>
              </w:rPr>
              <w:t xml:space="preserve"> </w:t>
            </w:r>
            <w:r>
              <w:rPr>
                <w:sz w:val="22"/>
              </w:rPr>
              <w:t>Gain/loss</w:t>
            </w:r>
            <w:r>
              <w:rPr>
                <w:spacing w:val="-5"/>
                <w:sz w:val="22"/>
              </w:rPr>
              <w:t xml:space="preserve"> </w:t>
            </w:r>
            <w:r>
              <w:rPr>
                <w:spacing w:val="-2"/>
                <w:sz w:val="22"/>
              </w:rPr>
              <w:t>margin</w:t>
            </w:r>
          </w:p>
        </w:tc>
      </w:tr>
      <w:tr>
        <w:tblPrEx>
          <w:tblW w:w="0" w:type="auto"/>
          <w:jc w:val="left"/>
          <w:tblInd w:w="396" w:type="dxa"/>
          <w:tblLayout w:type="fixed"/>
          <w:tblCellMar>
            <w:top w:w="0" w:type="dxa"/>
            <w:left w:w="0" w:type="dxa"/>
            <w:bottom w:w="0" w:type="dxa"/>
            <w:right w:w="0" w:type="dxa"/>
          </w:tblCellMar>
          <w:tblLook w:val="01E0"/>
        </w:tblPrEx>
        <w:trPr>
          <w:trHeight w:val="295"/>
          <w:jc w:val="left"/>
        </w:trPr>
        <w:tc>
          <w:tcPr>
            <w:tcW w:w="8867" w:type="dxa"/>
          </w:tcPr>
          <w:p>
            <w:pPr>
              <w:pStyle w:val="TableParagraph"/>
              <w:spacing w:before="20"/>
              <w:ind w:left="167"/>
              <w:rPr>
                <w:sz w:val="22"/>
              </w:rPr>
            </w:pPr>
            <w:r>
              <w:rPr>
                <w:sz w:val="22"/>
              </w:rPr>
              <w:t>9</w:t>
            </w:r>
            <w:r>
              <w:rPr>
                <w:spacing w:val="-3"/>
                <w:sz w:val="22"/>
              </w:rPr>
              <w:t xml:space="preserve"> </w:t>
            </w:r>
            <w:r>
              <w:rPr>
                <w:sz w:val="22"/>
              </w:rPr>
              <w:t>Projected</w:t>
            </w:r>
            <w:r>
              <w:rPr>
                <w:spacing w:val="-3"/>
                <w:sz w:val="22"/>
              </w:rPr>
              <w:t xml:space="preserve"> </w:t>
            </w:r>
            <w:r>
              <w:rPr>
                <w:sz w:val="22"/>
              </w:rPr>
              <w:t>risk</w:t>
            </w:r>
            <w:r>
              <w:rPr>
                <w:spacing w:val="-2"/>
                <w:sz w:val="22"/>
              </w:rPr>
              <w:t xml:space="preserve"> scores</w:t>
            </w:r>
          </w:p>
        </w:tc>
      </w:tr>
    </w:tbl>
    <w:p>
      <w:pPr>
        <w:pStyle w:val="BodyText"/>
        <w:ind w:left="0"/>
        <w:rPr>
          <w:rFonts w:ascii="Arial"/>
          <w:b/>
          <w:sz w:val="20"/>
        </w:rPr>
      </w:pPr>
    </w:p>
    <w:p>
      <w:pPr>
        <w:pStyle w:val="BodyText"/>
        <w:spacing w:before="63"/>
        <w:ind w:left="0"/>
        <w:rPr>
          <w:rFonts w:ascii="Arial"/>
          <w:b/>
          <w:sz w:val="20"/>
        </w:rPr>
      </w:pPr>
    </w:p>
    <w:tbl>
      <w:tblPr>
        <w:tblStyle w:val="TableNormal"/>
        <w:tblW w:w="0" w:type="auto"/>
        <w:jc w:val="left"/>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67"/>
      </w:tblGrid>
      <w:tr>
        <w:tblPrEx>
          <w:tblW w:w="0" w:type="auto"/>
          <w:jc w:val="left"/>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7"/>
          <w:jc w:val="left"/>
        </w:trPr>
        <w:tc>
          <w:tcPr>
            <w:tcW w:w="8867" w:type="dxa"/>
          </w:tcPr>
          <w:p>
            <w:pPr>
              <w:pStyle w:val="TableParagraph"/>
              <w:spacing w:before="19" w:line="239" w:lineRule="exact"/>
              <w:ind w:left="112"/>
              <w:rPr>
                <w:rFonts w:ascii="Arial" w:hAnsi="Arial"/>
                <w:b/>
                <w:sz w:val="21"/>
              </w:rPr>
            </w:pPr>
            <w:r>
              <w:rPr>
                <w:rFonts w:ascii="Arial" w:hAnsi="Arial"/>
                <w:b/>
                <w:sz w:val="21"/>
              </w:rPr>
              <w:t>Initial</w:t>
            </w:r>
            <w:r>
              <w:rPr>
                <w:rFonts w:ascii="Arial" w:hAnsi="Arial"/>
                <w:b/>
                <w:spacing w:val="-9"/>
                <w:sz w:val="21"/>
              </w:rPr>
              <w:t xml:space="preserve"> </w:t>
            </w:r>
            <w:r>
              <w:rPr>
                <w:rFonts w:ascii="Arial" w:hAnsi="Arial"/>
                <w:b/>
                <w:sz w:val="21"/>
              </w:rPr>
              <w:t>June</w:t>
            </w:r>
            <w:r>
              <w:rPr>
                <w:rFonts w:ascii="Arial" w:hAnsi="Arial"/>
                <w:b/>
                <w:spacing w:val="-5"/>
                <w:sz w:val="21"/>
              </w:rPr>
              <w:t xml:space="preserve"> </w:t>
            </w:r>
            <w:r>
              <w:rPr>
                <w:rFonts w:ascii="Arial" w:hAnsi="Arial"/>
                <w:b/>
                <w:sz w:val="21"/>
              </w:rPr>
              <w:t>Bid</w:t>
            </w:r>
            <w:r>
              <w:rPr>
                <w:rFonts w:ascii="Arial" w:hAnsi="Arial"/>
                <w:b/>
                <w:spacing w:val="-4"/>
                <w:sz w:val="21"/>
              </w:rPr>
              <w:t xml:space="preserve"> </w:t>
            </w:r>
            <w:r>
              <w:rPr>
                <w:rFonts w:ascii="Arial" w:hAnsi="Arial"/>
                <w:b/>
                <w:sz w:val="21"/>
              </w:rPr>
              <w:t>Submission</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Required</w:t>
            </w:r>
            <w:r>
              <w:rPr>
                <w:rFonts w:ascii="Arial" w:hAnsi="Arial"/>
                <w:b/>
                <w:spacing w:val="-6"/>
                <w:sz w:val="21"/>
              </w:rPr>
              <w:t xml:space="preserve"> </w:t>
            </w:r>
            <w:r>
              <w:rPr>
                <w:rFonts w:ascii="Arial" w:hAnsi="Arial"/>
                <w:b/>
                <w:sz w:val="21"/>
              </w:rPr>
              <w:t>for</w:t>
            </w:r>
            <w:r>
              <w:rPr>
                <w:rFonts w:ascii="Arial" w:hAnsi="Arial"/>
                <w:b/>
                <w:spacing w:val="-8"/>
                <w:sz w:val="21"/>
              </w:rPr>
              <w:t xml:space="preserve"> </w:t>
            </w:r>
            <w:r>
              <w:rPr>
                <w:rFonts w:ascii="Arial" w:hAnsi="Arial"/>
                <w:b/>
                <w:sz w:val="21"/>
              </w:rPr>
              <w:t>All</w:t>
            </w:r>
            <w:r>
              <w:rPr>
                <w:rFonts w:ascii="Arial" w:hAnsi="Arial"/>
                <w:b/>
                <w:spacing w:val="-6"/>
                <w:sz w:val="21"/>
              </w:rPr>
              <w:t xml:space="preserve"> </w:t>
            </w:r>
            <w:r>
              <w:rPr>
                <w:rFonts w:ascii="Arial" w:hAnsi="Arial"/>
                <w:b/>
                <w:sz w:val="21"/>
              </w:rPr>
              <w:t>Bids</w:t>
            </w:r>
            <w:r>
              <w:rPr>
                <w:rFonts w:ascii="Arial" w:hAnsi="Arial"/>
                <w:b/>
                <w:spacing w:val="-7"/>
                <w:sz w:val="21"/>
              </w:rPr>
              <w:t xml:space="preserve"> </w:t>
            </w:r>
            <w:r>
              <w:rPr>
                <w:rFonts w:ascii="Arial" w:hAnsi="Arial"/>
                <w:b/>
                <w:sz w:val="21"/>
              </w:rPr>
              <w:t>with</w:t>
            </w:r>
            <w:r>
              <w:rPr>
                <w:rFonts w:ascii="Arial" w:hAnsi="Arial"/>
                <w:b/>
                <w:spacing w:val="-4"/>
                <w:sz w:val="21"/>
              </w:rPr>
              <w:t xml:space="preserve"> </w:t>
            </w:r>
            <w:r>
              <w:rPr>
                <w:rFonts w:ascii="Arial" w:hAnsi="Arial"/>
                <w:b/>
                <w:sz w:val="21"/>
              </w:rPr>
              <w:t>Specified</w:t>
            </w:r>
            <w:r>
              <w:rPr>
                <w:rFonts w:ascii="Arial" w:hAnsi="Arial"/>
                <w:b/>
                <w:spacing w:val="-7"/>
                <w:sz w:val="21"/>
              </w:rPr>
              <w:t xml:space="preserve"> </w:t>
            </w:r>
            <w:r>
              <w:rPr>
                <w:rFonts w:ascii="Arial" w:hAnsi="Arial"/>
                <w:b/>
                <w:spacing w:val="-2"/>
                <w:sz w:val="21"/>
              </w:rPr>
              <w:t>Assumptions</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10</w:t>
            </w:r>
            <w:r>
              <w:rPr>
                <w:spacing w:val="-4"/>
                <w:sz w:val="22"/>
              </w:rPr>
              <w:t xml:space="preserve"> </w:t>
            </w:r>
            <w:r>
              <w:rPr>
                <w:sz w:val="22"/>
              </w:rPr>
              <w:t>Base</w:t>
            </w:r>
            <w:r>
              <w:rPr>
                <w:spacing w:val="-2"/>
                <w:sz w:val="22"/>
              </w:rPr>
              <w:t xml:space="preserve"> </w:t>
            </w:r>
            <w:r>
              <w:rPr>
                <w:sz w:val="22"/>
              </w:rPr>
              <w:t>period</w:t>
            </w:r>
            <w:r>
              <w:rPr>
                <w:spacing w:val="-2"/>
                <w:sz w:val="22"/>
              </w:rPr>
              <w:t xml:space="preserve"> </w:t>
            </w:r>
            <w:r>
              <w:rPr>
                <w:spacing w:val="-4"/>
                <w:sz w:val="22"/>
              </w:rPr>
              <w:t>data</w:t>
            </w:r>
          </w:p>
        </w:tc>
      </w:tr>
      <w:tr>
        <w:tblPrEx>
          <w:tblW w:w="0" w:type="auto"/>
          <w:jc w:val="left"/>
          <w:tblInd w:w="396" w:type="dxa"/>
          <w:tblLayout w:type="fixed"/>
          <w:tblCellMar>
            <w:top w:w="0" w:type="dxa"/>
            <w:left w:w="0" w:type="dxa"/>
            <w:bottom w:w="0" w:type="dxa"/>
            <w:right w:w="0" w:type="dxa"/>
          </w:tblCellMar>
          <w:tblLook w:val="01E0"/>
        </w:tblPrEx>
        <w:trPr>
          <w:trHeight w:val="294"/>
          <w:jc w:val="left"/>
        </w:trPr>
        <w:tc>
          <w:tcPr>
            <w:tcW w:w="8867" w:type="dxa"/>
          </w:tcPr>
          <w:p>
            <w:pPr>
              <w:pStyle w:val="TableParagraph"/>
              <w:spacing w:before="22" w:line="252" w:lineRule="exact"/>
              <w:ind w:left="112"/>
              <w:rPr>
                <w:sz w:val="22"/>
              </w:rPr>
            </w:pPr>
            <w:r>
              <w:rPr>
                <w:sz w:val="22"/>
              </w:rPr>
              <w:t>11</w:t>
            </w:r>
            <w:r>
              <w:rPr>
                <w:spacing w:val="-4"/>
                <w:sz w:val="22"/>
              </w:rPr>
              <w:t xml:space="preserve"> </w:t>
            </w:r>
            <w:r>
              <w:rPr>
                <w:sz w:val="22"/>
              </w:rPr>
              <w:t>Projection</w:t>
            </w:r>
            <w:r>
              <w:rPr>
                <w:spacing w:val="-3"/>
                <w:sz w:val="22"/>
              </w:rPr>
              <w:t xml:space="preserve"> </w:t>
            </w:r>
            <w:r>
              <w:rPr>
                <w:spacing w:val="-2"/>
                <w:sz w:val="22"/>
              </w:rPr>
              <w:t>factors</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12</w:t>
            </w:r>
            <w:r>
              <w:rPr>
                <w:spacing w:val="-2"/>
                <w:sz w:val="22"/>
              </w:rPr>
              <w:t xml:space="preserve"> </w:t>
            </w:r>
            <w:r>
              <w:rPr>
                <w:sz w:val="22"/>
              </w:rPr>
              <w:t>Manual</w:t>
            </w:r>
            <w:r>
              <w:rPr>
                <w:spacing w:val="-3"/>
                <w:sz w:val="22"/>
              </w:rPr>
              <w:t xml:space="preserve"> </w:t>
            </w:r>
            <w:r>
              <w:rPr>
                <w:spacing w:val="-2"/>
                <w:sz w:val="22"/>
              </w:rPr>
              <w:t>rates</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13</w:t>
            </w:r>
            <w:r>
              <w:rPr>
                <w:spacing w:val="-4"/>
                <w:sz w:val="22"/>
              </w:rPr>
              <w:t xml:space="preserve"> </w:t>
            </w:r>
            <w:r>
              <w:rPr>
                <w:sz w:val="22"/>
              </w:rPr>
              <w:t>Related-party</w:t>
            </w:r>
            <w:r>
              <w:rPr>
                <w:spacing w:val="-4"/>
                <w:sz w:val="22"/>
              </w:rPr>
              <w:t xml:space="preserve"> </w:t>
            </w:r>
            <w:r>
              <w:rPr>
                <w:spacing w:val="-2"/>
                <w:sz w:val="22"/>
              </w:rPr>
              <w:t>arrangements</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14</w:t>
            </w:r>
            <w:r>
              <w:rPr>
                <w:spacing w:val="-4"/>
                <w:sz w:val="22"/>
              </w:rPr>
              <w:t xml:space="preserve"> </w:t>
            </w:r>
            <w:r>
              <w:rPr>
                <w:sz w:val="22"/>
              </w:rPr>
              <w:t>Input</w:t>
            </w:r>
            <w:r>
              <w:rPr>
                <w:spacing w:val="-2"/>
                <w:sz w:val="22"/>
              </w:rPr>
              <w:t xml:space="preserve"> </w:t>
            </w:r>
            <w:r>
              <w:rPr>
                <w:sz w:val="22"/>
              </w:rPr>
              <w:t>sheets</w:t>
            </w:r>
            <w:r>
              <w:rPr>
                <w:spacing w:val="-3"/>
                <w:sz w:val="22"/>
              </w:rPr>
              <w:t xml:space="preserve"> </w:t>
            </w:r>
            <w:r>
              <w:rPr>
                <w:sz w:val="22"/>
              </w:rPr>
              <w:t>for</w:t>
            </w:r>
            <w:r>
              <w:rPr>
                <w:spacing w:val="-3"/>
                <w:sz w:val="22"/>
              </w:rPr>
              <w:t xml:space="preserve"> </w:t>
            </w:r>
            <w:r>
              <w:rPr>
                <w:sz w:val="22"/>
              </w:rPr>
              <w:t>pricing</w:t>
            </w:r>
            <w:r>
              <w:rPr>
                <w:spacing w:val="-5"/>
                <w:sz w:val="22"/>
              </w:rPr>
              <w:t xml:space="preserve"> </w:t>
            </w:r>
            <w:r>
              <w:rPr>
                <w:spacing w:val="-2"/>
                <w:sz w:val="22"/>
              </w:rPr>
              <w:t>model</w:t>
            </w:r>
          </w:p>
        </w:tc>
      </w:tr>
      <w:tr>
        <w:tblPrEx>
          <w:tblW w:w="0" w:type="auto"/>
          <w:jc w:val="left"/>
          <w:tblInd w:w="396" w:type="dxa"/>
          <w:tblLayout w:type="fixed"/>
          <w:tblCellMar>
            <w:top w:w="0" w:type="dxa"/>
            <w:left w:w="0" w:type="dxa"/>
            <w:bottom w:w="0" w:type="dxa"/>
            <w:right w:w="0" w:type="dxa"/>
          </w:tblCellMar>
          <w:tblLook w:val="01E0"/>
        </w:tblPrEx>
        <w:trPr>
          <w:trHeight w:val="294"/>
          <w:jc w:val="left"/>
        </w:trPr>
        <w:tc>
          <w:tcPr>
            <w:tcW w:w="8867" w:type="dxa"/>
          </w:tcPr>
          <w:p>
            <w:pPr>
              <w:pStyle w:val="TableParagraph"/>
              <w:spacing w:before="22" w:line="252" w:lineRule="exact"/>
              <w:ind w:left="112"/>
              <w:rPr>
                <w:sz w:val="22"/>
              </w:rPr>
            </w:pPr>
            <w:r>
              <w:rPr>
                <w:sz w:val="22"/>
              </w:rPr>
              <w:t>15</w:t>
            </w:r>
            <w:r>
              <w:rPr>
                <w:spacing w:val="-3"/>
                <w:sz w:val="22"/>
              </w:rPr>
              <w:t xml:space="preserve"> </w:t>
            </w:r>
            <w:r>
              <w:rPr>
                <w:sz w:val="22"/>
              </w:rPr>
              <w:t>Bid</w:t>
            </w:r>
            <w:r>
              <w:rPr>
                <w:spacing w:val="-3"/>
                <w:sz w:val="22"/>
              </w:rPr>
              <w:t xml:space="preserve"> </w:t>
            </w:r>
            <w:r>
              <w:rPr>
                <w:sz w:val="22"/>
              </w:rPr>
              <w:t>audit</w:t>
            </w:r>
            <w:r>
              <w:rPr>
                <w:spacing w:val="-2"/>
                <w:sz w:val="22"/>
              </w:rPr>
              <w:t xml:space="preserve"> </w:t>
            </w:r>
            <w:r>
              <w:rPr>
                <w:sz w:val="22"/>
              </w:rPr>
              <w:t>results</w:t>
            </w:r>
            <w:r>
              <w:rPr>
                <w:spacing w:val="-5"/>
                <w:sz w:val="22"/>
              </w:rPr>
              <w:t xml:space="preserve"> </w:t>
            </w:r>
            <w:r>
              <w:rPr>
                <w:sz w:val="22"/>
              </w:rPr>
              <w:t>and</w:t>
            </w:r>
            <w:r>
              <w:rPr>
                <w:spacing w:val="-5"/>
                <w:sz w:val="22"/>
              </w:rPr>
              <w:t xml:space="preserve"> </w:t>
            </w:r>
            <w:r>
              <w:rPr>
                <w:sz w:val="22"/>
              </w:rPr>
              <w:t>compliance</w:t>
            </w:r>
            <w:r>
              <w:rPr>
                <w:spacing w:val="-4"/>
                <w:sz w:val="22"/>
              </w:rPr>
              <w:t xml:space="preserve"> </w:t>
            </w:r>
            <w:r>
              <w:rPr>
                <w:spacing w:val="-2"/>
                <w:sz w:val="22"/>
              </w:rPr>
              <w:t>issues</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16</w:t>
            </w:r>
            <w:r>
              <w:rPr>
                <w:spacing w:val="-3"/>
                <w:sz w:val="22"/>
              </w:rPr>
              <w:t xml:space="preserve"> </w:t>
            </w:r>
            <w:r>
              <w:rPr>
                <w:sz w:val="22"/>
              </w:rPr>
              <w:t>Reliance</w:t>
            </w:r>
            <w:r>
              <w:rPr>
                <w:spacing w:val="-2"/>
                <w:sz w:val="22"/>
              </w:rPr>
              <w:t xml:space="preserve"> information</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3" w:line="250" w:lineRule="exact"/>
              <w:ind w:left="112"/>
              <w:rPr>
                <w:sz w:val="22"/>
              </w:rPr>
            </w:pPr>
            <w:r>
              <w:rPr>
                <w:sz w:val="22"/>
              </w:rPr>
              <w:t>17</w:t>
            </w:r>
            <w:r>
              <w:rPr>
                <w:spacing w:val="-3"/>
                <w:sz w:val="22"/>
              </w:rPr>
              <w:t xml:space="preserve"> </w:t>
            </w:r>
            <w:r>
              <w:rPr>
                <w:sz w:val="22"/>
              </w:rPr>
              <w:t xml:space="preserve">Not </w:t>
            </w:r>
            <w:r>
              <w:rPr>
                <w:spacing w:val="-2"/>
                <w:sz w:val="22"/>
              </w:rPr>
              <w:t>applicable</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18</w:t>
            </w:r>
            <w:r>
              <w:rPr>
                <w:spacing w:val="-3"/>
                <w:sz w:val="22"/>
              </w:rPr>
              <w:t xml:space="preserve"> </w:t>
            </w:r>
            <w:r>
              <w:rPr>
                <w:sz w:val="22"/>
              </w:rPr>
              <w:t>DE#</w:t>
            </w:r>
            <w:r>
              <w:rPr>
                <w:spacing w:val="-3"/>
                <w:sz w:val="22"/>
              </w:rPr>
              <w:t xml:space="preserve"> </w:t>
            </w:r>
            <w:r>
              <w:rPr>
                <w:sz w:val="22"/>
              </w:rPr>
              <w:t>and</w:t>
            </w:r>
            <w:r>
              <w:rPr>
                <w:spacing w:val="-2"/>
                <w:sz w:val="22"/>
              </w:rPr>
              <w:t xml:space="preserve"> </w:t>
            </w:r>
            <w:r>
              <w:rPr>
                <w:sz w:val="22"/>
              </w:rPr>
              <w:t>non-</w:t>
            </w:r>
            <w:r>
              <w:rPr>
                <w:spacing w:val="-5"/>
                <w:sz w:val="22"/>
              </w:rPr>
              <w:t>DE#</w:t>
            </w:r>
          </w:p>
        </w:tc>
      </w:tr>
      <w:tr>
        <w:tblPrEx>
          <w:tblW w:w="0" w:type="auto"/>
          <w:jc w:val="left"/>
          <w:tblInd w:w="396" w:type="dxa"/>
          <w:tblLayout w:type="fixed"/>
          <w:tblCellMar>
            <w:top w:w="0" w:type="dxa"/>
            <w:left w:w="0" w:type="dxa"/>
            <w:bottom w:w="0" w:type="dxa"/>
            <w:right w:w="0" w:type="dxa"/>
          </w:tblCellMar>
          <w:tblLook w:val="01E0"/>
        </w:tblPrEx>
        <w:trPr>
          <w:trHeight w:val="294"/>
          <w:jc w:val="left"/>
        </w:trPr>
        <w:tc>
          <w:tcPr>
            <w:tcW w:w="8867" w:type="dxa"/>
          </w:tcPr>
          <w:p>
            <w:pPr>
              <w:pStyle w:val="TableParagraph"/>
              <w:spacing w:before="22" w:line="252" w:lineRule="exact"/>
              <w:ind w:left="112"/>
              <w:rPr>
                <w:sz w:val="22"/>
              </w:rPr>
            </w:pPr>
            <w:r>
              <w:rPr>
                <w:sz w:val="22"/>
              </w:rPr>
              <w:t>19</w:t>
            </w:r>
            <w:r>
              <w:rPr>
                <w:spacing w:val="-5"/>
                <w:sz w:val="22"/>
              </w:rPr>
              <w:t xml:space="preserve"> </w:t>
            </w:r>
            <w:r>
              <w:rPr>
                <w:sz w:val="22"/>
              </w:rPr>
              <w:t>Hospice</w:t>
            </w:r>
            <w:r>
              <w:rPr>
                <w:spacing w:val="-4"/>
                <w:sz w:val="22"/>
              </w:rPr>
              <w:t xml:space="preserve"> </w:t>
            </w:r>
            <w:r>
              <w:rPr>
                <w:sz w:val="22"/>
              </w:rPr>
              <w:t>claims</w:t>
            </w:r>
            <w:r>
              <w:rPr>
                <w:spacing w:val="-4"/>
                <w:sz w:val="22"/>
              </w:rPr>
              <w:t xml:space="preserve"> </w:t>
            </w:r>
            <w:r>
              <w:rPr>
                <w:sz w:val="22"/>
              </w:rPr>
              <w:t>costs</w:t>
            </w:r>
            <w:r>
              <w:rPr>
                <w:spacing w:val="-4"/>
                <w:sz w:val="22"/>
              </w:rPr>
              <w:t xml:space="preserve"> </w:t>
            </w:r>
            <w:r>
              <w:rPr>
                <w:sz w:val="22"/>
              </w:rPr>
              <w:t>for</w:t>
            </w:r>
            <w:r>
              <w:rPr>
                <w:spacing w:val="-5"/>
                <w:sz w:val="22"/>
              </w:rPr>
              <w:t xml:space="preserve"> </w:t>
            </w:r>
            <w:r>
              <w:rPr>
                <w:sz w:val="22"/>
              </w:rPr>
              <w:t>mandatory</w:t>
            </w:r>
            <w:r>
              <w:rPr>
                <w:spacing w:val="-4"/>
                <w:sz w:val="22"/>
              </w:rPr>
              <w:t xml:space="preserve"> </w:t>
            </w:r>
            <w:r>
              <w:rPr>
                <w:sz w:val="22"/>
              </w:rPr>
              <w:t>supplemental</w:t>
            </w:r>
            <w:r>
              <w:rPr>
                <w:spacing w:val="-3"/>
                <w:sz w:val="22"/>
              </w:rPr>
              <w:t xml:space="preserve"> </w:t>
            </w:r>
            <w:r>
              <w:rPr>
                <w:spacing w:val="-2"/>
                <w:sz w:val="22"/>
              </w:rPr>
              <w:t>benefits</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20</w:t>
            </w:r>
            <w:r>
              <w:rPr>
                <w:spacing w:val="-3"/>
                <w:sz w:val="22"/>
              </w:rPr>
              <w:t xml:space="preserve"> </w:t>
            </w:r>
            <w:r>
              <w:rPr>
                <w:sz w:val="22"/>
              </w:rPr>
              <w:t>Zero</w:t>
            </w:r>
            <w:r>
              <w:rPr>
                <w:spacing w:val="-5"/>
                <w:sz w:val="22"/>
              </w:rPr>
              <w:t xml:space="preserve"> </w:t>
            </w:r>
            <w:r>
              <w:rPr>
                <w:sz w:val="22"/>
              </w:rPr>
              <w:t>projected</w:t>
            </w:r>
            <w:r>
              <w:rPr>
                <w:spacing w:val="-4"/>
                <w:sz w:val="22"/>
              </w:rPr>
              <w:t xml:space="preserve"> </w:t>
            </w:r>
            <w:r>
              <w:rPr>
                <w:sz w:val="22"/>
              </w:rPr>
              <w:t>benefit</w:t>
            </w:r>
            <w:r>
              <w:rPr>
                <w:spacing w:val="-1"/>
                <w:sz w:val="22"/>
              </w:rPr>
              <w:t xml:space="preserve"> </w:t>
            </w:r>
            <w:r>
              <w:rPr>
                <w:spacing w:val="-4"/>
                <w:sz w:val="22"/>
              </w:rPr>
              <w:t>cost</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21</w:t>
            </w:r>
            <w:r>
              <w:rPr>
                <w:spacing w:val="-5"/>
                <w:sz w:val="22"/>
              </w:rPr>
              <w:t xml:space="preserve"> </w:t>
            </w:r>
            <w:r>
              <w:rPr>
                <w:sz w:val="22"/>
              </w:rPr>
              <w:t>Non-covered</w:t>
            </w:r>
            <w:r>
              <w:rPr>
                <w:spacing w:val="-4"/>
                <w:sz w:val="22"/>
              </w:rPr>
              <w:t xml:space="preserve"> </w:t>
            </w:r>
            <w:r>
              <w:rPr>
                <w:sz w:val="22"/>
              </w:rPr>
              <w:t>services</w:t>
            </w:r>
            <w:r>
              <w:rPr>
                <w:spacing w:val="-4"/>
                <w:sz w:val="22"/>
              </w:rPr>
              <w:t xml:space="preserve"> </w:t>
            </w:r>
            <w:r>
              <w:rPr>
                <w:sz w:val="22"/>
              </w:rPr>
              <w:t>benefit-level</w:t>
            </w:r>
            <w:r>
              <w:rPr>
                <w:spacing w:val="-6"/>
                <w:sz w:val="22"/>
              </w:rPr>
              <w:t xml:space="preserve"> </w:t>
            </w:r>
            <w:r>
              <w:rPr>
                <w:spacing w:val="-2"/>
                <w:sz w:val="22"/>
              </w:rPr>
              <w:t>summary</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22</w:t>
            </w:r>
            <w:r>
              <w:rPr>
                <w:spacing w:val="-3"/>
                <w:sz w:val="22"/>
              </w:rPr>
              <w:t xml:space="preserve"> </w:t>
            </w:r>
            <w:r>
              <w:rPr>
                <w:sz w:val="22"/>
              </w:rPr>
              <w:t>Cost</w:t>
            </w:r>
            <w:r>
              <w:rPr>
                <w:spacing w:val="-1"/>
                <w:sz w:val="22"/>
              </w:rPr>
              <w:t xml:space="preserve"> </w:t>
            </w:r>
            <w:r>
              <w:rPr>
                <w:spacing w:val="-2"/>
                <w:sz w:val="22"/>
              </w:rPr>
              <w:t>sharing</w:t>
            </w:r>
          </w:p>
        </w:tc>
      </w:tr>
      <w:tr>
        <w:tblPrEx>
          <w:tblW w:w="0" w:type="auto"/>
          <w:jc w:val="left"/>
          <w:tblInd w:w="396" w:type="dxa"/>
          <w:tblLayout w:type="fixed"/>
          <w:tblCellMar>
            <w:top w:w="0" w:type="dxa"/>
            <w:left w:w="0" w:type="dxa"/>
            <w:bottom w:w="0" w:type="dxa"/>
            <w:right w:w="0" w:type="dxa"/>
          </w:tblCellMar>
          <w:tblLook w:val="01E0"/>
        </w:tblPrEx>
        <w:trPr>
          <w:trHeight w:val="294"/>
          <w:jc w:val="left"/>
        </w:trPr>
        <w:tc>
          <w:tcPr>
            <w:tcW w:w="8867" w:type="dxa"/>
          </w:tcPr>
          <w:p>
            <w:pPr>
              <w:pStyle w:val="TableParagraph"/>
              <w:spacing w:before="22" w:line="252" w:lineRule="exact"/>
              <w:ind w:left="112"/>
              <w:rPr>
                <w:sz w:val="22"/>
              </w:rPr>
            </w:pPr>
            <w:r>
              <w:rPr>
                <w:sz w:val="22"/>
              </w:rPr>
              <w:t>23</w:t>
            </w:r>
            <w:r>
              <w:rPr>
                <w:spacing w:val="-4"/>
                <w:sz w:val="22"/>
              </w:rPr>
              <w:t xml:space="preserve"> </w:t>
            </w:r>
            <w:r>
              <w:rPr>
                <w:sz w:val="22"/>
              </w:rPr>
              <w:t>Capitation</w:t>
            </w:r>
            <w:r>
              <w:rPr>
                <w:spacing w:val="-6"/>
                <w:sz w:val="22"/>
              </w:rPr>
              <w:t xml:space="preserve"> </w:t>
            </w:r>
            <w:r>
              <w:rPr>
                <w:sz w:val="22"/>
              </w:rPr>
              <w:t>or</w:t>
            </w:r>
            <w:r>
              <w:rPr>
                <w:spacing w:val="-5"/>
                <w:sz w:val="22"/>
              </w:rPr>
              <w:t xml:space="preserve"> </w:t>
            </w:r>
            <w:r>
              <w:rPr>
                <w:sz w:val="22"/>
              </w:rPr>
              <w:t>risk-sharing</w:t>
            </w:r>
            <w:r>
              <w:rPr>
                <w:spacing w:val="-3"/>
                <w:sz w:val="22"/>
              </w:rPr>
              <w:t xml:space="preserve"> </w:t>
            </w:r>
            <w:r>
              <w:rPr>
                <w:spacing w:val="-2"/>
                <w:sz w:val="22"/>
              </w:rPr>
              <w:t>arrangements</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24</w:t>
            </w:r>
            <w:r>
              <w:rPr>
                <w:spacing w:val="-2"/>
                <w:sz w:val="22"/>
              </w:rPr>
              <w:t xml:space="preserve"> </w:t>
            </w:r>
            <w:r>
              <w:rPr>
                <w:sz w:val="22"/>
              </w:rPr>
              <w:t>ESRD</w:t>
            </w:r>
            <w:r>
              <w:rPr>
                <w:spacing w:val="-2"/>
                <w:sz w:val="22"/>
              </w:rPr>
              <w:t xml:space="preserve"> “subsidy”</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25</w:t>
            </w:r>
            <w:r>
              <w:rPr>
                <w:spacing w:val="-1"/>
                <w:sz w:val="22"/>
              </w:rPr>
              <w:t xml:space="preserve"> </w:t>
            </w:r>
            <w:r>
              <w:rPr>
                <w:sz w:val="22"/>
              </w:rPr>
              <w:t>MSP</w:t>
            </w:r>
            <w:r>
              <w:rPr>
                <w:spacing w:val="-1"/>
                <w:sz w:val="22"/>
              </w:rPr>
              <w:t xml:space="preserve"> </w:t>
            </w:r>
            <w:r>
              <w:rPr>
                <w:spacing w:val="-2"/>
                <w:sz w:val="22"/>
              </w:rPr>
              <w:t>adjustment</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26</w:t>
            </w:r>
            <w:r>
              <w:rPr>
                <w:spacing w:val="-3"/>
                <w:sz w:val="22"/>
              </w:rPr>
              <w:t xml:space="preserve"> </w:t>
            </w:r>
            <w:r>
              <w:rPr>
                <w:sz w:val="22"/>
              </w:rPr>
              <w:t>ISAR</w:t>
            </w:r>
            <w:r>
              <w:rPr>
                <w:spacing w:val="-3"/>
                <w:sz w:val="22"/>
              </w:rPr>
              <w:t xml:space="preserve"> </w:t>
            </w:r>
            <w:r>
              <w:rPr>
                <w:spacing w:val="-2"/>
                <w:sz w:val="22"/>
              </w:rPr>
              <w:t>factors</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27</w:t>
            </w:r>
            <w:r>
              <w:rPr>
                <w:spacing w:val="-5"/>
                <w:sz w:val="22"/>
              </w:rPr>
              <w:t xml:space="preserve"> </w:t>
            </w:r>
            <w:r>
              <w:rPr>
                <w:sz w:val="22"/>
              </w:rPr>
              <w:t>Optional</w:t>
            </w:r>
            <w:r>
              <w:rPr>
                <w:spacing w:val="-4"/>
                <w:sz w:val="22"/>
              </w:rPr>
              <w:t xml:space="preserve"> </w:t>
            </w:r>
            <w:r>
              <w:rPr>
                <w:sz w:val="22"/>
              </w:rPr>
              <w:t>supplemental</w:t>
            </w:r>
            <w:r>
              <w:rPr>
                <w:spacing w:val="-4"/>
                <w:sz w:val="22"/>
              </w:rPr>
              <w:t xml:space="preserve"> </w:t>
            </w:r>
            <w:r>
              <w:rPr>
                <w:sz w:val="22"/>
              </w:rPr>
              <w:t>benefit</w:t>
            </w:r>
            <w:r>
              <w:rPr>
                <w:spacing w:val="-6"/>
                <w:sz w:val="22"/>
              </w:rPr>
              <w:t xml:space="preserve"> </w:t>
            </w:r>
            <w:r>
              <w:rPr>
                <w:spacing w:val="-4"/>
                <w:sz w:val="22"/>
              </w:rPr>
              <w:t>(OSB)</w:t>
            </w:r>
          </w:p>
        </w:tc>
      </w:tr>
      <w:tr>
        <w:tblPrEx>
          <w:tblW w:w="0" w:type="auto"/>
          <w:jc w:val="left"/>
          <w:tblInd w:w="396" w:type="dxa"/>
          <w:tblLayout w:type="fixed"/>
          <w:tblCellMar>
            <w:top w:w="0" w:type="dxa"/>
            <w:left w:w="0" w:type="dxa"/>
            <w:bottom w:w="0" w:type="dxa"/>
            <w:right w:w="0" w:type="dxa"/>
          </w:tblCellMar>
          <w:tblLook w:val="01E0"/>
        </w:tblPrEx>
        <w:trPr>
          <w:trHeight w:val="295"/>
          <w:jc w:val="left"/>
        </w:trPr>
        <w:tc>
          <w:tcPr>
            <w:tcW w:w="8867" w:type="dxa"/>
          </w:tcPr>
          <w:p>
            <w:pPr>
              <w:pStyle w:val="TableParagraph"/>
              <w:spacing w:before="23" w:line="252" w:lineRule="exact"/>
              <w:ind w:left="112"/>
              <w:rPr>
                <w:sz w:val="22"/>
              </w:rPr>
            </w:pPr>
            <w:r>
              <w:rPr>
                <w:sz w:val="22"/>
              </w:rPr>
              <w:t>28</w:t>
            </w:r>
            <w:r>
              <w:rPr>
                <w:spacing w:val="-4"/>
                <w:sz w:val="22"/>
              </w:rPr>
              <w:t xml:space="preserve"> </w:t>
            </w:r>
            <w:r>
              <w:rPr>
                <w:sz w:val="22"/>
              </w:rPr>
              <w:t>Employer</w:t>
            </w:r>
            <w:r>
              <w:rPr>
                <w:spacing w:val="-3"/>
                <w:sz w:val="22"/>
              </w:rPr>
              <w:t xml:space="preserve"> </w:t>
            </w:r>
            <w:r>
              <w:rPr>
                <w:sz w:val="22"/>
              </w:rPr>
              <w:t>or</w:t>
            </w:r>
            <w:r>
              <w:rPr>
                <w:spacing w:val="-4"/>
                <w:sz w:val="22"/>
              </w:rPr>
              <w:t xml:space="preserve"> </w:t>
            </w:r>
            <w:r>
              <w:rPr>
                <w:sz w:val="22"/>
              </w:rPr>
              <w:t>union</w:t>
            </w:r>
            <w:r>
              <w:rPr>
                <w:spacing w:val="-4"/>
                <w:sz w:val="22"/>
              </w:rPr>
              <w:t xml:space="preserve"> </w:t>
            </w:r>
            <w:r>
              <w:rPr>
                <w:sz w:val="22"/>
              </w:rPr>
              <w:t>groups</w:t>
            </w:r>
            <w:r>
              <w:rPr>
                <w:spacing w:val="-3"/>
                <w:sz w:val="22"/>
              </w:rPr>
              <w:t xml:space="preserve"> </w:t>
            </w:r>
            <w:r>
              <w:rPr>
                <w:sz w:val="22"/>
              </w:rPr>
              <w:t>actuarial</w:t>
            </w:r>
            <w:r>
              <w:rPr>
                <w:spacing w:val="-2"/>
                <w:sz w:val="22"/>
              </w:rPr>
              <w:t xml:space="preserve"> swapping/equivalence</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2" w:line="250" w:lineRule="exact"/>
              <w:ind w:left="112"/>
              <w:rPr>
                <w:sz w:val="22"/>
              </w:rPr>
            </w:pPr>
            <w:r>
              <w:rPr>
                <w:sz w:val="22"/>
              </w:rPr>
              <w:t>29</w:t>
            </w:r>
            <w:r>
              <w:rPr>
                <w:spacing w:val="-3"/>
                <w:sz w:val="22"/>
              </w:rPr>
              <w:t xml:space="preserve"> </w:t>
            </w:r>
            <w:r>
              <w:rPr>
                <w:sz w:val="22"/>
              </w:rPr>
              <w:t>Cost-sharing</w:t>
            </w:r>
            <w:r>
              <w:rPr>
                <w:spacing w:val="-3"/>
                <w:sz w:val="22"/>
              </w:rPr>
              <w:t xml:space="preserve"> </w:t>
            </w:r>
            <w:r>
              <w:rPr>
                <w:spacing w:val="-2"/>
                <w:sz w:val="22"/>
              </w:rPr>
              <w:t>utilization</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67" w:type="dxa"/>
          </w:tcPr>
          <w:p>
            <w:pPr>
              <w:pStyle w:val="TableParagraph"/>
              <w:spacing w:before="20" w:line="252" w:lineRule="exact"/>
              <w:ind w:left="112"/>
              <w:rPr>
                <w:sz w:val="22"/>
              </w:rPr>
            </w:pPr>
            <w:r>
              <w:rPr>
                <w:sz w:val="22"/>
              </w:rPr>
              <w:t>30</w:t>
            </w:r>
            <w:r>
              <w:rPr>
                <w:spacing w:val="-2"/>
                <w:sz w:val="22"/>
              </w:rPr>
              <w:t xml:space="preserve"> </w:t>
            </w:r>
            <w:r>
              <w:rPr>
                <w:sz w:val="22"/>
              </w:rPr>
              <w:t>–</w:t>
            </w:r>
            <w:r>
              <w:rPr>
                <w:spacing w:val="-1"/>
                <w:sz w:val="22"/>
              </w:rPr>
              <w:t xml:space="preserve"> </w:t>
            </w:r>
            <w:r>
              <w:rPr>
                <w:sz w:val="22"/>
              </w:rPr>
              <w:t>33</w:t>
            </w:r>
            <w:r>
              <w:rPr>
                <w:spacing w:val="-1"/>
                <w:sz w:val="22"/>
              </w:rPr>
              <w:t xml:space="preserve"> </w:t>
            </w:r>
            <w:r>
              <w:rPr>
                <w:sz w:val="22"/>
              </w:rPr>
              <w:t xml:space="preserve">Not </w:t>
            </w:r>
            <w:r>
              <w:rPr>
                <w:spacing w:val="-2"/>
                <w:sz w:val="22"/>
              </w:rPr>
              <w:t>applicable</w:t>
            </w:r>
          </w:p>
        </w:tc>
      </w:tr>
    </w:tbl>
    <w:p>
      <w:pPr>
        <w:pStyle w:val="TableParagraph"/>
        <w:spacing w:after="0" w:line="252" w:lineRule="exact"/>
        <w:rPr>
          <w:sz w:val="22"/>
        </w:rPr>
        <w:sectPr>
          <w:pgSz w:w="12240" w:h="15840"/>
          <w:pgMar w:top="960" w:right="0" w:bottom="940" w:left="1080" w:header="727" w:footer="747"/>
          <w:cols w:space="720"/>
        </w:sectPr>
      </w:pPr>
    </w:p>
    <w:p>
      <w:pPr>
        <w:pStyle w:val="BodyText"/>
        <w:ind w:left="0"/>
        <w:rPr>
          <w:rFonts w:ascii="Arial"/>
          <w:b/>
          <w:sz w:val="20"/>
        </w:rPr>
      </w:pPr>
    </w:p>
    <w:p>
      <w:pPr>
        <w:pStyle w:val="BodyText"/>
        <w:spacing w:before="6" w:after="1"/>
        <w:ind w:left="0"/>
        <w:rPr>
          <w:rFonts w:ascii="Arial"/>
          <w:b/>
          <w:sz w:val="20"/>
        </w:rPr>
      </w:pPr>
    </w:p>
    <w:tbl>
      <w:tblPr>
        <w:tblStyle w:val="TableNormal"/>
        <w:tblW w:w="0" w:type="auto"/>
        <w:jc w:val="left"/>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79"/>
      </w:tblGrid>
      <w:tr>
        <w:tblPrEx>
          <w:tblW w:w="0" w:type="auto"/>
          <w:jc w:val="left"/>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63"/>
          <w:jc w:val="left"/>
        </w:trPr>
        <w:tc>
          <w:tcPr>
            <w:tcW w:w="8879" w:type="dxa"/>
          </w:tcPr>
          <w:p>
            <w:pPr>
              <w:pStyle w:val="TableParagraph"/>
              <w:spacing w:before="19" w:line="225" w:lineRule="exact"/>
              <w:ind w:left="112"/>
              <w:rPr>
                <w:rFonts w:ascii="Arial"/>
                <w:b/>
                <w:sz w:val="21"/>
              </w:rPr>
            </w:pPr>
            <w:r>
              <w:rPr>
                <w:rFonts w:ascii="Arial"/>
                <w:b/>
                <w:sz w:val="21"/>
              </w:rPr>
              <w:t>Upon</w:t>
            </w:r>
            <w:r>
              <w:rPr>
                <w:rFonts w:ascii="Arial"/>
                <w:b/>
                <w:spacing w:val="-6"/>
                <w:sz w:val="21"/>
              </w:rPr>
              <w:t xml:space="preserve"> </w:t>
            </w:r>
            <w:r>
              <w:rPr>
                <w:rFonts w:ascii="Arial"/>
                <w:b/>
                <w:sz w:val="21"/>
              </w:rPr>
              <w:t>Request</w:t>
            </w:r>
            <w:r>
              <w:rPr>
                <w:rFonts w:ascii="Arial"/>
                <w:b/>
                <w:spacing w:val="-5"/>
                <w:sz w:val="21"/>
              </w:rPr>
              <w:t xml:space="preserve"> </w:t>
            </w:r>
            <w:r>
              <w:rPr>
                <w:rFonts w:ascii="Arial"/>
                <w:b/>
                <w:sz w:val="21"/>
              </w:rPr>
              <w:t>by</w:t>
            </w:r>
            <w:r>
              <w:rPr>
                <w:rFonts w:ascii="Arial"/>
                <w:b/>
                <w:spacing w:val="-6"/>
                <w:sz w:val="21"/>
              </w:rPr>
              <w:t xml:space="preserve"> </w:t>
            </w:r>
            <w:r>
              <w:rPr>
                <w:rFonts w:ascii="Arial"/>
                <w:b/>
                <w:sz w:val="21"/>
              </w:rPr>
              <w:t>CMS</w:t>
            </w:r>
            <w:r>
              <w:rPr>
                <w:rFonts w:ascii="Arial"/>
                <w:b/>
                <w:spacing w:val="-4"/>
                <w:sz w:val="21"/>
              </w:rPr>
              <w:t xml:space="preserve"> </w:t>
            </w:r>
            <w:r>
              <w:rPr>
                <w:rFonts w:ascii="Arial"/>
                <w:b/>
                <w:spacing w:val="-2"/>
                <w:sz w:val="21"/>
              </w:rPr>
              <w:t>Reviewers</w:t>
            </w:r>
          </w:p>
        </w:tc>
      </w:tr>
      <w:tr>
        <w:tblPrEx>
          <w:tblW w:w="0" w:type="auto"/>
          <w:jc w:val="left"/>
          <w:tblInd w:w="396" w:type="dxa"/>
          <w:tblLayout w:type="fixed"/>
          <w:tblCellMar>
            <w:top w:w="0" w:type="dxa"/>
            <w:left w:w="0" w:type="dxa"/>
            <w:bottom w:w="0" w:type="dxa"/>
            <w:right w:w="0" w:type="dxa"/>
          </w:tblCellMar>
          <w:tblLook w:val="01E0"/>
        </w:tblPrEx>
        <w:trPr>
          <w:trHeight w:val="290"/>
          <w:jc w:val="left"/>
        </w:trPr>
        <w:tc>
          <w:tcPr>
            <w:tcW w:w="8879" w:type="dxa"/>
          </w:tcPr>
          <w:p>
            <w:pPr>
              <w:pStyle w:val="TableParagraph"/>
              <w:spacing w:before="20" w:line="250" w:lineRule="exact"/>
              <w:ind w:left="112"/>
              <w:rPr>
                <w:sz w:val="22"/>
              </w:rPr>
            </w:pPr>
            <w:r>
              <w:rPr>
                <w:sz w:val="22"/>
              </w:rPr>
              <w:t>34</w:t>
            </w:r>
            <w:r>
              <w:rPr>
                <w:spacing w:val="-3"/>
                <w:sz w:val="22"/>
              </w:rPr>
              <w:t xml:space="preserve"> </w:t>
            </w:r>
            <w:r>
              <w:rPr>
                <w:sz w:val="22"/>
              </w:rPr>
              <w:t>Bid</w:t>
            </w:r>
            <w:r>
              <w:rPr>
                <w:spacing w:val="-3"/>
                <w:sz w:val="22"/>
              </w:rPr>
              <w:t xml:space="preserve"> </w:t>
            </w:r>
            <w:r>
              <w:rPr>
                <w:sz w:val="22"/>
              </w:rPr>
              <w:t>not</w:t>
            </w:r>
            <w:r>
              <w:rPr>
                <w:spacing w:val="-2"/>
                <w:sz w:val="22"/>
              </w:rPr>
              <w:t xml:space="preserve"> </w:t>
            </w:r>
            <w:r>
              <w:rPr>
                <w:sz w:val="22"/>
              </w:rPr>
              <w:t>anti-</w:t>
            </w:r>
            <w:r>
              <w:rPr>
                <w:spacing w:val="-2"/>
                <w:sz w:val="22"/>
              </w:rPr>
              <w:t>competitive</w:t>
            </w:r>
          </w:p>
        </w:tc>
      </w:tr>
      <w:tr>
        <w:tblPrEx>
          <w:tblW w:w="0" w:type="auto"/>
          <w:jc w:val="left"/>
          <w:tblInd w:w="396" w:type="dxa"/>
          <w:tblLayout w:type="fixed"/>
          <w:tblCellMar>
            <w:top w:w="0" w:type="dxa"/>
            <w:left w:w="0" w:type="dxa"/>
            <w:bottom w:w="0" w:type="dxa"/>
            <w:right w:w="0" w:type="dxa"/>
          </w:tblCellMar>
          <w:tblLook w:val="01E0"/>
        </w:tblPrEx>
        <w:trPr>
          <w:trHeight w:val="275"/>
          <w:jc w:val="left"/>
        </w:trPr>
        <w:tc>
          <w:tcPr>
            <w:tcW w:w="8879" w:type="dxa"/>
          </w:tcPr>
          <w:p>
            <w:pPr>
              <w:pStyle w:val="TableParagraph"/>
              <w:spacing w:before="20" w:line="236" w:lineRule="exact"/>
              <w:ind w:left="112"/>
              <w:rPr>
                <w:sz w:val="22"/>
              </w:rPr>
            </w:pPr>
            <w:r>
              <w:rPr>
                <w:sz w:val="22"/>
              </w:rPr>
              <w:t>35</w:t>
            </w:r>
            <w:r>
              <w:rPr>
                <w:spacing w:val="-4"/>
                <w:sz w:val="22"/>
              </w:rPr>
              <w:t xml:space="preserve"> </w:t>
            </w:r>
            <w:r>
              <w:rPr>
                <w:sz w:val="22"/>
              </w:rPr>
              <w:t>Related-party</w:t>
            </w:r>
            <w:r>
              <w:rPr>
                <w:spacing w:val="-4"/>
                <w:sz w:val="22"/>
              </w:rPr>
              <w:t xml:space="preserve"> </w:t>
            </w:r>
            <w:r>
              <w:rPr>
                <w:spacing w:val="-2"/>
                <w:sz w:val="22"/>
              </w:rPr>
              <w:t>contracts</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79" w:type="dxa"/>
          </w:tcPr>
          <w:p>
            <w:pPr>
              <w:pStyle w:val="TableParagraph"/>
              <w:spacing w:before="20" w:line="252" w:lineRule="exact"/>
              <w:ind w:left="112"/>
              <w:rPr>
                <w:sz w:val="22"/>
              </w:rPr>
            </w:pPr>
            <w:r>
              <w:rPr>
                <w:sz w:val="22"/>
              </w:rPr>
              <w:t>36</w:t>
            </w:r>
            <w:r>
              <w:rPr>
                <w:spacing w:val="-3"/>
                <w:sz w:val="22"/>
              </w:rPr>
              <w:t xml:space="preserve"> </w:t>
            </w:r>
            <w:r>
              <w:rPr>
                <w:sz w:val="22"/>
              </w:rPr>
              <w:t>Reliance</w:t>
            </w:r>
            <w:r>
              <w:rPr>
                <w:spacing w:val="-2"/>
                <w:sz w:val="22"/>
              </w:rPr>
              <w:t xml:space="preserve"> letter</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79" w:type="dxa"/>
          </w:tcPr>
          <w:p>
            <w:pPr>
              <w:pStyle w:val="TableParagraph"/>
              <w:spacing w:before="22" w:line="250" w:lineRule="exact"/>
              <w:ind w:left="112"/>
              <w:rPr>
                <w:sz w:val="22"/>
              </w:rPr>
            </w:pPr>
            <w:r>
              <w:rPr>
                <w:sz w:val="22"/>
              </w:rPr>
              <w:t>37</w:t>
            </w:r>
            <w:r>
              <w:rPr>
                <w:spacing w:val="-2"/>
                <w:sz w:val="22"/>
              </w:rPr>
              <w:t xml:space="preserve"> </w:t>
            </w:r>
            <w:r>
              <w:rPr>
                <w:sz w:val="22"/>
              </w:rPr>
              <w:t>OFM</w:t>
            </w:r>
            <w:r>
              <w:rPr>
                <w:spacing w:val="-2"/>
                <w:sz w:val="22"/>
              </w:rPr>
              <w:t xml:space="preserve"> </w:t>
            </w:r>
            <w:r>
              <w:rPr>
                <w:sz w:val="22"/>
              </w:rPr>
              <w:t>audit</w:t>
            </w:r>
            <w:r>
              <w:rPr>
                <w:spacing w:val="-3"/>
                <w:sz w:val="22"/>
              </w:rPr>
              <w:t xml:space="preserve"> </w:t>
            </w:r>
            <w:r>
              <w:rPr>
                <w:spacing w:val="-2"/>
                <w:sz w:val="22"/>
              </w:rPr>
              <w:t>results</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79" w:type="dxa"/>
          </w:tcPr>
          <w:p>
            <w:pPr>
              <w:pStyle w:val="TableParagraph"/>
              <w:spacing w:before="22" w:line="250" w:lineRule="exact"/>
              <w:ind w:left="112"/>
              <w:rPr>
                <w:sz w:val="22"/>
              </w:rPr>
            </w:pPr>
            <w:r>
              <w:rPr>
                <w:sz w:val="22"/>
              </w:rPr>
              <w:t>38</w:t>
            </w:r>
            <w:r>
              <w:rPr>
                <w:spacing w:val="-3"/>
                <w:sz w:val="22"/>
              </w:rPr>
              <w:t xml:space="preserve"> </w:t>
            </w:r>
            <w:r>
              <w:rPr>
                <w:sz w:val="22"/>
              </w:rPr>
              <w:t>Benefit</w:t>
            </w:r>
            <w:r>
              <w:rPr>
                <w:spacing w:val="-1"/>
                <w:sz w:val="22"/>
              </w:rPr>
              <w:t xml:space="preserve"> </w:t>
            </w:r>
            <w:r>
              <w:rPr>
                <w:spacing w:val="-2"/>
                <w:sz w:val="22"/>
              </w:rPr>
              <w:t>value/margin</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79" w:type="dxa"/>
          </w:tcPr>
          <w:p>
            <w:pPr>
              <w:pStyle w:val="TableParagraph"/>
              <w:spacing w:before="22" w:line="250" w:lineRule="exact"/>
              <w:ind w:left="112"/>
              <w:rPr>
                <w:sz w:val="22"/>
              </w:rPr>
            </w:pPr>
            <w:r>
              <w:rPr>
                <w:sz w:val="22"/>
              </w:rPr>
              <w:t>39</w:t>
            </w:r>
            <w:r>
              <w:rPr>
                <w:spacing w:val="-2"/>
                <w:sz w:val="22"/>
              </w:rPr>
              <w:t xml:space="preserve"> </w:t>
            </w:r>
            <w:r>
              <w:rPr>
                <w:sz w:val="22"/>
              </w:rPr>
              <w:t>Actual</w:t>
            </w:r>
            <w:r>
              <w:rPr>
                <w:spacing w:val="-3"/>
                <w:sz w:val="22"/>
              </w:rPr>
              <w:t xml:space="preserve"> </w:t>
            </w:r>
            <w:r>
              <w:rPr>
                <w:sz w:val="22"/>
              </w:rPr>
              <w:t>to</w:t>
            </w:r>
            <w:r>
              <w:rPr>
                <w:spacing w:val="-1"/>
                <w:sz w:val="22"/>
              </w:rPr>
              <w:t xml:space="preserve"> </w:t>
            </w:r>
            <w:r>
              <w:rPr>
                <w:spacing w:val="-2"/>
                <w:sz w:val="22"/>
              </w:rPr>
              <w:t>Projected</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79" w:type="dxa"/>
          </w:tcPr>
          <w:p>
            <w:pPr>
              <w:pStyle w:val="TableParagraph"/>
              <w:spacing w:before="22" w:line="250" w:lineRule="exact"/>
              <w:ind w:left="112"/>
              <w:rPr>
                <w:sz w:val="22"/>
              </w:rPr>
            </w:pPr>
            <w:r>
              <w:rPr>
                <w:sz w:val="22"/>
              </w:rPr>
              <w:t>40</w:t>
            </w:r>
            <w:r>
              <w:rPr>
                <w:spacing w:val="-3"/>
                <w:sz w:val="22"/>
              </w:rPr>
              <w:t xml:space="preserve"> </w:t>
            </w:r>
            <w:r>
              <w:rPr>
                <w:sz w:val="22"/>
              </w:rPr>
              <w:t>MA-PD</w:t>
            </w:r>
            <w:r>
              <w:rPr>
                <w:spacing w:val="-4"/>
                <w:sz w:val="22"/>
              </w:rPr>
              <w:t xml:space="preserve"> </w:t>
            </w:r>
            <w:r>
              <w:rPr>
                <w:spacing w:val="-2"/>
                <w:sz w:val="22"/>
              </w:rPr>
              <w:t>enrollment</w:t>
            </w:r>
          </w:p>
        </w:tc>
      </w:tr>
      <w:tr>
        <w:tblPrEx>
          <w:tblW w:w="0" w:type="auto"/>
          <w:jc w:val="left"/>
          <w:tblInd w:w="396" w:type="dxa"/>
          <w:tblLayout w:type="fixed"/>
          <w:tblCellMar>
            <w:top w:w="0" w:type="dxa"/>
            <w:left w:w="0" w:type="dxa"/>
            <w:bottom w:w="0" w:type="dxa"/>
            <w:right w:w="0" w:type="dxa"/>
          </w:tblCellMar>
          <w:tblLook w:val="01E0"/>
        </w:tblPrEx>
        <w:trPr>
          <w:trHeight w:val="294"/>
          <w:jc w:val="left"/>
        </w:trPr>
        <w:tc>
          <w:tcPr>
            <w:tcW w:w="8879" w:type="dxa"/>
          </w:tcPr>
          <w:p>
            <w:pPr>
              <w:pStyle w:val="TableParagraph"/>
              <w:spacing w:before="22" w:line="252" w:lineRule="exact"/>
              <w:ind w:left="112"/>
              <w:rPr>
                <w:sz w:val="22"/>
              </w:rPr>
            </w:pPr>
            <w:r>
              <w:rPr>
                <w:sz w:val="22"/>
              </w:rPr>
              <w:t>41</w:t>
            </w:r>
            <w:r>
              <w:rPr>
                <w:spacing w:val="-4"/>
                <w:sz w:val="22"/>
              </w:rPr>
              <w:t xml:space="preserve"> </w:t>
            </w:r>
            <w:r>
              <w:rPr>
                <w:sz w:val="22"/>
              </w:rPr>
              <w:t>Non-covered</w:t>
            </w:r>
            <w:r>
              <w:rPr>
                <w:spacing w:val="-4"/>
                <w:sz w:val="22"/>
              </w:rPr>
              <w:t xml:space="preserve"> </w:t>
            </w:r>
            <w:r>
              <w:rPr>
                <w:sz w:val="22"/>
              </w:rPr>
              <w:t>services</w:t>
            </w:r>
            <w:r>
              <w:rPr>
                <w:spacing w:val="-4"/>
                <w:sz w:val="22"/>
              </w:rPr>
              <w:t xml:space="preserve"> </w:t>
            </w:r>
            <w:r>
              <w:rPr>
                <w:spacing w:val="-2"/>
                <w:sz w:val="22"/>
              </w:rPr>
              <w:t>pricing</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79" w:type="dxa"/>
          </w:tcPr>
          <w:p>
            <w:pPr>
              <w:pStyle w:val="TableParagraph"/>
              <w:spacing w:before="22" w:line="250" w:lineRule="exact"/>
              <w:ind w:left="112"/>
              <w:rPr>
                <w:sz w:val="22"/>
              </w:rPr>
            </w:pPr>
            <w:r>
              <w:rPr>
                <w:sz w:val="22"/>
              </w:rPr>
              <w:t>42</w:t>
            </w:r>
            <w:r>
              <w:rPr>
                <w:spacing w:val="-6"/>
                <w:sz w:val="22"/>
              </w:rPr>
              <w:t xml:space="preserve"> </w:t>
            </w:r>
            <w:r>
              <w:rPr>
                <w:sz w:val="22"/>
              </w:rPr>
              <w:t>Allocation</w:t>
            </w:r>
            <w:r>
              <w:rPr>
                <w:spacing w:val="-7"/>
                <w:sz w:val="22"/>
              </w:rPr>
              <w:t xml:space="preserve"> </w:t>
            </w:r>
            <w:r>
              <w:rPr>
                <w:sz w:val="22"/>
              </w:rPr>
              <w:t>of</w:t>
            </w:r>
            <w:r>
              <w:rPr>
                <w:spacing w:val="-6"/>
                <w:sz w:val="22"/>
              </w:rPr>
              <w:t xml:space="preserve"> </w:t>
            </w:r>
            <w:r>
              <w:rPr>
                <w:sz w:val="22"/>
              </w:rPr>
              <w:t>allowed</w:t>
            </w:r>
            <w:r>
              <w:rPr>
                <w:spacing w:val="-3"/>
                <w:sz w:val="22"/>
              </w:rPr>
              <w:t xml:space="preserve"> </w:t>
            </w:r>
            <w:r>
              <w:rPr>
                <w:sz w:val="22"/>
              </w:rPr>
              <w:t>costs/cost</w:t>
            </w:r>
            <w:r>
              <w:rPr>
                <w:spacing w:val="-3"/>
                <w:sz w:val="22"/>
              </w:rPr>
              <w:t xml:space="preserve"> </w:t>
            </w:r>
            <w:r>
              <w:rPr>
                <w:sz w:val="22"/>
              </w:rPr>
              <w:t>sharing</w:t>
            </w:r>
            <w:r>
              <w:rPr>
                <w:spacing w:val="-7"/>
                <w:sz w:val="22"/>
              </w:rPr>
              <w:t xml:space="preserve"> </w:t>
            </w:r>
            <w:r>
              <w:rPr>
                <w:sz w:val="22"/>
              </w:rPr>
              <w:t>to</w:t>
            </w:r>
            <w:r>
              <w:rPr>
                <w:spacing w:val="-6"/>
                <w:sz w:val="22"/>
              </w:rPr>
              <w:t xml:space="preserve"> </w:t>
            </w:r>
            <w:r>
              <w:rPr>
                <w:sz w:val="22"/>
              </w:rPr>
              <w:t>Medicare-covered</w:t>
            </w:r>
            <w:r>
              <w:rPr>
                <w:spacing w:val="-4"/>
                <w:sz w:val="22"/>
              </w:rPr>
              <w:t xml:space="preserve"> </w:t>
            </w:r>
            <w:r>
              <w:rPr>
                <w:sz w:val="22"/>
              </w:rPr>
              <w:t>and</w:t>
            </w:r>
            <w:r>
              <w:rPr>
                <w:spacing w:val="-7"/>
                <w:sz w:val="22"/>
              </w:rPr>
              <w:t xml:space="preserve"> </w:t>
            </w:r>
            <w:r>
              <w:rPr>
                <w:sz w:val="22"/>
              </w:rPr>
              <w:t>non-covered</w:t>
            </w:r>
            <w:r>
              <w:rPr>
                <w:spacing w:val="-5"/>
                <w:sz w:val="22"/>
              </w:rPr>
              <w:t xml:space="preserve"> </w:t>
            </w:r>
            <w:r>
              <w:rPr>
                <w:spacing w:val="-2"/>
                <w:sz w:val="22"/>
              </w:rPr>
              <w:t>services</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79" w:type="dxa"/>
          </w:tcPr>
          <w:p>
            <w:pPr>
              <w:pStyle w:val="TableParagraph"/>
              <w:spacing w:before="22" w:line="250" w:lineRule="exact"/>
              <w:ind w:left="112"/>
              <w:rPr>
                <w:sz w:val="22"/>
              </w:rPr>
            </w:pPr>
            <w:r>
              <w:rPr>
                <w:sz w:val="22"/>
              </w:rPr>
              <w:t>43</w:t>
            </w:r>
            <w:r>
              <w:rPr>
                <w:spacing w:val="-5"/>
                <w:sz w:val="22"/>
              </w:rPr>
              <w:t xml:space="preserve"> </w:t>
            </w:r>
            <w:r>
              <w:rPr>
                <w:sz w:val="22"/>
              </w:rPr>
              <w:t>DE#</w:t>
            </w:r>
            <w:r>
              <w:rPr>
                <w:spacing w:val="-3"/>
                <w:sz w:val="22"/>
              </w:rPr>
              <w:t xml:space="preserve"> </w:t>
            </w:r>
            <w:r>
              <w:rPr>
                <w:sz w:val="22"/>
              </w:rPr>
              <w:t>plan</w:t>
            </w:r>
            <w:r>
              <w:rPr>
                <w:spacing w:val="-2"/>
                <w:sz w:val="22"/>
              </w:rPr>
              <w:t xml:space="preserve"> </w:t>
            </w:r>
            <w:r>
              <w:rPr>
                <w:sz w:val="22"/>
              </w:rPr>
              <w:t>cost</w:t>
            </w:r>
            <w:r>
              <w:rPr>
                <w:spacing w:val="-2"/>
                <w:sz w:val="22"/>
              </w:rPr>
              <w:t xml:space="preserve"> </w:t>
            </w:r>
            <w:r>
              <w:rPr>
                <w:sz w:val="22"/>
              </w:rPr>
              <w:t>sharing</w:t>
            </w:r>
            <w:r>
              <w:rPr>
                <w:spacing w:val="-2"/>
                <w:sz w:val="22"/>
              </w:rPr>
              <w:t xml:space="preserve"> override</w:t>
            </w:r>
          </w:p>
        </w:tc>
      </w:tr>
      <w:tr>
        <w:tblPrEx>
          <w:tblW w:w="0" w:type="auto"/>
          <w:jc w:val="left"/>
          <w:tblInd w:w="396" w:type="dxa"/>
          <w:tblLayout w:type="fixed"/>
          <w:tblCellMar>
            <w:top w:w="0" w:type="dxa"/>
            <w:left w:w="0" w:type="dxa"/>
            <w:bottom w:w="0" w:type="dxa"/>
            <w:right w:w="0" w:type="dxa"/>
          </w:tblCellMar>
          <w:tblLook w:val="01E0"/>
        </w:tblPrEx>
        <w:trPr>
          <w:trHeight w:val="293"/>
          <w:jc w:val="left"/>
        </w:trPr>
        <w:tc>
          <w:tcPr>
            <w:tcW w:w="8879" w:type="dxa"/>
          </w:tcPr>
          <w:p>
            <w:pPr>
              <w:pStyle w:val="TableParagraph"/>
              <w:spacing w:before="23" w:line="250" w:lineRule="exact"/>
              <w:ind w:left="112"/>
              <w:rPr>
                <w:sz w:val="22"/>
              </w:rPr>
            </w:pPr>
            <w:r>
              <w:rPr>
                <w:sz w:val="22"/>
              </w:rPr>
              <w:t>44</w:t>
            </w:r>
            <w:r>
              <w:rPr>
                <w:spacing w:val="-4"/>
                <w:sz w:val="22"/>
              </w:rPr>
              <w:t xml:space="preserve"> </w:t>
            </w:r>
            <w:r>
              <w:rPr>
                <w:sz w:val="22"/>
              </w:rPr>
              <w:t>State</w:t>
            </w:r>
            <w:r>
              <w:rPr>
                <w:spacing w:val="-3"/>
                <w:sz w:val="22"/>
              </w:rPr>
              <w:t xml:space="preserve"> </w:t>
            </w:r>
            <w:r>
              <w:rPr>
                <w:sz w:val="22"/>
              </w:rPr>
              <w:t>and</w:t>
            </w:r>
            <w:r>
              <w:rPr>
                <w:spacing w:val="-3"/>
                <w:sz w:val="22"/>
              </w:rPr>
              <w:t xml:space="preserve"> </w:t>
            </w:r>
            <w:r>
              <w:rPr>
                <w:sz w:val="22"/>
              </w:rPr>
              <w:t>territory</w:t>
            </w:r>
            <w:r>
              <w:rPr>
                <w:spacing w:val="-4"/>
                <w:sz w:val="22"/>
              </w:rPr>
              <w:t xml:space="preserve"> </w:t>
            </w:r>
            <w:r>
              <w:rPr>
                <w:sz w:val="22"/>
              </w:rPr>
              <w:t>cost</w:t>
            </w:r>
            <w:r>
              <w:rPr>
                <w:spacing w:val="-2"/>
                <w:sz w:val="22"/>
              </w:rPr>
              <w:t xml:space="preserve"> </w:t>
            </w:r>
            <w:r>
              <w:rPr>
                <w:sz w:val="22"/>
              </w:rPr>
              <w:t>sharing</w:t>
            </w:r>
            <w:r>
              <w:rPr>
                <w:spacing w:val="-3"/>
                <w:sz w:val="22"/>
              </w:rPr>
              <w:t xml:space="preserve"> </w:t>
            </w:r>
            <w:r>
              <w:rPr>
                <w:spacing w:val="-2"/>
                <w:sz w:val="22"/>
              </w:rPr>
              <w:t>requirements</w:t>
            </w:r>
          </w:p>
        </w:tc>
      </w:tr>
      <w:tr>
        <w:tblPrEx>
          <w:tblW w:w="0" w:type="auto"/>
          <w:jc w:val="left"/>
          <w:tblInd w:w="396" w:type="dxa"/>
          <w:tblLayout w:type="fixed"/>
          <w:tblCellMar>
            <w:top w:w="0" w:type="dxa"/>
            <w:left w:w="0" w:type="dxa"/>
            <w:bottom w:w="0" w:type="dxa"/>
            <w:right w:w="0" w:type="dxa"/>
          </w:tblCellMar>
          <w:tblLook w:val="01E0"/>
        </w:tblPrEx>
        <w:trPr>
          <w:trHeight w:val="294"/>
          <w:jc w:val="left"/>
        </w:trPr>
        <w:tc>
          <w:tcPr>
            <w:tcW w:w="8879" w:type="dxa"/>
          </w:tcPr>
          <w:p>
            <w:pPr>
              <w:pStyle w:val="TableParagraph"/>
              <w:spacing w:before="22" w:line="252" w:lineRule="exact"/>
              <w:ind w:left="112"/>
              <w:rPr>
                <w:sz w:val="22"/>
              </w:rPr>
            </w:pPr>
            <w:r>
              <w:rPr>
                <w:sz w:val="22"/>
              </w:rPr>
              <w:t>45</w:t>
            </w:r>
            <w:r>
              <w:rPr>
                <w:spacing w:val="-5"/>
                <w:sz w:val="22"/>
              </w:rPr>
              <w:t xml:space="preserve"> </w:t>
            </w:r>
            <w:r>
              <w:rPr>
                <w:sz w:val="22"/>
              </w:rPr>
              <w:t>Rebate</w:t>
            </w:r>
            <w:r>
              <w:rPr>
                <w:spacing w:val="-4"/>
                <w:sz w:val="22"/>
              </w:rPr>
              <w:t xml:space="preserve"> </w:t>
            </w:r>
            <w:r>
              <w:rPr>
                <w:sz w:val="22"/>
              </w:rPr>
              <w:t>reallocation</w:t>
            </w:r>
            <w:r>
              <w:rPr>
                <w:spacing w:val="-6"/>
                <w:sz w:val="22"/>
              </w:rPr>
              <w:t xml:space="preserve"> </w:t>
            </w:r>
            <w:r>
              <w:rPr>
                <w:spacing w:val="-2"/>
                <w:sz w:val="22"/>
              </w:rPr>
              <w:t>pricing</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79" w:type="dxa"/>
          </w:tcPr>
          <w:p>
            <w:pPr>
              <w:pStyle w:val="TableParagraph"/>
              <w:spacing w:before="22" w:line="250" w:lineRule="exact"/>
              <w:ind w:left="112"/>
              <w:rPr>
                <w:sz w:val="22"/>
              </w:rPr>
            </w:pPr>
            <w:r>
              <w:rPr>
                <w:sz w:val="22"/>
              </w:rPr>
              <w:t>46</w:t>
            </w:r>
            <w:r>
              <w:rPr>
                <w:spacing w:val="-2"/>
                <w:sz w:val="22"/>
              </w:rPr>
              <w:t xml:space="preserve"> </w:t>
            </w:r>
            <w:r>
              <w:rPr>
                <w:sz w:val="22"/>
              </w:rPr>
              <w:t>DE#</w:t>
            </w:r>
            <w:r>
              <w:rPr>
                <w:spacing w:val="-1"/>
                <w:sz w:val="22"/>
              </w:rPr>
              <w:t xml:space="preserve"> </w:t>
            </w:r>
            <w:r>
              <w:rPr>
                <w:sz w:val="22"/>
              </w:rPr>
              <w:t>plan</w:t>
            </w:r>
            <w:r>
              <w:rPr>
                <w:spacing w:val="-1"/>
                <w:sz w:val="22"/>
              </w:rPr>
              <w:t xml:space="preserve"> </w:t>
            </w:r>
            <w:r>
              <w:rPr>
                <w:spacing w:val="-2"/>
                <w:sz w:val="22"/>
              </w:rPr>
              <w:t>reimbursement</w:t>
            </w:r>
          </w:p>
        </w:tc>
      </w:tr>
      <w:tr>
        <w:tblPrEx>
          <w:tblW w:w="0" w:type="auto"/>
          <w:jc w:val="left"/>
          <w:tblInd w:w="396" w:type="dxa"/>
          <w:tblLayout w:type="fixed"/>
          <w:tblCellMar>
            <w:top w:w="0" w:type="dxa"/>
            <w:left w:w="0" w:type="dxa"/>
            <w:bottom w:w="0" w:type="dxa"/>
            <w:right w:w="0" w:type="dxa"/>
          </w:tblCellMar>
          <w:tblLook w:val="01E0"/>
        </w:tblPrEx>
        <w:trPr>
          <w:trHeight w:val="292"/>
          <w:jc w:val="left"/>
        </w:trPr>
        <w:tc>
          <w:tcPr>
            <w:tcW w:w="8879" w:type="dxa"/>
          </w:tcPr>
          <w:p>
            <w:pPr>
              <w:pStyle w:val="TableParagraph"/>
              <w:spacing w:before="20" w:line="252" w:lineRule="exact"/>
              <w:ind w:left="112"/>
              <w:rPr>
                <w:sz w:val="22"/>
              </w:rPr>
            </w:pPr>
            <w:r>
              <w:rPr>
                <w:sz w:val="22"/>
              </w:rPr>
              <w:t>47</w:t>
            </w:r>
            <w:r>
              <w:rPr>
                <w:spacing w:val="-5"/>
                <w:sz w:val="22"/>
              </w:rPr>
              <w:t xml:space="preserve"> </w:t>
            </w:r>
            <w:r>
              <w:rPr>
                <w:sz w:val="22"/>
              </w:rPr>
              <w:t>LIPSA</w:t>
            </w:r>
            <w:r>
              <w:rPr>
                <w:spacing w:val="-2"/>
                <w:sz w:val="22"/>
              </w:rPr>
              <w:t xml:space="preserve"> target</w:t>
            </w:r>
          </w:p>
        </w:tc>
      </w:tr>
    </w:tbl>
    <w:p>
      <w:pPr>
        <w:pStyle w:val="TableParagraph"/>
        <w:spacing w:after="0" w:line="252" w:lineRule="exact"/>
        <w:rPr>
          <w:sz w:val="22"/>
        </w:rPr>
        <w:sectPr>
          <w:pgSz w:w="12240" w:h="15840"/>
          <w:pgMar w:top="960" w:right="0" w:bottom="940" w:left="1080" w:header="727" w:footer="747"/>
          <w:cols w:space="720"/>
        </w:sectPr>
      </w:pPr>
    </w:p>
    <w:p>
      <w:pPr>
        <w:pStyle w:val="BodyText"/>
        <w:spacing w:before="226"/>
        <w:ind w:left="0"/>
        <w:rPr>
          <w:rFonts w:ascii="Arial"/>
          <w:b/>
          <w:sz w:val="21"/>
        </w:rPr>
      </w:pPr>
    </w:p>
    <w:p>
      <w:pPr>
        <w:spacing w:before="0"/>
        <w:ind w:left="504" w:right="0" w:firstLine="0"/>
        <w:jc w:val="left"/>
        <w:rPr>
          <w:rFonts w:ascii="Arial"/>
          <w:b/>
          <w:sz w:val="26"/>
        </w:rPr>
      </w:pPr>
      <w:bookmarkStart w:id="343" w:name="Sample Supporting Documentation"/>
      <w:bookmarkEnd w:id="343"/>
      <w:bookmarkStart w:id="344" w:name="_bookmark91"/>
      <w:bookmarkEnd w:id="344"/>
      <w:r>
        <w:rPr>
          <w:rFonts w:ascii="Arial"/>
          <w:b/>
          <w:smallCaps/>
          <w:sz w:val="26"/>
        </w:rPr>
        <w:t>Sample</w:t>
      </w:r>
      <w:r>
        <w:rPr>
          <w:rFonts w:ascii="Arial"/>
          <w:b/>
          <w:smallCaps/>
          <w:spacing w:val="-11"/>
          <w:sz w:val="26"/>
        </w:rPr>
        <w:t xml:space="preserve"> </w:t>
      </w:r>
      <w:r>
        <w:rPr>
          <w:rFonts w:ascii="Arial"/>
          <w:b/>
          <w:smallCaps/>
          <w:sz w:val="26"/>
        </w:rPr>
        <w:t>Supporting</w:t>
      </w:r>
      <w:r>
        <w:rPr>
          <w:rFonts w:ascii="Arial"/>
          <w:b/>
          <w:smallCaps/>
          <w:spacing w:val="-11"/>
          <w:sz w:val="26"/>
        </w:rPr>
        <w:t xml:space="preserve"> </w:t>
      </w:r>
      <w:r>
        <w:rPr>
          <w:rFonts w:ascii="Arial"/>
          <w:b/>
          <w:smallCaps/>
          <w:spacing w:val="-2"/>
          <w:sz w:val="26"/>
        </w:rPr>
        <w:t>Documentation</w:t>
      </w:r>
    </w:p>
    <w:p>
      <w:pPr>
        <w:spacing w:before="240"/>
        <w:ind w:left="504" w:right="0" w:firstLine="0"/>
        <w:jc w:val="left"/>
        <w:rPr>
          <w:rFonts w:ascii="Arial"/>
          <w:b/>
          <w:sz w:val="21"/>
        </w:rPr>
      </w:pPr>
      <w:bookmarkStart w:id="345" w:name="SAMPLE MA Cover Sheets"/>
      <w:bookmarkEnd w:id="345"/>
      <w:r>
        <w:rPr>
          <w:rFonts w:ascii="Arial"/>
          <w:b/>
          <w:sz w:val="21"/>
        </w:rPr>
        <w:t>SAMPLE</w:t>
      </w:r>
      <w:r>
        <w:rPr>
          <w:rFonts w:ascii="Arial"/>
          <w:b/>
          <w:spacing w:val="-6"/>
          <w:sz w:val="21"/>
        </w:rPr>
        <w:t xml:space="preserve"> </w:t>
      </w:r>
      <w:r>
        <w:rPr>
          <w:rFonts w:ascii="Arial"/>
          <w:b/>
          <w:sz w:val="21"/>
        </w:rPr>
        <w:t>MA</w:t>
      </w:r>
      <w:r>
        <w:rPr>
          <w:rFonts w:ascii="Arial"/>
          <w:b/>
          <w:spacing w:val="-5"/>
          <w:sz w:val="21"/>
        </w:rPr>
        <w:t xml:space="preserve"> </w:t>
      </w:r>
      <w:r>
        <w:rPr>
          <w:rFonts w:ascii="Arial"/>
          <w:b/>
          <w:sz w:val="21"/>
        </w:rPr>
        <w:t>Cover</w:t>
      </w:r>
      <w:r>
        <w:rPr>
          <w:rFonts w:ascii="Arial"/>
          <w:b/>
          <w:spacing w:val="-6"/>
          <w:sz w:val="21"/>
        </w:rPr>
        <w:t xml:space="preserve"> </w:t>
      </w:r>
      <w:r>
        <w:rPr>
          <w:rFonts w:ascii="Arial"/>
          <w:b/>
          <w:spacing w:val="-2"/>
          <w:sz w:val="21"/>
        </w:rPr>
        <w:t>Sheets</w:t>
      </w:r>
    </w:p>
    <w:p>
      <w:pPr>
        <w:spacing w:before="239"/>
        <w:ind w:left="2561" w:right="0" w:firstLine="0"/>
        <w:jc w:val="left"/>
        <w:rPr>
          <w:rFonts w:ascii="Arial"/>
          <w:b/>
          <w:sz w:val="21"/>
        </w:rPr>
      </w:pPr>
      <w:bookmarkStart w:id="346" w:name="MA Cover Sheet #1 - CY2027 Initial Bid S"/>
      <w:bookmarkEnd w:id="346"/>
      <w:r>
        <w:rPr>
          <w:rFonts w:ascii="Arial"/>
          <w:b/>
          <w:sz w:val="21"/>
        </w:rPr>
        <w:t>MA</w:t>
      </w:r>
      <w:r>
        <w:rPr>
          <w:rFonts w:ascii="Arial"/>
          <w:b/>
          <w:spacing w:val="-3"/>
          <w:sz w:val="21"/>
        </w:rPr>
        <w:t xml:space="preserve"> </w:t>
      </w:r>
      <w:r>
        <w:rPr>
          <w:rFonts w:ascii="Arial"/>
          <w:b/>
          <w:sz w:val="21"/>
        </w:rPr>
        <w:t>Cover</w:t>
      </w:r>
      <w:r>
        <w:rPr>
          <w:rFonts w:ascii="Arial"/>
          <w:b/>
          <w:spacing w:val="-5"/>
          <w:sz w:val="21"/>
        </w:rPr>
        <w:t xml:space="preserve"> </w:t>
      </w:r>
      <w:r>
        <w:rPr>
          <w:rFonts w:ascii="Arial"/>
          <w:b/>
          <w:sz w:val="21"/>
        </w:rPr>
        <w:t>Sheet</w:t>
      </w:r>
      <w:r>
        <w:rPr>
          <w:rFonts w:ascii="Arial"/>
          <w:b/>
          <w:spacing w:val="-3"/>
          <w:sz w:val="21"/>
        </w:rPr>
        <w:t xml:space="preserve"> </w:t>
      </w:r>
      <w:r>
        <w:rPr>
          <w:rFonts w:ascii="Arial"/>
          <w:b/>
          <w:sz w:val="21"/>
        </w:rPr>
        <w:t>#1</w:t>
      </w:r>
      <w:r>
        <w:rPr>
          <w:rFonts w:ascii="Arial"/>
          <w:b/>
          <w:spacing w:val="-4"/>
          <w:sz w:val="21"/>
        </w:rPr>
        <w:t xml:space="preserve"> </w:t>
      </w:r>
      <w:r>
        <w:rPr>
          <w:rFonts w:ascii="Arial"/>
          <w:b/>
          <w:sz w:val="21"/>
        </w:rPr>
        <w:t>-</w:t>
      </w:r>
      <w:r>
        <w:rPr>
          <w:rFonts w:ascii="Arial"/>
          <w:b/>
          <w:spacing w:val="-5"/>
          <w:sz w:val="21"/>
        </w:rPr>
        <w:t xml:space="preserve"> </w:t>
      </w:r>
      <w:r>
        <w:rPr>
          <w:rFonts w:ascii="Arial"/>
          <w:b/>
          <w:sz w:val="21"/>
        </w:rPr>
        <w:t>CY2027</w:t>
      </w:r>
      <w:r>
        <w:rPr>
          <w:rFonts w:ascii="Arial"/>
          <w:b/>
          <w:spacing w:val="-3"/>
          <w:sz w:val="21"/>
        </w:rPr>
        <w:t xml:space="preserve"> </w:t>
      </w:r>
      <w:r>
        <w:rPr>
          <w:rFonts w:ascii="Arial"/>
          <w:b/>
          <w:sz w:val="21"/>
        </w:rPr>
        <w:t>Initial</w:t>
      </w:r>
      <w:r>
        <w:rPr>
          <w:rFonts w:ascii="Arial"/>
          <w:b/>
          <w:spacing w:val="-5"/>
          <w:sz w:val="21"/>
        </w:rPr>
        <w:t xml:space="preserve"> </w:t>
      </w:r>
      <w:r>
        <w:rPr>
          <w:rFonts w:ascii="Arial"/>
          <w:b/>
          <w:sz w:val="21"/>
        </w:rPr>
        <w:t>Bid</w:t>
      </w:r>
      <w:r>
        <w:rPr>
          <w:rFonts w:ascii="Arial"/>
          <w:b/>
          <w:spacing w:val="-5"/>
          <w:sz w:val="21"/>
        </w:rPr>
        <w:t xml:space="preserve"> </w:t>
      </w:r>
      <w:r>
        <w:rPr>
          <w:rFonts w:ascii="Arial"/>
          <w:b/>
          <w:spacing w:val="-2"/>
          <w:sz w:val="21"/>
        </w:rPr>
        <w:t>Submission</w:t>
      </w:r>
    </w:p>
    <w:p>
      <w:pPr>
        <w:spacing w:before="120"/>
        <w:ind w:left="504" w:right="7030" w:firstLine="0"/>
        <w:jc w:val="left"/>
        <w:rPr>
          <w:sz w:val="24"/>
        </w:rPr>
      </w:pPr>
      <w:r>
        <w:rPr>
          <w:b/>
          <w:sz w:val="24"/>
        </w:rPr>
        <w:t>Organization</w:t>
      </w:r>
      <w:r>
        <w:rPr>
          <w:b/>
          <w:spacing w:val="-13"/>
          <w:sz w:val="24"/>
        </w:rPr>
        <w:t xml:space="preserve"> </w:t>
      </w:r>
      <w:r>
        <w:rPr>
          <w:b/>
          <w:sz w:val="24"/>
        </w:rPr>
        <w:t>Name</w:t>
      </w:r>
      <w:r>
        <w:rPr>
          <w:sz w:val="24"/>
        </w:rPr>
        <w:t>:</w:t>
      </w:r>
      <w:r>
        <w:rPr>
          <w:spacing w:val="-13"/>
          <w:sz w:val="24"/>
        </w:rPr>
        <w:t xml:space="preserve"> </w:t>
      </w:r>
      <w:r>
        <w:rPr>
          <w:sz w:val="24"/>
        </w:rPr>
        <w:t>Health</w:t>
      </w:r>
      <w:r>
        <w:rPr>
          <w:spacing w:val="-13"/>
          <w:sz w:val="24"/>
        </w:rPr>
        <w:t xml:space="preserve"> </w:t>
      </w:r>
      <w:r>
        <w:rPr>
          <w:sz w:val="24"/>
        </w:rPr>
        <w:t xml:space="preserve">One </w:t>
      </w:r>
      <w:r>
        <w:rPr>
          <w:b/>
          <w:sz w:val="24"/>
        </w:rPr>
        <w:t xml:space="preserve">Contract(s): </w:t>
      </w:r>
      <w:r>
        <w:rPr>
          <w:sz w:val="24"/>
        </w:rPr>
        <w:t xml:space="preserve">Hxxxx and Hyyyy </w:t>
      </w:r>
      <w:r>
        <w:rPr>
          <w:b/>
          <w:sz w:val="24"/>
        </w:rPr>
        <w:t xml:space="preserve">Date: </w:t>
      </w:r>
      <w:r>
        <w:rPr>
          <w:sz w:val="24"/>
        </w:rPr>
        <w:t>June 1, 2026</w:t>
      </w:r>
    </w:p>
    <w:tbl>
      <w:tblPr>
        <w:tblStyle w:val="TableNormal"/>
        <w:tblW w:w="0" w:type="auto"/>
        <w:jc w:val="left"/>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95"/>
        <w:gridCol w:w="1486"/>
        <w:gridCol w:w="2751"/>
        <w:gridCol w:w="1981"/>
        <w:gridCol w:w="1121"/>
      </w:tblGrid>
      <w:tr>
        <w:tblPrEx>
          <w:tblW w:w="0" w:type="auto"/>
          <w:jc w:val="left"/>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25"/>
          <w:jc w:val="left"/>
        </w:trPr>
        <w:tc>
          <w:tcPr>
            <w:tcW w:w="1795" w:type="dxa"/>
          </w:tcPr>
          <w:p>
            <w:pPr>
              <w:pStyle w:val="TableParagraph"/>
              <w:spacing w:line="254" w:lineRule="exact"/>
              <w:ind w:left="107"/>
              <w:rPr>
                <w:b/>
                <w:sz w:val="22"/>
              </w:rPr>
            </w:pPr>
            <w:r>
              <w:rPr>
                <w:b/>
                <w:spacing w:val="-2"/>
                <w:sz w:val="22"/>
              </w:rPr>
              <w:t>Documentation Requirement</w:t>
            </w:r>
          </w:p>
        </w:tc>
        <w:tc>
          <w:tcPr>
            <w:tcW w:w="1486" w:type="dxa"/>
          </w:tcPr>
          <w:p>
            <w:pPr>
              <w:pStyle w:val="TableParagraph"/>
              <w:spacing w:line="254" w:lineRule="exact"/>
              <w:ind w:left="107" w:right="362"/>
              <w:rPr>
                <w:b/>
                <w:sz w:val="22"/>
              </w:rPr>
            </w:pPr>
            <w:r>
              <w:rPr>
                <w:b/>
                <w:spacing w:val="-2"/>
                <w:sz w:val="22"/>
              </w:rPr>
              <w:t>Specific Bid(s)</w:t>
            </w:r>
          </w:p>
        </w:tc>
        <w:tc>
          <w:tcPr>
            <w:tcW w:w="2751" w:type="dxa"/>
          </w:tcPr>
          <w:p>
            <w:pPr>
              <w:pStyle w:val="TableParagraph"/>
              <w:spacing w:before="253" w:line="252" w:lineRule="exact"/>
              <w:ind w:left="108"/>
              <w:rPr>
                <w:b/>
                <w:sz w:val="22"/>
              </w:rPr>
            </w:pPr>
            <w:r>
              <w:rPr>
                <w:b/>
                <w:sz w:val="22"/>
              </w:rPr>
              <w:t>File</w:t>
            </w:r>
            <w:r>
              <w:rPr>
                <w:b/>
                <w:spacing w:val="1"/>
                <w:sz w:val="22"/>
              </w:rPr>
              <w:t xml:space="preserve"> </w:t>
            </w:r>
            <w:r>
              <w:rPr>
                <w:b/>
                <w:spacing w:val="-4"/>
                <w:sz w:val="22"/>
              </w:rPr>
              <w:t>Name</w:t>
            </w:r>
          </w:p>
        </w:tc>
        <w:tc>
          <w:tcPr>
            <w:tcW w:w="1981" w:type="dxa"/>
          </w:tcPr>
          <w:p>
            <w:pPr>
              <w:pStyle w:val="TableParagraph"/>
              <w:spacing w:line="254" w:lineRule="exact"/>
              <w:ind w:left="105" w:right="374"/>
              <w:rPr>
                <w:b/>
                <w:sz w:val="22"/>
              </w:rPr>
            </w:pPr>
            <w:r>
              <w:rPr>
                <w:b/>
                <w:sz w:val="22"/>
              </w:rPr>
              <w:t>Location</w:t>
            </w:r>
            <w:r>
              <w:rPr>
                <w:b/>
                <w:spacing w:val="-14"/>
                <w:sz w:val="22"/>
              </w:rPr>
              <w:t xml:space="preserve"> </w:t>
            </w:r>
            <w:r>
              <w:rPr>
                <w:b/>
                <w:sz w:val="22"/>
              </w:rPr>
              <w:t xml:space="preserve">within </w:t>
            </w:r>
            <w:r>
              <w:rPr>
                <w:b/>
                <w:spacing w:val="-4"/>
                <w:sz w:val="22"/>
              </w:rPr>
              <w:t>File</w:t>
            </w:r>
          </w:p>
        </w:tc>
        <w:tc>
          <w:tcPr>
            <w:tcW w:w="1121" w:type="dxa"/>
          </w:tcPr>
          <w:p>
            <w:pPr>
              <w:pStyle w:val="TableParagraph"/>
              <w:spacing w:line="251" w:lineRule="exact"/>
              <w:ind w:left="105"/>
              <w:rPr>
                <w:b/>
                <w:sz w:val="22"/>
              </w:rPr>
            </w:pPr>
            <w:r>
              <w:rPr>
                <w:b/>
                <w:sz w:val="22"/>
              </w:rPr>
              <w:t>MA,</w:t>
            </w:r>
            <w:r>
              <w:rPr>
                <w:b/>
                <w:spacing w:val="-1"/>
                <w:sz w:val="22"/>
              </w:rPr>
              <w:t xml:space="preserve"> </w:t>
            </w:r>
            <w:r>
              <w:rPr>
                <w:b/>
                <w:spacing w:val="-5"/>
                <w:sz w:val="22"/>
              </w:rPr>
              <w:t>PD</w:t>
            </w:r>
          </w:p>
          <w:p>
            <w:pPr>
              <w:pStyle w:val="TableParagraph"/>
              <w:spacing w:before="1" w:line="252" w:lineRule="exact"/>
              <w:ind w:left="105"/>
              <w:rPr>
                <w:b/>
                <w:sz w:val="22"/>
              </w:rPr>
            </w:pPr>
            <w:r>
              <w:rPr>
                <w:b/>
                <w:sz w:val="22"/>
              </w:rPr>
              <w:t xml:space="preserve">or </w:t>
            </w:r>
            <w:r>
              <w:rPr>
                <w:b/>
                <w:spacing w:val="-4"/>
                <w:sz w:val="22"/>
              </w:rPr>
              <w:t>Both</w:t>
            </w:r>
          </w:p>
        </w:tc>
      </w:tr>
      <w:tr>
        <w:tblPrEx>
          <w:tblW w:w="0" w:type="auto"/>
          <w:jc w:val="left"/>
          <w:tblInd w:w="689" w:type="dxa"/>
          <w:tblLayout w:type="fixed"/>
          <w:tblCellMar>
            <w:top w:w="0" w:type="dxa"/>
            <w:left w:w="0" w:type="dxa"/>
            <w:bottom w:w="0" w:type="dxa"/>
            <w:right w:w="0" w:type="dxa"/>
          </w:tblCellMar>
          <w:tblLook w:val="01E0"/>
        </w:tblPrEx>
        <w:trPr>
          <w:trHeight w:val="758"/>
          <w:jc w:val="left"/>
        </w:trPr>
        <w:tc>
          <w:tcPr>
            <w:tcW w:w="1795" w:type="dxa"/>
          </w:tcPr>
          <w:p>
            <w:pPr>
              <w:pStyle w:val="TableParagraph"/>
              <w:spacing w:line="251" w:lineRule="exact"/>
              <w:ind w:left="230"/>
              <w:rPr>
                <w:sz w:val="22"/>
              </w:rPr>
            </w:pPr>
            <w:r>
              <w:rPr>
                <w:sz w:val="22"/>
              </w:rPr>
              <w:t>1</w:t>
            </w:r>
            <w:r>
              <w:rPr>
                <w:spacing w:val="11"/>
                <w:sz w:val="22"/>
              </w:rPr>
              <w:t xml:space="preserve"> </w:t>
            </w:r>
            <w:r>
              <w:rPr>
                <w:sz w:val="22"/>
              </w:rPr>
              <w:t>Cover</w:t>
            </w:r>
            <w:r>
              <w:rPr>
                <w:spacing w:val="1"/>
                <w:sz w:val="22"/>
              </w:rPr>
              <w:t xml:space="preserve"> </w:t>
            </w:r>
            <w:r>
              <w:rPr>
                <w:spacing w:val="-2"/>
                <w:sz w:val="22"/>
              </w:rPr>
              <w:t>sheet</w:t>
            </w:r>
          </w:p>
        </w:tc>
        <w:tc>
          <w:tcPr>
            <w:tcW w:w="1486" w:type="dxa"/>
          </w:tcPr>
          <w:p>
            <w:pPr>
              <w:pStyle w:val="TableParagraph"/>
              <w:spacing w:line="251" w:lineRule="exact"/>
              <w:ind w:left="107"/>
              <w:rPr>
                <w:sz w:val="22"/>
              </w:rPr>
            </w:pPr>
            <w:r>
              <w:rPr>
                <w:sz w:val="22"/>
              </w:rPr>
              <w:t>All</w:t>
            </w:r>
            <w:r>
              <w:rPr>
                <w:spacing w:val="-1"/>
                <w:sz w:val="22"/>
              </w:rPr>
              <w:t xml:space="preserve"> </w:t>
            </w:r>
            <w:r>
              <w:rPr>
                <w:spacing w:val="-4"/>
                <w:sz w:val="22"/>
              </w:rPr>
              <w:t>bids</w:t>
            </w:r>
          </w:p>
        </w:tc>
        <w:tc>
          <w:tcPr>
            <w:tcW w:w="2751" w:type="dxa"/>
          </w:tcPr>
          <w:p>
            <w:pPr>
              <w:pStyle w:val="TableParagraph"/>
              <w:spacing w:line="251" w:lineRule="exact"/>
              <w:ind w:left="108"/>
              <w:rPr>
                <w:sz w:val="22"/>
              </w:rPr>
            </w:pPr>
            <w:r>
              <w:rPr>
                <w:sz w:val="22"/>
              </w:rPr>
              <w:t>1</w:t>
            </w:r>
            <w:r>
              <w:rPr>
                <w:spacing w:val="-2"/>
                <w:sz w:val="22"/>
              </w:rPr>
              <w:t xml:space="preserve"> </w:t>
            </w:r>
            <w:r>
              <w:rPr>
                <w:sz w:val="22"/>
              </w:rPr>
              <w:t>Cover</w:t>
            </w:r>
            <w:r>
              <w:rPr>
                <w:spacing w:val="-1"/>
                <w:sz w:val="22"/>
              </w:rPr>
              <w:t xml:space="preserve"> </w:t>
            </w:r>
            <w:r>
              <w:rPr>
                <w:sz w:val="22"/>
              </w:rPr>
              <w:t xml:space="preserve">Sheet </w:t>
            </w:r>
            <w:r>
              <w:rPr>
                <w:spacing w:val="-2"/>
                <w:sz w:val="22"/>
              </w:rPr>
              <w:t>HealthOne</w:t>
            </w:r>
          </w:p>
          <w:p>
            <w:pPr>
              <w:pStyle w:val="TableParagraph"/>
              <w:spacing w:line="252" w:lineRule="exact"/>
              <w:ind w:left="108" w:right="162"/>
              <w:rPr>
                <w:sz w:val="22"/>
              </w:rPr>
            </w:pPr>
            <w:r>
              <w:rPr>
                <w:sz w:val="22"/>
              </w:rPr>
              <w:t>Hxxxx</w:t>
            </w:r>
            <w:r>
              <w:rPr>
                <w:spacing w:val="-14"/>
                <w:sz w:val="22"/>
              </w:rPr>
              <w:t xml:space="preserve"> </w:t>
            </w:r>
            <w:r>
              <w:rPr>
                <w:sz w:val="22"/>
              </w:rPr>
              <w:t>Hyyyy</w:t>
            </w:r>
            <w:r>
              <w:rPr>
                <w:spacing w:val="-14"/>
                <w:sz w:val="22"/>
              </w:rPr>
              <w:t xml:space="preserve"> </w:t>
            </w:r>
            <w:r>
              <w:rPr>
                <w:sz w:val="22"/>
              </w:rPr>
              <w:t>6-</w:t>
            </w:r>
            <w:r>
              <w:rPr>
                <w:sz w:val="22"/>
              </w:rPr>
              <w:t>1-</w:t>
            </w:r>
            <w:r>
              <w:rPr>
                <w:spacing w:val="-2"/>
                <w:sz w:val="22"/>
              </w:rPr>
              <w:t>2026.xlsx</w:t>
            </w:r>
          </w:p>
        </w:tc>
        <w:tc>
          <w:tcPr>
            <w:tcW w:w="1981" w:type="dxa"/>
          </w:tcPr>
          <w:p>
            <w:pPr>
              <w:pStyle w:val="TableParagraph"/>
              <w:spacing w:line="251" w:lineRule="exact"/>
              <w:ind w:left="105"/>
              <w:rPr>
                <w:sz w:val="22"/>
              </w:rPr>
            </w:pPr>
            <w:r>
              <w:rPr>
                <w:sz w:val="22"/>
              </w:rPr>
              <w:t>1</w:t>
            </w:r>
            <w:r>
              <w:rPr>
                <w:spacing w:val="-1"/>
                <w:sz w:val="22"/>
              </w:rPr>
              <w:t xml:space="preserve"> </w:t>
            </w:r>
            <w:r>
              <w:rPr>
                <w:sz w:val="22"/>
              </w:rPr>
              <w:t>Cover</w:t>
            </w:r>
            <w:r>
              <w:rPr>
                <w:spacing w:val="-2"/>
                <w:sz w:val="22"/>
              </w:rPr>
              <w:t xml:space="preserve"> sheet</w:t>
            </w:r>
          </w:p>
        </w:tc>
        <w:tc>
          <w:tcPr>
            <w:tcW w:w="1121" w:type="dxa"/>
          </w:tcPr>
          <w:p>
            <w:pPr>
              <w:pStyle w:val="TableParagraph"/>
              <w:spacing w:line="251" w:lineRule="exact"/>
              <w:ind w:left="105"/>
              <w:rPr>
                <w:sz w:val="22"/>
              </w:rPr>
            </w:pPr>
            <w:r>
              <w:rPr>
                <w:spacing w:val="-4"/>
                <w:sz w:val="22"/>
              </w:rPr>
              <w:t>Both</w:t>
            </w:r>
          </w:p>
        </w:tc>
      </w:tr>
      <w:tr>
        <w:tblPrEx>
          <w:tblW w:w="0" w:type="auto"/>
          <w:jc w:val="left"/>
          <w:tblInd w:w="689" w:type="dxa"/>
          <w:tblLayout w:type="fixed"/>
          <w:tblCellMar>
            <w:top w:w="0" w:type="dxa"/>
            <w:left w:w="0" w:type="dxa"/>
            <w:bottom w:w="0" w:type="dxa"/>
            <w:right w:w="0" w:type="dxa"/>
          </w:tblCellMar>
          <w:tblLook w:val="01E0"/>
        </w:tblPrEx>
        <w:trPr>
          <w:trHeight w:val="506"/>
          <w:jc w:val="left"/>
        </w:trPr>
        <w:tc>
          <w:tcPr>
            <w:tcW w:w="1795" w:type="dxa"/>
          </w:tcPr>
          <w:p>
            <w:pPr>
              <w:pStyle w:val="TableParagraph"/>
              <w:spacing w:before="1"/>
              <w:ind w:left="230"/>
              <w:rPr>
                <w:sz w:val="22"/>
              </w:rPr>
            </w:pPr>
            <w:r>
              <w:rPr>
                <w:sz w:val="22"/>
              </w:rPr>
              <w:t>1</w:t>
            </w:r>
            <w:r>
              <w:rPr>
                <w:spacing w:val="14"/>
                <w:sz w:val="22"/>
              </w:rPr>
              <w:t xml:space="preserve"> </w:t>
            </w:r>
            <w:r>
              <w:rPr>
                <w:sz w:val="22"/>
              </w:rPr>
              <w:t>-</w:t>
            </w:r>
            <w:r>
              <w:rPr>
                <w:spacing w:val="-2"/>
                <w:sz w:val="22"/>
              </w:rPr>
              <w:t xml:space="preserve"> </w:t>
            </w:r>
            <w:r>
              <w:rPr>
                <w:spacing w:val="-10"/>
                <w:sz w:val="22"/>
              </w:rPr>
              <w:t>9</w:t>
            </w:r>
          </w:p>
        </w:tc>
        <w:tc>
          <w:tcPr>
            <w:tcW w:w="1486" w:type="dxa"/>
          </w:tcPr>
          <w:p>
            <w:pPr>
              <w:pStyle w:val="TableParagraph"/>
              <w:spacing w:before="1"/>
              <w:ind w:left="107"/>
              <w:rPr>
                <w:sz w:val="22"/>
              </w:rPr>
            </w:pPr>
            <w:r>
              <w:rPr>
                <w:sz w:val="22"/>
              </w:rPr>
              <w:t>All</w:t>
            </w:r>
            <w:r>
              <w:rPr>
                <w:spacing w:val="-1"/>
                <w:sz w:val="22"/>
              </w:rPr>
              <w:t xml:space="preserve"> </w:t>
            </w:r>
            <w:r>
              <w:rPr>
                <w:spacing w:val="-4"/>
                <w:sz w:val="22"/>
              </w:rPr>
              <w:t>bids</w:t>
            </w:r>
          </w:p>
        </w:tc>
        <w:tc>
          <w:tcPr>
            <w:tcW w:w="2751" w:type="dxa"/>
          </w:tcPr>
          <w:p>
            <w:pPr>
              <w:pStyle w:val="TableParagraph"/>
              <w:spacing w:line="252" w:lineRule="exact"/>
              <w:ind w:left="108"/>
              <w:rPr>
                <w:sz w:val="22"/>
              </w:rPr>
            </w:pPr>
            <w:r>
              <w:rPr>
                <w:sz w:val="22"/>
              </w:rPr>
              <w:t>Pricing Memo HealthOne Hxxxx,</w:t>
            </w:r>
            <w:r>
              <w:rPr>
                <w:spacing w:val="-14"/>
                <w:sz w:val="22"/>
              </w:rPr>
              <w:t xml:space="preserve"> </w:t>
            </w:r>
            <w:r>
              <w:rPr>
                <w:sz w:val="22"/>
              </w:rPr>
              <w:t>Hyyyy</w:t>
            </w:r>
            <w:r>
              <w:rPr>
                <w:spacing w:val="-14"/>
                <w:sz w:val="22"/>
              </w:rPr>
              <w:t xml:space="preserve"> </w:t>
            </w:r>
            <w:r>
              <w:rPr>
                <w:sz w:val="22"/>
              </w:rPr>
              <w:t>6-1-</w:t>
            </w:r>
            <w:r>
              <w:rPr>
                <w:sz w:val="22"/>
              </w:rPr>
              <w:t>2026.pdf</w:t>
            </w:r>
          </w:p>
        </w:tc>
        <w:tc>
          <w:tcPr>
            <w:tcW w:w="1981" w:type="dxa"/>
          </w:tcPr>
          <w:p>
            <w:pPr>
              <w:pStyle w:val="TableParagraph"/>
              <w:spacing w:before="1" w:line="252" w:lineRule="exact"/>
              <w:ind w:left="105"/>
              <w:rPr>
                <w:sz w:val="22"/>
              </w:rPr>
            </w:pPr>
            <w:r>
              <w:rPr>
                <w:sz w:val="22"/>
              </w:rPr>
              <w:t>MA</w:t>
            </w:r>
            <w:r>
              <w:rPr>
                <w:spacing w:val="-1"/>
                <w:sz w:val="22"/>
              </w:rPr>
              <w:t xml:space="preserve"> </w:t>
            </w:r>
            <w:r>
              <w:rPr>
                <w:sz w:val="22"/>
              </w:rPr>
              <w:t>#1</w:t>
            </w:r>
            <w:r>
              <w:rPr>
                <w:spacing w:val="-1"/>
                <w:sz w:val="22"/>
              </w:rPr>
              <w:t xml:space="preserve"> </w:t>
            </w:r>
            <w:r>
              <w:rPr>
                <w:sz w:val="22"/>
              </w:rPr>
              <w:t>-</w:t>
            </w:r>
            <w:r>
              <w:rPr>
                <w:spacing w:val="-2"/>
                <w:sz w:val="22"/>
              </w:rPr>
              <w:t xml:space="preserve"> </w:t>
            </w:r>
            <w:r>
              <w:rPr>
                <w:spacing w:val="-5"/>
                <w:sz w:val="22"/>
              </w:rPr>
              <w:t>#9</w:t>
            </w:r>
          </w:p>
          <w:p>
            <w:pPr>
              <w:pStyle w:val="TableParagraph"/>
              <w:spacing w:line="233" w:lineRule="exact"/>
              <w:ind w:left="105"/>
              <w:rPr>
                <w:sz w:val="22"/>
              </w:rPr>
            </w:pPr>
            <w:r>
              <w:rPr>
                <w:sz w:val="22"/>
              </w:rPr>
              <w:t>PD</w:t>
            </w:r>
            <w:r>
              <w:rPr>
                <w:spacing w:val="-5"/>
                <w:sz w:val="22"/>
              </w:rPr>
              <w:t xml:space="preserve"> </w:t>
            </w:r>
            <w:r>
              <w:rPr>
                <w:sz w:val="22"/>
              </w:rPr>
              <w:t>#1 -</w:t>
            </w:r>
            <w:r>
              <w:rPr>
                <w:spacing w:val="-2"/>
                <w:sz w:val="22"/>
              </w:rPr>
              <w:t xml:space="preserve"> </w:t>
            </w:r>
            <w:r>
              <w:rPr>
                <w:spacing w:val="-5"/>
                <w:sz w:val="22"/>
              </w:rPr>
              <w:t>#9</w:t>
            </w:r>
          </w:p>
        </w:tc>
        <w:tc>
          <w:tcPr>
            <w:tcW w:w="1121" w:type="dxa"/>
          </w:tcPr>
          <w:p>
            <w:pPr>
              <w:pStyle w:val="TableParagraph"/>
              <w:spacing w:before="1"/>
              <w:ind w:left="105"/>
              <w:rPr>
                <w:sz w:val="22"/>
              </w:rPr>
            </w:pPr>
            <w:r>
              <w:rPr>
                <w:spacing w:val="-4"/>
                <w:sz w:val="22"/>
              </w:rPr>
              <w:t>Both</w:t>
            </w:r>
          </w:p>
        </w:tc>
      </w:tr>
      <w:tr>
        <w:tblPrEx>
          <w:tblW w:w="0" w:type="auto"/>
          <w:jc w:val="left"/>
          <w:tblInd w:w="689" w:type="dxa"/>
          <w:tblLayout w:type="fixed"/>
          <w:tblCellMar>
            <w:top w:w="0" w:type="dxa"/>
            <w:left w:w="0" w:type="dxa"/>
            <w:bottom w:w="0" w:type="dxa"/>
            <w:right w:w="0" w:type="dxa"/>
          </w:tblCellMar>
          <w:tblLook w:val="01E0"/>
        </w:tblPrEx>
        <w:trPr>
          <w:trHeight w:val="505"/>
          <w:jc w:val="left"/>
        </w:trPr>
        <w:tc>
          <w:tcPr>
            <w:tcW w:w="1795" w:type="dxa"/>
          </w:tcPr>
          <w:p>
            <w:pPr>
              <w:pStyle w:val="TableParagraph"/>
              <w:spacing w:line="252" w:lineRule="exact"/>
              <w:ind w:left="410" w:hanging="180"/>
              <w:rPr>
                <w:sz w:val="22"/>
              </w:rPr>
            </w:pPr>
            <w:r>
              <w:rPr>
                <w:sz w:val="22"/>
              </w:rPr>
              <w:t>3</w:t>
            </w:r>
            <w:r>
              <w:rPr>
                <w:spacing w:val="-11"/>
                <w:sz w:val="22"/>
              </w:rPr>
              <w:t xml:space="preserve"> </w:t>
            </w:r>
            <w:r>
              <w:rPr>
                <w:sz w:val="22"/>
              </w:rPr>
              <w:t>Related-</w:t>
            </w:r>
            <w:r>
              <w:rPr>
                <w:sz w:val="22"/>
              </w:rPr>
              <w:t xml:space="preserve">Party </w:t>
            </w:r>
            <w:r>
              <w:rPr>
                <w:spacing w:val="-2"/>
                <w:sz w:val="22"/>
              </w:rPr>
              <w:t>declaration</w:t>
            </w:r>
          </w:p>
        </w:tc>
        <w:tc>
          <w:tcPr>
            <w:tcW w:w="1486" w:type="dxa"/>
          </w:tcPr>
          <w:p>
            <w:pPr>
              <w:pStyle w:val="TableParagraph"/>
              <w:spacing w:before="1"/>
              <w:ind w:left="107"/>
              <w:rPr>
                <w:sz w:val="22"/>
              </w:rPr>
            </w:pPr>
            <w:r>
              <w:rPr>
                <w:spacing w:val="-2"/>
                <w:sz w:val="22"/>
              </w:rPr>
              <w:t>Hyyyy</w:t>
            </w:r>
          </w:p>
        </w:tc>
        <w:tc>
          <w:tcPr>
            <w:tcW w:w="2751" w:type="dxa"/>
          </w:tcPr>
          <w:p>
            <w:pPr>
              <w:pStyle w:val="TableParagraph"/>
              <w:spacing w:line="252" w:lineRule="exact"/>
              <w:ind w:left="108"/>
              <w:rPr>
                <w:sz w:val="22"/>
              </w:rPr>
            </w:pPr>
            <w:r>
              <w:rPr>
                <w:sz w:val="22"/>
              </w:rPr>
              <w:t>3</w:t>
            </w:r>
            <w:r>
              <w:rPr>
                <w:spacing w:val="-12"/>
                <w:sz w:val="22"/>
              </w:rPr>
              <w:t xml:space="preserve"> </w:t>
            </w:r>
            <w:r>
              <w:rPr>
                <w:sz w:val="22"/>
              </w:rPr>
              <w:t>Related</w:t>
            </w:r>
            <w:r>
              <w:rPr>
                <w:spacing w:val="-12"/>
                <w:sz w:val="22"/>
              </w:rPr>
              <w:t xml:space="preserve"> </w:t>
            </w:r>
            <w:r>
              <w:rPr>
                <w:sz w:val="22"/>
              </w:rPr>
              <w:t>Party</w:t>
            </w:r>
            <w:r>
              <w:rPr>
                <w:spacing w:val="-12"/>
                <w:sz w:val="22"/>
              </w:rPr>
              <w:t xml:space="preserve"> </w:t>
            </w:r>
            <w:r>
              <w:rPr>
                <w:sz w:val="22"/>
              </w:rPr>
              <w:t>Declaration Hyyyy 6-1-2026.pdf</w:t>
            </w:r>
          </w:p>
        </w:tc>
        <w:tc>
          <w:tcPr>
            <w:tcW w:w="1981" w:type="dxa"/>
          </w:tcPr>
          <w:p>
            <w:pPr>
              <w:pStyle w:val="TableParagraph"/>
              <w:spacing w:before="1"/>
              <w:ind w:left="105"/>
              <w:rPr>
                <w:sz w:val="22"/>
              </w:rPr>
            </w:pPr>
            <w:r>
              <w:rPr>
                <w:spacing w:val="-5"/>
                <w:sz w:val="22"/>
              </w:rPr>
              <w:t>N/A</w:t>
            </w:r>
          </w:p>
        </w:tc>
        <w:tc>
          <w:tcPr>
            <w:tcW w:w="1121" w:type="dxa"/>
          </w:tcPr>
          <w:p>
            <w:pPr>
              <w:pStyle w:val="TableParagraph"/>
              <w:spacing w:before="1"/>
              <w:ind w:left="105"/>
              <w:rPr>
                <w:sz w:val="22"/>
              </w:rPr>
            </w:pPr>
            <w:r>
              <w:rPr>
                <w:spacing w:val="-4"/>
                <w:sz w:val="22"/>
              </w:rPr>
              <w:t>Both</w:t>
            </w:r>
          </w:p>
        </w:tc>
      </w:tr>
      <w:tr>
        <w:tblPrEx>
          <w:tblW w:w="0" w:type="auto"/>
          <w:jc w:val="left"/>
          <w:tblInd w:w="689" w:type="dxa"/>
          <w:tblLayout w:type="fixed"/>
          <w:tblCellMar>
            <w:top w:w="0" w:type="dxa"/>
            <w:left w:w="0" w:type="dxa"/>
            <w:bottom w:w="0" w:type="dxa"/>
            <w:right w:w="0" w:type="dxa"/>
          </w:tblCellMar>
          <w:tblLook w:val="01E0"/>
        </w:tblPrEx>
        <w:trPr>
          <w:trHeight w:val="760"/>
          <w:jc w:val="left"/>
        </w:trPr>
        <w:tc>
          <w:tcPr>
            <w:tcW w:w="1795" w:type="dxa"/>
          </w:tcPr>
          <w:p>
            <w:pPr>
              <w:pStyle w:val="TableParagraph"/>
              <w:spacing w:before="1"/>
              <w:ind w:left="410" w:hanging="180"/>
              <w:rPr>
                <w:sz w:val="22"/>
              </w:rPr>
            </w:pPr>
            <w:r>
              <w:rPr>
                <w:sz w:val="22"/>
              </w:rPr>
              <w:t>6</w:t>
            </w:r>
            <w:r>
              <w:rPr>
                <w:spacing w:val="-7"/>
                <w:sz w:val="22"/>
              </w:rPr>
              <w:t xml:space="preserve"> </w:t>
            </w:r>
            <w:r>
              <w:rPr>
                <w:sz w:val="22"/>
              </w:rPr>
              <w:t>Cost</w:t>
            </w:r>
            <w:r>
              <w:rPr>
                <w:spacing w:val="-14"/>
                <w:sz w:val="22"/>
              </w:rPr>
              <w:t xml:space="preserve"> </w:t>
            </w:r>
            <w:r>
              <w:rPr>
                <w:sz w:val="22"/>
              </w:rPr>
              <w:t xml:space="preserve">sharing </w:t>
            </w:r>
            <w:r>
              <w:rPr>
                <w:spacing w:val="-2"/>
                <w:sz w:val="22"/>
              </w:rPr>
              <w:t>mapping</w:t>
            </w:r>
          </w:p>
        </w:tc>
        <w:tc>
          <w:tcPr>
            <w:tcW w:w="1486" w:type="dxa"/>
          </w:tcPr>
          <w:p>
            <w:pPr>
              <w:pStyle w:val="TableParagraph"/>
              <w:spacing w:before="1"/>
              <w:ind w:left="107"/>
              <w:rPr>
                <w:sz w:val="22"/>
              </w:rPr>
            </w:pPr>
            <w:r>
              <w:rPr>
                <w:sz w:val="22"/>
              </w:rPr>
              <w:t>All</w:t>
            </w:r>
            <w:r>
              <w:rPr>
                <w:spacing w:val="-1"/>
                <w:sz w:val="22"/>
              </w:rPr>
              <w:t xml:space="preserve"> </w:t>
            </w:r>
            <w:r>
              <w:rPr>
                <w:spacing w:val="-4"/>
                <w:sz w:val="22"/>
              </w:rPr>
              <w:t>bids</w:t>
            </w:r>
          </w:p>
        </w:tc>
        <w:tc>
          <w:tcPr>
            <w:tcW w:w="2751" w:type="dxa"/>
          </w:tcPr>
          <w:p>
            <w:pPr>
              <w:pStyle w:val="TableParagraph"/>
              <w:spacing w:line="252" w:lineRule="exact"/>
              <w:ind w:left="108" w:right="162"/>
              <w:rPr>
                <w:sz w:val="22"/>
              </w:rPr>
            </w:pPr>
            <w:r>
              <w:rPr>
                <w:sz w:val="22"/>
              </w:rPr>
              <w:t>1</w:t>
            </w:r>
            <w:r>
              <w:rPr>
                <w:spacing w:val="-13"/>
                <w:sz w:val="22"/>
              </w:rPr>
              <w:t xml:space="preserve"> </w:t>
            </w:r>
            <w:r>
              <w:rPr>
                <w:sz w:val="22"/>
              </w:rPr>
              <w:t>Cover</w:t>
            </w:r>
            <w:r>
              <w:rPr>
                <w:spacing w:val="-13"/>
                <w:sz w:val="22"/>
              </w:rPr>
              <w:t xml:space="preserve"> </w:t>
            </w:r>
            <w:r>
              <w:rPr>
                <w:sz w:val="22"/>
              </w:rPr>
              <w:t>Sheet</w:t>
            </w:r>
            <w:r>
              <w:rPr>
                <w:spacing w:val="-12"/>
                <w:sz w:val="22"/>
              </w:rPr>
              <w:t xml:space="preserve"> </w:t>
            </w:r>
            <w:r>
              <w:rPr>
                <w:sz w:val="22"/>
              </w:rPr>
              <w:t>HealthOn</w:t>
            </w:r>
            <w:r>
              <w:rPr>
                <w:sz w:val="22"/>
              </w:rPr>
              <w:t>e Hxxxx Hyyyy 6-1-</w:t>
            </w:r>
            <w:r>
              <w:rPr>
                <w:spacing w:val="-2"/>
                <w:sz w:val="22"/>
              </w:rPr>
              <w:t>2026.xlsx</w:t>
            </w:r>
          </w:p>
        </w:tc>
        <w:tc>
          <w:tcPr>
            <w:tcW w:w="1981" w:type="dxa"/>
          </w:tcPr>
          <w:p>
            <w:pPr>
              <w:pStyle w:val="TableParagraph"/>
              <w:spacing w:before="1"/>
              <w:ind w:left="105"/>
              <w:rPr>
                <w:sz w:val="22"/>
              </w:rPr>
            </w:pPr>
            <w:r>
              <w:rPr>
                <w:sz w:val="22"/>
              </w:rPr>
              <w:t>6.1 WS3</w:t>
            </w:r>
            <w:r>
              <w:rPr>
                <w:spacing w:val="-3"/>
                <w:sz w:val="22"/>
              </w:rPr>
              <w:t xml:space="preserve"> </w:t>
            </w:r>
            <w:r>
              <w:rPr>
                <w:spacing w:val="-2"/>
                <w:sz w:val="22"/>
              </w:rPr>
              <w:t>Mapping</w:t>
            </w:r>
          </w:p>
        </w:tc>
        <w:tc>
          <w:tcPr>
            <w:tcW w:w="1121" w:type="dxa"/>
          </w:tcPr>
          <w:p>
            <w:pPr>
              <w:pStyle w:val="TableParagraph"/>
              <w:spacing w:before="1"/>
              <w:ind w:left="105"/>
              <w:rPr>
                <w:sz w:val="22"/>
              </w:rPr>
            </w:pPr>
            <w:r>
              <w:rPr>
                <w:spacing w:val="-5"/>
                <w:sz w:val="22"/>
              </w:rPr>
              <w:t>MA</w:t>
            </w:r>
          </w:p>
        </w:tc>
      </w:tr>
      <w:tr>
        <w:tblPrEx>
          <w:tblW w:w="0" w:type="auto"/>
          <w:jc w:val="left"/>
          <w:tblInd w:w="689" w:type="dxa"/>
          <w:tblLayout w:type="fixed"/>
          <w:tblCellMar>
            <w:top w:w="0" w:type="dxa"/>
            <w:left w:w="0" w:type="dxa"/>
            <w:bottom w:w="0" w:type="dxa"/>
            <w:right w:w="0" w:type="dxa"/>
          </w:tblCellMar>
          <w:tblLook w:val="01E0"/>
        </w:tblPrEx>
        <w:trPr>
          <w:trHeight w:val="758"/>
          <w:jc w:val="left"/>
        </w:trPr>
        <w:tc>
          <w:tcPr>
            <w:tcW w:w="1795" w:type="dxa"/>
          </w:tcPr>
          <w:p>
            <w:pPr>
              <w:pStyle w:val="TableParagraph"/>
              <w:ind w:left="410" w:hanging="180"/>
              <w:rPr>
                <w:sz w:val="22"/>
              </w:rPr>
            </w:pPr>
            <w:r>
              <w:rPr>
                <w:sz w:val="22"/>
              </w:rPr>
              <w:t>7</w:t>
            </w:r>
            <w:r>
              <w:rPr>
                <w:spacing w:val="-11"/>
                <w:sz w:val="22"/>
              </w:rPr>
              <w:t xml:space="preserve"> </w:t>
            </w:r>
            <w:r>
              <w:rPr>
                <w:sz w:val="22"/>
              </w:rPr>
              <w:t>Non-</w:t>
            </w:r>
            <w:r>
              <w:rPr>
                <w:sz w:val="22"/>
              </w:rPr>
              <w:t xml:space="preserve">benefit </w:t>
            </w:r>
            <w:r>
              <w:rPr>
                <w:spacing w:val="-2"/>
                <w:sz w:val="22"/>
              </w:rPr>
              <w:t>expenses</w:t>
            </w:r>
          </w:p>
        </w:tc>
        <w:tc>
          <w:tcPr>
            <w:tcW w:w="1486" w:type="dxa"/>
          </w:tcPr>
          <w:p>
            <w:pPr>
              <w:pStyle w:val="TableParagraph"/>
              <w:spacing w:line="251" w:lineRule="exact"/>
              <w:ind w:left="107"/>
              <w:rPr>
                <w:sz w:val="22"/>
              </w:rPr>
            </w:pPr>
            <w:r>
              <w:rPr>
                <w:sz w:val="22"/>
              </w:rPr>
              <w:t>All</w:t>
            </w:r>
            <w:r>
              <w:rPr>
                <w:spacing w:val="-1"/>
                <w:sz w:val="22"/>
              </w:rPr>
              <w:t xml:space="preserve"> </w:t>
            </w:r>
            <w:r>
              <w:rPr>
                <w:spacing w:val="-4"/>
                <w:sz w:val="22"/>
              </w:rPr>
              <w:t>bids</w:t>
            </w:r>
          </w:p>
        </w:tc>
        <w:tc>
          <w:tcPr>
            <w:tcW w:w="2751" w:type="dxa"/>
          </w:tcPr>
          <w:p>
            <w:pPr>
              <w:pStyle w:val="TableParagraph"/>
              <w:ind w:left="108"/>
              <w:rPr>
                <w:sz w:val="22"/>
              </w:rPr>
            </w:pPr>
            <w:r>
              <w:rPr>
                <w:sz w:val="22"/>
              </w:rPr>
              <w:t>1</w:t>
            </w:r>
            <w:r>
              <w:rPr>
                <w:spacing w:val="-13"/>
                <w:sz w:val="22"/>
              </w:rPr>
              <w:t xml:space="preserve"> </w:t>
            </w:r>
            <w:r>
              <w:rPr>
                <w:sz w:val="22"/>
              </w:rPr>
              <w:t>Cover</w:t>
            </w:r>
            <w:r>
              <w:rPr>
                <w:spacing w:val="-13"/>
                <w:sz w:val="22"/>
              </w:rPr>
              <w:t xml:space="preserve"> </w:t>
            </w:r>
            <w:r>
              <w:rPr>
                <w:sz w:val="22"/>
              </w:rPr>
              <w:t>Sheet</w:t>
            </w:r>
            <w:r>
              <w:rPr>
                <w:spacing w:val="-12"/>
                <w:sz w:val="22"/>
              </w:rPr>
              <w:t xml:space="preserve"> </w:t>
            </w:r>
            <w:r>
              <w:rPr>
                <w:sz w:val="22"/>
              </w:rPr>
              <w:t>HealthOn</w:t>
            </w:r>
            <w:r>
              <w:rPr>
                <w:sz w:val="22"/>
              </w:rPr>
              <w:t>e Hxxxx Hyyyy 6-1-</w:t>
            </w:r>
          </w:p>
          <w:p>
            <w:pPr>
              <w:pStyle w:val="TableParagraph"/>
              <w:spacing w:line="233" w:lineRule="exact"/>
              <w:ind w:left="108"/>
              <w:rPr>
                <w:sz w:val="22"/>
              </w:rPr>
            </w:pPr>
            <w:r>
              <w:rPr>
                <w:spacing w:val="-2"/>
                <w:sz w:val="22"/>
              </w:rPr>
              <w:t>2026.xlsx</w:t>
            </w:r>
          </w:p>
        </w:tc>
        <w:tc>
          <w:tcPr>
            <w:tcW w:w="1981" w:type="dxa"/>
          </w:tcPr>
          <w:p>
            <w:pPr>
              <w:pStyle w:val="TableParagraph"/>
              <w:spacing w:line="251" w:lineRule="exact"/>
              <w:ind w:left="105"/>
              <w:rPr>
                <w:sz w:val="22"/>
              </w:rPr>
            </w:pPr>
            <w:r>
              <w:rPr>
                <w:sz w:val="22"/>
              </w:rPr>
              <w:t xml:space="preserve">7.1 </w:t>
            </w:r>
            <w:r>
              <w:rPr>
                <w:spacing w:val="-5"/>
                <w:sz w:val="22"/>
              </w:rPr>
              <w:t>NBE</w:t>
            </w:r>
          </w:p>
        </w:tc>
        <w:tc>
          <w:tcPr>
            <w:tcW w:w="1121" w:type="dxa"/>
          </w:tcPr>
          <w:p>
            <w:pPr>
              <w:pStyle w:val="TableParagraph"/>
              <w:spacing w:line="251" w:lineRule="exact"/>
              <w:ind w:left="105"/>
              <w:rPr>
                <w:sz w:val="22"/>
              </w:rPr>
            </w:pPr>
            <w:r>
              <w:rPr>
                <w:spacing w:val="-4"/>
                <w:sz w:val="22"/>
              </w:rPr>
              <w:t>Both</w:t>
            </w:r>
          </w:p>
        </w:tc>
      </w:tr>
      <w:tr>
        <w:tblPrEx>
          <w:tblW w:w="0" w:type="auto"/>
          <w:jc w:val="left"/>
          <w:tblInd w:w="689" w:type="dxa"/>
          <w:tblLayout w:type="fixed"/>
          <w:tblCellMar>
            <w:top w:w="0" w:type="dxa"/>
            <w:left w:w="0" w:type="dxa"/>
            <w:bottom w:w="0" w:type="dxa"/>
            <w:right w:w="0" w:type="dxa"/>
          </w:tblCellMar>
          <w:tblLook w:val="01E0"/>
        </w:tblPrEx>
        <w:trPr>
          <w:trHeight w:val="760"/>
          <w:jc w:val="left"/>
        </w:trPr>
        <w:tc>
          <w:tcPr>
            <w:tcW w:w="1795" w:type="dxa"/>
          </w:tcPr>
          <w:p>
            <w:pPr>
              <w:pStyle w:val="TableParagraph"/>
              <w:ind w:left="410" w:hanging="180"/>
              <w:rPr>
                <w:sz w:val="22"/>
              </w:rPr>
            </w:pPr>
            <w:r>
              <w:rPr>
                <w:sz w:val="22"/>
              </w:rPr>
              <w:t>8</w:t>
            </w:r>
            <w:r>
              <w:rPr>
                <w:spacing w:val="-11"/>
                <w:sz w:val="22"/>
              </w:rPr>
              <w:t xml:space="preserve"> </w:t>
            </w:r>
            <w:r>
              <w:rPr>
                <w:sz w:val="22"/>
              </w:rPr>
              <w:t xml:space="preserve">Gain/loss </w:t>
            </w:r>
            <w:r>
              <w:rPr>
                <w:spacing w:val="-2"/>
                <w:sz w:val="22"/>
              </w:rPr>
              <w:t>margins</w:t>
            </w:r>
          </w:p>
        </w:tc>
        <w:tc>
          <w:tcPr>
            <w:tcW w:w="1486" w:type="dxa"/>
          </w:tcPr>
          <w:p>
            <w:pPr>
              <w:pStyle w:val="TableParagraph"/>
              <w:spacing w:line="251" w:lineRule="exact"/>
              <w:ind w:left="107"/>
              <w:rPr>
                <w:sz w:val="22"/>
              </w:rPr>
            </w:pPr>
            <w:r>
              <w:rPr>
                <w:sz w:val="22"/>
              </w:rPr>
              <w:t>All</w:t>
            </w:r>
            <w:r>
              <w:rPr>
                <w:spacing w:val="-1"/>
                <w:sz w:val="22"/>
              </w:rPr>
              <w:t xml:space="preserve"> </w:t>
            </w:r>
            <w:r>
              <w:rPr>
                <w:spacing w:val="-4"/>
                <w:sz w:val="22"/>
              </w:rPr>
              <w:t>bids</w:t>
            </w:r>
          </w:p>
        </w:tc>
        <w:tc>
          <w:tcPr>
            <w:tcW w:w="2751" w:type="dxa"/>
          </w:tcPr>
          <w:p>
            <w:pPr>
              <w:pStyle w:val="TableParagraph"/>
              <w:spacing w:line="251" w:lineRule="exact"/>
              <w:ind w:left="108"/>
              <w:rPr>
                <w:sz w:val="22"/>
              </w:rPr>
            </w:pPr>
            <w:r>
              <w:rPr>
                <w:sz w:val="22"/>
              </w:rPr>
              <w:t>1</w:t>
            </w:r>
            <w:r>
              <w:rPr>
                <w:spacing w:val="-2"/>
                <w:sz w:val="22"/>
              </w:rPr>
              <w:t xml:space="preserve"> </w:t>
            </w:r>
            <w:r>
              <w:rPr>
                <w:sz w:val="22"/>
              </w:rPr>
              <w:t>Cover</w:t>
            </w:r>
            <w:r>
              <w:rPr>
                <w:spacing w:val="-1"/>
                <w:sz w:val="22"/>
              </w:rPr>
              <w:t xml:space="preserve"> </w:t>
            </w:r>
            <w:r>
              <w:rPr>
                <w:sz w:val="22"/>
              </w:rPr>
              <w:t xml:space="preserve">Sheet </w:t>
            </w:r>
            <w:r>
              <w:rPr>
                <w:spacing w:val="-2"/>
                <w:sz w:val="22"/>
              </w:rPr>
              <w:t>HealthOne</w:t>
            </w:r>
          </w:p>
          <w:p>
            <w:pPr>
              <w:pStyle w:val="TableParagraph"/>
              <w:spacing w:line="252" w:lineRule="exact"/>
              <w:ind w:left="108" w:right="162"/>
              <w:rPr>
                <w:sz w:val="22"/>
              </w:rPr>
            </w:pPr>
            <w:r>
              <w:rPr>
                <w:sz w:val="22"/>
              </w:rPr>
              <w:t>Hxxxx</w:t>
            </w:r>
            <w:r>
              <w:rPr>
                <w:spacing w:val="-14"/>
                <w:sz w:val="22"/>
              </w:rPr>
              <w:t xml:space="preserve"> </w:t>
            </w:r>
            <w:r>
              <w:rPr>
                <w:sz w:val="22"/>
              </w:rPr>
              <w:t>Hyyyy</w:t>
            </w:r>
            <w:r>
              <w:rPr>
                <w:spacing w:val="-14"/>
                <w:sz w:val="22"/>
              </w:rPr>
              <w:t xml:space="preserve"> </w:t>
            </w:r>
            <w:r>
              <w:rPr>
                <w:sz w:val="22"/>
              </w:rPr>
              <w:t>6-</w:t>
            </w:r>
            <w:r>
              <w:rPr>
                <w:sz w:val="22"/>
              </w:rPr>
              <w:t>1-</w:t>
            </w:r>
            <w:r>
              <w:rPr>
                <w:spacing w:val="-2"/>
                <w:sz w:val="22"/>
              </w:rPr>
              <w:t>2026.xlsx</w:t>
            </w:r>
          </w:p>
        </w:tc>
        <w:tc>
          <w:tcPr>
            <w:tcW w:w="1981" w:type="dxa"/>
          </w:tcPr>
          <w:p>
            <w:pPr>
              <w:pStyle w:val="TableParagraph"/>
              <w:spacing w:line="251" w:lineRule="exact"/>
              <w:ind w:left="105"/>
              <w:rPr>
                <w:sz w:val="22"/>
              </w:rPr>
            </w:pPr>
            <w:r>
              <w:rPr>
                <w:sz w:val="22"/>
              </w:rPr>
              <w:t>8.1,</w:t>
            </w:r>
            <w:r>
              <w:rPr>
                <w:spacing w:val="-3"/>
                <w:sz w:val="22"/>
              </w:rPr>
              <w:t xml:space="preserve"> </w:t>
            </w:r>
            <w:r>
              <w:rPr>
                <w:sz w:val="22"/>
              </w:rPr>
              <w:t>8.2,</w:t>
            </w:r>
            <w:r>
              <w:rPr>
                <w:spacing w:val="-1"/>
                <w:sz w:val="22"/>
              </w:rPr>
              <w:t xml:space="preserve"> </w:t>
            </w:r>
            <w:r>
              <w:rPr>
                <w:sz w:val="22"/>
              </w:rPr>
              <w:t>8.3</w:t>
            </w:r>
            <w:r>
              <w:rPr>
                <w:spacing w:val="-1"/>
                <w:sz w:val="22"/>
              </w:rPr>
              <w:t xml:space="preserve"> </w:t>
            </w:r>
            <w:r>
              <w:rPr>
                <w:spacing w:val="-2"/>
                <w:sz w:val="22"/>
              </w:rPr>
              <w:t>Margin</w:t>
            </w:r>
          </w:p>
        </w:tc>
        <w:tc>
          <w:tcPr>
            <w:tcW w:w="1121" w:type="dxa"/>
          </w:tcPr>
          <w:p>
            <w:pPr>
              <w:pStyle w:val="TableParagraph"/>
              <w:spacing w:line="251" w:lineRule="exact"/>
              <w:ind w:left="105"/>
              <w:rPr>
                <w:sz w:val="22"/>
              </w:rPr>
            </w:pPr>
            <w:r>
              <w:rPr>
                <w:spacing w:val="-4"/>
                <w:sz w:val="22"/>
              </w:rPr>
              <w:t>Both</w:t>
            </w:r>
          </w:p>
        </w:tc>
      </w:tr>
      <w:tr>
        <w:tblPrEx>
          <w:tblW w:w="0" w:type="auto"/>
          <w:jc w:val="left"/>
          <w:tblInd w:w="689" w:type="dxa"/>
          <w:tblLayout w:type="fixed"/>
          <w:tblCellMar>
            <w:top w:w="0" w:type="dxa"/>
            <w:left w:w="0" w:type="dxa"/>
            <w:bottom w:w="0" w:type="dxa"/>
            <w:right w:w="0" w:type="dxa"/>
          </w:tblCellMar>
          <w:tblLook w:val="01E0"/>
        </w:tblPrEx>
        <w:trPr>
          <w:trHeight w:val="758"/>
          <w:jc w:val="left"/>
        </w:trPr>
        <w:tc>
          <w:tcPr>
            <w:tcW w:w="1795" w:type="dxa"/>
          </w:tcPr>
          <w:p>
            <w:pPr>
              <w:pStyle w:val="TableParagraph"/>
              <w:spacing w:line="251" w:lineRule="exact"/>
              <w:ind w:left="230"/>
              <w:rPr>
                <w:sz w:val="22"/>
              </w:rPr>
            </w:pPr>
            <w:r>
              <w:rPr>
                <w:sz w:val="22"/>
              </w:rPr>
              <w:t>9</w:t>
            </w:r>
            <w:r>
              <w:rPr>
                <w:spacing w:val="13"/>
                <w:sz w:val="22"/>
              </w:rPr>
              <w:t xml:space="preserve"> </w:t>
            </w:r>
            <w:r>
              <w:rPr>
                <w:sz w:val="22"/>
              </w:rPr>
              <w:t xml:space="preserve">Risk </w:t>
            </w:r>
            <w:r>
              <w:rPr>
                <w:spacing w:val="-2"/>
                <w:sz w:val="22"/>
              </w:rPr>
              <w:t>scores</w:t>
            </w:r>
          </w:p>
        </w:tc>
        <w:tc>
          <w:tcPr>
            <w:tcW w:w="1486" w:type="dxa"/>
          </w:tcPr>
          <w:p>
            <w:pPr>
              <w:pStyle w:val="TableParagraph"/>
              <w:spacing w:line="251" w:lineRule="exact"/>
              <w:ind w:left="107"/>
              <w:rPr>
                <w:sz w:val="22"/>
              </w:rPr>
            </w:pPr>
            <w:r>
              <w:rPr>
                <w:sz w:val="22"/>
              </w:rPr>
              <w:t>All</w:t>
            </w:r>
            <w:r>
              <w:rPr>
                <w:spacing w:val="-1"/>
                <w:sz w:val="22"/>
              </w:rPr>
              <w:t xml:space="preserve"> </w:t>
            </w:r>
            <w:r>
              <w:rPr>
                <w:spacing w:val="-4"/>
                <w:sz w:val="22"/>
              </w:rPr>
              <w:t>bids</w:t>
            </w:r>
          </w:p>
        </w:tc>
        <w:tc>
          <w:tcPr>
            <w:tcW w:w="2751" w:type="dxa"/>
          </w:tcPr>
          <w:p>
            <w:pPr>
              <w:pStyle w:val="TableParagraph"/>
              <w:ind w:left="108"/>
              <w:rPr>
                <w:sz w:val="22"/>
              </w:rPr>
            </w:pPr>
            <w:r>
              <w:rPr>
                <w:sz w:val="22"/>
              </w:rPr>
              <w:t>1</w:t>
            </w:r>
            <w:r>
              <w:rPr>
                <w:spacing w:val="-13"/>
                <w:sz w:val="22"/>
              </w:rPr>
              <w:t xml:space="preserve"> </w:t>
            </w:r>
            <w:r>
              <w:rPr>
                <w:sz w:val="22"/>
              </w:rPr>
              <w:t>Cover</w:t>
            </w:r>
            <w:r>
              <w:rPr>
                <w:spacing w:val="-13"/>
                <w:sz w:val="22"/>
              </w:rPr>
              <w:t xml:space="preserve"> </w:t>
            </w:r>
            <w:r>
              <w:rPr>
                <w:sz w:val="22"/>
              </w:rPr>
              <w:t>Sheet</w:t>
            </w:r>
            <w:r>
              <w:rPr>
                <w:spacing w:val="-12"/>
                <w:sz w:val="22"/>
              </w:rPr>
              <w:t xml:space="preserve"> </w:t>
            </w:r>
            <w:r>
              <w:rPr>
                <w:sz w:val="22"/>
              </w:rPr>
              <w:t>HealthOn</w:t>
            </w:r>
            <w:r>
              <w:rPr>
                <w:sz w:val="22"/>
              </w:rPr>
              <w:t>e Hxxxx Hyyyy 6-1-</w:t>
            </w:r>
          </w:p>
          <w:p>
            <w:pPr>
              <w:pStyle w:val="TableParagraph"/>
              <w:spacing w:line="233" w:lineRule="exact"/>
              <w:ind w:left="108"/>
              <w:rPr>
                <w:sz w:val="22"/>
              </w:rPr>
            </w:pPr>
            <w:r>
              <w:rPr>
                <w:spacing w:val="-2"/>
                <w:sz w:val="22"/>
              </w:rPr>
              <w:t>2026.xlsx</w:t>
            </w:r>
          </w:p>
        </w:tc>
        <w:tc>
          <w:tcPr>
            <w:tcW w:w="1981" w:type="dxa"/>
          </w:tcPr>
          <w:p>
            <w:pPr>
              <w:pStyle w:val="TableParagraph"/>
              <w:numPr>
                <w:ilvl w:val="1"/>
                <w:numId w:val="30"/>
              </w:numPr>
              <w:tabs>
                <w:tab w:val="left" w:pos="436"/>
              </w:tabs>
              <w:spacing w:before="0" w:after="0" w:line="251" w:lineRule="exact"/>
              <w:ind w:left="436" w:right="0" w:hanging="331"/>
              <w:jc w:val="left"/>
              <w:rPr>
                <w:sz w:val="22"/>
              </w:rPr>
            </w:pPr>
            <w:r>
              <w:rPr>
                <w:sz w:val="22"/>
              </w:rPr>
              <w:t>MA</w:t>
            </w:r>
            <w:r>
              <w:rPr>
                <w:spacing w:val="-1"/>
                <w:sz w:val="22"/>
              </w:rPr>
              <w:t xml:space="preserve"> </w:t>
            </w:r>
            <w:r>
              <w:rPr>
                <w:spacing w:val="-5"/>
                <w:sz w:val="22"/>
              </w:rPr>
              <w:t>RS</w:t>
            </w:r>
          </w:p>
          <w:p>
            <w:pPr>
              <w:pStyle w:val="TableParagraph"/>
              <w:numPr>
                <w:ilvl w:val="1"/>
                <w:numId w:val="30"/>
              </w:numPr>
              <w:tabs>
                <w:tab w:val="left" w:pos="436"/>
              </w:tabs>
              <w:spacing w:before="0" w:after="0" w:line="252" w:lineRule="exact"/>
              <w:ind w:left="436" w:right="0" w:hanging="331"/>
              <w:jc w:val="left"/>
              <w:rPr>
                <w:sz w:val="22"/>
              </w:rPr>
            </w:pPr>
            <w:r>
              <w:rPr>
                <w:sz w:val="22"/>
              </w:rPr>
              <w:t>PD</w:t>
            </w:r>
            <w:r>
              <w:rPr>
                <w:spacing w:val="-5"/>
                <w:sz w:val="22"/>
              </w:rPr>
              <w:t xml:space="preserve"> </w:t>
            </w:r>
            <w:r>
              <w:rPr>
                <w:spacing w:val="-7"/>
                <w:sz w:val="22"/>
              </w:rPr>
              <w:t>RS</w:t>
            </w:r>
          </w:p>
        </w:tc>
        <w:tc>
          <w:tcPr>
            <w:tcW w:w="1121" w:type="dxa"/>
          </w:tcPr>
          <w:p>
            <w:pPr>
              <w:pStyle w:val="TableParagraph"/>
              <w:spacing w:line="251" w:lineRule="exact"/>
              <w:ind w:left="105"/>
              <w:rPr>
                <w:sz w:val="22"/>
              </w:rPr>
            </w:pPr>
            <w:r>
              <w:rPr>
                <w:spacing w:val="-4"/>
                <w:sz w:val="22"/>
              </w:rPr>
              <w:t>Both</w:t>
            </w:r>
          </w:p>
        </w:tc>
      </w:tr>
      <w:tr>
        <w:tblPrEx>
          <w:tblW w:w="0" w:type="auto"/>
          <w:jc w:val="left"/>
          <w:tblInd w:w="689" w:type="dxa"/>
          <w:tblLayout w:type="fixed"/>
          <w:tblCellMar>
            <w:top w:w="0" w:type="dxa"/>
            <w:left w:w="0" w:type="dxa"/>
            <w:bottom w:w="0" w:type="dxa"/>
            <w:right w:w="0" w:type="dxa"/>
          </w:tblCellMar>
          <w:tblLook w:val="01E0"/>
        </w:tblPrEx>
        <w:trPr>
          <w:trHeight w:val="505"/>
          <w:jc w:val="left"/>
        </w:trPr>
        <w:tc>
          <w:tcPr>
            <w:tcW w:w="1795" w:type="dxa"/>
          </w:tcPr>
          <w:p>
            <w:pPr>
              <w:pStyle w:val="TableParagraph"/>
              <w:spacing w:line="251" w:lineRule="exact"/>
              <w:ind w:left="119"/>
              <w:rPr>
                <w:sz w:val="22"/>
              </w:rPr>
            </w:pPr>
            <w:r>
              <w:rPr>
                <w:sz w:val="22"/>
              </w:rPr>
              <w:t>12</w:t>
            </w:r>
            <w:r>
              <w:rPr>
                <w:spacing w:val="12"/>
                <w:sz w:val="22"/>
              </w:rPr>
              <w:t xml:space="preserve"> </w:t>
            </w:r>
            <w:r>
              <w:rPr>
                <w:sz w:val="22"/>
              </w:rPr>
              <w:t>Manual</w:t>
            </w:r>
            <w:r>
              <w:rPr>
                <w:spacing w:val="-2"/>
                <w:sz w:val="22"/>
              </w:rPr>
              <w:t xml:space="preserve"> rates</w:t>
            </w:r>
          </w:p>
        </w:tc>
        <w:tc>
          <w:tcPr>
            <w:tcW w:w="1486" w:type="dxa"/>
          </w:tcPr>
          <w:p>
            <w:pPr>
              <w:pStyle w:val="TableParagraph"/>
              <w:spacing w:line="251" w:lineRule="exact"/>
              <w:ind w:left="107"/>
              <w:rPr>
                <w:sz w:val="22"/>
              </w:rPr>
            </w:pPr>
            <w:r>
              <w:rPr>
                <w:spacing w:val="-2"/>
                <w:sz w:val="22"/>
              </w:rPr>
              <w:t>Hxxxx</w:t>
            </w:r>
          </w:p>
        </w:tc>
        <w:tc>
          <w:tcPr>
            <w:tcW w:w="2751" w:type="dxa"/>
          </w:tcPr>
          <w:p>
            <w:pPr>
              <w:pStyle w:val="TableParagraph"/>
              <w:spacing w:line="254" w:lineRule="exact"/>
              <w:ind w:left="108"/>
              <w:rPr>
                <w:sz w:val="22"/>
              </w:rPr>
            </w:pPr>
            <w:r>
              <w:rPr>
                <w:sz w:val="22"/>
              </w:rPr>
              <w:t>Pricing Memo HealthOne Hxxxx,</w:t>
            </w:r>
            <w:r>
              <w:rPr>
                <w:spacing w:val="-14"/>
                <w:sz w:val="22"/>
              </w:rPr>
              <w:t xml:space="preserve"> </w:t>
            </w:r>
            <w:r>
              <w:rPr>
                <w:sz w:val="22"/>
              </w:rPr>
              <w:t>Hyyyy</w:t>
            </w:r>
            <w:r>
              <w:rPr>
                <w:spacing w:val="-14"/>
                <w:sz w:val="22"/>
              </w:rPr>
              <w:t xml:space="preserve"> </w:t>
            </w:r>
            <w:r>
              <w:rPr>
                <w:sz w:val="22"/>
              </w:rPr>
              <w:t>6-1-</w:t>
            </w:r>
            <w:r>
              <w:rPr>
                <w:sz w:val="22"/>
              </w:rPr>
              <w:t>2026.pdf</w:t>
            </w:r>
          </w:p>
        </w:tc>
        <w:tc>
          <w:tcPr>
            <w:tcW w:w="1981" w:type="dxa"/>
          </w:tcPr>
          <w:p>
            <w:pPr>
              <w:pStyle w:val="TableParagraph"/>
              <w:spacing w:line="251" w:lineRule="exact"/>
              <w:ind w:left="105"/>
              <w:rPr>
                <w:sz w:val="22"/>
              </w:rPr>
            </w:pPr>
            <w:r>
              <w:rPr>
                <w:sz w:val="22"/>
              </w:rPr>
              <w:t>MA</w:t>
            </w:r>
            <w:r>
              <w:rPr>
                <w:spacing w:val="-1"/>
                <w:sz w:val="22"/>
              </w:rPr>
              <w:t xml:space="preserve"> </w:t>
            </w:r>
            <w:r>
              <w:rPr>
                <w:spacing w:val="-5"/>
                <w:sz w:val="22"/>
              </w:rPr>
              <w:t>#12</w:t>
            </w:r>
          </w:p>
          <w:p>
            <w:pPr>
              <w:pStyle w:val="TableParagraph"/>
              <w:spacing w:before="1" w:line="233" w:lineRule="exact"/>
              <w:ind w:left="105"/>
              <w:rPr>
                <w:sz w:val="22"/>
              </w:rPr>
            </w:pPr>
            <w:r>
              <w:rPr>
                <w:sz w:val="22"/>
              </w:rPr>
              <w:t>PD</w:t>
            </w:r>
            <w:r>
              <w:rPr>
                <w:spacing w:val="-5"/>
                <w:sz w:val="22"/>
              </w:rPr>
              <w:t xml:space="preserve"> #12</w:t>
            </w:r>
          </w:p>
        </w:tc>
        <w:tc>
          <w:tcPr>
            <w:tcW w:w="1121" w:type="dxa"/>
          </w:tcPr>
          <w:p>
            <w:pPr>
              <w:pStyle w:val="TableParagraph"/>
              <w:spacing w:line="251" w:lineRule="exact"/>
              <w:ind w:left="105"/>
              <w:rPr>
                <w:sz w:val="22"/>
              </w:rPr>
            </w:pPr>
            <w:r>
              <w:rPr>
                <w:spacing w:val="-4"/>
                <w:sz w:val="22"/>
              </w:rPr>
              <w:t>Both</w:t>
            </w:r>
          </w:p>
        </w:tc>
      </w:tr>
      <w:tr>
        <w:tblPrEx>
          <w:tblW w:w="0" w:type="auto"/>
          <w:jc w:val="left"/>
          <w:tblInd w:w="689" w:type="dxa"/>
          <w:tblLayout w:type="fixed"/>
          <w:tblCellMar>
            <w:top w:w="0" w:type="dxa"/>
            <w:left w:w="0" w:type="dxa"/>
            <w:bottom w:w="0" w:type="dxa"/>
            <w:right w:w="0" w:type="dxa"/>
          </w:tblCellMar>
          <w:tblLook w:val="01E0"/>
        </w:tblPrEx>
        <w:trPr>
          <w:trHeight w:val="756"/>
          <w:jc w:val="left"/>
        </w:trPr>
        <w:tc>
          <w:tcPr>
            <w:tcW w:w="1795" w:type="dxa"/>
          </w:tcPr>
          <w:p>
            <w:pPr>
              <w:pStyle w:val="TableParagraph"/>
              <w:spacing w:line="249" w:lineRule="exact"/>
              <w:ind w:left="119"/>
              <w:rPr>
                <w:sz w:val="22"/>
              </w:rPr>
            </w:pPr>
            <w:r>
              <w:rPr>
                <w:sz w:val="22"/>
              </w:rPr>
              <w:t>12</w:t>
            </w:r>
            <w:r>
              <w:rPr>
                <w:spacing w:val="12"/>
                <w:sz w:val="22"/>
              </w:rPr>
              <w:t xml:space="preserve"> </w:t>
            </w:r>
            <w:r>
              <w:rPr>
                <w:sz w:val="22"/>
              </w:rPr>
              <w:t>Manual</w:t>
            </w:r>
            <w:r>
              <w:rPr>
                <w:spacing w:val="-2"/>
                <w:sz w:val="22"/>
              </w:rPr>
              <w:t xml:space="preserve"> rates</w:t>
            </w:r>
          </w:p>
        </w:tc>
        <w:tc>
          <w:tcPr>
            <w:tcW w:w="1486" w:type="dxa"/>
          </w:tcPr>
          <w:p>
            <w:pPr>
              <w:pStyle w:val="TableParagraph"/>
              <w:spacing w:line="249" w:lineRule="exact"/>
              <w:ind w:left="107"/>
              <w:rPr>
                <w:sz w:val="22"/>
              </w:rPr>
            </w:pPr>
            <w:r>
              <w:rPr>
                <w:spacing w:val="-2"/>
                <w:sz w:val="22"/>
              </w:rPr>
              <w:t>Hxxxx</w:t>
            </w:r>
          </w:p>
        </w:tc>
        <w:tc>
          <w:tcPr>
            <w:tcW w:w="2751" w:type="dxa"/>
          </w:tcPr>
          <w:p>
            <w:pPr>
              <w:pStyle w:val="TableParagraph"/>
              <w:spacing w:line="249" w:lineRule="exact"/>
              <w:ind w:left="108"/>
              <w:rPr>
                <w:sz w:val="22"/>
              </w:rPr>
            </w:pPr>
            <w:r>
              <w:rPr>
                <w:sz w:val="22"/>
              </w:rPr>
              <w:t>1</w:t>
            </w:r>
            <w:r>
              <w:rPr>
                <w:spacing w:val="-2"/>
                <w:sz w:val="22"/>
              </w:rPr>
              <w:t xml:space="preserve"> </w:t>
            </w:r>
            <w:r>
              <w:rPr>
                <w:sz w:val="22"/>
              </w:rPr>
              <w:t>Cover</w:t>
            </w:r>
            <w:r>
              <w:rPr>
                <w:spacing w:val="-1"/>
                <w:sz w:val="22"/>
              </w:rPr>
              <w:t xml:space="preserve"> </w:t>
            </w:r>
            <w:r>
              <w:rPr>
                <w:sz w:val="22"/>
              </w:rPr>
              <w:t xml:space="preserve">Sheet </w:t>
            </w:r>
            <w:r>
              <w:rPr>
                <w:spacing w:val="-2"/>
                <w:sz w:val="22"/>
              </w:rPr>
              <w:t>HealthOne</w:t>
            </w:r>
          </w:p>
          <w:p>
            <w:pPr>
              <w:pStyle w:val="TableParagraph"/>
              <w:spacing w:line="252" w:lineRule="exact"/>
              <w:ind w:left="108" w:right="162"/>
              <w:rPr>
                <w:sz w:val="22"/>
              </w:rPr>
            </w:pPr>
            <w:r>
              <w:rPr>
                <w:sz w:val="22"/>
              </w:rPr>
              <w:t>Hxxxx</w:t>
            </w:r>
            <w:r>
              <w:rPr>
                <w:spacing w:val="-14"/>
                <w:sz w:val="22"/>
              </w:rPr>
              <w:t xml:space="preserve"> </w:t>
            </w:r>
            <w:r>
              <w:rPr>
                <w:sz w:val="22"/>
              </w:rPr>
              <w:t>Hyyyy</w:t>
            </w:r>
            <w:r>
              <w:rPr>
                <w:spacing w:val="-14"/>
                <w:sz w:val="22"/>
              </w:rPr>
              <w:t xml:space="preserve"> </w:t>
            </w:r>
            <w:r>
              <w:rPr>
                <w:sz w:val="22"/>
              </w:rPr>
              <w:t>6-</w:t>
            </w:r>
            <w:r>
              <w:rPr>
                <w:sz w:val="22"/>
              </w:rPr>
              <w:t>1-</w:t>
            </w:r>
            <w:r>
              <w:rPr>
                <w:spacing w:val="-2"/>
                <w:sz w:val="22"/>
              </w:rPr>
              <w:t>2026.xlsx</w:t>
            </w:r>
          </w:p>
        </w:tc>
        <w:tc>
          <w:tcPr>
            <w:tcW w:w="1981" w:type="dxa"/>
          </w:tcPr>
          <w:p>
            <w:pPr>
              <w:pStyle w:val="TableParagraph"/>
              <w:numPr>
                <w:ilvl w:val="1"/>
                <w:numId w:val="29"/>
              </w:numPr>
              <w:tabs>
                <w:tab w:val="left" w:pos="546"/>
              </w:tabs>
              <w:spacing w:before="0" w:after="0" w:line="249" w:lineRule="exact"/>
              <w:ind w:left="546" w:right="0" w:hanging="441"/>
              <w:jc w:val="left"/>
              <w:rPr>
                <w:sz w:val="22"/>
              </w:rPr>
            </w:pPr>
            <w:r>
              <w:rPr>
                <w:sz w:val="22"/>
              </w:rPr>
              <w:t>MA</w:t>
            </w:r>
            <w:r>
              <w:rPr>
                <w:spacing w:val="-4"/>
                <w:sz w:val="22"/>
              </w:rPr>
              <w:t xml:space="preserve"> </w:t>
            </w:r>
            <w:r>
              <w:rPr>
                <w:spacing w:val="-2"/>
                <w:sz w:val="22"/>
              </w:rPr>
              <w:t>Manual</w:t>
            </w:r>
          </w:p>
          <w:p>
            <w:pPr>
              <w:pStyle w:val="TableParagraph"/>
              <w:numPr>
                <w:ilvl w:val="1"/>
                <w:numId w:val="29"/>
              </w:numPr>
              <w:tabs>
                <w:tab w:val="left" w:pos="546"/>
              </w:tabs>
              <w:spacing w:before="4" w:after="0" w:line="240" w:lineRule="auto"/>
              <w:ind w:left="546" w:right="0" w:hanging="441"/>
              <w:jc w:val="left"/>
              <w:rPr>
                <w:sz w:val="22"/>
              </w:rPr>
            </w:pPr>
            <w:r>
              <w:rPr>
                <w:sz w:val="22"/>
              </w:rPr>
              <w:t>PD</w:t>
            </w:r>
            <w:r>
              <w:rPr>
                <w:spacing w:val="-5"/>
                <w:sz w:val="22"/>
              </w:rPr>
              <w:t xml:space="preserve"> </w:t>
            </w:r>
            <w:r>
              <w:rPr>
                <w:spacing w:val="-2"/>
                <w:sz w:val="22"/>
              </w:rPr>
              <w:t>Manual</w:t>
            </w:r>
          </w:p>
        </w:tc>
        <w:tc>
          <w:tcPr>
            <w:tcW w:w="1121" w:type="dxa"/>
          </w:tcPr>
          <w:p>
            <w:pPr>
              <w:pStyle w:val="TableParagraph"/>
              <w:spacing w:line="249" w:lineRule="exact"/>
              <w:ind w:left="105"/>
              <w:rPr>
                <w:sz w:val="22"/>
              </w:rPr>
            </w:pPr>
            <w:r>
              <w:rPr>
                <w:spacing w:val="-4"/>
                <w:sz w:val="22"/>
              </w:rPr>
              <w:t>Both</w:t>
            </w:r>
          </w:p>
        </w:tc>
      </w:tr>
      <w:tr>
        <w:tblPrEx>
          <w:tblW w:w="0" w:type="auto"/>
          <w:jc w:val="left"/>
          <w:tblInd w:w="689" w:type="dxa"/>
          <w:tblLayout w:type="fixed"/>
          <w:tblCellMar>
            <w:top w:w="0" w:type="dxa"/>
            <w:left w:w="0" w:type="dxa"/>
            <w:bottom w:w="0" w:type="dxa"/>
            <w:right w:w="0" w:type="dxa"/>
          </w:tblCellMar>
          <w:tblLook w:val="01E0"/>
        </w:tblPrEx>
        <w:trPr>
          <w:trHeight w:val="506"/>
          <w:jc w:val="left"/>
        </w:trPr>
        <w:tc>
          <w:tcPr>
            <w:tcW w:w="1795" w:type="dxa"/>
          </w:tcPr>
          <w:p>
            <w:pPr>
              <w:pStyle w:val="TableParagraph"/>
              <w:spacing w:before="1"/>
              <w:ind w:left="119"/>
              <w:rPr>
                <w:sz w:val="22"/>
              </w:rPr>
            </w:pPr>
            <w:r>
              <w:rPr>
                <w:sz w:val="22"/>
              </w:rPr>
              <w:t>13</w:t>
            </w:r>
            <w:r>
              <w:rPr>
                <w:spacing w:val="10"/>
                <w:sz w:val="22"/>
              </w:rPr>
              <w:t xml:space="preserve"> </w:t>
            </w:r>
            <w:r>
              <w:rPr>
                <w:sz w:val="22"/>
              </w:rPr>
              <w:t>Related-</w:t>
            </w:r>
            <w:r>
              <w:rPr>
                <w:spacing w:val="-2"/>
                <w:sz w:val="22"/>
              </w:rPr>
              <w:t>Party</w:t>
            </w:r>
          </w:p>
        </w:tc>
        <w:tc>
          <w:tcPr>
            <w:tcW w:w="1486" w:type="dxa"/>
          </w:tcPr>
          <w:p>
            <w:pPr>
              <w:pStyle w:val="TableParagraph"/>
              <w:spacing w:before="1"/>
              <w:ind w:left="107"/>
              <w:rPr>
                <w:sz w:val="22"/>
              </w:rPr>
            </w:pPr>
            <w:r>
              <w:rPr>
                <w:spacing w:val="-2"/>
                <w:sz w:val="22"/>
              </w:rPr>
              <w:t>Hyyyy</w:t>
            </w:r>
          </w:p>
        </w:tc>
        <w:tc>
          <w:tcPr>
            <w:tcW w:w="2751" w:type="dxa"/>
          </w:tcPr>
          <w:p>
            <w:pPr>
              <w:pStyle w:val="TableParagraph"/>
              <w:spacing w:line="252" w:lineRule="exact"/>
              <w:ind w:left="108"/>
              <w:rPr>
                <w:sz w:val="22"/>
              </w:rPr>
            </w:pPr>
            <w:r>
              <w:rPr>
                <w:sz w:val="22"/>
              </w:rPr>
              <w:t>Pricing Memo HealthOne Hxxxx,</w:t>
            </w:r>
            <w:r>
              <w:rPr>
                <w:spacing w:val="-14"/>
                <w:sz w:val="22"/>
              </w:rPr>
              <w:t xml:space="preserve"> </w:t>
            </w:r>
            <w:r>
              <w:rPr>
                <w:sz w:val="22"/>
              </w:rPr>
              <w:t>Hyyyy</w:t>
            </w:r>
            <w:r>
              <w:rPr>
                <w:spacing w:val="-14"/>
                <w:sz w:val="22"/>
              </w:rPr>
              <w:t xml:space="preserve"> </w:t>
            </w:r>
            <w:r>
              <w:rPr>
                <w:sz w:val="22"/>
              </w:rPr>
              <w:t>6-1-</w:t>
            </w:r>
            <w:r>
              <w:rPr>
                <w:sz w:val="22"/>
              </w:rPr>
              <w:t>2026.pdf</w:t>
            </w:r>
          </w:p>
        </w:tc>
        <w:tc>
          <w:tcPr>
            <w:tcW w:w="1981" w:type="dxa"/>
          </w:tcPr>
          <w:p>
            <w:pPr>
              <w:pStyle w:val="TableParagraph"/>
              <w:spacing w:before="1" w:line="252" w:lineRule="exact"/>
              <w:ind w:left="105"/>
              <w:rPr>
                <w:sz w:val="22"/>
              </w:rPr>
            </w:pPr>
            <w:r>
              <w:rPr>
                <w:sz w:val="22"/>
              </w:rPr>
              <w:t>MA</w:t>
            </w:r>
            <w:r>
              <w:rPr>
                <w:spacing w:val="-1"/>
                <w:sz w:val="22"/>
              </w:rPr>
              <w:t xml:space="preserve"> </w:t>
            </w:r>
            <w:r>
              <w:rPr>
                <w:spacing w:val="-5"/>
                <w:sz w:val="22"/>
              </w:rPr>
              <w:t>#13</w:t>
            </w:r>
          </w:p>
          <w:p>
            <w:pPr>
              <w:pStyle w:val="TableParagraph"/>
              <w:spacing w:line="233" w:lineRule="exact"/>
              <w:ind w:left="105"/>
              <w:rPr>
                <w:sz w:val="22"/>
              </w:rPr>
            </w:pPr>
            <w:r>
              <w:rPr>
                <w:sz w:val="22"/>
              </w:rPr>
              <w:t>PD</w:t>
            </w:r>
            <w:r>
              <w:rPr>
                <w:spacing w:val="-5"/>
                <w:sz w:val="22"/>
              </w:rPr>
              <w:t xml:space="preserve"> #13</w:t>
            </w:r>
          </w:p>
        </w:tc>
        <w:tc>
          <w:tcPr>
            <w:tcW w:w="1121" w:type="dxa"/>
          </w:tcPr>
          <w:p>
            <w:pPr>
              <w:pStyle w:val="TableParagraph"/>
              <w:spacing w:before="1"/>
              <w:ind w:left="105"/>
              <w:rPr>
                <w:sz w:val="22"/>
              </w:rPr>
            </w:pPr>
            <w:r>
              <w:rPr>
                <w:spacing w:val="-4"/>
                <w:sz w:val="22"/>
              </w:rPr>
              <w:t>Both</w:t>
            </w:r>
          </w:p>
        </w:tc>
      </w:tr>
      <w:tr>
        <w:tblPrEx>
          <w:tblW w:w="0" w:type="auto"/>
          <w:jc w:val="left"/>
          <w:tblInd w:w="689" w:type="dxa"/>
          <w:tblLayout w:type="fixed"/>
          <w:tblCellMar>
            <w:top w:w="0" w:type="dxa"/>
            <w:left w:w="0" w:type="dxa"/>
            <w:bottom w:w="0" w:type="dxa"/>
            <w:right w:w="0" w:type="dxa"/>
          </w:tblCellMar>
          <w:tblLook w:val="01E0"/>
        </w:tblPrEx>
        <w:trPr>
          <w:trHeight w:val="761"/>
          <w:jc w:val="left"/>
        </w:trPr>
        <w:tc>
          <w:tcPr>
            <w:tcW w:w="1795" w:type="dxa"/>
          </w:tcPr>
          <w:p>
            <w:pPr>
              <w:pStyle w:val="TableParagraph"/>
              <w:spacing w:before="1" w:line="252" w:lineRule="exact"/>
              <w:ind w:left="119"/>
              <w:rPr>
                <w:sz w:val="22"/>
              </w:rPr>
            </w:pPr>
            <w:r>
              <w:rPr>
                <w:sz w:val="22"/>
              </w:rPr>
              <w:t>24</w:t>
            </w:r>
            <w:r>
              <w:rPr>
                <w:spacing w:val="12"/>
                <w:sz w:val="22"/>
              </w:rPr>
              <w:t xml:space="preserve"> </w:t>
            </w:r>
            <w:r>
              <w:rPr>
                <w:spacing w:val="-4"/>
                <w:sz w:val="22"/>
              </w:rPr>
              <w:t>ESRD</w:t>
            </w:r>
          </w:p>
          <w:p>
            <w:pPr>
              <w:pStyle w:val="TableParagraph"/>
              <w:spacing w:line="252" w:lineRule="exact"/>
              <w:ind w:left="410"/>
              <w:rPr>
                <w:sz w:val="22"/>
              </w:rPr>
            </w:pPr>
            <w:r>
              <w:rPr>
                <w:spacing w:val="-2"/>
                <w:sz w:val="22"/>
              </w:rPr>
              <w:t>subsidy</w:t>
            </w:r>
          </w:p>
        </w:tc>
        <w:tc>
          <w:tcPr>
            <w:tcW w:w="1486" w:type="dxa"/>
          </w:tcPr>
          <w:p>
            <w:pPr>
              <w:pStyle w:val="TableParagraph"/>
              <w:spacing w:before="1"/>
              <w:ind w:left="107" w:right="362"/>
              <w:rPr>
                <w:sz w:val="22"/>
              </w:rPr>
            </w:pPr>
            <w:r>
              <w:rPr>
                <w:spacing w:val="-2"/>
                <w:sz w:val="22"/>
              </w:rPr>
              <w:t>Hxxxx-</w:t>
            </w:r>
            <w:r>
              <w:rPr>
                <w:spacing w:val="-2"/>
                <w:sz w:val="22"/>
              </w:rPr>
              <w:t>001 Hxxxx-</w:t>
            </w:r>
            <w:r>
              <w:rPr>
                <w:spacing w:val="-5"/>
                <w:sz w:val="22"/>
              </w:rPr>
              <w:t>004</w:t>
            </w:r>
          </w:p>
        </w:tc>
        <w:tc>
          <w:tcPr>
            <w:tcW w:w="2751" w:type="dxa"/>
          </w:tcPr>
          <w:p>
            <w:pPr>
              <w:pStyle w:val="TableParagraph"/>
              <w:spacing w:line="252" w:lineRule="exact"/>
              <w:ind w:left="108" w:right="162"/>
              <w:rPr>
                <w:sz w:val="22"/>
              </w:rPr>
            </w:pPr>
            <w:r>
              <w:rPr>
                <w:sz w:val="22"/>
              </w:rPr>
              <w:t>1</w:t>
            </w:r>
            <w:r>
              <w:rPr>
                <w:spacing w:val="-13"/>
                <w:sz w:val="22"/>
              </w:rPr>
              <w:t xml:space="preserve"> </w:t>
            </w:r>
            <w:r>
              <w:rPr>
                <w:sz w:val="22"/>
              </w:rPr>
              <w:t>Cover</w:t>
            </w:r>
            <w:r>
              <w:rPr>
                <w:spacing w:val="-13"/>
                <w:sz w:val="22"/>
              </w:rPr>
              <w:t xml:space="preserve"> </w:t>
            </w:r>
            <w:r>
              <w:rPr>
                <w:sz w:val="22"/>
              </w:rPr>
              <w:t>Sheet</w:t>
            </w:r>
            <w:r>
              <w:rPr>
                <w:spacing w:val="-12"/>
                <w:sz w:val="22"/>
              </w:rPr>
              <w:t xml:space="preserve"> </w:t>
            </w:r>
            <w:r>
              <w:rPr>
                <w:sz w:val="22"/>
              </w:rPr>
              <w:t>HealthOn</w:t>
            </w:r>
            <w:r>
              <w:rPr>
                <w:sz w:val="22"/>
              </w:rPr>
              <w:t>e Hxxxx Hyyyy 6-1-</w:t>
            </w:r>
            <w:r>
              <w:rPr>
                <w:spacing w:val="-2"/>
                <w:sz w:val="22"/>
              </w:rPr>
              <w:t>2026.xlsx</w:t>
            </w:r>
          </w:p>
        </w:tc>
        <w:tc>
          <w:tcPr>
            <w:tcW w:w="1981" w:type="dxa"/>
          </w:tcPr>
          <w:p>
            <w:pPr>
              <w:pStyle w:val="TableParagraph"/>
              <w:spacing w:before="1"/>
              <w:ind w:left="105"/>
              <w:rPr>
                <w:sz w:val="22"/>
              </w:rPr>
            </w:pPr>
            <w:r>
              <w:rPr>
                <w:sz w:val="22"/>
              </w:rPr>
              <w:t>24</w:t>
            </w:r>
            <w:r>
              <w:rPr>
                <w:spacing w:val="-2"/>
                <w:sz w:val="22"/>
              </w:rPr>
              <w:t xml:space="preserve"> </w:t>
            </w:r>
            <w:r>
              <w:rPr>
                <w:spacing w:val="-4"/>
                <w:sz w:val="22"/>
              </w:rPr>
              <w:t>ESRD</w:t>
            </w:r>
          </w:p>
        </w:tc>
        <w:tc>
          <w:tcPr>
            <w:tcW w:w="1121" w:type="dxa"/>
          </w:tcPr>
          <w:p>
            <w:pPr>
              <w:pStyle w:val="TableParagraph"/>
              <w:spacing w:before="1"/>
              <w:ind w:left="105"/>
              <w:rPr>
                <w:sz w:val="22"/>
              </w:rPr>
            </w:pPr>
            <w:r>
              <w:rPr>
                <w:spacing w:val="-5"/>
                <w:sz w:val="22"/>
              </w:rPr>
              <w:t>MA</w:t>
            </w:r>
          </w:p>
        </w:tc>
      </w:tr>
    </w:tbl>
    <w:p>
      <w:pPr>
        <w:pStyle w:val="TableParagraph"/>
        <w:spacing w:after="0"/>
        <w:rPr>
          <w:sz w:val="22"/>
        </w:rPr>
        <w:sectPr>
          <w:pgSz w:w="12240" w:h="15840"/>
          <w:pgMar w:top="960" w:right="0" w:bottom="940" w:left="1080" w:header="727" w:footer="747"/>
          <w:cols w:space="720"/>
        </w:sectPr>
      </w:pPr>
    </w:p>
    <w:p>
      <w:pPr>
        <w:pStyle w:val="BodyText"/>
        <w:spacing w:before="225"/>
        <w:ind w:left="0"/>
        <w:rPr>
          <w:sz w:val="21"/>
        </w:rPr>
      </w:pPr>
    </w:p>
    <w:p>
      <w:pPr>
        <w:spacing w:before="0"/>
        <w:ind w:left="2234" w:right="0" w:firstLine="0"/>
        <w:jc w:val="left"/>
        <w:rPr>
          <w:rFonts w:ascii="Arial"/>
          <w:b/>
          <w:sz w:val="21"/>
        </w:rPr>
      </w:pPr>
      <w:bookmarkStart w:id="347" w:name="MA Cover Sheet #2 - CY2027 Subsequent Bi"/>
      <w:bookmarkEnd w:id="347"/>
      <w:r>
        <w:rPr>
          <w:rFonts w:ascii="Arial"/>
          <w:b/>
          <w:sz w:val="21"/>
        </w:rPr>
        <w:t>MA</w:t>
      </w:r>
      <w:r>
        <w:rPr>
          <w:rFonts w:ascii="Arial"/>
          <w:b/>
          <w:spacing w:val="-4"/>
          <w:sz w:val="21"/>
        </w:rPr>
        <w:t xml:space="preserve"> </w:t>
      </w:r>
      <w:r>
        <w:rPr>
          <w:rFonts w:ascii="Arial"/>
          <w:b/>
          <w:sz w:val="21"/>
        </w:rPr>
        <w:t>Cover</w:t>
      </w:r>
      <w:r>
        <w:rPr>
          <w:rFonts w:ascii="Arial"/>
          <w:b/>
          <w:spacing w:val="-5"/>
          <w:sz w:val="21"/>
        </w:rPr>
        <w:t xml:space="preserve"> </w:t>
      </w:r>
      <w:r>
        <w:rPr>
          <w:rFonts w:ascii="Arial"/>
          <w:b/>
          <w:sz w:val="21"/>
        </w:rPr>
        <w:t>Sheet</w:t>
      </w:r>
      <w:r>
        <w:rPr>
          <w:rFonts w:ascii="Arial"/>
          <w:b/>
          <w:spacing w:val="-4"/>
          <w:sz w:val="21"/>
        </w:rPr>
        <w:t xml:space="preserve"> </w:t>
      </w:r>
      <w:r>
        <w:rPr>
          <w:rFonts w:ascii="Arial"/>
          <w:b/>
          <w:sz w:val="21"/>
        </w:rPr>
        <w:t>#2</w:t>
      </w:r>
      <w:r>
        <w:rPr>
          <w:rFonts w:ascii="Arial"/>
          <w:b/>
          <w:spacing w:val="-4"/>
          <w:sz w:val="21"/>
        </w:rPr>
        <w:t xml:space="preserve"> </w:t>
      </w:r>
      <w:r>
        <w:rPr>
          <w:rFonts w:ascii="Arial"/>
          <w:b/>
          <w:sz w:val="21"/>
        </w:rPr>
        <w:t>-</w:t>
      </w:r>
      <w:r>
        <w:rPr>
          <w:rFonts w:ascii="Arial"/>
          <w:b/>
          <w:spacing w:val="-5"/>
          <w:sz w:val="21"/>
        </w:rPr>
        <w:t xml:space="preserve"> </w:t>
      </w:r>
      <w:r>
        <w:rPr>
          <w:rFonts w:ascii="Arial"/>
          <w:b/>
          <w:sz w:val="21"/>
        </w:rPr>
        <w:t>CY2027</w:t>
      </w:r>
      <w:r>
        <w:rPr>
          <w:rFonts w:ascii="Arial"/>
          <w:b/>
          <w:spacing w:val="-5"/>
          <w:sz w:val="21"/>
        </w:rPr>
        <w:t xml:space="preserve"> </w:t>
      </w:r>
      <w:r>
        <w:rPr>
          <w:rFonts w:ascii="Arial"/>
          <w:b/>
          <w:sz w:val="21"/>
        </w:rPr>
        <w:t>Subsequent</w:t>
      </w:r>
      <w:r>
        <w:rPr>
          <w:rFonts w:ascii="Arial"/>
          <w:b/>
          <w:spacing w:val="-5"/>
          <w:sz w:val="21"/>
        </w:rPr>
        <w:t xml:space="preserve"> </w:t>
      </w:r>
      <w:r>
        <w:rPr>
          <w:rFonts w:ascii="Arial"/>
          <w:b/>
          <w:sz w:val="21"/>
        </w:rPr>
        <w:t>Bid</w:t>
      </w:r>
      <w:r>
        <w:rPr>
          <w:rFonts w:ascii="Arial"/>
          <w:b/>
          <w:spacing w:val="-3"/>
          <w:sz w:val="21"/>
        </w:rPr>
        <w:t xml:space="preserve"> </w:t>
      </w:r>
      <w:r>
        <w:rPr>
          <w:rFonts w:ascii="Arial"/>
          <w:b/>
          <w:spacing w:val="-2"/>
          <w:sz w:val="21"/>
        </w:rPr>
        <w:t>Submission</w:t>
      </w:r>
    </w:p>
    <w:p>
      <w:pPr>
        <w:spacing w:before="120" w:after="6" w:line="343" w:lineRule="auto"/>
        <w:ind w:left="504" w:right="6570" w:firstLine="0"/>
        <w:jc w:val="left"/>
        <w:rPr>
          <w:sz w:val="24"/>
        </w:rPr>
      </w:pPr>
      <w:r>
        <w:rPr>
          <w:b/>
          <w:sz w:val="24"/>
        </w:rPr>
        <w:t xml:space="preserve">Organization Name: </w:t>
      </w:r>
      <w:r>
        <w:rPr>
          <w:sz w:val="24"/>
        </w:rPr>
        <w:t xml:space="preserve">Health One </w:t>
      </w:r>
      <w:r>
        <w:rPr>
          <w:b/>
          <w:sz w:val="24"/>
        </w:rPr>
        <w:t>Contract(s):</w:t>
      </w:r>
      <w:r>
        <w:rPr>
          <w:b/>
          <w:spacing w:val="-10"/>
          <w:sz w:val="24"/>
        </w:rPr>
        <w:t xml:space="preserve"> </w:t>
      </w:r>
      <w:r>
        <w:rPr>
          <w:sz w:val="24"/>
        </w:rPr>
        <w:t>Hxxxx,</w:t>
      </w:r>
      <w:r>
        <w:rPr>
          <w:spacing w:val="-8"/>
          <w:sz w:val="24"/>
        </w:rPr>
        <w:t xml:space="preserve"> </w:t>
      </w:r>
      <w:r>
        <w:rPr>
          <w:sz w:val="24"/>
        </w:rPr>
        <w:t>Hyyyy,</w:t>
      </w:r>
      <w:r>
        <w:rPr>
          <w:spacing w:val="-10"/>
          <w:sz w:val="24"/>
        </w:rPr>
        <w:t xml:space="preserve"> </w:t>
      </w:r>
      <w:r>
        <w:rPr>
          <w:sz w:val="24"/>
        </w:rPr>
        <w:t>and</w:t>
      </w:r>
      <w:r>
        <w:rPr>
          <w:spacing w:val="-10"/>
          <w:sz w:val="24"/>
        </w:rPr>
        <w:t xml:space="preserve"> </w:t>
      </w:r>
      <w:r>
        <w:rPr>
          <w:sz w:val="24"/>
        </w:rPr>
        <w:t xml:space="preserve">Szzzz </w:t>
      </w:r>
      <w:r>
        <w:rPr>
          <w:b/>
          <w:sz w:val="24"/>
        </w:rPr>
        <w:t xml:space="preserve">Date: </w:t>
      </w:r>
      <w:r>
        <w:rPr>
          <w:sz w:val="24"/>
        </w:rPr>
        <w:t>July 12, 2026</w:t>
      </w:r>
    </w:p>
    <w:tbl>
      <w:tblPr>
        <w:tblStyle w:val="TableNormal"/>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8"/>
        <w:gridCol w:w="1488"/>
        <w:gridCol w:w="3420"/>
        <w:gridCol w:w="1529"/>
        <w:gridCol w:w="1080"/>
      </w:tblGrid>
      <w:tr>
        <w:tblPrEx>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25"/>
          <w:jc w:val="left"/>
        </w:trPr>
        <w:tc>
          <w:tcPr>
            <w:tcW w:w="1658" w:type="dxa"/>
          </w:tcPr>
          <w:p>
            <w:pPr>
              <w:pStyle w:val="TableParagraph"/>
              <w:spacing w:line="254" w:lineRule="exact"/>
              <w:ind w:left="107"/>
              <w:rPr>
                <w:b/>
                <w:sz w:val="22"/>
              </w:rPr>
            </w:pPr>
            <w:r>
              <w:rPr>
                <w:b/>
                <w:spacing w:val="-2"/>
                <w:sz w:val="22"/>
              </w:rPr>
              <w:t>Documentation Requirement</w:t>
            </w:r>
          </w:p>
        </w:tc>
        <w:tc>
          <w:tcPr>
            <w:tcW w:w="1488" w:type="dxa"/>
          </w:tcPr>
          <w:p>
            <w:pPr>
              <w:pStyle w:val="TableParagraph"/>
              <w:spacing w:line="254" w:lineRule="exact"/>
              <w:ind w:left="108" w:right="122"/>
              <w:rPr>
                <w:b/>
                <w:sz w:val="22"/>
              </w:rPr>
            </w:pPr>
            <w:r>
              <w:rPr>
                <w:b/>
                <w:spacing w:val="-2"/>
                <w:sz w:val="22"/>
              </w:rPr>
              <w:t>Specific Bid(s)</w:t>
            </w:r>
          </w:p>
        </w:tc>
        <w:tc>
          <w:tcPr>
            <w:tcW w:w="3420" w:type="dxa"/>
          </w:tcPr>
          <w:p>
            <w:pPr>
              <w:pStyle w:val="TableParagraph"/>
              <w:spacing w:before="253" w:line="252" w:lineRule="exact"/>
              <w:ind w:left="108"/>
              <w:rPr>
                <w:b/>
                <w:sz w:val="22"/>
              </w:rPr>
            </w:pPr>
            <w:r>
              <w:rPr>
                <w:b/>
                <w:sz w:val="22"/>
              </w:rPr>
              <w:t>File</w:t>
            </w:r>
            <w:r>
              <w:rPr>
                <w:b/>
                <w:spacing w:val="1"/>
                <w:sz w:val="22"/>
              </w:rPr>
              <w:t xml:space="preserve"> </w:t>
            </w:r>
            <w:r>
              <w:rPr>
                <w:b/>
                <w:spacing w:val="-4"/>
                <w:sz w:val="22"/>
              </w:rPr>
              <w:t>Name</w:t>
            </w:r>
          </w:p>
        </w:tc>
        <w:tc>
          <w:tcPr>
            <w:tcW w:w="1529" w:type="dxa"/>
          </w:tcPr>
          <w:p>
            <w:pPr>
              <w:pStyle w:val="TableParagraph"/>
              <w:spacing w:line="254" w:lineRule="exact"/>
              <w:ind w:left="106" w:right="398"/>
              <w:rPr>
                <w:b/>
                <w:sz w:val="22"/>
              </w:rPr>
            </w:pPr>
            <w:r>
              <w:rPr>
                <w:b/>
                <w:spacing w:val="-2"/>
                <w:sz w:val="22"/>
              </w:rPr>
              <w:t xml:space="preserve">Location </w:t>
            </w:r>
            <w:r>
              <w:rPr>
                <w:b/>
                <w:sz w:val="22"/>
              </w:rPr>
              <w:t>within</w:t>
            </w:r>
            <w:r>
              <w:rPr>
                <w:b/>
                <w:spacing w:val="-14"/>
                <w:sz w:val="22"/>
              </w:rPr>
              <w:t xml:space="preserve"> </w:t>
            </w:r>
            <w:r>
              <w:rPr>
                <w:b/>
                <w:sz w:val="22"/>
              </w:rPr>
              <w:t>File</w:t>
            </w:r>
          </w:p>
        </w:tc>
        <w:tc>
          <w:tcPr>
            <w:tcW w:w="1080" w:type="dxa"/>
          </w:tcPr>
          <w:p>
            <w:pPr>
              <w:pStyle w:val="TableParagraph"/>
              <w:spacing w:line="251" w:lineRule="exact"/>
              <w:ind w:left="109"/>
              <w:rPr>
                <w:b/>
                <w:sz w:val="22"/>
              </w:rPr>
            </w:pPr>
            <w:r>
              <w:rPr>
                <w:b/>
                <w:sz w:val="22"/>
              </w:rPr>
              <w:t>MA,</w:t>
            </w:r>
            <w:r>
              <w:rPr>
                <w:b/>
                <w:spacing w:val="-1"/>
                <w:sz w:val="22"/>
              </w:rPr>
              <w:t xml:space="preserve"> </w:t>
            </w:r>
            <w:r>
              <w:rPr>
                <w:b/>
                <w:spacing w:val="-5"/>
                <w:sz w:val="22"/>
              </w:rPr>
              <w:t>PD</w:t>
            </w:r>
          </w:p>
          <w:p>
            <w:pPr>
              <w:pStyle w:val="TableParagraph"/>
              <w:spacing w:before="1" w:line="252" w:lineRule="exact"/>
              <w:ind w:left="109"/>
              <w:rPr>
                <w:b/>
                <w:sz w:val="22"/>
              </w:rPr>
            </w:pPr>
            <w:r>
              <w:rPr>
                <w:b/>
                <w:sz w:val="22"/>
              </w:rPr>
              <w:t xml:space="preserve">or </w:t>
            </w:r>
            <w:r>
              <w:rPr>
                <w:b/>
                <w:spacing w:val="-4"/>
                <w:sz w:val="22"/>
              </w:rPr>
              <w:t>Both</w:t>
            </w:r>
          </w:p>
        </w:tc>
      </w:tr>
      <w:tr>
        <w:tblPrEx>
          <w:tblW w:w="0" w:type="auto"/>
          <w:jc w:val="left"/>
          <w:tblInd w:w="514" w:type="dxa"/>
          <w:tblLayout w:type="fixed"/>
          <w:tblCellMar>
            <w:top w:w="0" w:type="dxa"/>
            <w:left w:w="0" w:type="dxa"/>
            <w:bottom w:w="0" w:type="dxa"/>
            <w:right w:w="0" w:type="dxa"/>
          </w:tblCellMar>
          <w:tblLook w:val="01E0"/>
        </w:tblPrEx>
        <w:trPr>
          <w:trHeight w:val="506"/>
          <w:jc w:val="left"/>
        </w:trPr>
        <w:tc>
          <w:tcPr>
            <w:tcW w:w="1658" w:type="dxa"/>
          </w:tcPr>
          <w:p>
            <w:pPr>
              <w:pStyle w:val="TableParagraph"/>
              <w:spacing w:line="251" w:lineRule="exact"/>
              <w:ind w:left="230"/>
              <w:rPr>
                <w:sz w:val="22"/>
              </w:rPr>
            </w:pPr>
            <w:r>
              <w:rPr>
                <w:sz w:val="22"/>
              </w:rPr>
              <w:t>1</w:t>
            </w:r>
            <w:r>
              <w:rPr>
                <w:spacing w:val="11"/>
                <w:sz w:val="22"/>
              </w:rPr>
              <w:t xml:space="preserve"> </w:t>
            </w:r>
            <w:r>
              <w:rPr>
                <w:sz w:val="22"/>
              </w:rPr>
              <w:t>Cover</w:t>
            </w:r>
            <w:r>
              <w:rPr>
                <w:spacing w:val="1"/>
                <w:sz w:val="22"/>
              </w:rPr>
              <w:t xml:space="preserve"> </w:t>
            </w:r>
            <w:r>
              <w:rPr>
                <w:spacing w:val="-2"/>
                <w:sz w:val="22"/>
              </w:rPr>
              <w:t>sheet</w:t>
            </w:r>
          </w:p>
        </w:tc>
        <w:tc>
          <w:tcPr>
            <w:tcW w:w="1488" w:type="dxa"/>
          </w:tcPr>
          <w:p>
            <w:pPr>
              <w:pStyle w:val="TableParagraph"/>
              <w:spacing w:line="252" w:lineRule="exact"/>
              <w:ind w:left="108" w:right="708"/>
              <w:rPr>
                <w:sz w:val="22"/>
              </w:rPr>
            </w:pPr>
            <w:r>
              <w:rPr>
                <w:spacing w:val="-2"/>
                <w:sz w:val="22"/>
              </w:rPr>
              <w:t>Hxxxx, Hyyyy</w:t>
            </w:r>
          </w:p>
        </w:tc>
        <w:tc>
          <w:tcPr>
            <w:tcW w:w="3420" w:type="dxa"/>
          </w:tcPr>
          <w:p>
            <w:pPr>
              <w:pStyle w:val="TableParagraph"/>
              <w:spacing w:line="252" w:lineRule="exact"/>
              <w:ind w:left="108"/>
              <w:rPr>
                <w:sz w:val="22"/>
              </w:rPr>
            </w:pPr>
            <w:r>
              <w:rPr>
                <w:sz w:val="22"/>
              </w:rPr>
              <w:t>1</w:t>
            </w:r>
            <w:r>
              <w:rPr>
                <w:spacing w:val="-10"/>
                <w:sz w:val="22"/>
              </w:rPr>
              <w:t xml:space="preserve"> </w:t>
            </w:r>
            <w:r>
              <w:rPr>
                <w:sz w:val="22"/>
              </w:rPr>
              <w:t>Cover</w:t>
            </w:r>
            <w:r>
              <w:rPr>
                <w:spacing w:val="-9"/>
                <w:sz w:val="22"/>
              </w:rPr>
              <w:t xml:space="preserve"> </w:t>
            </w:r>
            <w:r>
              <w:rPr>
                <w:sz w:val="22"/>
              </w:rPr>
              <w:t>Sheet</w:t>
            </w:r>
            <w:r>
              <w:rPr>
                <w:spacing w:val="-9"/>
                <w:sz w:val="22"/>
              </w:rPr>
              <w:t xml:space="preserve"> </w:t>
            </w:r>
            <w:r>
              <w:rPr>
                <w:sz w:val="22"/>
              </w:rPr>
              <w:t>HealthOne</w:t>
            </w:r>
            <w:r>
              <w:rPr>
                <w:spacing w:val="-12"/>
                <w:sz w:val="22"/>
              </w:rPr>
              <w:t xml:space="preserve"> </w:t>
            </w:r>
            <w:r>
              <w:rPr>
                <w:sz w:val="22"/>
              </w:rPr>
              <w:t>Hxxxx Hyyyy Revised 7-12-2026.xlsx</w:t>
            </w:r>
          </w:p>
        </w:tc>
        <w:tc>
          <w:tcPr>
            <w:tcW w:w="1529" w:type="dxa"/>
          </w:tcPr>
          <w:p>
            <w:pPr>
              <w:pStyle w:val="TableParagraph"/>
              <w:spacing w:line="251" w:lineRule="exact"/>
              <w:ind w:left="106"/>
              <w:rPr>
                <w:sz w:val="22"/>
              </w:rPr>
            </w:pPr>
            <w:r>
              <w:rPr>
                <w:spacing w:val="-5"/>
                <w:sz w:val="22"/>
              </w:rPr>
              <w:t>N/A</w:t>
            </w:r>
          </w:p>
        </w:tc>
        <w:tc>
          <w:tcPr>
            <w:tcW w:w="1080" w:type="dxa"/>
          </w:tcPr>
          <w:p>
            <w:pPr>
              <w:pStyle w:val="TableParagraph"/>
              <w:spacing w:line="251" w:lineRule="exact"/>
              <w:ind w:left="109"/>
              <w:rPr>
                <w:sz w:val="22"/>
              </w:rPr>
            </w:pPr>
            <w:r>
              <w:rPr>
                <w:spacing w:val="-4"/>
                <w:sz w:val="22"/>
              </w:rPr>
              <w:t>Both</w:t>
            </w:r>
          </w:p>
        </w:tc>
      </w:tr>
      <w:tr>
        <w:tblPrEx>
          <w:tblW w:w="0" w:type="auto"/>
          <w:jc w:val="left"/>
          <w:tblInd w:w="514" w:type="dxa"/>
          <w:tblLayout w:type="fixed"/>
          <w:tblCellMar>
            <w:top w:w="0" w:type="dxa"/>
            <w:left w:w="0" w:type="dxa"/>
            <w:bottom w:w="0" w:type="dxa"/>
            <w:right w:w="0" w:type="dxa"/>
          </w:tblCellMar>
          <w:tblLook w:val="01E0"/>
        </w:tblPrEx>
        <w:trPr>
          <w:trHeight w:val="505"/>
          <w:jc w:val="left"/>
        </w:trPr>
        <w:tc>
          <w:tcPr>
            <w:tcW w:w="1658" w:type="dxa"/>
          </w:tcPr>
          <w:p>
            <w:pPr>
              <w:pStyle w:val="TableParagraph"/>
              <w:spacing w:line="252" w:lineRule="exact"/>
              <w:ind w:left="410" w:hanging="180"/>
              <w:rPr>
                <w:sz w:val="22"/>
              </w:rPr>
            </w:pPr>
            <w:r>
              <w:rPr>
                <w:sz w:val="22"/>
              </w:rPr>
              <w:t>8</w:t>
            </w:r>
            <w:r>
              <w:rPr>
                <w:spacing w:val="-11"/>
                <w:sz w:val="22"/>
              </w:rPr>
              <w:t xml:space="preserve"> </w:t>
            </w:r>
            <w:r>
              <w:rPr>
                <w:sz w:val="22"/>
              </w:rPr>
              <w:t xml:space="preserve">Gain/loss </w:t>
            </w:r>
            <w:r>
              <w:rPr>
                <w:spacing w:val="-2"/>
                <w:sz w:val="22"/>
              </w:rPr>
              <w:t>margins</w:t>
            </w:r>
          </w:p>
        </w:tc>
        <w:tc>
          <w:tcPr>
            <w:tcW w:w="1488" w:type="dxa"/>
          </w:tcPr>
          <w:p>
            <w:pPr>
              <w:pStyle w:val="TableParagraph"/>
              <w:spacing w:line="252" w:lineRule="exact"/>
              <w:ind w:left="108" w:right="761"/>
              <w:rPr>
                <w:sz w:val="22"/>
              </w:rPr>
            </w:pPr>
            <w:r>
              <w:rPr>
                <w:spacing w:val="-2"/>
                <w:sz w:val="22"/>
              </w:rPr>
              <w:t>Hxxxx Hyyyy</w:t>
            </w:r>
          </w:p>
        </w:tc>
        <w:tc>
          <w:tcPr>
            <w:tcW w:w="3420" w:type="dxa"/>
          </w:tcPr>
          <w:p>
            <w:pPr>
              <w:pStyle w:val="TableParagraph"/>
              <w:spacing w:line="252" w:lineRule="exact"/>
              <w:ind w:left="108" w:right="248"/>
              <w:rPr>
                <w:sz w:val="22"/>
              </w:rPr>
            </w:pPr>
            <w:r>
              <w:rPr>
                <w:sz w:val="22"/>
              </w:rPr>
              <w:t>8</w:t>
            </w:r>
            <w:r>
              <w:rPr>
                <w:spacing w:val="-12"/>
                <w:sz w:val="22"/>
              </w:rPr>
              <w:t xml:space="preserve"> </w:t>
            </w:r>
            <w:r>
              <w:rPr>
                <w:sz w:val="22"/>
              </w:rPr>
              <w:t>HealthOne</w:t>
            </w:r>
            <w:r>
              <w:rPr>
                <w:spacing w:val="-11"/>
                <w:sz w:val="22"/>
              </w:rPr>
              <w:t xml:space="preserve"> </w:t>
            </w:r>
            <w:r>
              <w:rPr>
                <w:sz w:val="22"/>
              </w:rPr>
              <w:t>AdminProfit</w:t>
            </w:r>
            <w:r>
              <w:rPr>
                <w:spacing w:val="-13"/>
                <w:sz w:val="22"/>
              </w:rPr>
              <w:t xml:space="preserve"> </w:t>
            </w:r>
            <w:r>
              <w:rPr>
                <w:sz w:val="22"/>
              </w:rPr>
              <w:t xml:space="preserve">Revised </w:t>
            </w:r>
            <w:r>
              <w:rPr>
                <w:spacing w:val="-2"/>
                <w:sz w:val="22"/>
              </w:rPr>
              <w:t>07-12-2026.xlsx</w:t>
            </w:r>
          </w:p>
        </w:tc>
        <w:tc>
          <w:tcPr>
            <w:tcW w:w="1529" w:type="dxa"/>
          </w:tcPr>
          <w:p>
            <w:pPr>
              <w:pStyle w:val="TableParagraph"/>
              <w:spacing w:line="251" w:lineRule="exact"/>
              <w:ind w:left="106"/>
              <w:rPr>
                <w:sz w:val="22"/>
              </w:rPr>
            </w:pPr>
            <w:r>
              <w:rPr>
                <w:sz w:val="22"/>
              </w:rPr>
              <w:t xml:space="preserve">8.1, 8.2, </w:t>
            </w:r>
            <w:r>
              <w:rPr>
                <w:spacing w:val="-5"/>
                <w:sz w:val="22"/>
              </w:rPr>
              <w:t>8.3</w:t>
            </w:r>
          </w:p>
          <w:p>
            <w:pPr>
              <w:pStyle w:val="TableParagraph"/>
              <w:spacing w:line="235" w:lineRule="exact"/>
              <w:ind w:left="106"/>
              <w:rPr>
                <w:sz w:val="22"/>
              </w:rPr>
            </w:pPr>
            <w:r>
              <w:rPr>
                <w:spacing w:val="-2"/>
                <w:sz w:val="22"/>
              </w:rPr>
              <w:t>Margin</w:t>
            </w:r>
          </w:p>
        </w:tc>
        <w:tc>
          <w:tcPr>
            <w:tcW w:w="1080" w:type="dxa"/>
          </w:tcPr>
          <w:p>
            <w:pPr>
              <w:pStyle w:val="TableParagraph"/>
              <w:spacing w:line="251" w:lineRule="exact"/>
              <w:ind w:left="109"/>
              <w:rPr>
                <w:sz w:val="22"/>
              </w:rPr>
            </w:pPr>
            <w:r>
              <w:rPr>
                <w:spacing w:val="-4"/>
                <w:sz w:val="22"/>
              </w:rPr>
              <w:t>Both</w:t>
            </w:r>
          </w:p>
        </w:tc>
      </w:tr>
      <w:tr>
        <w:tblPrEx>
          <w:tblW w:w="0" w:type="auto"/>
          <w:jc w:val="left"/>
          <w:tblInd w:w="514" w:type="dxa"/>
          <w:tblLayout w:type="fixed"/>
          <w:tblCellMar>
            <w:top w:w="0" w:type="dxa"/>
            <w:left w:w="0" w:type="dxa"/>
            <w:bottom w:w="0" w:type="dxa"/>
            <w:right w:w="0" w:type="dxa"/>
          </w:tblCellMar>
          <w:tblLook w:val="01E0"/>
        </w:tblPrEx>
        <w:trPr>
          <w:trHeight w:val="506"/>
          <w:jc w:val="left"/>
        </w:trPr>
        <w:tc>
          <w:tcPr>
            <w:tcW w:w="1658" w:type="dxa"/>
          </w:tcPr>
          <w:p>
            <w:pPr>
              <w:pStyle w:val="TableParagraph"/>
              <w:spacing w:line="252" w:lineRule="exact"/>
              <w:ind w:left="410" w:right="207" w:hanging="291"/>
              <w:rPr>
                <w:sz w:val="22"/>
              </w:rPr>
            </w:pPr>
            <w:r>
              <w:rPr>
                <w:sz w:val="22"/>
              </w:rPr>
              <w:t>12</w:t>
            </w:r>
            <w:r>
              <w:rPr>
                <w:spacing w:val="-11"/>
                <w:sz w:val="22"/>
              </w:rPr>
              <w:t xml:space="preserve"> </w:t>
            </w:r>
            <w:r>
              <w:rPr>
                <w:sz w:val="22"/>
              </w:rPr>
              <w:t xml:space="preserve">Manual </w:t>
            </w:r>
            <w:r>
              <w:rPr>
                <w:spacing w:val="-2"/>
                <w:sz w:val="22"/>
              </w:rPr>
              <w:t>rates</w:t>
            </w:r>
          </w:p>
        </w:tc>
        <w:tc>
          <w:tcPr>
            <w:tcW w:w="1488" w:type="dxa"/>
          </w:tcPr>
          <w:p>
            <w:pPr>
              <w:pStyle w:val="TableParagraph"/>
              <w:spacing w:line="251" w:lineRule="exact"/>
              <w:ind w:left="108"/>
              <w:rPr>
                <w:sz w:val="22"/>
              </w:rPr>
            </w:pPr>
            <w:r>
              <w:rPr>
                <w:spacing w:val="-2"/>
                <w:sz w:val="22"/>
              </w:rPr>
              <w:t>Hxxxx-</w:t>
            </w:r>
            <w:r>
              <w:rPr>
                <w:spacing w:val="-5"/>
                <w:sz w:val="22"/>
              </w:rPr>
              <w:t>003</w:t>
            </w:r>
          </w:p>
        </w:tc>
        <w:tc>
          <w:tcPr>
            <w:tcW w:w="3420" w:type="dxa"/>
          </w:tcPr>
          <w:p>
            <w:pPr>
              <w:pStyle w:val="TableParagraph"/>
              <w:spacing w:line="252" w:lineRule="exact"/>
              <w:ind w:left="108"/>
              <w:rPr>
                <w:sz w:val="22"/>
              </w:rPr>
            </w:pPr>
            <w:r>
              <w:rPr>
                <w:sz w:val="22"/>
              </w:rPr>
              <w:t>1</w:t>
            </w:r>
            <w:r>
              <w:rPr>
                <w:spacing w:val="-10"/>
                <w:sz w:val="22"/>
              </w:rPr>
              <w:t xml:space="preserve"> </w:t>
            </w:r>
            <w:r>
              <w:rPr>
                <w:sz w:val="22"/>
              </w:rPr>
              <w:t>Cover</w:t>
            </w:r>
            <w:r>
              <w:rPr>
                <w:spacing w:val="-9"/>
                <w:sz w:val="22"/>
              </w:rPr>
              <w:t xml:space="preserve"> </w:t>
            </w:r>
            <w:r>
              <w:rPr>
                <w:sz w:val="22"/>
              </w:rPr>
              <w:t>Sheet</w:t>
            </w:r>
            <w:r>
              <w:rPr>
                <w:spacing w:val="-9"/>
                <w:sz w:val="22"/>
              </w:rPr>
              <w:t xml:space="preserve"> </w:t>
            </w:r>
            <w:r>
              <w:rPr>
                <w:sz w:val="22"/>
              </w:rPr>
              <w:t>HealthOne</w:t>
            </w:r>
            <w:r>
              <w:rPr>
                <w:spacing w:val="-12"/>
                <w:sz w:val="22"/>
              </w:rPr>
              <w:t xml:space="preserve"> </w:t>
            </w:r>
            <w:r>
              <w:rPr>
                <w:sz w:val="22"/>
              </w:rPr>
              <w:t>Hxxxx Hyyyy Revised 7-12-2026.xlsx</w:t>
            </w:r>
          </w:p>
        </w:tc>
        <w:tc>
          <w:tcPr>
            <w:tcW w:w="1529" w:type="dxa"/>
          </w:tcPr>
          <w:p>
            <w:pPr>
              <w:pStyle w:val="TableParagraph"/>
              <w:spacing w:line="251" w:lineRule="exact"/>
              <w:ind w:left="106"/>
              <w:rPr>
                <w:sz w:val="22"/>
              </w:rPr>
            </w:pPr>
            <w:r>
              <w:rPr>
                <w:sz w:val="22"/>
              </w:rPr>
              <w:t xml:space="preserve">12.1 </w:t>
            </w:r>
            <w:r>
              <w:rPr>
                <w:spacing w:val="-5"/>
                <w:sz w:val="22"/>
              </w:rPr>
              <w:t>MA</w:t>
            </w:r>
          </w:p>
          <w:p>
            <w:pPr>
              <w:pStyle w:val="TableParagraph"/>
              <w:spacing w:line="235" w:lineRule="exact"/>
              <w:ind w:left="106"/>
              <w:rPr>
                <w:sz w:val="22"/>
              </w:rPr>
            </w:pPr>
            <w:r>
              <w:rPr>
                <w:spacing w:val="-2"/>
                <w:sz w:val="22"/>
              </w:rPr>
              <w:t>Manual</w:t>
            </w:r>
          </w:p>
        </w:tc>
        <w:tc>
          <w:tcPr>
            <w:tcW w:w="1080" w:type="dxa"/>
          </w:tcPr>
          <w:p>
            <w:pPr>
              <w:pStyle w:val="TableParagraph"/>
              <w:spacing w:line="251" w:lineRule="exact"/>
              <w:ind w:left="109"/>
              <w:rPr>
                <w:sz w:val="22"/>
              </w:rPr>
            </w:pPr>
            <w:r>
              <w:rPr>
                <w:spacing w:val="-5"/>
                <w:sz w:val="22"/>
              </w:rPr>
              <w:t>MA</w:t>
            </w:r>
          </w:p>
        </w:tc>
      </w:tr>
    </w:tbl>
    <w:p>
      <w:pPr>
        <w:pStyle w:val="BodyText"/>
        <w:ind w:left="0"/>
      </w:pPr>
    </w:p>
    <w:p>
      <w:pPr>
        <w:pStyle w:val="BodyText"/>
        <w:spacing w:before="49"/>
        <w:ind w:left="0"/>
      </w:pPr>
    </w:p>
    <w:p>
      <w:pPr>
        <w:spacing w:before="0"/>
        <w:ind w:left="504" w:right="0" w:firstLine="0"/>
        <w:jc w:val="left"/>
        <w:rPr>
          <w:rFonts w:ascii="Arial"/>
          <w:b/>
          <w:sz w:val="21"/>
        </w:rPr>
      </w:pPr>
      <w:bookmarkStart w:id="348" w:name="SAMPLE Reliance on Information Supplied "/>
      <w:bookmarkEnd w:id="348"/>
      <w:r>
        <w:rPr>
          <w:rFonts w:ascii="Arial"/>
          <w:b/>
          <w:sz w:val="21"/>
        </w:rPr>
        <w:t>SAMPLE</w:t>
      </w:r>
      <w:r>
        <w:rPr>
          <w:rFonts w:ascii="Arial"/>
          <w:b/>
          <w:spacing w:val="-8"/>
          <w:sz w:val="21"/>
        </w:rPr>
        <w:t xml:space="preserve"> </w:t>
      </w:r>
      <w:r>
        <w:rPr>
          <w:rFonts w:ascii="Arial"/>
          <w:b/>
          <w:sz w:val="21"/>
        </w:rPr>
        <w:t>Reliance</w:t>
      </w:r>
      <w:r>
        <w:rPr>
          <w:rFonts w:ascii="Arial"/>
          <w:b/>
          <w:spacing w:val="-6"/>
          <w:sz w:val="21"/>
        </w:rPr>
        <w:t xml:space="preserve"> </w:t>
      </w:r>
      <w:r>
        <w:rPr>
          <w:rFonts w:ascii="Arial"/>
          <w:b/>
          <w:sz w:val="21"/>
        </w:rPr>
        <w:t>on</w:t>
      </w:r>
      <w:r>
        <w:rPr>
          <w:rFonts w:ascii="Arial"/>
          <w:b/>
          <w:spacing w:val="-5"/>
          <w:sz w:val="21"/>
        </w:rPr>
        <w:t xml:space="preserve"> </w:t>
      </w:r>
      <w:r>
        <w:rPr>
          <w:rFonts w:ascii="Arial"/>
          <w:b/>
          <w:sz w:val="21"/>
        </w:rPr>
        <w:t>Information</w:t>
      </w:r>
      <w:r>
        <w:rPr>
          <w:rFonts w:ascii="Arial"/>
          <w:b/>
          <w:spacing w:val="-6"/>
          <w:sz w:val="21"/>
        </w:rPr>
        <w:t xml:space="preserve"> </w:t>
      </w:r>
      <w:r>
        <w:rPr>
          <w:rFonts w:ascii="Arial"/>
          <w:b/>
          <w:sz w:val="21"/>
        </w:rPr>
        <w:t>Supplied</w:t>
      </w:r>
      <w:r>
        <w:rPr>
          <w:rFonts w:ascii="Arial"/>
          <w:b/>
          <w:spacing w:val="-6"/>
          <w:sz w:val="21"/>
        </w:rPr>
        <w:t xml:space="preserve"> </w:t>
      </w:r>
      <w:r>
        <w:rPr>
          <w:rFonts w:ascii="Arial"/>
          <w:b/>
          <w:sz w:val="21"/>
        </w:rPr>
        <w:t>by</w:t>
      </w:r>
      <w:r>
        <w:rPr>
          <w:rFonts w:ascii="Arial"/>
          <w:b/>
          <w:spacing w:val="-6"/>
          <w:sz w:val="21"/>
        </w:rPr>
        <w:t xml:space="preserve"> </w:t>
      </w:r>
      <w:r>
        <w:rPr>
          <w:rFonts w:ascii="Arial"/>
          <w:b/>
          <w:spacing w:val="-2"/>
          <w:sz w:val="21"/>
        </w:rPr>
        <w:t>Others</w:t>
      </w:r>
    </w:p>
    <w:p>
      <w:pPr>
        <w:pStyle w:val="BodyText"/>
        <w:spacing w:before="6"/>
        <w:ind w:left="0"/>
        <w:rPr>
          <w:rFonts w:ascii="Arial"/>
          <w:b/>
          <w:sz w:val="10"/>
        </w:rPr>
      </w:pPr>
    </w:p>
    <w:tbl>
      <w:tblPr>
        <w:tblStyle w:val="TableNormal"/>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5"/>
        <w:gridCol w:w="1248"/>
        <w:gridCol w:w="2007"/>
        <w:gridCol w:w="1697"/>
        <w:gridCol w:w="3600"/>
      </w:tblGrid>
      <w:tr>
        <w:tblPrEx>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77"/>
          <w:jc w:val="left"/>
        </w:trPr>
        <w:tc>
          <w:tcPr>
            <w:tcW w:w="895" w:type="dxa"/>
          </w:tcPr>
          <w:p>
            <w:pPr>
              <w:pStyle w:val="TableParagraph"/>
              <w:rPr>
                <w:rFonts w:ascii="Arial"/>
                <w:b/>
                <w:sz w:val="22"/>
              </w:rPr>
            </w:pPr>
          </w:p>
          <w:p>
            <w:pPr>
              <w:pStyle w:val="TableParagraph"/>
              <w:spacing w:before="1"/>
              <w:rPr>
                <w:rFonts w:ascii="Arial"/>
                <w:b/>
                <w:sz w:val="22"/>
              </w:rPr>
            </w:pPr>
          </w:p>
          <w:p>
            <w:pPr>
              <w:pStyle w:val="TableParagraph"/>
              <w:spacing w:line="250" w:lineRule="exact"/>
              <w:ind w:left="107"/>
              <w:rPr>
                <w:b/>
                <w:sz w:val="22"/>
              </w:rPr>
            </w:pPr>
            <w:r>
              <w:rPr>
                <w:b/>
                <w:spacing w:val="-5"/>
                <w:sz w:val="22"/>
              </w:rPr>
              <w:t>Bid</w:t>
            </w:r>
          </w:p>
        </w:tc>
        <w:tc>
          <w:tcPr>
            <w:tcW w:w="1248" w:type="dxa"/>
          </w:tcPr>
          <w:p>
            <w:pPr>
              <w:pStyle w:val="TableParagraph"/>
              <w:spacing w:before="250"/>
              <w:ind w:left="107"/>
              <w:rPr>
                <w:b/>
                <w:sz w:val="22"/>
              </w:rPr>
            </w:pPr>
            <w:r>
              <w:rPr>
                <w:b/>
                <w:sz w:val="22"/>
              </w:rPr>
              <w:t>MA,</w:t>
            </w:r>
            <w:r>
              <w:rPr>
                <w:b/>
                <w:spacing w:val="-1"/>
                <w:sz w:val="22"/>
              </w:rPr>
              <w:t xml:space="preserve"> </w:t>
            </w:r>
            <w:r>
              <w:rPr>
                <w:b/>
                <w:spacing w:val="-5"/>
                <w:sz w:val="22"/>
              </w:rPr>
              <w:t>PD</w:t>
            </w:r>
          </w:p>
          <w:p>
            <w:pPr>
              <w:pStyle w:val="TableParagraph"/>
              <w:spacing w:before="4" w:line="250" w:lineRule="exact"/>
              <w:ind w:left="107"/>
              <w:rPr>
                <w:b/>
                <w:sz w:val="22"/>
              </w:rPr>
            </w:pPr>
            <w:r>
              <w:rPr>
                <w:b/>
                <w:sz w:val="22"/>
              </w:rPr>
              <w:t xml:space="preserve">or </w:t>
            </w:r>
            <w:r>
              <w:rPr>
                <w:b/>
                <w:spacing w:val="-4"/>
                <w:sz w:val="22"/>
              </w:rPr>
              <w:t>Both</w:t>
            </w:r>
          </w:p>
        </w:tc>
        <w:tc>
          <w:tcPr>
            <w:tcW w:w="2007" w:type="dxa"/>
          </w:tcPr>
          <w:p>
            <w:pPr>
              <w:pStyle w:val="TableParagraph"/>
              <w:spacing w:line="251" w:lineRule="exact"/>
              <w:ind w:left="108"/>
              <w:rPr>
                <w:b/>
                <w:sz w:val="22"/>
              </w:rPr>
            </w:pPr>
            <w:r>
              <w:rPr>
                <w:b/>
                <w:spacing w:val="-2"/>
                <w:sz w:val="22"/>
              </w:rPr>
              <w:t>Source</w:t>
            </w:r>
          </w:p>
          <w:p>
            <w:pPr>
              <w:pStyle w:val="TableParagraph"/>
              <w:spacing w:line="252" w:lineRule="exact"/>
              <w:ind w:left="108"/>
              <w:rPr>
                <w:b/>
                <w:sz w:val="22"/>
              </w:rPr>
            </w:pPr>
            <w:r>
              <w:rPr>
                <w:b/>
                <w:sz w:val="22"/>
              </w:rPr>
              <w:t>(Name,</w:t>
            </w:r>
            <w:r>
              <w:rPr>
                <w:b/>
                <w:spacing w:val="-6"/>
                <w:sz w:val="22"/>
              </w:rPr>
              <w:t xml:space="preserve"> </w:t>
            </w:r>
            <w:r>
              <w:rPr>
                <w:b/>
                <w:spacing w:val="-2"/>
                <w:sz w:val="22"/>
              </w:rPr>
              <w:t>Position,</w:t>
            </w:r>
          </w:p>
          <w:p>
            <w:pPr>
              <w:pStyle w:val="TableParagraph"/>
              <w:spacing w:before="4" w:line="250" w:lineRule="exact"/>
              <w:ind w:left="108"/>
              <w:rPr>
                <w:b/>
                <w:sz w:val="22"/>
              </w:rPr>
            </w:pPr>
            <w:r>
              <w:rPr>
                <w:b/>
                <w:spacing w:val="-2"/>
                <w:sz w:val="22"/>
              </w:rPr>
              <w:t>Company)</w:t>
            </w:r>
          </w:p>
        </w:tc>
        <w:tc>
          <w:tcPr>
            <w:tcW w:w="1697" w:type="dxa"/>
          </w:tcPr>
          <w:p>
            <w:pPr>
              <w:pStyle w:val="TableParagraph"/>
              <w:spacing w:before="250" w:line="250" w:lineRule="atLeast"/>
              <w:ind w:left="107" w:right="113"/>
              <w:rPr>
                <w:b/>
                <w:sz w:val="22"/>
              </w:rPr>
            </w:pPr>
            <w:r>
              <w:rPr>
                <w:b/>
                <w:sz w:val="22"/>
              </w:rPr>
              <w:t xml:space="preserve">Type of </w:t>
            </w:r>
            <w:r>
              <w:rPr>
                <w:b/>
                <w:spacing w:val="-2"/>
                <w:sz w:val="22"/>
              </w:rPr>
              <w:t>Information</w:t>
            </w:r>
          </w:p>
        </w:tc>
        <w:tc>
          <w:tcPr>
            <w:tcW w:w="3600" w:type="dxa"/>
          </w:tcPr>
          <w:p>
            <w:pPr>
              <w:pStyle w:val="TableParagraph"/>
              <w:rPr>
                <w:rFonts w:ascii="Arial"/>
                <w:b/>
                <w:sz w:val="22"/>
              </w:rPr>
            </w:pPr>
          </w:p>
          <w:p>
            <w:pPr>
              <w:pStyle w:val="TableParagraph"/>
              <w:spacing w:before="1"/>
              <w:rPr>
                <w:rFonts w:ascii="Arial"/>
                <w:b/>
                <w:sz w:val="22"/>
              </w:rPr>
            </w:pPr>
          </w:p>
          <w:p>
            <w:pPr>
              <w:pStyle w:val="TableParagraph"/>
              <w:spacing w:line="250" w:lineRule="exact"/>
              <w:ind w:left="105"/>
              <w:rPr>
                <w:b/>
                <w:sz w:val="22"/>
              </w:rPr>
            </w:pPr>
            <w:r>
              <w:rPr>
                <w:b/>
                <w:spacing w:val="-2"/>
                <w:sz w:val="22"/>
              </w:rPr>
              <w:t>Comments</w:t>
            </w:r>
          </w:p>
        </w:tc>
      </w:tr>
      <w:tr>
        <w:tblPrEx>
          <w:tblW w:w="0" w:type="auto"/>
          <w:jc w:val="left"/>
          <w:tblInd w:w="514" w:type="dxa"/>
          <w:tblLayout w:type="fixed"/>
          <w:tblCellMar>
            <w:top w:w="0" w:type="dxa"/>
            <w:left w:w="0" w:type="dxa"/>
            <w:bottom w:w="0" w:type="dxa"/>
            <w:right w:w="0" w:type="dxa"/>
          </w:tblCellMar>
          <w:tblLook w:val="01E0"/>
        </w:tblPrEx>
        <w:trPr>
          <w:trHeight w:val="760"/>
          <w:jc w:val="left"/>
        </w:trPr>
        <w:tc>
          <w:tcPr>
            <w:tcW w:w="895" w:type="dxa"/>
          </w:tcPr>
          <w:p>
            <w:pPr>
              <w:pStyle w:val="TableParagraph"/>
              <w:spacing w:before="1"/>
              <w:ind w:left="107" w:right="97"/>
              <w:rPr>
                <w:sz w:val="22"/>
              </w:rPr>
            </w:pPr>
            <w:r>
              <w:rPr>
                <w:spacing w:val="-2"/>
                <w:sz w:val="22"/>
              </w:rPr>
              <w:t>Hxxxx-</w:t>
            </w:r>
            <w:r>
              <w:rPr>
                <w:spacing w:val="-4"/>
                <w:sz w:val="22"/>
              </w:rPr>
              <w:t>002</w:t>
            </w:r>
          </w:p>
        </w:tc>
        <w:tc>
          <w:tcPr>
            <w:tcW w:w="1248" w:type="dxa"/>
          </w:tcPr>
          <w:p>
            <w:pPr>
              <w:pStyle w:val="TableParagraph"/>
              <w:spacing w:before="1"/>
              <w:ind w:left="107"/>
              <w:rPr>
                <w:sz w:val="22"/>
              </w:rPr>
            </w:pPr>
            <w:r>
              <w:rPr>
                <w:spacing w:val="-4"/>
                <w:sz w:val="22"/>
              </w:rPr>
              <w:t>Both</w:t>
            </w:r>
          </w:p>
        </w:tc>
        <w:tc>
          <w:tcPr>
            <w:tcW w:w="2007" w:type="dxa"/>
          </w:tcPr>
          <w:p>
            <w:pPr>
              <w:pStyle w:val="TableParagraph"/>
              <w:spacing w:before="1" w:line="252" w:lineRule="exact"/>
              <w:ind w:left="108"/>
              <w:rPr>
                <w:sz w:val="22"/>
              </w:rPr>
            </w:pPr>
            <w:r>
              <w:rPr>
                <w:sz w:val="22"/>
              </w:rPr>
              <w:t xml:space="preserve">Joe </w:t>
            </w:r>
            <w:r>
              <w:rPr>
                <w:spacing w:val="-2"/>
                <w:sz w:val="22"/>
              </w:rPr>
              <w:t>Smith,</w:t>
            </w:r>
          </w:p>
          <w:p>
            <w:pPr>
              <w:pStyle w:val="TableParagraph"/>
              <w:spacing w:line="252" w:lineRule="exact"/>
              <w:ind w:left="108"/>
              <w:rPr>
                <w:sz w:val="22"/>
              </w:rPr>
            </w:pPr>
            <w:r>
              <w:rPr>
                <w:sz w:val="22"/>
              </w:rPr>
              <w:t>Director</w:t>
            </w:r>
            <w:r>
              <w:rPr>
                <w:spacing w:val="-14"/>
                <w:sz w:val="22"/>
              </w:rPr>
              <w:t xml:space="preserve"> </w:t>
            </w:r>
            <w:r>
              <w:rPr>
                <w:sz w:val="22"/>
              </w:rPr>
              <w:t>of</w:t>
            </w:r>
            <w:r>
              <w:rPr>
                <w:spacing w:val="-14"/>
                <w:sz w:val="22"/>
              </w:rPr>
              <w:t xml:space="preserve"> </w:t>
            </w:r>
            <w:r>
              <w:rPr>
                <w:sz w:val="22"/>
              </w:rPr>
              <w:t>Finance, ABC Health Plan</w:t>
            </w:r>
          </w:p>
        </w:tc>
        <w:tc>
          <w:tcPr>
            <w:tcW w:w="1697" w:type="dxa"/>
          </w:tcPr>
          <w:p>
            <w:pPr>
              <w:pStyle w:val="TableParagraph"/>
              <w:spacing w:line="252" w:lineRule="exact"/>
              <w:ind w:left="107" w:right="113"/>
              <w:rPr>
                <w:sz w:val="22"/>
              </w:rPr>
            </w:pPr>
            <w:r>
              <w:rPr>
                <w:spacing w:val="-2"/>
                <w:sz w:val="22"/>
              </w:rPr>
              <w:t xml:space="preserve">Administrative expenses, </w:t>
            </w:r>
            <w:r>
              <w:rPr>
                <w:sz w:val="22"/>
              </w:rPr>
              <w:t>gain/loss</w:t>
            </w:r>
            <w:r>
              <w:rPr>
                <w:spacing w:val="-14"/>
                <w:sz w:val="22"/>
              </w:rPr>
              <w:t xml:space="preserve"> </w:t>
            </w:r>
            <w:r>
              <w:rPr>
                <w:sz w:val="22"/>
              </w:rPr>
              <w:t>margin</w:t>
            </w:r>
          </w:p>
        </w:tc>
        <w:tc>
          <w:tcPr>
            <w:tcW w:w="3600" w:type="dxa"/>
          </w:tcPr>
          <w:p>
            <w:pPr>
              <w:pStyle w:val="TableParagraph"/>
              <w:rPr>
                <w:sz w:val="22"/>
              </w:rPr>
            </w:pPr>
          </w:p>
        </w:tc>
      </w:tr>
      <w:tr>
        <w:tblPrEx>
          <w:tblW w:w="0" w:type="auto"/>
          <w:jc w:val="left"/>
          <w:tblInd w:w="514" w:type="dxa"/>
          <w:tblLayout w:type="fixed"/>
          <w:tblCellMar>
            <w:top w:w="0" w:type="dxa"/>
            <w:left w:w="0" w:type="dxa"/>
            <w:bottom w:w="0" w:type="dxa"/>
            <w:right w:w="0" w:type="dxa"/>
          </w:tblCellMar>
          <w:tblLook w:val="01E0"/>
        </w:tblPrEx>
        <w:trPr>
          <w:trHeight w:val="758"/>
          <w:jc w:val="left"/>
        </w:trPr>
        <w:tc>
          <w:tcPr>
            <w:tcW w:w="895" w:type="dxa"/>
          </w:tcPr>
          <w:p>
            <w:pPr>
              <w:pStyle w:val="TableParagraph"/>
              <w:ind w:left="107" w:right="97"/>
              <w:rPr>
                <w:sz w:val="22"/>
              </w:rPr>
            </w:pPr>
            <w:r>
              <w:rPr>
                <w:spacing w:val="-2"/>
                <w:sz w:val="22"/>
              </w:rPr>
              <w:t>Hxxxx-</w:t>
            </w:r>
            <w:r>
              <w:rPr>
                <w:spacing w:val="-4"/>
                <w:sz w:val="22"/>
              </w:rPr>
              <w:t>002</w:t>
            </w:r>
          </w:p>
        </w:tc>
        <w:tc>
          <w:tcPr>
            <w:tcW w:w="1248" w:type="dxa"/>
          </w:tcPr>
          <w:p>
            <w:pPr>
              <w:pStyle w:val="TableParagraph"/>
              <w:spacing w:line="251" w:lineRule="exact"/>
              <w:ind w:left="107"/>
              <w:rPr>
                <w:sz w:val="22"/>
              </w:rPr>
            </w:pPr>
            <w:r>
              <w:rPr>
                <w:spacing w:val="-4"/>
                <w:sz w:val="22"/>
              </w:rPr>
              <w:t>Both</w:t>
            </w:r>
          </w:p>
        </w:tc>
        <w:tc>
          <w:tcPr>
            <w:tcW w:w="2007" w:type="dxa"/>
          </w:tcPr>
          <w:p>
            <w:pPr>
              <w:pStyle w:val="TableParagraph"/>
              <w:ind w:left="108" w:right="258"/>
              <w:rPr>
                <w:sz w:val="22"/>
              </w:rPr>
            </w:pPr>
            <w:r>
              <w:rPr>
                <w:sz w:val="22"/>
              </w:rPr>
              <w:t>Jane Doe, Medicare</w:t>
            </w:r>
            <w:r>
              <w:rPr>
                <w:spacing w:val="-14"/>
                <w:sz w:val="22"/>
              </w:rPr>
              <w:t xml:space="preserve"> </w:t>
            </w:r>
            <w:r>
              <w:rPr>
                <w:sz w:val="22"/>
              </w:rPr>
              <w:t>Analyst,</w:t>
            </w:r>
          </w:p>
          <w:p>
            <w:pPr>
              <w:pStyle w:val="TableParagraph"/>
              <w:spacing w:line="233" w:lineRule="exact"/>
              <w:ind w:left="108"/>
              <w:rPr>
                <w:sz w:val="22"/>
              </w:rPr>
            </w:pPr>
            <w:r>
              <w:rPr>
                <w:sz w:val="22"/>
              </w:rPr>
              <w:t>ABC</w:t>
            </w:r>
            <w:r>
              <w:rPr>
                <w:spacing w:val="-4"/>
                <w:sz w:val="22"/>
              </w:rPr>
              <w:t xml:space="preserve"> </w:t>
            </w:r>
            <w:r>
              <w:rPr>
                <w:sz w:val="22"/>
              </w:rPr>
              <w:t>Health</w:t>
            </w:r>
            <w:r>
              <w:rPr>
                <w:spacing w:val="-2"/>
                <w:sz w:val="22"/>
              </w:rPr>
              <w:t xml:space="preserve"> </w:t>
            </w:r>
            <w:r>
              <w:rPr>
                <w:spacing w:val="-4"/>
                <w:sz w:val="22"/>
              </w:rPr>
              <w:t>Plan</w:t>
            </w:r>
          </w:p>
        </w:tc>
        <w:tc>
          <w:tcPr>
            <w:tcW w:w="1697" w:type="dxa"/>
          </w:tcPr>
          <w:p>
            <w:pPr>
              <w:pStyle w:val="TableParagraph"/>
              <w:ind w:left="107" w:right="95"/>
              <w:rPr>
                <w:sz w:val="22"/>
              </w:rPr>
            </w:pPr>
            <w:r>
              <w:rPr>
                <w:sz w:val="22"/>
              </w:rPr>
              <w:t>Claim</w:t>
            </w:r>
            <w:r>
              <w:rPr>
                <w:spacing w:val="-14"/>
                <w:sz w:val="22"/>
              </w:rPr>
              <w:t xml:space="preserve"> </w:t>
            </w:r>
            <w:r>
              <w:rPr>
                <w:sz w:val="22"/>
              </w:rPr>
              <w:t>modeling, risk score</w:t>
            </w:r>
          </w:p>
        </w:tc>
        <w:tc>
          <w:tcPr>
            <w:tcW w:w="3600" w:type="dxa"/>
          </w:tcPr>
          <w:p>
            <w:pPr>
              <w:pStyle w:val="TableParagraph"/>
              <w:ind w:left="105"/>
              <w:rPr>
                <w:sz w:val="22"/>
              </w:rPr>
            </w:pPr>
            <w:r>
              <w:rPr>
                <w:sz w:val="22"/>
              </w:rPr>
              <w:t>I</w:t>
            </w:r>
            <w:r>
              <w:rPr>
                <w:spacing w:val="-8"/>
                <w:sz w:val="22"/>
              </w:rPr>
              <w:t xml:space="preserve"> </w:t>
            </w:r>
            <w:r>
              <w:rPr>
                <w:sz w:val="22"/>
              </w:rPr>
              <w:t>have</w:t>
            </w:r>
            <w:r>
              <w:rPr>
                <w:spacing w:val="-6"/>
                <w:sz w:val="22"/>
              </w:rPr>
              <w:t xml:space="preserve"> </w:t>
            </w:r>
            <w:r>
              <w:rPr>
                <w:sz w:val="22"/>
              </w:rPr>
              <w:t>not</w:t>
            </w:r>
            <w:r>
              <w:rPr>
                <w:spacing w:val="-8"/>
                <w:sz w:val="22"/>
              </w:rPr>
              <w:t xml:space="preserve"> </w:t>
            </w:r>
            <w:r>
              <w:rPr>
                <w:sz w:val="22"/>
              </w:rPr>
              <w:t>performed</w:t>
            </w:r>
            <w:r>
              <w:rPr>
                <w:spacing w:val="-6"/>
                <w:sz w:val="22"/>
              </w:rPr>
              <w:t xml:space="preserve"> </w:t>
            </w:r>
            <w:r>
              <w:rPr>
                <w:sz w:val="22"/>
              </w:rPr>
              <w:t>any</w:t>
            </w:r>
            <w:r>
              <w:rPr>
                <w:spacing w:val="-9"/>
                <w:sz w:val="22"/>
              </w:rPr>
              <w:t xml:space="preserve"> </w:t>
            </w:r>
            <w:r>
              <w:rPr>
                <w:sz w:val="22"/>
              </w:rPr>
              <w:t>independent audit or otherwise verified the</w:t>
            </w:r>
          </w:p>
          <w:p>
            <w:pPr>
              <w:pStyle w:val="TableParagraph"/>
              <w:spacing w:line="233" w:lineRule="exact"/>
              <w:ind w:left="105"/>
              <w:rPr>
                <w:sz w:val="22"/>
              </w:rPr>
            </w:pPr>
            <w:r>
              <w:rPr>
                <w:sz w:val="22"/>
              </w:rPr>
              <w:t>accuracy</w:t>
            </w:r>
            <w:r>
              <w:rPr>
                <w:spacing w:val="-5"/>
                <w:sz w:val="22"/>
              </w:rPr>
              <w:t xml:space="preserve"> </w:t>
            </w:r>
            <w:r>
              <w:rPr>
                <w:sz w:val="22"/>
              </w:rPr>
              <w:t>of</w:t>
            </w:r>
            <w:r>
              <w:rPr>
                <w:spacing w:val="-4"/>
                <w:sz w:val="22"/>
              </w:rPr>
              <w:t xml:space="preserve"> </w:t>
            </w:r>
            <w:r>
              <w:rPr>
                <w:sz w:val="22"/>
              </w:rPr>
              <w:t>these</w:t>
            </w:r>
            <w:r>
              <w:rPr>
                <w:spacing w:val="-2"/>
                <w:sz w:val="22"/>
              </w:rPr>
              <w:t xml:space="preserve"> </w:t>
            </w:r>
            <w:r>
              <w:rPr>
                <w:sz w:val="22"/>
              </w:rPr>
              <w:t>data</w:t>
            </w:r>
            <w:r>
              <w:rPr>
                <w:spacing w:val="-3"/>
                <w:sz w:val="22"/>
              </w:rPr>
              <w:t xml:space="preserve"> </w:t>
            </w:r>
            <w:r>
              <w:rPr>
                <w:sz w:val="22"/>
              </w:rPr>
              <w:t>or</w:t>
            </w:r>
            <w:r>
              <w:rPr>
                <w:spacing w:val="-3"/>
                <w:sz w:val="22"/>
              </w:rPr>
              <w:t xml:space="preserve"> </w:t>
            </w:r>
            <w:r>
              <w:rPr>
                <w:spacing w:val="-2"/>
                <w:sz w:val="22"/>
              </w:rPr>
              <w:t>information.</w:t>
            </w:r>
          </w:p>
        </w:tc>
      </w:tr>
    </w:tbl>
    <w:p>
      <w:pPr>
        <w:pStyle w:val="TableParagraph"/>
        <w:spacing w:after="0" w:line="233" w:lineRule="exact"/>
        <w:rPr>
          <w:sz w:val="22"/>
        </w:rPr>
        <w:sectPr>
          <w:pgSz w:w="12240" w:h="15840"/>
          <w:pgMar w:top="960" w:right="0" w:bottom="940" w:left="1080" w:header="727" w:footer="747"/>
          <w:cols w:space="720"/>
        </w:sectPr>
      </w:pPr>
    </w:p>
    <w:p>
      <w:pPr>
        <w:pStyle w:val="BodyText"/>
        <w:spacing w:before="225"/>
        <w:ind w:left="0"/>
        <w:rPr>
          <w:rFonts w:ascii="Arial"/>
          <w:b/>
          <w:sz w:val="21"/>
        </w:rPr>
      </w:pPr>
    </w:p>
    <w:p>
      <w:pPr>
        <w:spacing w:before="0"/>
        <w:ind w:left="504" w:right="0" w:firstLine="0"/>
        <w:jc w:val="left"/>
        <w:rPr>
          <w:rFonts w:ascii="Arial"/>
          <w:b/>
          <w:sz w:val="21"/>
        </w:rPr>
      </w:pPr>
      <w:bookmarkStart w:id="349" w:name="SAMPLE Crosswalk Supporting Documentatio"/>
      <w:bookmarkEnd w:id="349"/>
      <w:r>
        <w:rPr>
          <w:rFonts w:ascii="Arial"/>
          <w:b/>
          <w:sz w:val="21"/>
        </w:rPr>
        <w:t>SAMPLE</w:t>
      </w:r>
      <w:r>
        <w:rPr>
          <w:rFonts w:ascii="Arial"/>
          <w:b/>
          <w:spacing w:val="-10"/>
          <w:sz w:val="21"/>
        </w:rPr>
        <w:t xml:space="preserve"> </w:t>
      </w:r>
      <w:r>
        <w:rPr>
          <w:rFonts w:ascii="Arial"/>
          <w:b/>
          <w:sz w:val="21"/>
        </w:rPr>
        <w:t>Crosswalk</w:t>
      </w:r>
      <w:r>
        <w:rPr>
          <w:rFonts w:ascii="Arial"/>
          <w:b/>
          <w:spacing w:val="-10"/>
          <w:sz w:val="21"/>
        </w:rPr>
        <w:t xml:space="preserve"> </w:t>
      </w:r>
      <w:r>
        <w:rPr>
          <w:rFonts w:ascii="Arial"/>
          <w:b/>
          <w:sz w:val="21"/>
        </w:rPr>
        <w:t>Supporting</w:t>
      </w:r>
      <w:r>
        <w:rPr>
          <w:rFonts w:ascii="Arial"/>
          <w:b/>
          <w:spacing w:val="-7"/>
          <w:sz w:val="21"/>
        </w:rPr>
        <w:t xml:space="preserve"> </w:t>
      </w:r>
      <w:r>
        <w:rPr>
          <w:rFonts w:ascii="Arial"/>
          <w:b/>
          <w:spacing w:val="-2"/>
          <w:sz w:val="21"/>
        </w:rPr>
        <w:t>Documentation</w:t>
      </w:r>
    </w:p>
    <w:p>
      <w:pPr>
        <w:pStyle w:val="BodyText"/>
        <w:spacing w:before="239"/>
        <w:ind w:left="0"/>
        <w:rPr>
          <w:rFonts w:ascii="Arial"/>
          <w:b/>
          <w:sz w:val="21"/>
        </w:rPr>
      </w:pPr>
    </w:p>
    <w:p>
      <w:pPr>
        <w:tabs>
          <w:tab w:val="left" w:pos="4901"/>
        </w:tabs>
        <w:spacing w:before="0"/>
        <w:ind w:left="504" w:right="0" w:firstLine="0"/>
        <w:jc w:val="left"/>
        <w:rPr>
          <w:sz w:val="24"/>
        </w:rPr>
      </w:pPr>
      <w:r>
        <w:rPr>
          <w:b/>
          <w:spacing w:val="-4"/>
          <w:sz w:val="24"/>
        </w:rPr>
        <w:t>Bid:</w:t>
      </w:r>
      <w:r>
        <w:rPr>
          <w:b/>
          <w:sz w:val="24"/>
        </w:rPr>
        <w:tab/>
      </w:r>
      <w:r>
        <w:rPr>
          <w:spacing w:val="-2"/>
          <w:sz w:val="24"/>
        </w:rPr>
        <w:t>Hxxxx-</w:t>
      </w:r>
      <w:r>
        <w:rPr>
          <w:spacing w:val="-5"/>
          <w:sz w:val="24"/>
        </w:rPr>
        <w:t>001</w:t>
      </w:r>
    </w:p>
    <w:p>
      <w:pPr>
        <w:pStyle w:val="Heading3"/>
        <w:tabs>
          <w:tab w:val="left" w:pos="5557"/>
        </w:tabs>
        <w:rPr>
          <w:b w:val="0"/>
        </w:rPr>
      </w:pPr>
      <w:r>
        <w:t>Significance</w:t>
      </w:r>
      <w:r>
        <w:rPr>
          <w:spacing w:val="-3"/>
        </w:rPr>
        <w:t xml:space="preserve"> </w:t>
      </w:r>
      <w:r>
        <w:t>Level</w:t>
      </w:r>
      <w:r>
        <w:rPr>
          <w:spacing w:val="-2"/>
        </w:rPr>
        <w:t xml:space="preserve"> </w:t>
      </w:r>
      <w:r>
        <w:t>(for</w:t>
      </w:r>
      <w:r>
        <w:rPr>
          <w:spacing w:val="-1"/>
        </w:rPr>
        <w:t xml:space="preserve"> </w:t>
      </w:r>
      <w:r>
        <w:t>all</w:t>
      </w:r>
      <w:r>
        <w:rPr>
          <w:spacing w:val="-1"/>
        </w:rPr>
        <w:t xml:space="preserve"> </w:t>
      </w:r>
      <w:r>
        <w:rPr>
          <w:spacing w:val="-2"/>
        </w:rPr>
        <w:t>bids):</w:t>
      </w:r>
      <w:r>
        <w:tab/>
      </w:r>
      <w:r>
        <w:rPr>
          <w:b w:val="0"/>
          <w:spacing w:val="-5"/>
        </w:rPr>
        <w:t>30%</w:t>
      </w:r>
    </w:p>
    <w:p>
      <w:pPr>
        <w:spacing w:before="120"/>
        <w:ind w:left="504" w:right="0" w:firstLine="0"/>
        <w:jc w:val="left"/>
        <w:rPr>
          <w:b/>
          <w:sz w:val="24"/>
        </w:rPr>
      </w:pPr>
      <w:r>
        <w:rPr>
          <w:b/>
          <w:sz w:val="24"/>
        </w:rPr>
        <w:t>Determination</w:t>
      </w:r>
      <w:r>
        <w:rPr>
          <w:b/>
          <w:spacing w:val="-3"/>
          <w:sz w:val="24"/>
        </w:rPr>
        <w:t xml:space="preserve"> </w:t>
      </w:r>
      <w:r>
        <w:rPr>
          <w:b/>
          <w:sz w:val="24"/>
        </w:rPr>
        <w:t>of</w:t>
      </w:r>
      <w:r>
        <w:rPr>
          <w:b/>
          <w:spacing w:val="-2"/>
          <w:sz w:val="24"/>
        </w:rPr>
        <w:t xml:space="preserve"> </w:t>
      </w:r>
      <w:r>
        <w:rPr>
          <w:b/>
          <w:sz w:val="24"/>
        </w:rPr>
        <w:t>the</w:t>
      </w:r>
      <w:r>
        <w:rPr>
          <w:b/>
          <w:spacing w:val="-4"/>
          <w:sz w:val="24"/>
        </w:rPr>
        <w:t xml:space="preserve"> </w:t>
      </w:r>
      <w:r>
        <w:rPr>
          <w:b/>
          <w:sz w:val="24"/>
        </w:rPr>
        <w:t>Level</w:t>
      </w:r>
      <w:r>
        <w:rPr>
          <w:b/>
          <w:spacing w:val="-2"/>
          <w:sz w:val="24"/>
        </w:rPr>
        <w:t xml:space="preserve"> </w:t>
      </w:r>
      <w:r>
        <w:rPr>
          <w:b/>
          <w:sz w:val="24"/>
        </w:rPr>
        <w:t>of</w:t>
      </w:r>
      <w:r>
        <w:rPr>
          <w:b/>
          <w:spacing w:val="-2"/>
          <w:sz w:val="24"/>
        </w:rPr>
        <w:t xml:space="preserve"> Significance:</w:t>
      </w:r>
    </w:p>
    <w:p>
      <w:pPr>
        <w:spacing w:before="120"/>
        <w:ind w:left="504" w:right="1481" w:firstLine="0"/>
        <w:jc w:val="left"/>
        <w:rPr>
          <w:i/>
          <w:sz w:val="24"/>
        </w:rPr>
      </w:pPr>
      <w:r>
        <w:rPr>
          <w:i/>
          <w:sz w:val="24"/>
        </w:rPr>
        <w:t>[Describe</w:t>
      </w:r>
      <w:r>
        <w:rPr>
          <w:i/>
          <w:spacing w:val="-3"/>
          <w:sz w:val="24"/>
        </w:rPr>
        <w:t xml:space="preserve"> </w:t>
      </w:r>
      <w:r>
        <w:rPr>
          <w:i/>
          <w:sz w:val="24"/>
        </w:rPr>
        <w:t>the</w:t>
      </w:r>
      <w:r>
        <w:rPr>
          <w:i/>
          <w:spacing w:val="-4"/>
          <w:sz w:val="24"/>
        </w:rPr>
        <w:t xml:space="preserve"> </w:t>
      </w:r>
      <w:r>
        <w:rPr>
          <w:i/>
          <w:sz w:val="24"/>
        </w:rPr>
        <w:t>determination</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level</w:t>
      </w:r>
      <w:r>
        <w:rPr>
          <w:i/>
          <w:spacing w:val="-3"/>
          <w:sz w:val="24"/>
        </w:rPr>
        <w:t xml:space="preserve"> </w:t>
      </w:r>
      <w:r>
        <w:rPr>
          <w:i/>
          <w:sz w:val="24"/>
        </w:rPr>
        <w:t>of</w:t>
      </w:r>
      <w:r>
        <w:rPr>
          <w:i/>
          <w:spacing w:val="-3"/>
          <w:sz w:val="24"/>
        </w:rPr>
        <w:t xml:space="preserve"> </w:t>
      </w:r>
      <w:r>
        <w:rPr>
          <w:i/>
          <w:sz w:val="24"/>
        </w:rPr>
        <w:t>significance</w:t>
      </w:r>
      <w:r>
        <w:rPr>
          <w:i/>
          <w:spacing w:val="-4"/>
          <w:sz w:val="24"/>
        </w:rPr>
        <w:t xml:space="preserve"> </w:t>
      </w:r>
      <w:r>
        <w:rPr>
          <w:i/>
          <w:sz w:val="24"/>
        </w:rPr>
        <w:t>used</w:t>
      </w:r>
      <w:r>
        <w:rPr>
          <w:i/>
          <w:spacing w:val="-3"/>
          <w:sz w:val="24"/>
        </w:rPr>
        <w:t xml:space="preserve"> </w:t>
      </w:r>
      <w:r>
        <w:rPr>
          <w:i/>
          <w:sz w:val="24"/>
        </w:rPr>
        <w:t>as</w:t>
      </w:r>
      <w:r>
        <w:rPr>
          <w:i/>
          <w:spacing w:val="-4"/>
          <w:sz w:val="24"/>
        </w:rPr>
        <w:t xml:space="preserve"> </w:t>
      </w:r>
      <w:r>
        <w:rPr>
          <w:i/>
          <w:sz w:val="24"/>
        </w:rPr>
        <w:t>a</w:t>
      </w:r>
      <w:r>
        <w:rPr>
          <w:i/>
          <w:spacing w:val="-3"/>
          <w:sz w:val="24"/>
        </w:rPr>
        <w:t xml:space="preserve"> </w:t>
      </w:r>
      <w:r>
        <w:rPr>
          <w:i/>
          <w:sz w:val="24"/>
        </w:rPr>
        <w:t>threshold</w:t>
      </w:r>
      <w:r>
        <w:rPr>
          <w:i/>
          <w:spacing w:val="-1"/>
          <w:sz w:val="24"/>
        </w:rPr>
        <w:t xml:space="preserve"> </w:t>
      </w:r>
      <w:r>
        <w:rPr>
          <w:i/>
          <w:sz w:val="24"/>
        </w:rPr>
        <w:t>for</w:t>
      </w:r>
      <w:r>
        <w:rPr>
          <w:i/>
          <w:spacing w:val="-4"/>
          <w:sz w:val="24"/>
        </w:rPr>
        <w:t xml:space="preserve"> </w:t>
      </w:r>
      <w:r>
        <w:rPr>
          <w:i/>
          <w:sz w:val="24"/>
        </w:rPr>
        <w:t>reporting</w:t>
      </w:r>
      <w:r>
        <w:rPr>
          <w:i/>
          <w:sz w:val="24"/>
        </w:rPr>
        <w:t xml:space="preserve"> aggregated period experience.]</w:t>
      </w:r>
    </w:p>
    <w:p>
      <w:pPr>
        <w:pStyle w:val="BodyText"/>
        <w:spacing w:before="204"/>
        <w:ind w:left="0"/>
        <w:rPr>
          <w:i/>
        </w:rPr>
      </w:pPr>
    </w:p>
    <w:p>
      <w:pPr>
        <w:tabs>
          <w:tab w:val="left" w:pos="4824"/>
        </w:tabs>
        <w:spacing w:before="0"/>
        <w:ind w:left="504" w:right="0" w:firstLine="0"/>
        <w:jc w:val="left"/>
        <w:rPr>
          <w:sz w:val="24"/>
        </w:rPr>
      </w:pPr>
      <w:r>
        <w:rPr>
          <w:b/>
          <w:sz w:val="24"/>
        </w:rPr>
        <w:t>CY</w:t>
      </w:r>
      <w:r>
        <w:rPr>
          <w:b/>
          <w:spacing w:val="-2"/>
          <w:sz w:val="24"/>
        </w:rPr>
        <w:t xml:space="preserve"> </w:t>
      </w:r>
      <w:r>
        <w:rPr>
          <w:b/>
          <w:sz w:val="24"/>
        </w:rPr>
        <w:t>2027</w:t>
      </w:r>
      <w:r>
        <w:rPr>
          <w:b/>
          <w:spacing w:val="-1"/>
          <w:sz w:val="24"/>
        </w:rPr>
        <w:t xml:space="preserve"> </w:t>
      </w:r>
      <w:r>
        <w:rPr>
          <w:b/>
          <w:sz w:val="24"/>
        </w:rPr>
        <w:t>WK1</w:t>
      </w:r>
      <w:r>
        <w:rPr>
          <w:b/>
          <w:spacing w:val="-1"/>
          <w:sz w:val="24"/>
        </w:rPr>
        <w:t xml:space="preserve"> </w:t>
      </w:r>
      <w:r>
        <w:rPr>
          <w:b/>
          <w:sz w:val="24"/>
        </w:rPr>
        <w:t xml:space="preserve">Reporting </w:t>
      </w:r>
      <w:r>
        <w:rPr>
          <w:b/>
          <w:spacing w:val="-4"/>
          <w:sz w:val="24"/>
        </w:rPr>
        <w:t>for:</w:t>
      </w:r>
      <w:r>
        <w:rPr>
          <w:b/>
          <w:sz w:val="24"/>
        </w:rPr>
        <w:tab/>
      </w:r>
      <w:r>
        <w:rPr>
          <w:spacing w:val="-2"/>
          <w:sz w:val="24"/>
        </w:rPr>
        <w:t>Hxxxx-</w:t>
      </w:r>
      <w:r>
        <w:rPr>
          <w:spacing w:val="-5"/>
          <w:sz w:val="24"/>
        </w:rPr>
        <w:t>001</w:t>
      </w:r>
    </w:p>
    <w:p>
      <w:pPr>
        <w:pStyle w:val="BodyText"/>
        <w:spacing w:before="6"/>
        <w:ind w:left="0"/>
        <w:rPr>
          <w:sz w:val="10"/>
        </w:rPr>
      </w:pPr>
    </w:p>
    <w:tbl>
      <w:tblPr>
        <w:tblStyle w:val="TableNormal"/>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871"/>
        <w:gridCol w:w="1352"/>
        <w:gridCol w:w="1107"/>
        <w:gridCol w:w="1261"/>
        <w:gridCol w:w="1352"/>
        <w:gridCol w:w="1350"/>
        <w:gridCol w:w="1441"/>
      </w:tblGrid>
      <w:tr>
        <w:tblPrEx>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49"/>
          <w:jc w:val="left"/>
        </w:trPr>
        <w:tc>
          <w:tcPr>
            <w:tcW w:w="806" w:type="dxa"/>
          </w:tcPr>
          <w:p>
            <w:pPr>
              <w:pStyle w:val="TableParagraph"/>
              <w:rPr>
                <w:sz w:val="18"/>
              </w:rPr>
            </w:pPr>
          </w:p>
        </w:tc>
        <w:tc>
          <w:tcPr>
            <w:tcW w:w="5943" w:type="dxa"/>
            <w:gridSpan w:val="5"/>
          </w:tcPr>
          <w:p>
            <w:pPr>
              <w:pStyle w:val="TableParagraph"/>
              <w:spacing w:before="1" w:line="229" w:lineRule="exact"/>
              <w:ind w:left="1930"/>
              <w:rPr>
                <w:b/>
                <w:sz w:val="20"/>
              </w:rPr>
            </w:pPr>
            <w:r>
              <w:rPr>
                <w:b/>
                <w:sz w:val="20"/>
              </w:rPr>
              <w:t>Member</w:t>
            </w:r>
            <w:r>
              <w:rPr>
                <w:b/>
                <w:spacing w:val="-9"/>
                <w:sz w:val="20"/>
              </w:rPr>
              <w:t xml:space="preserve"> </w:t>
            </w:r>
            <w:r>
              <w:rPr>
                <w:b/>
                <w:sz w:val="20"/>
              </w:rPr>
              <w:t>Months</w:t>
            </w:r>
            <w:r>
              <w:rPr>
                <w:b/>
                <w:spacing w:val="-8"/>
                <w:sz w:val="20"/>
              </w:rPr>
              <w:t xml:space="preserve"> </w:t>
            </w:r>
            <w:r>
              <w:rPr>
                <w:b/>
                <w:spacing w:val="-4"/>
                <w:sz w:val="20"/>
              </w:rPr>
              <w:t>(MMs)</w:t>
            </w:r>
          </w:p>
        </w:tc>
        <w:tc>
          <w:tcPr>
            <w:tcW w:w="1350" w:type="dxa"/>
          </w:tcPr>
          <w:p>
            <w:pPr>
              <w:pStyle w:val="TableParagraph"/>
              <w:rPr>
                <w:sz w:val="18"/>
              </w:rPr>
            </w:pPr>
          </w:p>
        </w:tc>
        <w:tc>
          <w:tcPr>
            <w:tcW w:w="1441" w:type="dxa"/>
          </w:tcPr>
          <w:p>
            <w:pPr>
              <w:pStyle w:val="TableParagraph"/>
              <w:rPr>
                <w:sz w:val="18"/>
              </w:rPr>
            </w:pPr>
          </w:p>
        </w:tc>
      </w:tr>
      <w:tr>
        <w:tblPrEx>
          <w:tblW w:w="0" w:type="auto"/>
          <w:jc w:val="left"/>
          <w:tblInd w:w="514" w:type="dxa"/>
          <w:tblLayout w:type="fixed"/>
          <w:tblCellMar>
            <w:top w:w="0" w:type="dxa"/>
            <w:left w:w="0" w:type="dxa"/>
            <w:bottom w:w="0" w:type="dxa"/>
            <w:right w:w="0" w:type="dxa"/>
          </w:tblCellMar>
          <w:tblLook w:val="01E0"/>
        </w:tblPrEx>
        <w:trPr>
          <w:trHeight w:val="1398"/>
          <w:jc w:val="left"/>
        </w:trPr>
        <w:tc>
          <w:tcPr>
            <w:tcW w:w="806" w:type="dxa"/>
          </w:tcPr>
          <w:p>
            <w:pPr>
              <w:pStyle w:val="TableParagraph"/>
              <w:rPr>
                <w:sz w:val="20"/>
              </w:rPr>
            </w:pPr>
          </w:p>
          <w:p>
            <w:pPr>
              <w:pStyle w:val="TableParagraph"/>
              <w:rPr>
                <w:sz w:val="20"/>
              </w:rPr>
            </w:pPr>
          </w:p>
          <w:p>
            <w:pPr>
              <w:pStyle w:val="TableParagraph"/>
              <w:spacing w:before="229"/>
              <w:rPr>
                <w:sz w:val="20"/>
              </w:rPr>
            </w:pPr>
          </w:p>
          <w:p>
            <w:pPr>
              <w:pStyle w:val="TableParagraph"/>
              <w:ind w:left="10"/>
              <w:jc w:val="center"/>
              <w:rPr>
                <w:b/>
                <w:sz w:val="20"/>
              </w:rPr>
            </w:pPr>
            <w:r>
              <w:rPr>
                <w:b/>
                <w:spacing w:val="-2"/>
                <w:sz w:val="20"/>
              </w:rPr>
              <w:t>CY2025</w:t>
            </w:r>
          </w:p>
          <w:p>
            <w:pPr>
              <w:pStyle w:val="TableParagraph"/>
              <w:spacing w:before="1" w:line="229" w:lineRule="exact"/>
              <w:ind w:left="10" w:right="5"/>
              <w:jc w:val="center"/>
              <w:rPr>
                <w:b/>
                <w:sz w:val="20"/>
              </w:rPr>
            </w:pPr>
            <w:r>
              <w:rPr>
                <w:b/>
                <w:spacing w:val="-5"/>
                <w:sz w:val="20"/>
              </w:rPr>
              <w:t>Bid</w:t>
            </w:r>
          </w:p>
        </w:tc>
        <w:tc>
          <w:tcPr>
            <w:tcW w:w="871" w:type="dxa"/>
          </w:tcPr>
          <w:p>
            <w:pPr>
              <w:pStyle w:val="TableParagraph"/>
              <w:rPr>
                <w:sz w:val="20"/>
              </w:rPr>
            </w:pPr>
          </w:p>
          <w:p>
            <w:pPr>
              <w:pStyle w:val="TableParagraph"/>
              <w:spacing w:before="1"/>
              <w:rPr>
                <w:sz w:val="20"/>
              </w:rPr>
            </w:pPr>
          </w:p>
          <w:p>
            <w:pPr>
              <w:pStyle w:val="TableParagraph"/>
              <w:ind w:left="12" w:right="2"/>
              <w:jc w:val="center"/>
              <w:rPr>
                <w:b/>
                <w:sz w:val="20"/>
              </w:rPr>
            </w:pPr>
            <w:r>
              <w:rPr>
                <w:b/>
                <w:spacing w:val="-4"/>
                <w:sz w:val="20"/>
              </w:rPr>
              <w:t xml:space="preserve">(c) </w:t>
            </w:r>
            <w:r>
              <w:rPr>
                <w:b/>
                <w:spacing w:val="-2"/>
                <w:sz w:val="20"/>
              </w:rPr>
              <w:t>CY2025</w:t>
            </w:r>
          </w:p>
          <w:p>
            <w:pPr>
              <w:pStyle w:val="TableParagraph"/>
              <w:spacing w:line="230" w:lineRule="exact"/>
              <w:ind w:left="12" w:right="2"/>
              <w:jc w:val="center"/>
              <w:rPr>
                <w:b/>
                <w:sz w:val="20"/>
              </w:rPr>
            </w:pPr>
            <w:r>
              <w:rPr>
                <w:b/>
                <w:spacing w:val="-2"/>
                <w:sz w:val="20"/>
              </w:rPr>
              <w:t xml:space="preserve">Total </w:t>
            </w:r>
            <w:r>
              <w:rPr>
                <w:b/>
                <w:spacing w:val="-5"/>
                <w:sz w:val="20"/>
              </w:rPr>
              <w:t>MMs</w:t>
            </w:r>
          </w:p>
        </w:tc>
        <w:tc>
          <w:tcPr>
            <w:tcW w:w="1352" w:type="dxa"/>
          </w:tcPr>
          <w:p>
            <w:pPr>
              <w:pStyle w:val="TableParagraph"/>
              <w:ind w:left="534" w:right="525"/>
              <w:jc w:val="center"/>
              <w:rPr>
                <w:b/>
                <w:sz w:val="20"/>
              </w:rPr>
            </w:pPr>
            <w:r>
              <w:rPr>
                <w:b/>
                <w:spacing w:val="-4"/>
                <w:sz w:val="20"/>
              </w:rPr>
              <w:t xml:space="preserve">(d) </w:t>
            </w:r>
            <w:r>
              <w:rPr>
                <w:b/>
                <w:spacing w:val="-10"/>
                <w:sz w:val="20"/>
              </w:rPr>
              <w:t>#</w:t>
            </w:r>
          </w:p>
          <w:p>
            <w:pPr>
              <w:pStyle w:val="TableParagraph"/>
              <w:spacing w:before="1"/>
              <w:ind w:left="91" w:right="85" w:firstLine="2"/>
              <w:jc w:val="center"/>
              <w:rPr>
                <w:b/>
                <w:sz w:val="20"/>
              </w:rPr>
            </w:pPr>
            <w:r>
              <w:rPr>
                <w:b/>
                <w:spacing w:val="-2"/>
                <w:sz w:val="20"/>
              </w:rPr>
              <w:t xml:space="preserve">Crosswalked </w:t>
            </w:r>
            <w:r>
              <w:rPr>
                <w:b/>
                <w:sz w:val="20"/>
              </w:rPr>
              <w:t>from</w:t>
            </w:r>
            <w:r>
              <w:rPr>
                <w:b/>
                <w:spacing w:val="-13"/>
                <w:sz w:val="20"/>
              </w:rPr>
              <w:t xml:space="preserve"> </w:t>
            </w:r>
            <w:r>
              <w:rPr>
                <w:b/>
                <w:sz w:val="20"/>
              </w:rPr>
              <w:t>CY2025 Bid to</w:t>
            </w:r>
          </w:p>
          <w:p>
            <w:pPr>
              <w:pStyle w:val="TableParagraph"/>
              <w:spacing w:line="228" w:lineRule="exact"/>
              <w:ind w:left="23" w:right="21"/>
              <w:jc w:val="center"/>
              <w:rPr>
                <w:b/>
                <w:sz w:val="20"/>
              </w:rPr>
            </w:pPr>
            <w:r>
              <w:rPr>
                <w:b/>
                <w:sz w:val="20"/>
              </w:rPr>
              <w:t>Reporting</w:t>
            </w:r>
            <w:r>
              <w:rPr>
                <w:b/>
                <w:spacing w:val="-7"/>
                <w:sz w:val="20"/>
              </w:rPr>
              <w:t xml:space="preserve"> </w:t>
            </w:r>
            <w:r>
              <w:rPr>
                <w:b/>
                <w:spacing w:val="-5"/>
                <w:sz w:val="20"/>
              </w:rPr>
              <w:t>Bid</w:t>
            </w:r>
          </w:p>
        </w:tc>
        <w:tc>
          <w:tcPr>
            <w:tcW w:w="1107" w:type="dxa"/>
          </w:tcPr>
          <w:p>
            <w:pPr>
              <w:pStyle w:val="TableParagraph"/>
              <w:rPr>
                <w:sz w:val="20"/>
              </w:rPr>
            </w:pPr>
          </w:p>
          <w:p>
            <w:pPr>
              <w:pStyle w:val="TableParagraph"/>
              <w:ind w:left="8"/>
              <w:jc w:val="center"/>
              <w:rPr>
                <w:b/>
                <w:sz w:val="20"/>
              </w:rPr>
            </w:pPr>
            <w:r>
              <w:rPr>
                <w:b/>
                <w:spacing w:val="-5"/>
                <w:sz w:val="20"/>
              </w:rPr>
              <w:t>(e)</w:t>
            </w:r>
          </w:p>
          <w:p>
            <w:pPr>
              <w:pStyle w:val="TableParagraph"/>
              <w:spacing w:before="1"/>
              <w:ind w:left="8"/>
              <w:jc w:val="center"/>
              <w:rPr>
                <w:b/>
                <w:sz w:val="20"/>
              </w:rPr>
            </w:pPr>
            <w:r>
              <w:rPr>
                <w:b/>
                <w:sz w:val="20"/>
              </w:rPr>
              <w:t>#</w:t>
            </w:r>
            <w:r>
              <w:rPr>
                <w:b/>
                <w:spacing w:val="-13"/>
                <w:sz w:val="20"/>
              </w:rPr>
              <w:t xml:space="preserve"> </w:t>
            </w:r>
            <w:r>
              <w:rPr>
                <w:b/>
                <w:sz w:val="20"/>
              </w:rPr>
              <w:t xml:space="preserve">Removed </w:t>
            </w:r>
            <w:r>
              <w:rPr>
                <w:b/>
                <w:spacing w:val="-4"/>
                <w:sz w:val="20"/>
              </w:rPr>
              <w:t xml:space="preserve">from </w:t>
            </w:r>
            <w:r>
              <w:rPr>
                <w:b/>
                <w:spacing w:val="-2"/>
                <w:sz w:val="20"/>
              </w:rPr>
              <w:t>Reporting</w:t>
            </w:r>
          </w:p>
          <w:p>
            <w:pPr>
              <w:pStyle w:val="TableParagraph"/>
              <w:spacing w:line="228" w:lineRule="exact"/>
              <w:ind w:left="8" w:right="1"/>
              <w:jc w:val="center"/>
              <w:rPr>
                <w:b/>
                <w:sz w:val="20"/>
              </w:rPr>
            </w:pPr>
            <w:r>
              <w:rPr>
                <w:b/>
                <w:spacing w:val="-5"/>
                <w:sz w:val="20"/>
              </w:rPr>
              <w:t>Bid</w:t>
            </w:r>
          </w:p>
        </w:tc>
        <w:tc>
          <w:tcPr>
            <w:tcW w:w="1261" w:type="dxa"/>
          </w:tcPr>
          <w:p>
            <w:pPr>
              <w:pStyle w:val="TableParagraph"/>
              <w:rPr>
                <w:sz w:val="20"/>
              </w:rPr>
            </w:pPr>
          </w:p>
          <w:p>
            <w:pPr>
              <w:pStyle w:val="TableParagraph"/>
              <w:ind w:left="7" w:right="2"/>
              <w:jc w:val="center"/>
              <w:rPr>
                <w:b/>
                <w:sz w:val="20"/>
              </w:rPr>
            </w:pPr>
            <w:r>
              <w:rPr>
                <w:b/>
                <w:spacing w:val="-5"/>
                <w:sz w:val="20"/>
              </w:rPr>
              <w:t>(f)</w:t>
            </w:r>
          </w:p>
          <w:p>
            <w:pPr>
              <w:pStyle w:val="TableParagraph"/>
              <w:spacing w:before="1"/>
              <w:ind w:left="85" w:right="79" w:hanging="1"/>
              <w:jc w:val="center"/>
              <w:rPr>
                <w:b/>
                <w:sz w:val="20"/>
              </w:rPr>
            </w:pPr>
            <w:r>
              <w:rPr>
                <w:b/>
                <w:sz w:val="20"/>
              </w:rPr>
              <w:t>#</w:t>
            </w:r>
            <w:r>
              <w:rPr>
                <w:b/>
                <w:spacing w:val="-13"/>
                <w:sz w:val="20"/>
              </w:rPr>
              <w:t xml:space="preserve"> </w:t>
            </w:r>
            <w:r>
              <w:rPr>
                <w:b/>
                <w:sz w:val="20"/>
              </w:rPr>
              <w:t>Remaining in</w:t>
            </w:r>
            <w:r>
              <w:rPr>
                <w:b/>
                <w:spacing w:val="-13"/>
                <w:sz w:val="20"/>
              </w:rPr>
              <w:t xml:space="preserve"> </w:t>
            </w:r>
            <w:r>
              <w:rPr>
                <w:b/>
                <w:sz w:val="20"/>
              </w:rPr>
              <w:t xml:space="preserve">Reporting </w:t>
            </w:r>
            <w:r>
              <w:rPr>
                <w:b/>
                <w:spacing w:val="-4"/>
                <w:sz w:val="20"/>
              </w:rPr>
              <w:t>Bid</w:t>
            </w:r>
          </w:p>
          <w:p>
            <w:pPr>
              <w:pStyle w:val="TableParagraph"/>
              <w:spacing w:line="228" w:lineRule="exact"/>
              <w:ind w:left="7"/>
              <w:jc w:val="center"/>
              <w:rPr>
                <w:b/>
                <w:sz w:val="20"/>
              </w:rPr>
            </w:pPr>
            <w:r>
              <w:rPr>
                <w:b/>
                <w:spacing w:val="-2"/>
                <w:sz w:val="20"/>
              </w:rPr>
              <w:t>(d-</w:t>
            </w:r>
            <w:r>
              <w:rPr>
                <w:b/>
                <w:spacing w:val="-7"/>
                <w:sz w:val="20"/>
              </w:rPr>
              <w:t>e)</w:t>
            </w:r>
          </w:p>
        </w:tc>
        <w:tc>
          <w:tcPr>
            <w:tcW w:w="1352" w:type="dxa"/>
          </w:tcPr>
          <w:p>
            <w:pPr>
              <w:pStyle w:val="TableParagraph"/>
              <w:rPr>
                <w:sz w:val="20"/>
              </w:rPr>
            </w:pPr>
          </w:p>
          <w:p>
            <w:pPr>
              <w:pStyle w:val="TableParagraph"/>
              <w:ind w:left="534" w:right="531"/>
              <w:jc w:val="center"/>
              <w:rPr>
                <w:b/>
                <w:sz w:val="20"/>
              </w:rPr>
            </w:pPr>
            <w:r>
              <w:rPr>
                <w:b/>
                <w:spacing w:val="-5"/>
                <w:sz w:val="20"/>
              </w:rPr>
              <w:t>(g)</w:t>
            </w:r>
          </w:p>
          <w:p>
            <w:pPr>
              <w:pStyle w:val="TableParagraph"/>
              <w:spacing w:before="1"/>
              <w:ind w:left="23" w:right="20"/>
              <w:jc w:val="center"/>
              <w:rPr>
                <w:b/>
                <w:sz w:val="20"/>
              </w:rPr>
            </w:pPr>
            <w:r>
              <w:rPr>
                <w:b/>
                <w:sz w:val="20"/>
              </w:rPr>
              <w:t>%</w:t>
            </w:r>
            <w:r>
              <w:rPr>
                <w:b/>
                <w:spacing w:val="-13"/>
                <w:sz w:val="20"/>
              </w:rPr>
              <w:t xml:space="preserve"> </w:t>
            </w:r>
            <w:r>
              <w:rPr>
                <w:b/>
                <w:sz w:val="20"/>
              </w:rPr>
              <w:t xml:space="preserve">Remaining in Reporting </w:t>
            </w:r>
            <w:r>
              <w:rPr>
                <w:b/>
                <w:spacing w:val="-4"/>
                <w:sz w:val="20"/>
              </w:rPr>
              <w:t>Bid</w:t>
            </w:r>
          </w:p>
          <w:p>
            <w:pPr>
              <w:pStyle w:val="TableParagraph"/>
              <w:spacing w:line="228" w:lineRule="exact"/>
              <w:ind w:left="75" w:right="20"/>
              <w:jc w:val="center"/>
              <w:rPr>
                <w:b/>
                <w:sz w:val="20"/>
              </w:rPr>
            </w:pPr>
            <w:r>
              <w:rPr>
                <w:b/>
                <w:spacing w:val="-2"/>
                <w:sz w:val="20"/>
              </w:rPr>
              <w:t>(f/c)</w:t>
            </w:r>
          </w:p>
        </w:tc>
        <w:tc>
          <w:tcPr>
            <w:tcW w:w="1350" w:type="dxa"/>
          </w:tcPr>
          <w:p>
            <w:pPr>
              <w:pStyle w:val="TableParagraph"/>
              <w:ind w:left="101" w:right="96" w:firstLine="1"/>
              <w:jc w:val="center"/>
              <w:rPr>
                <w:b/>
                <w:sz w:val="20"/>
              </w:rPr>
            </w:pPr>
            <w:r>
              <w:rPr>
                <w:b/>
                <w:spacing w:val="-2"/>
                <w:sz w:val="20"/>
              </w:rPr>
              <w:t xml:space="preserve">Include </w:t>
            </w:r>
            <w:r>
              <w:rPr>
                <w:b/>
                <w:sz w:val="20"/>
              </w:rPr>
              <w:t>CY2025</w:t>
            </w:r>
            <w:r>
              <w:rPr>
                <w:b/>
                <w:spacing w:val="-13"/>
                <w:sz w:val="20"/>
              </w:rPr>
              <w:t xml:space="preserve"> </w:t>
            </w:r>
            <w:r>
              <w:rPr>
                <w:b/>
                <w:sz w:val="20"/>
              </w:rPr>
              <w:t xml:space="preserve">Base Period Data </w:t>
            </w:r>
            <w:r>
              <w:rPr>
                <w:b/>
                <w:spacing w:val="-2"/>
                <w:sz w:val="20"/>
              </w:rPr>
              <w:t>CY2027</w:t>
            </w:r>
          </w:p>
          <w:p>
            <w:pPr>
              <w:pStyle w:val="TableParagraph"/>
              <w:spacing w:line="230" w:lineRule="exact"/>
              <w:ind w:left="7"/>
              <w:jc w:val="center"/>
              <w:rPr>
                <w:b/>
                <w:sz w:val="20"/>
              </w:rPr>
            </w:pPr>
            <w:r>
              <w:rPr>
                <w:b/>
                <w:sz w:val="20"/>
              </w:rPr>
              <w:t>Reporting</w:t>
            </w:r>
            <w:r>
              <w:rPr>
                <w:b/>
                <w:spacing w:val="-13"/>
                <w:sz w:val="20"/>
              </w:rPr>
              <w:t xml:space="preserve"> </w:t>
            </w:r>
            <w:r>
              <w:rPr>
                <w:b/>
                <w:sz w:val="20"/>
              </w:rPr>
              <w:t xml:space="preserve">Bid </w:t>
            </w:r>
            <w:r>
              <w:rPr>
                <w:b/>
                <w:spacing w:val="-2"/>
                <w:sz w:val="20"/>
              </w:rPr>
              <w:t>(WK1)</w:t>
            </w:r>
          </w:p>
        </w:tc>
        <w:tc>
          <w:tcPr>
            <w:tcW w:w="1441" w:type="dxa"/>
          </w:tcPr>
          <w:p>
            <w:pPr>
              <w:pStyle w:val="TableParagraph"/>
              <w:rPr>
                <w:sz w:val="20"/>
              </w:rPr>
            </w:pPr>
          </w:p>
          <w:p>
            <w:pPr>
              <w:pStyle w:val="TableParagraph"/>
              <w:rPr>
                <w:sz w:val="20"/>
              </w:rPr>
            </w:pPr>
          </w:p>
          <w:p>
            <w:pPr>
              <w:pStyle w:val="TableParagraph"/>
              <w:spacing w:before="228"/>
              <w:rPr>
                <w:sz w:val="20"/>
              </w:rPr>
            </w:pPr>
          </w:p>
          <w:p>
            <w:pPr>
              <w:pStyle w:val="TableParagraph"/>
              <w:spacing w:before="1" w:line="230" w:lineRule="atLeast"/>
              <w:ind w:left="266" w:right="262" w:firstLine="72"/>
              <w:rPr>
                <w:b/>
                <w:sz w:val="20"/>
              </w:rPr>
            </w:pPr>
            <w:r>
              <w:rPr>
                <w:b/>
                <w:spacing w:val="-2"/>
                <w:sz w:val="20"/>
              </w:rPr>
              <w:t>Relevant Crosswalk</w:t>
            </w:r>
          </w:p>
        </w:tc>
      </w:tr>
      <w:tr>
        <w:tblPrEx>
          <w:tblW w:w="0" w:type="auto"/>
          <w:jc w:val="left"/>
          <w:tblInd w:w="514" w:type="dxa"/>
          <w:tblLayout w:type="fixed"/>
          <w:tblCellMar>
            <w:top w:w="0" w:type="dxa"/>
            <w:left w:w="0" w:type="dxa"/>
            <w:bottom w:w="0" w:type="dxa"/>
            <w:right w:w="0" w:type="dxa"/>
          </w:tblCellMar>
          <w:tblLook w:val="01E0"/>
        </w:tblPrEx>
        <w:trPr>
          <w:trHeight w:val="460"/>
          <w:jc w:val="left"/>
        </w:trPr>
        <w:tc>
          <w:tcPr>
            <w:tcW w:w="806" w:type="dxa"/>
          </w:tcPr>
          <w:p>
            <w:pPr>
              <w:pStyle w:val="TableParagraph"/>
              <w:spacing w:line="230" w:lineRule="atLeast"/>
              <w:ind w:left="57" w:right="119"/>
              <w:rPr>
                <w:sz w:val="20"/>
              </w:rPr>
            </w:pPr>
            <w:r>
              <w:rPr>
                <w:spacing w:val="-2"/>
                <w:sz w:val="20"/>
              </w:rPr>
              <w:t>Hxxxx-</w:t>
            </w:r>
            <w:r>
              <w:rPr>
                <w:spacing w:val="-4"/>
                <w:sz w:val="20"/>
              </w:rPr>
              <w:t>001</w:t>
            </w:r>
          </w:p>
        </w:tc>
        <w:tc>
          <w:tcPr>
            <w:tcW w:w="871" w:type="dxa"/>
          </w:tcPr>
          <w:p>
            <w:pPr>
              <w:pStyle w:val="TableParagraph"/>
              <w:rPr>
                <w:sz w:val="20"/>
              </w:rPr>
            </w:pPr>
          </w:p>
          <w:p>
            <w:pPr>
              <w:pStyle w:val="TableParagraph"/>
              <w:spacing w:line="210" w:lineRule="exact"/>
              <w:ind w:right="44"/>
              <w:jc w:val="right"/>
              <w:rPr>
                <w:sz w:val="20"/>
              </w:rPr>
            </w:pPr>
            <w:r>
              <w:rPr>
                <w:spacing w:val="-2"/>
                <w:sz w:val="20"/>
              </w:rPr>
              <w:t>3,000</w:t>
            </w:r>
          </w:p>
        </w:tc>
        <w:tc>
          <w:tcPr>
            <w:tcW w:w="1352" w:type="dxa"/>
          </w:tcPr>
          <w:p>
            <w:pPr>
              <w:pStyle w:val="TableParagraph"/>
              <w:rPr>
                <w:sz w:val="20"/>
              </w:rPr>
            </w:pPr>
          </w:p>
          <w:p>
            <w:pPr>
              <w:pStyle w:val="TableParagraph"/>
              <w:spacing w:line="210" w:lineRule="exact"/>
              <w:ind w:right="350"/>
              <w:jc w:val="right"/>
              <w:rPr>
                <w:sz w:val="20"/>
              </w:rPr>
            </w:pPr>
            <w:r>
              <w:rPr>
                <w:spacing w:val="-10"/>
                <w:sz w:val="20"/>
              </w:rPr>
              <w:t>—</w:t>
            </w:r>
          </w:p>
        </w:tc>
        <w:tc>
          <w:tcPr>
            <w:tcW w:w="1107" w:type="dxa"/>
          </w:tcPr>
          <w:p>
            <w:pPr>
              <w:pStyle w:val="TableParagraph"/>
              <w:rPr>
                <w:sz w:val="20"/>
              </w:rPr>
            </w:pPr>
          </w:p>
          <w:p>
            <w:pPr>
              <w:pStyle w:val="TableParagraph"/>
              <w:spacing w:line="210" w:lineRule="exact"/>
              <w:ind w:right="256"/>
              <w:jc w:val="right"/>
              <w:rPr>
                <w:sz w:val="20"/>
              </w:rPr>
            </w:pPr>
            <w:r>
              <w:rPr>
                <w:spacing w:val="-2"/>
                <w:sz w:val="20"/>
              </w:rPr>
              <w:t>2,500</w:t>
            </w:r>
          </w:p>
        </w:tc>
        <w:tc>
          <w:tcPr>
            <w:tcW w:w="1261" w:type="dxa"/>
          </w:tcPr>
          <w:p>
            <w:pPr>
              <w:pStyle w:val="TableParagraph"/>
              <w:rPr>
                <w:sz w:val="20"/>
              </w:rPr>
            </w:pPr>
          </w:p>
          <w:p>
            <w:pPr>
              <w:pStyle w:val="TableParagraph"/>
              <w:spacing w:line="210" w:lineRule="exact"/>
              <w:ind w:right="352"/>
              <w:jc w:val="right"/>
              <w:rPr>
                <w:sz w:val="20"/>
              </w:rPr>
            </w:pPr>
            <w:r>
              <w:rPr>
                <w:spacing w:val="-5"/>
                <w:sz w:val="20"/>
              </w:rPr>
              <w:t>N/A</w:t>
            </w:r>
          </w:p>
        </w:tc>
        <w:tc>
          <w:tcPr>
            <w:tcW w:w="1352" w:type="dxa"/>
          </w:tcPr>
          <w:p>
            <w:pPr>
              <w:pStyle w:val="TableParagraph"/>
              <w:rPr>
                <w:sz w:val="20"/>
              </w:rPr>
            </w:pPr>
          </w:p>
          <w:p>
            <w:pPr>
              <w:pStyle w:val="TableParagraph"/>
              <w:spacing w:line="210" w:lineRule="exact"/>
              <w:ind w:right="354"/>
              <w:jc w:val="right"/>
              <w:rPr>
                <w:sz w:val="20"/>
              </w:rPr>
            </w:pPr>
            <w:r>
              <w:rPr>
                <w:spacing w:val="-5"/>
                <w:sz w:val="20"/>
              </w:rPr>
              <w:t>N/A</w:t>
            </w:r>
          </w:p>
        </w:tc>
        <w:tc>
          <w:tcPr>
            <w:tcW w:w="1350" w:type="dxa"/>
          </w:tcPr>
          <w:p>
            <w:pPr>
              <w:pStyle w:val="TableParagraph"/>
              <w:rPr>
                <w:sz w:val="20"/>
              </w:rPr>
            </w:pPr>
          </w:p>
          <w:p>
            <w:pPr>
              <w:pStyle w:val="TableParagraph"/>
              <w:spacing w:line="210" w:lineRule="exact"/>
              <w:ind w:left="7" w:right="4"/>
              <w:jc w:val="center"/>
              <w:rPr>
                <w:sz w:val="20"/>
              </w:rPr>
            </w:pPr>
            <w:r>
              <w:rPr>
                <w:spacing w:val="-5"/>
                <w:sz w:val="20"/>
              </w:rPr>
              <w:t>Yes</w:t>
            </w:r>
          </w:p>
        </w:tc>
        <w:tc>
          <w:tcPr>
            <w:tcW w:w="1441" w:type="dxa"/>
          </w:tcPr>
          <w:p>
            <w:pPr>
              <w:pStyle w:val="TableParagraph"/>
              <w:spacing w:line="230" w:lineRule="atLeast"/>
              <w:ind w:left="213" w:right="205" w:firstLine="331"/>
              <w:rPr>
                <w:sz w:val="20"/>
              </w:rPr>
            </w:pPr>
            <w:r>
              <w:rPr>
                <w:spacing w:val="-4"/>
                <w:sz w:val="20"/>
              </w:rPr>
              <w:t xml:space="preserve">N/A </w:t>
            </w:r>
            <w:r>
              <w:rPr>
                <w:sz w:val="20"/>
              </w:rPr>
              <w:t>Ongoing</w:t>
            </w:r>
            <w:r>
              <w:rPr>
                <w:spacing w:val="-13"/>
                <w:sz w:val="20"/>
              </w:rPr>
              <w:t xml:space="preserve"> </w:t>
            </w:r>
            <w:r>
              <w:rPr>
                <w:sz w:val="20"/>
              </w:rPr>
              <w:t>bid</w:t>
            </w:r>
          </w:p>
        </w:tc>
      </w:tr>
      <w:tr>
        <w:tblPrEx>
          <w:tblW w:w="0" w:type="auto"/>
          <w:jc w:val="left"/>
          <w:tblInd w:w="514" w:type="dxa"/>
          <w:tblLayout w:type="fixed"/>
          <w:tblCellMar>
            <w:top w:w="0" w:type="dxa"/>
            <w:left w:w="0" w:type="dxa"/>
            <w:bottom w:w="0" w:type="dxa"/>
            <w:right w:w="0" w:type="dxa"/>
          </w:tblCellMar>
          <w:tblLook w:val="01E0"/>
        </w:tblPrEx>
        <w:trPr>
          <w:trHeight w:val="460"/>
          <w:jc w:val="left"/>
        </w:trPr>
        <w:tc>
          <w:tcPr>
            <w:tcW w:w="806" w:type="dxa"/>
          </w:tcPr>
          <w:p>
            <w:pPr>
              <w:pStyle w:val="TableParagraph"/>
              <w:spacing w:line="230" w:lineRule="atLeast"/>
              <w:ind w:left="57" w:right="119"/>
              <w:rPr>
                <w:sz w:val="20"/>
              </w:rPr>
            </w:pPr>
            <w:r>
              <w:rPr>
                <w:spacing w:val="-2"/>
                <w:sz w:val="20"/>
              </w:rPr>
              <w:t>Hxxxx-</w:t>
            </w:r>
            <w:r>
              <w:rPr>
                <w:spacing w:val="-4"/>
                <w:sz w:val="20"/>
              </w:rPr>
              <w:t>002</w:t>
            </w:r>
          </w:p>
        </w:tc>
        <w:tc>
          <w:tcPr>
            <w:tcW w:w="871" w:type="dxa"/>
          </w:tcPr>
          <w:p>
            <w:pPr>
              <w:pStyle w:val="TableParagraph"/>
              <w:rPr>
                <w:sz w:val="20"/>
              </w:rPr>
            </w:pPr>
          </w:p>
          <w:p>
            <w:pPr>
              <w:pStyle w:val="TableParagraph"/>
              <w:spacing w:line="210" w:lineRule="exact"/>
              <w:ind w:right="45"/>
              <w:jc w:val="right"/>
              <w:rPr>
                <w:sz w:val="20"/>
              </w:rPr>
            </w:pPr>
            <w:r>
              <w:rPr>
                <w:spacing w:val="-2"/>
                <w:sz w:val="20"/>
              </w:rPr>
              <w:t>500,000</w:t>
            </w:r>
          </w:p>
        </w:tc>
        <w:tc>
          <w:tcPr>
            <w:tcW w:w="1352" w:type="dxa"/>
          </w:tcPr>
          <w:p>
            <w:pPr>
              <w:pStyle w:val="TableParagraph"/>
              <w:rPr>
                <w:sz w:val="20"/>
              </w:rPr>
            </w:pPr>
          </w:p>
          <w:p>
            <w:pPr>
              <w:pStyle w:val="TableParagraph"/>
              <w:spacing w:line="210" w:lineRule="exact"/>
              <w:ind w:right="350"/>
              <w:jc w:val="right"/>
              <w:rPr>
                <w:sz w:val="20"/>
              </w:rPr>
            </w:pPr>
            <w:r>
              <w:rPr>
                <w:spacing w:val="-2"/>
                <w:sz w:val="20"/>
              </w:rPr>
              <w:t>10,000</w:t>
            </w:r>
          </w:p>
        </w:tc>
        <w:tc>
          <w:tcPr>
            <w:tcW w:w="1107" w:type="dxa"/>
          </w:tcPr>
          <w:p>
            <w:pPr>
              <w:pStyle w:val="TableParagraph"/>
              <w:rPr>
                <w:sz w:val="20"/>
              </w:rPr>
            </w:pPr>
          </w:p>
          <w:p>
            <w:pPr>
              <w:pStyle w:val="TableParagraph"/>
              <w:spacing w:line="210" w:lineRule="exact"/>
              <w:ind w:right="257"/>
              <w:jc w:val="right"/>
              <w:rPr>
                <w:sz w:val="20"/>
              </w:rPr>
            </w:pPr>
            <w:r>
              <w:rPr>
                <w:spacing w:val="-10"/>
                <w:sz w:val="20"/>
              </w:rPr>
              <w:t>—</w:t>
            </w:r>
          </w:p>
        </w:tc>
        <w:tc>
          <w:tcPr>
            <w:tcW w:w="1261" w:type="dxa"/>
          </w:tcPr>
          <w:p>
            <w:pPr>
              <w:pStyle w:val="TableParagraph"/>
              <w:rPr>
                <w:sz w:val="20"/>
              </w:rPr>
            </w:pPr>
          </w:p>
          <w:p>
            <w:pPr>
              <w:pStyle w:val="TableParagraph"/>
              <w:spacing w:line="210" w:lineRule="exact"/>
              <w:ind w:right="349"/>
              <w:jc w:val="right"/>
              <w:rPr>
                <w:sz w:val="20"/>
              </w:rPr>
            </w:pPr>
            <w:r>
              <w:rPr>
                <w:spacing w:val="-2"/>
                <w:sz w:val="20"/>
              </w:rPr>
              <w:t>10,000</w:t>
            </w:r>
          </w:p>
        </w:tc>
        <w:tc>
          <w:tcPr>
            <w:tcW w:w="1352" w:type="dxa"/>
          </w:tcPr>
          <w:p>
            <w:pPr>
              <w:pStyle w:val="TableParagraph"/>
              <w:rPr>
                <w:sz w:val="20"/>
              </w:rPr>
            </w:pPr>
          </w:p>
          <w:p>
            <w:pPr>
              <w:pStyle w:val="TableParagraph"/>
              <w:spacing w:line="210" w:lineRule="exact"/>
              <w:ind w:right="352"/>
              <w:jc w:val="right"/>
              <w:rPr>
                <w:sz w:val="20"/>
              </w:rPr>
            </w:pPr>
            <w:r>
              <w:rPr>
                <w:spacing w:val="-4"/>
                <w:sz w:val="20"/>
              </w:rPr>
              <w:t>2.0%</w:t>
            </w:r>
          </w:p>
        </w:tc>
        <w:tc>
          <w:tcPr>
            <w:tcW w:w="1350" w:type="dxa"/>
          </w:tcPr>
          <w:p>
            <w:pPr>
              <w:pStyle w:val="TableParagraph"/>
              <w:rPr>
                <w:sz w:val="20"/>
              </w:rPr>
            </w:pPr>
          </w:p>
          <w:p>
            <w:pPr>
              <w:pStyle w:val="TableParagraph"/>
              <w:spacing w:line="210" w:lineRule="exact"/>
              <w:ind w:left="7" w:right="3"/>
              <w:jc w:val="center"/>
              <w:rPr>
                <w:sz w:val="20"/>
              </w:rPr>
            </w:pPr>
            <w:r>
              <w:rPr>
                <w:spacing w:val="-5"/>
                <w:sz w:val="20"/>
              </w:rPr>
              <w:t>No</w:t>
            </w:r>
          </w:p>
        </w:tc>
        <w:tc>
          <w:tcPr>
            <w:tcW w:w="1441" w:type="dxa"/>
          </w:tcPr>
          <w:p>
            <w:pPr>
              <w:pStyle w:val="TableParagraph"/>
              <w:spacing w:line="230" w:lineRule="atLeast"/>
              <w:ind w:left="163" w:right="155" w:firstLine="172"/>
              <w:rPr>
                <w:sz w:val="20"/>
              </w:rPr>
            </w:pPr>
            <w:r>
              <w:rPr>
                <w:sz w:val="20"/>
              </w:rPr>
              <w:t>Plan 001: CY2026</w:t>
            </w:r>
            <w:r>
              <w:rPr>
                <w:spacing w:val="-13"/>
                <w:sz w:val="20"/>
              </w:rPr>
              <w:t xml:space="preserve"> </w:t>
            </w:r>
            <w:r>
              <w:rPr>
                <w:sz w:val="20"/>
              </w:rPr>
              <w:t>SAE</w:t>
            </w:r>
          </w:p>
        </w:tc>
      </w:tr>
      <w:tr>
        <w:tblPrEx>
          <w:tblW w:w="0" w:type="auto"/>
          <w:jc w:val="left"/>
          <w:tblInd w:w="514" w:type="dxa"/>
          <w:tblLayout w:type="fixed"/>
          <w:tblCellMar>
            <w:top w:w="0" w:type="dxa"/>
            <w:left w:w="0" w:type="dxa"/>
            <w:bottom w:w="0" w:type="dxa"/>
            <w:right w:w="0" w:type="dxa"/>
          </w:tblCellMar>
          <w:tblLook w:val="01E0"/>
        </w:tblPrEx>
        <w:trPr>
          <w:trHeight w:val="1610"/>
          <w:jc w:val="left"/>
        </w:trPr>
        <w:tc>
          <w:tcPr>
            <w:tcW w:w="806" w:type="dxa"/>
          </w:tcPr>
          <w:p>
            <w:pPr>
              <w:pStyle w:val="TableParagraph"/>
              <w:rPr>
                <w:sz w:val="20"/>
              </w:rPr>
            </w:pPr>
          </w:p>
          <w:p>
            <w:pPr>
              <w:pStyle w:val="TableParagraph"/>
              <w:rPr>
                <w:sz w:val="20"/>
              </w:rPr>
            </w:pPr>
          </w:p>
          <w:p>
            <w:pPr>
              <w:pStyle w:val="TableParagraph"/>
              <w:rPr>
                <w:sz w:val="20"/>
              </w:rPr>
            </w:pPr>
          </w:p>
          <w:p>
            <w:pPr>
              <w:pStyle w:val="TableParagraph"/>
              <w:spacing w:before="210"/>
              <w:rPr>
                <w:sz w:val="20"/>
              </w:rPr>
            </w:pPr>
          </w:p>
          <w:p>
            <w:pPr>
              <w:pStyle w:val="TableParagraph"/>
              <w:spacing w:line="230" w:lineRule="atLeast"/>
              <w:ind w:left="57" w:right="119"/>
              <w:rPr>
                <w:sz w:val="20"/>
              </w:rPr>
            </w:pPr>
            <w:r>
              <w:rPr>
                <w:spacing w:val="-2"/>
                <w:sz w:val="20"/>
              </w:rPr>
              <w:t>Hxxxx-</w:t>
            </w:r>
            <w:r>
              <w:rPr>
                <w:spacing w:val="-4"/>
                <w:sz w:val="20"/>
              </w:rPr>
              <w:t>003</w:t>
            </w:r>
          </w:p>
        </w:tc>
        <w:tc>
          <w:tcPr>
            <w:tcW w:w="871"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line="210" w:lineRule="exact"/>
              <w:ind w:right="42"/>
              <w:jc w:val="right"/>
              <w:rPr>
                <w:sz w:val="20"/>
              </w:rPr>
            </w:pPr>
            <w:r>
              <w:rPr>
                <w:spacing w:val="-5"/>
                <w:sz w:val="20"/>
              </w:rPr>
              <w:t>200</w:t>
            </w:r>
          </w:p>
        </w:tc>
        <w:tc>
          <w:tcPr>
            <w:tcW w:w="1352"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line="210" w:lineRule="exact"/>
              <w:ind w:right="347"/>
              <w:jc w:val="right"/>
              <w:rPr>
                <w:sz w:val="20"/>
              </w:rPr>
            </w:pPr>
            <w:r>
              <w:rPr>
                <w:spacing w:val="-5"/>
                <w:sz w:val="20"/>
              </w:rPr>
              <w:t>150</w:t>
            </w:r>
          </w:p>
        </w:tc>
        <w:tc>
          <w:tcPr>
            <w:tcW w:w="1107"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line="210" w:lineRule="exact"/>
              <w:ind w:right="254"/>
              <w:jc w:val="right"/>
              <w:rPr>
                <w:sz w:val="20"/>
              </w:rPr>
            </w:pPr>
            <w:r>
              <w:rPr>
                <w:spacing w:val="-5"/>
                <w:sz w:val="20"/>
              </w:rPr>
              <w:t>80</w:t>
            </w:r>
          </w:p>
        </w:tc>
        <w:tc>
          <w:tcPr>
            <w:tcW w:w="1261"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line="210" w:lineRule="exact"/>
              <w:ind w:right="346"/>
              <w:jc w:val="right"/>
              <w:rPr>
                <w:sz w:val="20"/>
              </w:rPr>
            </w:pPr>
            <w:r>
              <w:rPr>
                <w:spacing w:val="-5"/>
                <w:sz w:val="20"/>
              </w:rPr>
              <w:t>70</w:t>
            </w:r>
          </w:p>
        </w:tc>
        <w:tc>
          <w:tcPr>
            <w:tcW w:w="1352"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line="210" w:lineRule="exact"/>
              <w:ind w:right="350"/>
              <w:jc w:val="right"/>
              <w:rPr>
                <w:sz w:val="20"/>
              </w:rPr>
            </w:pPr>
            <w:r>
              <w:rPr>
                <w:spacing w:val="-2"/>
                <w:sz w:val="20"/>
              </w:rPr>
              <w:t>35.0%</w:t>
            </w:r>
          </w:p>
        </w:tc>
        <w:tc>
          <w:tcPr>
            <w:tcW w:w="1350"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line="210" w:lineRule="exact"/>
              <w:ind w:left="7" w:right="4"/>
              <w:jc w:val="center"/>
              <w:rPr>
                <w:sz w:val="20"/>
              </w:rPr>
            </w:pPr>
            <w:r>
              <w:rPr>
                <w:spacing w:val="-5"/>
                <w:sz w:val="20"/>
              </w:rPr>
              <w:t>Yes</w:t>
            </w:r>
          </w:p>
        </w:tc>
        <w:tc>
          <w:tcPr>
            <w:tcW w:w="1441" w:type="dxa"/>
          </w:tcPr>
          <w:p>
            <w:pPr>
              <w:pStyle w:val="TableParagraph"/>
              <w:ind w:left="136" w:right="130" w:hanging="1"/>
              <w:jc w:val="center"/>
              <w:rPr>
                <w:sz w:val="20"/>
              </w:rPr>
            </w:pPr>
            <w:r>
              <w:rPr>
                <w:sz w:val="20"/>
              </w:rPr>
              <w:t>Plan 001: CY2026</w:t>
            </w:r>
            <w:r>
              <w:rPr>
                <w:spacing w:val="-4"/>
                <w:sz w:val="20"/>
              </w:rPr>
              <w:t xml:space="preserve"> </w:t>
            </w:r>
            <w:r>
              <w:rPr>
                <w:spacing w:val="-4"/>
                <w:sz w:val="20"/>
              </w:rPr>
              <w:t>SAE;</w:t>
            </w:r>
          </w:p>
          <w:p>
            <w:pPr>
              <w:pStyle w:val="TableParagraph"/>
              <w:spacing w:before="1"/>
              <w:ind w:left="158" w:right="153" w:hanging="3"/>
              <w:jc w:val="center"/>
              <w:rPr>
                <w:sz w:val="20"/>
              </w:rPr>
            </w:pPr>
            <w:r>
              <w:rPr>
                <w:sz w:val="20"/>
              </w:rPr>
              <w:t>Intend to file CY2027</w:t>
            </w:r>
            <w:r>
              <w:rPr>
                <w:spacing w:val="-4"/>
                <w:sz w:val="20"/>
              </w:rPr>
              <w:t xml:space="preserve"> </w:t>
            </w:r>
            <w:r>
              <w:rPr>
                <w:spacing w:val="-5"/>
                <w:sz w:val="20"/>
              </w:rPr>
              <w:t>SAR</w:t>
            </w:r>
          </w:p>
          <w:p>
            <w:pPr>
              <w:pStyle w:val="TableParagraph"/>
              <w:spacing w:line="230" w:lineRule="exact"/>
              <w:ind w:left="309" w:right="293" w:hanging="15"/>
              <w:jc w:val="both"/>
              <w:rPr>
                <w:sz w:val="20"/>
              </w:rPr>
            </w:pPr>
            <w:r>
              <w:rPr>
                <w:spacing w:val="-2"/>
                <w:sz w:val="20"/>
              </w:rPr>
              <w:t>Crosswalk Exception Request</w:t>
            </w:r>
          </w:p>
        </w:tc>
      </w:tr>
      <w:tr>
        <w:tblPrEx>
          <w:tblW w:w="0" w:type="auto"/>
          <w:jc w:val="left"/>
          <w:tblInd w:w="514" w:type="dxa"/>
          <w:tblLayout w:type="fixed"/>
          <w:tblCellMar>
            <w:top w:w="0" w:type="dxa"/>
            <w:left w:w="0" w:type="dxa"/>
            <w:bottom w:w="0" w:type="dxa"/>
            <w:right w:w="0" w:type="dxa"/>
          </w:tblCellMar>
          <w:tblLook w:val="01E0"/>
        </w:tblPrEx>
        <w:trPr>
          <w:trHeight w:val="1148"/>
          <w:jc w:val="left"/>
        </w:trPr>
        <w:tc>
          <w:tcPr>
            <w:tcW w:w="806" w:type="dxa"/>
          </w:tcPr>
          <w:p>
            <w:pPr>
              <w:pStyle w:val="TableParagraph"/>
              <w:rPr>
                <w:sz w:val="20"/>
              </w:rPr>
            </w:pPr>
          </w:p>
          <w:p>
            <w:pPr>
              <w:pStyle w:val="TableParagraph"/>
              <w:spacing w:before="208"/>
              <w:rPr>
                <w:sz w:val="20"/>
              </w:rPr>
            </w:pPr>
          </w:p>
          <w:p>
            <w:pPr>
              <w:pStyle w:val="TableParagraph"/>
              <w:spacing w:line="230" w:lineRule="atLeast"/>
              <w:ind w:left="57" w:right="119"/>
              <w:rPr>
                <w:sz w:val="20"/>
              </w:rPr>
            </w:pPr>
            <w:r>
              <w:rPr>
                <w:spacing w:val="-2"/>
                <w:sz w:val="20"/>
              </w:rPr>
              <w:t>Hxxxx-</w:t>
            </w:r>
            <w:r>
              <w:rPr>
                <w:spacing w:val="-4"/>
                <w:sz w:val="20"/>
              </w:rPr>
              <w:t>004</w:t>
            </w:r>
          </w:p>
        </w:tc>
        <w:tc>
          <w:tcPr>
            <w:tcW w:w="871" w:type="dxa"/>
          </w:tcPr>
          <w:p>
            <w:pPr>
              <w:pStyle w:val="TableParagraph"/>
              <w:rPr>
                <w:sz w:val="20"/>
              </w:rPr>
            </w:pPr>
          </w:p>
          <w:p>
            <w:pPr>
              <w:pStyle w:val="TableParagraph"/>
              <w:rPr>
                <w:sz w:val="20"/>
              </w:rPr>
            </w:pPr>
          </w:p>
          <w:p>
            <w:pPr>
              <w:pStyle w:val="TableParagraph"/>
              <w:spacing w:before="229"/>
              <w:rPr>
                <w:sz w:val="20"/>
              </w:rPr>
            </w:pPr>
          </w:p>
          <w:p>
            <w:pPr>
              <w:pStyle w:val="TableParagraph"/>
              <w:spacing w:line="210" w:lineRule="exact"/>
              <w:ind w:right="44"/>
              <w:jc w:val="right"/>
              <w:rPr>
                <w:sz w:val="20"/>
              </w:rPr>
            </w:pPr>
            <w:r>
              <w:rPr>
                <w:spacing w:val="-2"/>
                <w:sz w:val="20"/>
              </w:rPr>
              <w:t>6,000</w:t>
            </w:r>
          </w:p>
        </w:tc>
        <w:tc>
          <w:tcPr>
            <w:tcW w:w="1352" w:type="dxa"/>
          </w:tcPr>
          <w:p>
            <w:pPr>
              <w:pStyle w:val="TableParagraph"/>
              <w:rPr>
                <w:sz w:val="20"/>
              </w:rPr>
            </w:pPr>
          </w:p>
          <w:p>
            <w:pPr>
              <w:pStyle w:val="TableParagraph"/>
              <w:rPr>
                <w:sz w:val="20"/>
              </w:rPr>
            </w:pPr>
          </w:p>
          <w:p>
            <w:pPr>
              <w:pStyle w:val="TableParagraph"/>
              <w:spacing w:before="229"/>
              <w:rPr>
                <w:sz w:val="20"/>
              </w:rPr>
            </w:pPr>
          </w:p>
          <w:p>
            <w:pPr>
              <w:pStyle w:val="TableParagraph"/>
              <w:spacing w:line="210" w:lineRule="exact"/>
              <w:ind w:right="350"/>
              <w:jc w:val="right"/>
              <w:rPr>
                <w:sz w:val="20"/>
              </w:rPr>
            </w:pPr>
            <w:r>
              <w:rPr>
                <w:spacing w:val="-2"/>
                <w:sz w:val="20"/>
              </w:rPr>
              <w:t>3,000</w:t>
            </w:r>
          </w:p>
        </w:tc>
        <w:tc>
          <w:tcPr>
            <w:tcW w:w="1107" w:type="dxa"/>
          </w:tcPr>
          <w:p>
            <w:pPr>
              <w:pStyle w:val="TableParagraph"/>
              <w:rPr>
                <w:sz w:val="20"/>
              </w:rPr>
            </w:pPr>
          </w:p>
          <w:p>
            <w:pPr>
              <w:pStyle w:val="TableParagraph"/>
              <w:rPr>
                <w:sz w:val="20"/>
              </w:rPr>
            </w:pPr>
          </w:p>
          <w:p>
            <w:pPr>
              <w:pStyle w:val="TableParagraph"/>
              <w:spacing w:before="229"/>
              <w:rPr>
                <w:sz w:val="20"/>
              </w:rPr>
            </w:pPr>
          </w:p>
          <w:p>
            <w:pPr>
              <w:pStyle w:val="TableParagraph"/>
              <w:spacing w:line="210" w:lineRule="exact"/>
              <w:ind w:right="257"/>
              <w:jc w:val="right"/>
              <w:rPr>
                <w:sz w:val="20"/>
              </w:rPr>
            </w:pPr>
            <w:r>
              <w:rPr>
                <w:spacing w:val="-10"/>
                <w:sz w:val="20"/>
              </w:rPr>
              <w:t>—</w:t>
            </w:r>
          </w:p>
        </w:tc>
        <w:tc>
          <w:tcPr>
            <w:tcW w:w="1261" w:type="dxa"/>
          </w:tcPr>
          <w:p>
            <w:pPr>
              <w:pStyle w:val="TableParagraph"/>
              <w:rPr>
                <w:sz w:val="20"/>
              </w:rPr>
            </w:pPr>
          </w:p>
          <w:p>
            <w:pPr>
              <w:pStyle w:val="TableParagraph"/>
              <w:rPr>
                <w:sz w:val="20"/>
              </w:rPr>
            </w:pPr>
          </w:p>
          <w:p>
            <w:pPr>
              <w:pStyle w:val="TableParagraph"/>
              <w:spacing w:before="229"/>
              <w:rPr>
                <w:sz w:val="20"/>
              </w:rPr>
            </w:pPr>
          </w:p>
          <w:p>
            <w:pPr>
              <w:pStyle w:val="TableParagraph"/>
              <w:spacing w:line="210" w:lineRule="exact"/>
              <w:ind w:right="349"/>
              <w:jc w:val="right"/>
              <w:rPr>
                <w:sz w:val="20"/>
              </w:rPr>
            </w:pPr>
            <w:r>
              <w:rPr>
                <w:spacing w:val="-2"/>
                <w:sz w:val="20"/>
              </w:rPr>
              <w:t>3,000</w:t>
            </w:r>
          </w:p>
        </w:tc>
        <w:tc>
          <w:tcPr>
            <w:tcW w:w="1352" w:type="dxa"/>
          </w:tcPr>
          <w:p>
            <w:pPr>
              <w:pStyle w:val="TableParagraph"/>
              <w:rPr>
                <w:sz w:val="20"/>
              </w:rPr>
            </w:pPr>
          </w:p>
          <w:p>
            <w:pPr>
              <w:pStyle w:val="TableParagraph"/>
              <w:rPr>
                <w:sz w:val="20"/>
              </w:rPr>
            </w:pPr>
          </w:p>
          <w:p>
            <w:pPr>
              <w:pStyle w:val="TableParagraph"/>
              <w:spacing w:before="229"/>
              <w:rPr>
                <w:sz w:val="20"/>
              </w:rPr>
            </w:pPr>
          </w:p>
          <w:p>
            <w:pPr>
              <w:pStyle w:val="TableParagraph"/>
              <w:spacing w:line="210" w:lineRule="exact"/>
              <w:ind w:right="350"/>
              <w:jc w:val="right"/>
              <w:rPr>
                <w:sz w:val="20"/>
              </w:rPr>
            </w:pPr>
            <w:r>
              <w:rPr>
                <w:spacing w:val="-2"/>
                <w:sz w:val="20"/>
              </w:rPr>
              <w:t>50.0%</w:t>
            </w:r>
          </w:p>
        </w:tc>
        <w:tc>
          <w:tcPr>
            <w:tcW w:w="1350" w:type="dxa"/>
          </w:tcPr>
          <w:p>
            <w:pPr>
              <w:pStyle w:val="TableParagraph"/>
              <w:rPr>
                <w:sz w:val="20"/>
              </w:rPr>
            </w:pPr>
          </w:p>
          <w:p>
            <w:pPr>
              <w:pStyle w:val="TableParagraph"/>
              <w:rPr>
                <w:sz w:val="20"/>
              </w:rPr>
            </w:pPr>
          </w:p>
          <w:p>
            <w:pPr>
              <w:pStyle w:val="TableParagraph"/>
              <w:spacing w:before="229"/>
              <w:rPr>
                <w:sz w:val="20"/>
              </w:rPr>
            </w:pPr>
          </w:p>
          <w:p>
            <w:pPr>
              <w:pStyle w:val="TableParagraph"/>
              <w:spacing w:line="210" w:lineRule="exact"/>
              <w:ind w:left="7" w:right="4"/>
              <w:jc w:val="center"/>
              <w:rPr>
                <w:sz w:val="20"/>
              </w:rPr>
            </w:pPr>
            <w:r>
              <w:rPr>
                <w:spacing w:val="-5"/>
                <w:sz w:val="20"/>
              </w:rPr>
              <w:t>Yes</w:t>
            </w:r>
          </w:p>
        </w:tc>
        <w:tc>
          <w:tcPr>
            <w:tcW w:w="1441" w:type="dxa"/>
          </w:tcPr>
          <w:p>
            <w:pPr>
              <w:pStyle w:val="TableParagraph"/>
              <w:ind w:left="27" w:right="23"/>
              <w:jc w:val="center"/>
              <w:rPr>
                <w:sz w:val="20"/>
              </w:rPr>
            </w:pPr>
            <w:r>
              <w:rPr>
                <w:sz w:val="20"/>
              </w:rPr>
              <w:t>Plan</w:t>
            </w:r>
            <w:r>
              <w:rPr>
                <w:spacing w:val="-13"/>
                <w:sz w:val="20"/>
              </w:rPr>
              <w:t xml:space="preserve"> </w:t>
            </w:r>
            <w:r>
              <w:rPr>
                <w:sz w:val="20"/>
              </w:rPr>
              <w:t>001:</w:t>
            </w:r>
            <w:r>
              <w:rPr>
                <w:spacing w:val="-12"/>
                <w:sz w:val="20"/>
              </w:rPr>
              <w:t xml:space="preserve"> </w:t>
            </w:r>
            <w:r>
              <w:rPr>
                <w:sz w:val="20"/>
              </w:rPr>
              <w:t xml:space="preserve">Intend to file CY2027 SAE Crosswalk </w:t>
            </w:r>
            <w:r>
              <w:rPr>
                <w:spacing w:val="-2"/>
                <w:sz w:val="20"/>
              </w:rPr>
              <w:t>Exception</w:t>
            </w:r>
          </w:p>
          <w:p>
            <w:pPr>
              <w:pStyle w:val="TableParagraph"/>
              <w:spacing w:line="209" w:lineRule="exact"/>
              <w:ind w:left="27" w:right="23"/>
              <w:jc w:val="center"/>
              <w:rPr>
                <w:sz w:val="20"/>
              </w:rPr>
            </w:pPr>
            <w:r>
              <w:rPr>
                <w:spacing w:val="-2"/>
                <w:sz w:val="20"/>
              </w:rPr>
              <w:t>Request</w:t>
            </w:r>
          </w:p>
        </w:tc>
      </w:tr>
      <w:tr>
        <w:tblPrEx>
          <w:tblW w:w="0" w:type="auto"/>
          <w:jc w:val="left"/>
          <w:tblInd w:w="514" w:type="dxa"/>
          <w:tblLayout w:type="fixed"/>
          <w:tblCellMar>
            <w:top w:w="0" w:type="dxa"/>
            <w:left w:w="0" w:type="dxa"/>
            <w:bottom w:w="0" w:type="dxa"/>
            <w:right w:w="0" w:type="dxa"/>
          </w:tblCellMar>
          <w:tblLook w:val="01E0"/>
        </w:tblPrEx>
        <w:trPr>
          <w:trHeight w:val="1151"/>
          <w:jc w:val="left"/>
        </w:trPr>
        <w:tc>
          <w:tcPr>
            <w:tcW w:w="806" w:type="dxa"/>
          </w:tcPr>
          <w:p>
            <w:pPr>
              <w:pStyle w:val="TableParagraph"/>
              <w:rPr>
                <w:sz w:val="20"/>
              </w:rPr>
            </w:pPr>
          </w:p>
          <w:p>
            <w:pPr>
              <w:pStyle w:val="TableParagraph"/>
              <w:spacing w:before="215"/>
              <w:rPr>
                <w:sz w:val="20"/>
              </w:rPr>
            </w:pPr>
          </w:p>
          <w:p>
            <w:pPr>
              <w:pStyle w:val="TableParagraph"/>
              <w:spacing w:line="228" w:lineRule="exact"/>
              <w:ind w:left="57" w:right="119"/>
              <w:rPr>
                <w:sz w:val="20"/>
              </w:rPr>
            </w:pPr>
            <w:r>
              <w:rPr>
                <w:spacing w:val="-2"/>
                <w:sz w:val="20"/>
              </w:rPr>
              <w:t>Hxxxx-</w:t>
            </w:r>
            <w:r>
              <w:rPr>
                <w:spacing w:val="-4"/>
                <w:sz w:val="20"/>
              </w:rPr>
              <w:t>005</w:t>
            </w:r>
          </w:p>
        </w:tc>
        <w:tc>
          <w:tcPr>
            <w:tcW w:w="871" w:type="dxa"/>
          </w:tcPr>
          <w:p>
            <w:pPr>
              <w:pStyle w:val="TableParagraph"/>
              <w:rPr>
                <w:sz w:val="20"/>
              </w:rPr>
            </w:pPr>
          </w:p>
          <w:p>
            <w:pPr>
              <w:pStyle w:val="TableParagraph"/>
              <w:rPr>
                <w:sz w:val="20"/>
              </w:rPr>
            </w:pPr>
          </w:p>
          <w:p>
            <w:pPr>
              <w:pStyle w:val="TableParagraph"/>
              <w:spacing w:before="229"/>
              <w:rPr>
                <w:sz w:val="20"/>
              </w:rPr>
            </w:pPr>
          </w:p>
          <w:p>
            <w:pPr>
              <w:pStyle w:val="TableParagraph"/>
              <w:spacing w:line="212" w:lineRule="exact"/>
              <w:ind w:right="44"/>
              <w:jc w:val="right"/>
              <w:rPr>
                <w:sz w:val="20"/>
              </w:rPr>
            </w:pPr>
            <w:r>
              <w:rPr>
                <w:spacing w:val="-2"/>
                <w:sz w:val="20"/>
              </w:rPr>
              <w:t>6,000</w:t>
            </w:r>
          </w:p>
        </w:tc>
        <w:tc>
          <w:tcPr>
            <w:tcW w:w="1352" w:type="dxa"/>
          </w:tcPr>
          <w:p>
            <w:pPr>
              <w:pStyle w:val="TableParagraph"/>
              <w:rPr>
                <w:sz w:val="20"/>
              </w:rPr>
            </w:pPr>
          </w:p>
          <w:p>
            <w:pPr>
              <w:pStyle w:val="TableParagraph"/>
              <w:rPr>
                <w:sz w:val="20"/>
              </w:rPr>
            </w:pPr>
          </w:p>
          <w:p>
            <w:pPr>
              <w:pStyle w:val="TableParagraph"/>
              <w:spacing w:before="229"/>
              <w:rPr>
                <w:sz w:val="20"/>
              </w:rPr>
            </w:pPr>
          </w:p>
          <w:p>
            <w:pPr>
              <w:pStyle w:val="TableParagraph"/>
              <w:spacing w:line="212" w:lineRule="exact"/>
              <w:ind w:right="350"/>
              <w:jc w:val="right"/>
              <w:rPr>
                <w:sz w:val="20"/>
              </w:rPr>
            </w:pPr>
            <w:r>
              <w:rPr>
                <w:spacing w:val="-2"/>
                <w:sz w:val="20"/>
              </w:rPr>
              <w:t>1,000</w:t>
            </w:r>
          </w:p>
        </w:tc>
        <w:tc>
          <w:tcPr>
            <w:tcW w:w="1107" w:type="dxa"/>
          </w:tcPr>
          <w:p>
            <w:pPr>
              <w:pStyle w:val="TableParagraph"/>
              <w:rPr>
                <w:sz w:val="20"/>
              </w:rPr>
            </w:pPr>
          </w:p>
          <w:p>
            <w:pPr>
              <w:pStyle w:val="TableParagraph"/>
              <w:rPr>
                <w:sz w:val="20"/>
              </w:rPr>
            </w:pPr>
          </w:p>
          <w:p>
            <w:pPr>
              <w:pStyle w:val="TableParagraph"/>
              <w:spacing w:before="229"/>
              <w:rPr>
                <w:sz w:val="20"/>
              </w:rPr>
            </w:pPr>
          </w:p>
          <w:p>
            <w:pPr>
              <w:pStyle w:val="TableParagraph"/>
              <w:spacing w:line="212" w:lineRule="exact"/>
              <w:ind w:right="257"/>
              <w:jc w:val="right"/>
              <w:rPr>
                <w:sz w:val="20"/>
              </w:rPr>
            </w:pPr>
            <w:r>
              <w:rPr>
                <w:spacing w:val="-10"/>
                <w:sz w:val="20"/>
              </w:rPr>
              <w:t>—</w:t>
            </w:r>
          </w:p>
        </w:tc>
        <w:tc>
          <w:tcPr>
            <w:tcW w:w="1261" w:type="dxa"/>
          </w:tcPr>
          <w:p>
            <w:pPr>
              <w:pStyle w:val="TableParagraph"/>
              <w:rPr>
                <w:sz w:val="20"/>
              </w:rPr>
            </w:pPr>
          </w:p>
          <w:p>
            <w:pPr>
              <w:pStyle w:val="TableParagraph"/>
              <w:rPr>
                <w:sz w:val="20"/>
              </w:rPr>
            </w:pPr>
          </w:p>
          <w:p>
            <w:pPr>
              <w:pStyle w:val="TableParagraph"/>
              <w:spacing w:before="229"/>
              <w:rPr>
                <w:sz w:val="20"/>
              </w:rPr>
            </w:pPr>
          </w:p>
          <w:p>
            <w:pPr>
              <w:pStyle w:val="TableParagraph"/>
              <w:spacing w:line="212" w:lineRule="exact"/>
              <w:ind w:right="349"/>
              <w:jc w:val="right"/>
              <w:rPr>
                <w:sz w:val="20"/>
              </w:rPr>
            </w:pPr>
            <w:r>
              <w:rPr>
                <w:spacing w:val="-2"/>
                <w:sz w:val="20"/>
              </w:rPr>
              <w:t>1,000</w:t>
            </w:r>
          </w:p>
        </w:tc>
        <w:tc>
          <w:tcPr>
            <w:tcW w:w="1352" w:type="dxa"/>
          </w:tcPr>
          <w:p>
            <w:pPr>
              <w:pStyle w:val="TableParagraph"/>
              <w:rPr>
                <w:sz w:val="20"/>
              </w:rPr>
            </w:pPr>
          </w:p>
          <w:p>
            <w:pPr>
              <w:pStyle w:val="TableParagraph"/>
              <w:rPr>
                <w:sz w:val="20"/>
              </w:rPr>
            </w:pPr>
          </w:p>
          <w:p>
            <w:pPr>
              <w:pStyle w:val="TableParagraph"/>
              <w:spacing w:before="229"/>
              <w:rPr>
                <w:sz w:val="20"/>
              </w:rPr>
            </w:pPr>
          </w:p>
          <w:p>
            <w:pPr>
              <w:pStyle w:val="TableParagraph"/>
              <w:spacing w:line="212" w:lineRule="exact"/>
              <w:ind w:right="350"/>
              <w:jc w:val="right"/>
              <w:rPr>
                <w:sz w:val="20"/>
              </w:rPr>
            </w:pPr>
            <w:r>
              <w:rPr>
                <w:spacing w:val="-2"/>
                <w:sz w:val="20"/>
              </w:rPr>
              <w:t>16.7%</w:t>
            </w:r>
          </w:p>
        </w:tc>
        <w:tc>
          <w:tcPr>
            <w:tcW w:w="1350" w:type="dxa"/>
          </w:tcPr>
          <w:p>
            <w:pPr>
              <w:pStyle w:val="TableParagraph"/>
              <w:rPr>
                <w:sz w:val="22"/>
              </w:rPr>
            </w:pPr>
          </w:p>
          <w:p>
            <w:pPr>
              <w:pStyle w:val="TableParagraph"/>
              <w:rPr>
                <w:sz w:val="22"/>
              </w:rPr>
            </w:pPr>
          </w:p>
          <w:p>
            <w:pPr>
              <w:pStyle w:val="TableParagraph"/>
              <w:spacing w:before="137"/>
              <w:rPr>
                <w:sz w:val="22"/>
              </w:rPr>
            </w:pPr>
          </w:p>
          <w:p>
            <w:pPr>
              <w:pStyle w:val="TableParagraph"/>
              <w:spacing w:line="236" w:lineRule="exact"/>
              <w:ind w:left="7" w:right="3"/>
              <w:jc w:val="center"/>
              <w:rPr>
                <w:sz w:val="22"/>
              </w:rPr>
            </w:pPr>
            <w:r>
              <w:rPr>
                <w:spacing w:val="-5"/>
                <w:sz w:val="22"/>
              </w:rPr>
              <w:t>No</w:t>
            </w:r>
          </w:p>
        </w:tc>
        <w:tc>
          <w:tcPr>
            <w:tcW w:w="1441" w:type="dxa"/>
          </w:tcPr>
          <w:p>
            <w:pPr>
              <w:pStyle w:val="TableParagraph"/>
              <w:ind w:left="27" w:right="23"/>
              <w:jc w:val="center"/>
              <w:rPr>
                <w:sz w:val="20"/>
              </w:rPr>
            </w:pPr>
            <w:r>
              <w:rPr>
                <w:sz w:val="20"/>
              </w:rPr>
              <w:t>Plan</w:t>
            </w:r>
            <w:r>
              <w:rPr>
                <w:spacing w:val="-13"/>
                <w:sz w:val="20"/>
              </w:rPr>
              <w:t xml:space="preserve"> </w:t>
            </w:r>
            <w:r>
              <w:rPr>
                <w:sz w:val="20"/>
              </w:rPr>
              <w:t>001:</w:t>
            </w:r>
            <w:r>
              <w:rPr>
                <w:spacing w:val="-12"/>
                <w:sz w:val="20"/>
              </w:rPr>
              <w:t xml:space="preserve"> </w:t>
            </w:r>
            <w:r>
              <w:rPr>
                <w:sz w:val="20"/>
              </w:rPr>
              <w:t>Intend to file CY2027 SAE</w:t>
            </w:r>
            <w:r>
              <w:rPr>
                <w:spacing w:val="-4"/>
                <w:sz w:val="20"/>
              </w:rPr>
              <w:t xml:space="preserve"> </w:t>
            </w:r>
            <w:r>
              <w:rPr>
                <w:spacing w:val="-2"/>
                <w:sz w:val="20"/>
              </w:rPr>
              <w:t>Crosswalk</w:t>
            </w:r>
          </w:p>
          <w:p>
            <w:pPr>
              <w:pStyle w:val="TableParagraph"/>
              <w:spacing w:line="228" w:lineRule="exact"/>
              <w:ind w:left="24" w:right="23"/>
              <w:jc w:val="center"/>
              <w:rPr>
                <w:sz w:val="20"/>
              </w:rPr>
            </w:pPr>
            <w:r>
              <w:rPr>
                <w:spacing w:val="-2"/>
                <w:sz w:val="20"/>
              </w:rPr>
              <w:t>Exception Request</w:t>
            </w:r>
          </w:p>
        </w:tc>
      </w:tr>
    </w:tbl>
    <w:p>
      <w:pPr>
        <w:pStyle w:val="TableParagraph"/>
        <w:spacing w:after="0" w:line="228" w:lineRule="exact"/>
        <w:jc w:val="center"/>
        <w:rPr>
          <w:sz w:val="20"/>
        </w:rPr>
        <w:sectPr>
          <w:pgSz w:w="12240" w:h="15840"/>
          <w:pgMar w:top="960" w:right="0" w:bottom="940" w:left="1080" w:header="727" w:footer="747"/>
          <w:cols w:space="720"/>
        </w:sectPr>
      </w:pPr>
    </w:p>
    <w:p>
      <w:pPr>
        <w:pStyle w:val="BodyText"/>
        <w:spacing w:before="245"/>
        <w:ind w:left="0"/>
        <w:rPr>
          <w:sz w:val="28"/>
        </w:rPr>
      </w:pPr>
    </w:p>
    <w:p>
      <w:pPr>
        <w:pStyle w:val="Heading1"/>
        <w:tabs>
          <w:tab w:val="left" w:pos="9750"/>
        </w:tabs>
        <w:rPr>
          <w:u w:val="none"/>
        </w:rPr>
      </w:pPr>
      <w:bookmarkStart w:id="350" w:name="Appendix C – Part B-Only Enrollees"/>
      <w:bookmarkEnd w:id="350"/>
      <w:bookmarkStart w:id="351" w:name="_bookmark92"/>
      <w:bookmarkEnd w:id="351"/>
      <w:r>
        <w:rPr>
          <w:spacing w:val="-50"/>
          <w:u w:val="single"/>
        </w:rPr>
        <w:t xml:space="preserve"> </w:t>
      </w:r>
      <w:r>
        <w:rPr>
          <w:u w:val="single"/>
        </w:rPr>
        <w:t>APPENDIX</w:t>
      </w:r>
      <w:r>
        <w:rPr>
          <w:spacing w:val="-6"/>
          <w:u w:val="single"/>
        </w:rPr>
        <w:t xml:space="preserve"> </w:t>
      </w:r>
      <w:r>
        <w:rPr>
          <w:u w:val="single"/>
        </w:rPr>
        <w:t>C</w:t>
      </w:r>
      <w:r>
        <w:rPr>
          <w:spacing w:val="-3"/>
          <w:u w:val="single"/>
        </w:rPr>
        <w:t xml:space="preserve"> </w:t>
      </w:r>
      <w:r>
        <w:rPr>
          <w:u w:val="single"/>
        </w:rPr>
        <w:t>–</w:t>
      </w:r>
      <w:r>
        <w:rPr>
          <w:spacing w:val="-3"/>
          <w:u w:val="single"/>
        </w:rPr>
        <w:t xml:space="preserve"> </w:t>
      </w:r>
      <w:r>
        <w:rPr>
          <w:u w:val="single"/>
        </w:rPr>
        <w:t>PART</w:t>
      </w:r>
      <w:r>
        <w:rPr>
          <w:spacing w:val="-5"/>
          <w:u w:val="single"/>
        </w:rPr>
        <w:t xml:space="preserve"> </w:t>
      </w:r>
      <w:r>
        <w:rPr>
          <w:u w:val="single"/>
        </w:rPr>
        <w:t>B-ONLY</w:t>
      </w:r>
      <w:r>
        <w:rPr>
          <w:spacing w:val="-4"/>
          <w:u w:val="single"/>
        </w:rPr>
        <w:t xml:space="preserve"> </w:t>
      </w:r>
      <w:r>
        <w:rPr>
          <w:spacing w:val="-2"/>
          <w:u w:val="single"/>
        </w:rPr>
        <w:t>ENROLLEES</w:t>
      </w:r>
      <w:r>
        <w:rPr>
          <w:u w:val="single"/>
        </w:rPr>
        <w:tab/>
      </w:r>
    </w:p>
    <w:p>
      <w:pPr>
        <w:pStyle w:val="BodyText"/>
        <w:spacing w:before="268"/>
        <w:ind w:right="1481"/>
      </w:pPr>
      <w:r>
        <w:t>This appendix includes bid requirements for plans that cover only enrollees eligible for Medicare</w:t>
      </w:r>
      <w:r>
        <w:rPr>
          <w:spacing w:val="-4"/>
        </w:rPr>
        <w:t xml:space="preserve"> </w:t>
      </w:r>
      <w:r>
        <w:t>Part</w:t>
      </w:r>
      <w:r>
        <w:rPr>
          <w:spacing w:val="-3"/>
        </w:rPr>
        <w:t xml:space="preserve"> </w:t>
      </w:r>
      <w:r>
        <w:t>B.</w:t>
      </w:r>
      <w:r>
        <w:rPr>
          <w:spacing w:val="-3"/>
        </w:rPr>
        <w:t xml:space="preserve"> </w:t>
      </w:r>
      <w:r>
        <w:t>A</w:t>
      </w:r>
      <w:r>
        <w:rPr>
          <w:spacing w:val="-4"/>
        </w:rPr>
        <w:t xml:space="preserve"> </w:t>
      </w:r>
      <w:r>
        <w:t>regional</w:t>
      </w:r>
      <w:r>
        <w:rPr>
          <w:spacing w:val="-2"/>
        </w:rPr>
        <w:t xml:space="preserve"> </w:t>
      </w:r>
      <w:r>
        <w:t>PPO</w:t>
      </w:r>
      <w:r>
        <w:rPr>
          <w:spacing w:val="-4"/>
        </w:rPr>
        <w:t xml:space="preserve"> </w:t>
      </w:r>
      <w:r>
        <w:t>plan</w:t>
      </w:r>
      <w:r>
        <w:rPr>
          <w:spacing w:val="-3"/>
        </w:rPr>
        <w:t xml:space="preserve"> </w:t>
      </w:r>
      <w:r>
        <w:t>must</w:t>
      </w:r>
      <w:r>
        <w:rPr>
          <w:spacing w:val="-3"/>
        </w:rPr>
        <w:t xml:space="preserve"> </w:t>
      </w:r>
      <w:r>
        <w:t>cover</w:t>
      </w:r>
      <w:r>
        <w:rPr>
          <w:spacing w:val="-3"/>
        </w:rPr>
        <w:t xml:space="preserve"> </w:t>
      </w:r>
      <w:r>
        <w:t>enrollees</w:t>
      </w:r>
      <w:r>
        <w:rPr>
          <w:spacing w:val="-4"/>
        </w:rPr>
        <w:t xml:space="preserve"> </w:t>
      </w:r>
      <w:r>
        <w:t>eligible</w:t>
      </w:r>
      <w:r>
        <w:rPr>
          <w:spacing w:val="-4"/>
        </w:rPr>
        <w:t xml:space="preserve"> </w:t>
      </w:r>
      <w:r>
        <w:t>for</w:t>
      </w:r>
      <w:r>
        <w:rPr>
          <w:spacing w:val="-3"/>
        </w:rPr>
        <w:t xml:space="preserve"> </w:t>
      </w:r>
      <w:r>
        <w:t>both</w:t>
      </w:r>
      <w:r>
        <w:rPr>
          <w:spacing w:val="-3"/>
        </w:rPr>
        <w:t xml:space="preserve"> </w:t>
      </w:r>
      <w:r>
        <w:t>Medicare</w:t>
      </w:r>
      <w:r>
        <w:rPr>
          <w:spacing w:val="-2"/>
        </w:rPr>
        <w:t xml:space="preserve"> </w:t>
      </w:r>
      <w:r>
        <w:t>Part</w:t>
      </w:r>
      <w:r>
        <w:rPr>
          <w:spacing w:val="-3"/>
        </w:rPr>
        <w:t xml:space="preserve"> </w:t>
      </w:r>
      <w:r>
        <w:t>A and Part B.</w:t>
      </w:r>
    </w:p>
    <w:p>
      <w:pPr>
        <w:pStyle w:val="BodyText"/>
        <w:spacing w:before="120"/>
        <w:ind w:right="1481"/>
      </w:pPr>
      <w:r>
        <w:t>Medicare beneficiaries with Medicare coverage only under Part B have not been allowed to elect</w:t>
      </w:r>
      <w:r>
        <w:rPr>
          <w:spacing w:val="-3"/>
        </w:rPr>
        <w:t xml:space="preserve"> </w:t>
      </w:r>
      <w:r>
        <w:t>an</w:t>
      </w:r>
      <w:r>
        <w:rPr>
          <w:spacing w:val="-3"/>
        </w:rPr>
        <w:t xml:space="preserve"> </w:t>
      </w:r>
      <w:r>
        <w:t>MA</w:t>
      </w:r>
      <w:r>
        <w:rPr>
          <w:spacing w:val="-4"/>
        </w:rPr>
        <w:t xml:space="preserve"> </w:t>
      </w:r>
      <w:r>
        <w:t>plan</w:t>
      </w:r>
      <w:r>
        <w:rPr>
          <w:spacing w:val="-3"/>
        </w:rPr>
        <w:t xml:space="preserve"> </w:t>
      </w:r>
      <w:r>
        <w:t>since</w:t>
      </w:r>
      <w:r>
        <w:rPr>
          <w:spacing w:val="-4"/>
        </w:rPr>
        <w:t xml:space="preserve"> </w:t>
      </w:r>
      <w:r>
        <w:t>December</w:t>
      </w:r>
      <w:r>
        <w:rPr>
          <w:spacing w:val="-3"/>
        </w:rPr>
        <w:t xml:space="preserve"> </w:t>
      </w:r>
      <w:r>
        <w:t>31,</w:t>
      </w:r>
      <w:r>
        <w:rPr>
          <w:spacing w:val="-4"/>
        </w:rPr>
        <w:t xml:space="preserve"> </w:t>
      </w:r>
      <w:r>
        <w:t>1998</w:t>
      </w:r>
      <w:r>
        <w:rPr>
          <w:spacing w:val="-2"/>
        </w:rPr>
        <w:t xml:space="preserve"> </w:t>
      </w:r>
      <w:r>
        <w:t>(unless</w:t>
      </w:r>
      <w:r>
        <w:rPr>
          <w:spacing w:val="-1"/>
        </w:rPr>
        <w:t xml:space="preserve"> </w:t>
      </w:r>
      <w:r>
        <w:t>they</w:t>
      </w:r>
      <w:r>
        <w:rPr>
          <w:spacing w:val="-3"/>
        </w:rPr>
        <w:t xml:space="preserve"> </w:t>
      </w:r>
      <w:r>
        <w:t>were</w:t>
      </w:r>
      <w:r>
        <w:rPr>
          <w:spacing w:val="-5"/>
        </w:rPr>
        <w:t xml:space="preserve"> </w:t>
      </w:r>
      <w:r>
        <w:t>members</w:t>
      </w:r>
      <w:r>
        <w:rPr>
          <w:spacing w:val="-4"/>
        </w:rPr>
        <w:t xml:space="preserve"> </w:t>
      </w:r>
      <w:r>
        <w:t>of</w:t>
      </w:r>
      <w:r>
        <w:rPr>
          <w:spacing w:val="-2"/>
        </w:rPr>
        <w:t xml:space="preserve"> </w:t>
      </w:r>
      <w:r>
        <w:t>employer</w:t>
      </w:r>
      <w:r>
        <w:rPr>
          <w:spacing w:val="-3"/>
        </w:rPr>
        <w:t xml:space="preserve"> </w:t>
      </w:r>
      <w:r>
        <w:t>or</w:t>
      </w:r>
      <w:r>
        <w:rPr>
          <w:spacing w:val="-5"/>
        </w:rPr>
        <w:t xml:space="preserve"> </w:t>
      </w:r>
      <w:r>
        <w:t xml:space="preserve">union </w:t>
      </w:r>
      <w:r>
        <w:rPr>
          <w:spacing w:val="-2"/>
        </w:rPr>
        <w:t>groups).</w:t>
      </w:r>
    </w:p>
    <w:p>
      <w:pPr>
        <w:pStyle w:val="BodyText"/>
        <w:spacing w:before="120"/>
        <w:ind w:right="1481"/>
      </w:pPr>
      <w:r>
        <w:t>However, Medicare beneficiaries (with Part B coverage under Medicare) who were Medicare enrollees of a Section 1876 contractor on December 31, 1998 were considered to be enrolled with</w:t>
      </w:r>
      <w:r>
        <w:rPr>
          <w:spacing w:val="-3"/>
        </w:rPr>
        <w:t xml:space="preserve"> </w:t>
      </w:r>
      <w:r>
        <w:t>that</w:t>
      </w:r>
      <w:r>
        <w:rPr>
          <w:spacing w:val="-3"/>
        </w:rPr>
        <w:t xml:space="preserve"> </w:t>
      </w:r>
      <w:r>
        <w:t>organization</w:t>
      </w:r>
      <w:r>
        <w:rPr>
          <w:spacing w:val="-3"/>
        </w:rPr>
        <w:t xml:space="preserve"> </w:t>
      </w:r>
      <w:r>
        <w:t>on</w:t>
      </w:r>
      <w:r>
        <w:rPr>
          <w:spacing w:val="-1"/>
        </w:rPr>
        <w:t xml:space="preserve"> </w:t>
      </w:r>
      <w:r>
        <w:t>January</w:t>
      </w:r>
      <w:r>
        <w:rPr>
          <w:spacing w:val="-3"/>
        </w:rPr>
        <w:t xml:space="preserve"> </w:t>
      </w:r>
      <w:r>
        <w:t>1,</w:t>
      </w:r>
      <w:r>
        <w:rPr>
          <w:spacing w:val="-4"/>
        </w:rPr>
        <w:t xml:space="preserve"> </w:t>
      </w:r>
      <w:r>
        <w:t>1999</w:t>
      </w:r>
      <w:r>
        <w:rPr>
          <w:spacing w:val="-3"/>
        </w:rPr>
        <w:t xml:space="preserve"> </w:t>
      </w:r>
      <w:r>
        <w:t>if</w:t>
      </w:r>
      <w:r>
        <w:rPr>
          <w:spacing w:val="-3"/>
        </w:rPr>
        <w:t xml:space="preserve"> </w:t>
      </w:r>
      <w:r>
        <w:t>the</w:t>
      </w:r>
      <w:r>
        <w:rPr>
          <w:spacing w:val="-4"/>
        </w:rPr>
        <w:t xml:space="preserve"> </w:t>
      </w:r>
      <w:r>
        <w:t>organization</w:t>
      </w:r>
      <w:r>
        <w:rPr>
          <w:spacing w:val="-3"/>
        </w:rPr>
        <w:t xml:space="preserve"> </w:t>
      </w:r>
      <w:r>
        <w:t>had</w:t>
      </w:r>
      <w:r>
        <w:rPr>
          <w:spacing w:val="-3"/>
        </w:rPr>
        <w:t xml:space="preserve"> </w:t>
      </w:r>
      <w:r>
        <w:t>an</w:t>
      </w:r>
      <w:r>
        <w:rPr>
          <w:spacing w:val="-3"/>
        </w:rPr>
        <w:t xml:space="preserve"> </w:t>
      </w:r>
      <w:r>
        <w:t>MA</w:t>
      </w:r>
      <w:r>
        <w:rPr>
          <w:spacing w:val="-2"/>
        </w:rPr>
        <w:t xml:space="preserve"> </w:t>
      </w:r>
      <w:r>
        <w:t>contract</w:t>
      </w:r>
      <w:r>
        <w:rPr>
          <w:spacing w:val="-3"/>
        </w:rPr>
        <w:t xml:space="preserve"> </w:t>
      </w:r>
      <w:r>
        <w:t>for</w:t>
      </w:r>
      <w:r>
        <w:rPr>
          <w:spacing w:val="-4"/>
        </w:rPr>
        <w:t xml:space="preserve"> </w:t>
      </w:r>
      <w:r>
        <w:t>providing benefits on the latter date. Health benefit coverage that MAOs provide to such remaining</w:t>
      </w:r>
    </w:p>
    <w:p>
      <w:pPr>
        <w:pStyle w:val="BodyText"/>
        <w:spacing w:before="1"/>
        <w:ind w:right="1841"/>
      </w:pPr>
      <w:r>
        <w:t>Part</w:t>
      </w:r>
      <w:r>
        <w:rPr>
          <w:spacing w:val="-5"/>
        </w:rPr>
        <w:t xml:space="preserve"> </w:t>
      </w:r>
      <w:r>
        <w:t>B-only</w:t>
      </w:r>
      <w:r>
        <w:rPr>
          <w:spacing w:val="-4"/>
        </w:rPr>
        <w:t xml:space="preserve"> </w:t>
      </w:r>
      <w:r>
        <w:t>enrollees</w:t>
      </w:r>
      <w:r>
        <w:rPr>
          <w:spacing w:val="-5"/>
        </w:rPr>
        <w:t xml:space="preserve"> </w:t>
      </w:r>
      <w:r>
        <w:t>constitutes</w:t>
      </w:r>
      <w:r>
        <w:rPr>
          <w:spacing w:val="-5"/>
        </w:rPr>
        <w:t xml:space="preserve"> </w:t>
      </w:r>
      <w:r>
        <w:t>a</w:t>
      </w:r>
      <w:r>
        <w:rPr>
          <w:spacing w:val="-5"/>
        </w:rPr>
        <w:t xml:space="preserve"> </w:t>
      </w:r>
      <w:r>
        <w:t>separate</w:t>
      </w:r>
      <w:r>
        <w:rPr>
          <w:spacing w:val="-4"/>
        </w:rPr>
        <w:t xml:space="preserve"> </w:t>
      </w:r>
      <w:r>
        <w:t>MA</w:t>
      </w:r>
      <w:r>
        <w:rPr>
          <w:spacing w:val="-5"/>
        </w:rPr>
        <w:t xml:space="preserve"> </w:t>
      </w:r>
      <w:r>
        <w:t>plan</w:t>
      </w:r>
      <w:r>
        <w:rPr>
          <w:spacing w:val="-4"/>
        </w:rPr>
        <w:t xml:space="preserve"> </w:t>
      </w:r>
      <w:r>
        <w:t>(which</w:t>
      </w:r>
      <w:r>
        <w:rPr>
          <w:spacing w:val="-4"/>
        </w:rPr>
        <w:t xml:space="preserve"> </w:t>
      </w:r>
      <w:r>
        <w:t>requires</w:t>
      </w:r>
      <w:r>
        <w:rPr>
          <w:spacing w:val="-2"/>
        </w:rPr>
        <w:t xml:space="preserve"> </w:t>
      </w:r>
      <w:r>
        <w:t>a</w:t>
      </w:r>
      <w:r>
        <w:rPr>
          <w:spacing w:val="-5"/>
        </w:rPr>
        <w:t xml:space="preserve"> </w:t>
      </w:r>
      <w:r>
        <w:t>separate</w:t>
      </w:r>
      <w:r>
        <w:rPr>
          <w:spacing w:val="-4"/>
        </w:rPr>
        <w:t xml:space="preserve"> </w:t>
      </w:r>
      <w:r>
        <w:t xml:space="preserve">bid </w:t>
      </w:r>
      <w:r>
        <w:rPr>
          <w:spacing w:val="-2"/>
        </w:rPr>
        <w:t>submission).</w:t>
      </w:r>
    </w:p>
    <w:p>
      <w:pPr>
        <w:pStyle w:val="BodyText"/>
        <w:spacing w:before="120"/>
        <w:ind w:right="1509"/>
      </w:pPr>
      <w:r>
        <w:t>CMS encourages MAOs to submit as few plans as possible for their pre-1999 Part B-only members,</w:t>
      </w:r>
      <w:r>
        <w:rPr>
          <w:spacing w:val="-3"/>
        </w:rPr>
        <w:t xml:space="preserve"> </w:t>
      </w:r>
      <w:r>
        <w:t>rather</w:t>
      </w:r>
      <w:r>
        <w:rPr>
          <w:spacing w:val="-3"/>
        </w:rPr>
        <w:t xml:space="preserve"> </w:t>
      </w:r>
      <w:r>
        <w:t>than</w:t>
      </w:r>
      <w:r>
        <w:rPr>
          <w:spacing w:val="-3"/>
        </w:rPr>
        <w:t xml:space="preserve"> </w:t>
      </w:r>
      <w:r>
        <w:t>duplicating</w:t>
      </w:r>
      <w:r>
        <w:rPr>
          <w:spacing w:val="-3"/>
        </w:rPr>
        <w:t xml:space="preserve"> </w:t>
      </w:r>
      <w:r>
        <w:t>each</w:t>
      </w:r>
      <w:r>
        <w:rPr>
          <w:spacing w:val="-3"/>
        </w:rPr>
        <w:t xml:space="preserve"> </w:t>
      </w:r>
      <w:r>
        <w:t>of</w:t>
      </w:r>
      <w:r>
        <w:rPr>
          <w:spacing w:val="-3"/>
        </w:rPr>
        <w:t xml:space="preserve"> </w:t>
      </w:r>
      <w:r>
        <w:t>their</w:t>
      </w:r>
      <w:r>
        <w:rPr>
          <w:spacing w:val="-3"/>
        </w:rPr>
        <w:t xml:space="preserve"> </w:t>
      </w:r>
      <w:r>
        <w:t>A/B</w:t>
      </w:r>
      <w:r>
        <w:rPr>
          <w:spacing w:val="-3"/>
        </w:rPr>
        <w:t xml:space="preserve"> </w:t>
      </w:r>
      <w:r>
        <w:t>plans.</w:t>
      </w:r>
      <w:r>
        <w:rPr>
          <w:spacing w:val="-3"/>
        </w:rPr>
        <w:t xml:space="preserve"> </w:t>
      </w:r>
      <w:r>
        <w:t>In</w:t>
      </w:r>
      <w:r>
        <w:rPr>
          <w:spacing w:val="-1"/>
        </w:rPr>
        <w:t xml:space="preserve"> </w:t>
      </w:r>
      <w:r>
        <w:t>fact,</w:t>
      </w:r>
      <w:r>
        <w:rPr>
          <w:spacing w:val="-1"/>
        </w:rPr>
        <w:t xml:space="preserve"> </w:t>
      </w:r>
      <w:r>
        <w:t>an</w:t>
      </w:r>
      <w:r>
        <w:rPr>
          <w:spacing w:val="-3"/>
        </w:rPr>
        <w:t xml:space="preserve"> </w:t>
      </w:r>
      <w:r>
        <w:t>MAO</w:t>
      </w:r>
      <w:r>
        <w:rPr>
          <w:spacing w:val="-4"/>
        </w:rPr>
        <w:t xml:space="preserve"> </w:t>
      </w:r>
      <w:r>
        <w:t>can</w:t>
      </w:r>
      <w:r>
        <w:rPr>
          <w:spacing w:val="-3"/>
        </w:rPr>
        <w:t xml:space="preserve"> </w:t>
      </w:r>
      <w:r>
        <w:t>submit</w:t>
      </w:r>
      <w:r>
        <w:rPr>
          <w:spacing w:val="-3"/>
        </w:rPr>
        <w:t xml:space="preserve"> </w:t>
      </w:r>
      <w:r>
        <w:t>one</w:t>
      </w:r>
      <w:r>
        <w:rPr>
          <w:spacing w:val="-4"/>
        </w:rPr>
        <w:t xml:space="preserve"> </w:t>
      </w:r>
      <w:r>
        <w:t>plan for</w:t>
      </w:r>
      <w:r>
        <w:rPr>
          <w:spacing w:val="-1"/>
        </w:rPr>
        <w:t xml:space="preserve"> </w:t>
      </w:r>
      <w:r>
        <w:t>all its pre-1999 Part B-only members under an MA contract if the members are</w:t>
      </w:r>
      <w:r>
        <w:rPr>
          <w:spacing w:val="-1"/>
        </w:rPr>
        <w:t xml:space="preserve"> </w:t>
      </w:r>
      <w:r>
        <w:t>in the same type of plan. In addition, if the plan is offering the pre-1999 Part B-only members the same benefits at the same price as the benefits offered to A/B members (that is, those eligible for both Part A and Part B of Medicare), the MAO is not required to submit a separate bid for the Part B-only members.</w:t>
      </w:r>
    </w:p>
    <w:p>
      <w:pPr>
        <w:pStyle w:val="BodyText"/>
        <w:spacing w:before="120"/>
        <w:ind w:right="1481"/>
      </w:pPr>
      <w:r>
        <w:t>MAOs</w:t>
      </w:r>
      <w:r>
        <w:rPr>
          <w:spacing w:val="-3"/>
        </w:rPr>
        <w:t xml:space="preserve"> </w:t>
      </w:r>
      <w:r>
        <w:t>are</w:t>
      </w:r>
      <w:r>
        <w:rPr>
          <w:spacing w:val="-4"/>
        </w:rPr>
        <w:t xml:space="preserve"> </w:t>
      </w:r>
      <w:r>
        <w:t>to</w:t>
      </w:r>
      <w:r>
        <w:rPr>
          <w:spacing w:val="-2"/>
        </w:rPr>
        <w:t xml:space="preserve"> </w:t>
      </w:r>
      <w:r>
        <w:t>prepare</w:t>
      </w:r>
      <w:r>
        <w:rPr>
          <w:spacing w:val="-4"/>
        </w:rPr>
        <w:t xml:space="preserve"> </w:t>
      </w:r>
      <w:r>
        <w:t>Part</w:t>
      </w:r>
      <w:r>
        <w:rPr>
          <w:spacing w:val="-1"/>
        </w:rPr>
        <w:t xml:space="preserve"> </w:t>
      </w:r>
      <w:r>
        <w:t>B-only</w:t>
      </w:r>
      <w:r>
        <w:rPr>
          <w:spacing w:val="-2"/>
        </w:rPr>
        <w:t xml:space="preserve"> </w:t>
      </w:r>
      <w:r>
        <w:t>bids</w:t>
      </w:r>
      <w:r>
        <w:rPr>
          <w:spacing w:val="-3"/>
        </w:rPr>
        <w:t xml:space="preserve"> </w:t>
      </w:r>
      <w:r>
        <w:t>in</w:t>
      </w:r>
      <w:r>
        <w:rPr>
          <w:spacing w:val="-2"/>
        </w:rPr>
        <w:t xml:space="preserve"> </w:t>
      </w:r>
      <w:r>
        <w:t>much</w:t>
      </w:r>
      <w:r>
        <w:rPr>
          <w:spacing w:val="-2"/>
        </w:rPr>
        <w:t xml:space="preserve"> </w:t>
      </w:r>
      <w:r>
        <w:t>the</w:t>
      </w:r>
      <w:r>
        <w:rPr>
          <w:spacing w:val="-6"/>
        </w:rPr>
        <w:t xml:space="preserve"> </w:t>
      </w:r>
      <w:r>
        <w:t>same</w:t>
      </w:r>
      <w:r>
        <w:rPr>
          <w:spacing w:val="-2"/>
        </w:rPr>
        <w:t xml:space="preserve"> </w:t>
      </w:r>
      <w:r>
        <w:t>way</w:t>
      </w:r>
      <w:r>
        <w:rPr>
          <w:spacing w:val="-2"/>
        </w:rPr>
        <w:t xml:space="preserve"> </w:t>
      </w:r>
      <w:r>
        <w:t>that</w:t>
      </w:r>
      <w:r>
        <w:rPr>
          <w:spacing w:val="-2"/>
        </w:rPr>
        <w:t xml:space="preserve"> </w:t>
      </w:r>
      <w:r>
        <w:t>they</w:t>
      </w:r>
      <w:r>
        <w:rPr>
          <w:spacing w:val="-3"/>
        </w:rPr>
        <w:t xml:space="preserve"> </w:t>
      </w:r>
      <w:r>
        <w:t>prepared</w:t>
      </w:r>
      <w:r>
        <w:rPr>
          <w:spacing w:val="-2"/>
        </w:rPr>
        <w:t xml:space="preserve"> </w:t>
      </w:r>
      <w:r>
        <w:t>for</w:t>
      </w:r>
      <w:r>
        <w:rPr>
          <w:spacing w:val="-2"/>
        </w:rPr>
        <w:t xml:space="preserve"> </w:t>
      </w:r>
      <w:r>
        <w:t>Part</w:t>
      </w:r>
      <w:r>
        <w:rPr>
          <w:spacing w:val="-2"/>
        </w:rPr>
        <w:t xml:space="preserve"> </w:t>
      </w:r>
      <w:r>
        <w:t>A/B members. For Part B-only plans, MAOs must give special consideration to allocating the portion of services that are considered to be Medicare-covered (Worksheet 4, Section II, columns i and j):</w:t>
      </w:r>
    </w:p>
    <w:p>
      <w:pPr>
        <w:pStyle w:val="ListParagraph"/>
        <w:numPr>
          <w:ilvl w:val="0"/>
          <w:numId w:val="28"/>
        </w:numPr>
        <w:tabs>
          <w:tab w:val="left" w:pos="1584"/>
        </w:tabs>
        <w:spacing w:before="121" w:after="0" w:line="240" w:lineRule="auto"/>
        <w:ind w:left="1584" w:right="0" w:hanging="360"/>
        <w:jc w:val="left"/>
        <w:rPr>
          <w:sz w:val="24"/>
        </w:rPr>
      </w:pPr>
      <w:r>
        <w:rPr>
          <w:sz w:val="24"/>
        </w:rPr>
        <w:t>The</w:t>
      </w:r>
      <w:r>
        <w:rPr>
          <w:spacing w:val="-2"/>
          <w:sz w:val="24"/>
        </w:rPr>
        <w:t xml:space="preserve"> </w:t>
      </w:r>
      <w:r>
        <w:rPr>
          <w:sz w:val="24"/>
        </w:rPr>
        <w:t>Medicare-covered</w:t>
      </w:r>
      <w:r>
        <w:rPr>
          <w:spacing w:val="-1"/>
          <w:sz w:val="24"/>
        </w:rPr>
        <w:t xml:space="preserve"> </w:t>
      </w:r>
      <w:r>
        <w:rPr>
          <w:sz w:val="24"/>
        </w:rPr>
        <w:t>proportion</w:t>
      </w:r>
      <w:r>
        <w:rPr>
          <w:spacing w:val="-1"/>
          <w:sz w:val="24"/>
        </w:rPr>
        <w:t xml:space="preserve"> </w:t>
      </w:r>
      <w:r>
        <w:rPr>
          <w:sz w:val="24"/>
        </w:rPr>
        <w:t>of</w:t>
      </w:r>
      <w:r>
        <w:rPr>
          <w:spacing w:val="-1"/>
          <w:sz w:val="24"/>
        </w:rPr>
        <w:t xml:space="preserve"> </w:t>
      </w:r>
      <w:r>
        <w:rPr>
          <w:sz w:val="24"/>
        </w:rPr>
        <w:t>inpatient services</w:t>
      </w:r>
      <w:r>
        <w:rPr>
          <w:spacing w:val="-2"/>
          <w:sz w:val="24"/>
        </w:rPr>
        <w:t xml:space="preserve"> </w:t>
      </w:r>
      <w:r>
        <w:rPr>
          <w:sz w:val="24"/>
        </w:rPr>
        <w:t>(line</w:t>
      </w:r>
      <w:r>
        <w:rPr>
          <w:spacing w:val="-1"/>
          <w:sz w:val="24"/>
        </w:rPr>
        <w:t xml:space="preserve"> </w:t>
      </w:r>
      <w:r>
        <w:rPr>
          <w:sz w:val="24"/>
        </w:rPr>
        <w:t>a)</w:t>
      </w:r>
      <w:r>
        <w:rPr>
          <w:spacing w:val="-1"/>
          <w:sz w:val="24"/>
        </w:rPr>
        <w:t xml:space="preserve"> </w:t>
      </w:r>
      <w:r>
        <w:rPr>
          <w:sz w:val="24"/>
        </w:rPr>
        <w:t>must</w:t>
      </w:r>
      <w:r>
        <w:rPr>
          <w:spacing w:val="-1"/>
          <w:sz w:val="24"/>
        </w:rPr>
        <w:t xml:space="preserve"> </w:t>
      </w:r>
      <w:r>
        <w:rPr>
          <w:sz w:val="24"/>
        </w:rPr>
        <w:t>equal</w:t>
      </w:r>
      <w:r>
        <w:rPr>
          <w:spacing w:val="2"/>
          <w:sz w:val="24"/>
        </w:rPr>
        <w:t xml:space="preserve"> </w:t>
      </w:r>
      <w:r>
        <w:rPr>
          <w:spacing w:val="-4"/>
          <w:sz w:val="24"/>
        </w:rPr>
        <w:t>zero</w:t>
      </w:r>
    </w:p>
    <w:p>
      <w:pPr>
        <w:pStyle w:val="BodyText"/>
        <w:ind w:left="1584"/>
      </w:pPr>
      <w:r>
        <w:t>(0)</w:t>
      </w:r>
      <w:r>
        <w:rPr>
          <w:spacing w:val="-4"/>
        </w:rPr>
        <w:t xml:space="preserve"> </w:t>
      </w:r>
      <w:r>
        <w:rPr>
          <w:spacing w:val="-2"/>
        </w:rPr>
        <w:t>percent.</w:t>
      </w:r>
    </w:p>
    <w:p>
      <w:pPr>
        <w:pStyle w:val="ListParagraph"/>
        <w:numPr>
          <w:ilvl w:val="0"/>
          <w:numId w:val="28"/>
        </w:numPr>
        <w:tabs>
          <w:tab w:val="left" w:pos="1584"/>
        </w:tabs>
        <w:spacing w:before="0" w:after="0" w:line="240" w:lineRule="auto"/>
        <w:ind w:left="1584" w:right="1495" w:hanging="360"/>
        <w:jc w:val="left"/>
        <w:rPr>
          <w:sz w:val="24"/>
        </w:rPr>
      </w:pPr>
      <w:r>
        <w:rPr>
          <w:sz w:val="24"/>
        </w:rPr>
        <w:t>While the majority of Medicare expenditures for skilled nursing facilities (SNFs) are</w:t>
      </w:r>
      <w:r>
        <w:rPr>
          <w:spacing w:val="-2"/>
          <w:sz w:val="24"/>
        </w:rPr>
        <w:t xml:space="preserve"> </w:t>
      </w:r>
      <w:r>
        <w:rPr>
          <w:sz w:val="24"/>
        </w:rPr>
        <w:t>covered under Part A (Hospital Insurance), in certain circumstances</w:t>
      </w:r>
      <w:r>
        <w:rPr>
          <w:spacing w:val="-1"/>
          <w:sz w:val="24"/>
        </w:rPr>
        <w:t xml:space="preserve"> </w:t>
      </w:r>
      <w:r>
        <w:rPr>
          <w:sz w:val="24"/>
        </w:rPr>
        <w:t>benefits</w:t>
      </w:r>
      <w:r>
        <w:rPr>
          <w:spacing w:val="-1"/>
          <w:sz w:val="24"/>
        </w:rPr>
        <w:t xml:space="preserve"> </w:t>
      </w:r>
      <w:r>
        <w:rPr>
          <w:sz w:val="24"/>
        </w:rPr>
        <w:t xml:space="preserve">are covered under Part B (Supplementary Medical Insurance). Guidance on these covered services can be found in Section 70 of Chapter 8 of the Medicare Benefit Policy Manual at </w:t>
      </w:r>
      <w:hyperlink r:id="rId45">
        <w:r>
          <w:rPr>
            <w:color w:val="0000FF"/>
            <w:sz w:val="24"/>
            <w:u w:val="single" w:color="0000FF"/>
          </w:rPr>
          <w:t>https://www.cms.gov/Regulations-and-</w:t>
        </w:r>
      </w:hyperlink>
      <w:hyperlink r:id="rId45">
        <w:r>
          <w:rPr>
            <w:color w:val="0000FF"/>
            <w:sz w:val="24"/>
            <w:u w:val="single" w:color="0000FF"/>
          </w:rPr>
          <w:t>Guidance/Guidance/Manuals/Internet-Only-Manuals-IOMs-Items/CMS012673</w:t>
        </w:r>
      </w:hyperlink>
      <w:r>
        <w:rPr>
          <w:sz w:val="24"/>
          <w:u w:val="none"/>
        </w:rPr>
        <w:t>.</w:t>
      </w:r>
      <w:r>
        <w:rPr>
          <w:spacing w:val="-15"/>
          <w:sz w:val="24"/>
          <w:u w:val="none"/>
        </w:rPr>
        <w:t xml:space="preserve"> </w:t>
      </w:r>
      <w:r>
        <w:rPr>
          <w:sz w:val="24"/>
          <w:u w:val="none"/>
        </w:rPr>
        <w:t>We estimate that about 5 percent of Medicare expenditures for SNFs will be covered under Part B.</w:t>
      </w:r>
    </w:p>
    <w:p>
      <w:pPr>
        <w:pStyle w:val="ListParagraph"/>
        <w:numPr>
          <w:ilvl w:val="0"/>
          <w:numId w:val="28"/>
        </w:numPr>
        <w:tabs>
          <w:tab w:val="left" w:pos="1584"/>
        </w:tabs>
        <w:spacing w:before="1" w:after="0" w:line="240" w:lineRule="auto"/>
        <w:ind w:left="1584" w:right="1575" w:hanging="360"/>
        <w:jc w:val="left"/>
        <w:rPr>
          <w:sz w:val="24"/>
        </w:rPr>
      </w:pPr>
      <w:r>
        <w:rPr>
          <w:sz w:val="24"/>
        </w:rPr>
        <w:t>Also, as is stated in Section 60.3 of Chapter 7 of the Medicare Benefit Policy Manual,</w:t>
      </w:r>
      <w:r>
        <w:rPr>
          <w:spacing w:val="-1"/>
          <w:sz w:val="24"/>
        </w:rPr>
        <w:t xml:space="preserve"> </w:t>
      </w:r>
      <w:r>
        <w:rPr>
          <w:sz w:val="24"/>
        </w:rPr>
        <w:t>if</w:t>
      </w:r>
      <w:r>
        <w:rPr>
          <w:spacing w:val="-1"/>
          <w:sz w:val="24"/>
        </w:rPr>
        <w:t xml:space="preserve"> </w:t>
      </w:r>
      <w:r>
        <w:rPr>
          <w:sz w:val="24"/>
        </w:rPr>
        <w:t>a</w:t>
      </w:r>
      <w:r>
        <w:rPr>
          <w:spacing w:val="-3"/>
          <w:sz w:val="24"/>
        </w:rPr>
        <w:t xml:space="preserve"> </w:t>
      </w:r>
      <w:r>
        <w:rPr>
          <w:sz w:val="24"/>
        </w:rPr>
        <w:t>beneficiary</w:t>
      </w:r>
      <w:r>
        <w:rPr>
          <w:spacing w:val="-1"/>
          <w:sz w:val="24"/>
        </w:rPr>
        <w:t xml:space="preserve"> </w:t>
      </w:r>
      <w:r>
        <w:rPr>
          <w:sz w:val="24"/>
        </w:rPr>
        <w:t>is</w:t>
      </w:r>
      <w:r>
        <w:rPr>
          <w:spacing w:val="-2"/>
          <w:sz w:val="24"/>
        </w:rPr>
        <w:t xml:space="preserve"> </w:t>
      </w:r>
      <w:r>
        <w:rPr>
          <w:sz w:val="24"/>
        </w:rPr>
        <w:t>enrolled</w:t>
      </w:r>
      <w:r>
        <w:rPr>
          <w:spacing w:val="-1"/>
          <w:sz w:val="24"/>
        </w:rPr>
        <w:t xml:space="preserve"> </w:t>
      </w:r>
      <w:r>
        <w:rPr>
          <w:sz w:val="24"/>
        </w:rPr>
        <w:t>only</w:t>
      </w:r>
      <w:r>
        <w:rPr>
          <w:spacing w:val="-1"/>
          <w:sz w:val="24"/>
        </w:rPr>
        <w:t xml:space="preserve"> </w:t>
      </w:r>
      <w:r>
        <w:rPr>
          <w:sz w:val="24"/>
        </w:rPr>
        <w:t>in Part</w:t>
      </w:r>
      <w:r>
        <w:rPr>
          <w:spacing w:val="-1"/>
          <w:sz w:val="24"/>
        </w:rPr>
        <w:t xml:space="preserve"> </w:t>
      </w:r>
      <w:r>
        <w:rPr>
          <w:sz w:val="24"/>
        </w:rPr>
        <w:t>B</w:t>
      </w:r>
      <w:r>
        <w:rPr>
          <w:spacing w:val="-1"/>
          <w:sz w:val="24"/>
        </w:rPr>
        <w:t xml:space="preserve"> </w:t>
      </w:r>
      <w:r>
        <w:rPr>
          <w:sz w:val="24"/>
        </w:rPr>
        <w:t>and</w:t>
      </w:r>
      <w:r>
        <w:rPr>
          <w:spacing w:val="-1"/>
          <w:sz w:val="24"/>
        </w:rPr>
        <w:t xml:space="preserve"> </w:t>
      </w:r>
      <w:r>
        <w:rPr>
          <w:sz w:val="24"/>
        </w:rPr>
        <w:t>is</w:t>
      </w:r>
      <w:r>
        <w:rPr>
          <w:spacing w:val="-1"/>
          <w:sz w:val="24"/>
        </w:rPr>
        <w:t xml:space="preserve"> </w:t>
      </w:r>
      <w:r>
        <w:rPr>
          <w:sz w:val="24"/>
        </w:rPr>
        <w:t>qualified</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Medicare home</w:t>
      </w:r>
      <w:r>
        <w:rPr>
          <w:spacing w:val="-3"/>
          <w:sz w:val="24"/>
        </w:rPr>
        <w:t xml:space="preserve"> </w:t>
      </w:r>
      <w:r>
        <w:rPr>
          <w:sz w:val="24"/>
        </w:rPr>
        <w:t>health</w:t>
      </w:r>
      <w:r>
        <w:rPr>
          <w:spacing w:val="-3"/>
          <w:sz w:val="24"/>
        </w:rPr>
        <w:t xml:space="preserve"> </w:t>
      </w:r>
      <w:r>
        <w:rPr>
          <w:sz w:val="24"/>
        </w:rPr>
        <w:t>benefit,</w:t>
      </w:r>
      <w:r>
        <w:rPr>
          <w:spacing w:val="-3"/>
          <w:sz w:val="24"/>
        </w:rPr>
        <w:t xml:space="preserve"> </w:t>
      </w:r>
      <w:r>
        <w:rPr>
          <w:sz w:val="24"/>
        </w:rPr>
        <w:t>then</w:t>
      </w:r>
      <w:r>
        <w:rPr>
          <w:spacing w:val="-3"/>
          <w:sz w:val="24"/>
        </w:rPr>
        <w:t xml:space="preserve"> </w:t>
      </w:r>
      <w:r>
        <w:rPr>
          <w:sz w:val="24"/>
        </w:rPr>
        <w:t>all</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home</w:t>
      </w:r>
      <w:r>
        <w:rPr>
          <w:spacing w:val="-3"/>
          <w:sz w:val="24"/>
        </w:rPr>
        <w:t xml:space="preserve"> </w:t>
      </w:r>
      <w:r>
        <w:rPr>
          <w:sz w:val="24"/>
        </w:rPr>
        <w:t>health</w:t>
      </w:r>
      <w:r>
        <w:rPr>
          <w:spacing w:val="-3"/>
          <w:sz w:val="24"/>
        </w:rPr>
        <w:t xml:space="preserve"> </w:t>
      </w:r>
      <w:r>
        <w:rPr>
          <w:sz w:val="24"/>
        </w:rPr>
        <w:t>services</w:t>
      </w:r>
      <w:r>
        <w:rPr>
          <w:spacing w:val="-4"/>
          <w:sz w:val="24"/>
        </w:rPr>
        <w:t xml:space="preserve"> </w:t>
      </w:r>
      <w:r>
        <w:rPr>
          <w:sz w:val="24"/>
        </w:rPr>
        <w:t>are</w:t>
      </w:r>
      <w:r>
        <w:rPr>
          <w:spacing w:val="-4"/>
          <w:sz w:val="24"/>
        </w:rPr>
        <w:t xml:space="preserve"> </w:t>
      </w:r>
      <w:r>
        <w:rPr>
          <w:sz w:val="24"/>
        </w:rPr>
        <w:t>financed</w:t>
      </w:r>
      <w:r>
        <w:rPr>
          <w:spacing w:val="-3"/>
          <w:sz w:val="24"/>
        </w:rPr>
        <w:t xml:space="preserve"> </w:t>
      </w:r>
      <w:r>
        <w:rPr>
          <w:sz w:val="24"/>
        </w:rPr>
        <w:t>under Part</w:t>
      </w:r>
      <w:r>
        <w:rPr>
          <w:spacing w:val="-3"/>
          <w:sz w:val="24"/>
        </w:rPr>
        <w:t xml:space="preserve"> </w:t>
      </w:r>
      <w:r>
        <w:rPr>
          <w:sz w:val="24"/>
        </w:rPr>
        <w:t>B. Thus, for most Part B-only plans, the Medicare-covered proportion of home health services (line c) will be 100 percent.</w:t>
      </w:r>
    </w:p>
    <w:p>
      <w:pPr>
        <w:pStyle w:val="ListParagraph"/>
        <w:spacing w:after="0" w:line="240" w:lineRule="auto"/>
        <w:jc w:val="left"/>
        <w:rPr>
          <w:sz w:val="24"/>
        </w:rPr>
        <w:sectPr>
          <w:headerReference w:type="default" r:id="rId46"/>
          <w:footerReference w:type="default" r:id="rId47"/>
          <w:pgSz w:w="12240" w:h="15840"/>
          <w:pgMar w:top="960" w:right="0" w:bottom="940" w:left="1080" w:header="727" w:footer="747"/>
          <w:cols w:space="720"/>
        </w:sectPr>
      </w:pPr>
    </w:p>
    <w:p>
      <w:pPr>
        <w:pStyle w:val="BodyText"/>
        <w:spacing w:before="264"/>
        <w:ind w:left="0"/>
        <w:rPr>
          <w:sz w:val="28"/>
        </w:rPr>
      </w:pPr>
    </w:p>
    <w:p>
      <w:pPr>
        <w:pStyle w:val="Heading1"/>
        <w:spacing w:line="322" w:lineRule="exact"/>
        <w:ind w:left="504"/>
        <w:rPr>
          <w:u w:val="none"/>
        </w:rPr>
      </w:pPr>
      <w:bookmarkStart w:id="352" w:name="Appendix D – Medicare Advantage Plans Av"/>
      <w:bookmarkEnd w:id="352"/>
      <w:bookmarkStart w:id="353" w:name="_bookmark93"/>
      <w:bookmarkEnd w:id="353"/>
      <w:r>
        <w:rPr>
          <w:u w:val="none"/>
        </w:rPr>
        <w:t>APPENDIX</w:t>
      </w:r>
      <w:r>
        <w:rPr>
          <w:spacing w:val="-8"/>
          <w:u w:val="none"/>
        </w:rPr>
        <w:t xml:space="preserve"> </w:t>
      </w:r>
      <w:r>
        <w:rPr>
          <w:u w:val="none"/>
        </w:rPr>
        <w:t>D</w:t>
      </w:r>
      <w:r>
        <w:rPr>
          <w:spacing w:val="-7"/>
          <w:u w:val="none"/>
        </w:rPr>
        <w:t xml:space="preserve"> </w:t>
      </w:r>
      <w:r>
        <w:rPr>
          <w:u w:val="none"/>
        </w:rPr>
        <w:t>–</w:t>
      </w:r>
      <w:r>
        <w:rPr>
          <w:spacing w:val="-8"/>
          <w:u w:val="none"/>
        </w:rPr>
        <w:t xml:space="preserve"> </w:t>
      </w:r>
      <w:r>
        <w:rPr>
          <w:u w:val="none"/>
        </w:rPr>
        <w:t>MEDICARE</w:t>
      </w:r>
      <w:r>
        <w:rPr>
          <w:spacing w:val="-5"/>
          <w:u w:val="none"/>
        </w:rPr>
        <w:t xml:space="preserve"> </w:t>
      </w:r>
      <w:r>
        <w:rPr>
          <w:u w:val="none"/>
        </w:rPr>
        <w:t>ADVANTAGE</w:t>
      </w:r>
      <w:r>
        <w:rPr>
          <w:spacing w:val="-5"/>
          <w:u w:val="none"/>
        </w:rPr>
        <w:t xml:space="preserve"> </w:t>
      </w:r>
      <w:r>
        <w:rPr>
          <w:u w:val="none"/>
        </w:rPr>
        <w:t>PLANS</w:t>
      </w:r>
      <w:r>
        <w:rPr>
          <w:spacing w:val="-8"/>
          <w:u w:val="none"/>
        </w:rPr>
        <w:t xml:space="preserve"> </w:t>
      </w:r>
      <w:r>
        <w:rPr>
          <w:u w:val="none"/>
        </w:rPr>
        <w:t>AVAILABLE</w:t>
      </w:r>
      <w:r>
        <w:rPr>
          <w:spacing w:val="-6"/>
          <w:u w:val="none"/>
        </w:rPr>
        <w:t xml:space="preserve"> </w:t>
      </w:r>
      <w:r>
        <w:rPr>
          <w:spacing w:val="-5"/>
          <w:u w:val="none"/>
        </w:rPr>
        <w:t>TO</w:t>
      </w:r>
    </w:p>
    <w:p>
      <w:pPr>
        <w:pStyle w:val="Heading1"/>
        <w:tabs>
          <w:tab w:val="left" w:pos="9750"/>
        </w:tabs>
        <w:rPr>
          <w:u w:val="none"/>
        </w:rPr>
      </w:pPr>
      <w:r>
        <w:rPr>
          <w:spacing w:val="-50"/>
          <w:u w:val="single"/>
        </w:rPr>
        <w:t xml:space="preserve"> </w:t>
      </w:r>
      <w:r>
        <w:rPr>
          <w:u w:val="single"/>
        </w:rPr>
        <w:t>EMPLOYER/UNION</w:t>
      </w:r>
      <w:r>
        <w:rPr>
          <w:spacing w:val="-13"/>
          <w:u w:val="single"/>
        </w:rPr>
        <w:t xml:space="preserve"> </w:t>
      </w:r>
      <w:r>
        <w:rPr>
          <w:spacing w:val="-2"/>
          <w:u w:val="single"/>
        </w:rPr>
        <w:t>GROUPS</w:t>
      </w:r>
      <w:r>
        <w:rPr>
          <w:u w:val="single"/>
        </w:rPr>
        <w:tab/>
      </w:r>
    </w:p>
    <w:p>
      <w:pPr>
        <w:pStyle w:val="BodyText"/>
        <w:spacing w:before="110"/>
        <w:ind w:left="0"/>
        <w:rPr>
          <w:rFonts w:ascii="Arial"/>
          <w:b/>
          <w:sz w:val="21"/>
        </w:rPr>
      </w:pPr>
    </w:p>
    <w:p>
      <w:pPr>
        <w:pStyle w:val="Heading2"/>
      </w:pPr>
      <w:bookmarkStart w:id="354" w:name="Individual-market plans (“Mixed Enrollme"/>
      <w:bookmarkEnd w:id="354"/>
      <w:bookmarkStart w:id="355" w:name="_bookmark94"/>
      <w:bookmarkEnd w:id="355"/>
      <w:r>
        <w:rPr>
          <w:smallCaps/>
          <w:spacing w:val="-2"/>
        </w:rPr>
        <w:t>Individual-market</w:t>
      </w:r>
      <w:r>
        <w:rPr>
          <w:smallCaps/>
          <w:spacing w:val="10"/>
        </w:rPr>
        <w:t xml:space="preserve"> </w:t>
      </w:r>
      <w:r>
        <w:rPr>
          <w:smallCaps/>
          <w:spacing w:val="-2"/>
        </w:rPr>
        <w:t>plans</w:t>
      </w:r>
      <w:r>
        <w:rPr>
          <w:smallCaps/>
          <w:spacing w:val="8"/>
        </w:rPr>
        <w:t xml:space="preserve"> </w:t>
      </w:r>
      <w:r>
        <w:rPr>
          <w:smallCaps/>
          <w:spacing w:val="-2"/>
        </w:rPr>
        <w:t>(“Mixed</w:t>
      </w:r>
      <w:r>
        <w:rPr>
          <w:smallCaps/>
          <w:spacing w:val="8"/>
        </w:rPr>
        <w:t xml:space="preserve"> </w:t>
      </w:r>
      <w:r>
        <w:rPr>
          <w:smallCaps/>
          <w:spacing w:val="-2"/>
        </w:rPr>
        <w:t>Enrollment”</w:t>
      </w:r>
      <w:r>
        <w:rPr>
          <w:smallCaps/>
          <w:spacing w:val="-8"/>
        </w:rPr>
        <w:t xml:space="preserve"> </w:t>
      </w:r>
      <w:r>
        <w:rPr>
          <w:smallCaps/>
          <w:spacing w:val="-2"/>
        </w:rPr>
        <w:t>Plans)</w:t>
      </w:r>
    </w:p>
    <w:p>
      <w:pPr>
        <w:pStyle w:val="BodyText"/>
        <w:spacing w:before="179"/>
        <w:ind w:right="1481"/>
      </w:pPr>
      <w:r>
        <w:t>An</w:t>
      </w:r>
      <w:r>
        <w:rPr>
          <w:spacing w:val="-3"/>
        </w:rPr>
        <w:t xml:space="preserve"> </w:t>
      </w:r>
      <w:r>
        <w:t>MAO</w:t>
      </w:r>
      <w:r>
        <w:rPr>
          <w:spacing w:val="-4"/>
        </w:rPr>
        <w:t xml:space="preserve"> </w:t>
      </w:r>
      <w:r>
        <w:t>may</w:t>
      </w:r>
      <w:r>
        <w:rPr>
          <w:spacing w:val="-3"/>
        </w:rPr>
        <w:t xml:space="preserve"> </w:t>
      </w:r>
      <w:r>
        <w:t>offer</w:t>
      </w:r>
      <w:r>
        <w:rPr>
          <w:spacing w:val="-4"/>
        </w:rPr>
        <w:t xml:space="preserve"> </w:t>
      </w:r>
      <w:r>
        <w:t>its</w:t>
      </w:r>
      <w:r>
        <w:rPr>
          <w:spacing w:val="-3"/>
        </w:rPr>
        <w:t xml:space="preserve"> </w:t>
      </w:r>
      <w:r>
        <w:t>individual-market</w:t>
      </w:r>
      <w:r>
        <w:rPr>
          <w:spacing w:val="-3"/>
        </w:rPr>
        <w:t xml:space="preserve"> </w:t>
      </w:r>
      <w:r>
        <w:t>MA</w:t>
      </w:r>
      <w:r>
        <w:rPr>
          <w:spacing w:val="-4"/>
        </w:rPr>
        <w:t xml:space="preserve"> </w:t>
      </w:r>
      <w:r>
        <w:t>plans</w:t>
      </w:r>
      <w:r>
        <w:rPr>
          <w:spacing w:val="-4"/>
        </w:rPr>
        <w:t xml:space="preserve"> </w:t>
      </w:r>
      <w:r>
        <w:t>to</w:t>
      </w:r>
      <w:r>
        <w:rPr>
          <w:spacing w:val="-3"/>
        </w:rPr>
        <w:t xml:space="preserve"> </w:t>
      </w:r>
      <w:r>
        <w:t>employer/union</w:t>
      </w:r>
      <w:r>
        <w:rPr>
          <w:spacing w:val="-3"/>
        </w:rPr>
        <w:t xml:space="preserve"> </w:t>
      </w:r>
      <w:r>
        <w:t>group</w:t>
      </w:r>
      <w:r>
        <w:rPr>
          <w:spacing w:val="-3"/>
        </w:rPr>
        <w:t xml:space="preserve"> </w:t>
      </w:r>
      <w:r>
        <w:t>health</w:t>
      </w:r>
      <w:r>
        <w:rPr>
          <w:spacing w:val="-3"/>
        </w:rPr>
        <w:t xml:space="preserve"> </w:t>
      </w:r>
      <w:r>
        <w:t>plan sponsors and modify benefits for specific employer/union groups through two types of allowable customization: “actuarial swapping” or “actuarial equivalence.”</w:t>
      </w:r>
    </w:p>
    <w:p>
      <w:pPr>
        <w:spacing w:before="241"/>
        <w:ind w:left="1224" w:right="0" w:firstLine="0"/>
        <w:jc w:val="left"/>
        <w:rPr>
          <w:rFonts w:ascii="Arial"/>
          <w:b/>
          <w:i/>
          <w:sz w:val="21"/>
        </w:rPr>
      </w:pPr>
      <w:r>
        <w:rPr>
          <w:rFonts w:ascii="Arial"/>
          <w:b/>
          <w:i/>
          <w:sz w:val="21"/>
        </w:rPr>
        <w:t>Actuarial</w:t>
      </w:r>
      <w:r>
        <w:rPr>
          <w:rFonts w:ascii="Arial"/>
          <w:b/>
          <w:i/>
          <w:spacing w:val="-8"/>
          <w:sz w:val="21"/>
        </w:rPr>
        <w:t xml:space="preserve"> </w:t>
      </w:r>
      <w:r>
        <w:rPr>
          <w:rFonts w:ascii="Arial"/>
          <w:b/>
          <w:i/>
          <w:spacing w:val="-2"/>
          <w:sz w:val="21"/>
        </w:rPr>
        <w:t>Swapping</w:t>
      </w:r>
    </w:p>
    <w:p>
      <w:pPr>
        <w:pStyle w:val="BodyText"/>
        <w:spacing w:before="118"/>
        <w:ind w:left="1224" w:right="1443"/>
      </w:pPr>
      <w:r>
        <w:t>If an MAO requests the actuarial swapping category of customization, the MAO must identify</w:t>
      </w:r>
      <w:r>
        <w:rPr>
          <w:spacing w:val="-4"/>
        </w:rPr>
        <w:t xml:space="preserve"> </w:t>
      </w:r>
      <w:r>
        <w:t>in</w:t>
      </w:r>
      <w:r>
        <w:rPr>
          <w:spacing w:val="-4"/>
        </w:rPr>
        <w:t xml:space="preserve"> </w:t>
      </w:r>
      <w:r>
        <w:t>the</w:t>
      </w:r>
      <w:r>
        <w:rPr>
          <w:spacing w:val="-5"/>
        </w:rPr>
        <w:t xml:space="preserve"> </w:t>
      </w:r>
      <w:r>
        <w:t>supporting</w:t>
      </w:r>
      <w:r>
        <w:rPr>
          <w:spacing w:val="-4"/>
        </w:rPr>
        <w:t xml:space="preserve"> </w:t>
      </w:r>
      <w:r>
        <w:t>documentation</w:t>
      </w:r>
      <w:r>
        <w:rPr>
          <w:spacing w:val="-4"/>
        </w:rPr>
        <w:t xml:space="preserve"> </w:t>
      </w:r>
      <w:r>
        <w:t>both</w:t>
      </w:r>
      <w:r>
        <w:rPr>
          <w:spacing w:val="-4"/>
        </w:rPr>
        <w:t xml:space="preserve"> </w:t>
      </w:r>
      <w:r>
        <w:t>the</w:t>
      </w:r>
      <w:r>
        <w:rPr>
          <w:spacing w:val="-4"/>
        </w:rPr>
        <w:t xml:space="preserve"> </w:t>
      </w:r>
      <w:r>
        <w:t>benefits</w:t>
      </w:r>
      <w:r>
        <w:rPr>
          <w:spacing w:val="-5"/>
        </w:rPr>
        <w:t xml:space="preserve"> </w:t>
      </w:r>
      <w:r>
        <w:t>that</w:t>
      </w:r>
      <w:r>
        <w:rPr>
          <w:spacing w:val="-4"/>
        </w:rPr>
        <w:t xml:space="preserve"> </w:t>
      </w:r>
      <w:r>
        <w:t>might</w:t>
      </w:r>
      <w:r>
        <w:rPr>
          <w:spacing w:val="-4"/>
        </w:rPr>
        <w:t xml:space="preserve"> </w:t>
      </w:r>
      <w:r>
        <w:t>be</w:t>
      </w:r>
      <w:r>
        <w:rPr>
          <w:spacing w:val="-5"/>
        </w:rPr>
        <w:t xml:space="preserve"> </w:t>
      </w:r>
      <w:r>
        <w:t>swapped</w:t>
      </w:r>
      <w:r>
        <w:rPr>
          <w:spacing w:val="-4"/>
        </w:rPr>
        <w:t xml:space="preserve"> </w:t>
      </w:r>
      <w:r>
        <w:t>during negotiations with employers and/or unions and the MA plan covering those benefits.</w:t>
      </w:r>
    </w:p>
    <w:p>
      <w:pPr>
        <w:pStyle w:val="BodyText"/>
        <w:spacing w:before="1"/>
        <w:ind w:left="1224" w:right="1492"/>
      </w:pPr>
      <w:r>
        <w:t>Only supplemental benefits not covered under original Medicare are eligible for actuarial swapping, and only those benefits in your bids that are candidates for swaps need to be identified. Part D supplemental benefits are not eligible for actuarial swapping. The MAO may make specific swaps in negotiations with employers or unions</w:t>
      </w:r>
      <w:r>
        <w:rPr>
          <w:spacing w:val="-3"/>
        </w:rPr>
        <w:t xml:space="preserve"> </w:t>
      </w:r>
      <w:r>
        <w:t>in</w:t>
      </w:r>
      <w:r>
        <w:rPr>
          <w:spacing w:val="-3"/>
        </w:rPr>
        <w:t xml:space="preserve"> </w:t>
      </w:r>
      <w:r>
        <w:t>the</w:t>
      </w:r>
      <w:r>
        <w:rPr>
          <w:spacing w:val="-4"/>
        </w:rPr>
        <w:t xml:space="preserve"> </w:t>
      </w:r>
      <w:r>
        <w:t>context</w:t>
      </w:r>
      <w:r>
        <w:rPr>
          <w:spacing w:val="-3"/>
        </w:rPr>
        <w:t xml:space="preserve"> </w:t>
      </w:r>
      <w:r>
        <w:t>of</w:t>
      </w:r>
      <w:r>
        <w:rPr>
          <w:spacing w:val="-4"/>
        </w:rPr>
        <w:t xml:space="preserve"> </w:t>
      </w:r>
      <w:r>
        <w:t>the</w:t>
      </w:r>
      <w:r>
        <w:rPr>
          <w:spacing w:val="-3"/>
        </w:rPr>
        <w:t xml:space="preserve"> </w:t>
      </w:r>
      <w:r>
        <w:t>CMS</w:t>
      </w:r>
      <w:r>
        <w:rPr>
          <w:spacing w:val="-2"/>
        </w:rPr>
        <w:t xml:space="preserve"> </w:t>
      </w:r>
      <w:r>
        <w:t>general</w:t>
      </w:r>
      <w:r>
        <w:rPr>
          <w:spacing w:val="-3"/>
        </w:rPr>
        <w:t xml:space="preserve"> </w:t>
      </w:r>
      <w:r>
        <w:t>approval</w:t>
      </w:r>
      <w:r>
        <w:rPr>
          <w:spacing w:val="-3"/>
        </w:rPr>
        <w:t xml:space="preserve"> </w:t>
      </w:r>
      <w:r>
        <w:t>of</w:t>
      </w:r>
      <w:r>
        <w:rPr>
          <w:spacing w:val="-2"/>
        </w:rPr>
        <w:t xml:space="preserve"> </w:t>
      </w:r>
      <w:r>
        <w:t>the</w:t>
      </w:r>
      <w:r>
        <w:rPr>
          <w:spacing w:val="-4"/>
        </w:rPr>
        <w:t xml:space="preserve"> </w:t>
      </w:r>
      <w:r>
        <w:t>candidates,</w:t>
      </w:r>
      <w:r>
        <w:rPr>
          <w:spacing w:val="-1"/>
        </w:rPr>
        <w:t xml:space="preserve"> </w:t>
      </w:r>
      <w:r>
        <w:t>without</w:t>
      </w:r>
      <w:r>
        <w:rPr>
          <w:spacing w:val="-3"/>
        </w:rPr>
        <w:t xml:space="preserve"> </w:t>
      </w:r>
      <w:r>
        <w:t>obtaining further approval from CMS for the actual swaps.</w:t>
      </w:r>
    </w:p>
    <w:p>
      <w:pPr>
        <w:spacing w:before="241"/>
        <w:ind w:left="1224" w:right="0" w:firstLine="0"/>
        <w:jc w:val="left"/>
        <w:rPr>
          <w:rFonts w:ascii="Arial"/>
          <w:b/>
          <w:i/>
          <w:sz w:val="21"/>
        </w:rPr>
      </w:pPr>
      <w:r>
        <w:rPr>
          <w:rFonts w:ascii="Arial"/>
          <w:b/>
          <w:i/>
          <w:sz w:val="21"/>
        </w:rPr>
        <w:t>Actuarial</w:t>
      </w:r>
      <w:r>
        <w:rPr>
          <w:rFonts w:ascii="Arial"/>
          <w:b/>
          <w:i/>
          <w:spacing w:val="-8"/>
          <w:sz w:val="21"/>
        </w:rPr>
        <w:t xml:space="preserve"> </w:t>
      </w:r>
      <w:r>
        <w:rPr>
          <w:rFonts w:ascii="Arial"/>
          <w:b/>
          <w:i/>
          <w:spacing w:val="-2"/>
          <w:sz w:val="21"/>
        </w:rPr>
        <w:t>Equivalence</w:t>
      </w:r>
    </w:p>
    <w:p>
      <w:pPr>
        <w:pStyle w:val="BodyText"/>
        <w:spacing w:before="120"/>
        <w:ind w:left="1224" w:right="1481"/>
      </w:pPr>
      <w:r>
        <w:t>If</w:t>
      </w:r>
      <w:r>
        <w:rPr>
          <w:spacing w:val="-5"/>
        </w:rPr>
        <w:t xml:space="preserve"> </w:t>
      </w:r>
      <w:r>
        <w:t>an</w:t>
      </w:r>
      <w:r>
        <w:rPr>
          <w:spacing w:val="-4"/>
        </w:rPr>
        <w:t xml:space="preserve"> </w:t>
      </w:r>
      <w:r>
        <w:t>MAO</w:t>
      </w:r>
      <w:r>
        <w:rPr>
          <w:spacing w:val="-3"/>
        </w:rPr>
        <w:t xml:space="preserve"> </w:t>
      </w:r>
      <w:r>
        <w:t>requests</w:t>
      </w:r>
      <w:r>
        <w:rPr>
          <w:spacing w:val="-3"/>
        </w:rPr>
        <w:t xml:space="preserve"> </w:t>
      </w:r>
      <w:r>
        <w:t>the</w:t>
      </w:r>
      <w:r>
        <w:rPr>
          <w:spacing w:val="-3"/>
        </w:rPr>
        <w:t xml:space="preserve"> </w:t>
      </w:r>
      <w:r>
        <w:t>actuarial</w:t>
      </w:r>
      <w:r>
        <w:rPr>
          <w:spacing w:val="-4"/>
        </w:rPr>
        <w:t xml:space="preserve"> </w:t>
      </w:r>
      <w:r>
        <w:t>equivalence</w:t>
      </w:r>
      <w:r>
        <w:rPr>
          <w:spacing w:val="-3"/>
        </w:rPr>
        <w:t xml:space="preserve"> </w:t>
      </w:r>
      <w:r>
        <w:t>category</w:t>
      </w:r>
      <w:r>
        <w:rPr>
          <w:spacing w:val="-5"/>
        </w:rPr>
        <w:t xml:space="preserve"> </w:t>
      </w:r>
      <w:r>
        <w:t>of</w:t>
      </w:r>
      <w:r>
        <w:rPr>
          <w:spacing w:val="-4"/>
        </w:rPr>
        <w:t xml:space="preserve"> </w:t>
      </w:r>
      <w:r>
        <w:t>customization</w:t>
      </w:r>
      <w:r>
        <w:rPr>
          <w:spacing w:val="-4"/>
        </w:rPr>
        <w:t xml:space="preserve"> </w:t>
      </w:r>
      <w:r>
        <w:t>allowable</w:t>
      </w:r>
      <w:r>
        <w:rPr>
          <w:spacing w:val="-4"/>
        </w:rPr>
        <w:t xml:space="preserve"> </w:t>
      </w:r>
      <w:r>
        <w:t>for employer and union groups, the MAO must provide the following information as supporting documentation:</w:t>
      </w:r>
    </w:p>
    <w:p>
      <w:pPr>
        <w:pStyle w:val="ListParagraph"/>
        <w:numPr>
          <w:ilvl w:val="0"/>
          <w:numId w:val="28"/>
        </w:numPr>
        <w:tabs>
          <w:tab w:val="left" w:pos="1584"/>
        </w:tabs>
        <w:spacing w:before="120" w:after="0" w:line="240" w:lineRule="auto"/>
        <w:ind w:left="1584" w:right="1467" w:hanging="360"/>
        <w:jc w:val="left"/>
        <w:rPr>
          <w:sz w:val="24"/>
        </w:rPr>
      </w:pPr>
      <w:r>
        <w:rPr>
          <w:sz w:val="24"/>
        </w:rPr>
        <w:t>The</w:t>
      </w:r>
      <w:r>
        <w:rPr>
          <w:spacing w:val="-6"/>
          <w:sz w:val="24"/>
        </w:rPr>
        <w:t xml:space="preserve"> </w:t>
      </w:r>
      <w:r>
        <w:rPr>
          <w:sz w:val="24"/>
        </w:rPr>
        <w:t>proposed</w:t>
      </w:r>
      <w:r>
        <w:rPr>
          <w:spacing w:val="-2"/>
          <w:sz w:val="24"/>
        </w:rPr>
        <w:t xml:space="preserve"> </w:t>
      </w:r>
      <w:r>
        <w:rPr>
          <w:sz w:val="24"/>
        </w:rPr>
        <w:t>change</w:t>
      </w:r>
      <w:r>
        <w:rPr>
          <w:spacing w:val="-5"/>
          <w:sz w:val="24"/>
        </w:rPr>
        <w:t xml:space="preserve"> </w:t>
      </w:r>
      <w:r>
        <w:rPr>
          <w:sz w:val="24"/>
        </w:rPr>
        <w:t>in</w:t>
      </w:r>
      <w:r>
        <w:rPr>
          <w:spacing w:val="-1"/>
          <w:sz w:val="24"/>
        </w:rPr>
        <w:t xml:space="preserve"> </w:t>
      </w:r>
      <w:r>
        <w:rPr>
          <w:sz w:val="24"/>
        </w:rPr>
        <w:t>cost-sharing</w:t>
      </w:r>
      <w:r>
        <w:rPr>
          <w:spacing w:val="-4"/>
          <w:sz w:val="24"/>
        </w:rPr>
        <w:t xml:space="preserve"> </w:t>
      </w:r>
      <w:r>
        <w:rPr>
          <w:sz w:val="24"/>
        </w:rPr>
        <w:t>amounts</w:t>
      </w:r>
      <w:r>
        <w:rPr>
          <w:spacing w:val="-5"/>
          <w:sz w:val="24"/>
        </w:rPr>
        <w:t xml:space="preserve"> </w:t>
      </w:r>
      <w:r>
        <w:rPr>
          <w:sz w:val="24"/>
        </w:rPr>
        <w:t>and</w:t>
      </w:r>
      <w:r>
        <w:rPr>
          <w:spacing w:val="-2"/>
          <w:sz w:val="24"/>
        </w:rPr>
        <w:t xml:space="preserve"> </w:t>
      </w:r>
      <w:r>
        <w:rPr>
          <w:sz w:val="24"/>
        </w:rPr>
        <w:t>the</w:t>
      </w:r>
      <w:r>
        <w:rPr>
          <w:spacing w:val="-4"/>
          <w:sz w:val="24"/>
        </w:rPr>
        <w:t xml:space="preserve"> </w:t>
      </w:r>
      <w:r>
        <w:rPr>
          <w:sz w:val="24"/>
        </w:rPr>
        <w:t>MA</w:t>
      </w:r>
      <w:r>
        <w:rPr>
          <w:spacing w:val="-5"/>
          <w:sz w:val="24"/>
        </w:rPr>
        <w:t xml:space="preserve"> </w:t>
      </w:r>
      <w:r>
        <w:rPr>
          <w:sz w:val="24"/>
        </w:rPr>
        <w:t>plan</w:t>
      </w:r>
      <w:r>
        <w:rPr>
          <w:spacing w:val="-4"/>
          <w:sz w:val="24"/>
        </w:rPr>
        <w:t xml:space="preserve"> </w:t>
      </w:r>
      <w:r>
        <w:rPr>
          <w:sz w:val="24"/>
        </w:rPr>
        <w:t>containing such</w:t>
      </w:r>
      <w:r>
        <w:rPr>
          <w:spacing w:val="-5"/>
          <w:sz w:val="24"/>
        </w:rPr>
        <w:t xml:space="preserve"> </w:t>
      </w:r>
      <w:r>
        <w:rPr>
          <w:sz w:val="24"/>
        </w:rPr>
        <w:t xml:space="preserve">cost </w:t>
      </w:r>
      <w:r>
        <w:rPr>
          <w:spacing w:val="-2"/>
          <w:sz w:val="24"/>
        </w:rPr>
        <w:t>sharing.</w:t>
      </w:r>
    </w:p>
    <w:p>
      <w:pPr>
        <w:pStyle w:val="ListParagraph"/>
        <w:numPr>
          <w:ilvl w:val="0"/>
          <w:numId w:val="28"/>
        </w:numPr>
        <w:tabs>
          <w:tab w:val="left" w:pos="1584"/>
        </w:tabs>
        <w:spacing w:before="0" w:after="0" w:line="240" w:lineRule="auto"/>
        <w:ind w:left="1584" w:right="0" w:hanging="360"/>
        <w:jc w:val="left"/>
        <w:rPr>
          <w:sz w:val="24"/>
        </w:rPr>
      </w:pPr>
      <w:r>
        <w:rPr>
          <w:sz w:val="24"/>
        </w:rPr>
        <w:t>Any</w:t>
      </w:r>
      <w:r>
        <w:rPr>
          <w:spacing w:val="-1"/>
          <w:sz w:val="24"/>
        </w:rPr>
        <w:t xml:space="preserve"> </w:t>
      </w:r>
      <w:r>
        <w:rPr>
          <w:sz w:val="24"/>
        </w:rPr>
        <w:t>modification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premium</w:t>
      </w:r>
      <w:r>
        <w:rPr>
          <w:spacing w:val="1"/>
          <w:sz w:val="24"/>
        </w:rPr>
        <w:t xml:space="preserve"> </w:t>
      </w:r>
      <w:r>
        <w:rPr>
          <w:spacing w:val="-2"/>
          <w:sz w:val="24"/>
        </w:rPr>
        <w:t>charged.</w:t>
      </w:r>
    </w:p>
    <w:p>
      <w:pPr>
        <w:pStyle w:val="ListParagraph"/>
        <w:numPr>
          <w:ilvl w:val="0"/>
          <w:numId w:val="28"/>
        </w:numPr>
        <w:tabs>
          <w:tab w:val="left" w:pos="1584"/>
        </w:tabs>
        <w:spacing w:before="0" w:after="0" w:line="240" w:lineRule="auto"/>
        <w:ind w:left="1584" w:right="0" w:hanging="360"/>
        <w:jc w:val="left"/>
        <w:rPr>
          <w:sz w:val="24"/>
        </w:rPr>
      </w:pPr>
      <w:r>
        <w:rPr>
          <w:sz w:val="24"/>
        </w:rPr>
        <w:t>Any</w:t>
      </w:r>
      <w:r>
        <w:rPr>
          <w:spacing w:val="-1"/>
          <w:sz w:val="24"/>
        </w:rPr>
        <w:t xml:space="preserve"> </w:t>
      </w:r>
      <w:r>
        <w:rPr>
          <w:sz w:val="24"/>
        </w:rPr>
        <w:t>improvement</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benefit related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changed</w:t>
      </w:r>
      <w:r>
        <w:rPr>
          <w:spacing w:val="-1"/>
          <w:sz w:val="24"/>
        </w:rPr>
        <w:t xml:space="preserve"> </w:t>
      </w:r>
      <w:r>
        <w:rPr>
          <w:sz w:val="24"/>
        </w:rPr>
        <w:t xml:space="preserve">cost </w:t>
      </w:r>
      <w:r>
        <w:rPr>
          <w:spacing w:val="-2"/>
          <w:sz w:val="24"/>
        </w:rPr>
        <w:t>sharing.</w:t>
      </w:r>
    </w:p>
    <w:p>
      <w:pPr>
        <w:pStyle w:val="BodyText"/>
        <w:spacing w:before="120"/>
        <w:ind w:left="1224" w:right="1481"/>
      </w:pPr>
      <w:r>
        <w:t>Unlike</w:t>
      </w:r>
      <w:r>
        <w:rPr>
          <w:spacing w:val="-4"/>
        </w:rPr>
        <w:t xml:space="preserve"> </w:t>
      </w:r>
      <w:r>
        <w:t>the</w:t>
      </w:r>
      <w:r>
        <w:rPr>
          <w:spacing w:val="-5"/>
        </w:rPr>
        <w:t xml:space="preserve"> </w:t>
      </w:r>
      <w:r>
        <w:t>actuarial</w:t>
      </w:r>
      <w:r>
        <w:rPr>
          <w:spacing w:val="-4"/>
        </w:rPr>
        <w:t xml:space="preserve"> </w:t>
      </w:r>
      <w:r>
        <w:t>swapping</w:t>
      </w:r>
      <w:r>
        <w:rPr>
          <w:spacing w:val="-4"/>
        </w:rPr>
        <w:t xml:space="preserve"> </w:t>
      </w:r>
      <w:r>
        <w:t>flexibility,</w:t>
      </w:r>
      <w:r>
        <w:rPr>
          <w:spacing w:val="-4"/>
        </w:rPr>
        <w:t xml:space="preserve"> </w:t>
      </w:r>
      <w:r>
        <w:t>this</w:t>
      </w:r>
      <w:r>
        <w:rPr>
          <w:spacing w:val="-5"/>
        </w:rPr>
        <w:t xml:space="preserve"> </w:t>
      </w:r>
      <w:r>
        <w:t>customization</w:t>
      </w:r>
      <w:r>
        <w:rPr>
          <w:spacing w:val="-2"/>
        </w:rPr>
        <w:t xml:space="preserve"> </w:t>
      </w:r>
      <w:r>
        <w:t>may</w:t>
      </w:r>
      <w:r>
        <w:rPr>
          <w:spacing w:val="-5"/>
        </w:rPr>
        <w:t xml:space="preserve"> </w:t>
      </w:r>
      <w:r>
        <w:t>apply</w:t>
      </w:r>
      <w:r>
        <w:rPr>
          <w:spacing w:val="-4"/>
        </w:rPr>
        <w:t xml:space="preserve"> </w:t>
      </w:r>
      <w:r>
        <w:t>to</w:t>
      </w:r>
      <w:r>
        <w:rPr>
          <w:spacing w:val="-4"/>
        </w:rPr>
        <w:t xml:space="preserve"> </w:t>
      </w:r>
      <w:r>
        <w:t>both</w:t>
      </w:r>
      <w:r>
        <w:rPr>
          <w:spacing w:val="-4"/>
        </w:rPr>
        <w:t xml:space="preserve"> </w:t>
      </w:r>
      <w:r>
        <w:t>covered and non-covered Medicare benefits.</w:t>
      </w:r>
    </w:p>
    <w:p>
      <w:pPr>
        <w:pStyle w:val="BodyText"/>
        <w:spacing w:before="120"/>
        <w:ind w:right="1481"/>
      </w:pPr>
      <w:r>
        <w:t>An</w:t>
      </w:r>
      <w:r>
        <w:rPr>
          <w:spacing w:val="-3"/>
        </w:rPr>
        <w:t xml:space="preserve"> </w:t>
      </w:r>
      <w:r>
        <w:t>MAO</w:t>
      </w:r>
      <w:r>
        <w:rPr>
          <w:spacing w:val="-3"/>
        </w:rPr>
        <w:t xml:space="preserve"> </w:t>
      </w:r>
      <w:r>
        <w:t>must</w:t>
      </w:r>
      <w:r>
        <w:rPr>
          <w:spacing w:val="-1"/>
        </w:rPr>
        <w:t xml:space="preserve"> </w:t>
      </w:r>
      <w:r>
        <w:t>retain</w:t>
      </w:r>
      <w:r>
        <w:rPr>
          <w:spacing w:val="-2"/>
        </w:rPr>
        <w:t xml:space="preserve"> </w:t>
      </w:r>
      <w:r>
        <w:t>in</w:t>
      </w:r>
      <w:r>
        <w:rPr>
          <w:spacing w:val="-1"/>
        </w:rPr>
        <w:t xml:space="preserve"> </w:t>
      </w:r>
      <w:r>
        <w:t>its</w:t>
      </w:r>
      <w:r>
        <w:rPr>
          <w:spacing w:val="-2"/>
        </w:rPr>
        <w:t xml:space="preserve"> </w:t>
      </w:r>
      <w:r>
        <w:t>files,</w:t>
      </w:r>
      <w:r>
        <w:rPr>
          <w:spacing w:val="-2"/>
        </w:rPr>
        <w:t xml:space="preserve"> </w:t>
      </w:r>
      <w:r>
        <w:t>but</w:t>
      </w:r>
      <w:r>
        <w:rPr>
          <w:spacing w:val="-2"/>
        </w:rPr>
        <w:t xml:space="preserve"> </w:t>
      </w:r>
      <w:r>
        <w:t>not</w:t>
      </w:r>
      <w:r>
        <w:rPr>
          <w:spacing w:val="-2"/>
        </w:rPr>
        <w:t xml:space="preserve"> </w:t>
      </w:r>
      <w:r>
        <w:t>upload</w:t>
      </w:r>
      <w:r>
        <w:rPr>
          <w:spacing w:val="-2"/>
        </w:rPr>
        <w:t xml:space="preserve"> </w:t>
      </w:r>
      <w:r>
        <w:t>to</w:t>
      </w:r>
      <w:r>
        <w:rPr>
          <w:spacing w:val="-5"/>
        </w:rPr>
        <w:t xml:space="preserve"> </w:t>
      </w:r>
      <w:r>
        <w:t>HPMS,</w:t>
      </w:r>
      <w:r>
        <w:rPr>
          <w:spacing w:val="-2"/>
        </w:rPr>
        <w:t xml:space="preserve"> </w:t>
      </w:r>
      <w:r>
        <w:t>a</w:t>
      </w:r>
      <w:r>
        <w:rPr>
          <w:spacing w:val="-3"/>
        </w:rPr>
        <w:t xml:space="preserve"> </w:t>
      </w:r>
      <w:r>
        <w:t>package</w:t>
      </w:r>
      <w:r>
        <w:rPr>
          <w:spacing w:val="-3"/>
        </w:rPr>
        <w:t xml:space="preserve"> </w:t>
      </w:r>
      <w:r>
        <w:t>of</w:t>
      </w:r>
      <w:r>
        <w:rPr>
          <w:spacing w:val="-2"/>
        </w:rPr>
        <w:t xml:space="preserve"> </w:t>
      </w:r>
      <w:r>
        <w:t>documents</w:t>
      </w:r>
      <w:r>
        <w:rPr>
          <w:spacing w:val="-3"/>
        </w:rPr>
        <w:t xml:space="preserve"> </w:t>
      </w:r>
      <w:r>
        <w:t xml:space="preserve">with computations supporting the proposed changes under these two types of allowable </w:t>
      </w:r>
      <w:r>
        <w:rPr>
          <w:spacing w:val="-2"/>
        </w:rPr>
        <w:t>customization.</w:t>
      </w:r>
    </w:p>
    <w:p>
      <w:pPr>
        <w:pStyle w:val="BodyText"/>
        <w:spacing w:before="120"/>
        <w:ind w:right="2133"/>
      </w:pPr>
      <w:r>
        <w:t>For</w:t>
      </w:r>
      <w:r>
        <w:rPr>
          <w:spacing w:val="-4"/>
        </w:rPr>
        <w:t xml:space="preserve"> </w:t>
      </w:r>
      <w:r>
        <w:t>more</w:t>
      </w:r>
      <w:r>
        <w:rPr>
          <w:spacing w:val="-5"/>
        </w:rPr>
        <w:t xml:space="preserve"> </w:t>
      </w:r>
      <w:r>
        <w:t>information</w:t>
      </w:r>
      <w:r>
        <w:rPr>
          <w:spacing w:val="-4"/>
        </w:rPr>
        <w:t xml:space="preserve"> </w:t>
      </w:r>
      <w:r>
        <w:t>on</w:t>
      </w:r>
      <w:r>
        <w:rPr>
          <w:spacing w:val="-1"/>
        </w:rPr>
        <w:t xml:space="preserve"> </w:t>
      </w:r>
      <w:r>
        <w:t>employer/union</w:t>
      </w:r>
      <w:r>
        <w:rPr>
          <w:spacing w:val="-4"/>
        </w:rPr>
        <w:t xml:space="preserve"> </w:t>
      </w:r>
      <w:r>
        <w:t>group</w:t>
      </w:r>
      <w:r>
        <w:rPr>
          <w:spacing w:val="-4"/>
        </w:rPr>
        <w:t xml:space="preserve"> </w:t>
      </w:r>
      <w:r>
        <w:t>sponsorship</w:t>
      </w:r>
      <w:r>
        <w:rPr>
          <w:spacing w:val="-4"/>
        </w:rPr>
        <w:t xml:space="preserve"> </w:t>
      </w:r>
      <w:r>
        <w:t>of</w:t>
      </w:r>
      <w:r>
        <w:rPr>
          <w:spacing w:val="-4"/>
        </w:rPr>
        <w:t xml:space="preserve"> </w:t>
      </w:r>
      <w:r>
        <w:t>individual</w:t>
      </w:r>
      <w:r>
        <w:rPr>
          <w:spacing w:val="-4"/>
        </w:rPr>
        <w:t xml:space="preserve"> </w:t>
      </w:r>
      <w:r>
        <w:t>MA</w:t>
      </w:r>
      <w:r>
        <w:rPr>
          <w:spacing w:val="-5"/>
        </w:rPr>
        <w:t xml:space="preserve"> </w:t>
      </w:r>
      <w:r>
        <w:t>plans,</w:t>
      </w:r>
      <w:r>
        <w:rPr>
          <w:spacing w:val="-4"/>
        </w:rPr>
        <w:t xml:space="preserve"> </w:t>
      </w:r>
      <w:r>
        <w:t xml:space="preserve">see Chapter 9 of the </w:t>
      </w:r>
      <w:r>
        <w:rPr>
          <w:i/>
        </w:rPr>
        <w:t xml:space="preserve">Medicare Managed Care Manual </w:t>
      </w:r>
      <w:r>
        <w:t xml:space="preserve">(MMCM) at </w:t>
      </w:r>
      <w:hyperlink r:id="rId16">
        <w:r>
          <w:rPr>
            <w:color w:val="0000FF"/>
            <w:u w:val="single" w:color="0000FF"/>
          </w:rPr>
          <w:t>https://www.cms.gov/</w:t>
        </w:r>
      </w:hyperlink>
      <w:r>
        <w:rPr>
          <w:color w:val="0000FF"/>
          <w:u w:val="none"/>
        </w:rPr>
        <w:t xml:space="preserve"> </w:t>
      </w:r>
      <w:hyperlink r:id="rId16">
        <w:r>
          <w:rPr>
            <w:color w:val="0000FF"/>
            <w:spacing w:val="-2"/>
            <w:u w:val="single" w:color="0000FF"/>
          </w:rPr>
          <w:t>Regulations-and-Guidance/Guidance/Manuals/Internet-Only-Manuals-IOMs-Items/</w:t>
        </w:r>
      </w:hyperlink>
      <w:r>
        <w:rPr>
          <w:color w:val="0000FF"/>
          <w:spacing w:val="-2"/>
          <w:u w:val="none"/>
        </w:rPr>
        <w:t xml:space="preserve"> </w:t>
      </w:r>
      <w:hyperlink r:id="rId16">
        <w:r>
          <w:rPr>
            <w:color w:val="0000FF"/>
            <w:spacing w:val="-2"/>
            <w:u w:val="single" w:color="0000FF"/>
          </w:rPr>
          <w:t>CMS019326</w:t>
        </w:r>
      </w:hyperlink>
      <w:r>
        <w:rPr>
          <w:spacing w:val="-2"/>
          <w:u w:val="none"/>
        </w:rPr>
        <w:t>.</w:t>
      </w:r>
    </w:p>
    <w:p>
      <w:pPr>
        <w:pStyle w:val="BodyText"/>
        <w:spacing w:after="0"/>
        <w:sectPr>
          <w:headerReference w:type="default" r:id="rId48"/>
          <w:footerReference w:type="default" r:id="rId49"/>
          <w:pgSz w:w="12240" w:h="15840"/>
          <w:pgMar w:top="960" w:right="0" w:bottom="940" w:left="1080" w:header="727" w:footer="747"/>
          <w:cols w:space="720"/>
        </w:sectPr>
      </w:pPr>
    </w:p>
    <w:p>
      <w:pPr>
        <w:pStyle w:val="BodyText"/>
        <w:spacing w:before="144"/>
        <w:ind w:left="0"/>
        <w:rPr>
          <w:sz w:val="28"/>
        </w:rPr>
      </w:pPr>
    </w:p>
    <w:p>
      <w:pPr>
        <w:pStyle w:val="Heading1"/>
        <w:rPr>
          <w:u w:val="none"/>
        </w:rPr>
      </w:pPr>
      <w:bookmarkStart w:id="356" w:name="Appendix E – Rebate Reallocation and Pre"/>
      <w:bookmarkEnd w:id="356"/>
      <w:bookmarkStart w:id="357" w:name="_bookmark95"/>
      <w:bookmarkEnd w:id="357"/>
      <w:r>
        <w:rPr>
          <w:spacing w:val="-50"/>
          <w:u w:val="single"/>
        </w:rPr>
        <w:t xml:space="preserve"> </w:t>
      </w:r>
      <w:r>
        <w:rPr>
          <w:u w:val="single"/>
        </w:rPr>
        <w:t>APPENDIX</w:t>
      </w:r>
      <w:r>
        <w:rPr>
          <w:spacing w:val="-7"/>
          <w:u w:val="single"/>
        </w:rPr>
        <w:t xml:space="preserve"> </w:t>
      </w:r>
      <w:r>
        <w:rPr>
          <w:u w:val="single"/>
        </w:rPr>
        <w:t>E</w:t>
      </w:r>
      <w:r>
        <w:rPr>
          <w:spacing w:val="-8"/>
          <w:u w:val="single"/>
        </w:rPr>
        <w:t xml:space="preserve"> </w:t>
      </w:r>
      <w:r>
        <w:rPr>
          <w:u w:val="single"/>
        </w:rPr>
        <w:t>–</w:t>
      </w:r>
      <w:r>
        <w:rPr>
          <w:spacing w:val="-8"/>
          <w:u w:val="single"/>
        </w:rPr>
        <w:t xml:space="preserve"> </w:t>
      </w:r>
      <w:r>
        <w:rPr>
          <w:u w:val="single"/>
        </w:rPr>
        <w:t>REBATE</w:t>
      </w:r>
      <w:r>
        <w:rPr>
          <w:spacing w:val="-9"/>
          <w:u w:val="single"/>
        </w:rPr>
        <w:t xml:space="preserve"> </w:t>
      </w:r>
      <w:r>
        <w:rPr>
          <w:u w:val="single"/>
        </w:rPr>
        <w:t>REALLOCATION</w:t>
      </w:r>
      <w:r>
        <w:rPr>
          <w:spacing w:val="-7"/>
          <w:u w:val="single"/>
        </w:rPr>
        <w:t xml:space="preserve"> </w:t>
      </w:r>
      <w:r>
        <w:rPr>
          <w:u w:val="single"/>
        </w:rPr>
        <w:t>AND</w:t>
      </w:r>
      <w:r>
        <w:rPr>
          <w:spacing w:val="-7"/>
          <w:u w:val="single"/>
        </w:rPr>
        <w:t xml:space="preserve"> </w:t>
      </w:r>
      <w:r>
        <w:rPr>
          <w:u w:val="single"/>
        </w:rPr>
        <w:t>PREMIUM</w:t>
      </w:r>
      <w:r>
        <w:rPr>
          <w:spacing w:val="-5"/>
          <w:u w:val="single"/>
        </w:rPr>
        <w:t xml:space="preserve"> </w:t>
      </w:r>
      <w:r>
        <w:rPr>
          <w:spacing w:val="-2"/>
          <w:u w:val="single"/>
        </w:rPr>
        <w:t>ROUNDING</w:t>
      </w:r>
      <w:r>
        <w:rPr>
          <w:spacing w:val="40"/>
          <w:u w:val="single"/>
        </w:rPr>
        <w:t xml:space="preserve"> </w:t>
      </w:r>
    </w:p>
    <w:p>
      <w:pPr>
        <w:pStyle w:val="BodyText"/>
        <w:spacing w:before="271"/>
        <w:ind w:right="1481"/>
      </w:pPr>
      <w:r>
        <w:t>MAOs may resubmit bids during the rebate reallocation period to reallocate MA rebates for certain</w:t>
      </w:r>
      <w:r>
        <w:rPr>
          <w:spacing w:val="-3"/>
        </w:rPr>
        <w:t xml:space="preserve"> </w:t>
      </w:r>
      <w:r>
        <w:t>bids</w:t>
      </w:r>
      <w:r>
        <w:rPr>
          <w:spacing w:val="-3"/>
        </w:rPr>
        <w:t xml:space="preserve"> </w:t>
      </w:r>
      <w:r>
        <w:t>and,</w:t>
      </w:r>
      <w:r>
        <w:rPr>
          <w:spacing w:val="-3"/>
        </w:rPr>
        <w:t xml:space="preserve"> </w:t>
      </w:r>
      <w:r>
        <w:t>in</w:t>
      </w:r>
      <w:r>
        <w:rPr>
          <w:spacing w:val="-3"/>
        </w:rPr>
        <w:t xml:space="preserve"> </w:t>
      </w:r>
      <w:r>
        <w:t>most</w:t>
      </w:r>
      <w:r>
        <w:rPr>
          <w:spacing w:val="-3"/>
        </w:rPr>
        <w:t xml:space="preserve"> </w:t>
      </w:r>
      <w:r>
        <w:t>cases,</w:t>
      </w:r>
      <w:r>
        <w:rPr>
          <w:spacing w:val="-3"/>
        </w:rPr>
        <w:t xml:space="preserve"> </w:t>
      </w:r>
      <w:r>
        <w:t>achieve</w:t>
      </w:r>
      <w:r>
        <w:rPr>
          <w:spacing w:val="-4"/>
        </w:rPr>
        <w:t xml:space="preserve"> </w:t>
      </w:r>
      <w:r>
        <w:t>the</w:t>
      </w:r>
      <w:r>
        <w:rPr>
          <w:spacing w:val="-4"/>
        </w:rPr>
        <w:t xml:space="preserve"> </w:t>
      </w:r>
      <w:r>
        <w:t>target plan</w:t>
      </w:r>
      <w:r>
        <w:rPr>
          <w:spacing w:val="-3"/>
        </w:rPr>
        <w:t xml:space="preserve"> </w:t>
      </w:r>
      <w:r>
        <w:t>intention</w:t>
      </w:r>
      <w:r>
        <w:rPr>
          <w:spacing w:val="-3"/>
        </w:rPr>
        <w:t xml:space="preserve"> </w:t>
      </w:r>
      <w:r>
        <w:t>for</w:t>
      </w:r>
      <w:r>
        <w:rPr>
          <w:spacing w:val="-4"/>
        </w:rPr>
        <w:t xml:space="preserve"> </w:t>
      </w:r>
      <w:r>
        <w:t>their</w:t>
      </w:r>
      <w:r>
        <w:rPr>
          <w:spacing w:val="-3"/>
        </w:rPr>
        <w:t xml:space="preserve"> </w:t>
      </w:r>
      <w:r>
        <w:t>Part</w:t>
      </w:r>
      <w:r>
        <w:rPr>
          <w:spacing w:val="-3"/>
        </w:rPr>
        <w:t xml:space="preserve"> </w:t>
      </w:r>
      <w:r>
        <w:t>D</w:t>
      </w:r>
      <w:r>
        <w:rPr>
          <w:spacing w:val="-4"/>
        </w:rPr>
        <w:t xml:space="preserve"> </w:t>
      </w:r>
      <w:r>
        <w:t>basic</w:t>
      </w:r>
      <w:r>
        <w:rPr>
          <w:spacing w:val="-3"/>
        </w:rPr>
        <w:t xml:space="preserve"> </w:t>
      </w:r>
      <w:r>
        <w:t>premium.</w:t>
      </w:r>
    </w:p>
    <w:p>
      <w:pPr>
        <w:pStyle w:val="BodyText"/>
        <w:spacing w:before="120"/>
        <w:ind w:right="2094"/>
      </w:pPr>
      <w:r>
        <w:t>MAOs</w:t>
      </w:r>
      <w:r>
        <w:rPr>
          <w:spacing w:val="-4"/>
        </w:rPr>
        <w:t xml:space="preserve"> </w:t>
      </w:r>
      <w:r>
        <w:t>have</w:t>
      </w:r>
      <w:r>
        <w:rPr>
          <w:spacing w:val="-4"/>
        </w:rPr>
        <w:t xml:space="preserve"> </w:t>
      </w:r>
      <w:r>
        <w:t>two</w:t>
      </w:r>
      <w:r>
        <w:rPr>
          <w:spacing w:val="-3"/>
        </w:rPr>
        <w:t xml:space="preserve"> </w:t>
      </w:r>
      <w:r>
        <w:t>options</w:t>
      </w:r>
      <w:r>
        <w:rPr>
          <w:spacing w:val="-1"/>
        </w:rPr>
        <w:t xml:space="preserve"> </w:t>
      </w:r>
      <w:r>
        <w:t>for</w:t>
      </w:r>
      <w:r>
        <w:rPr>
          <w:spacing w:val="-5"/>
        </w:rPr>
        <w:t xml:space="preserve"> </w:t>
      </w:r>
      <w:r>
        <w:t>the</w:t>
      </w:r>
      <w:r>
        <w:rPr>
          <w:spacing w:val="-3"/>
        </w:rPr>
        <w:t xml:space="preserve"> </w:t>
      </w:r>
      <w:r>
        <w:t>target</w:t>
      </w:r>
      <w:r>
        <w:rPr>
          <w:spacing w:val="-2"/>
        </w:rPr>
        <w:t xml:space="preserve"> </w:t>
      </w:r>
      <w:r>
        <w:t>plan</w:t>
      </w:r>
      <w:r>
        <w:rPr>
          <w:spacing w:val="-3"/>
        </w:rPr>
        <w:t xml:space="preserve"> </w:t>
      </w:r>
      <w:r>
        <w:t>intention</w:t>
      </w:r>
      <w:r>
        <w:rPr>
          <w:spacing w:val="-2"/>
        </w:rPr>
        <w:t xml:space="preserve"> </w:t>
      </w:r>
      <w:r>
        <w:t>of</w:t>
      </w:r>
      <w:r>
        <w:rPr>
          <w:spacing w:val="-3"/>
        </w:rPr>
        <w:t xml:space="preserve"> </w:t>
      </w:r>
      <w:r>
        <w:t>their</w:t>
      </w:r>
      <w:r>
        <w:rPr>
          <w:spacing w:val="-4"/>
        </w:rPr>
        <w:t xml:space="preserve"> </w:t>
      </w:r>
      <w:r>
        <w:t>Part</w:t>
      </w:r>
      <w:r>
        <w:rPr>
          <w:spacing w:val="-3"/>
        </w:rPr>
        <w:t xml:space="preserve"> </w:t>
      </w:r>
      <w:r>
        <w:t>D</w:t>
      </w:r>
      <w:r>
        <w:rPr>
          <w:spacing w:val="-4"/>
        </w:rPr>
        <w:t xml:space="preserve"> </w:t>
      </w:r>
      <w:r>
        <w:t>basic</w:t>
      </w:r>
      <w:r>
        <w:rPr>
          <w:spacing w:val="-3"/>
        </w:rPr>
        <w:t xml:space="preserve"> </w:t>
      </w:r>
      <w:r>
        <w:t>premium</w:t>
      </w:r>
      <w:r>
        <w:rPr>
          <w:spacing w:val="-3"/>
        </w:rPr>
        <w:t xml:space="preserve"> </w:t>
      </w:r>
      <w:r>
        <w:t>in</w:t>
      </w:r>
      <w:r>
        <w:rPr>
          <w:spacing w:val="-3"/>
        </w:rPr>
        <w:t xml:space="preserve"> </w:t>
      </w:r>
      <w:r>
        <w:t>the MA-PD bids. They can set it equal to—</w:t>
      </w:r>
    </w:p>
    <w:p>
      <w:pPr>
        <w:pStyle w:val="ListParagraph"/>
        <w:numPr>
          <w:ilvl w:val="0"/>
          <w:numId w:val="27"/>
        </w:numPr>
        <w:tabs>
          <w:tab w:val="left" w:pos="1224"/>
        </w:tabs>
        <w:spacing w:before="120" w:after="0" w:line="240" w:lineRule="auto"/>
        <w:ind w:left="1224" w:right="1929" w:hanging="360"/>
        <w:jc w:val="left"/>
        <w:rPr>
          <w:sz w:val="24"/>
        </w:rPr>
      </w:pPr>
      <w:r>
        <w:rPr>
          <w:sz w:val="24"/>
        </w:rPr>
        <w:t>The</w:t>
      </w:r>
      <w:r>
        <w:rPr>
          <w:spacing w:val="-4"/>
          <w:sz w:val="24"/>
        </w:rPr>
        <w:t xml:space="preserve"> </w:t>
      </w:r>
      <w:r>
        <w:rPr>
          <w:sz w:val="24"/>
        </w:rPr>
        <w:t>basic</w:t>
      </w:r>
      <w:r>
        <w:rPr>
          <w:spacing w:val="-4"/>
          <w:sz w:val="24"/>
        </w:rPr>
        <w:t xml:space="preserve"> </w:t>
      </w:r>
      <w:r>
        <w:rPr>
          <w:sz w:val="24"/>
        </w:rPr>
        <w:t>Part</w:t>
      </w:r>
      <w:r>
        <w:rPr>
          <w:spacing w:val="-3"/>
          <w:sz w:val="24"/>
        </w:rPr>
        <w:t xml:space="preserve"> </w:t>
      </w:r>
      <w:r>
        <w:rPr>
          <w:sz w:val="24"/>
        </w:rPr>
        <w:t>D</w:t>
      </w:r>
      <w:r>
        <w:rPr>
          <w:spacing w:val="-3"/>
          <w:sz w:val="24"/>
        </w:rPr>
        <w:t xml:space="preserve"> </w:t>
      </w:r>
      <w:r>
        <w:rPr>
          <w:sz w:val="24"/>
        </w:rPr>
        <w:t>premium</w:t>
      </w:r>
      <w:r>
        <w:rPr>
          <w:spacing w:val="-3"/>
          <w:sz w:val="24"/>
        </w:rPr>
        <w:t xml:space="preserve"> </w:t>
      </w:r>
      <w:r>
        <w:rPr>
          <w:sz w:val="24"/>
        </w:rPr>
        <w:t>net</w:t>
      </w:r>
      <w:r>
        <w:rPr>
          <w:spacing w:val="-3"/>
          <w:sz w:val="24"/>
        </w:rPr>
        <w:t xml:space="preserve"> </w:t>
      </w:r>
      <w:r>
        <w:rPr>
          <w:sz w:val="24"/>
        </w:rPr>
        <w:t>of</w:t>
      </w:r>
      <w:r>
        <w:rPr>
          <w:spacing w:val="-4"/>
          <w:sz w:val="24"/>
        </w:rPr>
        <w:t xml:space="preserve"> </w:t>
      </w:r>
      <w:r>
        <w:rPr>
          <w:sz w:val="24"/>
        </w:rPr>
        <w:t>rebates</w:t>
      </w:r>
      <w:r>
        <w:rPr>
          <w:spacing w:val="-4"/>
          <w:sz w:val="24"/>
        </w:rPr>
        <w:t xml:space="preserve"> </w:t>
      </w:r>
      <w:r>
        <w:rPr>
          <w:sz w:val="24"/>
        </w:rPr>
        <w:t>(that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amount</w:t>
      </w:r>
      <w:r>
        <w:rPr>
          <w:spacing w:val="-3"/>
          <w:sz w:val="24"/>
        </w:rPr>
        <w:t xml:space="preserve"> </w:t>
      </w:r>
      <w:r>
        <w:rPr>
          <w:sz w:val="24"/>
        </w:rPr>
        <w:t>displayed</w:t>
      </w:r>
      <w:r>
        <w:rPr>
          <w:spacing w:val="-3"/>
          <w:sz w:val="24"/>
        </w:rPr>
        <w:t xml:space="preserve"> </w:t>
      </w:r>
      <w:r>
        <w:rPr>
          <w:sz w:val="24"/>
        </w:rPr>
        <w:t>in</w:t>
      </w:r>
      <w:r>
        <w:rPr>
          <w:spacing w:val="-3"/>
          <w:sz w:val="24"/>
        </w:rPr>
        <w:t xml:space="preserve"> </w:t>
      </w:r>
      <w:r>
        <w:rPr>
          <w:sz w:val="24"/>
        </w:rPr>
        <w:t>line</w:t>
      </w:r>
      <w:r>
        <w:rPr>
          <w:spacing w:val="-3"/>
          <w:sz w:val="24"/>
        </w:rPr>
        <w:t xml:space="preserve"> </w:t>
      </w:r>
      <w:r>
        <w:rPr>
          <w:sz w:val="24"/>
        </w:rPr>
        <w:t>7d</w:t>
      </w:r>
      <w:r>
        <w:rPr>
          <w:spacing w:val="-3"/>
          <w:sz w:val="24"/>
        </w:rPr>
        <w:t xml:space="preserve"> </w:t>
      </w:r>
      <w:r>
        <w:rPr>
          <w:sz w:val="24"/>
        </w:rPr>
        <w:t>of Worksheet 6, Section IIIC) as submitted in the initial June bid submission, or</w:t>
      </w:r>
    </w:p>
    <w:p>
      <w:pPr>
        <w:pStyle w:val="ListParagraph"/>
        <w:numPr>
          <w:ilvl w:val="0"/>
          <w:numId w:val="27"/>
        </w:numPr>
        <w:tabs>
          <w:tab w:val="left" w:pos="1224"/>
        </w:tabs>
        <w:spacing w:before="0" w:after="0" w:line="293" w:lineRule="exact"/>
        <w:ind w:left="1224" w:right="0" w:hanging="360"/>
        <w:jc w:val="left"/>
        <w:rPr>
          <w:sz w:val="24"/>
        </w:rPr>
      </w:pPr>
      <w:r>
        <w:rPr>
          <w:sz w:val="24"/>
        </w:rPr>
        <w:t>The</w:t>
      </w:r>
      <w:r>
        <w:rPr>
          <w:spacing w:val="-3"/>
          <w:sz w:val="24"/>
        </w:rPr>
        <w:t xml:space="preserve"> </w:t>
      </w:r>
      <w:r>
        <w:rPr>
          <w:sz w:val="24"/>
        </w:rPr>
        <w:t>low-income</w:t>
      </w:r>
      <w:r>
        <w:rPr>
          <w:spacing w:val="-2"/>
          <w:sz w:val="24"/>
        </w:rPr>
        <w:t xml:space="preserve"> </w:t>
      </w:r>
      <w:r>
        <w:rPr>
          <w:sz w:val="24"/>
        </w:rPr>
        <w:t>premium</w:t>
      </w:r>
      <w:r>
        <w:rPr>
          <w:spacing w:val="-1"/>
          <w:sz w:val="24"/>
        </w:rPr>
        <w:t xml:space="preserve"> </w:t>
      </w:r>
      <w:r>
        <w:rPr>
          <w:sz w:val="24"/>
        </w:rPr>
        <w:t>subsidy</w:t>
      </w:r>
      <w:r>
        <w:rPr>
          <w:spacing w:val="-1"/>
          <w:sz w:val="24"/>
        </w:rPr>
        <w:t xml:space="preserve"> </w:t>
      </w:r>
      <w:r>
        <w:rPr>
          <w:sz w:val="24"/>
        </w:rPr>
        <w:t>amount</w:t>
      </w:r>
      <w:r>
        <w:rPr>
          <w:spacing w:val="2"/>
          <w:sz w:val="24"/>
        </w:rPr>
        <w:t xml:space="preserve"> </w:t>
      </w:r>
      <w:r>
        <w:rPr>
          <w:spacing w:val="-2"/>
          <w:sz w:val="24"/>
        </w:rPr>
        <w:t>(LIPSA).</w:t>
      </w:r>
    </w:p>
    <w:p>
      <w:pPr>
        <w:pStyle w:val="BodyText"/>
        <w:spacing w:before="119"/>
        <w:ind w:right="1464"/>
      </w:pPr>
      <w:r>
        <w:t>This</w:t>
      </w:r>
      <w:r>
        <w:rPr>
          <w:spacing w:val="-3"/>
        </w:rPr>
        <w:t xml:space="preserve"> </w:t>
      </w:r>
      <w:r>
        <w:t>choice</w:t>
      </w:r>
      <w:r>
        <w:rPr>
          <w:spacing w:val="-3"/>
        </w:rPr>
        <w:t xml:space="preserve"> </w:t>
      </w:r>
      <w:r>
        <w:t>is</w:t>
      </w:r>
      <w:r>
        <w:rPr>
          <w:spacing w:val="-3"/>
        </w:rPr>
        <w:t xml:space="preserve"> </w:t>
      </w:r>
      <w:r>
        <w:t>designated on</w:t>
      </w:r>
      <w:r>
        <w:rPr>
          <w:spacing w:val="-2"/>
        </w:rPr>
        <w:t xml:space="preserve"> </w:t>
      </w:r>
      <w:r>
        <w:t>line</w:t>
      </w:r>
      <w:r>
        <w:rPr>
          <w:spacing w:val="-3"/>
        </w:rPr>
        <w:t xml:space="preserve"> </w:t>
      </w:r>
      <w:r>
        <w:t>10</w:t>
      </w:r>
      <w:r>
        <w:rPr>
          <w:spacing w:val="-2"/>
        </w:rPr>
        <w:t xml:space="preserve"> </w:t>
      </w:r>
      <w:r>
        <w:t>of</w:t>
      </w:r>
      <w:r>
        <w:rPr>
          <w:spacing w:val="-2"/>
        </w:rPr>
        <w:t xml:space="preserve"> </w:t>
      </w:r>
      <w:r>
        <w:t>MA</w:t>
      </w:r>
      <w:r>
        <w:rPr>
          <w:spacing w:val="-3"/>
        </w:rPr>
        <w:t xml:space="preserve"> </w:t>
      </w:r>
      <w:r>
        <w:t>BPT</w:t>
      </w:r>
      <w:r>
        <w:rPr>
          <w:spacing w:val="-2"/>
        </w:rPr>
        <w:t xml:space="preserve"> </w:t>
      </w:r>
      <w:r>
        <w:t>Worksheet</w:t>
      </w:r>
      <w:r>
        <w:rPr>
          <w:spacing w:val="-2"/>
        </w:rPr>
        <w:t xml:space="preserve"> </w:t>
      </w:r>
      <w:r>
        <w:t>6</w:t>
      </w:r>
      <w:r>
        <w:rPr>
          <w:spacing w:val="-2"/>
        </w:rPr>
        <w:t xml:space="preserve"> </w:t>
      </w:r>
      <w:r>
        <w:t>Section</w:t>
      </w:r>
      <w:r>
        <w:rPr>
          <w:spacing w:val="-2"/>
        </w:rPr>
        <w:t xml:space="preserve"> </w:t>
      </w:r>
      <w:r>
        <w:t>IIIC;</w:t>
      </w:r>
      <w:r>
        <w:rPr>
          <w:spacing w:val="-2"/>
        </w:rPr>
        <w:t xml:space="preserve"> </w:t>
      </w:r>
      <w:r>
        <w:t>it</w:t>
      </w:r>
      <w:r>
        <w:rPr>
          <w:spacing w:val="-2"/>
        </w:rPr>
        <w:t xml:space="preserve"> </w:t>
      </w:r>
      <w:r>
        <w:t>is</w:t>
      </w:r>
      <w:r>
        <w:rPr>
          <w:spacing w:val="-3"/>
        </w:rPr>
        <w:t xml:space="preserve"> </w:t>
      </w:r>
      <w:r>
        <w:t>called</w:t>
      </w:r>
      <w:r>
        <w:rPr>
          <w:spacing w:val="-2"/>
        </w:rPr>
        <w:t xml:space="preserve"> </w:t>
      </w:r>
      <w:r>
        <w:t>the</w:t>
      </w:r>
      <w:r>
        <w:rPr>
          <w:spacing w:val="-2"/>
        </w:rPr>
        <w:t xml:space="preserve"> </w:t>
      </w:r>
      <w:r>
        <w:t>“plan intention for target PD basic premium”. MAOs provide each bid’s plan intention for the Part D basic premium in the initial June bid submission. The plan intention for the Part D basic premium does not apply to an MA-only plan, since this plan type does not submit a Part D</w:t>
      </w:r>
      <w:r>
        <w:rPr>
          <w:spacing w:val="40"/>
        </w:rPr>
        <w:t xml:space="preserve"> </w:t>
      </w:r>
      <w:r>
        <w:rPr>
          <w:spacing w:val="-4"/>
        </w:rPr>
        <w:t>BPT.</w:t>
      </w:r>
    </w:p>
    <w:p>
      <w:pPr>
        <w:pStyle w:val="BodyText"/>
        <w:spacing w:before="120"/>
        <w:ind w:right="1481"/>
      </w:pPr>
      <w:r>
        <w:t>CMS will announce the exact dates of the rebate reallocation period when the MA regional benchmarks and the Part D benchmarks (that is, the Part D national average monthly bid amount, the Part D base beneficiary premium, and the Part D regional LIPSA) are released. Consequently, MAOs are required to reallocate rebates for some MA bids, are permitted (but not required) for others, and are not permitted for certain bids, as indicated in this appendix. MAOs also may be permitted to use the rebate reallocation period to round the total plan premium</w:t>
      </w:r>
      <w:r>
        <w:rPr>
          <w:spacing w:val="-3"/>
        </w:rPr>
        <w:t xml:space="preserve"> </w:t>
      </w:r>
      <w:r>
        <w:t>to</w:t>
      </w:r>
      <w:r>
        <w:rPr>
          <w:spacing w:val="-3"/>
        </w:rPr>
        <w:t xml:space="preserve"> </w:t>
      </w:r>
      <w:r>
        <w:t>the</w:t>
      </w:r>
      <w:r>
        <w:rPr>
          <w:spacing w:val="-3"/>
        </w:rPr>
        <w:t xml:space="preserve"> </w:t>
      </w:r>
      <w:r>
        <w:t>nearest</w:t>
      </w:r>
      <w:r>
        <w:rPr>
          <w:spacing w:val="-3"/>
        </w:rPr>
        <w:t xml:space="preserve"> </w:t>
      </w:r>
      <w:r>
        <w:t>dollar</w:t>
      </w:r>
      <w:r>
        <w:rPr>
          <w:spacing w:val="-5"/>
        </w:rPr>
        <w:t xml:space="preserve"> </w:t>
      </w:r>
      <w:r>
        <w:t>in</w:t>
      </w:r>
      <w:r>
        <w:rPr>
          <w:spacing w:val="-3"/>
        </w:rPr>
        <w:t xml:space="preserve"> </w:t>
      </w:r>
      <w:r>
        <w:t>their</w:t>
      </w:r>
      <w:r>
        <w:rPr>
          <w:spacing w:val="-3"/>
        </w:rPr>
        <w:t xml:space="preserve"> </w:t>
      </w:r>
      <w:r>
        <w:t>MA</w:t>
      </w:r>
      <w:r>
        <w:rPr>
          <w:spacing w:val="-4"/>
        </w:rPr>
        <w:t xml:space="preserve"> </w:t>
      </w:r>
      <w:r>
        <w:t>BPTs,</w:t>
      </w:r>
      <w:r>
        <w:rPr>
          <w:spacing w:val="-3"/>
        </w:rPr>
        <w:t xml:space="preserve"> </w:t>
      </w:r>
      <w:r>
        <w:t>subject</w:t>
      </w:r>
      <w:r>
        <w:rPr>
          <w:spacing w:val="-3"/>
        </w:rPr>
        <w:t xml:space="preserve"> </w:t>
      </w:r>
      <w:r>
        <w:t>to</w:t>
      </w:r>
      <w:r>
        <w:rPr>
          <w:spacing w:val="-3"/>
        </w:rPr>
        <w:t xml:space="preserve"> </w:t>
      </w:r>
      <w:r>
        <w:t>the</w:t>
      </w:r>
      <w:r>
        <w:rPr>
          <w:spacing w:val="-3"/>
        </w:rPr>
        <w:t xml:space="preserve"> </w:t>
      </w:r>
      <w:r>
        <w:t>premium</w:t>
      </w:r>
      <w:r>
        <w:rPr>
          <w:spacing w:val="-3"/>
        </w:rPr>
        <w:t xml:space="preserve"> </w:t>
      </w:r>
      <w:r>
        <w:t>rounding</w:t>
      </w:r>
      <w:r>
        <w:rPr>
          <w:spacing w:val="-3"/>
        </w:rPr>
        <w:t xml:space="preserve"> </w:t>
      </w:r>
      <w:r>
        <w:t>rules</w:t>
      </w:r>
      <w:r>
        <w:rPr>
          <w:spacing w:val="-4"/>
        </w:rPr>
        <w:t xml:space="preserve"> </w:t>
      </w:r>
      <w:r>
        <w:t>in</w:t>
      </w:r>
      <w:r>
        <w:rPr>
          <w:spacing w:val="-3"/>
        </w:rPr>
        <w:t xml:space="preserve"> </w:t>
      </w:r>
      <w:r>
        <w:t xml:space="preserve">this </w:t>
      </w:r>
      <w:r>
        <w:rPr>
          <w:spacing w:val="-2"/>
        </w:rPr>
        <w:t>appendix.</w:t>
      </w:r>
    </w:p>
    <w:p>
      <w:pPr>
        <w:pStyle w:val="BodyText"/>
        <w:spacing w:before="46"/>
        <w:ind w:left="0"/>
      </w:pPr>
    </w:p>
    <w:p>
      <w:pPr>
        <w:pStyle w:val="Heading2"/>
        <w:numPr>
          <w:ilvl w:val="0"/>
          <w:numId w:val="26"/>
        </w:numPr>
        <w:tabs>
          <w:tab w:val="left" w:pos="690"/>
        </w:tabs>
        <w:spacing w:before="0" w:after="0" w:line="240" w:lineRule="auto"/>
        <w:ind w:left="690" w:right="0" w:hanging="186"/>
        <w:jc w:val="left"/>
      </w:pPr>
      <w:bookmarkStart w:id="358" w:name="I. Rebate Reallocation and Premium Round"/>
      <w:bookmarkEnd w:id="358"/>
      <w:bookmarkStart w:id="359" w:name="_bookmark96"/>
      <w:bookmarkEnd w:id="359"/>
      <w:r>
        <w:rPr>
          <w:smallCaps/>
        </w:rPr>
        <w:t>Rebate</w:t>
      </w:r>
      <w:r>
        <w:rPr>
          <w:smallCaps/>
          <w:spacing w:val="-9"/>
        </w:rPr>
        <w:t xml:space="preserve"> </w:t>
      </w:r>
      <w:r>
        <w:rPr>
          <w:smallCaps/>
        </w:rPr>
        <w:t>Reallocation</w:t>
      </w:r>
      <w:r>
        <w:rPr>
          <w:smallCaps/>
          <w:spacing w:val="-8"/>
        </w:rPr>
        <w:t xml:space="preserve"> </w:t>
      </w:r>
      <w:r>
        <w:rPr>
          <w:smallCaps/>
        </w:rPr>
        <w:t>and</w:t>
      </w:r>
      <w:r>
        <w:rPr>
          <w:smallCaps/>
          <w:spacing w:val="-10"/>
        </w:rPr>
        <w:t xml:space="preserve"> </w:t>
      </w:r>
      <w:r>
        <w:rPr>
          <w:smallCaps/>
        </w:rPr>
        <w:t>Premium</w:t>
      </w:r>
      <w:r>
        <w:rPr>
          <w:smallCaps/>
          <w:spacing w:val="-10"/>
        </w:rPr>
        <w:t xml:space="preserve"> </w:t>
      </w:r>
      <w:r>
        <w:rPr>
          <w:smallCaps/>
        </w:rPr>
        <w:t>Rounding</w:t>
      </w:r>
      <w:r>
        <w:rPr>
          <w:smallCaps/>
          <w:spacing w:val="-10"/>
        </w:rPr>
        <w:t xml:space="preserve"> </w:t>
      </w:r>
      <w:r>
        <w:rPr>
          <w:smallCaps/>
          <w:spacing w:val="-2"/>
        </w:rPr>
        <w:t>Permissibility</w:t>
      </w:r>
    </w:p>
    <w:p>
      <w:pPr>
        <w:pStyle w:val="BodyText"/>
        <w:spacing w:before="179"/>
        <w:ind w:right="1481"/>
      </w:pPr>
      <w:r>
        <w:t>MAOs may resubmit their MA-PD bids to reallocate rebates with the goal of achieving their target</w:t>
      </w:r>
      <w:r>
        <w:rPr>
          <w:spacing w:val="-3"/>
        </w:rPr>
        <w:t xml:space="preserve"> </w:t>
      </w:r>
      <w:r>
        <w:t>plan</w:t>
      </w:r>
      <w:r>
        <w:rPr>
          <w:spacing w:val="-3"/>
        </w:rPr>
        <w:t xml:space="preserve"> </w:t>
      </w:r>
      <w:r>
        <w:t>intention</w:t>
      </w:r>
      <w:r>
        <w:rPr>
          <w:spacing w:val="-3"/>
        </w:rPr>
        <w:t xml:space="preserve"> </w:t>
      </w:r>
      <w:r>
        <w:t>for</w:t>
      </w:r>
      <w:r>
        <w:rPr>
          <w:spacing w:val="-3"/>
        </w:rPr>
        <w:t xml:space="preserve"> </w:t>
      </w:r>
      <w:r>
        <w:t>the</w:t>
      </w:r>
      <w:r>
        <w:rPr>
          <w:spacing w:val="-3"/>
        </w:rPr>
        <w:t xml:space="preserve"> </w:t>
      </w:r>
      <w:r>
        <w:t>Part</w:t>
      </w:r>
      <w:r>
        <w:rPr>
          <w:spacing w:val="-3"/>
        </w:rPr>
        <w:t xml:space="preserve"> </w:t>
      </w:r>
      <w:r>
        <w:t>D</w:t>
      </w:r>
      <w:r>
        <w:rPr>
          <w:spacing w:val="-4"/>
        </w:rPr>
        <w:t xml:space="preserve"> </w:t>
      </w:r>
      <w:r>
        <w:t>basic</w:t>
      </w:r>
      <w:r>
        <w:rPr>
          <w:spacing w:val="-3"/>
        </w:rPr>
        <w:t xml:space="preserve"> </w:t>
      </w:r>
      <w:r>
        <w:t>premium.</w:t>
      </w:r>
      <w:r>
        <w:rPr>
          <w:spacing w:val="-3"/>
        </w:rPr>
        <w:t xml:space="preserve"> </w:t>
      </w:r>
      <w:r>
        <w:t>Some</w:t>
      </w:r>
      <w:r>
        <w:rPr>
          <w:spacing w:val="-4"/>
        </w:rPr>
        <w:t xml:space="preserve"> </w:t>
      </w:r>
      <w:r>
        <w:t>MAOs</w:t>
      </w:r>
      <w:r>
        <w:rPr>
          <w:spacing w:val="-4"/>
        </w:rPr>
        <w:t xml:space="preserve"> </w:t>
      </w:r>
      <w:r>
        <w:t>have</w:t>
      </w:r>
      <w:r>
        <w:rPr>
          <w:spacing w:val="-4"/>
        </w:rPr>
        <w:t xml:space="preserve"> </w:t>
      </w:r>
      <w:r>
        <w:t>MA-PD</w:t>
      </w:r>
      <w:r>
        <w:rPr>
          <w:spacing w:val="-4"/>
        </w:rPr>
        <w:t xml:space="preserve"> </w:t>
      </w:r>
      <w:r>
        <w:t>bids</w:t>
      </w:r>
      <w:r>
        <w:rPr>
          <w:spacing w:val="-4"/>
        </w:rPr>
        <w:t xml:space="preserve"> </w:t>
      </w:r>
      <w:r>
        <w:t>that</w:t>
      </w:r>
      <w:r>
        <w:rPr>
          <w:spacing w:val="-3"/>
        </w:rPr>
        <w:t xml:space="preserve"> </w:t>
      </w:r>
      <w:r>
        <w:t>require reallocation of rebates. The tables below summarize rebate reallocation permissibility during the rebate reallocation period for various plan types and Part D premium scenarios and shows where examples can be found in this appendix. Additionally, the tables indicate if premium rounding is permitted during the rebate reallocation period.</w:t>
      </w:r>
    </w:p>
    <w:p>
      <w:pPr>
        <w:pStyle w:val="BodyText"/>
        <w:spacing w:after="0"/>
        <w:sectPr>
          <w:headerReference w:type="default" r:id="rId50"/>
          <w:footerReference w:type="default" r:id="rId51"/>
          <w:pgSz w:w="12240" w:h="15840"/>
          <w:pgMar w:top="960" w:right="0" w:bottom="940" w:left="1080" w:header="727" w:footer="747"/>
          <w:cols w:space="720"/>
        </w:sectPr>
      </w:pPr>
    </w:p>
    <w:p>
      <w:pPr>
        <w:pStyle w:val="BodyText"/>
        <w:spacing w:before="225"/>
        <w:ind w:left="0"/>
        <w:rPr>
          <w:sz w:val="21"/>
        </w:rPr>
      </w:pPr>
    </w:p>
    <w:p>
      <w:pPr>
        <w:pStyle w:val="ListParagraph"/>
        <w:numPr>
          <w:ilvl w:val="1"/>
          <w:numId w:val="26"/>
        </w:numPr>
        <w:tabs>
          <w:tab w:val="left" w:pos="776"/>
        </w:tabs>
        <w:spacing w:before="0" w:after="0" w:line="240" w:lineRule="auto"/>
        <w:ind w:left="776" w:right="0" w:hanging="272"/>
        <w:jc w:val="left"/>
        <w:rPr>
          <w:rFonts w:ascii="Arial"/>
          <w:b/>
          <w:sz w:val="21"/>
        </w:rPr>
      </w:pPr>
      <w:bookmarkStart w:id="360" w:name="A. Non-RPPO MA-PD"/>
      <w:bookmarkEnd w:id="360"/>
      <w:r>
        <w:rPr>
          <w:rFonts w:ascii="Arial"/>
          <w:b/>
          <w:sz w:val="21"/>
        </w:rPr>
        <w:t>Non-RPPO</w:t>
      </w:r>
      <w:r>
        <w:rPr>
          <w:rFonts w:ascii="Arial"/>
          <w:b/>
          <w:spacing w:val="-14"/>
          <w:sz w:val="21"/>
        </w:rPr>
        <w:t xml:space="preserve"> </w:t>
      </w:r>
      <w:r>
        <w:rPr>
          <w:rFonts w:ascii="Arial"/>
          <w:b/>
          <w:sz w:val="21"/>
        </w:rPr>
        <w:t>MA-</w:t>
      </w:r>
      <w:r>
        <w:rPr>
          <w:rFonts w:ascii="Arial"/>
          <w:b/>
          <w:spacing w:val="-5"/>
          <w:sz w:val="21"/>
        </w:rPr>
        <w:t>PD</w:t>
      </w:r>
    </w:p>
    <w:p>
      <w:pPr>
        <w:pStyle w:val="BodyText"/>
        <w:spacing w:before="6"/>
        <w:ind w:left="0"/>
        <w:rPr>
          <w:rFonts w:ascii="Arial"/>
          <w:b/>
          <w:sz w:val="10"/>
        </w:rPr>
      </w:pPr>
    </w:p>
    <w:tbl>
      <w:tblPr>
        <w:tblStyle w:val="TableNormal"/>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1390"/>
        <w:gridCol w:w="1963"/>
        <w:gridCol w:w="1915"/>
        <w:gridCol w:w="1495"/>
        <w:gridCol w:w="1242"/>
        <w:gridCol w:w="1370"/>
      </w:tblGrid>
      <w:tr>
        <w:tblPrEx>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619"/>
          <w:jc w:val="left"/>
        </w:trPr>
        <w:tc>
          <w:tcPr>
            <w:tcW w:w="1099" w:type="dxa"/>
          </w:tcPr>
          <w:p>
            <w:pPr>
              <w:pStyle w:val="TableParagraph"/>
              <w:rPr>
                <w:rFonts w:ascii="Arial"/>
                <w:b/>
                <w:sz w:val="24"/>
              </w:rPr>
            </w:pPr>
          </w:p>
          <w:p>
            <w:pPr>
              <w:pStyle w:val="TableParagraph"/>
              <w:spacing w:before="118"/>
              <w:rPr>
                <w:rFonts w:ascii="Arial"/>
                <w:b/>
                <w:sz w:val="24"/>
              </w:rPr>
            </w:pPr>
          </w:p>
          <w:p>
            <w:pPr>
              <w:pStyle w:val="TableParagraph"/>
              <w:spacing w:before="1"/>
              <w:ind w:left="9" w:right="4"/>
              <w:jc w:val="center"/>
              <w:rPr>
                <w:b/>
                <w:sz w:val="24"/>
              </w:rPr>
            </w:pPr>
            <w:r>
              <w:rPr>
                <w:b/>
                <w:sz w:val="24"/>
              </w:rPr>
              <w:t>Case</w:t>
            </w:r>
            <w:r>
              <w:rPr>
                <w:b/>
                <w:spacing w:val="-2"/>
                <w:sz w:val="24"/>
              </w:rPr>
              <w:t xml:space="preserve"> </w:t>
            </w:r>
            <w:r>
              <w:rPr>
                <w:b/>
                <w:spacing w:val="-12"/>
                <w:sz w:val="24"/>
              </w:rPr>
              <w:t>#</w:t>
            </w:r>
          </w:p>
        </w:tc>
        <w:tc>
          <w:tcPr>
            <w:tcW w:w="1390" w:type="dxa"/>
          </w:tcPr>
          <w:p>
            <w:pPr>
              <w:pStyle w:val="TableParagraph"/>
              <w:spacing w:before="119"/>
              <w:ind w:left="105" w:right="98" w:hanging="4"/>
              <w:jc w:val="center"/>
              <w:rPr>
                <w:b/>
                <w:sz w:val="24"/>
              </w:rPr>
            </w:pPr>
            <w:r>
              <w:rPr>
                <w:b/>
                <w:spacing w:val="-2"/>
                <w:sz w:val="24"/>
              </w:rPr>
              <w:t>Initial</w:t>
            </w:r>
            <w:r>
              <w:rPr>
                <w:b/>
                <w:spacing w:val="80"/>
                <w:sz w:val="24"/>
              </w:rPr>
              <w:t xml:space="preserve"> </w:t>
            </w:r>
            <w:r>
              <w:rPr>
                <w:b/>
                <w:spacing w:val="-4"/>
                <w:sz w:val="24"/>
              </w:rPr>
              <w:t xml:space="preserve">June </w:t>
            </w:r>
            <w:r>
              <w:rPr>
                <w:b/>
                <w:spacing w:val="-2"/>
                <w:sz w:val="24"/>
              </w:rPr>
              <w:t xml:space="preserve">Submission </w:t>
            </w:r>
            <w:r>
              <w:rPr>
                <w:b/>
                <w:spacing w:val="-6"/>
                <w:sz w:val="24"/>
              </w:rPr>
              <w:t>MA</w:t>
            </w:r>
          </w:p>
          <w:p>
            <w:pPr>
              <w:pStyle w:val="TableParagraph"/>
              <w:ind w:left="3" w:right="2"/>
              <w:jc w:val="center"/>
              <w:rPr>
                <w:b/>
                <w:sz w:val="24"/>
              </w:rPr>
            </w:pPr>
            <w:r>
              <w:rPr>
                <w:b/>
                <w:spacing w:val="-2"/>
                <w:sz w:val="24"/>
              </w:rPr>
              <w:t>Rebate</w:t>
            </w:r>
          </w:p>
        </w:tc>
        <w:tc>
          <w:tcPr>
            <w:tcW w:w="1963" w:type="dxa"/>
          </w:tcPr>
          <w:p>
            <w:pPr>
              <w:pStyle w:val="TableParagraph"/>
              <w:spacing w:before="255"/>
              <w:rPr>
                <w:rFonts w:ascii="Arial"/>
                <w:b/>
                <w:sz w:val="24"/>
              </w:rPr>
            </w:pPr>
          </w:p>
          <w:p>
            <w:pPr>
              <w:pStyle w:val="TableParagraph"/>
              <w:ind w:left="535" w:hanging="408"/>
              <w:rPr>
                <w:b/>
                <w:sz w:val="24"/>
              </w:rPr>
            </w:pPr>
            <w:r>
              <w:rPr>
                <w:b/>
                <w:sz w:val="24"/>
              </w:rPr>
              <w:t>Part</w:t>
            </w:r>
            <w:r>
              <w:rPr>
                <w:b/>
                <w:spacing w:val="-15"/>
                <w:sz w:val="24"/>
              </w:rPr>
              <w:t xml:space="preserve"> </w:t>
            </w:r>
            <w:r>
              <w:rPr>
                <w:b/>
                <w:sz w:val="24"/>
              </w:rPr>
              <w:t>D</w:t>
            </w:r>
            <w:r>
              <w:rPr>
                <w:b/>
                <w:spacing w:val="-15"/>
                <w:sz w:val="24"/>
              </w:rPr>
              <w:t xml:space="preserve"> </w:t>
            </w:r>
            <w:r>
              <w:rPr>
                <w:b/>
                <w:sz w:val="24"/>
              </w:rPr>
              <w:t xml:space="preserve">Premium </w:t>
            </w:r>
            <w:r>
              <w:rPr>
                <w:b/>
                <w:spacing w:val="-2"/>
                <w:sz w:val="24"/>
              </w:rPr>
              <w:t>Scenario</w:t>
            </w:r>
          </w:p>
        </w:tc>
        <w:tc>
          <w:tcPr>
            <w:tcW w:w="1915" w:type="dxa"/>
          </w:tcPr>
          <w:p>
            <w:pPr>
              <w:pStyle w:val="TableParagraph"/>
              <w:spacing w:before="255"/>
              <w:rPr>
                <w:rFonts w:ascii="Arial"/>
                <w:b/>
                <w:sz w:val="24"/>
              </w:rPr>
            </w:pPr>
          </w:p>
          <w:p>
            <w:pPr>
              <w:pStyle w:val="TableParagraph"/>
              <w:ind w:left="317" w:firstLine="281"/>
              <w:rPr>
                <w:b/>
                <w:sz w:val="24"/>
              </w:rPr>
            </w:pPr>
            <w:r>
              <w:rPr>
                <w:b/>
                <w:spacing w:val="-2"/>
                <w:sz w:val="24"/>
              </w:rPr>
              <w:t>Rebate Reallocation</w:t>
            </w:r>
          </w:p>
        </w:tc>
        <w:tc>
          <w:tcPr>
            <w:tcW w:w="1495" w:type="dxa"/>
          </w:tcPr>
          <w:p>
            <w:pPr>
              <w:pStyle w:val="TableParagraph"/>
              <w:spacing w:before="118"/>
              <w:rPr>
                <w:rFonts w:ascii="Arial"/>
                <w:b/>
                <w:sz w:val="24"/>
              </w:rPr>
            </w:pPr>
          </w:p>
          <w:p>
            <w:pPr>
              <w:pStyle w:val="TableParagraph"/>
              <w:spacing w:before="1"/>
              <w:ind w:left="106" w:right="98" w:firstLine="2"/>
              <w:jc w:val="center"/>
              <w:rPr>
                <w:b/>
                <w:sz w:val="24"/>
              </w:rPr>
            </w:pPr>
            <w:r>
              <w:rPr>
                <w:b/>
                <w:spacing w:val="-2"/>
                <w:sz w:val="24"/>
              </w:rPr>
              <w:t>Rebate Reallocation Example</w:t>
            </w:r>
          </w:p>
        </w:tc>
        <w:tc>
          <w:tcPr>
            <w:tcW w:w="1242" w:type="dxa"/>
          </w:tcPr>
          <w:p>
            <w:pPr>
              <w:pStyle w:val="TableParagraph"/>
              <w:spacing w:before="255"/>
              <w:rPr>
                <w:rFonts w:ascii="Arial"/>
                <w:b/>
                <w:sz w:val="24"/>
              </w:rPr>
            </w:pPr>
          </w:p>
          <w:p>
            <w:pPr>
              <w:pStyle w:val="TableParagraph"/>
              <w:ind w:left="116" w:firstLine="24"/>
              <w:rPr>
                <w:b/>
                <w:sz w:val="24"/>
              </w:rPr>
            </w:pPr>
            <w:r>
              <w:rPr>
                <w:b/>
                <w:spacing w:val="-2"/>
                <w:sz w:val="24"/>
              </w:rPr>
              <w:t>Premium Rounding</w:t>
            </w:r>
          </w:p>
        </w:tc>
        <w:tc>
          <w:tcPr>
            <w:tcW w:w="1370" w:type="dxa"/>
          </w:tcPr>
          <w:p>
            <w:pPr>
              <w:pStyle w:val="TableParagraph"/>
              <w:spacing w:before="118"/>
              <w:rPr>
                <w:rFonts w:ascii="Arial"/>
                <w:b/>
                <w:sz w:val="24"/>
              </w:rPr>
            </w:pPr>
          </w:p>
          <w:p>
            <w:pPr>
              <w:pStyle w:val="TableParagraph"/>
              <w:spacing w:before="1"/>
              <w:ind w:left="180" w:right="163" w:firstLine="26"/>
              <w:jc w:val="both"/>
              <w:rPr>
                <w:b/>
                <w:sz w:val="24"/>
              </w:rPr>
            </w:pPr>
            <w:r>
              <w:rPr>
                <w:b/>
                <w:spacing w:val="-2"/>
                <w:sz w:val="24"/>
              </w:rPr>
              <w:t>Premium Rounding Example</w:t>
            </w:r>
          </w:p>
        </w:tc>
      </w:tr>
      <w:tr>
        <w:tblPrEx>
          <w:tblW w:w="0" w:type="auto"/>
          <w:jc w:val="left"/>
          <w:tblInd w:w="329" w:type="dxa"/>
          <w:tblLayout w:type="fixed"/>
          <w:tblCellMar>
            <w:top w:w="0" w:type="dxa"/>
            <w:left w:w="0" w:type="dxa"/>
            <w:bottom w:w="0" w:type="dxa"/>
            <w:right w:w="0" w:type="dxa"/>
          </w:tblCellMar>
          <w:tblLook w:val="01E0"/>
        </w:tblPrEx>
        <w:trPr>
          <w:trHeight w:val="2263"/>
          <w:jc w:val="left"/>
        </w:trPr>
        <w:tc>
          <w:tcPr>
            <w:tcW w:w="1099" w:type="dxa"/>
          </w:tcPr>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9"/>
              <w:jc w:val="center"/>
              <w:rPr>
                <w:sz w:val="22"/>
              </w:rPr>
            </w:pPr>
            <w:r>
              <w:rPr>
                <w:spacing w:val="-10"/>
                <w:sz w:val="22"/>
              </w:rPr>
              <w:t>1</w:t>
            </w:r>
          </w:p>
        </w:tc>
        <w:tc>
          <w:tcPr>
            <w:tcW w:w="1390" w:type="dxa"/>
          </w:tcPr>
          <w:p>
            <w:pPr>
              <w:pStyle w:val="TableParagraph"/>
              <w:rPr>
                <w:rFonts w:ascii="Arial"/>
                <w:b/>
                <w:sz w:val="22"/>
              </w:rPr>
            </w:pPr>
          </w:p>
          <w:p>
            <w:pPr>
              <w:pStyle w:val="TableParagraph"/>
              <w:rPr>
                <w:rFonts w:ascii="Arial"/>
                <w:b/>
                <w:sz w:val="22"/>
              </w:rPr>
            </w:pPr>
          </w:p>
          <w:p>
            <w:pPr>
              <w:pStyle w:val="TableParagraph"/>
              <w:spacing w:before="117"/>
              <w:rPr>
                <w:rFonts w:ascii="Arial"/>
                <w:b/>
                <w:sz w:val="22"/>
              </w:rPr>
            </w:pPr>
          </w:p>
          <w:p>
            <w:pPr>
              <w:pStyle w:val="TableParagraph"/>
              <w:spacing w:before="1"/>
              <w:ind w:left="3"/>
              <w:jc w:val="center"/>
              <w:rPr>
                <w:sz w:val="22"/>
              </w:rPr>
            </w:pPr>
            <w:r>
              <w:rPr>
                <w:sz w:val="22"/>
              </w:rPr>
              <w:t>Greater</w:t>
            </w:r>
            <w:r>
              <w:rPr>
                <w:spacing w:val="-8"/>
                <w:sz w:val="22"/>
              </w:rPr>
              <w:t xml:space="preserve"> </w:t>
            </w:r>
            <w:r>
              <w:rPr>
                <w:spacing w:val="-4"/>
                <w:sz w:val="22"/>
              </w:rPr>
              <w:t>than</w:t>
            </w:r>
          </w:p>
          <w:p>
            <w:pPr>
              <w:pStyle w:val="TableParagraph"/>
              <w:spacing w:before="3"/>
              <w:ind w:left="3" w:right="1"/>
              <w:jc w:val="center"/>
              <w:rPr>
                <w:sz w:val="22"/>
              </w:rPr>
            </w:pPr>
            <w:r>
              <w:rPr>
                <w:spacing w:val="-5"/>
                <w:sz w:val="22"/>
              </w:rPr>
              <w:t>$0</w:t>
            </w:r>
          </w:p>
        </w:tc>
        <w:tc>
          <w:tcPr>
            <w:tcW w:w="1963" w:type="dxa"/>
          </w:tcPr>
          <w:p>
            <w:pPr>
              <w:pStyle w:val="TableParagraph"/>
              <w:numPr>
                <w:ilvl w:val="0"/>
                <w:numId w:val="25"/>
              </w:numPr>
              <w:tabs>
                <w:tab w:val="left" w:pos="438"/>
              </w:tabs>
              <w:spacing w:before="118" w:after="0" w:line="240" w:lineRule="auto"/>
              <w:ind w:left="168" w:right="156" w:firstLine="9"/>
              <w:jc w:val="left"/>
              <w:rPr>
                <w:sz w:val="22"/>
              </w:rPr>
            </w:pPr>
            <w:r>
              <w:rPr>
                <w:sz w:val="22"/>
              </w:rPr>
              <w:t>$0.00</w:t>
            </w:r>
            <w:r>
              <w:rPr>
                <w:spacing w:val="-14"/>
                <w:sz w:val="22"/>
              </w:rPr>
              <w:t xml:space="preserve"> </w:t>
            </w:r>
            <w:r>
              <w:rPr>
                <w:sz w:val="22"/>
              </w:rPr>
              <w:t>allocated to</w:t>
            </w:r>
            <w:r>
              <w:rPr>
                <w:spacing w:val="-10"/>
                <w:sz w:val="22"/>
              </w:rPr>
              <w:t xml:space="preserve"> </w:t>
            </w:r>
            <w:r>
              <w:rPr>
                <w:sz w:val="22"/>
              </w:rPr>
              <w:t>the</w:t>
            </w:r>
            <w:r>
              <w:rPr>
                <w:spacing w:val="-10"/>
                <w:sz w:val="22"/>
              </w:rPr>
              <w:t xml:space="preserve"> </w:t>
            </w:r>
            <w:r>
              <w:rPr>
                <w:sz w:val="22"/>
              </w:rPr>
              <w:t>Part</w:t>
            </w:r>
            <w:r>
              <w:rPr>
                <w:spacing w:val="-9"/>
                <w:sz w:val="22"/>
              </w:rPr>
              <w:t xml:space="preserve"> </w:t>
            </w:r>
            <w:r>
              <w:rPr>
                <w:sz w:val="22"/>
              </w:rPr>
              <w:t>D</w:t>
            </w:r>
            <w:r>
              <w:rPr>
                <w:spacing w:val="-10"/>
                <w:sz w:val="22"/>
              </w:rPr>
              <w:t xml:space="preserve"> </w:t>
            </w:r>
            <w:r>
              <w:rPr>
                <w:sz w:val="22"/>
              </w:rPr>
              <w:t>basic</w:t>
            </w:r>
          </w:p>
          <w:p>
            <w:pPr>
              <w:pStyle w:val="TableParagraph"/>
              <w:spacing w:before="1"/>
              <w:ind w:left="124" w:right="112" w:hanging="4"/>
              <w:jc w:val="center"/>
              <w:rPr>
                <w:sz w:val="22"/>
              </w:rPr>
            </w:pPr>
            <w:r>
              <w:rPr>
                <w:sz w:val="22"/>
              </w:rPr>
              <w:t>premium in the initial submission; and</w:t>
            </w:r>
            <w:r>
              <w:rPr>
                <w:spacing w:val="-9"/>
                <w:sz w:val="22"/>
              </w:rPr>
              <w:t xml:space="preserve"> </w:t>
            </w:r>
            <w:r>
              <w:rPr>
                <w:sz w:val="22"/>
              </w:rPr>
              <w:t>(ii)</w:t>
            </w:r>
            <w:r>
              <w:rPr>
                <w:spacing w:val="-9"/>
                <w:sz w:val="22"/>
              </w:rPr>
              <w:t xml:space="preserve"> </w:t>
            </w:r>
            <w:r>
              <w:rPr>
                <w:sz w:val="22"/>
              </w:rPr>
              <w:t>total</w:t>
            </w:r>
            <w:r>
              <w:rPr>
                <w:spacing w:val="-9"/>
                <w:sz w:val="22"/>
              </w:rPr>
              <w:t xml:space="preserve"> </w:t>
            </w:r>
            <w:r>
              <w:rPr>
                <w:sz w:val="22"/>
              </w:rPr>
              <w:t>Part</w:t>
            </w:r>
            <w:r>
              <w:rPr>
                <w:spacing w:val="-9"/>
                <w:sz w:val="22"/>
              </w:rPr>
              <w:t xml:space="preserve"> </w:t>
            </w:r>
            <w:r>
              <w:rPr>
                <w:sz w:val="22"/>
              </w:rPr>
              <w:t xml:space="preserve">D </w:t>
            </w:r>
            <w:r>
              <w:rPr>
                <w:spacing w:val="-2"/>
                <w:sz w:val="22"/>
              </w:rPr>
              <w:t xml:space="preserve">premium* </w:t>
            </w:r>
            <w:r>
              <w:rPr>
                <w:sz w:val="22"/>
              </w:rPr>
              <w:t>decreases below</w:t>
            </w:r>
          </w:p>
          <w:p>
            <w:pPr>
              <w:pStyle w:val="TableParagraph"/>
              <w:spacing w:before="2"/>
              <w:ind w:left="116" w:right="108"/>
              <w:jc w:val="center"/>
              <w:rPr>
                <w:sz w:val="22"/>
              </w:rPr>
            </w:pPr>
            <w:r>
              <w:rPr>
                <w:spacing w:val="-5"/>
                <w:sz w:val="22"/>
              </w:rPr>
              <w:t>$0.</w:t>
            </w:r>
          </w:p>
        </w:tc>
        <w:tc>
          <w:tcPr>
            <w:tcW w:w="1915" w:type="dxa"/>
          </w:tcPr>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8"/>
              <w:jc w:val="center"/>
              <w:rPr>
                <w:sz w:val="22"/>
              </w:rPr>
            </w:pPr>
            <w:r>
              <w:rPr>
                <w:spacing w:val="-2"/>
                <w:sz w:val="22"/>
              </w:rPr>
              <w:t>Required</w:t>
            </w:r>
          </w:p>
        </w:tc>
        <w:tc>
          <w:tcPr>
            <w:tcW w:w="1495" w:type="dxa"/>
          </w:tcPr>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164" w:right="158"/>
              <w:jc w:val="center"/>
              <w:rPr>
                <w:sz w:val="22"/>
              </w:rPr>
            </w:pPr>
            <w:r>
              <w:rPr>
                <w:spacing w:val="-4"/>
                <w:sz w:val="22"/>
              </w:rPr>
              <w:t>None</w:t>
            </w:r>
          </w:p>
        </w:tc>
        <w:tc>
          <w:tcPr>
            <w:tcW w:w="1242" w:type="dxa"/>
          </w:tcPr>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16"/>
              <w:jc w:val="center"/>
              <w:rPr>
                <w:sz w:val="22"/>
              </w:rPr>
            </w:pPr>
            <w:r>
              <w:rPr>
                <w:spacing w:val="-2"/>
                <w:sz w:val="22"/>
              </w:rPr>
              <w:t>Permitted</w:t>
            </w:r>
          </w:p>
        </w:tc>
        <w:tc>
          <w:tcPr>
            <w:tcW w:w="1370" w:type="dxa"/>
          </w:tcPr>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20" w:right="5"/>
              <w:jc w:val="center"/>
              <w:rPr>
                <w:sz w:val="22"/>
              </w:rPr>
            </w:pPr>
            <w:r>
              <w:rPr>
                <w:spacing w:val="-4"/>
                <w:sz w:val="22"/>
              </w:rPr>
              <w:t>None</w:t>
            </w:r>
          </w:p>
        </w:tc>
      </w:tr>
      <w:tr>
        <w:tblPrEx>
          <w:tblW w:w="0" w:type="auto"/>
          <w:jc w:val="left"/>
          <w:tblInd w:w="329" w:type="dxa"/>
          <w:tblLayout w:type="fixed"/>
          <w:tblCellMar>
            <w:top w:w="0" w:type="dxa"/>
            <w:left w:w="0" w:type="dxa"/>
            <w:bottom w:w="0" w:type="dxa"/>
            <w:right w:w="0" w:type="dxa"/>
          </w:tblCellMar>
          <w:tblLook w:val="01E0"/>
        </w:tblPrEx>
        <w:trPr>
          <w:trHeight w:val="4540"/>
          <w:jc w:val="left"/>
        </w:trPr>
        <w:tc>
          <w:tcPr>
            <w:tcW w:w="1099"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9"/>
              <w:jc w:val="center"/>
              <w:rPr>
                <w:sz w:val="22"/>
              </w:rPr>
            </w:pPr>
            <w:r>
              <w:rPr>
                <w:spacing w:val="-10"/>
                <w:sz w:val="22"/>
              </w:rPr>
              <w:t>2</w:t>
            </w:r>
          </w:p>
        </w:tc>
        <w:tc>
          <w:tcPr>
            <w:tcW w:w="139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5"/>
              <w:rPr>
                <w:rFonts w:ascii="Arial"/>
                <w:b/>
                <w:sz w:val="22"/>
              </w:rPr>
            </w:pPr>
          </w:p>
          <w:p>
            <w:pPr>
              <w:pStyle w:val="TableParagraph"/>
              <w:spacing w:before="1"/>
              <w:ind w:left="3"/>
              <w:jc w:val="center"/>
              <w:rPr>
                <w:sz w:val="22"/>
              </w:rPr>
            </w:pPr>
            <w:r>
              <w:rPr>
                <w:sz w:val="22"/>
              </w:rPr>
              <w:t>Greater</w:t>
            </w:r>
            <w:r>
              <w:rPr>
                <w:spacing w:val="-8"/>
                <w:sz w:val="22"/>
              </w:rPr>
              <w:t xml:space="preserve"> </w:t>
            </w:r>
            <w:r>
              <w:rPr>
                <w:spacing w:val="-4"/>
                <w:sz w:val="22"/>
              </w:rPr>
              <w:t>than</w:t>
            </w:r>
          </w:p>
          <w:p>
            <w:pPr>
              <w:pStyle w:val="TableParagraph"/>
              <w:spacing w:before="1"/>
              <w:ind w:left="3" w:right="1"/>
              <w:jc w:val="center"/>
              <w:rPr>
                <w:sz w:val="22"/>
              </w:rPr>
            </w:pPr>
            <w:r>
              <w:rPr>
                <w:spacing w:val="-5"/>
                <w:sz w:val="22"/>
              </w:rPr>
              <w:t>$0</w:t>
            </w:r>
          </w:p>
        </w:tc>
        <w:tc>
          <w:tcPr>
            <w:tcW w:w="1963" w:type="dxa"/>
          </w:tcPr>
          <w:p>
            <w:pPr>
              <w:pStyle w:val="TableParagraph"/>
              <w:numPr>
                <w:ilvl w:val="0"/>
                <w:numId w:val="24"/>
              </w:numPr>
              <w:tabs>
                <w:tab w:val="left" w:pos="438"/>
              </w:tabs>
              <w:spacing w:before="118" w:after="0" w:line="240" w:lineRule="auto"/>
              <w:ind w:left="168" w:right="156" w:firstLine="9"/>
              <w:jc w:val="left"/>
              <w:rPr>
                <w:sz w:val="22"/>
              </w:rPr>
            </w:pPr>
            <w:r>
              <w:rPr>
                <w:sz w:val="22"/>
              </w:rPr>
              <w:t>$0.00</w:t>
            </w:r>
            <w:r>
              <w:rPr>
                <w:spacing w:val="-14"/>
                <w:sz w:val="22"/>
              </w:rPr>
              <w:t xml:space="preserve"> </w:t>
            </w:r>
            <w:r>
              <w:rPr>
                <w:sz w:val="22"/>
              </w:rPr>
              <w:t>allocated to</w:t>
            </w:r>
            <w:r>
              <w:rPr>
                <w:spacing w:val="-10"/>
                <w:sz w:val="22"/>
              </w:rPr>
              <w:t xml:space="preserve"> </w:t>
            </w:r>
            <w:r>
              <w:rPr>
                <w:sz w:val="22"/>
              </w:rPr>
              <w:t>the</w:t>
            </w:r>
            <w:r>
              <w:rPr>
                <w:spacing w:val="-10"/>
                <w:sz w:val="22"/>
              </w:rPr>
              <w:t xml:space="preserve"> </w:t>
            </w:r>
            <w:r>
              <w:rPr>
                <w:sz w:val="22"/>
              </w:rPr>
              <w:t>Part</w:t>
            </w:r>
            <w:r>
              <w:rPr>
                <w:spacing w:val="-9"/>
                <w:sz w:val="22"/>
              </w:rPr>
              <w:t xml:space="preserve"> </w:t>
            </w:r>
            <w:r>
              <w:rPr>
                <w:sz w:val="22"/>
              </w:rPr>
              <w:t>D</w:t>
            </w:r>
            <w:r>
              <w:rPr>
                <w:spacing w:val="-10"/>
                <w:sz w:val="22"/>
              </w:rPr>
              <w:t xml:space="preserve"> </w:t>
            </w:r>
            <w:r>
              <w:rPr>
                <w:sz w:val="22"/>
              </w:rPr>
              <w:t>basic</w:t>
            </w:r>
          </w:p>
          <w:p>
            <w:pPr>
              <w:pStyle w:val="TableParagraph"/>
              <w:spacing w:before="1"/>
              <w:ind w:left="170" w:firstLine="136"/>
              <w:rPr>
                <w:sz w:val="22"/>
              </w:rPr>
            </w:pPr>
            <w:r>
              <w:rPr>
                <w:sz w:val="22"/>
              </w:rPr>
              <w:t>premium in the initial</w:t>
            </w:r>
            <w:r>
              <w:rPr>
                <w:spacing w:val="-6"/>
                <w:sz w:val="22"/>
              </w:rPr>
              <w:t xml:space="preserve"> </w:t>
            </w:r>
            <w:r>
              <w:rPr>
                <w:spacing w:val="-2"/>
                <w:sz w:val="22"/>
              </w:rPr>
              <w:t>submission;</w:t>
            </w:r>
          </w:p>
          <w:p>
            <w:pPr>
              <w:pStyle w:val="TableParagraph"/>
              <w:numPr>
                <w:ilvl w:val="0"/>
                <w:numId w:val="24"/>
              </w:numPr>
              <w:tabs>
                <w:tab w:val="left" w:pos="602"/>
              </w:tabs>
              <w:spacing w:before="0" w:after="0" w:line="240" w:lineRule="auto"/>
              <w:ind w:left="134" w:right="122" w:firstLine="146"/>
              <w:jc w:val="left"/>
              <w:rPr>
                <w:sz w:val="22"/>
              </w:rPr>
            </w:pPr>
            <w:r>
              <w:rPr>
                <w:sz w:val="22"/>
              </w:rPr>
              <w:t>Part D basic premium</w:t>
            </w:r>
            <w:r>
              <w:rPr>
                <w:spacing w:val="-4"/>
                <w:sz w:val="22"/>
              </w:rPr>
              <w:t xml:space="preserve"> </w:t>
            </w:r>
            <w:r>
              <w:rPr>
                <w:sz w:val="22"/>
              </w:rPr>
              <w:t>is</w:t>
            </w:r>
            <w:r>
              <w:rPr>
                <w:spacing w:val="-2"/>
                <w:sz w:val="22"/>
              </w:rPr>
              <w:t xml:space="preserve"> </w:t>
            </w:r>
            <w:r>
              <w:rPr>
                <w:sz w:val="22"/>
              </w:rPr>
              <w:t>greater than</w:t>
            </w:r>
            <w:r>
              <w:rPr>
                <w:spacing w:val="-13"/>
                <w:sz w:val="22"/>
              </w:rPr>
              <w:t xml:space="preserve"> </w:t>
            </w:r>
            <w:r>
              <w:rPr>
                <w:sz w:val="22"/>
              </w:rPr>
              <w:t>the</w:t>
            </w:r>
            <w:r>
              <w:rPr>
                <w:spacing w:val="-13"/>
                <w:sz w:val="22"/>
              </w:rPr>
              <w:t xml:space="preserve"> </w:t>
            </w:r>
            <w:r>
              <w:rPr>
                <w:sz w:val="22"/>
              </w:rPr>
              <w:t>target</w:t>
            </w:r>
            <w:r>
              <w:rPr>
                <w:spacing w:val="-11"/>
                <w:sz w:val="22"/>
              </w:rPr>
              <w:t xml:space="preserve"> </w:t>
            </w:r>
            <w:r>
              <w:rPr>
                <w:sz w:val="22"/>
              </w:rPr>
              <w:t>plan</w:t>
            </w:r>
          </w:p>
          <w:p>
            <w:pPr>
              <w:pStyle w:val="TableParagraph"/>
              <w:ind w:left="116" w:right="105"/>
              <w:jc w:val="center"/>
              <w:rPr>
                <w:sz w:val="22"/>
              </w:rPr>
            </w:pPr>
            <w:r>
              <w:rPr>
                <w:sz w:val="22"/>
              </w:rPr>
              <w:t>intention for the Part D basic premium</w:t>
            </w:r>
            <w:r>
              <w:rPr>
                <w:spacing w:val="-14"/>
                <w:sz w:val="22"/>
              </w:rPr>
              <w:t xml:space="preserve"> </w:t>
            </w:r>
            <w:r>
              <w:rPr>
                <w:sz w:val="22"/>
              </w:rPr>
              <w:t>after</w:t>
            </w:r>
            <w:r>
              <w:rPr>
                <w:spacing w:val="-14"/>
                <w:sz w:val="22"/>
              </w:rPr>
              <w:t xml:space="preserve"> </w:t>
            </w:r>
            <w:r>
              <w:rPr>
                <w:sz w:val="22"/>
              </w:rPr>
              <w:t xml:space="preserve">the reflection of the </w:t>
            </w:r>
            <w:r>
              <w:rPr>
                <w:spacing w:val="-2"/>
                <w:sz w:val="22"/>
              </w:rPr>
              <w:t xml:space="preserve">published </w:t>
            </w:r>
            <w:r>
              <w:rPr>
                <w:sz w:val="22"/>
              </w:rPr>
              <w:t>benchmarks; and</w:t>
            </w:r>
          </w:p>
          <w:p>
            <w:pPr>
              <w:pStyle w:val="TableParagraph"/>
              <w:numPr>
                <w:ilvl w:val="0"/>
                <w:numId w:val="24"/>
              </w:numPr>
              <w:tabs>
                <w:tab w:val="left" w:pos="338"/>
                <w:tab w:val="left" w:pos="662"/>
              </w:tabs>
              <w:spacing w:before="1" w:after="0" w:line="240" w:lineRule="auto"/>
              <w:ind w:left="338" w:right="267" w:hanging="58"/>
              <w:jc w:val="left"/>
              <w:rPr>
                <w:sz w:val="22"/>
              </w:rPr>
            </w:pPr>
            <w:r>
              <w:rPr>
                <w:sz w:val="22"/>
              </w:rPr>
              <w:t>total</w:t>
            </w:r>
            <w:r>
              <w:rPr>
                <w:spacing w:val="-14"/>
                <w:sz w:val="22"/>
              </w:rPr>
              <w:t xml:space="preserve"> </w:t>
            </w:r>
            <w:r>
              <w:rPr>
                <w:sz w:val="22"/>
              </w:rPr>
              <w:t>Part</w:t>
            </w:r>
            <w:r>
              <w:rPr>
                <w:spacing w:val="-14"/>
                <w:sz w:val="22"/>
              </w:rPr>
              <w:t xml:space="preserve"> </w:t>
            </w:r>
            <w:r>
              <w:rPr>
                <w:sz w:val="22"/>
              </w:rPr>
              <w:t>D premium* is greater than or</w:t>
            </w:r>
          </w:p>
          <w:p>
            <w:pPr>
              <w:pStyle w:val="TableParagraph"/>
              <w:spacing w:before="2"/>
              <w:ind w:left="465"/>
              <w:rPr>
                <w:sz w:val="22"/>
              </w:rPr>
            </w:pPr>
            <w:r>
              <w:rPr>
                <w:sz w:val="22"/>
              </w:rPr>
              <w:t>equal</w:t>
            </w:r>
            <w:r>
              <w:rPr>
                <w:spacing w:val="-2"/>
                <w:sz w:val="22"/>
              </w:rPr>
              <w:t xml:space="preserve"> </w:t>
            </w:r>
            <w:r>
              <w:rPr>
                <w:sz w:val="22"/>
              </w:rPr>
              <w:t xml:space="preserve">to </w:t>
            </w:r>
            <w:r>
              <w:rPr>
                <w:spacing w:val="-5"/>
                <w:sz w:val="22"/>
              </w:rPr>
              <w:t>$0.</w:t>
            </w:r>
          </w:p>
        </w:tc>
        <w:tc>
          <w:tcPr>
            <w:tcW w:w="191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8"/>
              <w:jc w:val="center"/>
              <w:rPr>
                <w:sz w:val="22"/>
              </w:rPr>
            </w:pPr>
            <w:r>
              <w:rPr>
                <w:spacing w:val="-2"/>
                <w:sz w:val="22"/>
              </w:rPr>
              <w:t>Permitted</w:t>
            </w:r>
          </w:p>
        </w:tc>
        <w:tc>
          <w:tcPr>
            <w:tcW w:w="149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164" w:right="158"/>
              <w:jc w:val="center"/>
              <w:rPr>
                <w:sz w:val="22"/>
              </w:rPr>
            </w:pPr>
            <w:r>
              <w:rPr>
                <w:spacing w:val="-4"/>
                <w:sz w:val="22"/>
              </w:rPr>
              <w:t>None</w:t>
            </w:r>
          </w:p>
        </w:tc>
        <w:tc>
          <w:tcPr>
            <w:tcW w:w="124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16"/>
              <w:jc w:val="center"/>
              <w:rPr>
                <w:sz w:val="22"/>
              </w:rPr>
            </w:pPr>
            <w:r>
              <w:rPr>
                <w:spacing w:val="-2"/>
                <w:sz w:val="22"/>
              </w:rPr>
              <w:t>Permitted</w:t>
            </w:r>
          </w:p>
        </w:tc>
        <w:tc>
          <w:tcPr>
            <w:tcW w:w="13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20" w:right="2"/>
              <w:jc w:val="center"/>
              <w:rPr>
                <w:sz w:val="22"/>
              </w:rPr>
            </w:pPr>
            <w:r>
              <w:rPr>
                <w:spacing w:val="-5"/>
                <w:sz w:val="22"/>
              </w:rPr>
              <w:t>15b</w:t>
            </w:r>
          </w:p>
        </w:tc>
      </w:tr>
    </w:tbl>
    <w:p>
      <w:pPr>
        <w:pStyle w:val="TableParagraph"/>
        <w:spacing w:after="0"/>
        <w:jc w:val="center"/>
        <w:rPr>
          <w:sz w:val="22"/>
        </w:rPr>
        <w:sectPr>
          <w:pgSz w:w="12240" w:h="15840"/>
          <w:pgMar w:top="960" w:right="0" w:bottom="940" w:left="1080" w:header="727" w:footer="747"/>
          <w:cols w:space="720"/>
        </w:sectPr>
      </w:pPr>
    </w:p>
    <w:p>
      <w:pPr>
        <w:pStyle w:val="BodyText"/>
        <w:ind w:left="0"/>
        <w:rPr>
          <w:rFonts w:ascii="Arial"/>
          <w:b/>
          <w:sz w:val="20"/>
        </w:rPr>
      </w:pPr>
    </w:p>
    <w:p>
      <w:pPr>
        <w:pStyle w:val="BodyText"/>
        <w:spacing w:before="6" w:after="1"/>
        <w:ind w:left="0"/>
        <w:rPr>
          <w:rFonts w:ascii="Arial"/>
          <w:b/>
          <w:sz w:val="20"/>
        </w:rPr>
      </w:pPr>
    </w:p>
    <w:tbl>
      <w:tblPr>
        <w:tblStyle w:val="TableNormal"/>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1390"/>
        <w:gridCol w:w="1963"/>
        <w:gridCol w:w="1915"/>
        <w:gridCol w:w="1495"/>
        <w:gridCol w:w="1242"/>
        <w:gridCol w:w="1370"/>
      </w:tblGrid>
      <w:tr>
        <w:tblPrEx>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619"/>
          <w:jc w:val="left"/>
        </w:trPr>
        <w:tc>
          <w:tcPr>
            <w:tcW w:w="1099" w:type="dxa"/>
          </w:tcPr>
          <w:p>
            <w:pPr>
              <w:pStyle w:val="TableParagraph"/>
              <w:rPr>
                <w:rFonts w:ascii="Arial"/>
                <w:b/>
                <w:sz w:val="24"/>
              </w:rPr>
            </w:pPr>
          </w:p>
          <w:p>
            <w:pPr>
              <w:pStyle w:val="TableParagraph"/>
              <w:spacing w:before="119"/>
              <w:rPr>
                <w:rFonts w:ascii="Arial"/>
                <w:b/>
                <w:sz w:val="24"/>
              </w:rPr>
            </w:pPr>
          </w:p>
          <w:p>
            <w:pPr>
              <w:pStyle w:val="TableParagraph"/>
              <w:ind w:left="9" w:right="4"/>
              <w:jc w:val="center"/>
              <w:rPr>
                <w:b/>
                <w:sz w:val="24"/>
              </w:rPr>
            </w:pPr>
            <w:r>
              <w:rPr>
                <w:b/>
                <w:sz w:val="24"/>
              </w:rPr>
              <w:t>Case</w:t>
            </w:r>
            <w:r>
              <w:rPr>
                <w:b/>
                <w:spacing w:val="-2"/>
                <w:sz w:val="24"/>
              </w:rPr>
              <w:t xml:space="preserve"> </w:t>
            </w:r>
            <w:r>
              <w:rPr>
                <w:b/>
                <w:spacing w:val="-12"/>
                <w:sz w:val="24"/>
              </w:rPr>
              <w:t>#</w:t>
            </w:r>
          </w:p>
        </w:tc>
        <w:tc>
          <w:tcPr>
            <w:tcW w:w="1390" w:type="dxa"/>
          </w:tcPr>
          <w:p>
            <w:pPr>
              <w:pStyle w:val="TableParagraph"/>
              <w:spacing w:before="119"/>
              <w:ind w:left="105" w:right="98" w:hanging="4"/>
              <w:jc w:val="center"/>
              <w:rPr>
                <w:b/>
                <w:sz w:val="24"/>
              </w:rPr>
            </w:pPr>
            <w:r>
              <w:rPr>
                <w:b/>
                <w:spacing w:val="-2"/>
                <w:sz w:val="24"/>
              </w:rPr>
              <w:t>Initial</w:t>
            </w:r>
            <w:r>
              <w:rPr>
                <w:b/>
                <w:spacing w:val="80"/>
                <w:sz w:val="24"/>
              </w:rPr>
              <w:t xml:space="preserve"> </w:t>
            </w:r>
            <w:r>
              <w:rPr>
                <w:b/>
                <w:spacing w:val="-4"/>
                <w:sz w:val="24"/>
              </w:rPr>
              <w:t xml:space="preserve">June </w:t>
            </w:r>
            <w:r>
              <w:rPr>
                <w:b/>
                <w:spacing w:val="-2"/>
                <w:sz w:val="24"/>
              </w:rPr>
              <w:t xml:space="preserve">Submission </w:t>
            </w:r>
            <w:r>
              <w:rPr>
                <w:b/>
                <w:spacing w:val="-6"/>
                <w:sz w:val="24"/>
              </w:rPr>
              <w:t>MA</w:t>
            </w:r>
          </w:p>
          <w:p>
            <w:pPr>
              <w:pStyle w:val="TableParagraph"/>
              <w:ind w:left="3" w:right="2"/>
              <w:jc w:val="center"/>
              <w:rPr>
                <w:b/>
                <w:sz w:val="24"/>
              </w:rPr>
            </w:pPr>
            <w:r>
              <w:rPr>
                <w:b/>
                <w:spacing w:val="-2"/>
                <w:sz w:val="24"/>
              </w:rPr>
              <w:t>Rebate</w:t>
            </w:r>
          </w:p>
        </w:tc>
        <w:tc>
          <w:tcPr>
            <w:tcW w:w="1963" w:type="dxa"/>
          </w:tcPr>
          <w:p>
            <w:pPr>
              <w:pStyle w:val="TableParagraph"/>
              <w:spacing w:before="258"/>
              <w:rPr>
                <w:rFonts w:ascii="Arial"/>
                <w:b/>
                <w:sz w:val="24"/>
              </w:rPr>
            </w:pPr>
          </w:p>
          <w:p>
            <w:pPr>
              <w:pStyle w:val="TableParagraph"/>
              <w:ind w:left="535" w:hanging="408"/>
              <w:rPr>
                <w:b/>
                <w:sz w:val="24"/>
              </w:rPr>
            </w:pPr>
            <w:r>
              <w:rPr>
                <w:b/>
                <w:sz w:val="24"/>
              </w:rPr>
              <w:t>Part</w:t>
            </w:r>
            <w:r>
              <w:rPr>
                <w:b/>
                <w:spacing w:val="-15"/>
                <w:sz w:val="24"/>
              </w:rPr>
              <w:t xml:space="preserve"> </w:t>
            </w:r>
            <w:r>
              <w:rPr>
                <w:b/>
                <w:sz w:val="24"/>
              </w:rPr>
              <w:t>D</w:t>
            </w:r>
            <w:r>
              <w:rPr>
                <w:b/>
                <w:spacing w:val="-15"/>
                <w:sz w:val="24"/>
              </w:rPr>
              <w:t xml:space="preserve"> </w:t>
            </w:r>
            <w:r>
              <w:rPr>
                <w:b/>
                <w:sz w:val="24"/>
              </w:rPr>
              <w:t xml:space="preserve">Premium </w:t>
            </w:r>
            <w:r>
              <w:rPr>
                <w:b/>
                <w:spacing w:val="-2"/>
                <w:sz w:val="24"/>
              </w:rPr>
              <w:t>Scenario</w:t>
            </w:r>
          </w:p>
        </w:tc>
        <w:tc>
          <w:tcPr>
            <w:tcW w:w="1915" w:type="dxa"/>
          </w:tcPr>
          <w:p>
            <w:pPr>
              <w:pStyle w:val="TableParagraph"/>
              <w:spacing w:before="258"/>
              <w:rPr>
                <w:rFonts w:ascii="Arial"/>
                <w:b/>
                <w:sz w:val="24"/>
              </w:rPr>
            </w:pPr>
          </w:p>
          <w:p>
            <w:pPr>
              <w:pStyle w:val="TableParagraph"/>
              <w:ind w:left="317" w:firstLine="281"/>
              <w:rPr>
                <w:b/>
                <w:sz w:val="24"/>
              </w:rPr>
            </w:pPr>
            <w:r>
              <w:rPr>
                <w:b/>
                <w:spacing w:val="-2"/>
                <w:sz w:val="24"/>
              </w:rPr>
              <w:t>Rebate Reallocation</w:t>
            </w:r>
          </w:p>
        </w:tc>
        <w:tc>
          <w:tcPr>
            <w:tcW w:w="1495" w:type="dxa"/>
          </w:tcPr>
          <w:p>
            <w:pPr>
              <w:pStyle w:val="TableParagraph"/>
              <w:spacing w:before="119"/>
              <w:rPr>
                <w:rFonts w:ascii="Arial"/>
                <w:b/>
                <w:sz w:val="24"/>
              </w:rPr>
            </w:pPr>
          </w:p>
          <w:p>
            <w:pPr>
              <w:pStyle w:val="TableParagraph"/>
              <w:ind w:left="106" w:right="98" w:firstLine="2"/>
              <w:jc w:val="center"/>
              <w:rPr>
                <w:b/>
                <w:sz w:val="24"/>
              </w:rPr>
            </w:pPr>
            <w:r>
              <w:rPr>
                <w:b/>
                <w:spacing w:val="-2"/>
                <w:sz w:val="24"/>
              </w:rPr>
              <w:t>Rebate Reallocation Example</w:t>
            </w:r>
          </w:p>
        </w:tc>
        <w:tc>
          <w:tcPr>
            <w:tcW w:w="1242" w:type="dxa"/>
          </w:tcPr>
          <w:p>
            <w:pPr>
              <w:pStyle w:val="TableParagraph"/>
              <w:spacing w:before="258"/>
              <w:rPr>
                <w:rFonts w:ascii="Arial"/>
                <w:b/>
                <w:sz w:val="24"/>
              </w:rPr>
            </w:pPr>
          </w:p>
          <w:p>
            <w:pPr>
              <w:pStyle w:val="TableParagraph"/>
              <w:ind w:left="116" w:firstLine="24"/>
              <w:rPr>
                <w:b/>
                <w:sz w:val="24"/>
              </w:rPr>
            </w:pPr>
            <w:r>
              <w:rPr>
                <w:b/>
                <w:spacing w:val="-2"/>
                <w:sz w:val="24"/>
              </w:rPr>
              <w:t>Premium Rounding</w:t>
            </w:r>
          </w:p>
        </w:tc>
        <w:tc>
          <w:tcPr>
            <w:tcW w:w="1370" w:type="dxa"/>
          </w:tcPr>
          <w:p>
            <w:pPr>
              <w:pStyle w:val="TableParagraph"/>
              <w:spacing w:before="119"/>
              <w:rPr>
                <w:rFonts w:ascii="Arial"/>
                <w:b/>
                <w:sz w:val="24"/>
              </w:rPr>
            </w:pPr>
          </w:p>
          <w:p>
            <w:pPr>
              <w:pStyle w:val="TableParagraph"/>
              <w:ind w:left="180" w:right="163" w:firstLine="26"/>
              <w:jc w:val="both"/>
              <w:rPr>
                <w:b/>
                <w:sz w:val="24"/>
              </w:rPr>
            </w:pPr>
            <w:r>
              <w:rPr>
                <w:b/>
                <w:spacing w:val="-2"/>
                <w:sz w:val="24"/>
              </w:rPr>
              <w:t>Premium Rounding Example</w:t>
            </w:r>
          </w:p>
        </w:tc>
      </w:tr>
      <w:tr>
        <w:tblPrEx>
          <w:tblW w:w="0" w:type="auto"/>
          <w:jc w:val="left"/>
          <w:tblInd w:w="329" w:type="dxa"/>
          <w:tblLayout w:type="fixed"/>
          <w:tblCellMar>
            <w:top w:w="0" w:type="dxa"/>
            <w:left w:w="0" w:type="dxa"/>
            <w:bottom w:w="0" w:type="dxa"/>
            <w:right w:w="0" w:type="dxa"/>
          </w:tblCellMar>
          <w:tblLook w:val="01E0"/>
        </w:tblPrEx>
        <w:trPr>
          <w:trHeight w:val="4540"/>
          <w:jc w:val="left"/>
        </w:trPr>
        <w:tc>
          <w:tcPr>
            <w:tcW w:w="1099"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3"/>
              <w:rPr>
                <w:rFonts w:ascii="Arial"/>
                <w:b/>
                <w:sz w:val="22"/>
              </w:rPr>
            </w:pPr>
          </w:p>
          <w:p>
            <w:pPr>
              <w:pStyle w:val="TableParagraph"/>
              <w:ind w:left="9"/>
              <w:jc w:val="center"/>
              <w:rPr>
                <w:sz w:val="22"/>
              </w:rPr>
            </w:pPr>
            <w:r>
              <w:rPr>
                <w:spacing w:val="-10"/>
                <w:sz w:val="22"/>
              </w:rPr>
              <w:t>3</w:t>
            </w:r>
          </w:p>
        </w:tc>
        <w:tc>
          <w:tcPr>
            <w:tcW w:w="139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6"/>
              <w:rPr>
                <w:rFonts w:ascii="Arial"/>
                <w:b/>
                <w:sz w:val="22"/>
              </w:rPr>
            </w:pPr>
          </w:p>
          <w:p>
            <w:pPr>
              <w:pStyle w:val="TableParagraph"/>
              <w:ind w:left="3"/>
              <w:jc w:val="center"/>
              <w:rPr>
                <w:sz w:val="22"/>
              </w:rPr>
            </w:pPr>
            <w:r>
              <w:rPr>
                <w:sz w:val="22"/>
              </w:rPr>
              <w:t>Greater</w:t>
            </w:r>
            <w:r>
              <w:rPr>
                <w:spacing w:val="-8"/>
                <w:sz w:val="22"/>
              </w:rPr>
              <w:t xml:space="preserve"> </w:t>
            </w:r>
            <w:r>
              <w:rPr>
                <w:spacing w:val="-4"/>
                <w:sz w:val="22"/>
              </w:rPr>
              <w:t>than</w:t>
            </w:r>
          </w:p>
          <w:p>
            <w:pPr>
              <w:pStyle w:val="TableParagraph"/>
              <w:spacing w:before="2"/>
              <w:ind w:left="3" w:right="1"/>
              <w:jc w:val="center"/>
              <w:rPr>
                <w:sz w:val="22"/>
              </w:rPr>
            </w:pPr>
            <w:r>
              <w:rPr>
                <w:spacing w:val="-5"/>
                <w:sz w:val="22"/>
              </w:rPr>
              <w:t>$0</w:t>
            </w:r>
          </w:p>
        </w:tc>
        <w:tc>
          <w:tcPr>
            <w:tcW w:w="1963" w:type="dxa"/>
          </w:tcPr>
          <w:p>
            <w:pPr>
              <w:pStyle w:val="TableParagraph"/>
              <w:numPr>
                <w:ilvl w:val="0"/>
                <w:numId w:val="23"/>
              </w:numPr>
              <w:tabs>
                <w:tab w:val="left" w:pos="438"/>
              </w:tabs>
              <w:spacing w:before="118" w:after="0" w:line="240" w:lineRule="auto"/>
              <w:ind w:left="168" w:right="156" w:firstLine="9"/>
              <w:jc w:val="left"/>
              <w:rPr>
                <w:sz w:val="22"/>
              </w:rPr>
            </w:pPr>
            <w:r>
              <w:rPr>
                <w:sz w:val="22"/>
              </w:rPr>
              <w:t>$0.00</w:t>
            </w:r>
            <w:r>
              <w:rPr>
                <w:spacing w:val="-14"/>
                <w:sz w:val="22"/>
              </w:rPr>
              <w:t xml:space="preserve"> </w:t>
            </w:r>
            <w:r>
              <w:rPr>
                <w:sz w:val="22"/>
              </w:rPr>
              <w:t>allocated to</w:t>
            </w:r>
            <w:r>
              <w:rPr>
                <w:spacing w:val="-10"/>
                <w:sz w:val="22"/>
              </w:rPr>
              <w:t xml:space="preserve"> </w:t>
            </w:r>
            <w:r>
              <w:rPr>
                <w:sz w:val="22"/>
              </w:rPr>
              <w:t>the</w:t>
            </w:r>
            <w:r>
              <w:rPr>
                <w:spacing w:val="-10"/>
                <w:sz w:val="22"/>
              </w:rPr>
              <w:t xml:space="preserve"> </w:t>
            </w:r>
            <w:r>
              <w:rPr>
                <w:sz w:val="22"/>
              </w:rPr>
              <w:t>Part</w:t>
            </w:r>
            <w:r>
              <w:rPr>
                <w:spacing w:val="-9"/>
                <w:sz w:val="22"/>
              </w:rPr>
              <w:t xml:space="preserve"> </w:t>
            </w:r>
            <w:r>
              <w:rPr>
                <w:sz w:val="22"/>
              </w:rPr>
              <w:t>D</w:t>
            </w:r>
            <w:r>
              <w:rPr>
                <w:spacing w:val="-10"/>
                <w:sz w:val="22"/>
              </w:rPr>
              <w:t xml:space="preserve"> </w:t>
            </w:r>
            <w:r>
              <w:rPr>
                <w:sz w:val="22"/>
              </w:rPr>
              <w:t>basic</w:t>
            </w:r>
          </w:p>
          <w:p>
            <w:pPr>
              <w:pStyle w:val="TableParagraph"/>
              <w:spacing w:before="1"/>
              <w:ind w:left="170" w:right="157" w:firstLine="136"/>
              <w:rPr>
                <w:sz w:val="22"/>
              </w:rPr>
            </w:pPr>
            <w:r>
              <w:rPr>
                <w:sz w:val="22"/>
              </w:rPr>
              <w:t>premium in the initial</w:t>
            </w:r>
            <w:r>
              <w:rPr>
                <w:spacing w:val="-14"/>
                <w:sz w:val="22"/>
              </w:rPr>
              <w:t xml:space="preserve"> </w:t>
            </w:r>
            <w:r>
              <w:rPr>
                <w:sz w:val="22"/>
              </w:rPr>
              <w:t>submission;</w:t>
            </w:r>
          </w:p>
          <w:p>
            <w:pPr>
              <w:pStyle w:val="TableParagraph"/>
              <w:numPr>
                <w:ilvl w:val="0"/>
                <w:numId w:val="23"/>
              </w:numPr>
              <w:tabs>
                <w:tab w:val="left" w:pos="290"/>
                <w:tab w:val="left" w:pos="602"/>
              </w:tabs>
              <w:spacing w:before="0" w:after="0" w:line="240" w:lineRule="auto"/>
              <w:ind w:left="290" w:right="270" w:hanging="10"/>
              <w:jc w:val="left"/>
              <w:rPr>
                <w:sz w:val="22"/>
              </w:rPr>
            </w:pPr>
            <w:r>
              <w:rPr>
                <w:sz w:val="22"/>
              </w:rPr>
              <w:t>Part</w:t>
            </w:r>
            <w:r>
              <w:rPr>
                <w:spacing w:val="-14"/>
                <w:sz w:val="22"/>
              </w:rPr>
              <w:t xml:space="preserve"> </w:t>
            </w:r>
            <w:r>
              <w:rPr>
                <w:sz w:val="22"/>
              </w:rPr>
              <w:t>D</w:t>
            </w:r>
            <w:r>
              <w:rPr>
                <w:spacing w:val="-14"/>
                <w:sz w:val="22"/>
              </w:rPr>
              <w:t xml:space="preserve"> </w:t>
            </w:r>
            <w:r>
              <w:rPr>
                <w:sz w:val="22"/>
              </w:rPr>
              <w:t>basic premium</w:t>
            </w:r>
            <w:r>
              <w:rPr>
                <w:spacing w:val="-14"/>
                <w:sz w:val="22"/>
              </w:rPr>
              <w:t xml:space="preserve"> </w:t>
            </w:r>
            <w:r>
              <w:rPr>
                <w:sz w:val="22"/>
              </w:rPr>
              <w:t>is</w:t>
            </w:r>
            <w:r>
              <w:rPr>
                <w:spacing w:val="-14"/>
                <w:sz w:val="22"/>
              </w:rPr>
              <w:t xml:space="preserve"> </w:t>
            </w:r>
            <w:r>
              <w:rPr>
                <w:sz w:val="22"/>
              </w:rPr>
              <w:t>less</w:t>
            </w:r>
          </w:p>
          <w:p>
            <w:pPr>
              <w:pStyle w:val="TableParagraph"/>
              <w:spacing w:before="1"/>
              <w:ind w:left="117" w:right="105"/>
              <w:jc w:val="center"/>
              <w:rPr>
                <w:sz w:val="22"/>
              </w:rPr>
            </w:pPr>
            <w:r>
              <w:rPr>
                <w:sz w:val="22"/>
              </w:rPr>
              <w:t>than</w:t>
            </w:r>
            <w:r>
              <w:rPr>
                <w:spacing w:val="-13"/>
                <w:sz w:val="22"/>
              </w:rPr>
              <w:t xml:space="preserve"> </w:t>
            </w:r>
            <w:r>
              <w:rPr>
                <w:sz w:val="22"/>
              </w:rPr>
              <w:t>the</w:t>
            </w:r>
            <w:r>
              <w:rPr>
                <w:spacing w:val="-13"/>
                <w:sz w:val="22"/>
              </w:rPr>
              <w:t xml:space="preserve"> </w:t>
            </w:r>
            <w:r>
              <w:rPr>
                <w:sz w:val="22"/>
              </w:rPr>
              <w:t>target</w:t>
            </w:r>
            <w:r>
              <w:rPr>
                <w:spacing w:val="-11"/>
                <w:sz w:val="22"/>
              </w:rPr>
              <w:t xml:space="preserve"> </w:t>
            </w:r>
            <w:r>
              <w:rPr>
                <w:sz w:val="22"/>
              </w:rPr>
              <w:t xml:space="preserve">plan intention for the Part D basic premium after the reflection of the </w:t>
            </w:r>
            <w:r>
              <w:rPr>
                <w:spacing w:val="-2"/>
                <w:sz w:val="22"/>
              </w:rPr>
              <w:t xml:space="preserve">published </w:t>
            </w:r>
            <w:r>
              <w:rPr>
                <w:sz w:val="22"/>
              </w:rPr>
              <w:t>benchmarks; and</w:t>
            </w:r>
          </w:p>
          <w:p>
            <w:pPr>
              <w:pStyle w:val="TableParagraph"/>
              <w:numPr>
                <w:ilvl w:val="0"/>
                <w:numId w:val="23"/>
              </w:numPr>
              <w:tabs>
                <w:tab w:val="left" w:pos="338"/>
                <w:tab w:val="left" w:pos="662"/>
              </w:tabs>
              <w:spacing w:before="0" w:after="0" w:line="240" w:lineRule="auto"/>
              <w:ind w:left="338" w:right="267" w:hanging="58"/>
              <w:jc w:val="left"/>
              <w:rPr>
                <w:sz w:val="22"/>
              </w:rPr>
            </w:pPr>
            <w:r>
              <w:rPr>
                <w:sz w:val="22"/>
              </w:rPr>
              <w:t>total</w:t>
            </w:r>
            <w:r>
              <w:rPr>
                <w:spacing w:val="-14"/>
                <w:sz w:val="22"/>
              </w:rPr>
              <w:t xml:space="preserve"> </w:t>
            </w:r>
            <w:r>
              <w:rPr>
                <w:sz w:val="22"/>
              </w:rPr>
              <w:t>Part</w:t>
            </w:r>
            <w:r>
              <w:rPr>
                <w:spacing w:val="-14"/>
                <w:sz w:val="22"/>
              </w:rPr>
              <w:t xml:space="preserve"> </w:t>
            </w:r>
            <w:r>
              <w:rPr>
                <w:sz w:val="22"/>
              </w:rPr>
              <w:t>D premium* is greater than or</w:t>
            </w:r>
          </w:p>
          <w:p>
            <w:pPr>
              <w:pStyle w:val="TableParagraph"/>
              <w:spacing w:before="2"/>
              <w:ind w:left="465"/>
              <w:rPr>
                <w:sz w:val="22"/>
              </w:rPr>
            </w:pPr>
            <w:r>
              <w:rPr>
                <w:sz w:val="22"/>
              </w:rPr>
              <w:t>equal</w:t>
            </w:r>
            <w:r>
              <w:rPr>
                <w:spacing w:val="-2"/>
                <w:sz w:val="22"/>
              </w:rPr>
              <w:t xml:space="preserve"> </w:t>
            </w:r>
            <w:r>
              <w:rPr>
                <w:sz w:val="22"/>
              </w:rPr>
              <w:t xml:space="preserve">to </w:t>
            </w:r>
            <w:r>
              <w:rPr>
                <w:spacing w:val="-5"/>
                <w:sz w:val="22"/>
              </w:rPr>
              <w:t>$0.</w:t>
            </w:r>
          </w:p>
        </w:tc>
        <w:tc>
          <w:tcPr>
            <w:tcW w:w="191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3"/>
              <w:rPr>
                <w:rFonts w:ascii="Arial"/>
                <w:b/>
                <w:sz w:val="22"/>
              </w:rPr>
            </w:pPr>
          </w:p>
          <w:p>
            <w:pPr>
              <w:pStyle w:val="TableParagraph"/>
              <w:ind w:left="8" w:right="1"/>
              <w:jc w:val="center"/>
              <w:rPr>
                <w:sz w:val="22"/>
              </w:rPr>
            </w:pPr>
            <w:r>
              <w:rPr>
                <w:sz w:val="22"/>
              </w:rPr>
              <w:t>Not</w:t>
            </w:r>
            <w:r>
              <w:rPr>
                <w:spacing w:val="-1"/>
                <w:sz w:val="22"/>
              </w:rPr>
              <w:t xml:space="preserve"> </w:t>
            </w:r>
            <w:r>
              <w:rPr>
                <w:spacing w:val="-2"/>
                <w:sz w:val="22"/>
              </w:rPr>
              <w:t>permitted</w:t>
            </w:r>
          </w:p>
        </w:tc>
        <w:tc>
          <w:tcPr>
            <w:tcW w:w="149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3"/>
              <w:rPr>
                <w:rFonts w:ascii="Arial"/>
                <w:b/>
                <w:sz w:val="22"/>
              </w:rPr>
            </w:pPr>
          </w:p>
          <w:p>
            <w:pPr>
              <w:pStyle w:val="TableParagraph"/>
              <w:ind w:left="164" w:right="160"/>
              <w:jc w:val="center"/>
              <w:rPr>
                <w:sz w:val="22"/>
              </w:rPr>
            </w:pPr>
            <w:r>
              <w:rPr>
                <w:spacing w:val="-10"/>
                <w:sz w:val="22"/>
              </w:rPr>
              <w:t>1</w:t>
            </w:r>
          </w:p>
        </w:tc>
        <w:tc>
          <w:tcPr>
            <w:tcW w:w="124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3"/>
              <w:rPr>
                <w:rFonts w:ascii="Arial"/>
                <w:b/>
                <w:sz w:val="22"/>
              </w:rPr>
            </w:pPr>
          </w:p>
          <w:p>
            <w:pPr>
              <w:pStyle w:val="TableParagraph"/>
              <w:ind w:left="16"/>
              <w:jc w:val="center"/>
              <w:rPr>
                <w:sz w:val="22"/>
              </w:rPr>
            </w:pPr>
            <w:r>
              <w:rPr>
                <w:spacing w:val="-2"/>
                <w:sz w:val="22"/>
              </w:rPr>
              <w:t>Permitted</w:t>
            </w:r>
          </w:p>
        </w:tc>
        <w:tc>
          <w:tcPr>
            <w:tcW w:w="13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3"/>
              <w:rPr>
                <w:rFonts w:ascii="Arial"/>
                <w:b/>
                <w:sz w:val="22"/>
              </w:rPr>
            </w:pPr>
          </w:p>
          <w:p>
            <w:pPr>
              <w:pStyle w:val="TableParagraph"/>
              <w:ind w:left="20" w:right="5"/>
              <w:jc w:val="center"/>
              <w:rPr>
                <w:sz w:val="22"/>
              </w:rPr>
            </w:pPr>
            <w:r>
              <w:rPr>
                <w:spacing w:val="-4"/>
                <w:sz w:val="22"/>
              </w:rPr>
              <w:t>None</w:t>
            </w:r>
          </w:p>
        </w:tc>
      </w:tr>
      <w:tr>
        <w:tblPrEx>
          <w:tblW w:w="0" w:type="auto"/>
          <w:jc w:val="left"/>
          <w:tblInd w:w="329" w:type="dxa"/>
          <w:tblLayout w:type="fixed"/>
          <w:tblCellMar>
            <w:top w:w="0" w:type="dxa"/>
            <w:left w:w="0" w:type="dxa"/>
            <w:bottom w:w="0" w:type="dxa"/>
            <w:right w:w="0" w:type="dxa"/>
          </w:tblCellMar>
          <w:tblLook w:val="01E0"/>
        </w:tblPrEx>
        <w:trPr>
          <w:trHeight w:val="5302"/>
          <w:jc w:val="left"/>
        </w:trPr>
        <w:tc>
          <w:tcPr>
            <w:tcW w:w="1099"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ind w:left="9"/>
              <w:jc w:val="center"/>
              <w:rPr>
                <w:sz w:val="22"/>
              </w:rPr>
            </w:pPr>
            <w:r>
              <w:rPr>
                <w:spacing w:val="-10"/>
                <w:sz w:val="22"/>
              </w:rPr>
              <w:t>4</w:t>
            </w:r>
          </w:p>
        </w:tc>
        <w:tc>
          <w:tcPr>
            <w:tcW w:w="139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19"/>
              <w:rPr>
                <w:rFonts w:ascii="Arial"/>
                <w:b/>
                <w:sz w:val="22"/>
              </w:rPr>
            </w:pPr>
          </w:p>
          <w:p>
            <w:pPr>
              <w:pStyle w:val="TableParagraph"/>
              <w:ind w:left="3"/>
              <w:jc w:val="center"/>
              <w:rPr>
                <w:sz w:val="22"/>
              </w:rPr>
            </w:pPr>
            <w:r>
              <w:rPr>
                <w:sz w:val="22"/>
              </w:rPr>
              <w:t>Greater</w:t>
            </w:r>
            <w:r>
              <w:rPr>
                <w:spacing w:val="-8"/>
                <w:sz w:val="22"/>
              </w:rPr>
              <w:t xml:space="preserve"> </w:t>
            </w:r>
            <w:r>
              <w:rPr>
                <w:spacing w:val="-4"/>
                <w:sz w:val="22"/>
              </w:rPr>
              <w:t>than</w:t>
            </w:r>
          </w:p>
          <w:p>
            <w:pPr>
              <w:pStyle w:val="TableParagraph"/>
              <w:spacing w:before="2"/>
              <w:ind w:left="3" w:right="1"/>
              <w:jc w:val="center"/>
              <w:rPr>
                <w:sz w:val="22"/>
              </w:rPr>
            </w:pPr>
            <w:r>
              <w:rPr>
                <w:spacing w:val="-5"/>
                <w:sz w:val="22"/>
              </w:rPr>
              <w:t>$0</w:t>
            </w:r>
          </w:p>
        </w:tc>
        <w:tc>
          <w:tcPr>
            <w:tcW w:w="1963" w:type="dxa"/>
          </w:tcPr>
          <w:p>
            <w:pPr>
              <w:pStyle w:val="TableParagraph"/>
              <w:numPr>
                <w:ilvl w:val="0"/>
                <w:numId w:val="22"/>
              </w:numPr>
              <w:tabs>
                <w:tab w:val="left" w:pos="563"/>
              </w:tabs>
              <w:spacing w:before="118" w:after="0" w:line="240" w:lineRule="auto"/>
              <w:ind w:left="563" w:right="0" w:hanging="261"/>
              <w:jc w:val="left"/>
              <w:rPr>
                <w:sz w:val="22"/>
              </w:rPr>
            </w:pPr>
            <w:r>
              <w:rPr>
                <w:sz w:val="22"/>
              </w:rPr>
              <w:t>Greater</w:t>
            </w:r>
            <w:r>
              <w:rPr>
                <w:spacing w:val="-8"/>
                <w:sz w:val="22"/>
              </w:rPr>
              <w:t xml:space="preserve"> </w:t>
            </w:r>
            <w:r>
              <w:rPr>
                <w:spacing w:val="-4"/>
                <w:sz w:val="22"/>
              </w:rPr>
              <w:t>than</w:t>
            </w:r>
          </w:p>
          <w:p>
            <w:pPr>
              <w:pStyle w:val="TableParagraph"/>
              <w:spacing w:before="2"/>
              <w:ind w:left="170" w:right="160" w:hanging="2"/>
              <w:jc w:val="center"/>
              <w:rPr>
                <w:sz w:val="22"/>
              </w:rPr>
            </w:pPr>
            <w:r>
              <w:rPr>
                <w:sz w:val="22"/>
              </w:rPr>
              <w:t>$0.00 allocated to the Part D basic premium in the initial</w:t>
            </w:r>
            <w:r>
              <w:rPr>
                <w:spacing w:val="-14"/>
                <w:sz w:val="22"/>
              </w:rPr>
              <w:t xml:space="preserve"> </w:t>
            </w:r>
            <w:r>
              <w:rPr>
                <w:sz w:val="22"/>
              </w:rPr>
              <w:t>submission;</w:t>
            </w:r>
          </w:p>
          <w:p>
            <w:pPr>
              <w:pStyle w:val="TableParagraph"/>
              <w:numPr>
                <w:ilvl w:val="0"/>
                <w:numId w:val="22"/>
              </w:numPr>
              <w:tabs>
                <w:tab w:val="left" w:pos="718"/>
              </w:tabs>
              <w:spacing w:before="0" w:after="0" w:line="240" w:lineRule="auto"/>
              <w:ind w:left="132" w:right="118" w:firstLine="264"/>
              <w:jc w:val="left"/>
              <w:rPr>
                <w:sz w:val="22"/>
              </w:rPr>
            </w:pPr>
            <w:r>
              <w:rPr>
                <w:spacing w:val="-2"/>
                <w:sz w:val="22"/>
              </w:rPr>
              <w:t xml:space="preserve">excessive </w:t>
            </w:r>
            <w:r>
              <w:rPr>
                <w:sz w:val="22"/>
              </w:rPr>
              <w:t>rebates</w:t>
            </w:r>
            <w:r>
              <w:rPr>
                <w:spacing w:val="-14"/>
                <w:sz w:val="22"/>
              </w:rPr>
              <w:t xml:space="preserve"> </w:t>
            </w:r>
            <w:r>
              <w:rPr>
                <w:sz w:val="22"/>
              </w:rPr>
              <w:t>allocated</w:t>
            </w:r>
            <w:r>
              <w:rPr>
                <w:spacing w:val="-14"/>
                <w:sz w:val="22"/>
              </w:rPr>
              <w:t xml:space="preserve"> </w:t>
            </w:r>
            <w:r>
              <w:rPr>
                <w:sz w:val="22"/>
              </w:rPr>
              <w:t>to</w:t>
            </w:r>
          </w:p>
          <w:p>
            <w:pPr>
              <w:pStyle w:val="TableParagraph"/>
              <w:ind w:left="158" w:right="145" w:hanging="2"/>
              <w:jc w:val="center"/>
              <w:rPr>
                <w:sz w:val="22"/>
              </w:rPr>
            </w:pPr>
            <w:r>
              <w:rPr>
                <w:sz w:val="22"/>
              </w:rPr>
              <w:t>the Part D basic premium in the initial</w:t>
            </w:r>
            <w:r>
              <w:rPr>
                <w:spacing w:val="-10"/>
                <w:sz w:val="22"/>
              </w:rPr>
              <w:t xml:space="preserve"> </w:t>
            </w:r>
            <w:r>
              <w:rPr>
                <w:sz w:val="22"/>
              </w:rPr>
              <w:t>submission; and (iii) rebates allocated</w:t>
            </w:r>
            <w:r>
              <w:rPr>
                <w:spacing w:val="-13"/>
                <w:sz w:val="22"/>
              </w:rPr>
              <w:t xml:space="preserve"> </w:t>
            </w:r>
            <w:r>
              <w:rPr>
                <w:sz w:val="22"/>
              </w:rPr>
              <w:t>to</w:t>
            </w:r>
            <w:r>
              <w:rPr>
                <w:spacing w:val="-11"/>
                <w:sz w:val="22"/>
              </w:rPr>
              <w:t xml:space="preserve"> </w:t>
            </w:r>
            <w:r>
              <w:rPr>
                <w:sz w:val="22"/>
              </w:rPr>
              <w:t>Part</w:t>
            </w:r>
            <w:r>
              <w:rPr>
                <w:spacing w:val="-11"/>
                <w:sz w:val="22"/>
              </w:rPr>
              <w:t xml:space="preserve"> </w:t>
            </w:r>
            <w:r>
              <w:rPr>
                <w:sz w:val="22"/>
              </w:rPr>
              <w:t xml:space="preserve">D basic premium exceed the Part D basic premium prior to rebates or total Part D </w:t>
            </w:r>
            <w:r>
              <w:rPr>
                <w:spacing w:val="-2"/>
                <w:sz w:val="22"/>
              </w:rPr>
              <w:t xml:space="preserve">premium* </w:t>
            </w:r>
            <w:r>
              <w:rPr>
                <w:sz w:val="22"/>
              </w:rPr>
              <w:t>decreases below</w:t>
            </w:r>
          </w:p>
          <w:p>
            <w:pPr>
              <w:pStyle w:val="TableParagraph"/>
              <w:spacing w:before="2"/>
              <w:ind w:left="116" w:right="108"/>
              <w:jc w:val="center"/>
              <w:rPr>
                <w:sz w:val="22"/>
              </w:rPr>
            </w:pPr>
            <w:r>
              <w:rPr>
                <w:spacing w:val="-5"/>
                <w:sz w:val="22"/>
              </w:rPr>
              <w:t>$0.</w:t>
            </w:r>
          </w:p>
        </w:tc>
        <w:tc>
          <w:tcPr>
            <w:tcW w:w="191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ind w:left="8"/>
              <w:jc w:val="center"/>
              <w:rPr>
                <w:sz w:val="22"/>
              </w:rPr>
            </w:pPr>
            <w:r>
              <w:rPr>
                <w:spacing w:val="-2"/>
                <w:sz w:val="22"/>
              </w:rPr>
              <w:t>Required</w:t>
            </w:r>
          </w:p>
        </w:tc>
        <w:tc>
          <w:tcPr>
            <w:tcW w:w="149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ind w:left="164" w:right="158"/>
              <w:jc w:val="center"/>
              <w:rPr>
                <w:sz w:val="22"/>
              </w:rPr>
            </w:pPr>
            <w:r>
              <w:rPr>
                <w:sz w:val="22"/>
              </w:rPr>
              <w:t xml:space="preserve">2 and </w:t>
            </w:r>
            <w:r>
              <w:rPr>
                <w:spacing w:val="-10"/>
                <w:sz w:val="22"/>
              </w:rPr>
              <w:t>3</w:t>
            </w:r>
          </w:p>
        </w:tc>
        <w:tc>
          <w:tcPr>
            <w:tcW w:w="124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ind w:left="16"/>
              <w:jc w:val="center"/>
              <w:rPr>
                <w:sz w:val="22"/>
              </w:rPr>
            </w:pPr>
            <w:r>
              <w:rPr>
                <w:spacing w:val="-2"/>
                <w:sz w:val="22"/>
              </w:rPr>
              <w:t>Permitted</w:t>
            </w:r>
          </w:p>
        </w:tc>
        <w:tc>
          <w:tcPr>
            <w:tcW w:w="13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ind w:left="20" w:right="5"/>
              <w:jc w:val="center"/>
              <w:rPr>
                <w:sz w:val="22"/>
              </w:rPr>
            </w:pPr>
            <w:r>
              <w:rPr>
                <w:spacing w:val="-4"/>
                <w:sz w:val="22"/>
              </w:rPr>
              <w:t>None</w:t>
            </w:r>
          </w:p>
        </w:tc>
      </w:tr>
    </w:tbl>
    <w:p>
      <w:pPr>
        <w:pStyle w:val="TableParagraph"/>
        <w:spacing w:after="0"/>
        <w:jc w:val="center"/>
        <w:rPr>
          <w:sz w:val="22"/>
        </w:rPr>
        <w:sectPr>
          <w:pgSz w:w="12240" w:h="15840"/>
          <w:pgMar w:top="960" w:right="0" w:bottom="940" w:left="1080" w:header="727" w:footer="747"/>
          <w:cols w:space="720"/>
        </w:sectPr>
      </w:pPr>
    </w:p>
    <w:p>
      <w:pPr>
        <w:pStyle w:val="BodyText"/>
        <w:ind w:left="0"/>
        <w:rPr>
          <w:rFonts w:ascii="Arial"/>
          <w:b/>
          <w:sz w:val="20"/>
        </w:rPr>
      </w:pPr>
    </w:p>
    <w:p>
      <w:pPr>
        <w:pStyle w:val="BodyText"/>
        <w:spacing w:before="6" w:after="1"/>
        <w:ind w:left="0"/>
        <w:rPr>
          <w:rFonts w:ascii="Arial"/>
          <w:b/>
          <w:sz w:val="20"/>
        </w:rPr>
      </w:pPr>
    </w:p>
    <w:tbl>
      <w:tblPr>
        <w:tblStyle w:val="TableNormal"/>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1390"/>
        <w:gridCol w:w="1963"/>
        <w:gridCol w:w="1915"/>
        <w:gridCol w:w="1495"/>
        <w:gridCol w:w="1242"/>
        <w:gridCol w:w="1370"/>
      </w:tblGrid>
      <w:tr>
        <w:tblPrEx>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619"/>
          <w:jc w:val="left"/>
        </w:trPr>
        <w:tc>
          <w:tcPr>
            <w:tcW w:w="1099" w:type="dxa"/>
          </w:tcPr>
          <w:p>
            <w:pPr>
              <w:pStyle w:val="TableParagraph"/>
              <w:rPr>
                <w:rFonts w:ascii="Arial"/>
                <w:b/>
                <w:sz w:val="24"/>
              </w:rPr>
            </w:pPr>
          </w:p>
          <w:p>
            <w:pPr>
              <w:pStyle w:val="TableParagraph"/>
              <w:spacing w:before="119"/>
              <w:rPr>
                <w:rFonts w:ascii="Arial"/>
                <w:b/>
                <w:sz w:val="24"/>
              </w:rPr>
            </w:pPr>
          </w:p>
          <w:p>
            <w:pPr>
              <w:pStyle w:val="TableParagraph"/>
              <w:ind w:left="9" w:right="4"/>
              <w:jc w:val="center"/>
              <w:rPr>
                <w:b/>
                <w:sz w:val="24"/>
              </w:rPr>
            </w:pPr>
            <w:r>
              <w:rPr>
                <w:b/>
                <w:sz w:val="24"/>
              </w:rPr>
              <w:t>Case</w:t>
            </w:r>
            <w:r>
              <w:rPr>
                <w:b/>
                <w:spacing w:val="-2"/>
                <w:sz w:val="24"/>
              </w:rPr>
              <w:t xml:space="preserve"> </w:t>
            </w:r>
            <w:r>
              <w:rPr>
                <w:b/>
                <w:spacing w:val="-12"/>
                <w:sz w:val="24"/>
              </w:rPr>
              <w:t>#</w:t>
            </w:r>
          </w:p>
        </w:tc>
        <w:tc>
          <w:tcPr>
            <w:tcW w:w="1390" w:type="dxa"/>
          </w:tcPr>
          <w:p>
            <w:pPr>
              <w:pStyle w:val="TableParagraph"/>
              <w:spacing w:before="119"/>
              <w:ind w:left="105" w:right="98" w:hanging="4"/>
              <w:jc w:val="center"/>
              <w:rPr>
                <w:b/>
                <w:sz w:val="24"/>
              </w:rPr>
            </w:pPr>
            <w:r>
              <w:rPr>
                <w:b/>
                <w:spacing w:val="-2"/>
                <w:sz w:val="24"/>
              </w:rPr>
              <w:t>Initial</w:t>
            </w:r>
            <w:r>
              <w:rPr>
                <w:b/>
                <w:spacing w:val="80"/>
                <w:sz w:val="24"/>
              </w:rPr>
              <w:t xml:space="preserve"> </w:t>
            </w:r>
            <w:r>
              <w:rPr>
                <w:b/>
                <w:spacing w:val="-4"/>
                <w:sz w:val="24"/>
              </w:rPr>
              <w:t xml:space="preserve">June </w:t>
            </w:r>
            <w:r>
              <w:rPr>
                <w:b/>
                <w:spacing w:val="-2"/>
                <w:sz w:val="24"/>
              </w:rPr>
              <w:t xml:space="preserve">Submission </w:t>
            </w:r>
            <w:r>
              <w:rPr>
                <w:b/>
                <w:spacing w:val="-6"/>
                <w:sz w:val="24"/>
              </w:rPr>
              <w:t>MA</w:t>
            </w:r>
          </w:p>
          <w:p>
            <w:pPr>
              <w:pStyle w:val="TableParagraph"/>
              <w:ind w:left="3" w:right="2"/>
              <w:jc w:val="center"/>
              <w:rPr>
                <w:b/>
                <w:sz w:val="24"/>
              </w:rPr>
            </w:pPr>
            <w:r>
              <w:rPr>
                <w:b/>
                <w:spacing w:val="-2"/>
                <w:sz w:val="24"/>
              </w:rPr>
              <w:t>Rebate</w:t>
            </w:r>
          </w:p>
        </w:tc>
        <w:tc>
          <w:tcPr>
            <w:tcW w:w="1963" w:type="dxa"/>
          </w:tcPr>
          <w:p>
            <w:pPr>
              <w:pStyle w:val="TableParagraph"/>
              <w:spacing w:before="258"/>
              <w:rPr>
                <w:rFonts w:ascii="Arial"/>
                <w:b/>
                <w:sz w:val="24"/>
              </w:rPr>
            </w:pPr>
          </w:p>
          <w:p>
            <w:pPr>
              <w:pStyle w:val="TableParagraph"/>
              <w:ind w:left="535" w:hanging="408"/>
              <w:rPr>
                <w:b/>
                <w:sz w:val="24"/>
              </w:rPr>
            </w:pPr>
            <w:r>
              <w:rPr>
                <w:b/>
                <w:sz w:val="24"/>
              </w:rPr>
              <w:t>Part</w:t>
            </w:r>
            <w:r>
              <w:rPr>
                <w:b/>
                <w:spacing w:val="-15"/>
                <w:sz w:val="24"/>
              </w:rPr>
              <w:t xml:space="preserve"> </w:t>
            </w:r>
            <w:r>
              <w:rPr>
                <w:b/>
                <w:sz w:val="24"/>
              </w:rPr>
              <w:t>D</w:t>
            </w:r>
            <w:r>
              <w:rPr>
                <w:b/>
                <w:spacing w:val="-15"/>
                <w:sz w:val="24"/>
              </w:rPr>
              <w:t xml:space="preserve"> </w:t>
            </w:r>
            <w:r>
              <w:rPr>
                <w:b/>
                <w:sz w:val="24"/>
              </w:rPr>
              <w:t xml:space="preserve">Premium </w:t>
            </w:r>
            <w:r>
              <w:rPr>
                <w:b/>
                <w:spacing w:val="-2"/>
                <w:sz w:val="24"/>
              </w:rPr>
              <w:t>Scenario</w:t>
            </w:r>
          </w:p>
        </w:tc>
        <w:tc>
          <w:tcPr>
            <w:tcW w:w="1915" w:type="dxa"/>
          </w:tcPr>
          <w:p>
            <w:pPr>
              <w:pStyle w:val="TableParagraph"/>
              <w:spacing w:before="258"/>
              <w:rPr>
                <w:rFonts w:ascii="Arial"/>
                <w:b/>
                <w:sz w:val="24"/>
              </w:rPr>
            </w:pPr>
          </w:p>
          <w:p>
            <w:pPr>
              <w:pStyle w:val="TableParagraph"/>
              <w:ind w:left="317" w:firstLine="281"/>
              <w:rPr>
                <w:b/>
                <w:sz w:val="24"/>
              </w:rPr>
            </w:pPr>
            <w:r>
              <w:rPr>
                <w:b/>
                <w:spacing w:val="-2"/>
                <w:sz w:val="24"/>
              </w:rPr>
              <w:t>Rebate Reallocation</w:t>
            </w:r>
          </w:p>
        </w:tc>
        <w:tc>
          <w:tcPr>
            <w:tcW w:w="1495" w:type="dxa"/>
          </w:tcPr>
          <w:p>
            <w:pPr>
              <w:pStyle w:val="TableParagraph"/>
              <w:spacing w:before="119"/>
              <w:rPr>
                <w:rFonts w:ascii="Arial"/>
                <w:b/>
                <w:sz w:val="24"/>
              </w:rPr>
            </w:pPr>
          </w:p>
          <w:p>
            <w:pPr>
              <w:pStyle w:val="TableParagraph"/>
              <w:ind w:left="106" w:right="98" w:firstLine="2"/>
              <w:jc w:val="center"/>
              <w:rPr>
                <w:b/>
                <w:sz w:val="24"/>
              </w:rPr>
            </w:pPr>
            <w:r>
              <w:rPr>
                <w:b/>
                <w:spacing w:val="-2"/>
                <w:sz w:val="24"/>
              </w:rPr>
              <w:t>Rebate Reallocation Example</w:t>
            </w:r>
          </w:p>
        </w:tc>
        <w:tc>
          <w:tcPr>
            <w:tcW w:w="1242" w:type="dxa"/>
          </w:tcPr>
          <w:p>
            <w:pPr>
              <w:pStyle w:val="TableParagraph"/>
              <w:spacing w:before="258"/>
              <w:rPr>
                <w:rFonts w:ascii="Arial"/>
                <w:b/>
                <w:sz w:val="24"/>
              </w:rPr>
            </w:pPr>
          </w:p>
          <w:p>
            <w:pPr>
              <w:pStyle w:val="TableParagraph"/>
              <w:ind w:left="116" w:firstLine="24"/>
              <w:rPr>
                <w:b/>
                <w:sz w:val="24"/>
              </w:rPr>
            </w:pPr>
            <w:r>
              <w:rPr>
                <w:b/>
                <w:spacing w:val="-2"/>
                <w:sz w:val="24"/>
              </w:rPr>
              <w:t>Premium Rounding</w:t>
            </w:r>
          </w:p>
        </w:tc>
        <w:tc>
          <w:tcPr>
            <w:tcW w:w="1370" w:type="dxa"/>
          </w:tcPr>
          <w:p>
            <w:pPr>
              <w:pStyle w:val="TableParagraph"/>
              <w:spacing w:before="119"/>
              <w:rPr>
                <w:rFonts w:ascii="Arial"/>
                <w:b/>
                <w:sz w:val="24"/>
              </w:rPr>
            </w:pPr>
          </w:p>
          <w:p>
            <w:pPr>
              <w:pStyle w:val="TableParagraph"/>
              <w:ind w:left="180" w:right="163" w:firstLine="26"/>
              <w:jc w:val="both"/>
              <w:rPr>
                <w:b/>
                <w:sz w:val="24"/>
              </w:rPr>
            </w:pPr>
            <w:r>
              <w:rPr>
                <w:b/>
                <w:spacing w:val="-2"/>
                <w:sz w:val="24"/>
              </w:rPr>
              <w:t>Premium Rounding Example</w:t>
            </w:r>
          </w:p>
        </w:tc>
      </w:tr>
      <w:tr>
        <w:tblPrEx>
          <w:tblW w:w="0" w:type="auto"/>
          <w:jc w:val="left"/>
          <w:tblInd w:w="329" w:type="dxa"/>
          <w:tblLayout w:type="fixed"/>
          <w:tblCellMar>
            <w:top w:w="0" w:type="dxa"/>
            <w:left w:w="0" w:type="dxa"/>
            <w:bottom w:w="0" w:type="dxa"/>
            <w:right w:w="0" w:type="dxa"/>
          </w:tblCellMar>
          <w:tblLook w:val="01E0"/>
        </w:tblPrEx>
        <w:trPr>
          <w:trHeight w:val="4795"/>
          <w:jc w:val="left"/>
        </w:trPr>
        <w:tc>
          <w:tcPr>
            <w:tcW w:w="1099"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spacing w:before="1"/>
              <w:ind w:left="9"/>
              <w:jc w:val="center"/>
              <w:rPr>
                <w:sz w:val="22"/>
              </w:rPr>
            </w:pPr>
            <w:r>
              <w:rPr>
                <w:spacing w:val="-10"/>
                <w:sz w:val="22"/>
              </w:rPr>
              <w:t>5</w:t>
            </w:r>
          </w:p>
        </w:tc>
        <w:tc>
          <w:tcPr>
            <w:tcW w:w="139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0"/>
              <w:rPr>
                <w:rFonts w:ascii="Arial"/>
                <w:b/>
                <w:sz w:val="22"/>
              </w:rPr>
            </w:pPr>
          </w:p>
          <w:p>
            <w:pPr>
              <w:pStyle w:val="TableParagraph"/>
              <w:ind w:left="3"/>
              <w:jc w:val="center"/>
              <w:rPr>
                <w:sz w:val="22"/>
              </w:rPr>
            </w:pPr>
            <w:r>
              <w:rPr>
                <w:sz w:val="22"/>
              </w:rPr>
              <w:t>Greater</w:t>
            </w:r>
            <w:r>
              <w:rPr>
                <w:spacing w:val="-8"/>
                <w:sz w:val="22"/>
              </w:rPr>
              <w:t xml:space="preserve"> </w:t>
            </w:r>
            <w:r>
              <w:rPr>
                <w:spacing w:val="-4"/>
                <w:sz w:val="22"/>
              </w:rPr>
              <w:t>than</w:t>
            </w:r>
          </w:p>
          <w:p>
            <w:pPr>
              <w:pStyle w:val="TableParagraph"/>
              <w:spacing w:before="2"/>
              <w:ind w:left="3" w:right="1"/>
              <w:jc w:val="center"/>
              <w:rPr>
                <w:sz w:val="22"/>
              </w:rPr>
            </w:pPr>
            <w:r>
              <w:rPr>
                <w:spacing w:val="-5"/>
                <w:sz w:val="22"/>
              </w:rPr>
              <w:t>$0</w:t>
            </w:r>
          </w:p>
        </w:tc>
        <w:tc>
          <w:tcPr>
            <w:tcW w:w="1963" w:type="dxa"/>
          </w:tcPr>
          <w:p>
            <w:pPr>
              <w:pStyle w:val="TableParagraph"/>
              <w:numPr>
                <w:ilvl w:val="0"/>
                <w:numId w:val="21"/>
              </w:numPr>
              <w:tabs>
                <w:tab w:val="left" w:pos="563"/>
              </w:tabs>
              <w:spacing w:before="118" w:after="0" w:line="240" w:lineRule="auto"/>
              <w:ind w:left="563" w:right="0" w:hanging="261"/>
              <w:jc w:val="left"/>
              <w:rPr>
                <w:sz w:val="22"/>
              </w:rPr>
            </w:pPr>
            <w:r>
              <w:rPr>
                <w:sz w:val="22"/>
              </w:rPr>
              <w:t>Greater</w:t>
            </w:r>
            <w:r>
              <w:rPr>
                <w:spacing w:val="-8"/>
                <w:sz w:val="22"/>
              </w:rPr>
              <w:t xml:space="preserve"> </w:t>
            </w:r>
            <w:r>
              <w:rPr>
                <w:spacing w:val="-4"/>
                <w:sz w:val="22"/>
              </w:rPr>
              <w:t>than</w:t>
            </w:r>
          </w:p>
          <w:p>
            <w:pPr>
              <w:pStyle w:val="TableParagraph"/>
              <w:spacing w:before="2"/>
              <w:ind w:left="170" w:right="160" w:hanging="2"/>
              <w:jc w:val="center"/>
              <w:rPr>
                <w:sz w:val="22"/>
              </w:rPr>
            </w:pPr>
            <w:r>
              <w:rPr>
                <w:sz w:val="22"/>
              </w:rPr>
              <w:t>$0.00 allocated to the Part D basic premium in the initial</w:t>
            </w:r>
            <w:r>
              <w:rPr>
                <w:spacing w:val="-14"/>
                <w:sz w:val="22"/>
              </w:rPr>
              <w:t xml:space="preserve"> </w:t>
            </w:r>
            <w:r>
              <w:rPr>
                <w:sz w:val="22"/>
              </w:rPr>
              <w:t>submission;</w:t>
            </w:r>
          </w:p>
          <w:p>
            <w:pPr>
              <w:pStyle w:val="TableParagraph"/>
              <w:numPr>
                <w:ilvl w:val="0"/>
                <w:numId w:val="21"/>
              </w:numPr>
              <w:tabs>
                <w:tab w:val="left" w:pos="718"/>
              </w:tabs>
              <w:spacing w:before="0" w:after="0" w:line="242" w:lineRule="auto"/>
              <w:ind w:left="132" w:right="118" w:firstLine="264"/>
              <w:jc w:val="left"/>
              <w:rPr>
                <w:sz w:val="22"/>
              </w:rPr>
            </w:pPr>
            <w:r>
              <w:rPr>
                <w:spacing w:val="-2"/>
                <w:sz w:val="22"/>
              </w:rPr>
              <w:t xml:space="preserve">excessive </w:t>
            </w:r>
            <w:r>
              <w:rPr>
                <w:sz w:val="22"/>
              </w:rPr>
              <w:t>rebates</w:t>
            </w:r>
            <w:r>
              <w:rPr>
                <w:spacing w:val="-14"/>
                <w:sz w:val="22"/>
              </w:rPr>
              <w:t xml:space="preserve"> </w:t>
            </w:r>
            <w:r>
              <w:rPr>
                <w:sz w:val="22"/>
              </w:rPr>
              <w:t>allocated</w:t>
            </w:r>
            <w:r>
              <w:rPr>
                <w:spacing w:val="-14"/>
                <w:sz w:val="22"/>
              </w:rPr>
              <w:t xml:space="preserve"> </w:t>
            </w:r>
            <w:r>
              <w:rPr>
                <w:sz w:val="22"/>
              </w:rPr>
              <w:t>to</w:t>
            </w:r>
          </w:p>
          <w:p>
            <w:pPr>
              <w:pStyle w:val="TableParagraph"/>
              <w:ind w:left="110" w:right="96" w:hanging="3"/>
              <w:jc w:val="center"/>
              <w:rPr>
                <w:sz w:val="22"/>
              </w:rPr>
            </w:pPr>
            <w:r>
              <w:rPr>
                <w:sz w:val="22"/>
              </w:rPr>
              <w:t>the Part D basic premium in the initial submission but</w:t>
            </w:r>
            <w:r>
              <w:rPr>
                <w:spacing w:val="-12"/>
                <w:sz w:val="22"/>
              </w:rPr>
              <w:t xml:space="preserve"> </w:t>
            </w:r>
            <w:r>
              <w:rPr>
                <w:sz w:val="22"/>
              </w:rPr>
              <w:t>does</w:t>
            </w:r>
            <w:r>
              <w:rPr>
                <w:spacing w:val="-12"/>
                <w:sz w:val="22"/>
              </w:rPr>
              <w:t xml:space="preserve"> </w:t>
            </w:r>
            <w:r>
              <w:rPr>
                <w:sz w:val="22"/>
              </w:rPr>
              <w:t>not</w:t>
            </w:r>
            <w:r>
              <w:rPr>
                <w:spacing w:val="-12"/>
                <w:sz w:val="22"/>
              </w:rPr>
              <w:t xml:space="preserve"> </w:t>
            </w:r>
            <w:r>
              <w:rPr>
                <w:sz w:val="22"/>
              </w:rPr>
              <w:t>exceed the Part D basic premium prior to rebates; and</w:t>
            </w:r>
          </w:p>
          <w:p>
            <w:pPr>
              <w:pStyle w:val="TableParagraph"/>
              <w:numPr>
                <w:ilvl w:val="0"/>
                <w:numId w:val="21"/>
              </w:numPr>
              <w:tabs>
                <w:tab w:val="left" w:pos="338"/>
                <w:tab w:val="left" w:pos="663"/>
              </w:tabs>
              <w:spacing w:before="0" w:after="0" w:line="240" w:lineRule="auto"/>
              <w:ind w:left="338" w:right="267" w:hanging="58"/>
              <w:jc w:val="left"/>
              <w:rPr>
                <w:sz w:val="22"/>
              </w:rPr>
            </w:pPr>
            <w:r>
              <w:rPr>
                <w:sz w:val="22"/>
              </w:rPr>
              <w:t>total</w:t>
            </w:r>
            <w:r>
              <w:rPr>
                <w:spacing w:val="-14"/>
                <w:sz w:val="22"/>
              </w:rPr>
              <w:t xml:space="preserve"> </w:t>
            </w:r>
            <w:r>
              <w:rPr>
                <w:sz w:val="22"/>
              </w:rPr>
              <w:t>Part</w:t>
            </w:r>
            <w:r>
              <w:rPr>
                <w:spacing w:val="-14"/>
                <w:sz w:val="22"/>
              </w:rPr>
              <w:t xml:space="preserve"> </w:t>
            </w:r>
            <w:r>
              <w:rPr>
                <w:sz w:val="22"/>
              </w:rPr>
              <w:t>D premium* is greater than or</w:t>
            </w:r>
          </w:p>
          <w:p>
            <w:pPr>
              <w:pStyle w:val="TableParagraph"/>
              <w:ind w:left="465"/>
              <w:rPr>
                <w:sz w:val="22"/>
              </w:rPr>
            </w:pPr>
            <w:r>
              <w:rPr>
                <w:sz w:val="22"/>
              </w:rPr>
              <w:t>equal</w:t>
            </w:r>
            <w:r>
              <w:rPr>
                <w:spacing w:val="-2"/>
                <w:sz w:val="22"/>
              </w:rPr>
              <w:t xml:space="preserve"> </w:t>
            </w:r>
            <w:r>
              <w:rPr>
                <w:sz w:val="22"/>
              </w:rPr>
              <w:t xml:space="preserve">to </w:t>
            </w:r>
            <w:r>
              <w:rPr>
                <w:spacing w:val="-5"/>
                <w:sz w:val="22"/>
              </w:rPr>
              <w:t>$0.</w:t>
            </w:r>
          </w:p>
        </w:tc>
        <w:tc>
          <w:tcPr>
            <w:tcW w:w="191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spacing w:before="1"/>
              <w:ind w:left="8"/>
              <w:jc w:val="center"/>
              <w:rPr>
                <w:sz w:val="22"/>
              </w:rPr>
            </w:pPr>
            <w:r>
              <w:rPr>
                <w:spacing w:val="-2"/>
                <w:sz w:val="22"/>
              </w:rPr>
              <w:t>Permitted</w:t>
            </w:r>
          </w:p>
        </w:tc>
        <w:tc>
          <w:tcPr>
            <w:tcW w:w="149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18"/>
              <w:rPr>
                <w:rFonts w:ascii="Arial"/>
                <w:b/>
                <w:sz w:val="22"/>
              </w:rPr>
            </w:pPr>
          </w:p>
          <w:p>
            <w:pPr>
              <w:pStyle w:val="TableParagraph"/>
              <w:ind w:left="164" w:right="156"/>
              <w:jc w:val="center"/>
              <w:rPr>
                <w:sz w:val="22"/>
              </w:rPr>
            </w:pPr>
            <w:r>
              <w:rPr>
                <w:sz w:val="22"/>
              </w:rPr>
              <w:t>4 and 5, if targeting</w:t>
            </w:r>
            <w:r>
              <w:rPr>
                <w:spacing w:val="-5"/>
                <w:sz w:val="22"/>
              </w:rPr>
              <w:t xml:space="preserve"> </w:t>
            </w:r>
            <w:r>
              <w:rPr>
                <w:sz w:val="22"/>
              </w:rPr>
              <w:t>the initial</w:t>
            </w:r>
            <w:r>
              <w:rPr>
                <w:spacing w:val="-14"/>
                <w:sz w:val="22"/>
              </w:rPr>
              <w:t xml:space="preserve"> </w:t>
            </w:r>
            <w:r>
              <w:rPr>
                <w:sz w:val="22"/>
              </w:rPr>
              <w:t>Part</w:t>
            </w:r>
            <w:r>
              <w:rPr>
                <w:spacing w:val="-14"/>
                <w:sz w:val="22"/>
              </w:rPr>
              <w:t xml:space="preserve"> </w:t>
            </w:r>
            <w:r>
              <w:rPr>
                <w:sz w:val="22"/>
              </w:rPr>
              <w:t xml:space="preserve">D </w:t>
            </w:r>
            <w:r>
              <w:rPr>
                <w:spacing w:val="-2"/>
                <w:sz w:val="22"/>
              </w:rPr>
              <w:t xml:space="preserve">basic </w:t>
            </w:r>
            <w:r>
              <w:rPr>
                <w:sz w:val="22"/>
              </w:rPr>
              <w:t>premium; or 7 and 8, if targeting</w:t>
            </w:r>
            <w:r>
              <w:rPr>
                <w:spacing w:val="-5"/>
                <w:sz w:val="22"/>
              </w:rPr>
              <w:t xml:space="preserve"> </w:t>
            </w:r>
            <w:r>
              <w:rPr>
                <w:sz w:val="22"/>
              </w:rPr>
              <w:t xml:space="preserve">the </w:t>
            </w:r>
            <w:r>
              <w:rPr>
                <w:spacing w:val="-2"/>
                <w:sz w:val="22"/>
              </w:rPr>
              <w:t>LIPSA</w:t>
            </w:r>
          </w:p>
        </w:tc>
        <w:tc>
          <w:tcPr>
            <w:tcW w:w="124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spacing w:before="1"/>
              <w:ind w:left="16"/>
              <w:jc w:val="center"/>
              <w:rPr>
                <w:sz w:val="22"/>
              </w:rPr>
            </w:pPr>
            <w:r>
              <w:rPr>
                <w:spacing w:val="-2"/>
                <w:sz w:val="22"/>
              </w:rPr>
              <w:t>Permitted</w:t>
            </w:r>
          </w:p>
        </w:tc>
        <w:tc>
          <w:tcPr>
            <w:tcW w:w="13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spacing w:before="1"/>
              <w:ind w:left="20"/>
              <w:jc w:val="center"/>
              <w:rPr>
                <w:sz w:val="22"/>
              </w:rPr>
            </w:pPr>
            <w:r>
              <w:rPr>
                <w:sz w:val="22"/>
              </w:rPr>
              <w:t xml:space="preserve">14 and </w:t>
            </w:r>
            <w:r>
              <w:rPr>
                <w:spacing w:val="-5"/>
                <w:sz w:val="22"/>
              </w:rPr>
              <w:t>16</w:t>
            </w:r>
          </w:p>
        </w:tc>
      </w:tr>
      <w:tr>
        <w:tblPrEx>
          <w:tblW w:w="0" w:type="auto"/>
          <w:jc w:val="left"/>
          <w:tblInd w:w="329" w:type="dxa"/>
          <w:tblLayout w:type="fixed"/>
          <w:tblCellMar>
            <w:top w:w="0" w:type="dxa"/>
            <w:left w:w="0" w:type="dxa"/>
            <w:bottom w:w="0" w:type="dxa"/>
            <w:right w:w="0" w:type="dxa"/>
          </w:tblCellMar>
          <w:tblLook w:val="01E0"/>
        </w:tblPrEx>
        <w:trPr>
          <w:trHeight w:val="3780"/>
          <w:jc w:val="left"/>
        </w:trPr>
        <w:tc>
          <w:tcPr>
            <w:tcW w:w="1099"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9"/>
              <w:jc w:val="center"/>
              <w:rPr>
                <w:sz w:val="22"/>
              </w:rPr>
            </w:pPr>
            <w:r>
              <w:rPr>
                <w:spacing w:val="-10"/>
                <w:sz w:val="22"/>
              </w:rPr>
              <w:t>6</w:t>
            </w:r>
          </w:p>
        </w:tc>
        <w:tc>
          <w:tcPr>
            <w:tcW w:w="139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17"/>
              <w:rPr>
                <w:rFonts w:ascii="Arial"/>
                <w:b/>
                <w:sz w:val="22"/>
              </w:rPr>
            </w:pPr>
          </w:p>
          <w:p>
            <w:pPr>
              <w:pStyle w:val="TableParagraph"/>
              <w:ind w:left="3"/>
              <w:jc w:val="center"/>
              <w:rPr>
                <w:sz w:val="22"/>
              </w:rPr>
            </w:pPr>
            <w:r>
              <w:rPr>
                <w:sz w:val="22"/>
              </w:rPr>
              <w:t>Greater</w:t>
            </w:r>
            <w:r>
              <w:rPr>
                <w:spacing w:val="-8"/>
                <w:sz w:val="22"/>
              </w:rPr>
              <w:t xml:space="preserve"> </w:t>
            </w:r>
            <w:r>
              <w:rPr>
                <w:spacing w:val="-4"/>
                <w:sz w:val="22"/>
              </w:rPr>
              <w:t>than</w:t>
            </w:r>
          </w:p>
          <w:p>
            <w:pPr>
              <w:pStyle w:val="TableParagraph"/>
              <w:spacing w:before="4"/>
              <w:ind w:left="3" w:right="1"/>
              <w:jc w:val="center"/>
              <w:rPr>
                <w:sz w:val="22"/>
              </w:rPr>
            </w:pPr>
            <w:r>
              <w:rPr>
                <w:spacing w:val="-5"/>
                <w:sz w:val="22"/>
              </w:rPr>
              <w:t>$0</w:t>
            </w:r>
          </w:p>
        </w:tc>
        <w:tc>
          <w:tcPr>
            <w:tcW w:w="1963" w:type="dxa"/>
          </w:tcPr>
          <w:p>
            <w:pPr>
              <w:pStyle w:val="TableParagraph"/>
              <w:spacing w:before="118" w:line="253" w:lineRule="exact"/>
              <w:ind w:left="302"/>
              <w:rPr>
                <w:sz w:val="22"/>
              </w:rPr>
            </w:pPr>
            <w:r>
              <w:rPr>
                <w:sz w:val="22"/>
              </w:rPr>
              <w:t>(i)</w:t>
            </w:r>
            <w:r>
              <w:rPr>
                <w:spacing w:val="-7"/>
                <w:sz w:val="22"/>
              </w:rPr>
              <w:t xml:space="preserve"> </w:t>
            </w:r>
            <w:r>
              <w:rPr>
                <w:sz w:val="22"/>
              </w:rPr>
              <w:t>Greater</w:t>
            </w:r>
            <w:r>
              <w:rPr>
                <w:spacing w:val="-3"/>
                <w:sz w:val="22"/>
              </w:rPr>
              <w:t xml:space="preserve"> </w:t>
            </w:r>
            <w:r>
              <w:rPr>
                <w:spacing w:val="-4"/>
                <w:sz w:val="22"/>
              </w:rPr>
              <w:t>than</w:t>
            </w:r>
          </w:p>
          <w:p>
            <w:pPr>
              <w:pStyle w:val="TableParagraph"/>
              <w:ind w:left="170" w:right="160" w:hanging="2"/>
              <w:jc w:val="center"/>
              <w:rPr>
                <w:sz w:val="22"/>
              </w:rPr>
            </w:pPr>
            <w:r>
              <w:rPr>
                <w:sz w:val="22"/>
              </w:rPr>
              <w:t>$0.00 allocated to the Part D basic premium in the initial</w:t>
            </w:r>
            <w:r>
              <w:rPr>
                <w:spacing w:val="-14"/>
                <w:sz w:val="22"/>
              </w:rPr>
              <w:t xml:space="preserve"> </w:t>
            </w:r>
            <w:r>
              <w:rPr>
                <w:sz w:val="22"/>
              </w:rPr>
              <w:t>submission;</w:t>
            </w:r>
          </w:p>
          <w:p>
            <w:pPr>
              <w:pStyle w:val="TableParagraph"/>
              <w:spacing w:before="1"/>
              <w:ind w:left="132" w:firstLine="184"/>
              <w:rPr>
                <w:sz w:val="22"/>
              </w:rPr>
            </w:pPr>
            <w:r>
              <w:rPr>
                <w:sz w:val="22"/>
              </w:rPr>
              <w:t>(ii) insufficient rebates</w:t>
            </w:r>
            <w:r>
              <w:rPr>
                <w:spacing w:val="-14"/>
                <w:sz w:val="22"/>
              </w:rPr>
              <w:t xml:space="preserve"> </w:t>
            </w:r>
            <w:r>
              <w:rPr>
                <w:sz w:val="22"/>
              </w:rPr>
              <w:t>allocated</w:t>
            </w:r>
            <w:r>
              <w:rPr>
                <w:spacing w:val="-14"/>
                <w:sz w:val="22"/>
              </w:rPr>
              <w:t xml:space="preserve"> </w:t>
            </w:r>
            <w:r>
              <w:rPr>
                <w:sz w:val="22"/>
              </w:rPr>
              <w:t>to</w:t>
            </w:r>
          </w:p>
          <w:p>
            <w:pPr>
              <w:pStyle w:val="TableParagraph"/>
              <w:ind w:left="116" w:right="105"/>
              <w:jc w:val="center"/>
              <w:rPr>
                <w:sz w:val="22"/>
              </w:rPr>
            </w:pPr>
            <w:r>
              <w:rPr>
                <w:sz w:val="22"/>
              </w:rPr>
              <w:t>the Part D basic premium in the initial</w:t>
            </w:r>
            <w:r>
              <w:rPr>
                <w:spacing w:val="-14"/>
                <w:sz w:val="22"/>
              </w:rPr>
              <w:t xml:space="preserve"> </w:t>
            </w:r>
            <w:r>
              <w:rPr>
                <w:sz w:val="22"/>
              </w:rPr>
              <w:t>submission; and (iii) total</w:t>
            </w:r>
          </w:p>
          <w:p>
            <w:pPr>
              <w:pStyle w:val="TableParagraph"/>
              <w:ind w:left="115" w:right="103"/>
              <w:jc w:val="center"/>
              <w:rPr>
                <w:sz w:val="22"/>
              </w:rPr>
            </w:pPr>
            <w:r>
              <w:rPr>
                <w:sz w:val="22"/>
              </w:rPr>
              <w:t>Part</w:t>
            </w:r>
            <w:r>
              <w:rPr>
                <w:spacing w:val="-10"/>
                <w:sz w:val="22"/>
              </w:rPr>
              <w:t xml:space="preserve"> </w:t>
            </w:r>
            <w:r>
              <w:rPr>
                <w:sz w:val="22"/>
              </w:rPr>
              <w:t>D</w:t>
            </w:r>
            <w:r>
              <w:rPr>
                <w:spacing w:val="-12"/>
                <w:sz w:val="22"/>
              </w:rPr>
              <w:t xml:space="preserve"> </w:t>
            </w:r>
            <w:r>
              <w:rPr>
                <w:sz w:val="22"/>
              </w:rPr>
              <w:t>premium*</w:t>
            </w:r>
            <w:r>
              <w:rPr>
                <w:spacing w:val="-14"/>
                <w:sz w:val="22"/>
              </w:rPr>
              <w:t xml:space="preserve"> </w:t>
            </w:r>
            <w:r>
              <w:rPr>
                <w:sz w:val="22"/>
              </w:rPr>
              <w:t>is greater than or equal to $0.</w:t>
            </w:r>
          </w:p>
        </w:tc>
        <w:tc>
          <w:tcPr>
            <w:tcW w:w="191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8"/>
              <w:jc w:val="center"/>
              <w:rPr>
                <w:sz w:val="22"/>
              </w:rPr>
            </w:pPr>
            <w:r>
              <w:rPr>
                <w:spacing w:val="-2"/>
                <w:sz w:val="22"/>
              </w:rPr>
              <w:t>Permitted</w:t>
            </w:r>
          </w:p>
        </w:tc>
        <w:tc>
          <w:tcPr>
            <w:tcW w:w="149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17"/>
              <w:rPr>
                <w:rFonts w:ascii="Arial"/>
                <w:b/>
                <w:sz w:val="22"/>
              </w:rPr>
            </w:pPr>
          </w:p>
          <w:p>
            <w:pPr>
              <w:pStyle w:val="TableParagraph"/>
              <w:ind w:left="149" w:right="141"/>
              <w:jc w:val="center"/>
              <w:rPr>
                <w:sz w:val="22"/>
              </w:rPr>
            </w:pPr>
            <w:r>
              <w:rPr>
                <w:sz w:val="22"/>
              </w:rPr>
              <w:t>6,</w:t>
            </w:r>
            <w:r>
              <w:rPr>
                <w:spacing w:val="-14"/>
                <w:sz w:val="22"/>
              </w:rPr>
              <w:t xml:space="preserve"> </w:t>
            </w:r>
            <w:r>
              <w:rPr>
                <w:sz w:val="22"/>
              </w:rPr>
              <w:t>if</w:t>
            </w:r>
            <w:r>
              <w:rPr>
                <w:spacing w:val="-14"/>
                <w:sz w:val="22"/>
              </w:rPr>
              <w:t xml:space="preserve"> </w:t>
            </w:r>
            <w:r>
              <w:rPr>
                <w:sz w:val="22"/>
              </w:rPr>
              <w:t>targeting the initial Part D basic premium; or 9,</w:t>
            </w:r>
            <w:r>
              <w:rPr>
                <w:spacing w:val="-14"/>
                <w:sz w:val="22"/>
              </w:rPr>
              <w:t xml:space="preserve"> </w:t>
            </w:r>
            <w:r>
              <w:rPr>
                <w:sz w:val="22"/>
              </w:rPr>
              <w:t>if</w:t>
            </w:r>
            <w:r>
              <w:rPr>
                <w:spacing w:val="-14"/>
                <w:sz w:val="22"/>
              </w:rPr>
              <w:t xml:space="preserve"> </w:t>
            </w:r>
            <w:r>
              <w:rPr>
                <w:sz w:val="22"/>
              </w:rPr>
              <w:t>targeting the LIPSA</w:t>
            </w:r>
          </w:p>
        </w:tc>
        <w:tc>
          <w:tcPr>
            <w:tcW w:w="124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16"/>
              <w:jc w:val="center"/>
              <w:rPr>
                <w:sz w:val="22"/>
              </w:rPr>
            </w:pPr>
            <w:r>
              <w:rPr>
                <w:spacing w:val="-2"/>
                <w:sz w:val="22"/>
              </w:rPr>
              <w:t>Permitted</w:t>
            </w:r>
          </w:p>
        </w:tc>
        <w:tc>
          <w:tcPr>
            <w:tcW w:w="13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20"/>
              <w:jc w:val="center"/>
              <w:rPr>
                <w:sz w:val="22"/>
              </w:rPr>
            </w:pPr>
            <w:r>
              <w:rPr>
                <w:spacing w:val="-5"/>
                <w:sz w:val="22"/>
              </w:rPr>
              <w:t>15a</w:t>
            </w:r>
          </w:p>
        </w:tc>
      </w:tr>
      <w:tr>
        <w:tblPrEx>
          <w:tblW w:w="0" w:type="auto"/>
          <w:jc w:val="left"/>
          <w:tblInd w:w="329" w:type="dxa"/>
          <w:tblLayout w:type="fixed"/>
          <w:tblCellMar>
            <w:top w:w="0" w:type="dxa"/>
            <w:left w:w="0" w:type="dxa"/>
            <w:bottom w:w="0" w:type="dxa"/>
            <w:right w:w="0" w:type="dxa"/>
          </w:tblCellMar>
          <w:tblLook w:val="01E0"/>
        </w:tblPrEx>
        <w:trPr>
          <w:trHeight w:val="2265"/>
          <w:jc w:val="left"/>
        </w:trPr>
        <w:tc>
          <w:tcPr>
            <w:tcW w:w="1099" w:type="dxa"/>
          </w:tcPr>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spacing w:before="1"/>
              <w:ind w:left="9"/>
              <w:jc w:val="center"/>
              <w:rPr>
                <w:sz w:val="22"/>
              </w:rPr>
            </w:pPr>
            <w:r>
              <w:rPr>
                <w:spacing w:val="-10"/>
                <w:sz w:val="22"/>
              </w:rPr>
              <w:t>7</w:t>
            </w:r>
          </w:p>
        </w:tc>
        <w:tc>
          <w:tcPr>
            <w:tcW w:w="1390" w:type="dxa"/>
          </w:tcPr>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spacing w:before="1"/>
              <w:ind w:left="3" w:right="1"/>
              <w:jc w:val="center"/>
              <w:rPr>
                <w:sz w:val="22"/>
              </w:rPr>
            </w:pPr>
            <w:r>
              <w:rPr>
                <w:spacing w:val="-5"/>
                <w:sz w:val="22"/>
              </w:rPr>
              <w:t>$0</w:t>
            </w:r>
          </w:p>
        </w:tc>
        <w:tc>
          <w:tcPr>
            <w:tcW w:w="1963" w:type="dxa"/>
          </w:tcPr>
          <w:p>
            <w:pPr>
              <w:pStyle w:val="TableParagraph"/>
              <w:spacing w:before="121"/>
              <w:ind w:left="168" w:right="46" w:firstLine="9"/>
              <w:rPr>
                <w:sz w:val="22"/>
              </w:rPr>
            </w:pPr>
            <w:r>
              <w:rPr>
                <w:sz w:val="22"/>
              </w:rPr>
              <w:t>(i)</w:t>
            </w:r>
            <w:r>
              <w:rPr>
                <w:spacing w:val="-14"/>
                <w:sz w:val="22"/>
              </w:rPr>
              <w:t xml:space="preserve"> </w:t>
            </w:r>
            <w:r>
              <w:rPr>
                <w:sz w:val="22"/>
              </w:rPr>
              <w:t>$0.00</w:t>
            </w:r>
            <w:r>
              <w:rPr>
                <w:spacing w:val="-14"/>
                <w:sz w:val="22"/>
              </w:rPr>
              <w:t xml:space="preserve"> </w:t>
            </w:r>
            <w:r>
              <w:rPr>
                <w:sz w:val="22"/>
              </w:rPr>
              <w:t>allocated to</w:t>
            </w:r>
            <w:r>
              <w:rPr>
                <w:spacing w:val="-4"/>
                <w:sz w:val="22"/>
              </w:rPr>
              <w:t xml:space="preserve"> </w:t>
            </w:r>
            <w:r>
              <w:rPr>
                <w:sz w:val="22"/>
              </w:rPr>
              <w:t>the</w:t>
            </w:r>
            <w:r>
              <w:rPr>
                <w:spacing w:val="-1"/>
                <w:sz w:val="22"/>
              </w:rPr>
              <w:t xml:space="preserve"> </w:t>
            </w:r>
            <w:r>
              <w:rPr>
                <w:sz w:val="22"/>
              </w:rPr>
              <w:t>Part D</w:t>
            </w:r>
            <w:r>
              <w:rPr>
                <w:spacing w:val="-2"/>
                <w:sz w:val="22"/>
              </w:rPr>
              <w:t xml:space="preserve"> </w:t>
            </w:r>
            <w:r>
              <w:rPr>
                <w:spacing w:val="-4"/>
                <w:sz w:val="22"/>
              </w:rPr>
              <w:t>basi</w:t>
            </w:r>
            <w:r>
              <w:rPr>
                <w:spacing w:val="-4"/>
                <w:sz w:val="22"/>
              </w:rPr>
              <w:t>c</w:t>
            </w:r>
          </w:p>
          <w:p>
            <w:pPr>
              <w:pStyle w:val="TableParagraph"/>
              <w:ind w:left="124" w:right="111" w:hanging="5"/>
              <w:jc w:val="center"/>
              <w:rPr>
                <w:sz w:val="22"/>
              </w:rPr>
            </w:pPr>
            <w:r>
              <w:rPr>
                <w:sz w:val="22"/>
              </w:rPr>
              <w:t>premium in the initial submission; and</w:t>
            </w:r>
            <w:r>
              <w:rPr>
                <w:spacing w:val="-9"/>
                <w:sz w:val="22"/>
              </w:rPr>
              <w:t xml:space="preserve"> </w:t>
            </w:r>
            <w:r>
              <w:rPr>
                <w:sz w:val="22"/>
              </w:rPr>
              <w:t>(ii)</w:t>
            </w:r>
            <w:r>
              <w:rPr>
                <w:spacing w:val="-9"/>
                <w:sz w:val="22"/>
              </w:rPr>
              <w:t xml:space="preserve"> </w:t>
            </w:r>
            <w:r>
              <w:rPr>
                <w:sz w:val="22"/>
              </w:rPr>
              <w:t>total</w:t>
            </w:r>
            <w:r>
              <w:rPr>
                <w:spacing w:val="-9"/>
                <w:sz w:val="22"/>
              </w:rPr>
              <w:t xml:space="preserve"> </w:t>
            </w:r>
            <w:r>
              <w:rPr>
                <w:sz w:val="22"/>
              </w:rPr>
              <w:t>Part</w:t>
            </w:r>
            <w:r>
              <w:rPr>
                <w:spacing w:val="-8"/>
                <w:sz w:val="22"/>
              </w:rPr>
              <w:t xml:space="preserve"> </w:t>
            </w:r>
            <w:r>
              <w:rPr>
                <w:sz w:val="22"/>
              </w:rPr>
              <w:t xml:space="preserve">D </w:t>
            </w:r>
            <w:r>
              <w:rPr>
                <w:spacing w:val="-2"/>
                <w:sz w:val="22"/>
              </w:rPr>
              <w:t xml:space="preserve">premium* </w:t>
            </w:r>
            <w:r>
              <w:rPr>
                <w:sz w:val="22"/>
              </w:rPr>
              <w:t>decreases below</w:t>
            </w:r>
          </w:p>
          <w:p>
            <w:pPr>
              <w:pStyle w:val="TableParagraph"/>
              <w:spacing w:before="2"/>
              <w:ind w:left="116" w:right="108"/>
              <w:jc w:val="center"/>
              <w:rPr>
                <w:sz w:val="22"/>
              </w:rPr>
            </w:pPr>
            <w:r>
              <w:rPr>
                <w:spacing w:val="-5"/>
                <w:sz w:val="22"/>
              </w:rPr>
              <w:t>$0.</w:t>
            </w:r>
          </w:p>
        </w:tc>
        <w:tc>
          <w:tcPr>
            <w:tcW w:w="1915" w:type="dxa"/>
          </w:tcPr>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spacing w:before="1"/>
              <w:ind w:left="8"/>
              <w:jc w:val="center"/>
              <w:rPr>
                <w:sz w:val="22"/>
              </w:rPr>
            </w:pPr>
            <w:r>
              <w:rPr>
                <w:spacing w:val="-2"/>
                <w:sz w:val="22"/>
              </w:rPr>
              <w:t>Required</w:t>
            </w:r>
          </w:p>
        </w:tc>
        <w:tc>
          <w:tcPr>
            <w:tcW w:w="1495" w:type="dxa"/>
          </w:tcPr>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spacing w:before="1"/>
              <w:ind w:left="164" w:right="158"/>
              <w:jc w:val="center"/>
              <w:rPr>
                <w:sz w:val="22"/>
              </w:rPr>
            </w:pPr>
            <w:r>
              <w:rPr>
                <w:spacing w:val="-4"/>
                <w:sz w:val="22"/>
              </w:rPr>
              <w:t>None</w:t>
            </w:r>
          </w:p>
        </w:tc>
        <w:tc>
          <w:tcPr>
            <w:tcW w:w="1242" w:type="dxa"/>
          </w:tcPr>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spacing w:before="1"/>
              <w:ind w:left="16"/>
              <w:jc w:val="center"/>
              <w:rPr>
                <w:sz w:val="22"/>
              </w:rPr>
            </w:pPr>
            <w:r>
              <w:rPr>
                <w:spacing w:val="-2"/>
                <w:sz w:val="22"/>
              </w:rPr>
              <w:t>Permitted</w:t>
            </w:r>
          </w:p>
        </w:tc>
        <w:tc>
          <w:tcPr>
            <w:tcW w:w="1370" w:type="dxa"/>
          </w:tcPr>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spacing w:before="1"/>
              <w:ind w:left="20" w:right="5"/>
              <w:jc w:val="center"/>
              <w:rPr>
                <w:sz w:val="22"/>
              </w:rPr>
            </w:pPr>
            <w:r>
              <w:rPr>
                <w:spacing w:val="-4"/>
                <w:sz w:val="22"/>
              </w:rPr>
              <w:t>None</w:t>
            </w:r>
          </w:p>
        </w:tc>
      </w:tr>
    </w:tbl>
    <w:p>
      <w:pPr>
        <w:pStyle w:val="TableParagraph"/>
        <w:spacing w:after="0"/>
        <w:jc w:val="center"/>
        <w:rPr>
          <w:sz w:val="22"/>
        </w:rPr>
        <w:sectPr>
          <w:pgSz w:w="12240" w:h="15840"/>
          <w:pgMar w:top="960" w:right="0" w:bottom="940" w:left="1080" w:header="727" w:footer="747"/>
          <w:cols w:space="720"/>
        </w:sectPr>
      </w:pPr>
    </w:p>
    <w:p>
      <w:pPr>
        <w:pStyle w:val="BodyText"/>
        <w:ind w:left="0"/>
        <w:rPr>
          <w:rFonts w:ascii="Arial"/>
          <w:b/>
          <w:sz w:val="20"/>
        </w:rPr>
      </w:pPr>
    </w:p>
    <w:p>
      <w:pPr>
        <w:pStyle w:val="BodyText"/>
        <w:spacing w:before="6" w:after="1"/>
        <w:ind w:left="0"/>
        <w:rPr>
          <w:rFonts w:ascii="Arial"/>
          <w:b/>
          <w:sz w:val="20"/>
        </w:rPr>
      </w:pPr>
    </w:p>
    <w:tbl>
      <w:tblPr>
        <w:tblStyle w:val="TableNormal"/>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1390"/>
        <w:gridCol w:w="1963"/>
        <w:gridCol w:w="1915"/>
        <w:gridCol w:w="1495"/>
        <w:gridCol w:w="1242"/>
        <w:gridCol w:w="1370"/>
      </w:tblGrid>
      <w:tr>
        <w:tblPrEx>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619"/>
          <w:jc w:val="left"/>
        </w:trPr>
        <w:tc>
          <w:tcPr>
            <w:tcW w:w="1099" w:type="dxa"/>
          </w:tcPr>
          <w:p>
            <w:pPr>
              <w:pStyle w:val="TableParagraph"/>
              <w:rPr>
                <w:rFonts w:ascii="Arial"/>
                <w:b/>
                <w:sz w:val="24"/>
              </w:rPr>
            </w:pPr>
          </w:p>
          <w:p>
            <w:pPr>
              <w:pStyle w:val="TableParagraph"/>
              <w:spacing w:before="119"/>
              <w:rPr>
                <w:rFonts w:ascii="Arial"/>
                <w:b/>
                <w:sz w:val="24"/>
              </w:rPr>
            </w:pPr>
          </w:p>
          <w:p>
            <w:pPr>
              <w:pStyle w:val="TableParagraph"/>
              <w:ind w:left="9" w:right="4"/>
              <w:jc w:val="center"/>
              <w:rPr>
                <w:b/>
                <w:sz w:val="24"/>
              </w:rPr>
            </w:pPr>
            <w:r>
              <w:rPr>
                <w:b/>
                <w:sz w:val="24"/>
              </w:rPr>
              <w:t>Case</w:t>
            </w:r>
            <w:r>
              <w:rPr>
                <w:b/>
                <w:spacing w:val="-2"/>
                <w:sz w:val="24"/>
              </w:rPr>
              <w:t xml:space="preserve"> </w:t>
            </w:r>
            <w:r>
              <w:rPr>
                <w:b/>
                <w:spacing w:val="-12"/>
                <w:sz w:val="24"/>
              </w:rPr>
              <w:t>#</w:t>
            </w:r>
          </w:p>
        </w:tc>
        <w:tc>
          <w:tcPr>
            <w:tcW w:w="1390" w:type="dxa"/>
          </w:tcPr>
          <w:p>
            <w:pPr>
              <w:pStyle w:val="TableParagraph"/>
              <w:spacing w:before="119"/>
              <w:ind w:left="105" w:right="98" w:hanging="4"/>
              <w:jc w:val="center"/>
              <w:rPr>
                <w:b/>
                <w:sz w:val="24"/>
              </w:rPr>
            </w:pPr>
            <w:r>
              <w:rPr>
                <w:b/>
                <w:spacing w:val="-2"/>
                <w:sz w:val="24"/>
              </w:rPr>
              <w:t>Initial</w:t>
            </w:r>
            <w:r>
              <w:rPr>
                <w:b/>
                <w:spacing w:val="80"/>
                <w:sz w:val="24"/>
              </w:rPr>
              <w:t xml:space="preserve"> </w:t>
            </w:r>
            <w:r>
              <w:rPr>
                <w:b/>
                <w:spacing w:val="-4"/>
                <w:sz w:val="24"/>
              </w:rPr>
              <w:t xml:space="preserve">June </w:t>
            </w:r>
            <w:r>
              <w:rPr>
                <w:b/>
                <w:spacing w:val="-2"/>
                <w:sz w:val="24"/>
              </w:rPr>
              <w:t xml:space="preserve">Submission </w:t>
            </w:r>
            <w:r>
              <w:rPr>
                <w:b/>
                <w:spacing w:val="-6"/>
                <w:sz w:val="24"/>
              </w:rPr>
              <w:t>MA</w:t>
            </w:r>
          </w:p>
          <w:p>
            <w:pPr>
              <w:pStyle w:val="TableParagraph"/>
              <w:ind w:left="3" w:right="2"/>
              <w:jc w:val="center"/>
              <w:rPr>
                <w:b/>
                <w:sz w:val="24"/>
              </w:rPr>
            </w:pPr>
            <w:r>
              <w:rPr>
                <w:b/>
                <w:spacing w:val="-2"/>
                <w:sz w:val="24"/>
              </w:rPr>
              <w:t>Rebate</w:t>
            </w:r>
          </w:p>
        </w:tc>
        <w:tc>
          <w:tcPr>
            <w:tcW w:w="1963" w:type="dxa"/>
          </w:tcPr>
          <w:p>
            <w:pPr>
              <w:pStyle w:val="TableParagraph"/>
              <w:spacing w:before="258"/>
              <w:rPr>
                <w:rFonts w:ascii="Arial"/>
                <w:b/>
                <w:sz w:val="24"/>
              </w:rPr>
            </w:pPr>
          </w:p>
          <w:p>
            <w:pPr>
              <w:pStyle w:val="TableParagraph"/>
              <w:ind w:left="535" w:hanging="408"/>
              <w:rPr>
                <w:b/>
                <w:sz w:val="24"/>
              </w:rPr>
            </w:pPr>
            <w:r>
              <w:rPr>
                <w:b/>
                <w:sz w:val="24"/>
              </w:rPr>
              <w:t>Part</w:t>
            </w:r>
            <w:r>
              <w:rPr>
                <w:b/>
                <w:spacing w:val="-15"/>
                <w:sz w:val="24"/>
              </w:rPr>
              <w:t xml:space="preserve"> </w:t>
            </w:r>
            <w:r>
              <w:rPr>
                <w:b/>
                <w:sz w:val="24"/>
              </w:rPr>
              <w:t>D</w:t>
            </w:r>
            <w:r>
              <w:rPr>
                <w:b/>
                <w:spacing w:val="-15"/>
                <w:sz w:val="24"/>
              </w:rPr>
              <w:t xml:space="preserve"> </w:t>
            </w:r>
            <w:r>
              <w:rPr>
                <w:b/>
                <w:sz w:val="24"/>
              </w:rPr>
              <w:t xml:space="preserve">Premium </w:t>
            </w:r>
            <w:r>
              <w:rPr>
                <w:b/>
                <w:spacing w:val="-2"/>
                <w:sz w:val="24"/>
              </w:rPr>
              <w:t>Scenario</w:t>
            </w:r>
          </w:p>
        </w:tc>
        <w:tc>
          <w:tcPr>
            <w:tcW w:w="1915" w:type="dxa"/>
          </w:tcPr>
          <w:p>
            <w:pPr>
              <w:pStyle w:val="TableParagraph"/>
              <w:spacing w:before="258"/>
              <w:rPr>
                <w:rFonts w:ascii="Arial"/>
                <w:b/>
                <w:sz w:val="24"/>
              </w:rPr>
            </w:pPr>
          </w:p>
          <w:p>
            <w:pPr>
              <w:pStyle w:val="TableParagraph"/>
              <w:ind w:left="317" w:firstLine="281"/>
              <w:rPr>
                <w:b/>
                <w:sz w:val="24"/>
              </w:rPr>
            </w:pPr>
            <w:r>
              <w:rPr>
                <w:b/>
                <w:spacing w:val="-2"/>
                <w:sz w:val="24"/>
              </w:rPr>
              <w:t>Rebate Reallocation</w:t>
            </w:r>
          </w:p>
        </w:tc>
        <w:tc>
          <w:tcPr>
            <w:tcW w:w="1495" w:type="dxa"/>
          </w:tcPr>
          <w:p>
            <w:pPr>
              <w:pStyle w:val="TableParagraph"/>
              <w:spacing w:before="119"/>
              <w:rPr>
                <w:rFonts w:ascii="Arial"/>
                <w:b/>
                <w:sz w:val="24"/>
              </w:rPr>
            </w:pPr>
          </w:p>
          <w:p>
            <w:pPr>
              <w:pStyle w:val="TableParagraph"/>
              <w:ind w:left="106" w:right="98" w:firstLine="2"/>
              <w:jc w:val="center"/>
              <w:rPr>
                <w:b/>
                <w:sz w:val="24"/>
              </w:rPr>
            </w:pPr>
            <w:r>
              <w:rPr>
                <w:b/>
                <w:spacing w:val="-2"/>
                <w:sz w:val="24"/>
              </w:rPr>
              <w:t>Rebate Reallocation Example</w:t>
            </w:r>
          </w:p>
        </w:tc>
        <w:tc>
          <w:tcPr>
            <w:tcW w:w="1242" w:type="dxa"/>
          </w:tcPr>
          <w:p>
            <w:pPr>
              <w:pStyle w:val="TableParagraph"/>
              <w:spacing w:before="258"/>
              <w:rPr>
                <w:rFonts w:ascii="Arial"/>
                <w:b/>
                <w:sz w:val="24"/>
              </w:rPr>
            </w:pPr>
          </w:p>
          <w:p>
            <w:pPr>
              <w:pStyle w:val="TableParagraph"/>
              <w:ind w:left="116" w:firstLine="24"/>
              <w:rPr>
                <w:b/>
                <w:sz w:val="24"/>
              </w:rPr>
            </w:pPr>
            <w:r>
              <w:rPr>
                <w:b/>
                <w:spacing w:val="-2"/>
                <w:sz w:val="24"/>
              </w:rPr>
              <w:t>Premium Rounding</w:t>
            </w:r>
          </w:p>
        </w:tc>
        <w:tc>
          <w:tcPr>
            <w:tcW w:w="1370" w:type="dxa"/>
          </w:tcPr>
          <w:p>
            <w:pPr>
              <w:pStyle w:val="TableParagraph"/>
              <w:spacing w:before="119"/>
              <w:rPr>
                <w:rFonts w:ascii="Arial"/>
                <w:b/>
                <w:sz w:val="24"/>
              </w:rPr>
            </w:pPr>
          </w:p>
          <w:p>
            <w:pPr>
              <w:pStyle w:val="TableParagraph"/>
              <w:ind w:left="180" w:right="163" w:firstLine="26"/>
              <w:jc w:val="both"/>
              <w:rPr>
                <w:b/>
                <w:sz w:val="24"/>
              </w:rPr>
            </w:pPr>
            <w:r>
              <w:rPr>
                <w:b/>
                <w:spacing w:val="-2"/>
                <w:sz w:val="24"/>
              </w:rPr>
              <w:t>Premium Rounding Example</w:t>
            </w:r>
          </w:p>
        </w:tc>
      </w:tr>
      <w:tr>
        <w:tblPrEx>
          <w:tblW w:w="0" w:type="auto"/>
          <w:jc w:val="left"/>
          <w:tblInd w:w="329" w:type="dxa"/>
          <w:tblLayout w:type="fixed"/>
          <w:tblCellMar>
            <w:top w:w="0" w:type="dxa"/>
            <w:left w:w="0" w:type="dxa"/>
            <w:bottom w:w="0" w:type="dxa"/>
            <w:right w:w="0" w:type="dxa"/>
          </w:tblCellMar>
          <w:tblLook w:val="01E0"/>
        </w:tblPrEx>
        <w:trPr>
          <w:trHeight w:val="2265"/>
          <w:jc w:val="left"/>
        </w:trPr>
        <w:tc>
          <w:tcPr>
            <w:tcW w:w="1099" w:type="dxa"/>
          </w:tcPr>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9"/>
              <w:jc w:val="center"/>
              <w:rPr>
                <w:sz w:val="22"/>
              </w:rPr>
            </w:pPr>
            <w:r>
              <w:rPr>
                <w:spacing w:val="-10"/>
                <w:sz w:val="22"/>
              </w:rPr>
              <w:t>8</w:t>
            </w:r>
          </w:p>
        </w:tc>
        <w:tc>
          <w:tcPr>
            <w:tcW w:w="1390" w:type="dxa"/>
          </w:tcPr>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3" w:right="1"/>
              <w:jc w:val="center"/>
              <w:rPr>
                <w:sz w:val="22"/>
              </w:rPr>
            </w:pPr>
            <w:r>
              <w:rPr>
                <w:spacing w:val="-5"/>
                <w:sz w:val="22"/>
              </w:rPr>
              <w:t>$0</w:t>
            </w:r>
          </w:p>
        </w:tc>
        <w:tc>
          <w:tcPr>
            <w:tcW w:w="1963" w:type="dxa"/>
          </w:tcPr>
          <w:p>
            <w:pPr>
              <w:pStyle w:val="TableParagraph"/>
              <w:spacing w:before="118"/>
              <w:ind w:left="168" w:right="46" w:firstLine="9"/>
              <w:rPr>
                <w:sz w:val="22"/>
              </w:rPr>
            </w:pPr>
            <w:r>
              <w:rPr>
                <w:sz w:val="22"/>
              </w:rPr>
              <w:t>(i)</w:t>
            </w:r>
            <w:r>
              <w:rPr>
                <w:spacing w:val="-14"/>
                <w:sz w:val="22"/>
              </w:rPr>
              <w:t xml:space="preserve"> </w:t>
            </w:r>
            <w:r>
              <w:rPr>
                <w:sz w:val="22"/>
              </w:rPr>
              <w:t>$0.00</w:t>
            </w:r>
            <w:r>
              <w:rPr>
                <w:spacing w:val="-14"/>
                <w:sz w:val="22"/>
              </w:rPr>
              <w:t xml:space="preserve"> </w:t>
            </w:r>
            <w:r>
              <w:rPr>
                <w:sz w:val="22"/>
              </w:rPr>
              <w:t>allocated to</w:t>
            </w:r>
            <w:r>
              <w:rPr>
                <w:spacing w:val="-4"/>
                <w:sz w:val="22"/>
              </w:rPr>
              <w:t xml:space="preserve"> </w:t>
            </w:r>
            <w:r>
              <w:rPr>
                <w:sz w:val="22"/>
              </w:rPr>
              <w:t>the</w:t>
            </w:r>
            <w:r>
              <w:rPr>
                <w:spacing w:val="-1"/>
                <w:sz w:val="22"/>
              </w:rPr>
              <w:t xml:space="preserve"> </w:t>
            </w:r>
            <w:r>
              <w:rPr>
                <w:sz w:val="22"/>
              </w:rPr>
              <w:t>Part D</w:t>
            </w:r>
            <w:r>
              <w:rPr>
                <w:spacing w:val="-2"/>
                <w:sz w:val="22"/>
              </w:rPr>
              <w:t xml:space="preserve"> </w:t>
            </w:r>
            <w:r>
              <w:rPr>
                <w:spacing w:val="-4"/>
                <w:sz w:val="22"/>
              </w:rPr>
              <w:t>basi</w:t>
            </w:r>
            <w:r>
              <w:rPr>
                <w:spacing w:val="-4"/>
                <w:sz w:val="22"/>
              </w:rPr>
              <w:t>c</w:t>
            </w:r>
          </w:p>
          <w:p>
            <w:pPr>
              <w:pStyle w:val="TableParagraph"/>
              <w:spacing w:before="1"/>
              <w:ind w:left="124" w:right="111" w:hanging="5"/>
              <w:jc w:val="center"/>
              <w:rPr>
                <w:sz w:val="22"/>
              </w:rPr>
            </w:pPr>
            <w:r>
              <w:rPr>
                <w:sz w:val="22"/>
              </w:rPr>
              <w:t>premium in the initial submission; and</w:t>
            </w:r>
            <w:r>
              <w:rPr>
                <w:spacing w:val="-9"/>
                <w:sz w:val="22"/>
              </w:rPr>
              <w:t xml:space="preserve"> </w:t>
            </w:r>
            <w:r>
              <w:rPr>
                <w:sz w:val="22"/>
              </w:rPr>
              <w:t>(ii)</w:t>
            </w:r>
            <w:r>
              <w:rPr>
                <w:spacing w:val="-9"/>
                <w:sz w:val="22"/>
              </w:rPr>
              <w:t xml:space="preserve"> </w:t>
            </w:r>
            <w:r>
              <w:rPr>
                <w:sz w:val="22"/>
              </w:rPr>
              <w:t>total</w:t>
            </w:r>
            <w:r>
              <w:rPr>
                <w:spacing w:val="-9"/>
                <w:sz w:val="22"/>
              </w:rPr>
              <w:t xml:space="preserve"> </w:t>
            </w:r>
            <w:r>
              <w:rPr>
                <w:sz w:val="22"/>
              </w:rPr>
              <w:t>Part</w:t>
            </w:r>
            <w:r>
              <w:rPr>
                <w:spacing w:val="-8"/>
                <w:sz w:val="22"/>
              </w:rPr>
              <w:t xml:space="preserve"> </w:t>
            </w:r>
            <w:r>
              <w:rPr>
                <w:sz w:val="22"/>
              </w:rPr>
              <w:t>D premium* is greater than or equal to $0.</w:t>
            </w:r>
          </w:p>
        </w:tc>
        <w:tc>
          <w:tcPr>
            <w:tcW w:w="1915" w:type="dxa"/>
          </w:tcPr>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341"/>
              <w:rPr>
                <w:sz w:val="22"/>
              </w:rPr>
            </w:pPr>
            <w:r>
              <w:rPr>
                <w:sz w:val="22"/>
              </w:rPr>
              <w:t>Not</w:t>
            </w:r>
            <w:r>
              <w:rPr>
                <w:spacing w:val="-1"/>
                <w:sz w:val="22"/>
              </w:rPr>
              <w:t xml:space="preserve"> </w:t>
            </w:r>
            <w:r>
              <w:rPr>
                <w:spacing w:val="-2"/>
                <w:sz w:val="22"/>
              </w:rPr>
              <w:t>permitted</w:t>
            </w:r>
          </w:p>
        </w:tc>
        <w:tc>
          <w:tcPr>
            <w:tcW w:w="1495" w:type="dxa"/>
          </w:tcPr>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164" w:right="159"/>
              <w:jc w:val="center"/>
              <w:rPr>
                <w:sz w:val="22"/>
              </w:rPr>
            </w:pPr>
            <w:r>
              <w:rPr>
                <w:spacing w:val="-5"/>
                <w:sz w:val="22"/>
              </w:rPr>
              <w:t>N/A</w:t>
            </w:r>
          </w:p>
        </w:tc>
        <w:tc>
          <w:tcPr>
            <w:tcW w:w="1242" w:type="dxa"/>
          </w:tcPr>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196"/>
              <w:rPr>
                <w:sz w:val="22"/>
              </w:rPr>
            </w:pPr>
            <w:r>
              <w:rPr>
                <w:spacing w:val="-2"/>
                <w:sz w:val="22"/>
              </w:rPr>
              <w:t>Permitted</w:t>
            </w:r>
          </w:p>
        </w:tc>
        <w:tc>
          <w:tcPr>
            <w:tcW w:w="1370" w:type="dxa"/>
          </w:tcPr>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449"/>
              <w:rPr>
                <w:sz w:val="22"/>
              </w:rPr>
            </w:pPr>
            <w:r>
              <w:rPr>
                <w:spacing w:val="-4"/>
                <w:sz w:val="22"/>
              </w:rPr>
              <w:t>None</w:t>
            </w:r>
          </w:p>
        </w:tc>
      </w:tr>
    </w:tbl>
    <w:p>
      <w:pPr>
        <w:spacing w:before="122"/>
        <w:ind w:left="504" w:right="1481" w:firstLine="0"/>
        <w:jc w:val="left"/>
        <w:rPr>
          <w:i/>
          <w:sz w:val="20"/>
        </w:rPr>
      </w:pPr>
      <w:r>
        <w:rPr>
          <w:i/>
          <w:sz w:val="20"/>
        </w:rPr>
        <w:t>*Total</w:t>
      </w:r>
      <w:r>
        <w:rPr>
          <w:i/>
          <w:spacing w:val="-3"/>
          <w:sz w:val="20"/>
        </w:rPr>
        <w:t xml:space="preserve"> </w:t>
      </w:r>
      <w:r>
        <w:rPr>
          <w:i/>
          <w:sz w:val="20"/>
        </w:rPr>
        <w:t>Part</w:t>
      </w:r>
      <w:r>
        <w:rPr>
          <w:i/>
          <w:spacing w:val="-3"/>
          <w:sz w:val="20"/>
        </w:rPr>
        <w:t xml:space="preserve"> </w:t>
      </w:r>
      <w:r>
        <w:rPr>
          <w:i/>
          <w:sz w:val="20"/>
        </w:rPr>
        <w:t>D</w:t>
      </w:r>
      <w:r>
        <w:rPr>
          <w:i/>
          <w:spacing w:val="-3"/>
          <w:sz w:val="20"/>
        </w:rPr>
        <w:t xml:space="preserve"> </w:t>
      </w:r>
      <w:r>
        <w:rPr>
          <w:i/>
          <w:sz w:val="20"/>
        </w:rPr>
        <w:t>Premium</w:t>
      </w:r>
      <w:r>
        <w:rPr>
          <w:i/>
          <w:spacing w:val="-3"/>
          <w:sz w:val="20"/>
        </w:rPr>
        <w:t xml:space="preserve"> </w:t>
      </w:r>
      <w:r>
        <w:rPr>
          <w:i/>
          <w:sz w:val="20"/>
        </w:rPr>
        <w:t>includes</w:t>
      </w:r>
      <w:r>
        <w:rPr>
          <w:i/>
          <w:spacing w:val="-4"/>
          <w:sz w:val="20"/>
        </w:rPr>
        <w:t xml:space="preserve"> </w:t>
      </w:r>
      <w:r>
        <w:rPr>
          <w:i/>
          <w:sz w:val="20"/>
        </w:rPr>
        <w:t>(i)</w:t>
      </w:r>
      <w:r>
        <w:rPr>
          <w:i/>
          <w:spacing w:val="-3"/>
          <w:sz w:val="20"/>
        </w:rPr>
        <w:t xml:space="preserve"> </w:t>
      </w:r>
      <w:r>
        <w:rPr>
          <w:i/>
          <w:sz w:val="20"/>
        </w:rPr>
        <w:t>the Part</w:t>
      </w:r>
      <w:r>
        <w:rPr>
          <w:i/>
          <w:spacing w:val="-3"/>
          <w:sz w:val="20"/>
        </w:rPr>
        <w:t xml:space="preserve"> </w:t>
      </w:r>
      <w:r>
        <w:rPr>
          <w:i/>
          <w:sz w:val="20"/>
        </w:rPr>
        <w:t>D</w:t>
      </w:r>
      <w:r>
        <w:rPr>
          <w:i/>
          <w:spacing w:val="-3"/>
          <w:sz w:val="20"/>
        </w:rPr>
        <w:t xml:space="preserve"> </w:t>
      </w:r>
      <w:r>
        <w:rPr>
          <w:i/>
          <w:sz w:val="20"/>
        </w:rPr>
        <w:t>basic</w:t>
      </w:r>
      <w:r>
        <w:rPr>
          <w:i/>
          <w:spacing w:val="-3"/>
          <w:sz w:val="20"/>
        </w:rPr>
        <w:t xml:space="preserve"> </w:t>
      </w:r>
      <w:r>
        <w:rPr>
          <w:i/>
          <w:sz w:val="20"/>
        </w:rPr>
        <w:t>premium</w:t>
      </w:r>
      <w:r>
        <w:rPr>
          <w:i/>
          <w:spacing w:val="-3"/>
          <w:sz w:val="20"/>
        </w:rPr>
        <w:t xml:space="preserve"> </w:t>
      </w:r>
      <w:r>
        <w:rPr>
          <w:i/>
          <w:sz w:val="20"/>
        </w:rPr>
        <w:t>net</w:t>
      </w:r>
      <w:r>
        <w:rPr>
          <w:i/>
          <w:spacing w:val="-3"/>
          <w:sz w:val="20"/>
        </w:rPr>
        <w:t xml:space="preserve"> </w:t>
      </w:r>
      <w:r>
        <w:rPr>
          <w:i/>
          <w:sz w:val="20"/>
        </w:rPr>
        <w:t>of</w:t>
      </w:r>
      <w:r>
        <w:rPr>
          <w:i/>
          <w:spacing w:val="-4"/>
          <w:sz w:val="20"/>
        </w:rPr>
        <w:t xml:space="preserve"> </w:t>
      </w:r>
      <w:r>
        <w:rPr>
          <w:i/>
          <w:sz w:val="20"/>
        </w:rPr>
        <w:t>rebates</w:t>
      </w:r>
      <w:r>
        <w:rPr>
          <w:i/>
          <w:spacing w:val="-4"/>
          <w:sz w:val="20"/>
        </w:rPr>
        <w:t xml:space="preserve"> </w:t>
      </w:r>
      <w:r>
        <w:rPr>
          <w:i/>
          <w:sz w:val="20"/>
        </w:rPr>
        <w:t>(line</w:t>
      </w:r>
      <w:r>
        <w:rPr>
          <w:i/>
          <w:spacing w:val="-3"/>
          <w:sz w:val="20"/>
        </w:rPr>
        <w:t xml:space="preserve"> </w:t>
      </w:r>
      <w:r>
        <w:rPr>
          <w:i/>
          <w:sz w:val="20"/>
        </w:rPr>
        <w:t>7d</w:t>
      </w:r>
      <w:r>
        <w:rPr>
          <w:i/>
          <w:spacing w:val="-2"/>
          <w:sz w:val="20"/>
        </w:rPr>
        <w:t xml:space="preserve"> </w:t>
      </w:r>
      <w:r>
        <w:rPr>
          <w:i/>
          <w:sz w:val="20"/>
        </w:rPr>
        <w:t>of</w:t>
      </w:r>
      <w:r>
        <w:rPr>
          <w:i/>
          <w:spacing w:val="-4"/>
          <w:sz w:val="20"/>
        </w:rPr>
        <w:t xml:space="preserve"> </w:t>
      </w:r>
      <w:r>
        <w:rPr>
          <w:i/>
          <w:sz w:val="20"/>
        </w:rPr>
        <w:t>Worksheet 6,</w:t>
      </w:r>
      <w:r>
        <w:rPr>
          <w:i/>
          <w:spacing w:val="-3"/>
          <w:sz w:val="20"/>
        </w:rPr>
        <w:t xml:space="preserve"> </w:t>
      </w:r>
      <w:r>
        <w:rPr>
          <w:i/>
          <w:sz w:val="20"/>
        </w:rPr>
        <w:t>Section</w:t>
      </w:r>
      <w:r>
        <w:rPr>
          <w:i/>
          <w:spacing w:val="-3"/>
          <w:sz w:val="20"/>
        </w:rPr>
        <w:t xml:space="preserve"> </w:t>
      </w:r>
      <w:r>
        <w:rPr>
          <w:i/>
          <w:sz w:val="20"/>
        </w:rPr>
        <w:t>IIIC)</w:t>
      </w:r>
      <w:r>
        <w:rPr>
          <w:i/>
          <w:sz w:val="20"/>
        </w:rPr>
        <w:t xml:space="preserve"> after reflecting the Part D benchmarks and (ii) the Part D supplemental premium net of rebates (line 8d of Worksheet 6, Section IIIC).</w:t>
      </w:r>
    </w:p>
    <w:p>
      <w:pPr>
        <w:pStyle w:val="BodyText"/>
        <w:spacing w:before="8"/>
        <w:ind w:left="0"/>
        <w:rPr>
          <w:i/>
          <w:sz w:val="20"/>
        </w:rPr>
      </w:pPr>
    </w:p>
    <w:p>
      <w:pPr>
        <w:pStyle w:val="ListParagraph"/>
        <w:numPr>
          <w:ilvl w:val="1"/>
          <w:numId w:val="26"/>
        </w:numPr>
        <w:tabs>
          <w:tab w:val="left" w:pos="776"/>
        </w:tabs>
        <w:spacing w:before="0" w:after="0" w:line="240" w:lineRule="auto"/>
        <w:ind w:left="776" w:right="0" w:hanging="272"/>
        <w:jc w:val="left"/>
        <w:rPr>
          <w:rFonts w:ascii="Arial"/>
          <w:b/>
          <w:sz w:val="21"/>
        </w:rPr>
      </w:pPr>
      <w:bookmarkStart w:id="361" w:name="B. RPPO MA-PD"/>
      <w:bookmarkEnd w:id="361"/>
      <w:r>
        <w:rPr>
          <w:rFonts w:ascii="Arial"/>
          <w:b/>
          <w:sz w:val="21"/>
        </w:rPr>
        <w:t>RPPO</w:t>
      </w:r>
      <w:r>
        <w:rPr>
          <w:rFonts w:ascii="Arial"/>
          <w:b/>
          <w:spacing w:val="-8"/>
          <w:sz w:val="21"/>
        </w:rPr>
        <w:t xml:space="preserve"> </w:t>
      </w:r>
      <w:r>
        <w:rPr>
          <w:rFonts w:ascii="Arial"/>
          <w:b/>
          <w:sz w:val="21"/>
        </w:rPr>
        <w:t>MA-</w:t>
      </w:r>
      <w:r>
        <w:rPr>
          <w:rFonts w:ascii="Arial"/>
          <w:b/>
          <w:spacing w:val="-5"/>
          <w:sz w:val="21"/>
        </w:rPr>
        <w:t>PD</w:t>
      </w:r>
    </w:p>
    <w:p>
      <w:pPr>
        <w:pStyle w:val="BodyText"/>
        <w:spacing w:before="6"/>
        <w:ind w:left="0"/>
        <w:rPr>
          <w:rFonts w:ascii="Arial"/>
          <w:b/>
          <w:sz w:val="10"/>
        </w:rPr>
      </w:pPr>
    </w:p>
    <w:tbl>
      <w:tblPr>
        <w:tblStyle w:val="TableNormal"/>
        <w:tblW w:w="0" w:type="auto"/>
        <w:jc w:val="left"/>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
        <w:gridCol w:w="1421"/>
        <w:gridCol w:w="2245"/>
        <w:gridCol w:w="1674"/>
        <w:gridCol w:w="1530"/>
        <w:gridCol w:w="1270"/>
        <w:gridCol w:w="1402"/>
      </w:tblGrid>
      <w:tr>
        <w:tblPrEx>
          <w:tblW w:w="0" w:type="auto"/>
          <w:jc w:val="left"/>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67"/>
          <w:jc w:val="left"/>
        </w:trPr>
        <w:tc>
          <w:tcPr>
            <w:tcW w:w="946" w:type="dxa"/>
          </w:tcPr>
          <w:p>
            <w:pPr>
              <w:pStyle w:val="TableParagraph"/>
              <w:spacing w:before="118"/>
              <w:rPr>
                <w:rFonts w:ascii="Arial"/>
                <w:b/>
                <w:sz w:val="24"/>
              </w:rPr>
            </w:pPr>
          </w:p>
          <w:p>
            <w:pPr>
              <w:pStyle w:val="TableParagraph"/>
              <w:spacing w:before="1"/>
              <w:ind w:left="9" w:right="5"/>
              <w:jc w:val="center"/>
              <w:rPr>
                <w:b/>
                <w:sz w:val="24"/>
              </w:rPr>
            </w:pPr>
            <w:r>
              <w:rPr>
                <w:b/>
                <w:sz w:val="24"/>
              </w:rPr>
              <w:t>Case</w:t>
            </w:r>
            <w:r>
              <w:rPr>
                <w:b/>
                <w:spacing w:val="-2"/>
                <w:sz w:val="24"/>
              </w:rPr>
              <w:t xml:space="preserve"> </w:t>
            </w:r>
            <w:r>
              <w:rPr>
                <w:b/>
                <w:spacing w:val="-12"/>
                <w:sz w:val="24"/>
              </w:rPr>
              <w:t>#</w:t>
            </w:r>
          </w:p>
        </w:tc>
        <w:tc>
          <w:tcPr>
            <w:tcW w:w="1421" w:type="dxa"/>
          </w:tcPr>
          <w:p>
            <w:pPr>
              <w:pStyle w:val="TableParagraph"/>
              <w:spacing w:before="119"/>
              <w:ind w:left="119" w:right="108"/>
              <w:jc w:val="both"/>
              <w:rPr>
                <w:b/>
                <w:sz w:val="24"/>
              </w:rPr>
            </w:pPr>
            <w:r>
              <w:rPr>
                <w:b/>
                <w:sz w:val="24"/>
              </w:rPr>
              <w:t>Initial</w:t>
            </w:r>
            <w:r>
              <w:rPr>
                <w:b/>
                <w:spacing w:val="-15"/>
                <w:sz w:val="24"/>
              </w:rPr>
              <w:t xml:space="preserve"> </w:t>
            </w:r>
            <w:r>
              <w:rPr>
                <w:b/>
                <w:sz w:val="24"/>
              </w:rPr>
              <w:t xml:space="preserve">June </w:t>
            </w:r>
            <w:r>
              <w:rPr>
                <w:b/>
                <w:spacing w:val="-2"/>
                <w:sz w:val="24"/>
              </w:rPr>
              <w:t xml:space="preserve">Submission </w:t>
            </w:r>
            <w:r>
              <w:rPr>
                <w:b/>
                <w:sz w:val="24"/>
              </w:rPr>
              <w:t>MA</w:t>
            </w:r>
            <w:r>
              <w:rPr>
                <w:b/>
                <w:spacing w:val="-4"/>
                <w:sz w:val="24"/>
              </w:rPr>
              <w:t xml:space="preserve"> </w:t>
            </w:r>
            <w:r>
              <w:rPr>
                <w:b/>
                <w:spacing w:val="-2"/>
                <w:sz w:val="24"/>
              </w:rPr>
              <w:t>Rebate</w:t>
            </w:r>
          </w:p>
        </w:tc>
        <w:tc>
          <w:tcPr>
            <w:tcW w:w="2245" w:type="dxa"/>
          </w:tcPr>
          <w:p>
            <w:pPr>
              <w:pStyle w:val="TableParagraph"/>
              <w:spacing w:before="255"/>
              <w:ind w:left="674" w:hanging="408"/>
              <w:rPr>
                <w:b/>
                <w:sz w:val="24"/>
              </w:rPr>
            </w:pPr>
            <w:r>
              <w:rPr>
                <w:b/>
                <w:sz w:val="24"/>
              </w:rPr>
              <w:t>Part</w:t>
            </w:r>
            <w:r>
              <w:rPr>
                <w:b/>
                <w:spacing w:val="-15"/>
                <w:sz w:val="24"/>
              </w:rPr>
              <w:t xml:space="preserve"> </w:t>
            </w:r>
            <w:r>
              <w:rPr>
                <w:b/>
                <w:sz w:val="24"/>
              </w:rPr>
              <w:t>D</w:t>
            </w:r>
            <w:r>
              <w:rPr>
                <w:b/>
                <w:spacing w:val="-15"/>
                <w:sz w:val="24"/>
              </w:rPr>
              <w:t xml:space="preserve"> </w:t>
            </w:r>
            <w:r>
              <w:rPr>
                <w:b/>
                <w:sz w:val="24"/>
              </w:rPr>
              <w:t xml:space="preserve">Premium </w:t>
            </w:r>
            <w:r>
              <w:rPr>
                <w:b/>
                <w:spacing w:val="-2"/>
                <w:sz w:val="24"/>
              </w:rPr>
              <w:t>Scenario</w:t>
            </w:r>
          </w:p>
        </w:tc>
        <w:tc>
          <w:tcPr>
            <w:tcW w:w="1674" w:type="dxa"/>
          </w:tcPr>
          <w:p>
            <w:pPr>
              <w:pStyle w:val="TableParagraph"/>
              <w:spacing w:before="255"/>
              <w:ind w:left="195" w:firstLine="281"/>
              <w:rPr>
                <w:b/>
                <w:sz w:val="24"/>
              </w:rPr>
            </w:pPr>
            <w:r>
              <w:rPr>
                <w:b/>
                <w:spacing w:val="-2"/>
                <w:sz w:val="24"/>
              </w:rPr>
              <w:t>Rebate Reallocation</w:t>
            </w:r>
          </w:p>
        </w:tc>
        <w:tc>
          <w:tcPr>
            <w:tcW w:w="1530" w:type="dxa"/>
          </w:tcPr>
          <w:p>
            <w:pPr>
              <w:pStyle w:val="TableParagraph"/>
              <w:spacing w:before="119"/>
              <w:ind w:left="122" w:right="117" w:firstLine="2"/>
              <w:jc w:val="center"/>
              <w:rPr>
                <w:b/>
                <w:sz w:val="24"/>
              </w:rPr>
            </w:pPr>
            <w:r>
              <w:rPr>
                <w:b/>
                <w:spacing w:val="-2"/>
                <w:sz w:val="24"/>
              </w:rPr>
              <w:t>Rebate Reallocation Example</w:t>
            </w:r>
          </w:p>
        </w:tc>
        <w:tc>
          <w:tcPr>
            <w:tcW w:w="1270" w:type="dxa"/>
          </w:tcPr>
          <w:p>
            <w:pPr>
              <w:pStyle w:val="TableParagraph"/>
              <w:spacing w:before="255"/>
              <w:ind w:left="124" w:right="118" w:firstLine="26"/>
              <w:rPr>
                <w:b/>
                <w:sz w:val="24"/>
              </w:rPr>
            </w:pPr>
            <w:r>
              <w:rPr>
                <w:b/>
                <w:spacing w:val="-2"/>
                <w:sz w:val="24"/>
              </w:rPr>
              <w:t>Premium Rounding</w:t>
            </w:r>
          </w:p>
        </w:tc>
        <w:tc>
          <w:tcPr>
            <w:tcW w:w="1402" w:type="dxa"/>
          </w:tcPr>
          <w:p>
            <w:pPr>
              <w:pStyle w:val="TableParagraph"/>
              <w:spacing w:before="119"/>
              <w:ind w:left="188" w:right="186" w:firstLine="26"/>
              <w:jc w:val="both"/>
              <w:rPr>
                <w:b/>
                <w:sz w:val="24"/>
              </w:rPr>
            </w:pPr>
            <w:r>
              <w:rPr>
                <w:b/>
                <w:spacing w:val="-2"/>
                <w:sz w:val="24"/>
              </w:rPr>
              <w:t>Premium Rounding Example</w:t>
            </w:r>
          </w:p>
        </w:tc>
      </w:tr>
      <w:tr>
        <w:tblPrEx>
          <w:tblW w:w="0" w:type="auto"/>
          <w:jc w:val="left"/>
          <w:tblInd w:w="327" w:type="dxa"/>
          <w:tblLayout w:type="fixed"/>
          <w:tblCellMar>
            <w:top w:w="0" w:type="dxa"/>
            <w:left w:w="0" w:type="dxa"/>
            <w:bottom w:w="0" w:type="dxa"/>
            <w:right w:w="0" w:type="dxa"/>
          </w:tblCellMar>
          <w:tblLook w:val="01E0"/>
        </w:tblPrEx>
        <w:trPr>
          <w:trHeight w:val="2517"/>
          <w:jc w:val="left"/>
        </w:trPr>
        <w:tc>
          <w:tcPr>
            <w:tcW w:w="946"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9"/>
              <w:jc w:val="center"/>
              <w:rPr>
                <w:sz w:val="22"/>
              </w:rPr>
            </w:pPr>
            <w:r>
              <w:rPr>
                <w:spacing w:val="-10"/>
                <w:sz w:val="22"/>
              </w:rPr>
              <w:t>9</w:t>
            </w:r>
          </w:p>
        </w:tc>
        <w:tc>
          <w:tcPr>
            <w:tcW w:w="1421" w:type="dxa"/>
          </w:tcPr>
          <w:p>
            <w:pPr>
              <w:pStyle w:val="TableParagraph"/>
              <w:rPr>
                <w:rFonts w:ascii="Arial"/>
                <w:b/>
                <w:sz w:val="22"/>
              </w:rPr>
            </w:pPr>
          </w:p>
          <w:p>
            <w:pPr>
              <w:pStyle w:val="TableParagraph"/>
              <w:rPr>
                <w:rFonts w:ascii="Arial"/>
                <w:b/>
                <w:sz w:val="22"/>
              </w:rPr>
            </w:pPr>
          </w:p>
          <w:p>
            <w:pPr>
              <w:pStyle w:val="TableParagraph"/>
              <w:spacing w:before="245"/>
              <w:rPr>
                <w:rFonts w:ascii="Arial"/>
                <w:b/>
                <w:sz w:val="22"/>
              </w:rPr>
            </w:pPr>
          </w:p>
          <w:p>
            <w:pPr>
              <w:pStyle w:val="TableParagraph"/>
              <w:ind w:left="9"/>
              <w:jc w:val="center"/>
              <w:rPr>
                <w:sz w:val="22"/>
              </w:rPr>
            </w:pPr>
            <w:r>
              <w:rPr>
                <w:sz w:val="22"/>
              </w:rPr>
              <w:t>Greater</w:t>
            </w:r>
            <w:r>
              <w:rPr>
                <w:spacing w:val="-8"/>
                <w:sz w:val="22"/>
              </w:rPr>
              <w:t xml:space="preserve"> </w:t>
            </w:r>
            <w:r>
              <w:rPr>
                <w:spacing w:val="-4"/>
                <w:sz w:val="22"/>
              </w:rPr>
              <w:t>than</w:t>
            </w:r>
          </w:p>
          <w:p>
            <w:pPr>
              <w:pStyle w:val="TableParagraph"/>
              <w:spacing w:before="2"/>
              <w:ind w:left="9" w:right="1"/>
              <w:jc w:val="center"/>
              <w:rPr>
                <w:sz w:val="22"/>
              </w:rPr>
            </w:pPr>
            <w:r>
              <w:rPr>
                <w:spacing w:val="-5"/>
                <w:sz w:val="22"/>
              </w:rPr>
              <w:t>$0</w:t>
            </w:r>
          </w:p>
        </w:tc>
        <w:tc>
          <w:tcPr>
            <w:tcW w:w="2245" w:type="dxa"/>
          </w:tcPr>
          <w:p>
            <w:pPr>
              <w:pStyle w:val="TableParagraph"/>
              <w:spacing w:before="120"/>
              <w:rPr>
                <w:rFonts w:ascii="Arial"/>
                <w:b/>
                <w:sz w:val="22"/>
              </w:rPr>
            </w:pPr>
          </w:p>
          <w:p>
            <w:pPr>
              <w:pStyle w:val="TableParagraph"/>
              <w:numPr>
                <w:ilvl w:val="0"/>
                <w:numId w:val="20"/>
              </w:numPr>
              <w:tabs>
                <w:tab w:val="left" w:pos="419"/>
                <w:tab w:val="left" w:pos="464"/>
              </w:tabs>
              <w:spacing w:before="0" w:after="0" w:line="240" w:lineRule="auto"/>
              <w:ind w:left="419" w:right="194" w:hanging="216"/>
              <w:jc w:val="left"/>
              <w:rPr>
                <w:sz w:val="22"/>
              </w:rPr>
            </w:pPr>
            <w:r>
              <w:rPr>
                <w:sz w:val="22"/>
              </w:rPr>
              <w:t>$0.00</w:t>
            </w:r>
            <w:r>
              <w:rPr>
                <w:spacing w:val="22"/>
                <w:sz w:val="22"/>
              </w:rPr>
              <w:t xml:space="preserve"> </w:t>
            </w:r>
            <w:r>
              <w:rPr>
                <w:sz w:val="22"/>
              </w:rPr>
              <w:t>allocated</w:t>
            </w:r>
            <w:r>
              <w:rPr>
                <w:spacing w:val="-11"/>
                <w:sz w:val="22"/>
              </w:rPr>
              <w:t xml:space="preserve"> </w:t>
            </w:r>
            <w:r>
              <w:rPr>
                <w:sz w:val="22"/>
              </w:rPr>
              <w:t>to the Part D basic</w:t>
            </w:r>
          </w:p>
          <w:p>
            <w:pPr>
              <w:pStyle w:val="TableParagraph"/>
              <w:ind w:left="407" w:hanging="245"/>
              <w:rPr>
                <w:sz w:val="22"/>
              </w:rPr>
            </w:pPr>
            <w:r>
              <w:rPr>
                <w:sz w:val="22"/>
              </w:rPr>
              <w:t>premium</w:t>
            </w:r>
            <w:r>
              <w:rPr>
                <w:spacing w:val="-14"/>
                <w:sz w:val="22"/>
              </w:rPr>
              <w:t xml:space="preserve"> </w:t>
            </w:r>
            <w:r>
              <w:rPr>
                <w:sz w:val="22"/>
              </w:rPr>
              <w:t>in</w:t>
            </w:r>
            <w:r>
              <w:rPr>
                <w:spacing w:val="-12"/>
                <w:sz w:val="22"/>
              </w:rPr>
              <w:t xml:space="preserve"> </w:t>
            </w:r>
            <w:r>
              <w:rPr>
                <w:sz w:val="22"/>
              </w:rPr>
              <w:t>the</w:t>
            </w:r>
            <w:r>
              <w:rPr>
                <w:spacing w:val="-13"/>
                <w:sz w:val="22"/>
              </w:rPr>
              <w:t xml:space="preserve"> </w:t>
            </w:r>
            <w:r>
              <w:rPr>
                <w:sz w:val="22"/>
              </w:rPr>
              <w:t>initial submission; and</w:t>
            </w:r>
          </w:p>
          <w:p>
            <w:pPr>
              <w:pStyle w:val="TableParagraph"/>
              <w:numPr>
                <w:ilvl w:val="0"/>
                <w:numId w:val="20"/>
              </w:numPr>
              <w:tabs>
                <w:tab w:val="left" w:pos="770"/>
              </w:tabs>
              <w:spacing w:before="0" w:after="0" w:line="240" w:lineRule="auto"/>
              <w:ind w:left="218" w:right="212" w:firstLine="232"/>
              <w:jc w:val="left"/>
              <w:rPr>
                <w:sz w:val="22"/>
              </w:rPr>
            </w:pPr>
            <w:r>
              <w:rPr>
                <w:sz w:val="22"/>
              </w:rPr>
              <w:t>total Part D premium*</w:t>
            </w:r>
            <w:r>
              <w:rPr>
                <w:spacing w:val="-14"/>
                <w:sz w:val="22"/>
              </w:rPr>
              <w:t xml:space="preserve"> </w:t>
            </w:r>
            <w:r>
              <w:rPr>
                <w:sz w:val="22"/>
              </w:rPr>
              <w:t>decreases</w:t>
            </w:r>
          </w:p>
          <w:p>
            <w:pPr>
              <w:pStyle w:val="TableParagraph"/>
              <w:spacing w:before="1"/>
              <w:ind w:left="686"/>
              <w:rPr>
                <w:sz w:val="22"/>
              </w:rPr>
            </w:pPr>
            <w:r>
              <w:rPr>
                <w:sz w:val="22"/>
              </w:rPr>
              <w:t>below</w:t>
            </w:r>
            <w:r>
              <w:rPr>
                <w:spacing w:val="-1"/>
                <w:sz w:val="22"/>
              </w:rPr>
              <w:t xml:space="preserve"> </w:t>
            </w:r>
            <w:r>
              <w:rPr>
                <w:spacing w:val="-5"/>
                <w:sz w:val="22"/>
              </w:rPr>
              <w:t>$0.</w:t>
            </w:r>
          </w:p>
        </w:tc>
        <w:tc>
          <w:tcPr>
            <w:tcW w:w="1674" w:type="dxa"/>
          </w:tcPr>
          <w:p>
            <w:pPr>
              <w:pStyle w:val="TableParagraph"/>
              <w:spacing w:before="118"/>
              <w:ind w:left="89" w:right="81"/>
              <w:jc w:val="center"/>
              <w:rPr>
                <w:sz w:val="22"/>
              </w:rPr>
            </w:pPr>
            <w:r>
              <w:rPr>
                <w:sz w:val="22"/>
              </w:rPr>
              <w:t>Required to allocate rebates after reflecting the published MA regional benchmarks</w:t>
            </w:r>
            <w:r>
              <w:rPr>
                <w:spacing w:val="-14"/>
                <w:sz w:val="22"/>
              </w:rPr>
              <w:t xml:space="preserve"> </w:t>
            </w:r>
            <w:r>
              <w:rPr>
                <w:sz w:val="22"/>
              </w:rPr>
              <w:t xml:space="preserve">and to correct negative Part D </w:t>
            </w:r>
            <w:r>
              <w:rPr>
                <w:spacing w:val="-2"/>
                <w:sz w:val="22"/>
              </w:rPr>
              <w:t>premium</w:t>
            </w:r>
          </w:p>
        </w:tc>
        <w:tc>
          <w:tcPr>
            <w:tcW w:w="153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4"/>
              <w:jc w:val="center"/>
              <w:rPr>
                <w:sz w:val="22"/>
              </w:rPr>
            </w:pPr>
            <w:r>
              <w:rPr>
                <w:spacing w:val="-4"/>
                <w:sz w:val="22"/>
              </w:rPr>
              <w:t>None</w:t>
            </w:r>
          </w:p>
        </w:tc>
        <w:tc>
          <w:tcPr>
            <w:tcW w:w="12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50" w:right="47"/>
              <w:jc w:val="center"/>
              <w:rPr>
                <w:sz w:val="22"/>
              </w:rPr>
            </w:pPr>
            <w:r>
              <w:rPr>
                <w:spacing w:val="-2"/>
                <w:sz w:val="22"/>
              </w:rPr>
              <w:t>Permitted</w:t>
            </w:r>
          </w:p>
        </w:tc>
        <w:tc>
          <w:tcPr>
            <w:tcW w:w="140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2"/>
              <w:rPr>
                <w:rFonts w:ascii="Arial"/>
                <w:b/>
                <w:sz w:val="22"/>
              </w:rPr>
            </w:pPr>
          </w:p>
          <w:p>
            <w:pPr>
              <w:pStyle w:val="TableParagraph"/>
              <w:ind w:left="4" w:right="4"/>
              <w:jc w:val="center"/>
              <w:rPr>
                <w:sz w:val="22"/>
              </w:rPr>
            </w:pPr>
            <w:r>
              <w:rPr>
                <w:spacing w:val="-4"/>
                <w:sz w:val="22"/>
              </w:rPr>
              <w:t>None</w:t>
            </w:r>
          </w:p>
        </w:tc>
      </w:tr>
      <w:tr>
        <w:tblPrEx>
          <w:tblW w:w="0" w:type="auto"/>
          <w:jc w:val="left"/>
          <w:tblInd w:w="327" w:type="dxa"/>
          <w:tblLayout w:type="fixed"/>
          <w:tblCellMar>
            <w:top w:w="0" w:type="dxa"/>
            <w:left w:w="0" w:type="dxa"/>
            <w:bottom w:w="0" w:type="dxa"/>
            <w:right w:w="0" w:type="dxa"/>
          </w:tblCellMar>
          <w:tblLook w:val="01E0"/>
        </w:tblPrEx>
        <w:trPr>
          <w:trHeight w:val="3782"/>
          <w:jc w:val="left"/>
        </w:trPr>
        <w:tc>
          <w:tcPr>
            <w:tcW w:w="946"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9"/>
              <w:jc w:val="center"/>
              <w:rPr>
                <w:sz w:val="22"/>
              </w:rPr>
            </w:pPr>
            <w:r>
              <w:rPr>
                <w:spacing w:val="-5"/>
                <w:sz w:val="22"/>
              </w:rPr>
              <w:t>10</w:t>
            </w:r>
          </w:p>
        </w:tc>
        <w:tc>
          <w:tcPr>
            <w:tcW w:w="1421"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17"/>
              <w:rPr>
                <w:rFonts w:ascii="Arial"/>
                <w:b/>
                <w:sz w:val="22"/>
              </w:rPr>
            </w:pPr>
          </w:p>
          <w:p>
            <w:pPr>
              <w:pStyle w:val="TableParagraph"/>
              <w:spacing w:before="1"/>
              <w:ind w:left="9"/>
              <w:jc w:val="center"/>
              <w:rPr>
                <w:sz w:val="22"/>
              </w:rPr>
            </w:pPr>
            <w:r>
              <w:rPr>
                <w:sz w:val="22"/>
              </w:rPr>
              <w:t>Greater</w:t>
            </w:r>
            <w:r>
              <w:rPr>
                <w:spacing w:val="-8"/>
                <w:sz w:val="22"/>
              </w:rPr>
              <w:t xml:space="preserve"> </w:t>
            </w:r>
            <w:r>
              <w:rPr>
                <w:spacing w:val="-4"/>
                <w:sz w:val="22"/>
              </w:rPr>
              <w:t>than</w:t>
            </w:r>
          </w:p>
          <w:p>
            <w:pPr>
              <w:pStyle w:val="TableParagraph"/>
              <w:spacing w:before="3"/>
              <w:ind w:left="9" w:right="1"/>
              <w:jc w:val="center"/>
              <w:rPr>
                <w:sz w:val="22"/>
              </w:rPr>
            </w:pPr>
            <w:r>
              <w:rPr>
                <w:spacing w:val="-5"/>
                <w:sz w:val="22"/>
              </w:rPr>
              <w:t>$0</w:t>
            </w:r>
          </w:p>
        </w:tc>
        <w:tc>
          <w:tcPr>
            <w:tcW w:w="2245" w:type="dxa"/>
          </w:tcPr>
          <w:p>
            <w:pPr>
              <w:pStyle w:val="TableParagraph"/>
              <w:spacing w:before="118"/>
              <w:ind w:left="419" w:hanging="216"/>
              <w:rPr>
                <w:sz w:val="22"/>
              </w:rPr>
            </w:pPr>
            <w:r>
              <w:rPr>
                <w:sz w:val="22"/>
              </w:rPr>
              <w:t>(i)</w:t>
            </w:r>
            <w:r>
              <w:rPr>
                <w:spacing w:val="-12"/>
                <w:sz w:val="22"/>
              </w:rPr>
              <w:t xml:space="preserve"> </w:t>
            </w:r>
            <w:r>
              <w:rPr>
                <w:sz w:val="22"/>
              </w:rPr>
              <w:t>$0.00</w:t>
            </w:r>
            <w:r>
              <w:rPr>
                <w:spacing w:val="-13"/>
                <w:sz w:val="22"/>
              </w:rPr>
              <w:t xml:space="preserve"> </w:t>
            </w:r>
            <w:r>
              <w:rPr>
                <w:sz w:val="22"/>
              </w:rPr>
              <w:t>allocated</w:t>
            </w:r>
            <w:r>
              <w:rPr>
                <w:spacing w:val="-11"/>
                <w:sz w:val="22"/>
              </w:rPr>
              <w:t xml:space="preserve"> </w:t>
            </w:r>
            <w:r>
              <w:rPr>
                <w:sz w:val="22"/>
              </w:rPr>
              <w:t>to the Part D basic</w:t>
            </w:r>
          </w:p>
          <w:p>
            <w:pPr>
              <w:pStyle w:val="TableParagraph"/>
              <w:spacing w:before="1"/>
              <w:ind w:left="119" w:right="111" w:hanging="3"/>
              <w:jc w:val="center"/>
              <w:rPr>
                <w:sz w:val="22"/>
              </w:rPr>
            </w:pPr>
            <w:r>
              <w:rPr>
                <w:sz w:val="22"/>
              </w:rPr>
              <w:t>premium in the initial submission;</w:t>
            </w:r>
            <w:r>
              <w:rPr>
                <w:spacing w:val="-11"/>
                <w:sz w:val="22"/>
              </w:rPr>
              <w:t xml:space="preserve"> </w:t>
            </w:r>
            <w:r>
              <w:rPr>
                <w:sz w:val="22"/>
              </w:rPr>
              <w:t>(ii)</w:t>
            </w:r>
            <w:r>
              <w:rPr>
                <w:spacing w:val="-12"/>
                <w:sz w:val="22"/>
              </w:rPr>
              <w:t xml:space="preserve"> </w:t>
            </w:r>
            <w:r>
              <w:rPr>
                <w:sz w:val="22"/>
              </w:rPr>
              <w:t>Part</w:t>
            </w:r>
            <w:r>
              <w:rPr>
                <w:spacing w:val="-11"/>
                <w:sz w:val="22"/>
              </w:rPr>
              <w:t xml:space="preserve"> </w:t>
            </w:r>
            <w:r>
              <w:rPr>
                <w:sz w:val="22"/>
              </w:rPr>
              <w:t>D basic premium is greater than the target plan intention for the Part D basic premium after the reflection of the published benchmarks; and</w:t>
            </w:r>
          </w:p>
          <w:p>
            <w:pPr>
              <w:pStyle w:val="TableParagraph"/>
              <w:ind w:left="234" w:firstLine="184"/>
              <w:rPr>
                <w:sz w:val="22"/>
              </w:rPr>
            </w:pPr>
            <w:r>
              <w:rPr>
                <w:sz w:val="22"/>
              </w:rPr>
              <w:t>(iii) total Part D premium*</w:t>
            </w:r>
            <w:r>
              <w:rPr>
                <w:spacing w:val="-14"/>
                <w:sz w:val="22"/>
              </w:rPr>
              <w:t xml:space="preserve"> </w:t>
            </w:r>
            <w:r>
              <w:rPr>
                <w:sz w:val="22"/>
              </w:rPr>
              <w:t>is</w:t>
            </w:r>
            <w:r>
              <w:rPr>
                <w:spacing w:val="-14"/>
                <w:sz w:val="22"/>
              </w:rPr>
              <w:t xml:space="preserve"> </w:t>
            </w:r>
            <w:r>
              <w:rPr>
                <w:sz w:val="22"/>
              </w:rPr>
              <w:t>greater than or equal to $0.</w:t>
            </w:r>
          </w:p>
        </w:tc>
        <w:tc>
          <w:tcPr>
            <w:tcW w:w="1674" w:type="dxa"/>
          </w:tcPr>
          <w:p>
            <w:pPr>
              <w:pStyle w:val="TableParagraph"/>
              <w:spacing w:before="117"/>
              <w:rPr>
                <w:rFonts w:ascii="Arial"/>
                <w:b/>
                <w:sz w:val="22"/>
              </w:rPr>
            </w:pPr>
          </w:p>
          <w:p>
            <w:pPr>
              <w:pStyle w:val="TableParagraph"/>
              <w:numPr>
                <w:ilvl w:val="0"/>
                <w:numId w:val="19"/>
              </w:numPr>
              <w:tabs>
                <w:tab w:val="left" w:pos="390"/>
                <w:tab w:val="left" w:pos="446"/>
              </w:tabs>
              <w:spacing w:before="0" w:after="0" w:line="240" w:lineRule="auto"/>
              <w:ind w:left="390" w:right="178" w:hanging="205"/>
              <w:jc w:val="both"/>
              <w:rPr>
                <w:sz w:val="22"/>
              </w:rPr>
            </w:pPr>
            <w:r>
              <w:rPr>
                <w:sz w:val="22"/>
              </w:rPr>
              <w:t>Required</w:t>
            </w:r>
            <w:r>
              <w:rPr>
                <w:spacing w:val="-14"/>
                <w:sz w:val="22"/>
              </w:rPr>
              <w:t xml:space="preserve"> </w:t>
            </w:r>
            <w:r>
              <w:rPr>
                <w:sz w:val="22"/>
              </w:rPr>
              <w:t>to reflect the</w:t>
            </w:r>
          </w:p>
          <w:p>
            <w:pPr>
              <w:pStyle w:val="TableParagraph"/>
              <w:spacing w:before="1"/>
              <w:ind w:left="151" w:right="144"/>
              <w:jc w:val="center"/>
              <w:rPr>
                <w:sz w:val="22"/>
              </w:rPr>
            </w:pPr>
            <w:r>
              <w:rPr>
                <w:sz w:val="22"/>
              </w:rPr>
              <w:t>published</w:t>
            </w:r>
            <w:r>
              <w:rPr>
                <w:spacing w:val="-14"/>
                <w:sz w:val="22"/>
              </w:rPr>
              <w:t xml:space="preserve"> </w:t>
            </w:r>
            <w:r>
              <w:rPr>
                <w:sz w:val="22"/>
              </w:rPr>
              <w:t xml:space="preserve">MA </w:t>
            </w:r>
            <w:r>
              <w:rPr>
                <w:spacing w:val="-2"/>
                <w:sz w:val="22"/>
              </w:rPr>
              <w:t xml:space="preserve">regional benchmarks; </w:t>
            </w:r>
            <w:r>
              <w:rPr>
                <w:spacing w:val="-4"/>
                <w:sz w:val="22"/>
              </w:rPr>
              <w:t>and</w:t>
            </w:r>
          </w:p>
          <w:p>
            <w:pPr>
              <w:pStyle w:val="TableParagraph"/>
              <w:numPr>
                <w:ilvl w:val="0"/>
                <w:numId w:val="19"/>
              </w:numPr>
              <w:tabs>
                <w:tab w:val="left" w:pos="488"/>
                <w:tab w:val="left" w:pos="565"/>
              </w:tabs>
              <w:spacing w:before="1" w:after="0" w:line="240" w:lineRule="auto"/>
              <w:ind w:left="488" w:right="237" w:hanging="246"/>
              <w:jc w:val="both"/>
              <w:rPr>
                <w:sz w:val="22"/>
              </w:rPr>
            </w:pPr>
            <w:r>
              <w:rPr>
                <w:spacing w:val="-2"/>
                <w:sz w:val="22"/>
              </w:rPr>
              <w:t xml:space="preserve">Permitted </w:t>
            </w:r>
            <w:r>
              <w:rPr>
                <w:sz w:val="22"/>
              </w:rPr>
              <w:t>(but not</w:t>
            </w:r>
          </w:p>
          <w:p>
            <w:pPr>
              <w:pStyle w:val="TableParagraph"/>
              <w:spacing w:before="1"/>
              <w:ind w:left="253" w:right="246" w:firstLine="64"/>
              <w:jc w:val="both"/>
              <w:rPr>
                <w:sz w:val="22"/>
              </w:rPr>
            </w:pPr>
            <w:r>
              <w:rPr>
                <w:sz w:val="22"/>
              </w:rPr>
              <w:t>required) to participate</w:t>
            </w:r>
            <w:r>
              <w:rPr>
                <w:spacing w:val="-14"/>
                <w:sz w:val="22"/>
              </w:rPr>
              <w:t xml:space="preserve"> </w:t>
            </w:r>
            <w:r>
              <w:rPr>
                <w:sz w:val="22"/>
              </w:rPr>
              <w:t>in Part</w:t>
            </w:r>
            <w:r>
              <w:rPr>
                <w:spacing w:val="-14"/>
                <w:sz w:val="22"/>
              </w:rPr>
              <w:t xml:space="preserve"> </w:t>
            </w:r>
            <w:r>
              <w:rPr>
                <w:sz w:val="22"/>
              </w:rPr>
              <w:t>D</w:t>
            </w:r>
            <w:r>
              <w:rPr>
                <w:spacing w:val="-14"/>
                <w:sz w:val="22"/>
              </w:rPr>
              <w:t xml:space="preserve"> </w:t>
            </w:r>
            <w:r>
              <w:rPr>
                <w:sz w:val="22"/>
              </w:rPr>
              <w:t xml:space="preserve">rebate </w:t>
            </w:r>
            <w:r>
              <w:rPr>
                <w:spacing w:val="-2"/>
                <w:sz w:val="22"/>
              </w:rPr>
              <w:t>reallocation</w:t>
            </w:r>
          </w:p>
        </w:tc>
        <w:tc>
          <w:tcPr>
            <w:tcW w:w="153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4"/>
              <w:jc w:val="center"/>
              <w:rPr>
                <w:sz w:val="22"/>
              </w:rPr>
            </w:pPr>
            <w:r>
              <w:rPr>
                <w:sz w:val="22"/>
              </w:rPr>
              <w:t xml:space="preserve">12 and </w:t>
            </w:r>
            <w:r>
              <w:rPr>
                <w:spacing w:val="-5"/>
                <w:sz w:val="22"/>
              </w:rPr>
              <w:t>13</w:t>
            </w:r>
          </w:p>
        </w:tc>
        <w:tc>
          <w:tcPr>
            <w:tcW w:w="12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50" w:right="47"/>
              <w:jc w:val="center"/>
              <w:rPr>
                <w:sz w:val="22"/>
              </w:rPr>
            </w:pPr>
            <w:r>
              <w:rPr>
                <w:spacing w:val="-2"/>
                <w:sz w:val="22"/>
              </w:rPr>
              <w:t>Permitted</w:t>
            </w:r>
          </w:p>
        </w:tc>
        <w:tc>
          <w:tcPr>
            <w:tcW w:w="140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ind w:left="4" w:right="4"/>
              <w:jc w:val="center"/>
              <w:rPr>
                <w:sz w:val="22"/>
              </w:rPr>
            </w:pPr>
            <w:r>
              <w:rPr>
                <w:spacing w:val="-4"/>
                <w:sz w:val="22"/>
              </w:rPr>
              <w:t>None</w:t>
            </w:r>
          </w:p>
        </w:tc>
      </w:tr>
    </w:tbl>
    <w:p>
      <w:pPr>
        <w:pStyle w:val="TableParagraph"/>
        <w:spacing w:after="0"/>
        <w:jc w:val="center"/>
        <w:rPr>
          <w:sz w:val="22"/>
        </w:rPr>
        <w:sectPr>
          <w:pgSz w:w="12240" w:h="15840"/>
          <w:pgMar w:top="960" w:right="0" w:bottom="940" w:left="1080" w:header="727" w:footer="747"/>
          <w:cols w:space="720"/>
        </w:sectPr>
      </w:pPr>
    </w:p>
    <w:p>
      <w:pPr>
        <w:pStyle w:val="BodyText"/>
        <w:ind w:left="0"/>
        <w:rPr>
          <w:rFonts w:ascii="Arial"/>
          <w:b/>
          <w:sz w:val="20"/>
        </w:rPr>
      </w:pPr>
    </w:p>
    <w:p>
      <w:pPr>
        <w:pStyle w:val="BodyText"/>
        <w:spacing w:before="6" w:after="1"/>
        <w:ind w:left="0"/>
        <w:rPr>
          <w:rFonts w:ascii="Arial"/>
          <w:b/>
          <w:sz w:val="20"/>
        </w:rPr>
      </w:pPr>
    </w:p>
    <w:tbl>
      <w:tblPr>
        <w:tblStyle w:val="TableNormal"/>
        <w:tblW w:w="0" w:type="auto"/>
        <w:jc w:val="left"/>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
        <w:gridCol w:w="1421"/>
        <w:gridCol w:w="2245"/>
        <w:gridCol w:w="1674"/>
        <w:gridCol w:w="1530"/>
        <w:gridCol w:w="1270"/>
        <w:gridCol w:w="1402"/>
      </w:tblGrid>
      <w:tr>
        <w:tblPrEx>
          <w:tblW w:w="0" w:type="auto"/>
          <w:jc w:val="left"/>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67"/>
          <w:jc w:val="left"/>
        </w:trPr>
        <w:tc>
          <w:tcPr>
            <w:tcW w:w="946" w:type="dxa"/>
          </w:tcPr>
          <w:p>
            <w:pPr>
              <w:pStyle w:val="TableParagraph"/>
              <w:spacing w:before="119"/>
              <w:rPr>
                <w:rFonts w:ascii="Arial"/>
                <w:b/>
                <w:sz w:val="24"/>
              </w:rPr>
            </w:pPr>
          </w:p>
          <w:p>
            <w:pPr>
              <w:pStyle w:val="TableParagraph"/>
              <w:ind w:left="9" w:right="5"/>
              <w:jc w:val="center"/>
              <w:rPr>
                <w:b/>
                <w:sz w:val="24"/>
              </w:rPr>
            </w:pPr>
            <w:r>
              <w:rPr>
                <w:b/>
                <w:sz w:val="24"/>
              </w:rPr>
              <w:t>Case</w:t>
            </w:r>
            <w:r>
              <w:rPr>
                <w:b/>
                <w:spacing w:val="-2"/>
                <w:sz w:val="24"/>
              </w:rPr>
              <w:t xml:space="preserve"> </w:t>
            </w:r>
            <w:r>
              <w:rPr>
                <w:b/>
                <w:spacing w:val="-12"/>
                <w:sz w:val="24"/>
              </w:rPr>
              <w:t>#</w:t>
            </w:r>
          </w:p>
        </w:tc>
        <w:tc>
          <w:tcPr>
            <w:tcW w:w="1421" w:type="dxa"/>
          </w:tcPr>
          <w:p>
            <w:pPr>
              <w:pStyle w:val="TableParagraph"/>
              <w:spacing w:before="119"/>
              <w:ind w:left="119" w:right="108"/>
              <w:jc w:val="both"/>
              <w:rPr>
                <w:b/>
                <w:sz w:val="24"/>
              </w:rPr>
            </w:pPr>
            <w:r>
              <w:rPr>
                <w:b/>
                <w:sz w:val="24"/>
              </w:rPr>
              <w:t>Initial</w:t>
            </w:r>
            <w:r>
              <w:rPr>
                <w:b/>
                <w:spacing w:val="-15"/>
                <w:sz w:val="24"/>
              </w:rPr>
              <w:t xml:space="preserve"> </w:t>
            </w:r>
            <w:r>
              <w:rPr>
                <w:b/>
                <w:sz w:val="24"/>
              </w:rPr>
              <w:t xml:space="preserve">June </w:t>
            </w:r>
            <w:r>
              <w:rPr>
                <w:b/>
                <w:spacing w:val="-2"/>
                <w:sz w:val="24"/>
              </w:rPr>
              <w:t xml:space="preserve">Submission </w:t>
            </w:r>
            <w:r>
              <w:rPr>
                <w:b/>
                <w:sz w:val="24"/>
              </w:rPr>
              <w:t>MA</w:t>
            </w:r>
            <w:r>
              <w:rPr>
                <w:b/>
                <w:spacing w:val="-4"/>
                <w:sz w:val="24"/>
              </w:rPr>
              <w:t xml:space="preserve"> </w:t>
            </w:r>
            <w:r>
              <w:rPr>
                <w:b/>
                <w:spacing w:val="-2"/>
                <w:sz w:val="24"/>
              </w:rPr>
              <w:t>Rebate</w:t>
            </w:r>
          </w:p>
        </w:tc>
        <w:tc>
          <w:tcPr>
            <w:tcW w:w="2245" w:type="dxa"/>
          </w:tcPr>
          <w:p>
            <w:pPr>
              <w:pStyle w:val="TableParagraph"/>
              <w:spacing w:before="258"/>
              <w:ind w:left="674" w:hanging="408"/>
              <w:rPr>
                <w:b/>
                <w:sz w:val="24"/>
              </w:rPr>
            </w:pPr>
            <w:r>
              <w:rPr>
                <w:b/>
                <w:sz w:val="24"/>
              </w:rPr>
              <w:t>Part</w:t>
            </w:r>
            <w:r>
              <w:rPr>
                <w:b/>
                <w:spacing w:val="-15"/>
                <w:sz w:val="24"/>
              </w:rPr>
              <w:t xml:space="preserve"> </w:t>
            </w:r>
            <w:r>
              <w:rPr>
                <w:b/>
                <w:sz w:val="24"/>
              </w:rPr>
              <w:t>D</w:t>
            </w:r>
            <w:r>
              <w:rPr>
                <w:b/>
                <w:spacing w:val="-15"/>
                <w:sz w:val="24"/>
              </w:rPr>
              <w:t xml:space="preserve"> </w:t>
            </w:r>
            <w:r>
              <w:rPr>
                <w:b/>
                <w:sz w:val="24"/>
              </w:rPr>
              <w:t xml:space="preserve">Premium </w:t>
            </w:r>
            <w:r>
              <w:rPr>
                <w:b/>
                <w:spacing w:val="-2"/>
                <w:sz w:val="24"/>
              </w:rPr>
              <w:t>Scenario</w:t>
            </w:r>
          </w:p>
        </w:tc>
        <w:tc>
          <w:tcPr>
            <w:tcW w:w="1674" w:type="dxa"/>
          </w:tcPr>
          <w:p>
            <w:pPr>
              <w:pStyle w:val="TableParagraph"/>
              <w:spacing w:before="258"/>
              <w:ind w:left="195" w:firstLine="281"/>
              <w:rPr>
                <w:b/>
                <w:sz w:val="24"/>
              </w:rPr>
            </w:pPr>
            <w:r>
              <w:rPr>
                <w:b/>
                <w:spacing w:val="-2"/>
                <w:sz w:val="24"/>
              </w:rPr>
              <w:t>Rebate Reallocation</w:t>
            </w:r>
          </w:p>
        </w:tc>
        <w:tc>
          <w:tcPr>
            <w:tcW w:w="1530" w:type="dxa"/>
          </w:tcPr>
          <w:p>
            <w:pPr>
              <w:pStyle w:val="TableParagraph"/>
              <w:spacing w:before="119"/>
              <w:ind w:left="122" w:right="117" w:firstLine="2"/>
              <w:jc w:val="center"/>
              <w:rPr>
                <w:b/>
                <w:sz w:val="24"/>
              </w:rPr>
            </w:pPr>
            <w:r>
              <w:rPr>
                <w:b/>
                <w:spacing w:val="-2"/>
                <w:sz w:val="24"/>
              </w:rPr>
              <w:t>Rebate Reallocation Example</w:t>
            </w:r>
          </w:p>
        </w:tc>
        <w:tc>
          <w:tcPr>
            <w:tcW w:w="1270" w:type="dxa"/>
          </w:tcPr>
          <w:p>
            <w:pPr>
              <w:pStyle w:val="TableParagraph"/>
              <w:spacing w:before="258"/>
              <w:ind w:left="124" w:right="118" w:firstLine="26"/>
              <w:rPr>
                <w:b/>
                <w:sz w:val="24"/>
              </w:rPr>
            </w:pPr>
            <w:r>
              <w:rPr>
                <w:b/>
                <w:spacing w:val="-2"/>
                <w:sz w:val="24"/>
              </w:rPr>
              <w:t>Premium Rounding</w:t>
            </w:r>
          </w:p>
        </w:tc>
        <w:tc>
          <w:tcPr>
            <w:tcW w:w="1402" w:type="dxa"/>
          </w:tcPr>
          <w:p>
            <w:pPr>
              <w:pStyle w:val="TableParagraph"/>
              <w:spacing w:before="119"/>
              <w:ind w:left="188" w:right="186" w:firstLine="26"/>
              <w:jc w:val="both"/>
              <w:rPr>
                <w:b/>
                <w:sz w:val="24"/>
              </w:rPr>
            </w:pPr>
            <w:r>
              <w:rPr>
                <w:b/>
                <w:spacing w:val="-2"/>
                <w:sz w:val="24"/>
              </w:rPr>
              <w:t>Premium Rounding Example</w:t>
            </w:r>
          </w:p>
        </w:tc>
      </w:tr>
      <w:tr>
        <w:tblPrEx>
          <w:tblW w:w="0" w:type="auto"/>
          <w:jc w:val="left"/>
          <w:tblInd w:w="327" w:type="dxa"/>
          <w:tblLayout w:type="fixed"/>
          <w:tblCellMar>
            <w:top w:w="0" w:type="dxa"/>
            <w:left w:w="0" w:type="dxa"/>
            <w:bottom w:w="0" w:type="dxa"/>
            <w:right w:w="0" w:type="dxa"/>
          </w:tblCellMar>
          <w:tblLook w:val="01E0"/>
        </w:tblPrEx>
        <w:trPr>
          <w:trHeight w:val="3782"/>
          <w:jc w:val="left"/>
        </w:trPr>
        <w:tc>
          <w:tcPr>
            <w:tcW w:w="946"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6"/>
              <w:rPr>
                <w:rFonts w:ascii="Arial"/>
                <w:b/>
                <w:sz w:val="22"/>
              </w:rPr>
            </w:pPr>
          </w:p>
          <w:p>
            <w:pPr>
              <w:pStyle w:val="TableParagraph"/>
              <w:spacing w:before="1"/>
              <w:ind w:left="9"/>
              <w:jc w:val="center"/>
              <w:rPr>
                <w:sz w:val="22"/>
              </w:rPr>
            </w:pPr>
            <w:r>
              <w:rPr>
                <w:spacing w:val="-5"/>
                <w:sz w:val="22"/>
              </w:rPr>
              <w:t>11</w:t>
            </w:r>
          </w:p>
        </w:tc>
        <w:tc>
          <w:tcPr>
            <w:tcW w:w="1421"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19"/>
              <w:rPr>
                <w:rFonts w:ascii="Arial"/>
                <w:b/>
                <w:sz w:val="22"/>
              </w:rPr>
            </w:pPr>
          </w:p>
          <w:p>
            <w:pPr>
              <w:pStyle w:val="TableParagraph"/>
              <w:ind w:left="9"/>
              <w:jc w:val="center"/>
              <w:rPr>
                <w:sz w:val="22"/>
              </w:rPr>
            </w:pPr>
            <w:r>
              <w:rPr>
                <w:sz w:val="22"/>
              </w:rPr>
              <w:t>Greater</w:t>
            </w:r>
            <w:r>
              <w:rPr>
                <w:spacing w:val="-8"/>
                <w:sz w:val="22"/>
              </w:rPr>
              <w:t xml:space="preserve"> </w:t>
            </w:r>
            <w:r>
              <w:rPr>
                <w:spacing w:val="-4"/>
                <w:sz w:val="22"/>
              </w:rPr>
              <w:t>than</w:t>
            </w:r>
          </w:p>
          <w:p>
            <w:pPr>
              <w:pStyle w:val="TableParagraph"/>
              <w:spacing w:before="2"/>
              <w:ind w:left="9" w:right="1"/>
              <w:jc w:val="center"/>
              <w:rPr>
                <w:sz w:val="22"/>
              </w:rPr>
            </w:pPr>
            <w:r>
              <w:rPr>
                <w:spacing w:val="-5"/>
                <w:sz w:val="22"/>
              </w:rPr>
              <w:t>$0</w:t>
            </w:r>
          </w:p>
        </w:tc>
        <w:tc>
          <w:tcPr>
            <w:tcW w:w="2245" w:type="dxa"/>
          </w:tcPr>
          <w:p>
            <w:pPr>
              <w:pStyle w:val="TableParagraph"/>
              <w:spacing w:before="118"/>
              <w:ind w:left="419" w:hanging="216"/>
              <w:rPr>
                <w:sz w:val="22"/>
              </w:rPr>
            </w:pPr>
            <w:r>
              <w:rPr>
                <w:sz w:val="22"/>
              </w:rPr>
              <w:t>(i)</w:t>
            </w:r>
            <w:r>
              <w:rPr>
                <w:spacing w:val="-12"/>
                <w:sz w:val="22"/>
              </w:rPr>
              <w:t xml:space="preserve"> </w:t>
            </w:r>
            <w:r>
              <w:rPr>
                <w:sz w:val="22"/>
              </w:rPr>
              <w:t>$0.00</w:t>
            </w:r>
            <w:r>
              <w:rPr>
                <w:spacing w:val="-13"/>
                <w:sz w:val="22"/>
              </w:rPr>
              <w:t xml:space="preserve"> </w:t>
            </w:r>
            <w:r>
              <w:rPr>
                <w:sz w:val="22"/>
              </w:rPr>
              <w:t>allocated</w:t>
            </w:r>
            <w:r>
              <w:rPr>
                <w:spacing w:val="-11"/>
                <w:sz w:val="22"/>
              </w:rPr>
              <w:t xml:space="preserve"> </w:t>
            </w:r>
            <w:r>
              <w:rPr>
                <w:sz w:val="22"/>
              </w:rPr>
              <w:t>to the Part D basic</w:t>
            </w:r>
          </w:p>
          <w:p>
            <w:pPr>
              <w:pStyle w:val="TableParagraph"/>
              <w:spacing w:before="1"/>
              <w:ind w:left="119" w:right="111" w:hanging="3"/>
              <w:jc w:val="center"/>
              <w:rPr>
                <w:sz w:val="22"/>
              </w:rPr>
            </w:pPr>
            <w:r>
              <w:rPr>
                <w:sz w:val="22"/>
              </w:rPr>
              <w:t>premium in the initial submission;</w:t>
            </w:r>
            <w:r>
              <w:rPr>
                <w:spacing w:val="-11"/>
                <w:sz w:val="22"/>
              </w:rPr>
              <w:t xml:space="preserve"> </w:t>
            </w:r>
            <w:r>
              <w:rPr>
                <w:sz w:val="22"/>
              </w:rPr>
              <w:t>(ii)</w:t>
            </w:r>
            <w:r>
              <w:rPr>
                <w:spacing w:val="-12"/>
                <w:sz w:val="22"/>
              </w:rPr>
              <w:t xml:space="preserve"> </w:t>
            </w:r>
            <w:r>
              <w:rPr>
                <w:sz w:val="22"/>
              </w:rPr>
              <w:t>Part</w:t>
            </w:r>
            <w:r>
              <w:rPr>
                <w:spacing w:val="-11"/>
                <w:sz w:val="22"/>
              </w:rPr>
              <w:t xml:space="preserve"> </w:t>
            </w:r>
            <w:r>
              <w:rPr>
                <w:sz w:val="22"/>
              </w:rPr>
              <w:t>D basic premium is less than the target plan intention for the</w:t>
            </w:r>
          </w:p>
          <w:p>
            <w:pPr>
              <w:pStyle w:val="TableParagraph"/>
              <w:ind w:left="76" w:right="67"/>
              <w:jc w:val="center"/>
              <w:rPr>
                <w:sz w:val="22"/>
              </w:rPr>
            </w:pPr>
            <w:r>
              <w:rPr>
                <w:sz w:val="22"/>
              </w:rPr>
              <w:t>Part</w:t>
            </w:r>
            <w:r>
              <w:rPr>
                <w:spacing w:val="-12"/>
                <w:sz w:val="22"/>
              </w:rPr>
              <w:t xml:space="preserve"> </w:t>
            </w:r>
            <w:r>
              <w:rPr>
                <w:sz w:val="22"/>
              </w:rPr>
              <w:t>D</w:t>
            </w:r>
            <w:r>
              <w:rPr>
                <w:spacing w:val="-14"/>
                <w:sz w:val="22"/>
              </w:rPr>
              <w:t xml:space="preserve"> </w:t>
            </w:r>
            <w:r>
              <w:rPr>
                <w:sz w:val="22"/>
              </w:rPr>
              <w:t>basic</w:t>
            </w:r>
            <w:r>
              <w:rPr>
                <w:spacing w:val="-12"/>
                <w:sz w:val="22"/>
              </w:rPr>
              <w:t xml:space="preserve"> </w:t>
            </w:r>
            <w:r>
              <w:rPr>
                <w:sz w:val="22"/>
              </w:rPr>
              <w:t>premium after the reflection of the published benchmarks; and</w:t>
            </w:r>
          </w:p>
          <w:p>
            <w:pPr>
              <w:pStyle w:val="TableParagraph"/>
              <w:spacing w:before="1" w:line="242" w:lineRule="auto"/>
              <w:ind w:left="234" w:firstLine="184"/>
              <w:rPr>
                <w:sz w:val="22"/>
              </w:rPr>
            </w:pPr>
            <w:r>
              <w:rPr>
                <w:sz w:val="22"/>
              </w:rPr>
              <w:t>(iii) total Part D premium*</w:t>
            </w:r>
            <w:r>
              <w:rPr>
                <w:spacing w:val="-14"/>
                <w:sz w:val="22"/>
              </w:rPr>
              <w:t xml:space="preserve"> </w:t>
            </w:r>
            <w:r>
              <w:rPr>
                <w:sz w:val="22"/>
              </w:rPr>
              <w:t>is</w:t>
            </w:r>
            <w:r>
              <w:rPr>
                <w:spacing w:val="-14"/>
                <w:sz w:val="22"/>
              </w:rPr>
              <w:t xml:space="preserve"> </w:t>
            </w:r>
            <w:r>
              <w:rPr>
                <w:sz w:val="22"/>
              </w:rPr>
              <w:t>greater than or equal to $0.</w:t>
            </w:r>
          </w:p>
        </w:tc>
        <w:tc>
          <w:tcPr>
            <w:tcW w:w="1674" w:type="dxa"/>
          </w:tcPr>
          <w:p>
            <w:pPr>
              <w:pStyle w:val="TableParagraph"/>
              <w:rPr>
                <w:rFonts w:ascii="Arial"/>
                <w:b/>
                <w:sz w:val="22"/>
              </w:rPr>
            </w:pPr>
          </w:p>
          <w:p>
            <w:pPr>
              <w:pStyle w:val="TableParagraph"/>
              <w:spacing w:before="118"/>
              <w:rPr>
                <w:rFonts w:ascii="Arial"/>
                <w:b/>
                <w:sz w:val="22"/>
              </w:rPr>
            </w:pPr>
          </w:p>
          <w:p>
            <w:pPr>
              <w:pStyle w:val="TableParagraph"/>
              <w:spacing w:before="1"/>
              <w:ind w:left="390" w:hanging="205"/>
              <w:rPr>
                <w:sz w:val="22"/>
              </w:rPr>
            </w:pPr>
            <w:r>
              <w:rPr>
                <w:sz w:val="22"/>
              </w:rPr>
              <w:t>(i)</w:t>
            </w:r>
            <w:r>
              <w:rPr>
                <w:spacing w:val="-14"/>
                <w:sz w:val="22"/>
              </w:rPr>
              <w:t xml:space="preserve"> </w:t>
            </w:r>
            <w:r>
              <w:rPr>
                <w:sz w:val="22"/>
              </w:rPr>
              <w:t>Required</w:t>
            </w:r>
            <w:r>
              <w:rPr>
                <w:spacing w:val="-14"/>
                <w:sz w:val="22"/>
              </w:rPr>
              <w:t xml:space="preserve"> </w:t>
            </w:r>
            <w:r>
              <w:rPr>
                <w:sz w:val="22"/>
              </w:rPr>
              <w:t>to reflect the</w:t>
            </w:r>
          </w:p>
          <w:p>
            <w:pPr>
              <w:pStyle w:val="TableParagraph"/>
              <w:ind w:left="151" w:right="144"/>
              <w:jc w:val="center"/>
              <w:rPr>
                <w:sz w:val="22"/>
              </w:rPr>
            </w:pPr>
            <w:r>
              <w:rPr>
                <w:sz w:val="22"/>
              </w:rPr>
              <w:t>published</w:t>
            </w:r>
            <w:r>
              <w:rPr>
                <w:spacing w:val="-14"/>
                <w:sz w:val="22"/>
              </w:rPr>
              <w:t xml:space="preserve"> </w:t>
            </w:r>
            <w:r>
              <w:rPr>
                <w:sz w:val="22"/>
              </w:rPr>
              <w:t xml:space="preserve">MA </w:t>
            </w:r>
            <w:r>
              <w:rPr>
                <w:spacing w:val="-2"/>
                <w:sz w:val="22"/>
              </w:rPr>
              <w:t xml:space="preserve">regional benchmarks; </w:t>
            </w:r>
            <w:r>
              <w:rPr>
                <w:sz w:val="22"/>
              </w:rPr>
              <w:t xml:space="preserve">and (ii) Not permitted to participate in Part D rebate </w:t>
            </w:r>
            <w:r>
              <w:rPr>
                <w:spacing w:val="-2"/>
                <w:sz w:val="22"/>
              </w:rPr>
              <w:t>reallocation</w:t>
            </w:r>
          </w:p>
        </w:tc>
        <w:tc>
          <w:tcPr>
            <w:tcW w:w="153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6"/>
              <w:rPr>
                <w:rFonts w:ascii="Arial"/>
                <w:b/>
                <w:sz w:val="22"/>
              </w:rPr>
            </w:pPr>
          </w:p>
          <w:p>
            <w:pPr>
              <w:pStyle w:val="TableParagraph"/>
              <w:spacing w:before="1"/>
              <w:ind w:left="4"/>
              <w:jc w:val="center"/>
              <w:rPr>
                <w:sz w:val="22"/>
              </w:rPr>
            </w:pPr>
            <w:r>
              <w:rPr>
                <w:sz w:val="22"/>
              </w:rPr>
              <w:t xml:space="preserve">10 and </w:t>
            </w:r>
            <w:r>
              <w:rPr>
                <w:spacing w:val="-5"/>
                <w:sz w:val="22"/>
              </w:rPr>
              <w:t>11</w:t>
            </w:r>
          </w:p>
        </w:tc>
        <w:tc>
          <w:tcPr>
            <w:tcW w:w="12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6"/>
              <w:rPr>
                <w:rFonts w:ascii="Arial"/>
                <w:b/>
                <w:sz w:val="22"/>
              </w:rPr>
            </w:pPr>
          </w:p>
          <w:p>
            <w:pPr>
              <w:pStyle w:val="TableParagraph"/>
              <w:spacing w:before="1"/>
              <w:ind w:left="50" w:right="47"/>
              <w:jc w:val="center"/>
              <w:rPr>
                <w:sz w:val="22"/>
              </w:rPr>
            </w:pPr>
            <w:r>
              <w:rPr>
                <w:spacing w:val="-2"/>
                <w:sz w:val="22"/>
              </w:rPr>
              <w:t>Permitted</w:t>
            </w:r>
          </w:p>
        </w:tc>
        <w:tc>
          <w:tcPr>
            <w:tcW w:w="140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6"/>
              <w:rPr>
                <w:rFonts w:ascii="Arial"/>
                <w:b/>
                <w:sz w:val="22"/>
              </w:rPr>
            </w:pPr>
          </w:p>
          <w:p>
            <w:pPr>
              <w:pStyle w:val="TableParagraph"/>
              <w:spacing w:before="1"/>
              <w:ind w:left="4" w:right="4"/>
              <w:jc w:val="center"/>
              <w:rPr>
                <w:sz w:val="22"/>
              </w:rPr>
            </w:pPr>
            <w:r>
              <w:rPr>
                <w:spacing w:val="-4"/>
                <w:sz w:val="22"/>
              </w:rPr>
              <w:t>None</w:t>
            </w:r>
          </w:p>
        </w:tc>
      </w:tr>
      <w:tr>
        <w:tblPrEx>
          <w:tblW w:w="0" w:type="auto"/>
          <w:jc w:val="left"/>
          <w:tblInd w:w="327" w:type="dxa"/>
          <w:tblLayout w:type="fixed"/>
          <w:tblCellMar>
            <w:top w:w="0" w:type="dxa"/>
            <w:left w:w="0" w:type="dxa"/>
            <w:bottom w:w="0" w:type="dxa"/>
            <w:right w:w="0" w:type="dxa"/>
          </w:tblCellMar>
          <w:tblLook w:val="01E0"/>
        </w:tblPrEx>
        <w:trPr>
          <w:trHeight w:val="4034"/>
          <w:jc w:val="left"/>
        </w:trPr>
        <w:tc>
          <w:tcPr>
            <w:tcW w:w="946"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9"/>
              <w:jc w:val="center"/>
              <w:rPr>
                <w:sz w:val="22"/>
              </w:rPr>
            </w:pPr>
            <w:r>
              <w:rPr>
                <w:spacing w:val="-5"/>
                <w:sz w:val="22"/>
              </w:rPr>
              <w:t>12</w:t>
            </w:r>
          </w:p>
        </w:tc>
        <w:tc>
          <w:tcPr>
            <w:tcW w:w="1421"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4"/>
              <w:rPr>
                <w:rFonts w:ascii="Arial"/>
                <w:b/>
                <w:sz w:val="22"/>
              </w:rPr>
            </w:pPr>
          </w:p>
          <w:p>
            <w:pPr>
              <w:pStyle w:val="TableParagraph"/>
              <w:spacing w:before="1"/>
              <w:ind w:left="9"/>
              <w:jc w:val="center"/>
              <w:rPr>
                <w:sz w:val="22"/>
              </w:rPr>
            </w:pPr>
            <w:r>
              <w:rPr>
                <w:sz w:val="22"/>
              </w:rPr>
              <w:t>Greater</w:t>
            </w:r>
            <w:r>
              <w:rPr>
                <w:spacing w:val="-8"/>
                <w:sz w:val="22"/>
              </w:rPr>
              <w:t xml:space="preserve"> </w:t>
            </w:r>
            <w:r>
              <w:rPr>
                <w:spacing w:val="-4"/>
                <w:sz w:val="22"/>
              </w:rPr>
              <w:t>than</w:t>
            </w:r>
          </w:p>
          <w:p>
            <w:pPr>
              <w:pStyle w:val="TableParagraph"/>
              <w:spacing w:before="3"/>
              <w:ind w:left="9" w:right="1"/>
              <w:jc w:val="center"/>
              <w:rPr>
                <w:sz w:val="22"/>
              </w:rPr>
            </w:pPr>
            <w:r>
              <w:rPr>
                <w:spacing w:val="-5"/>
                <w:sz w:val="22"/>
              </w:rPr>
              <w:t>$0</w:t>
            </w:r>
          </w:p>
        </w:tc>
        <w:tc>
          <w:tcPr>
            <w:tcW w:w="2245" w:type="dxa"/>
          </w:tcPr>
          <w:p>
            <w:pPr>
              <w:pStyle w:val="TableParagraph"/>
              <w:numPr>
                <w:ilvl w:val="0"/>
                <w:numId w:val="18"/>
              </w:numPr>
              <w:tabs>
                <w:tab w:val="left" w:pos="428"/>
              </w:tabs>
              <w:spacing w:before="118" w:after="0" w:line="240" w:lineRule="auto"/>
              <w:ind w:left="136" w:right="128" w:firstLine="31"/>
              <w:jc w:val="both"/>
              <w:rPr>
                <w:sz w:val="22"/>
              </w:rPr>
            </w:pPr>
            <w:r>
              <w:rPr>
                <w:sz w:val="22"/>
              </w:rPr>
              <w:t>Greater</w:t>
            </w:r>
            <w:r>
              <w:rPr>
                <w:spacing w:val="-3"/>
                <w:sz w:val="22"/>
              </w:rPr>
              <w:t xml:space="preserve"> </w:t>
            </w:r>
            <w:r>
              <w:rPr>
                <w:sz w:val="22"/>
              </w:rPr>
              <w:t>than</w:t>
            </w:r>
            <w:r>
              <w:rPr>
                <w:spacing w:val="-3"/>
                <w:sz w:val="22"/>
              </w:rPr>
              <w:t xml:space="preserve"> </w:t>
            </w:r>
            <w:r>
              <w:rPr>
                <w:sz w:val="22"/>
              </w:rPr>
              <w:t>$0.00 allocated</w:t>
            </w:r>
            <w:r>
              <w:rPr>
                <w:spacing w:val="-10"/>
                <w:sz w:val="22"/>
              </w:rPr>
              <w:t xml:space="preserve"> </w:t>
            </w:r>
            <w:r>
              <w:rPr>
                <w:sz w:val="22"/>
              </w:rPr>
              <w:t>to</w:t>
            </w:r>
            <w:r>
              <w:rPr>
                <w:spacing w:val="-11"/>
                <w:sz w:val="22"/>
              </w:rPr>
              <w:t xml:space="preserve"> </w:t>
            </w:r>
            <w:r>
              <w:rPr>
                <w:sz w:val="22"/>
              </w:rPr>
              <w:t>the</w:t>
            </w:r>
            <w:r>
              <w:rPr>
                <w:spacing w:val="-8"/>
                <w:sz w:val="22"/>
              </w:rPr>
              <w:t xml:space="preserve"> </w:t>
            </w:r>
            <w:r>
              <w:rPr>
                <w:sz w:val="22"/>
              </w:rPr>
              <w:t>Part</w:t>
            </w:r>
            <w:r>
              <w:rPr>
                <w:spacing w:val="-10"/>
                <w:sz w:val="22"/>
              </w:rPr>
              <w:t xml:space="preserve"> </w:t>
            </w:r>
            <w:r>
              <w:rPr>
                <w:sz w:val="22"/>
              </w:rPr>
              <w:t>D basic premium in the</w:t>
            </w:r>
          </w:p>
          <w:p>
            <w:pPr>
              <w:pStyle w:val="TableParagraph"/>
              <w:spacing w:line="252" w:lineRule="exact"/>
              <w:ind w:left="309"/>
              <w:jc w:val="both"/>
              <w:rPr>
                <w:sz w:val="22"/>
              </w:rPr>
            </w:pPr>
            <w:r>
              <w:rPr>
                <w:sz w:val="22"/>
              </w:rPr>
              <w:t>initial</w:t>
            </w:r>
            <w:r>
              <w:rPr>
                <w:spacing w:val="-6"/>
                <w:sz w:val="22"/>
              </w:rPr>
              <w:t xml:space="preserve"> </w:t>
            </w:r>
            <w:r>
              <w:rPr>
                <w:spacing w:val="-2"/>
                <w:sz w:val="22"/>
              </w:rPr>
              <w:t>submission;</w:t>
            </w:r>
          </w:p>
          <w:p>
            <w:pPr>
              <w:pStyle w:val="TableParagraph"/>
              <w:numPr>
                <w:ilvl w:val="0"/>
                <w:numId w:val="18"/>
              </w:numPr>
              <w:tabs>
                <w:tab w:val="left" w:pos="519"/>
              </w:tabs>
              <w:spacing w:before="2" w:after="0" w:line="240" w:lineRule="auto"/>
              <w:ind w:left="124" w:right="115" w:firstLine="72"/>
              <w:jc w:val="both"/>
              <w:rPr>
                <w:sz w:val="22"/>
              </w:rPr>
            </w:pPr>
            <w:r>
              <w:rPr>
                <w:sz w:val="22"/>
              </w:rPr>
              <w:t>excessive rebates allocated</w:t>
            </w:r>
            <w:r>
              <w:rPr>
                <w:spacing w:val="-4"/>
                <w:sz w:val="22"/>
              </w:rPr>
              <w:t xml:space="preserve"> </w:t>
            </w:r>
            <w:r>
              <w:rPr>
                <w:sz w:val="22"/>
              </w:rPr>
              <w:t>to</w:t>
            </w:r>
            <w:r>
              <w:rPr>
                <w:spacing w:val="-5"/>
                <w:sz w:val="22"/>
              </w:rPr>
              <w:t xml:space="preserve"> </w:t>
            </w:r>
            <w:r>
              <w:rPr>
                <w:sz w:val="22"/>
              </w:rPr>
              <w:t>the</w:t>
            </w:r>
            <w:r>
              <w:rPr>
                <w:spacing w:val="-2"/>
                <w:sz w:val="22"/>
              </w:rPr>
              <w:t xml:space="preserve"> </w:t>
            </w:r>
            <w:r>
              <w:rPr>
                <w:sz w:val="22"/>
              </w:rPr>
              <w:t>Part</w:t>
            </w:r>
            <w:r>
              <w:rPr>
                <w:spacing w:val="-4"/>
                <w:sz w:val="22"/>
              </w:rPr>
              <w:t xml:space="preserve"> </w:t>
            </w:r>
            <w:r>
              <w:rPr>
                <w:sz w:val="22"/>
              </w:rPr>
              <w:t>D basic premium in the initial</w:t>
            </w:r>
            <w:r>
              <w:rPr>
                <w:spacing w:val="-8"/>
                <w:sz w:val="22"/>
              </w:rPr>
              <w:t xml:space="preserve"> </w:t>
            </w:r>
            <w:r>
              <w:rPr>
                <w:sz w:val="22"/>
              </w:rPr>
              <w:t>submission;</w:t>
            </w:r>
            <w:r>
              <w:rPr>
                <w:spacing w:val="-7"/>
                <w:sz w:val="22"/>
              </w:rPr>
              <w:t xml:space="preserve"> </w:t>
            </w:r>
            <w:r>
              <w:rPr>
                <w:spacing w:val="-5"/>
                <w:sz w:val="22"/>
              </w:rPr>
              <w:t>and</w:t>
            </w:r>
          </w:p>
          <w:p>
            <w:pPr>
              <w:pStyle w:val="TableParagraph"/>
              <w:numPr>
                <w:ilvl w:val="0"/>
                <w:numId w:val="18"/>
              </w:numPr>
              <w:tabs>
                <w:tab w:val="left" w:pos="470"/>
                <w:tab w:val="left" w:pos="573"/>
              </w:tabs>
              <w:spacing w:before="0" w:after="0" w:line="240" w:lineRule="auto"/>
              <w:ind w:left="470" w:right="182" w:hanging="279"/>
              <w:jc w:val="both"/>
              <w:rPr>
                <w:sz w:val="22"/>
              </w:rPr>
            </w:pPr>
            <w:r>
              <w:rPr>
                <w:sz w:val="22"/>
              </w:rPr>
              <w:t>rebates</w:t>
            </w:r>
            <w:r>
              <w:rPr>
                <w:spacing w:val="-14"/>
                <w:sz w:val="22"/>
              </w:rPr>
              <w:t xml:space="preserve"> </w:t>
            </w:r>
            <w:r>
              <w:rPr>
                <w:sz w:val="22"/>
              </w:rPr>
              <w:t>allocated to Part D basic</w:t>
            </w:r>
          </w:p>
          <w:p>
            <w:pPr>
              <w:pStyle w:val="TableParagraph"/>
              <w:ind w:left="112" w:right="104" w:hanging="2"/>
              <w:jc w:val="center"/>
              <w:rPr>
                <w:sz w:val="22"/>
              </w:rPr>
            </w:pPr>
            <w:r>
              <w:rPr>
                <w:sz w:val="22"/>
              </w:rPr>
              <w:t>premium exceed the Part D basic premium prior</w:t>
            </w:r>
            <w:r>
              <w:rPr>
                <w:spacing w:val="-10"/>
                <w:sz w:val="22"/>
              </w:rPr>
              <w:t xml:space="preserve"> </w:t>
            </w:r>
            <w:r>
              <w:rPr>
                <w:sz w:val="22"/>
              </w:rPr>
              <w:t>to</w:t>
            </w:r>
            <w:r>
              <w:rPr>
                <w:spacing w:val="-10"/>
                <w:sz w:val="22"/>
              </w:rPr>
              <w:t xml:space="preserve"> </w:t>
            </w:r>
            <w:r>
              <w:rPr>
                <w:sz w:val="22"/>
              </w:rPr>
              <w:t>rebates</w:t>
            </w:r>
            <w:r>
              <w:rPr>
                <w:spacing w:val="-10"/>
                <w:sz w:val="22"/>
              </w:rPr>
              <w:t xml:space="preserve"> </w:t>
            </w:r>
            <w:r>
              <w:rPr>
                <w:sz w:val="22"/>
              </w:rPr>
              <w:t>or</w:t>
            </w:r>
            <w:r>
              <w:rPr>
                <w:spacing w:val="-10"/>
                <w:sz w:val="22"/>
              </w:rPr>
              <w:t xml:space="preserve"> </w:t>
            </w:r>
            <w:r>
              <w:rPr>
                <w:sz w:val="22"/>
              </w:rPr>
              <w:t>total Part D premium* decreases below $0.</w:t>
            </w:r>
          </w:p>
        </w:tc>
        <w:tc>
          <w:tcPr>
            <w:tcW w:w="1674" w:type="dxa"/>
          </w:tcPr>
          <w:p>
            <w:pPr>
              <w:pStyle w:val="TableParagraph"/>
              <w:rPr>
                <w:rFonts w:ascii="Arial"/>
                <w:b/>
                <w:sz w:val="22"/>
              </w:rPr>
            </w:pPr>
          </w:p>
          <w:p>
            <w:pPr>
              <w:pStyle w:val="TableParagraph"/>
              <w:rPr>
                <w:rFonts w:ascii="Arial"/>
                <w:b/>
                <w:sz w:val="22"/>
              </w:rPr>
            </w:pPr>
          </w:p>
          <w:p>
            <w:pPr>
              <w:pStyle w:val="TableParagraph"/>
              <w:spacing w:before="117"/>
              <w:rPr>
                <w:rFonts w:ascii="Arial"/>
                <w:b/>
                <w:sz w:val="22"/>
              </w:rPr>
            </w:pPr>
          </w:p>
          <w:p>
            <w:pPr>
              <w:pStyle w:val="TableParagraph"/>
              <w:spacing w:before="1"/>
              <w:ind w:left="89" w:right="81"/>
              <w:jc w:val="center"/>
              <w:rPr>
                <w:sz w:val="22"/>
              </w:rPr>
            </w:pPr>
            <w:r>
              <w:rPr>
                <w:sz w:val="22"/>
              </w:rPr>
              <w:t>Required to allocate rebates after reflecting the published MA regional benchmarks</w:t>
            </w:r>
            <w:r>
              <w:rPr>
                <w:spacing w:val="-14"/>
                <w:sz w:val="22"/>
              </w:rPr>
              <w:t xml:space="preserve"> </w:t>
            </w:r>
            <w:r>
              <w:rPr>
                <w:sz w:val="22"/>
              </w:rPr>
              <w:t xml:space="preserve">and to correct negative Part D </w:t>
            </w:r>
            <w:r>
              <w:rPr>
                <w:spacing w:val="-2"/>
                <w:sz w:val="22"/>
              </w:rPr>
              <w:t>premium</w:t>
            </w:r>
          </w:p>
        </w:tc>
        <w:tc>
          <w:tcPr>
            <w:tcW w:w="153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4"/>
              <w:jc w:val="center"/>
              <w:rPr>
                <w:sz w:val="22"/>
              </w:rPr>
            </w:pPr>
            <w:r>
              <w:rPr>
                <w:spacing w:val="-4"/>
                <w:sz w:val="22"/>
              </w:rPr>
              <w:t>None</w:t>
            </w:r>
          </w:p>
        </w:tc>
        <w:tc>
          <w:tcPr>
            <w:tcW w:w="12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50" w:right="47"/>
              <w:jc w:val="center"/>
              <w:rPr>
                <w:sz w:val="22"/>
              </w:rPr>
            </w:pPr>
            <w:r>
              <w:rPr>
                <w:spacing w:val="-2"/>
                <w:sz w:val="22"/>
              </w:rPr>
              <w:t>Permitted</w:t>
            </w:r>
          </w:p>
        </w:tc>
        <w:tc>
          <w:tcPr>
            <w:tcW w:w="140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4" w:right="4"/>
              <w:jc w:val="center"/>
              <w:rPr>
                <w:sz w:val="22"/>
              </w:rPr>
            </w:pPr>
            <w:r>
              <w:rPr>
                <w:spacing w:val="-4"/>
                <w:sz w:val="22"/>
              </w:rPr>
              <w:t>None</w:t>
            </w:r>
          </w:p>
        </w:tc>
      </w:tr>
      <w:tr>
        <w:tblPrEx>
          <w:tblW w:w="0" w:type="auto"/>
          <w:jc w:val="left"/>
          <w:tblInd w:w="327" w:type="dxa"/>
          <w:tblLayout w:type="fixed"/>
          <w:tblCellMar>
            <w:top w:w="0" w:type="dxa"/>
            <w:left w:w="0" w:type="dxa"/>
            <w:bottom w:w="0" w:type="dxa"/>
            <w:right w:w="0" w:type="dxa"/>
          </w:tblCellMar>
          <w:tblLook w:val="01E0"/>
        </w:tblPrEx>
        <w:trPr>
          <w:trHeight w:val="3782"/>
          <w:jc w:val="left"/>
        </w:trPr>
        <w:tc>
          <w:tcPr>
            <w:tcW w:w="946"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spacing w:before="1"/>
              <w:ind w:left="9"/>
              <w:jc w:val="center"/>
              <w:rPr>
                <w:sz w:val="22"/>
              </w:rPr>
            </w:pPr>
            <w:r>
              <w:rPr>
                <w:spacing w:val="-5"/>
                <w:sz w:val="22"/>
              </w:rPr>
              <w:t>13</w:t>
            </w:r>
          </w:p>
        </w:tc>
        <w:tc>
          <w:tcPr>
            <w:tcW w:w="1421"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0"/>
              <w:rPr>
                <w:rFonts w:ascii="Arial"/>
                <w:b/>
                <w:sz w:val="22"/>
              </w:rPr>
            </w:pPr>
          </w:p>
          <w:p>
            <w:pPr>
              <w:pStyle w:val="TableParagraph"/>
              <w:ind w:left="9"/>
              <w:jc w:val="center"/>
              <w:rPr>
                <w:sz w:val="22"/>
              </w:rPr>
            </w:pPr>
            <w:r>
              <w:rPr>
                <w:sz w:val="22"/>
              </w:rPr>
              <w:t>Greater</w:t>
            </w:r>
            <w:r>
              <w:rPr>
                <w:spacing w:val="-8"/>
                <w:sz w:val="22"/>
              </w:rPr>
              <w:t xml:space="preserve"> </w:t>
            </w:r>
            <w:r>
              <w:rPr>
                <w:spacing w:val="-4"/>
                <w:sz w:val="22"/>
              </w:rPr>
              <w:t>than</w:t>
            </w:r>
          </w:p>
          <w:p>
            <w:pPr>
              <w:pStyle w:val="TableParagraph"/>
              <w:spacing w:before="1"/>
              <w:ind w:left="9" w:right="1"/>
              <w:jc w:val="center"/>
              <w:rPr>
                <w:sz w:val="22"/>
              </w:rPr>
            </w:pPr>
            <w:r>
              <w:rPr>
                <w:spacing w:val="-5"/>
                <w:sz w:val="22"/>
              </w:rPr>
              <w:t>$0</w:t>
            </w:r>
          </w:p>
        </w:tc>
        <w:tc>
          <w:tcPr>
            <w:tcW w:w="2245" w:type="dxa"/>
          </w:tcPr>
          <w:p>
            <w:pPr>
              <w:pStyle w:val="TableParagraph"/>
              <w:numPr>
                <w:ilvl w:val="0"/>
                <w:numId w:val="17"/>
              </w:numPr>
              <w:tabs>
                <w:tab w:val="left" w:pos="428"/>
              </w:tabs>
              <w:spacing w:before="118" w:after="0" w:line="240" w:lineRule="auto"/>
              <w:ind w:left="136" w:right="128" w:firstLine="31"/>
              <w:jc w:val="both"/>
              <w:rPr>
                <w:sz w:val="22"/>
              </w:rPr>
            </w:pPr>
            <w:r>
              <w:rPr>
                <w:sz w:val="22"/>
              </w:rPr>
              <w:t>Greater</w:t>
            </w:r>
            <w:r>
              <w:rPr>
                <w:spacing w:val="-3"/>
                <w:sz w:val="22"/>
              </w:rPr>
              <w:t xml:space="preserve"> </w:t>
            </w:r>
            <w:r>
              <w:rPr>
                <w:sz w:val="22"/>
              </w:rPr>
              <w:t>than</w:t>
            </w:r>
            <w:r>
              <w:rPr>
                <w:spacing w:val="-3"/>
                <w:sz w:val="22"/>
              </w:rPr>
              <w:t xml:space="preserve"> </w:t>
            </w:r>
            <w:r>
              <w:rPr>
                <w:sz w:val="22"/>
              </w:rPr>
              <w:t>$0.00 allocated</w:t>
            </w:r>
            <w:r>
              <w:rPr>
                <w:spacing w:val="-10"/>
                <w:sz w:val="22"/>
              </w:rPr>
              <w:t xml:space="preserve"> </w:t>
            </w:r>
            <w:r>
              <w:rPr>
                <w:sz w:val="22"/>
              </w:rPr>
              <w:t>to</w:t>
            </w:r>
            <w:r>
              <w:rPr>
                <w:spacing w:val="-11"/>
                <w:sz w:val="22"/>
              </w:rPr>
              <w:t xml:space="preserve"> </w:t>
            </w:r>
            <w:r>
              <w:rPr>
                <w:sz w:val="22"/>
              </w:rPr>
              <w:t>the</w:t>
            </w:r>
            <w:r>
              <w:rPr>
                <w:spacing w:val="-8"/>
                <w:sz w:val="22"/>
              </w:rPr>
              <w:t xml:space="preserve"> </w:t>
            </w:r>
            <w:r>
              <w:rPr>
                <w:sz w:val="22"/>
              </w:rPr>
              <w:t>Part</w:t>
            </w:r>
            <w:r>
              <w:rPr>
                <w:spacing w:val="-10"/>
                <w:sz w:val="22"/>
              </w:rPr>
              <w:t xml:space="preserve"> </w:t>
            </w:r>
            <w:r>
              <w:rPr>
                <w:sz w:val="22"/>
              </w:rPr>
              <w:t>D basic premium in the</w:t>
            </w:r>
          </w:p>
          <w:p>
            <w:pPr>
              <w:pStyle w:val="TableParagraph"/>
              <w:spacing w:before="2" w:line="253" w:lineRule="exact"/>
              <w:ind w:left="309"/>
              <w:rPr>
                <w:sz w:val="22"/>
              </w:rPr>
            </w:pPr>
            <w:r>
              <w:rPr>
                <w:sz w:val="22"/>
              </w:rPr>
              <w:t>initial</w:t>
            </w:r>
            <w:r>
              <w:rPr>
                <w:spacing w:val="-6"/>
                <w:sz w:val="22"/>
              </w:rPr>
              <w:t xml:space="preserve"> </w:t>
            </w:r>
            <w:r>
              <w:rPr>
                <w:spacing w:val="-2"/>
                <w:sz w:val="22"/>
              </w:rPr>
              <w:t>submission;</w:t>
            </w:r>
          </w:p>
          <w:p>
            <w:pPr>
              <w:pStyle w:val="TableParagraph"/>
              <w:numPr>
                <w:ilvl w:val="0"/>
                <w:numId w:val="17"/>
              </w:numPr>
              <w:tabs>
                <w:tab w:val="left" w:pos="519"/>
              </w:tabs>
              <w:spacing w:before="0" w:after="0" w:line="240" w:lineRule="auto"/>
              <w:ind w:left="136" w:right="128" w:firstLine="60"/>
              <w:jc w:val="left"/>
              <w:rPr>
                <w:sz w:val="22"/>
              </w:rPr>
            </w:pPr>
            <w:r>
              <w:rPr>
                <w:sz w:val="22"/>
              </w:rPr>
              <w:t>excessive rebates allocated</w:t>
            </w:r>
            <w:r>
              <w:rPr>
                <w:spacing w:val="-10"/>
                <w:sz w:val="22"/>
              </w:rPr>
              <w:t xml:space="preserve"> </w:t>
            </w:r>
            <w:r>
              <w:rPr>
                <w:sz w:val="22"/>
              </w:rPr>
              <w:t>to</w:t>
            </w:r>
            <w:r>
              <w:rPr>
                <w:spacing w:val="-11"/>
                <w:sz w:val="22"/>
              </w:rPr>
              <w:t xml:space="preserve"> </w:t>
            </w:r>
            <w:r>
              <w:rPr>
                <w:sz w:val="22"/>
              </w:rPr>
              <w:t>the</w:t>
            </w:r>
            <w:r>
              <w:rPr>
                <w:spacing w:val="-8"/>
                <w:sz w:val="22"/>
              </w:rPr>
              <w:t xml:space="preserve"> </w:t>
            </w:r>
            <w:r>
              <w:rPr>
                <w:sz w:val="22"/>
              </w:rPr>
              <w:t>Part</w:t>
            </w:r>
            <w:r>
              <w:rPr>
                <w:spacing w:val="-10"/>
                <w:sz w:val="22"/>
              </w:rPr>
              <w:t xml:space="preserve"> </w:t>
            </w:r>
            <w:r>
              <w:rPr>
                <w:sz w:val="22"/>
              </w:rPr>
              <w:t>D basic premium in the initial submission but does not exceed the Part D basic premium prior to rebates; and</w:t>
            </w:r>
          </w:p>
          <w:p>
            <w:pPr>
              <w:pStyle w:val="TableParagraph"/>
              <w:numPr>
                <w:ilvl w:val="0"/>
                <w:numId w:val="17"/>
              </w:numPr>
              <w:tabs>
                <w:tab w:val="left" w:pos="800"/>
              </w:tabs>
              <w:spacing w:before="0" w:after="0" w:line="242" w:lineRule="auto"/>
              <w:ind w:left="234" w:right="226" w:firstLine="184"/>
              <w:jc w:val="left"/>
              <w:rPr>
                <w:sz w:val="22"/>
              </w:rPr>
            </w:pPr>
            <w:r>
              <w:rPr>
                <w:sz w:val="22"/>
              </w:rPr>
              <w:t>total Part D premium*</w:t>
            </w:r>
            <w:r>
              <w:rPr>
                <w:spacing w:val="-14"/>
                <w:sz w:val="22"/>
              </w:rPr>
              <w:t xml:space="preserve"> </w:t>
            </w:r>
            <w:r>
              <w:rPr>
                <w:sz w:val="22"/>
              </w:rPr>
              <w:t>is</w:t>
            </w:r>
            <w:r>
              <w:rPr>
                <w:spacing w:val="-14"/>
                <w:sz w:val="22"/>
              </w:rPr>
              <w:t xml:space="preserve"> </w:t>
            </w:r>
            <w:r>
              <w:rPr>
                <w:sz w:val="22"/>
              </w:rPr>
              <w:t>greater than or equal to $0.</w:t>
            </w:r>
          </w:p>
        </w:tc>
        <w:tc>
          <w:tcPr>
            <w:tcW w:w="1674" w:type="dxa"/>
          </w:tcPr>
          <w:p>
            <w:pPr>
              <w:pStyle w:val="TableParagraph"/>
              <w:spacing w:before="119"/>
              <w:rPr>
                <w:rFonts w:ascii="Arial"/>
                <w:b/>
                <w:sz w:val="22"/>
              </w:rPr>
            </w:pPr>
          </w:p>
          <w:p>
            <w:pPr>
              <w:pStyle w:val="TableParagraph"/>
              <w:numPr>
                <w:ilvl w:val="0"/>
                <w:numId w:val="16"/>
              </w:numPr>
              <w:tabs>
                <w:tab w:val="left" w:pos="390"/>
                <w:tab w:val="left" w:pos="446"/>
              </w:tabs>
              <w:spacing w:before="1" w:after="0" w:line="240" w:lineRule="auto"/>
              <w:ind w:left="390" w:right="178" w:hanging="205"/>
              <w:jc w:val="both"/>
              <w:rPr>
                <w:sz w:val="22"/>
              </w:rPr>
            </w:pPr>
            <w:r>
              <w:rPr>
                <w:sz w:val="22"/>
              </w:rPr>
              <w:t>Required</w:t>
            </w:r>
            <w:r>
              <w:rPr>
                <w:spacing w:val="-14"/>
                <w:sz w:val="22"/>
              </w:rPr>
              <w:t xml:space="preserve"> </w:t>
            </w:r>
            <w:r>
              <w:rPr>
                <w:sz w:val="22"/>
              </w:rPr>
              <w:t>to reflect the</w:t>
            </w:r>
          </w:p>
          <w:p>
            <w:pPr>
              <w:pStyle w:val="TableParagraph"/>
              <w:ind w:left="151" w:right="144"/>
              <w:jc w:val="center"/>
              <w:rPr>
                <w:sz w:val="22"/>
              </w:rPr>
            </w:pPr>
            <w:r>
              <w:rPr>
                <w:sz w:val="22"/>
              </w:rPr>
              <w:t>published</w:t>
            </w:r>
            <w:r>
              <w:rPr>
                <w:spacing w:val="-14"/>
                <w:sz w:val="22"/>
              </w:rPr>
              <w:t xml:space="preserve"> </w:t>
            </w:r>
            <w:r>
              <w:rPr>
                <w:sz w:val="22"/>
              </w:rPr>
              <w:t xml:space="preserve">MA </w:t>
            </w:r>
            <w:r>
              <w:rPr>
                <w:spacing w:val="-2"/>
                <w:sz w:val="22"/>
              </w:rPr>
              <w:t xml:space="preserve">regional benchmarks; </w:t>
            </w:r>
            <w:r>
              <w:rPr>
                <w:spacing w:val="-4"/>
                <w:sz w:val="22"/>
              </w:rPr>
              <w:t>and</w:t>
            </w:r>
          </w:p>
          <w:p>
            <w:pPr>
              <w:pStyle w:val="TableParagraph"/>
              <w:numPr>
                <w:ilvl w:val="0"/>
                <w:numId w:val="16"/>
              </w:numPr>
              <w:tabs>
                <w:tab w:val="left" w:pos="488"/>
                <w:tab w:val="left" w:pos="565"/>
              </w:tabs>
              <w:spacing w:before="0" w:after="0" w:line="240" w:lineRule="auto"/>
              <w:ind w:left="488" w:right="237" w:hanging="246"/>
              <w:jc w:val="both"/>
              <w:rPr>
                <w:sz w:val="22"/>
              </w:rPr>
            </w:pPr>
            <w:r>
              <w:rPr>
                <w:spacing w:val="-2"/>
                <w:sz w:val="22"/>
              </w:rPr>
              <w:t xml:space="preserve">Permitted </w:t>
            </w:r>
            <w:r>
              <w:rPr>
                <w:sz w:val="22"/>
              </w:rPr>
              <w:t>(but not</w:t>
            </w:r>
          </w:p>
          <w:p>
            <w:pPr>
              <w:pStyle w:val="TableParagraph"/>
              <w:ind w:left="253" w:right="246" w:firstLine="64"/>
              <w:jc w:val="both"/>
              <w:rPr>
                <w:sz w:val="22"/>
              </w:rPr>
            </w:pPr>
            <w:r>
              <w:rPr>
                <w:sz w:val="22"/>
              </w:rPr>
              <w:t>required) to participate</w:t>
            </w:r>
            <w:r>
              <w:rPr>
                <w:spacing w:val="-14"/>
                <w:sz w:val="22"/>
              </w:rPr>
              <w:t xml:space="preserve"> </w:t>
            </w:r>
            <w:r>
              <w:rPr>
                <w:sz w:val="22"/>
              </w:rPr>
              <w:t>in Part</w:t>
            </w:r>
            <w:r>
              <w:rPr>
                <w:spacing w:val="-14"/>
                <w:sz w:val="22"/>
              </w:rPr>
              <w:t xml:space="preserve"> </w:t>
            </w:r>
            <w:r>
              <w:rPr>
                <w:sz w:val="22"/>
              </w:rPr>
              <w:t>D</w:t>
            </w:r>
            <w:r>
              <w:rPr>
                <w:spacing w:val="-14"/>
                <w:sz w:val="22"/>
              </w:rPr>
              <w:t xml:space="preserve"> </w:t>
            </w:r>
            <w:r>
              <w:rPr>
                <w:sz w:val="22"/>
              </w:rPr>
              <w:t xml:space="preserve">rebate </w:t>
            </w:r>
            <w:r>
              <w:rPr>
                <w:spacing w:val="-2"/>
                <w:sz w:val="22"/>
              </w:rPr>
              <w:t>reallocation</w:t>
            </w:r>
          </w:p>
        </w:tc>
        <w:tc>
          <w:tcPr>
            <w:tcW w:w="153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spacing w:before="1"/>
              <w:ind w:left="4"/>
              <w:jc w:val="center"/>
              <w:rPr>
                <w:sz w:val="22"/>
              </w:rPr>
            </w:pPr>
            <w:r>
              <w:rPr>
                <w:spacing w:val="-4"/>
                <w:sz w:val="22"/>
              </w:rPr>
              <w:t>None</w:t>
            </w:r>
          </w:p>
        </w:tc>
        <w:tc>
          <w:tcPr>
            <w:tcW w:w="12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spacing w:before="1"/>
              <w:ind w:left="50" w:right="47"/>
              <w:jc w:val="center"/>
              <w:rPr>
                <w:sz w:val="22"/>
              </w:rPr>
            </w:pPr>
            <w:r>
              <w:rPr>
                <w:spacing w:val="-2"/>
                <w:sz w:val="22"/>
              </w:rPr>
              <w:t>Permitted</w:t>
            </w:r>
          </w:p>
        </w:tc>
        <w:tc>
          <w:tcPr>
            <w:tcW w:w="140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9"/>
              <w:rPr>
                <w:rFonts w:ascii="Arial"/>
                <w:b/>
                <w:sz w:val="22"/>
              </w:rPr>
            </w:pPr>
          </w:p>
          <w:p>
            <w:pPr>
              <w:pStyle w:val="TableParagraph"/>
              <w:spacing w:before="1"/>
              <w:ind w:left="4" w:right="4"/>
              <w:jc w:val="center"/>
              <w:rPr>
                <w:sz w:val="22"/>
              </w:rPr>
            </w:pPr>
            <w:r>
              <w:rPr>
                <w:spacing w:val="-4"/>
                <w:sz w:val="22"/>
              </w:rPr>
              <w:t>None</w:t>
            </w:r>
          </w:p>
        </w:tc>
      </w:tr>
    </w:tbl>
    <w:p>
      <w:pPr>
        <w:pStyle w:val="TableParagraph"/>
        <w:spacing w:after="0"/>
        <w:jc w:val="center"/>
        <w:rPr>
          <w:sz w:val="22"/>
        </w:rPr>
        <w:sectPr>
          <w:pgSz w:w="12240" w:h="15840"/>
          <w:pgMar w:top="960" w:right="0" w:bottom="940" w:left="1080" w:header="727" w:footer="747"/>
          <w:cols w:space="720"/>
        </w:sectPr>
      </w:pPr>
    </w:p>
    <w:p>
      <w:pPr>
        <w:pStyle w:val="BodyText"/>
        <w:ind w:left="0"/>
        <w:rPr>
          <w:rFonts w:ascii="Arial"/>
          <w:b/>
          <w:sz w:val="20"/>
        </w:rPr>
      </w:pPr>
    </w:p>
    <w:p>
      <w:pPr>
        <w:pStyle w:val="BodyText"/>
        <w:spacing w:before="6" w:after="1"/>
        <w:ind w:left="0"/>
        <w:rPr>
          <w:rFonts w:ascii="Arial"/>
          <w:b/>
          <w:sz w:val="20"/>
        </w:rPr>
      </w:pPr>
    </w:p>
    <w:tbl>
      <w:tblPr>
        <w:tblStyle w:val="TableNormal"/>
        <w:tblW w:w="0" w:type="auto"/>
        <w:jc w:val="left"/>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
        <w:gridCol w:w="1421"/>
        <w:gridCol w:w="2245"/>
        <w:gridCol w:w="1674"/>
        <w:gridCol w:w="1530"/>
        <w:gridCol w:w="1270"/>
        <w:gridCol w:w="1402"/>
      </w:tblGrid>
      <w:tr>
        <w:tblPrEx>
          <w:tblW w:w="0" w:type="auto"/>
          <w:jc w:val="left"/>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67"/>
          <w:jc w:val="left"/>
        </w:trPr>
        <w:tc>
          <w:tcPr>
            <w:tcW w:w="946" w:type="dxa"/>
          </w:tcPr>
          <w:p>
            <w:pPr>
              <w:pStyle w:val="TableParagraph"/>
              <w:spacing w:before="119"/>
              <w:rPr>
                <w:rFonts w:ascii="Arial"/>
                <w:b/>
                <w:sz w:val="24"/>
              </w:rPr>
            </w:pPr>
          </w:p>
          <w:p>
            <w:pPr>
              <w:pStyle w:val="TableParagraph"/>
              <w:ind w:left="9" w:right="5"/>
              <w:jc w:val="center"/>
              <w:rPr>
                <w:b/>
                <w:sz w:val="24"/>
              </w:rPr>
            </w:pPr>
            <w:r>
              <w:rPr>
                <w:b/>
                <w:sz w:val="24"/>
              </w:rPr>
              <w:t>Case</w:t>
            </w:r>
            <w:r>
              <w:rPr>
                <w:b/>
                <w:spacing w:val="-2"/>
                <w:sz w:val="24"/>
              </w:rPr>
              <w:t xml:space="preserve"> </w:t>
            </w:r>
            <w:r>
              <w:rPr>
                <w:b/>
                <w:spacing w:val="-12"/>
                <w:sz w:val="24"/>
              </w:rPr>
              <w:t>#</w:t>
            </w:r>
          </w:p>
        </w:tc>
        <w:tc>
          <w:tcPr>
            <w:tcW w:w="1421" w:type="dxa"/>
          </w:tcPr>
          <w:p>
            <w:pPr>
              <w:pStyle w:val="TableParagraph"/>
              <w:spacing w:before="119"/>
              <w:ind w:left="119" w:right="108"/>
              <w:jc w:val="both"/>
              <w:rPr>
                <w:b/>
                <w:sz w:val="24"/>
              </w:rPr>
            </w:pPr>
            <w:r>
              <w:rPr>
                <w:b/>
                <w:sz w:val="24"/>
              </w:rPr>
              <w:t>Initial</w:t>
            </w:r>
            <w:r>
              <w:rPr>
                <w:b/>
                <w:spacing w:val="-15"/>
                <w:sz w:val="24"/>
              </w:rPr>
              <w:t xml:space="preserve"> </w:t>
            </w:r>
            <w:r>
              <w:rPr>
                <w:b/>
                <w:sz w:val="24"/>
              </w:rPr>
              <w:t xml:space="preserve">June </w:t>
            </w:r>
            <w:r>
              <w:rPr>
                <w:b/>
                <w:spacing w:val="-2"/>
                <w:sz w:val="24"/>
              </w:rPr>
              <w:t xml:space="preserve">Submission </w:t>
            </w:r>
            <w:r>
              <w:rPr>
                <w:b/>
                <w:sz w:val="24"/>
              </w:rPr>
              <w:t>MA</w:t>
            </w:r>
            <w:r>
              <w:rPr>
                <w:b/>
                <w:spacing w:val="-4"/>
                <w:sz w:val="24"/>
              </w:rPr>
              <w:t xml:space="preserve"> </w:t>
            </w:r>
            <w:r>
              <w:rPr>
                <w:b/>
                <w:spacing w:val="-2"/>
                <w:sz w:val="24"/>
              </w:rPr>
              <w:t>Rebate</w:t>
            </w:r>
          </w:p>
        </w:tc>
        <w:tc>
          <w:tcPr>
            <w:tcW w:w="2245" w:type="dxa"/>
          </w:tcPr>
          <w:p>
            <w:pPr>
              <w:pStyle w:val="TableParagraph"/>
              <w:spacing w:before="258"/>
              <w:ind w:left="674" w:hanging="408"/>
              <w:rPr>
                <w:b/>
                <w:sz w:val="24"/>
              </w:rPr>
            </w:pPr>
            <w:r>
              <w:rPr>
                <w:b/>
                <w:sz w:val="24"/>
              </w:rPr>
              <w:t>Part</w:t>
            </w:r>
            <w:r>
              <w:rPr>
                <w:b/>
                <w:spacing w:val="-15"/>
                <w:sz w:val="24"/>
              </w:rPr>
              <w:t xml:space="preserve"> </w:t>
            </w:r>
            <w:r>
              <w:rPr>
                <w:b/>
                <w:sz w:val="24"/>
              </w:rPr>
              <w:t>D</w:t>
            </w:r>
            <w:r>
              <w:rPr>
                <w:b/>
                <w:spacing w:val="-15"/>
                <w:sz w:val="24"/>
              </w:rPr>
              <w:t xml:space="preserve"> </w:t>
            </w:r>
            <w:r>
              <w:rPr>
                <w:b/>
                <w:sz w:val="24"/>
              </w:rPr>
              <w:t xml:space="preserve">Premium </w:t>
            </w:r>
            <w:r>
              <w:rPr>
                <w:b/>
                <w:spacing w:val="-2"/>
                <w:sz w:val="24"/>
              </w:rPr>
              <w:t>Scenario</w:t>
            </w:r>
          </w:p>
        </w:tc>
        <w:tc>
          <w:tcPr>
            <w:tcW w:w="1674" w:type="dxa"/>
          </w:tcPr>
          <w:p>
            <w:pPr>
              <w:pStyle w:val="TableParagraph"/>
              <w:spacing w:before="258"/>
              <w:ind w:left="195" w:firstLine="281"/>
              <w:rPr>
                <w:b/>
                <w:sz w:val="24"/>
              </w:rPr>
            </w:pPr>
            <w:r>
              <w:rPr>
                <w:b/>
                <w:spacing w:val="-2"/>
                <w:sz w:val="24"/>
              </w:rPr>
              <w:t>Rebate Reallocation</w:t>
            </w:r>
          </w:p>
        </w:tc>
        <w:tc>
          <w:tcPr>
            <w:tcW w:w="1530" w:type="dxa"/>
          </w:tcPr>
          <w:p>
            <w:pPr>
              <w:pStyle w:val="TableParagraph"/>
              <w:spacing w:before="119"/>
              <w:ind w:left="122" w:right="117" w:firstLine="2"/>
              <w:jc w:val="center"/>
              <w:rPr>
                <w:b/>
                <w:sz w:val="24"/>
              </w:rPr>
            </w:pPr>
            <w:r>
              <w:rPr>
                <w:b/>
                <w:spacing w:val="-2"/>
                <w:sz w:val="24"/>
              </w:rPr>
              <w:t>Rebate Reallocation Example</w:t>
            </w:r>
          </w:p>
        </w:tc>
        <w:tc>
          <w:tcPr>
            <w:tcW w:w="1270" w:type="dxa"/>
          </w:tcPr>
          <w:p>
            <w:pPr>
              <w:pStyle w:val="TableParagraph"/>
              <w:spacing w:before="258"/>
              <w:ind w:left="124" w:right="118" w:firstLine="26"/>
              <w:rPr>
                <w:b/>
                <w:sz w:val="24"/>
              </w:rPr>
            </w:pPr>
            <w:r>
              <w:rPr>
                <w:b/>
                <w:spacing w:val="-2"/>
                <w:sz w:val="24"/>
              </w:rPr>
              <w:t>Premium Rounding</w:t>
            </w:r>
          </w:p>
        </w:tc>
        <w:tc>
          <w:tcPr>
            <w:tcW w:w="1402" w:type="dxa"/>
          </w:tcPr>
          <w:p>
            <w:pPr>
              <w:pStyle w:val="TableParagraph"/>
              <w:spacing w:before="119"/>
              <w:ind w:left="188" w:right="186" w:firstLine="26"/>
              <w:jc w:val="both"/>
              <w:rPr>
                <w:b/>
                <w:sz w:val="24"/>
              </w:rPr>
            </w:pPr>
            <w:r>
              <w:rPr>
                <w:b/>
                <w:spacing w:val="-2"/>
                <w:sz w:val="24"/>
              </w:rPr>
              <w:t>Premium Rounding Example</w:t>
            </w:r>
          </w:p>
        </w:tc>
      </w:tr>
      <w:tr>
        <w:tblPrEx>
          <w:tblW w:w="0" w:type="auto"/>
          <w:jc w:val="left"/>
          <w:tblInd w:w="327" w:type="dxa"/>
          <w:tblLayout w:type="fixed"/>
          <w:tblCellMar>
            <w:top w:w="0" w:type="dxa"/>
            <w:left w:w="0" w:type="dxa"/>
            <w:bottom w:w="0" w:type="dxa"/>
            <w:right w:w="0" w:type="dxa"/>
          </w:tblCellMar>
          <w:tblLook w:val="01E0"/>
        </w:tblPrEx>
        <w:trPr>
          <w:trHeight w:val="3276"/>
          <w:jc w:val="left"/>
        </w:trPr>
        <w:tc>
          <w:tcPr>
            <w:tcW w:w="946"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spacing w:before="1"/>
              <w:ind w:left="9"/>
              <w:jc w:val="center"/>
              <w:rPr>
                <w:sz w:val="22"/>
              </w:rPr>
            </w:pPr>
            <w:r>
              <w:rPr>
                <w:spacing w:val="-5"/>
                <w:sz w:val="22"/>
              </w:rPr>
              <w:t>14</w:t>
            </w:r>
          </w:p>
        </w:tc>
        <w:tc>
          <w:tcPr>
            <w:tcW w:w="1421"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18"/>
              <w:rPr>
                <w:rFonts w:ascii="Arial"/>
                <w:b/>
                <w:sz w:val="22"/>
              </w:rPr>
            </w:pPr>
          </w:p>
          <w:p>
            <w:pPr>
              <w:pStyle w:val="TableParagraph"/>
              <w:ind w:left="9"/>
              <w:jc w:val="center"/>
              <w:rPr>
                <w:sz w:val="22"/>
              </w:rPr>
            </w:pPr>
            <w:r>
              <w:rPr>
                <w:sz w:val="22"/>
              </w:rPr>
              <w:t>Greater</w:t>
            </w:r>
            <w:r>
              <w:rPr>
                <w:spacing w:val="-8"/>
                <w:sz w:val="22"/>
              </w:rPr>
              <w:t xml:space="preserve"> </w:t>
            </w:r>
            <w:r>
              <w:rPr>
                <w:spacing w:val="-4"/>
                <w:sz w:val="22"/>
              </w:rPr>
              <w:t>than</w:t>
            </w:r>
          </w:p>
          <w:p>
            <w:pPr>
              <w:pStyle w:val="TableParagraph"/>
              <w:spacing w:before="4"/>
              <w:ind w:left="9" w:right="1"/>
              <w:jc w:val="center"/>
              <w:rPr>
                <w:sz w:val="22"/>
              </w:rPr>
            </w:pPr>
            <w:r>
              <w:rPr>
                <w:spacing w:val="-5"/>
                <w:sz w:val="22"/>
              </w:rPr>
              <w:t>$0</w:t>
            </w:r>
          </w:p>
        </w:tc>
        <w:tc>
          <w:tcPr>
            <w:tcW w:w="2245" w:type="dxa"/>
          </w:tcPr>
          <w:p>
            <w:pPr>
              <w:pStyle w:val="TableParagraph"/>
              <w:numPr>
                <w:ilvl w:val="0"/>
                <w:numId w:val="15"/>
              </w:numPr>
              <w:tabs>
                <w:tab w:val="left" w:pos="428"/>
              </w:tabs>
              <w:spacing w:before="245" w:after="0" w:line="240" w:lineRule="auto"/>
              <w:ind w:left="136" w:right="128" w:firstLine="31"/>
              <w:jc w:val="both"/>
              <w:rPr>
                <w:sz w:val="22"/>
              </w:rPr>
            </w:pPr>
            <w:r>
              <w:rPr>
                <w:sz w:val="22"/>
              </w:rPr>
              <w:t>Greater</w:t>
            </w:r>
            <w:r>
              <w:rPr>
                <w:spacing w:val="-3"/>
                <w:sz w:val="22"/>
              </w:rPr>
              <w:t xml:space="preserve"> </w:t>
            </w:r>
            <w:r>
              <w:rPr>
                <w:sz w:val="22"/>
              </w:rPr>
              <w:t>than</w:t>
            </w:r>
            <w:r>
              <w:rPr>
                <w:spacing w:val="-3"/>
                <w:sz w:val="22"/>
              </w:rPr>
              <w:t xml:space="preserve"> </w:t>
            </w:r>
            <w:r>
              <w:rPr>
                <w:sz w:val="22"/>
              </w:rPr>
              <w:t>$0.00 allocated</w:t>
            </w:r>
            <w:r>
              <w:rPr>
                <w:spacing w:val="-10"/>
                <w:sz w:val="22"/>
              </w:rPr>
              <w:t xml:space="preserve"> </w:t>
            </w:r>
            <w:r>
              <w:rPr>
                <w:sz w:val="22"/>
              </w:rPr>
              <w:t>to</w:t>
            </w:r>
            <w:r>
              <w:rPr>
                <w:spacing w:val="-11"/>
                <w:sz w:val="22"/>
              </w:rPr>
              <w:t xml:space="preserve"> </w:t>
            </w:r>
            <w:r>
              <w:rPr>
                <w:sz w:val="22"/>
              </w:rPr>
              <w:t>the</w:t>
            </w:r>
            <w:r>
              <w:rPr>
                <w:spacing w:val="-8"/>
                <w:sz w:val="22"/>
              </w:rPr>
              <w:t xml:space="preserve"> </w:t>
            </w:r>
            <w:r>
              <w:rPr>
                <w:sz w:val="22"/>
              </w:rPr>
              <w:t>Part</w:t>
            </w:r>
            <w:r>
              <w:rPr>
                <w:spacing w:val="-10"/>
                <w:sz w:val="22"/>
              </w:rPr>
              <w:t xml:space="preserve"> </w:t>
            </w:r>
            <w:r>
              <w:rPr>
                <w:sz w:val="22"/>
              </w:rPr>
              <w:t>D basic premium in the</w:t>
            </w:r>
          </w:p>
          <w:p>
            <w:pPr>
              <w:pStyle w:val="TableParagraph"/>
              <w:spacing w:line="252" w:lineRule="exact"/>
              <w:ind w:left="309"/>
              <w:jc w:val="both"/>
              <w:rPr>
                <w:sz w:val="22"/>
              </w:rPr>
            </w:pPr>
            <w:r>
              <w:rPr>
                <w:sz w:val="22"/>
              </w:rPr>
              <w:t>initial</w:t>
            </w:r>
            <w:r>
              <w:rPr>
                <w:spacing w:val="-6"/>
                <w:sz w:val="22"/>
              </w:rPr>
              <w:t xml:space="preserve"> </w:t>
            </w:r>
            <w:r>
              <w:rPr>
                <w:spacing w:val="-2"/>
                <w:sz w:val="22"/>
              </w:rPr>
              <w:t>submission;</w:t>
            </w:r>
          </w:p>
          <w:p>
            <w:pPr>
              <w:pStyle w:val="TableParagraph"/>
              <w:numPr>
                <w:ilvl w:val="0"/>
                <w:numId w:val="15"/>
              </w:numPr>
              <w:tabs>
                <w:tab w:val="left" w:pos="124"/>
                <w:tab w:val="left" w:pos="436"/>
              </w:tabs>
              <w:spacing w:before="2" w:after="0" w:line="240" w:lineRule="auto"/>
              <w:ind w:left="124" w:right="111" w:hanging="8"/>
              <w:jc w:val="left"/>
              <w:rPr>
                <w:sz w:val="22"/>
              </w:rPr>
            </w:pPr>
            <w:r>
              <w:rPr>
                <w:sz w:val="22"/>
              </w:rPr>
              <w:t>insufficient</w:t>
            </w:r>
            <w:r>
              <w:rPr>
                <w:spacing w:val="-14"/>
                <w:sz w:val="22"/>
              </w:rPr>
              <w:t xml:space="preserve"> </w:t>
            </w:r>
            <w:r>
              <w:rPr>
                <w:sz w:val="22"/>
              </w:rPr>
              <w:t>rebates allocated</w:t>
            </w:r>
            <w:r>
              <w:rPr>
                <w:spacing w:val="-3"/>
                <w:sz w:val="22"/>
              </w:rPr>
              <w:t xml:space="preserve"> </w:t>
            </w:r>
            <w:r>
              <w:rPr>
                <w:sz w:val="22"/>
              </w:rPr>
              <w:t>to</w:t>
            </w:r>
            <w:r>
              <w:rPr>
                <w:spacing w:val="-4"/>
                <w:sz w:val="22"/>
              </w:rPr>
              <w:t xml:space="preserve"> </w:t>
            </w:r>
            <w:r>
              <w:rPr>
                <w:sz w:val="22"/>
              </w:rPr>
              <w:t>the</w:t>
            </w:r>
            <w:r>
              <w:rPr>
                <w:spacing w:val="-1"/>
                <w:sz w:val="22"/>
              </w:rPr>
              <w:t xml:space="preserve"> </w:t>
            </w:r>
            <w:r>
              <w:rPr>
                <w:sz w:val="22"/>
              </w:rPr>
              <w:t>Part</w:t>
            </w:r>
            <w:r>
              <w:rPr>
                <w:spacing w:val="-3"/>
                <w:sz w:val="22"/>
              </w:rPr>
              <w:t xml:space="preserve"> </w:t>
            </w:r>
            <w:r>
              <w:rPr>
                <w:sz w:val="22"/>
              </w:rPr>
              <w:t>D basic premium in the initial</w:t>
            </w:r>
            <w:r>
              <w:rPr>
                <w:spacing w:val="-14"/>
                <w:sz w:val="22"/>
              </w:rPr>
              <w:t xml:space="preserve"> </w:t>
            </w:r>
            <w:r>
              <w:rPr>
                <w:sz w:val="22"/>
              </w:rPr>
              <w:t>submission;</w:t>
            </w:r>
            <w:r>
              <w:rPr>
                <w:spacing w:val="-14"/>
                <w:sz w:val="22"/>
              </w:rPr>
              <w:t xml:space="preserve"> </w:t>
            </w:r>
            <w:r>
              <w:rPr>
                <w:sz w:val="22"/>
              </w:rPr>
              <w:t>and</w:t>
            </w:r>
          </w:p>
          <w:p>
            <w:pPr>
              <w:pStyle w:val="TableParagraph"/>
              <w:numPr>
                <w:ilvl w:val="0"/>
                <w:numId w:val="15"/>
              </w:numPr>
              <w:tabs>
                <w:tab w:val="left" w:pos="800"/>
              </w:tabs>
              <w:spacing w:before="0" w:after="0" w:line="240" w:lineRule="auto"/>
              <w:ind w:left="234" w:right="226" w:firstLine="184"/>
              <w:jc w:val="left"/>
              <w:rPr>
                <w:sz w:val="22"/>
              </w:rPr>
            </w:pPr>
            <w:r>
              <w:rPr>
                <w:sz w:val="22"/>
              </w:rPr>
              <w:t>total Part D premium*</w:t>
            </w:r>
            <w:r>
              <w:rPr>
                <w:spacing w:val="-14"/>
                <w:sz w:val="22"/>
              </w:rPr>
              <w:t xml:space="preserve"> </w:t>
            </w:r>
            <w:r>
              <w:rPr>
                <w:sz w:val="22"/>
              </w:rPr>
              <w:t>is</w:t>
            </w:r>
            <w:r>
              <w:rPr>
                <w:spacing w:val="-14"/>
                <w:sz w:val="22"/>
              </w:rPr>
              <w:t xml:space="preserve"> </w:t>
            </w:r>
            <w:r>
              <w:rPr>
                <w:sz w:val="22"/>
              </w:rPr>
              <w:t>greater than or equal to $0.</w:t>
            </w:r>
          </w:p>
        </w:tc>
        <w:tc>
          <w:tcPr>
            <w:tcW w:w="1674" w:type="dxa"/>
          </w:tcPr>
          <w:p>
            <w:pPr>
              <w:pStyle w:val="TableParagraph"/>
              <w:numPr>
                <w:ilvl w:val="0"/>
                <w:numId w:val="14"/>
              </w:numPr>
              <w:tabs>
                <w:tab w:val="left" w:pos="390"/>
                <w:tab w:val="left" w:pos="446"/>
              </w:tabs>
              <w:spacing w:before="118" w:after="0" w:line="240" w:lineRule="auto"/>
              <w:ind w:left="390" w:right="178" w:hanging="205"/>
              <w:jc w:val="both"/>
              <w:rPr>
                <w:sz w:val="22"/>
              </w:rPr>
            </w:pPr>
            <w:r>
              <w:rPr>
                <w:sz w:val="22"/>
              </w:rPr>
              <w:t>Required</w:t>
            </w:r>
            <w:r>
              <w:rPr>
                <w:spacing w:val="-14"/>
                <w:sz w:val="22"/>
              </w:rPr>
              <w:t xml:space="preserve"> </w:t>
            </w:r>
            <w:r>
              <w:rPr>
                <w:sz w:val="22"/>
              </w:rPr>
              <w:t>to reflect the</w:t>
            </w:r>
          </w:p>
          <w:p>
            <w:pPr>
              <w:pStyle w:val="TableParagraph"/>
              <w:spacing w:before="1"/>
              <w:ind w:left="151" w:right="144"/>
              <w:jc w:val="center"/>
              <w:rPr>
                <w:sz w:val="22"/>
              </w:rPr>
            </w:pPr>
            <w:r>
              <w:rPr>
                <w:sz w:val="22"/>
              </w:rPr>
              <w:t>published</w:t>
            </w:r>
            <w:r>
              <w:rPr>
                <w:spacing w:val="-14"/>
                <w:sz w:val="22"/>
              </w:rPr>
              <w:t xml:space="preserve"> </w:t>
            </w:r>
            <w:r>
              <w:rPr>
                <w:sz w:val="22"/>
              </w:rPr>
              <w:t xml:space="preserve">MA </w:t>
            </w:r>
            <w:r>
              <w:rPr>
                <w:spacing w:val="-2"/>
                <w:sz w:val="22"/>
              </w:rPr>
              <w:t xml:space="preserve">regional benchmarks; </w:t>
            </w:r>
            <w:r>
              <w:rPr>
                <w:spacing w:val="-4"/>
                <w:sz w:val="22"/>
              </w:rPr>
              <w:t>and</w:t>
            </w:r>
          </w:p>
          <w:p>
            <w:pPr>
              <w:pStyle w:val="TableParagraph"/>
              <w:numPr>
                <w:ilvl w:val="0"/>
                <w:numId w:val="14"/>
              </w:numPr>
              <w:tabs>
                <w:tab w:val="left" w:pos="488"/>
                <w:tab w:val="left" w:pos="565"/>
              </w:tabs>
              <w:spacing w:before="0" w:after="0" w:line="240" w:lineRule="auto"/>
              <w:ind w:left="488" w:right="237" w:hanging="246"/>
              <w:jc w:val="both"/>
              <w:rPr>
                <w:sz w:val="22"/>
              </w:rPr>
            </w:pPr>
            <w:r>
              <w:rPr>
                <w:spacing w:val="-2"/>
                <w:sz w:val="22"/>
              </w:rPr>
              <w:t xml:space="preserve">Permitted </w:t>
            </w:r>
            <w:r>
              <w:rPr>
                <w:sz w:val="22"/>
              </w:rPr>
              <w:t>(but not</w:t>
            </w:r>
          </w:p>
          <w:p>
            <w:pPr>
              <w:pStyle w:val="TableParagraph"/>
              <w:spacing w:before="1"/>
              <w:ind w:left="253" w:right="246" w:firstLine="64"/>
              <w:jc w:val="both"/>
              <w:rPr>
                <w:sz w:val="22"/>
              </w:rPr>
            </w:pPr>
            <w:r>
              <w:rPr>
                <w:sz w:val="22"/>
              </w:rPr>
              <w:t>required) to participate</w:t>
            </w:r>
            <w:r>
              <w:rPr>
                <w:spacing w:val="-14"/>
                <w:sz w:val="22"/>
              </w:rPr>
              <w:t xml:space="preserve"> </w:t>
            </w:r>
            <w:r>
              <w:rPr>
                <w:sz w:val="22"/>
              </w:rPr>
              <w:t>in Part</w:t>
            </w:r>
            <w:r>
              <w:rPr>
                <w:spacing w:val="-14"/>
                <w:sz w:val="22"/>
              </w:rPr>
              <w:t xml:space="preserve"> </w:t>
            </w:r>
            <w:r>
              <w:rPr>
                <w:sz w:val="22"/>
              </w:rPr>
              <w:t>D</w:t>
            </w:r>
            <w:r>
              <w:rPr>
                <w:spacing w:val="-14"/>
                <w:sz w:val="22"/>
              </w:rPr>
              <w:t xml:space="preserve"> </w:t>
            </w:r>
            <w:r>
              <w:rPr>
                <w:sz w:val="22"/>
              </w:rPr>
              <w:t xml:space="preserve">rebate </w:t>
            </w:r>
            <w:r>
              <w:rPr>
                <w:spacing w:val="-2"/>
                <w:sz w:val="22"/>
              </w:rPr>
              <w:t>reallocation</w:t>
            </w:r>
          </w:p>
        </w:tc>
        <w:tc>
          <w:tcPr>
            <w:tcW w:w="153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spacing w:before="1"/>
              <w:ind w:left="4"/>
              <w:jc w:val="center"/>
              <w:rPr>
                <w:sz w:val="22"/>
              </w:rPr>
            </w:pPr>
            <w:r>
              <w:rPr>
                <w:spacing w:val="-4"/>
                <w:sz w:val="22"/>
              </w:rPr>
              <w:t>None</w:t>
            </w:r>
          </w:p>
        </w:tc>
        <w:tc>
          <w:tcPr>
            <w:tcW w:w="12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spacing w:before="1"/>
              <w:ind w:left="50" w:right="47"/>
              <w:jc w:val="center"/>
              <w:rPr>
                <w:sz w:val="22"/>
              </w:rPr>
            </w:pPr>
            <w:r>
              <w:rPr>
                <w:spacing w:val="-2"/>
                <w:sz w:val="22"/>
              </w:rPr>
              <w:t>Permitted</w:t>
            </w:r>
          </w:p>
        </w:tc>
        <w:tc>
          <w:tcPr>
            <w:tcW w:w="140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7"/>
              <w:rPr>
                <w:rFonts w:ascii="Arial"/>
                <w:b/>
                <w:sz w:val="22"/>
              </w:rPr>
            </w:pPr>
          </w:p>
          <w:p>
            <w:pPr>
              <w:pStyle w:val="TableParagraph"/>
              <w:spacing w:before="1"/>
              <w:ind w:left="4" w:right="4"/>
              <w:jc w:val="center"/>
              <w:rPr>
                <w:sz w:val="22"/>
              </w:rPr>
            </w:pPr>
            <w:r>
              <w:rPr>
                <w:spacing w:val="-4"/>
                <w:sz w:val="22"/>
              </w:rPr>
              <w:t>None</w:t>
            </w:r>
          </w:p>
        </w:tc>
      </w:tr>
      <w:tr>
        <w:tblPrEx>
          <w:tblW w:w="0" w:type="auto"/>
          <w:jc w:val="left"/>
          <w:tblInd w:w="327" w:type="dxa"/>
          <w:tblLayout w:type="fixed"/>
          <w:tblCellMar>
            <w:top w:w="0" w:type="dxa"/>
            <w:left w:w="0" w:type="dxa"/>
            <w:bottom w:w="0" w:type="dxa"/>
            <w:right w:w="0" w:type="dxa"/>
          </w:tblCellMar>
          <w:tblLook w:val="01E0"/>
        </w:tblPrEx>
        <w:trPr>
          <w:trHeight w:val="2769"/>
          <w:jc w:val="left"/>
        </w:trPr>
        <w:tc>
          <w:tcPr>
            <w:tcW w:w="946"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8"/>
              <w:rPr>
                <w:rFonts w:ascii="Arial"/>
                <w:b/>
                <w:sz w:val="22"/>
              </w:rPr>
            </w:pPr>
          </w:p>
          <w:p>
            <w:pPr>
              <w:pStyle w:val="TableParagraph"/>
              <w:spacing w:before="1"/>
              <w:ind w:left="9"/>
              <w:jc w:val="center"/>
              <w:rPr>
                <w:sz w:val="22"/>
              </w:rPr>
            </w:pPr>
            <w:r>
              <w:rPr>
                <w:spacing w:val="-5"/>
                <w:sz w:val="22"/>
              </w:rPr>
              <w:t>15</w:t>
            </w:r>
          </w:p>
        </w:tc>
        <w:tc>
          <w:tcPr>
            <w:tcW w:w="1421"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8"/>
              <w:rPr>
                <w:rFonts w:ascii="Arial"/>
                <w:b/>
                <w:sz w:val="22"/>
              </w:rPr>
            </w:pPr>
          </w:p>
          <w:p>
            <w:pPr>
              <w:pStyle w:val="TableParagraph"/>
              <w:spacing w:before="1"/>
              <w:ind w:left="9" w:right="1"/>
              <w:jc w:val="center"/>
              <w:rPr>
                <w:sz w:val="22"/>
              </w:rPr>
            </w:pPr>
            <w:r>
              <w:rPr>
                <w:spacing w:val="-5"/>
                <w:sz w:val="22"/>
              </w:rPr>
              <w:t>$0</w:t>
            </w:r>
          </w:p>
        </w:tc>
        <w:tc>
          <w:tcPr>
            <w:tcW w:w="2245" w:type="dxa"/>
          </w:tcPr>
          <w:p>
            <w:pPr>
              <w:pStyle w:val="TableParagraph"/>
              <w:spacing w:before="244"/>
              <w:rPr>
                <w:rFonts w:ascii="Arial"/>
                <w:b/>
                <w:sz w:val="22"/>
              </w:rPr>
            </w:pPr>
          </w:p>
          <w:p>
            <w:pPr>
              <w:pStyle w:val="TableParagraph"/>
              <w:numPr>
                <w:ilvl w:val="0"/>
                <w:numId w:val="13"/>
              </w:numPr>
              <w:tabs>
                <w:tab w:val="left" w:pos="419"/>
                <w:tab w:val="left" w:pos="464"/>
              </w:tabs>
              <w:spacing w:before="0" w:after="0" w:line="240" w:lineRule="auto"/>
              <w:ind w:left="419" w:right="194" w:hanging="216"/>
              <w:jc w:val="left"/>
              <w:rPr>
                <w:sz w:val="22"/>
              </w:rPr>
            </w:pPr>
            <w:r>
              <w:rPr>
                <w:sz w:val="22"/>
              </w:rPr>
              <w:t>$0.00</w:t>
            </w:r>
            <w:r>
              <w:rPr>
                <w:spacing w:val="22"/>
                <w:sz w:val="22"/>
              </w:rPr>
              <w:t xml:space="preserve"> </w:t>
            </w:r>
            <w:r>
              <w:rPr>
                <w:sz w:val="22"/>
              </w:rPr>
              <w:t>allocated</w:t>
            </w:r>
            <w:r>
              <w:rPr>
                <w:spacing w:val="-11"/>
                <w:sz w:val="22"/>
              </w:rPr>
              <w:t xml:space="preserve"> </w:t>
            </w:r>
            <w:r>
              <w:rPr>
                <w:sz w:val="22"/>
              </w:rPr>
              <w:t>to the Part D basic</w:t>
            </w:r>
          </w:p>
          <w:p>
            <w:pPr>
              <w:pStyle w:val="TableParagraph"/>
              <w:spacing w:before="1"/>
              <w:ind w:left="407" w:hanging="245"/>
              <w:rPr>
                <w:sz w:val="22"/>
              </w:rPr>
            </w:pPr>
            <w:r>
              <w:rPr>
                <w:sz w:val="22"/>
              </w:rPr>
              <w:t>premium</w:t>
            </w:r>
            <w:r>
              <w:rPr>
                <w:spacing w:val="-14"/>
                <w:sz w:val="22"/>
              </w:rPr>
              <w:t xml:space="preserve"> </w:t>
            </w:r>
            <w:r>
              <w:rPr>
                <w:sz w:val="22"/>
              </w:rPr>
              <w:t>in</w:t>
            </w:r>
            <w:r>
              <w:rPr>
                <w:spacing w:val="-12"/>
                <w:sz w:val="22"/>
              </w:rPr>
              <w:t xml:space="preserve"> </w:t>
            </w:r>
            <w:r>
              <w:rPr>
                <w:sz w:val="22"/>
              </w:rPr>
              <w:t>the</w:t>
            </w:r>
            <w:r>
              <w:rPr>
                <w:spacing w:val="-13"/>
                <w:sz w:val="22"/>
              </w:rPr>
              <w:t xml:space="preserve"> </w:t>
            </w:r>
            <w:r>
              <w:rPr>
                <w:sz w:val="22"/>
              </w:rPr>
              <w:t>initial submission; and</w:t>
            </w:r>
          </w:p>
          <w:p>
            <w:pPr>
              <w:pStyle w:val="TableParagraph"/>
              <w:numPr>
                <w:ilvl w:val="0"/>
                <w:numId w:val="13"/>
              </w:numPr>
              <w:tabs>
                <w:tab w:val="left" w:pos="770"/>
              </w:tabs>
              <w:spacing w:before="0" w:after="0" w:line="240" w:lineRule="auto"/>
              <w:ind w:left="218" w:right="212" w:firstLine="232"/>
              <w:jc w:val="left"/>
              <w:rPr>
                <w:sz w:val="22"/>
              </w:rPr>
            </w:pPr>
            <w:r>
              <w:rPr>
                <w:sz w:val="22"/>
              </w:rPr>
              <w:t>total Part D premium*</w:t>
            </w:r>
            <w:r>
              <w:rPr>
                <w:spacing w:val="-14"/>
                <w:sz w:val="22"/>
              </w:rPr>
              <w:t xml:space="preserve"> </w:t>
            </w:r>
            <w:r>
              <w:rPr>
                <w:sz w:val="22"/>
              </w:rPr>
              <w:t>decreases</w:t>
            </w:r>
          </w:p>
          <w:p>
            <w:pPr>
              <w:pStyle w:val="TableParagraph"/>
              <w:spacing w:before="3"/>
              <w:ind w:left="686"/>
              <w:rPr>
                <w:sz w:val="22"/>
              </w:rPr>
            </w:pPr>
            <w:r>
              <w:rPr>
                <w:sz w:val="22"/>
              </w:rPr>
              <w:t>below</w:t>
            </w:r>
            <w:r>
              <w:rPr>
                <w:spacing w:val="-1"/>
                <w:sz w:val="22"/>
              </w:rPr>
              <w:t xml:space="preserve"> </w:t>
            </w:r>
            <w:r>
              <w:rPr>
                <w:spacing w:val="-5"/>
                <w:sz w:val="22"/>
              </w:rPr>
              <w:t>$0.</w:t>
            </w:r>
          </w:p>
        </w:tc>
        <w:tc>
          <w:tcPr>
            <w:tcW w:w="1674" w:type="dxa"/>
          </w:tcPr>
          <w:p>
            <w:pPr>
              <w:pStyle w:val="TableParagraph"/>
              <w:spacing w:before="118"/>
              <w:ind w:left="390" w:hanging="205"/>
              <w:rPr>
                <w:sz w:val="22"/>
              </w:rPr>
            </w:pPr>
            <w:r>
              <w:rPr>
                <w:sz w:val="22"/>
              </w:rPr>
              <w:t>(i)</w:t>
            </w:r>
            <w:r>
              <w:rPr>
                <w:spacing w:val="-14"/>
                <w:sz w:val="22"/>
              </w:rPr>
              <w:t xml:space="preserve"> </w:t>
            </w:r>
            <w:r>
              <w:rPr>
                <w:sz w:val="22"/>
              </w:rPr>
              <w:t>Required</w:t>
            </w:r>
            <w:r>
              <w:rPr>
                <w:spacing w:val="-14"/>
                <w:sz w:val="22"/>
              </w:rPr>
              <w:t xml:space="preserve"> </w:t>
            </w:r>
            <w:r>
              <w:rPr>
                <w:sz w:val="22"/>
              </w:rPr>
              <w:t>to reflect the</w:t>
            </w:r>
          </w:p>
          <w:p>
            <w:pPr>
              <w:pStyle w:val="TableParagraph"/>
              <w:spacing w:before="1"/>
              <w:ind w:left="151" w:right="144"/>
              <w:jc w:val="center"/>
              <w:rPr>
                <w:sz w:val="22"/>
              </w:rPr>
            </w:pPr>
            <w:r>
              <w:rPr>
                <w:sz w:val="22"/>
              </w:rPr>
              <w:t>published</w:t>
            </w:r>
            <w:r>
              <w:rPr>
                <w:spacing w:val="-14"/>
                <w:sz w:val="22"/>
              </w:rPr>
              <w:t xml:space="preserve"> </w:t>
            </w:r>
            <w:r>
              <w:rPr>
                <w:sz w:val="22"/>
              </w:rPr>
              <w:t xml:space="preserve">MA </w:t>
            </w:r>
            <w:r>
              <w:rPr>
                <w:spacing w:val="-2"/>
                <w:sz w:val="22"/>
              </w:rPr>
              <w:t xml:space="preserve">regional benchmarks; </w:t>
            </w:r>
            <w:r>
              <w:rPr>
                <w:spacing w:val="-4"/>
                <w:sz w:val="22"/>
              </w:rPr>
              <w:t>and</w:t>
            </w:r>
          </w:p>
          <w:p>
            <w:pPr>
              <w:pStyle w:val="TableParagraph"/>
              <w:ind w:left="421" w:hanging="267"/>
              <w:rPr>
                <w:sz w:val="22"/>
              </w:rPr>
            </w:pPr>
            <w:r>
              <w:rPr>
                <w:sz w:val="22"/>
              </w:rPr>
              <w:t>(ii)</w:t>
            </w:r>
            <w:r>
              <w:rPr>
                <w:spacing w:val="-14"/>
                <w:sz w:val="22"/>
              </w:rPr>
              <w:t xml:space="preserve"> </w:t>
            </w:r>
            <w:r>
              <w:rPr>
                <w:sz w:val="22"/>
              </w:rPr>
              <w:t>Required</w:t>
            </w:r>
            <w:r>
              <w:rPr>
                <w:spacing w:val="-14"/>
                <w:sz w:val="22"/>
              </w:rPr>
              <w:t xml:space="preserve"> </w:t>
            </w:r>
            <w:r>
              <w:rPr>
                <w:sz w:val="22"/>
              </w:rPr>
              <w:t>to achieve a</w:t>
            </w:r>
          </w:p>
          <w:p>
            <w:pPr>
              <w:pStyle w:val="TableParagraph"/>
              <w:spacing w:before="1"/>
              <w:ind w:left="125" w:firstLine="136"/>
              <w:rPr>
                <w:sz w:val="22"/>
              </w:rPr>
            </w:pPr>
            <w:r>
              <w:rPr>
                <w:sz w:val="22"/>
              </w:rPr>
              <w:t>positive total Part</w:t>
            </w:r>
            <w:r>
              <w:rPr>
                <w:spacing w:val="-14"/>
                <w:sz w:val="22"/>
              </w:rPr>
              <w:t xml:space="preserve"> </w:t>
            </w:r>
            <w:r>
              <w:rPr>
                <w:sz w:val="22"/>
              </w:rPr>
              <w:t>D</w:t>
            </w:r>
            <w:r>
              <w:rPr>
                <w:spacing w:val="-14"/>
                <w:sz w:val="22"/>
              </w:rPr>
              <w:t xml:space="preserve"> </w:t>
            </w:r>
            <w:r>
              <w:rPr>
                <w:sz w:val="22"/>
              </w:rPr>
              <w:t>premium</w:t>
            </w:r>
          </w:p>
        </w:tc>
        <w:tc>
          <w:tcPr>
            <w:tcW w:w="153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8"/>
              <w:rPr>
                <w:rFonts w:ascii="Arial"/>
                <w:b/>
                <w:sz w:val="22"/>
              </w:rPr>
            </w:pPr>
          </w:p>
          <w:p>
            <w:pPr>
              <w:pStyle w:val="TableParagraph"/>
              <w:spacing w:before="1"/>
              <w:ind w:left="4"/>
              <w:jc w:val="center"/>
              <w:rPr>
                <w:sz w:val="22"/>
              </w:rPr>
            </w:pPr>
            <w:r>
              <w:rPr>
                <w:spacing w:val="-4"/>
                <w:sz w:val="22"/>
              </w:rPr>
              <w:t>None</w:t>
            </w:r>
          </w:p>
        </w:tc>
        <w:tc>
          <w:tcPr>
            <w:tcW w:w="12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8"/>
              <w:rPr>
                <w:rFonts w:ascii="Arial"/>
                <w:b/>
                <w:sz w:val="22"/>
              </w:rPr>
            </w:pPr>
          </w:p>
          <w:p>
            <w:pPr>
              <w:pStyle w:val="TableParagraph"/>
              <w:spacing w:before="1"/>
              <w:ind w:left="50" w:right="47"/>
              <w:jc w:val="center"/>
              <w:rPr>
                <w:sz w:val="22"/>
              </w:rPr>
            </w:pPr>
            <w:r>
              <w:rPr>
                <w:spacing w:val="-2"/>
                <w:sz w:val="22"/>
              </w:rPr>
              <w:t>Permitted</w:t>
            </w:r>
          </w:p>
        </w:tc>
        <w:tc>
          <w:tcPr>
            <w:tcW w:w="140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248"/>
              <w:rPr>
                <w:rFonts w:ascii="Arial"/>
                <w:b/>
                <w:sz w:val="22"/>
              </w:rPr>
            </w:pPr>
          </w:p>
          <w:p>
            <w:pPr>
              <w:pStyle w:val="TableParagraph"/>
              <w:spacing w:before="1"/>
              <w:ind w:left="4" w:right="4"/>
              <w:jc w:val="center"/>
              <w:rPr>
                <w:sz w:val="22"/>
              </w:rPr>
            </w:pPr>
            <w:r>
              <w:rPr>
                <w:spacing w:val="-4"/>
                <w:sz w:val="22"/>
              </w:rPr>
              <w:t>None</w:t>
            </w:r>
          </w:p>
        </w:tc>
      </w:tr>
      <w:tr>
        <w:tblPrEx>
          <w:tblW w:w="0" w:type="auto"/>
          <w:jc w:val="left"/>
          <w:tblInd w:w="327" w:type="dxa"/>
          <w:tblLayout w:type="fixed"/>
          <w:tblCellMar>
            <w:top w:w="0" w:type="dxa"/>
            <w:left w:w="0" w:type="dxa"/>
            <w:bottom w:w="0" w:type="dxa"/>
            <w:right w:w="0" w:type="dxa"/>
          </w:tblCellMar>
          <w:tblLook w:val="01E0"/>
        </w:tblPrEx>
        <w:trPr>
          <w:trHeight w:val="5049"/>
          <w:jc w:val="left"/>
        </w:trPr>
        <w:tc>
          <w:tcPr>
            <w:tcW w:w="946"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9"/>
              <w:jc w:val="center"/>
              <w:rPr>
                <w:sz w:val="22"/>
              </w:rPr>
            </w:pPr>
            <w:r>
              <w:rPr>
                <w:spacing w:val="-5"/>
                <w:sz w:val="22"/>
              </w:rPr>
              <w:t>16</w:t>
            </w:r>
          </w:p>
        </w:tc>
        <w:tc>
          <w:tcPr>
            <w:tcW w:w="1421"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9" w:right="1"/>
              <w:jc w:val="center"/>
              <w:rPr>
                <w:sz w:val="22"/>
              </w:rPr>
            </w:pPr>
            <w:r>
              <w:rPr>
                <w:spacing w:val="-5"/>
                <w:sz w:val="22"/>
              </w:rPr>
              <w:t>$0</w:t>
            </w:r>
          </w:p>
        </w:tc>
        <w:tc>
          <w:tcPr>
            <w:tcW w:w="2245" w:type="dxa"/>
          </w:tcPr>
          <w:p>
            <w:pPr>
              <w:pStyle w:val="TableParagraph"/>
              <w:rPr>
                <w:rFonts w:ascii="Arial"/>
                <w:b/>
                <w:sz w:val="22"/>
              </w:rPr>
            </w:pPr>
          </w:p>
          <w:p>
            <w:pPr>
              <w:pStyle w:val="TableParagraph"/>
              <w:spacing w:before="246"/>
              <w:rPr>
                <w:rFonts w:ascii="Arial"/>
                <w:b/>
                <w:sz w:val="22"/>
              </w:rPr>
            </w:pPr>
          </w:p>
          <w:p>
            <w:pPr>
              <w:pStyle w:val="TableParagraph"/>
              <w:ind w:left="419" w:hanging="216"/>
              <w:rPr>
                <w:sz w:val="22"/>
              </w:rPr>
            </w:pPr>
            <w:r>
              <w:rPr>
                <w:sz w:val="22"/>
              </w:rPr>
              <w:t>(i)</w:t>
            </w:r>
            <w:r>
              <w:rPr>
                <w:spacing w:val="-12"/>
                <w:sz w:val="22"/>
              </w:rPr>
              <w:t xml:space="preserve"> </w:t>
            </w:r>
            <w:r>
              <w:rPr>
                <w:sz w:val="22"/>
              </w:rPr>
              <w:t>$0.00</w:t>
            </w:r>
            <w:r>
              <w:rPr>
                <w:spacing w:val="-13"/>
                <w:sz w:val="22"/>
              </w:rPr>
              <w:t xml:space="preserve"> </w:t>
            </w:r>
            <w:r>
              <w:rPr>
                <w:sz w:val="22"/>
              </w:rPr>
              <w:t>allocated</w:t>
            </w:r>
            <w:r>
              <w:rPr>
                <w:spacing w:val="-11"/>
                <w:sz w:val="22"/>
              </w:rPr>
              <w:t xml:space="preserve"> </w:t>
            </w:r>
            <w:r>
              <w:rPr>
                <w:sz w:val="22"/>
              </w:rPr>
              <w:t>to the Part D basic</w:t>
            </w:r>
          </w:p>
          <w:p>
            <w:pPr>
              <w:pStyle w:val="TableParagraph"/>
              <w:ind w:left="119" w:right="111" w:hanging="3"/>
              <w:jc w:val="center"/>
              <w:rPr>
                <w:sz w:val="22"/>
              </w:rPr>
            </w:pPr>
            <w:r>
              <w:rPr>
                <w:sz w:val="22"/>
              </w:rPr>
              <w:t>premium in the initial submission;</w:t>
            </w:r>
            <w:r>
              <w:rPr>
                <w:spacing w:val="-11"/>
                <w:sz w:val="22"/>
              </w:rPr>
              <w:t xml:space="preserve"> </w:t>
            </w:r>
            <w:r>
              <w:rPr>
                <w:sz w:val="22"/>
              </w:rPr>
              <w:t>(ii)</w:t>
            </w:r>
            <w:r>
              <w:rPr>
                <w:spacing w:val="-12"/>
                <w:sz w:val="22"/>
              </w:rPr>
              <w:t xml:space="preserve"> </w:t>
            </w:r>
            <w:r>
              <w:rPr>
                <w:sz w:val="22"/>
              </w:rPr>
              <w:t>Part</w:t>
            </w:r>
            <w:r>
              <w:rPr>
                <w:spacing w:val="-11"/>
                <w:sz w:val="22"/>
              </w:rPr>
              <w:t xml:space="preserve"> </w:t>
            </w:r>
            <w:r>
              <w:rPr>
                <w:sz w:val="22"/>
              </w:rPr>
              <w:t>D basic premium is greater than the target plan intention for the Part D basic premium after the reflection of the published benchmarks; and</w:t>
            </w:r>
          </w:p>
          <w:p>
            <w:pPr>
              <w:pStyle w:val="TableParagraph"/>
              <w:spacing w:before="2"/>
              <w:ind w:left="234" w:firstLine="184"/>
              <w:rPr>
                <w:sz w:val="22"/>
              </w:rPr>
            </w:pPr>
            <w:r>
              <w:rPr>
                <w:sz w:val="22"/>
              </w:rPr>
              <w:t>(iii) total Part D premium*</w:t>
            </w:r>
            <w:r>
              <w:rPr>
                <w:spacing w:val="-14"/>
                <w:sz w:val="22"/>
              </w:rPr>
              <w:t xml:space="preserve"> </w:t>
            </w:r>
            <w:r>
              <w:rPr>
                <w:sz w:val="22"/>
              </w:rPr>
              <w:t>is</w:t>
            </w:r>
            <w:r>
              <w:rPr>
                <w:spacing w:val="-14"/>
                <w:sz w:val="22"/>
              </w:rPr>
              <w:t xml:space="preserve"> </w:t>
            </w:r>
            <w:r>
              <w:rPr>
                <w:sz w:val="22"/>
              </w:rPr>
              <w:t>greater than or equal to $0.</w:t>
            </w:r>
          </w:p>
        </w:tc>
        <w:tc>
          <w:tcPr>
            <w:tcW w:w="1674" w:type="dxa"/>
          </w:tcPr>
          <w:p>
            <w:pPr>
              <w:pStyle w:val="TableParagraph"/>
              <w:numPr>
                <w:ilvl w:val="0"/>
                <w:numId w:val="12"/>
              </w:numPr>
              <w:tabs>
                <w:tab w:val="left" w:pos="390"/>
                <w:tab w:val="left" w:pos="446"/>
              </w:tabs>
              <w:spacing w:before="121" w:after="0" w:line="240" w:lineRule="auto"/>
              <w:ind w:left="390" w:right="178" w:hanging="205"/>
              <w:jc w:val="left"/>
              <w:rPr>
                <w:sz w:val="22"/>
              </w:rPr>
            </w:pPr>
            <w:r>
              <w:rPr>
                <w:sz w:val="22"/>
              </w:rPr>
              <w:t>Required</w:t>
            </w:r>
            <w:r>
              <w:rPr>
                <w:spacing w:val="-14"/>
                <w:sz w:val="22"/>
              </w:rPr>
              <w:t xml:space="preserve"> </w:t>
            </w:r>
            <w:r>
              <w:rPr>
                <w:sz w:val="22"/>
              </w:rPr>
              <w:t>to reflect the</w:t>
            </w:r>
          </w:p>
          <w:p>
            <w:pPr>
              <w:pStyle w:val="TableParagraph"/>
              <w:ind w:left="151" w:right="144"/>
              <w:jc w:val="center"/>
              <w:rPr>
                <w:sz w:val="22"/>
              </w:rPr>
            </w:pPr>
            <w:r>
              <w:rPr>
                <w:sz w:val="22"/>
              </w:rPr>
              <w:t>published</w:t>
            </w:r>
            <w:r>
              <w:rPr>
                <w:spacing w:val="-14"/>
                <w:sz w:val="22"/>
              </w:rPr>
              <w:t xml:space="preserve"> </w:t>
            </w:r>
            <w:r>
              <w:rPr>
                <w:sz w:val="22"/>
              </w:rPr>
              <w:t xml:space="preserve">MA </w:t>
            </w:r>
            <w:r>
              <w:rPr>
                <w:spacing w:val="-2"/>
                <w:sz w:val="22"/>
              </w:rPr>
              <w:t xml:space="preserve">regional benchmarks; </w:t>
            </w:r>
            <w:r>
              <w:rPr>
                <w:spacing w:val="-4"/>
                <w:sz w:val="22"/>
              </w:rPr>
              <w:t>and</w:t>
            </w:r>
          </w:p>
          <w:p>
            <w:pPr>
              <w:pStyle w:val="TableParagraph"/>
              <w:numPr>
                <w:ilvl w:val="0"/>
                <w:numId w:val="12"/>
              </w:numPr>
              <w:tabs>
                <w:tab w:val="left" w:pos="488"/>
                <w:tab w:val="left" w:pos="565"/>
              </w:tabs>
              <w:spacing w:before="0" w:after="0" w:line="240" w:lineRule="auto"/>
              <w:ind w:left="488" w:right="237" w:hanging="246"/>
              <w:jc w:val="left"/>
              <w:rPr>
                <w:sz w:val="22"/>
              </w:rPr>
            </w:pPr>
            <w:r>
              <w:rPr>
                <w:spacing w:val="-2"/>
                <w:sz w:val="22"/>
              </w:rPr>
              <w:t xml:space="preserve">Permitted </w:t>
            </w:r>
            <w:r>
              <w:rPr>
                <w:sz w:val="22"/>
              </w:rPr>
              <w:t>(but not</w:t>
            </w:r>
          </w:p>
          <w:p>
            <w:pPr>
              <w:pStyle w:val="TableParagraph"/>
              <w:ind w:left="173" w:right="166" w:firstLine="1"/>
              <w:jc w:val="center"/>
              <w:rPr>
                <w:sz w:val="22"/>
              </w:rPr>
            </w:pPr>
            <w:r>
              <w:rPr>
                <w:sz w:val="22"/>
              </w:rPr>
              <w:t xml:space="preserve">required) to participate in Part D rebate </w:t>
            </w:r>
            <w:r>
              <w:rPr>
                <w:spacing w:val="-2"/>
                <w:sz w:val="22"/>
              </w:rPr>
              <w:t xml:space="preserve">reallocation </w:t>
            </w:r>
            <w:r>
              <w:rPr>
                <w:sz w:val="22"/>
              </w:rPr>
              <w:t>when MA rebates are greater</w:t>
            </w:r>
            <w:r>
              <w:rPr>
                <w:spacing w:val="-14"/>
                <w:sz w:val="22"/>
              </w:rPr>
              <w:t xml:space="preserve"> </w:t>
            </w:r>
            <w:r>
              <w:rPr>
                <w:sz w:val="22"/>
              </w:rPr>
              <w:t>than</w:t>
            </w:r>
            <w:r>
              <w:rPr>
                <w:spacing w:val="-14"/>
                <w:sz w:val="22"/>
              </w:rPr>
              <w:t xml:space="preserve"> </w:t>
            </w:r>
            <w:r>
              <w:rPr>
                <w:sz w:val="22"/>
              </w:rPr>
              <w:t>$0 after</w:t>
            </w:r>
            <w:r>
              <w:rPr>
                <w:spacing w:val="-14"/>
                <w:sz w:val="22"/>
              </w:rPr>
              <w:t xml:space="preserve"> </w:t>
            </w:r>
            <w:r>
              <w:rPr>
                <w:sz w:val="22"/>
              </w:rPr>
              <w:t xml:space="preserve">reflecting published MA </w:t>
            </w:r>
            <w:r>
              <w:rPr>
                <w:spacing w:val="-2"/>
                <w:sz w:val="22"/>
              </w:rPr>
              <w:t>regional benchmarks</w:t>
            </w:r>
          </w:p>
        </w:tc>
        <w:tc>
          <w:tcPr>
            <w:tcW w:w="153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4"/>
              <w:jc w:val="center"/>
              <w:rPr>
                <w:sz w:val="22"/>
              </w:rPr>
            </w:pPr>
            <w:r>
              <w:rPr>
                <w:spacing w:val="-4"/>
                <w:sz w:val="22"/>
              </w:rPr>
              <w:t>None</w:t>
            </w:r>
          </w:p>
        </w:tc>
        <w:tc>
          <w:tcPr>
            <w:tcW w:w="12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50" w:right="47"/>
              <w:jc w:val="center"/>
              <w:rPr>
                <w:sz w:val="22"/>
              </w:rPr>
            </w:pPr>
            <w:r>
              <w:rPr>
                <w:spacing w:val="-2"/>
                <w:sz w:val="22"/>
              </w:rPr>
              <w:t>Permitted</w:t>
            </w:r>
          </w:p>
        </w:tc>
        <w:tc>
          <w:tcPr>
            <w:tcW w:w="140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4" w:right="4"/>
              <w:jc w:val="center"/>
              <w:rPr>
                <w:sz w:val="22"/>
              </w:rPr>
            </w:pPr>
            <w:r>
              <w:rPr>
                <w:spacing w:val="-4"/>
                <w:sz w:val="22"/>
              </w:rPr>
              <w:t>None</w:t>
            </w:r>
          </w:p>
        </w:tc>
      </w:tr>
    </w:tbl>
    <w:p>
      <w:pPr>
        <w:pStyle w:val="TableParagraph"/>
        <w:spacing w:after="0"/>
        <w:jc w:val="center"/>
        <w:rPr>
          <w:sz w:val="22"/>
        </w:rPr>
        <w:sectPr>
          <w:pgSz w:w="12240" w:h="15840"/>
          <w:pgMar w:top="960" w:right="0" w:bottom="940" w:left="1080" w:header="727" w:footer="747"/>
          <w:cols w:space="720"/>
        </w:sectPr>
      </w:pPr>
    </w:p>
    <w:p>
      <w:pPr>
        <w:pStyle w:val="BodyText"/>
        <w:ind w:left="0"/>
        <w:rPr>
          <w:rFonts w:ascii="Arial"/>
          <w:b/>
          <w:sz w:val="20"/>
        </w:rPr>
      </w:pPr>
    </w:p>
    <w:p>
      <w:pPr>
        <w:pStyle w:val="BodyText"/>
        <w:spacing w:before="6" w:after="1"/>
        <w:ind w:left="0"/>
        <w:rPr>
          <w:rFonts w:ascii="Arial"/>
          <w:b/>
          <w:sz w:val="20"/>
        </w:rPr>
      </w:pPr>
    </w:p>
    <w:tbl>
      <w:tblPr>
        <w:tblStyle w:val="TableNormal"/>
        <w:tblW w:w="0" w:type="auto"/>
        <w:jc w:val="left"/>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
        <w:gridCol w:w="1421"/>
        <w:gridCol w:w="2245"/>
        <w:gridCol w:w="1674"/>
        <w:gridCol w:w="1530"/>
        <w:gridCol w:w="1270"/>
        <w:gridCol w:w="1402"/>
      </w:tblGrid>
      <w:tr>
        <w:tblPrEx>
          <w:tblW w:w="0" w:type="auto"/>
          <w:jc w:val="left"/>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67"/>
          <w:jc w:val="left"/>
        </w:trPr>
        <w:tc>
          <w:tcPr>
            <w:tcW w:w="946" w:type="dxa"/>
          </w:tcPr>
          <w:p>
            <w:pPr>
              <w:pStyle w:val="TableParagraph"/>
              <w:spacing w:before="119"/>
              <w:rPr>
                <w:rFonts w:ascii="Arial"/>
                <w:b/>
                <w:sz w:val="24"/>
              </w:rPr>
            </w:pPr>
          </w:p>
          <w:p>
            <w:pPr>
              <w:pStyle w:val="TableParagraph"/>
              <w:ind w:left="9" w:right="5"/>
              <w:jc w:val="center"/>
              <w:rPr>
                <w:b/>
                <w:sz w:val="24"/>
              </w:rPr>
            </w:pPr>
            <w:r>
              <w:rPr>
                <w:b/>
                <w:sz w:val="24"/>
              </w:rPr>
              <w:t>Case</w:t>
            </w:r>
            <w:r>
              <w:rPr>
                <w:b/>
                <w:spacing w:val="-2"/>
                <w:sz w:val="24"/>
              </w:rPr>
              <w:t xml:space="preserve"> </w:t>
            </w:r>
            <w:r>
              <w:rPr>
                <w:b/>
                <w:spacing w:val="-12"/>
                <w:sz w:val="24"/>
              </w:rPr>
              <w:t>#</w:t>
            </w:r>
          </w:p>
        </w:tc>
        <w:tc>
          <w:tcPr>
            <w:tcW w:w="1421" w:type="dxa"/>
          </w:tcPr>
          <w:p>
            <w:pPr>
              <w:pStyle w:val="TableParagraph"/>
              <w:spacing w:before="119"/>
              <w:ind w:left="119" w:right="108"/>
              <w:jc w:val="both"/>
              <w:rPr>
                <w:b/>
                <w:sz w:val="24"/>
              </w:rPr>
            </w:pPr>
            <w:r>
              <w:rPr>
                <w:b/>
                <w:sz w:val="24"/>
              </w:rPr>
              <w:t>Initial</w:t>
            </w:r>
            <w:r>
              <w:rPr>
                <w:b/>
                <w:spacing w:val="-15"/>
                <w:sz w:val="24"/>
              </w:rPr>
              <w:t xml:space="preserve"> </w:t>
            </w:r>
            <w:r>
              <w:rPr>
                <w:b/>
                <w:sz w:val="24"/>
              </w:rPr>
              <w:t xml:space="preserve">June </w:t>
            </w:r>
            <w:r>
              <w:rPr>
                <w:b/>
                <w:spacing w:val="-2"/>
                <w:sz w:val="24"/>
              </w:rPr>
              <w:t xml:space="preserve">Submission </w:t>
            </w:r>
            <w:r>
              <w:rPr>
                <w:b/>
                <w:sz w:val="24"/>
              </w:rPr>
              <w:t>MA</w:t>
            </w:r>
            <w:r>
              <w:rPr>
                <w:b/>
                <w:spacing w:val="-4"/>
                <w:sz w:val="24"/>
              </w:rPr>
              <w:t xml:space="preserve"> </w:t>
            </w:r>
            <w:r>
              <w:rPr>
                <w:b/>
                <w:spacing w:val="-2"/>
                <w:sz w:val="24"/>
              </w:rPr>
              <w:t>Rebate</w:t>
            </w:r>
          </w:p>
        </w:tc>
        <w:tc>
          <w:tcPr>
            <w:tcW w:w="2245" w:type="dxa"/>
          </w:tcPr>
          <w:p>
            <w:pPr>
              <w:pStyle w:val="TableParagraph"/>
              <w:spacing w:before="258"/>
              <w:ind w:left="674" w:hanging="408"/>
              <w:rPr>
                <w:b/>
                <w:sz w:val="24"/>
              </w:rPr>
            </w:pPr>
            <w:r>
              <w:rPr>
                <w:b/>
                <w:sz w:val="24"/>
              </w:rPr>
              <w:t>Part</w:t>
            </w:r>
            <w:r>
              <w:rPr>
                <w:b/>
                <w:spacing w:val="-15"/>
                <w:sz w:val="24"/>
              </w:rPr>
              <w:t xml:space="preserve"> </w:t>
            </w:r>
            <w:r>
              <w:rPr>
                <w:b/>
                <w:sz w:val="24"/>
              </w:rPr>
              <w:t>D</w:t>
            </w:r>
            <w:r>
              <w:rPr>
                <w:b/>
                <w:spacing w:val="-15"/>
                <w:sz w:val="24"/>
              </w:rPr>
              <w:t xml:space="preserve"> </w:t>
            </w:r>
            <w:r>
              <w:rPr>
                <w:b/>
                <w:sz w:val="24"/>
              </w:rPr>
              <w:t xml:space="preserve">Premium </w:t>
            </w:r>
            <w:r>
              <w:rPr>
                <w:b/>
                <w:spacing w:val="-2"/>
                <w:sz w:val="24"/>
              </w:rPr>
              <w:t>Scenario</w:t>
            </w:r>
          </w:p>
        </w:tc>
        <w:tc>
          <w:tcPr>
            <w:tcW w:w="1674" w:type="dxa"/>
          </w:tcPr>
          <w:p>
            <w:pPr>
              <w:pStyle w:val="TableParagraph"/>
              <w:spacing w:before="258"/>
              <w:ind w:left="195" w:firstLine="281"/>
              <w:rPr>
                <w:b/>
                <w:sz w:val="24"/>
              </w:rPr>
            </w:pPr>
            <w:r>
              <w:rPr>
                <w:b/>
                <w:spacing w:val="-2"/>
                <w:sz w:val="24"/>
              </w:rPr>
              <w:t>Rebate Reallocation</w:t>
            </w:r>
          </w:p>
        </w:tc>
        <w:tc>
          <w:tcPr>
            <w:tcW w:w="1530" w:type="dxa"/>
          </w:tcPr>
          <w:p>
            <w:pPr>
              <w:pStyle w:val="TableParagraph"/>
              <w:spacing w:before="119"/>
              <w:ind w:left="122" w:right="117" w:firstLine="2"/>
              <w:jc w:val="center"/>
              <w:rPr>
                <w:b/>
                <w:sz w:val="24"/>
              </w:rPr>
            </w:pPr>
            <w:r>
              <w:rPr>
                <w:b/>
                <w:spacing w:val="-2"/>
                <w:sz w:val="24"/>
              </w:rPr>
              <w:t>Rebate Reallocation Example</w:t>
            </w:r>
          </w:p>
        </w:tc>
        <w:tc>
          <w:tcPr>
            <w:tcW w:w="1270" w:type="dxa"/>
          </w:tcPr>
          <w:p>
            <w:pPr>
              <w:pStyle w:val="TableParagraph"/>
              <w:spacing w:before="258"/>
              <w:ind w:left="124" w:right="118" w:firstLine="26"/>
              <w:rPr>
                <w:b/>
                <w:sz w:val="24"/>
              </w:rPr>
            </w:pPr>
            <w:r>
              <w:rPr>
                <w:b/>
                <w:spacing w:val="-2"/>
                <w:sz w:val="24"/>
              </w:rPr>
              <w:t>Premium Rounding</w:t>
            </w:r>
          </w:p>
        </w:tc>
        <w:tc>
          <w:tcPr>
            <w:tcW w:w="1402" w:type="dxa"/>
          </w:tcPr>
          <w:p>
            <w:pPr>
              <w:pStyle w:val="TableParagraph"/>
              <w:spacing w:before="119"/>
              <w:ind w:left="188" w:right="186" w:firstLine="26"/>
              <w:jc w:val="both"/>
              <w:rPr>
                <w:b/>
                <w:sz w:val="24"/>
              </w:rPr>
            </w:pPr>
            <w:r>
              <w:rPr>
                <w:b/>
                <w:spacing w:val="-2"/>
                <w:sz w:val="24"/>
              </w:rPr>
              <w:t>Premium Rounding Example</w:t>
            </w:r>
          </w:p>
        </w:tc>
      </w:tr>
      <w:tr>
        <w:tblPrEx>
          <w:tblW w:w="0" w:type="auto"/>
          <w:jc w:val="left"/>
          <w:tblInd w:w="327" w:type="dxa"/>
          <w:tblLayout w:type="fixed"/>
          <w:tblCellMar>
            <w:top w:w="0" w:type="dxa"/>
            <w:left w:w="0" w:type="dxa"/>
            <w:bottom w:w="0" w:type="dxa"/>
            <w:right w:w="0" w:type="dxa"/>
          </w:tblCellMar>
          <w:tblLook w:val="01E0"/>
        </w:tblPrEx>
        <w:trPr>
          <w:trHeight w:val="4037"/>
          <w:jc w:val="left"/>
        </w:trPr>
        <w:tc>
          <w:tcPr>
            <w:tcW w:w="946"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9"/>
              <w:jc w:val="center"/>
              <w:rPr>
                <w:sz w:val="22"/>
              </w:rPr>
            </w:pPr>
            <w:r>
              <w:rPr>
                <w:spacing w:val="-5"/>
                <w:sz w:val="22"/>
              </w:rPr>
              <w:t>17</w:t>
            </w:r>
          </w:p>
        </w:tc>
        <w:tc>
          <w:tcPr>
            <w:tcW w:w="1421"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9" w:right="1"/>
              <w:jc w:val="center"/>
              <w:rPr>
                <w:sz w:val="22"/>
              </w:rPr>
            </w:pPr>
            <w:r>
              <w:rPr>
                <w:spacing w:val="-5"/>
                <w:sz w:val="22"/>
              </w:rPr>
              <w:t>$0</w:t>
            </w:r>
          </w:p>
        </w:tc>
        <w:tc>
          <w:tcPr>
            <w:tcW w:w="2245" w:type="dxa"/>
          </w:tcPr>
          <w:p>
            <w:pPr>
              <w:pStyle w:val="TableParagraph"/>
              <w:numPr>
                <w:ilvl w:val="0"/>
                <w:numId w:val="11"/>
              </w:numPr>
              <w:tabs>
                <w:tab w:val="left" w:pos="419"/>
                <w:tab w:val="left" w:pos="464"/>
              </w:tabs>
              <w:spacing w:before="118" w:after="0" w:line="240" w:lineRule="auto"/>
              <w:ind w:left="419" w:right="194" w:hanging="216"/>
              <w:jc w:val="left"/>
              <w:rPr>
                <w:sz w:val="22"/>
              </w:rPr>
            </w:pPr>
            <w:r>
              <w:rPr>
                <w:sz w:val="22"/>
              </w:rPr>
              <w:t>$0.00</w:t>
            </w:r>
            <w:r>
              <w:rPr>
                <w:spacing w:val="22"/>
                <w:sz w:val="22"/>
              </w:rPr>
              <w:t xml:space="preserve"> </w:t>
            </w:r>
            <w:r>
              <w:rPr>
                <w:sz w:val="22"/>
              </w:rPr>
              <w:t>allocated</w:t>
            </w:r>
            <w:r>
              <w:rPr>
                <w:spacing w:val="-11"/>
                <w:sz w:val="22"/>
              </w:rPr>
              <w:t xml:space="preserve"> </w:t>
            </w:r>
            <w:r>
              <w:rPr>
                <w:sz w:val="22"/>
              </w:rPr>
              <w:t>to the Part D basic</w:t>
            </w:r>
          </w:p>
          <w:p>
            <w:pPr>
              <w:pStyle w:val="TableParagraph"/>
              <w:spacing w:before="1"/>
              <w:ind w:left="407" w:hanging="245"/>
              <w:rPr>
                <w:sz w:val="22"/>
              </w:rPr>
            </w:pPr>
            <w:r>
              <w:rPr>
                <w:sz w:val="22"/>
              </w:rPr>
              <w:t>premium</w:t>
            </w:r>
            <w:r>
              <w:rPr>
                <w:spacing w:val="-14"/>
                <w:sz w:val="22"/>
              </w:rPr>
              <w:t xml:space="preserve"> </w:t>
            </w:r>
            <w:r>
              <w:rPr>
                <w:sz w:val="22"/>
              </w:rPr>
              <w:t>in</w:t>
            </w:r>
            <w:r>
              <w:rPr>
                <w:spacing w:val="-12"/>
                <w:sz w:val="22"/>
              </w:rPr>
              <w:t xml:space="preserve"> </w:t>
            </w:r>
            <w:r>
              <w:rPr>
                <w:sz w:val="22"/>
              </w:rPr>
              <w:t>the</w:t>
            </w:r>
            <w:r>
              <w:rPr>
                <w:spacing w:val="-13"/>
                <w:sz w:val="22"/>
              </w:rPr>
              <w:t xml:space="preserve"> </w:t>
            </w:r>
            <w:r>
              <w:rPr>
                <w:sz w:val="22"/>
              </w:rPr>
              <w:t>initial submission; and</w:t>
            </w:r>
          </w:p>
          <w:p>
            <w:pPr>
              <w:pStyle w:val="TableParagraph"/>
              <w:numPr>
                <w:ilvl w:val="0"/>
                <w:numId w:val="11"/>
              </w:numPr>
              <w:tabs>
                <w:tab w:val="left" w:pos="742"/>
              </w:tabs>
              <w:spacing w:before="0" w:after="0" w:line="240" w:lineRule="auto"/>
              <w:ind w:left="213" w:right="204" w:firstLine="206"/>
              <w:jc w:val="left"/>
              <w:rPr>
                <w:sz w:val="22"/>
              </w:rPr>
            </w:pPr>
            <w:r>
              <w:rPr>
                <w:sz w:val="22"/>
              </w:rPr>
              <w:t>Part D basic premium</w:t>
            </w:r>
            <w:r>
              <w:rPr>
                <w:spacing w:val="-13"/>
                <w:sz w:val="22"/>
              </w:rPr>
              <w:t xml:space="preserve"> </w:t>
            </w:r>
            <w:r>
              <w:rPr>
                <w:sz w:val="22"/>
              </w:rPr>
              <w:t>is</w:t>
            </w:r>
            <w:r>
              <w:rPr>
                <w:spacing w:val="-13"/>
                <w:sz w:val="22"/>
              </w:rPr>
              <w:t xml:space="preserve"> </w:t>
            </w:r>
            <w:r>
              <w:rPr>
                <w:sz w:val="22"/>
              </w:rPr>
              <w:t>less</w:t>
            </w:r>
            <w:r>
              <w:rPr>
                <w:spacing w:val="-12"/>
                <w:sz w:val="22"/>
              </w:rPr>
              <w:t xml:space="preserve"> </w:t>
            </w:r>
            <w:r>
              <w:rPr>
                <w:sz w:val="22"/>
              </w:rPr>
              <w:t>than</w:t>
            </w:r>
          </w:p>
          <w:p>
            <w:pPr>
              <w:pStyle w:val="TableParagraph"/>
              <w:ind w:left="134" w:right="125" w:firstLine="1"/>
              <w:jc w:val="center"/>
              <w:rPr>
                <w:sz w:val="22"/>
              </w:rPr>
            </w:pPr>
            <w:r>
              <w:rPr>
                <w:sz w:val="22"/>
              </w:rPr>
              <w:t>the target plan intention for the Part D</w:t>
            </w:r>
            <w:r>
              <w:rPr>
                <w:spacing w:val="-14"/>
                <w:sz w:val="22"/>
              </w:rPr>
              <w:t xml:space="preserve"> </w:t>
            </w:r>
            <w:r>
              <w:rPr>
                <w:sz w:val="22"/>
              </w:rPr>
              <w:t>basic</w:t>
            </w:r>
            <w:r>
              <w:rPr>
                <w:spacing w:val="-13"/>
                <w:sz w:val="22"/>
              </w:rPr>
              <w:t xml:space="preserve"> </w:t>
            </w:r>
            <w:r>
              <w:rPr>
                <w:sz w:val="22"/>
              </w:rPr>
              <w:t>premium</w:t>
            </w:r>
            <w:r>
              <w:rPr>
                <w:spacing w:val="-12"/>
                <w:sz w:val="22"/>
              </w:rPr>
              <w:t xml:space="preserve"> </w:t>
            </w:r>
            <w:r>
              <w:rPr>
                <w:sz w:val="22"/>
              </w:rPr>
              <w:t xml:space="preserve">after the reflection of the </w:t>
            </w:r>
            <w:r>
              <w:rPr>
                <w:spacing w:val="-2"/>
                <w:sz w:val="22"/>
              </w:rPr>
              <w:t>published</w:t>
            </w:r>
            <w:r>
              <w:rPr>
                <w:sz w:val="22"/>
              </w:rPr>
              <w:t xml:space="preserve"> benchmarks; and</w:t>
            </w:r>
          </w:p>
          <w:p>
            <w:pPr>
              <w:pStyle w:val="TableParagraph"/>
              <w:numPr>
                <w:ilvl w:val="0"/>
                <w:numId w:val="11"/>
              </w:numPr>
              <w:tabs>
                <w:tab w:val="left" w:pos="801"/>
              </w:tabs>
              <w:spacing w:before="0" w:after="0" w:line="240" w:lineRule="auto"/>
              <w:ind w:left="234" w:right="226" w:firstLine="184"/>
              <w:jc w:val="left"/>
              <w:rPr>
                <w:sz w:val="22"/>
              </w:rPr>
            </w:pPr>
            <w:r>
              <w:rPr>
                <w:sz w:val="22"/>
              </w:rPr>
              <w:t>total Part D premium*</w:t>
            </w:r>
            <w:r>
              <w:rPr>
                <w:spacing w:val="-14"/>
                <w:sz w:val="22"/>
              </w:rPr>
              <w:t xml:space="preserve"> </w:t>
            </w:r>
            <w:r>
              <w:rPr>
                <w:sz w:val="22"/>
              </w:rPr>
              <w:t>is</w:t>
            </w:r>
            <w:r>
              <w:rPr>
                <w:spacing w:val="-14"/>
                <w:sz w:val="22"/>
              </w:rPr>
              <w:t xml:space="preserve"> </w:t>
            </w:r>
            <w:r>
              <w:rPr>
                <w:sz w:val="22"/>
              </w:rPr>
              <w:t>greater than or equal to $0.</w:t>
            </w:r>
          </w:p>
        </w:tc>
        <w:tc>
          <w:tcPr>
            <w:tcW w:w="1674" w:type="dxa"/>
          </w:tcPr>
          <w:p>
            <w:pPr>
              <w:pStyle w:val="TableParagraph"/>
              <w:rPr>
                <w:rFonts w:ascii="Arial"/>
                <w:b/>
                <w:sz w:val="22"/>
              </w:rPr>
            </w:pPr>
          </w:p>
          <w:p>
            <w:pPr>
              <w:pStyle w:val="TableParagraph"/>
              <w:spacing w:before="246"/>
              <w:rPr>
                <w:rFonts w:ascii="Arial"/>
                <w:b/>
                <w:sz w:val="22"/>
              </w:rPr>
            </w:pPr>
          </w:p>
          <w:p>
            <w:pPr>
              <w:pStyle w:val="TableParagraph"/>
              <w:ind w:left="390" w:hanging="205"/>
              <w:rPr>
                <w:sz w:val="22"/>
              </w:rPr>
            </w:pPr>
            <w:r>
              <w:rPr>
                <w:sz w:val="22"/>
              </w:rPr>
              <w:t>(i)</w:t>
            </w:r>
            <w:r>
              <w:rPr>
                <w:spacing w:val="-14"/>
                <w:sz w:val="22"/>
              </w:rPr>
              <w:t xml:space="preserve"> </w:t>
            </w:r>
            <w:r>
              <w:rPr>
                <w:sz w:val="22"/>
              </w:rPr>
              <w:t>Required</w:t>
            </w:r>
            <w:r>
              <w:rPr>
                <w:spacing w:val="-14"/>
                <w:sz w:val="22"/>
              </w:rPr>
              <w:t xml:space="preserve"> </w:t>
            </w:r>
            <w:r>
              <w:rPr>
                <w:sz w:val="22"/>
              </w:rPr>
              <w:t>to reflect the</w:t>
            </w:r>
          </w:p>
          <w:p>
            <w:pPr>
              <w:pStyle w:val="TableParagraph"/>
              <w:ind w:left="151" w:right="144"/>
              <w:jc w:val="center"/>
              <w:rPr>
                <w:sz w:val="22"/>
              </w:rPr>
            </w:pPr>
            <w:r>
              <w:rPr>
                <w:sz w:val="22"/>
              </w:rPr>
              <w:t>published</w:t>
            </w:r>
            <w:r>
              <w:rPr>
                <w:spacing w:val="-14"/>
                <w:sz w:val="22"/>
              </w:rPr>
              <w:t xml:space="preserve"> </w:t>
            </w:r>
            <w:r>
              <w:rPr>
                <w:sz w:val="22"/>
              </w:rPr>
              <w:t xml:space="preserve">MA </w:t>
            </w:r>
            <w:r>
              <w:rPr>
                <w:spacing w:val="-2"/>
                <w:sz w:val="22"/>
              </w:rPr>
              <w:t xml:space="preserve">regional benchmarks; </w:t>
            </w:r>
            <w:r>
              <w:rPr>
                <w:sz w:val="22"/>
              </w:rPr>
              <w:t xml:space="preserve">and (ii) Not permitted to participate in Part D rebate </w:t>
            </w:r>
            <w:r>
              <w:rPr>
                <w:spacing w:val="-2"/>
                <w:sz w:val="22"/>
              </w:rPr>
              <w:t>reallocation</w:t>
            </w:r>
          </w:p>
        </w:tc>
        <w:tc>
          <w:tcPr>
            <w:tcW w:w="153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4"/>
              <w:jc w:val="center"/>
              <w:rPr>
                <w:sz w:val="22"/>
              </w:rPr>
            </w:pPr>
            <w:r>
              <w:rPr>
                <w:spacing w:val="-4"/>
                <w:sz w:val="22"/>
              </w:rPr>
              <w:t>None</w:t>
            </w:r>
          </w:p>
        </w:tc>
        <w:tc>
          <w:tcPr>
            <w:tcW w:w="12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203"/>
              <w:rPr>
                <w:sz w:val="22"/>
              </w:rPr>
            </w:pPr>
            <w:r>
              <w:rPr>
                <w:spacing w:val="-2"/>
                <w:sz w:val="22"/>
              </w:rPr>
              <w:t>Permitted</w:t>
            </w:r>
          </w:p>
        </w:tc>
        <w:tc>
          <w:tcPr>
            <w:tcW w:w="140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457"/>
              <w:rPr>
                <w:sz w:val="22"/>
              </w:rPr>
            </w:pPr>
            <w:r>
              <w:rPr>
                <w:spacing w:val="-4"/>
                <w:sz w:val="22"/>
              </w:rPr>
              <w:t>None</w:t>
            </w:r>
          </w:p>
        </w:tc>
      </w:tr>
    </w:tbl>
    <w:p>
      <w:pPr>
        <w:spacing w:before="118"/>
        <w:ind w:left="504" w:right="1481" w:firstLine="0"/>
        <w:jc w:val="left"/>
        <w:rPr>
          <w:i/>
          <w:sz w:val="20"/>
        </w:rPr>
      </w:pPr>
      <w:r>
        <w:rPr>
          <w:i/>
          <w:sz w:val="20"/>
        </w:rPr>
        <w:t>*Total</w:t>
      </w:r>
      <w:r>
        <w:rPr>
          <w:i/>
          <w:spacing w:val="-3"/>
          <w:sz w:val="20"/>
        </w:rPr>
        <w:t xml:space="preserve"> </w:t>
      </w:r>
      <w:r>
        <w:rPr>
          <w:i/>
          <w:sz w:val="20"/>
        </w:rPr>
        <w:t>Part</w:t>
      </w:r>
      <w:r>
        <w:rPr>
          <w:i/>
          <w:spacing w:val="-3"/>
          <w:sz w:val="20"/>
        </w:rPr>
        <w:t xml:space="preserve"> </w:t>
      </w:r>
      <w:r>
        <w:rPr>
          <w:i/>
          <w:sz w:val="20"/>
        </w:rPr>
        <w:t>D</w:t>
      </w:r>
      <w:r>
        <w:rPr>
          <w:i/>
          <w:spacing w:val="-3"/>
          <w:sz w:val="20"/>
        </w:rPr>
        <w:t xml:space="preserve"> </w:t>
      </w:r>
      <w:r>
        <w:rPr>
          <w:i/>
          <w:sz w:val="20"/>
        </w:rPr>
        <w:t>Premium</w:t>
      </w:r>
      <w:r>
        <w:rPr>
          <w:i/>
          <w:spacing w:val="-3"/>
          <w:sz w:val="20"/>
        </w:rPr>
        <w:t xml:space="preserve"> </w:t>
      </w:r>
      <w:r>
        <w:rPr>
          <w:i/>
          <w:sz w:val="20"/>
        </w:rPr>
        <w:t>includes</w:t>
      </w:r>
      <w:r>
        <w:rPr>
          <w:i/>
          <w:spacing w:val="-4"/>
          <w:sz w:val="20"/>
        </w:rPr>
        <w:t xml:space="preserve"> </w:t>
      </w:r>
      <w:r>
        <w:rPr>
          <w:i/>
          <w:sz w:val="20"/>
        </w:rPr>
        <w:t>(i)</w:t>
      </w:r>
      <w:r>
        <w:rPr>
          <w:i/>
          <w:spacing w:val="-3"/>
          <w:sz w:val="20"/>
        </w:rPr>
        <w:t xml:space="preserve"> </w:t>
      </w:r>
      <w:r>
        <w:rPr>
          <w:i/>
          <w:sz w:val="20"/>
        </w:rPr>
        <w:t>the Part</w:t>
      </w:r>
      <w:r>
        <w:rPr>
          <w:i/>
          <w:spacing w:val="-3"/>
          <w:sz w:val="20"/>
        </w:rPr>
        <w:t xml:space="preserve"> </w:t>
      </w:r>
      <w:r>
        <w:rPr>
          <w:i/>
          <w:sz w:val="20"/>
        </w:rPr>
        <w:t>D</w:t>
      </w:r>
      <w:r>
        <w:rPr>
          <w:i/>
          <w:spacing w:val="-3"/>
          <w:sz w:val="20"/>
        </w:rPr>
        <w:t xml:space="preserve"> </w:t>
      </w:r>
      <w:r>
        <w:rPr>
          <w:i/>
          <w:sz w:val="20"/>
        </w:rPr>
        <w:t>basic</w:t>
      </w:r>
      <w:r>
        <w:rPr>
          <w:i/>
          <w:spacing w:val="-3"/>
          <w:sz w:val="20"/>
        </w:rPr>
        <w:t xml:space="preserve"> </w:t>
      </w:r>
      <w:r>
        <w:rPr>
          <w:i/>
          <w:sz w:val="20"/>
        </w:rPr>
        <w:t>premium</w:t>
      </w:r>
      <w:r>
        <w:rPr>
          <w:i/>
          <w:spacing w:val="-3"/>
          <w:sz w:val="20"/>
        </w:rPr>
        <w:t xml:space="preserve"> </w:t>
      </w:r>
      <w:r>
        <w:rPr>
          <w:i/>
          <w:sz w:val="20"/>
        </w:rPr>
        <w:t>net</w:t>
      </w:r>
      <w:r>
        <w:rPr>
          <w:i/>
          <w:spacing w:val="-3"/>
          <w:sz w:val="20"/>
        </w:rPr>
        <w:t xml:space="preserve"> </w:t>
      </w:r>
      <w:r>
        <w:rPr>
          <w:i/>
          <w:sz w:val="20"/>
        </w:rPr>
        <w:t>of</w:t>
      </w:r>
      <w:r>
        <w:rPr>
          <w:i/>
          <w:spacing w:val="-4"/>
          <w:sz w:val="20"/>
        </w:rPr>
        <w:t xml:space="preserve"> </w:t>
      </w:r>
      <w:r>
        <w:rPr>
          <w:i/>
          <w:sz w:val="20"/>
        </w:rPr>
        <w:t>rebates</w:t>
      </w:r>
      <w:r>
        <w:rPr>
          <w:i/>
          <w:spacing w:val="-4"/>
          <w:sz w:val="20"/>
        </w:rPr>
        <w:t xml:space="preserve"> </w:t>
      </w:r>
      <w:r>
        <w:rPr>
          <w:i/>
          <w:sz w:val="20"/>
        </w:rPr>
        <w:t>(line</w:t>
      </w:r>
      <w:r>
        <w:rPr>
          <w:i/>
          <w:spacing w:val="-3"/>
          <w:sz w:val="20"/>
        </w:rPr>
        <w:t xml:space="preserve"> </w:t>
      </w:r>
      <w:r>
        <w:rPr>
          <w:i/>
          <w:sz w:val="20"/>
        </w:rPr>
        <w:t>7d</w:t>
      </w:r>
      <w:r>
        <w:rPr>
          <w:i/>
          <w:spacing w:val="-2"/>
          <w:sz w:val="20"/>
        </w:rPr>
        <w:t xml:space="preserve"> </w:t>
      </w:r>
      <w:r>
        <w:rPr>
          <w:i/>
          <w:sz w:val="20"/>
        </w:rPr>
        <w:t>of</w:t>
      </w:r>
      <w:r>
        <w:rPr>
          <w:i/>
          <w:spacing w:val="-4"/>
          <w:sz w:val="20"/>
        </w:rPr>
        <w:t xml:space="preserve"> </w:t>
      </w:r>
      <w:r>
        <w:rPr>
          <w:i/>
          <w:sz w:val="20"/>
        </w:rPr>
        <w:t>Worksheet 6,</w:t>
      </w:r>
      <w:r>
        <w:rPr>
          <w:i/>
          <w:spacing w:val="-3"/>
          <w:sz w:val="20"/>
        </w:rPr>
        <w:t xml:space="preserve"> </w:t>
      </w:r>
      <w:r>
        <w:rPr>
          <w:i/>
          <w:sz w:val="20"/>
        </w:rPr>
        <w:t>Section</w:t>
      </w:r>
      <w:r>
        <w:rPr>
          <w:i/>
          <w:spacing w:val="-3"/>
          <w:sz w:val="20"/>
        </w:rPr>
        <w:t xml:space="preserve"> </w:t>
      </w:r>
      <w:r>
        <w:rPr>
          <w:i/>
          <w:sz w:val="20"/>
        </w:rPr>
        <w:t>IIIC)</w:t>
      </w:r>
      <w:r>
        <w:rPr>
          <w:i/>
          <w:sz w:val="20"/>
        </w:rPr>
        <w:t xml:space="preserve"> after reflecting the Part D benchmarks and (ii) the Part D supplemental premium net of rebates (line 8d of Worksheet 6, Section IIIC).</w:t>
      </w:r>
    </w:p>
    <w:p>
      <w:pPr>
        <w:pStyle w:val="BodyText"/>
        <w:spacing w:before="11"/>
        <w:ind w:left="0"/>
        <w:rPr>
          <w:i/>
          <w:sz w:val="20"/>
        </w:rPr>
      </w:pPr>
    </w:p>
    <w:p>
      <w:pPr>
        <w:pStyle w:val="ListParagraph"/>
        <w:numPr>
          <w:ilvl w:val="1"/>
          <w:numId w:val="26"/>
        </w:numPr>
        <w:tabs>
          <w:tab w:val="left" w:pos="774"/>
        </w:tabs>
        <w:spacing w:before="0" w:after="0" w:line="240" w:lineRule="auto"/>
        <w:ind w:left="774" w:right="0" w:hanging="270"/>
        <w:jc w:val="left"/>
        <w:rPr>
          <w:rFonts w:ascii="Arial"/>
          <w:b/>
          <w:sz w:val="21"/>
        </w:rPr>
      </w:pPr>
      <w:bookmarkStart w:id="362" w:name="C. MA-Only"/>
      <w:bookmarkEnd w:id="362"/>
      <w:r>
        <w:rPr>
          <w:rFonts w:ascii="Arial"/>
          <w:b/>
          <w:spacing w:val="-2"/>
          <w:sz w:val="21"/>
        </w:rPr>
        <w:t>MA-</w:t>
      </w:r>
      <w:r>
        <w:rPr>
          <w:rFonts w:ascii="Arial"/>
          <w:b/>
          <w:spacing w:val="-4"/>
          <w:sz w:val="21"/>
        </w:rPr>
        <w:t>Only</w:t>
      </w:r>
    </w:p>
    <w:p>
      <w:pPr>
        <w:pStyle w:val="BodyText"/>
        <w:spacing w:before="6"/>
        <w:ind w:left="0"/>
        <w:rPr>
          <w:rFonts w:ascii="Arial"/>
          <w:b/>
          <w:sz w:val="10"/>
        </w:rPr>
      </w:pPr>
    </w:p>
    <w:tbl>
      <w:tblPr>
        <w:tblStyle w:val="TableNormal"/>
        <w:tblW w:w="0" w:type="auto"/>
        <w:jc w:val="left"/>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
        <w:gridCol w:w="1421"/>
        <w:gridCol w:w="2245"/>
        <w:gridCol w:w="1674"/>
        <w:gridCol w:w="1530"/>
        <w:gridCol w:w="1270"/>
        <w:gridCol w:w="1402"/>
      </w:tblGrid>
      <w:tr>
        <w:tblPrEx>
          <w:tblW w:w="0" w:type="auto"/>
          <w:jc w:val="left"/>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68"/>
          <w:jc w:val="left"/>
        </w:trPr>
        <w:tc>
          <w:tcPr>
            <w:tcW w:w="946" w:type="dxa"/>
          </w:tcPr>
          <w:p>
            <w:pPr>
              <w:pStyle w:val="TableParagraph"/>
              <w:spacing w:before="119"/>
              <w:rPr>
                <w:rFonts w:ascii="Arial"/>
                <w:b/>
                <w:sz w:val="24"/>
              </w:rPr>
            </w:pPr>
          </w:p>
          <w:p>
            <w:pPr>
              <w:pStyle w:val="TableParagraph"/>
              <w:ind w:left="9" w:right="5"/>
              <w:jc w:val="center"/>
              <w:rPr>
                <w:b/>
                <w:sz w:val="24"/>
              </w:rPr>
            </w:pPr>
            <w:r>
              <w:rPr>
                <w:b/>
                <w:sz w:val="24"/>
              </w:rPr>
              <w:t>Case</w:t>
            </w:r>
            <w:r>
              <w:rPr>
                <w:b/>
                <w:spacing w:val="-2"/>
                <w:sz w:val="24"/>
              </w:rPr>
              <w:t xml:space="preserve"> </w:t>
            </w:r>
            <w:r>
              <w:rPr>
                <w:b/>
                <w:spacing w:val="-12"/>
                <w:sz w:val="24"/>
              </w:rPr>
              <w:t>#</w:t>
            </w:r>
          </w:p>
        </w:tc>
        <w:tc>
          <w:tcPr>
            <w:tcW w:w="1421" w:type="dxa"/>
          </w:tcPr>
          <w:p>
            <w:pPr>
              <w:pStyle w:val="TableParagraph"/>
              <w:spacing w:before="119"/>
              <w:rPr>
                <w:rFonts w:ascii="Arial"/>
                <w:b/>
                <w:sz w:val="24"/>
              </w:rPr>
            </w:pPr>
          </w:p>
          <w:p>
            <w:pPr>
              <w:pStyle w:val="TableParagraph"/>
              <w:ind w:left="186"/>
              <w:rPr>
                <w:b/>
                <w:sz w:val="24"/>
              </w:rPr>
            </w:pPr>
            <w:r>
              <w:rPr>
                <w:b/>
                <w:sz w:val="24"/>
              </w:rPr>
              <w:t>Plan</w:t>
            </w:r>
            <w:r>
              <w:rPr>
                <w:b/>
                <w:spacing w:val="-3"/>
                <w:sz w:val="24"/>
              </w:rPr>
              <w:t xml:space="preserve"> </w:t>
            </w:r>
            <w:r>
              <w:rPr>
                <w:b/>
                <w:spacing w:val="-4"/>
                <w:sz w:val="24"/>
              </w:rPr>
              <w:t>Type</w:t>
            </w:r>
          </w:p>
        </w:tc>
        <w:tc>
          <w:tcPr>
            <w:tcW w:w="2245" w:type="dxa"/>
          </w:tcPr>
          <w:p>
            <w:pPr>
              <w:pStyle w:val="TableParagraph"/>
              <w:spacing w:before="256"/>
              <w:ind w:left="674" w:hanging="408"/>
              <w:rPr>
                <w:b/>
                <w:sz w:val="24"/>
              </w:rPr>
            </w:pPr>
            <w:r>
              <w:rPr>
                <w:b/>
                <w:sz w:val="24"/>
              </w:rPr>
              <w:t>Part</w:t>
            </w:r>
            <w:r>
              <w:rPr>
                <w:b/>
                <w:spacing w:val="-15"/>
                <w:sz w:val="24"/>
              </w:rPr>
              <w:t xml:space="preserve"> </w:t>
            </w:r>
            <w:r>
              <w:rPr>
                <w:b/>
                <w:sz w:val="24"/>
              </w:rPr>
              <w:t>D</w:t>
            </w:r>
            <w:r>
              <w:rPr>
                <w:b/>
                <w:spacing w:val="-15"/>
                <w:sz w:val="24"/>
              </w:rPr>
              <w:t xml:space="preserve"> </w:t>
            </w:r>
            <w:r>
              <w:rPr>
                <w:b/>
                <w:sz w:val="24"/>
              </w:rPr>
              <w:t xml:space="preserve">Premium </w:t>
            </w:r>
            <w:r>
              <w:rPr>
                <w:b/>
                <w:spacing w:val="-2"/>
                <w:sz w:val="24"/>
              </w:rPr>
              <w:t>Scenario</w:t>
            </w:r>
          </w:p>
        </w:tc>
        <w:tc>
          <w:tcPr>
            <w:tcW w:w="1674" w:type="dxa"/>
          </w:tcPr>
          <w:p>
            <w:pPr>
              <w:pStyle w:val="TableParagraph"/>
              <w:spacing w:before="256"/>
              <w:ind w:left="195" w:firstLine="281"/>
              <w:rPr>
                <w:b/>
                <w:sz w:val="24"/>
              </w:rPr>
            </w:pPr>
            <w:r>
              <w:rPr>
                <w:b/>
                <w:spacing w:val="-2"/>
                <w:sz w:val="24"/>
              </w:rPr>
              <w:t>Rebate Reallocation</w:t>
            </w:r>
          </w:p>
        </w:tc>
        <w:tc>
          <w:tcPr>
            <w:tcW w:w="1530" w:type="dxa"/>
          </w:tcPr>
          <w:p>
            <w:pPr>
              <w:pStyle w:val="TableParagraph"/>
              <w:spacing w:before="119"/>
              <w:ind w:left="122" w:right="117" w:firstLine="2"/>
              <w:jc w:val="center"/>
              <w:rPr>
                <w:b/>
                <w:sz w:val="24"/>
              </w:rPr>
            </w:pPr>
            <w:r>
              <w:rPr>
                <w:b/>
                <w:spacing w:val="-2"/>
                <w:sz w:val="24"/>
              </w:rPr>
              <w:t>Rebate Reallocation Example</w:t>
            </w:r>
          </w:p>
        </w:tc>
        <w:tc>
          <w:tcPr>
            <w:tcW w:w="1270" w:type="dxa"/>
          </w:tcPr>
          <w:p>
            <w:pPr>
              <w:pStyle w:val="TableParagraph"/>
              <w:spacing w:before="256"/>
              <w:ind w:left="124" w:right="118" w:firstLine="26"/>
              <w:rPr>
                <w:b/>
                <w:sz w:val="24"/>
              </w:rPr>
            </w:pPr>
            <w:r>
              <w:rPr>
                <w:b/>
                <w:spacing w:val="-2"/>
                <w:sz w:val="24"/>
              </w:rPr>
              <w:t>Premium Rounding</w:t>
            </w:r>
          </w:p>
        </w:tc>
        <w:tc>
          <w:tcPr>
            <w:tcW w:w="1402" w:type="dxa"/>
          </w:tcPr>
          <w:p>
            <w:pPr>
              <w:pStyle w:val="TableParagraph"/>
              <w:spacing w:before="119"/>
              <w:ind w:left="188" w:right="186" w:firstLine="26"/>
              <w:jc w:val="both"/>
              <w:rPr>
                <w:b/>
                <w:sz w:val="24"/>
              </w:rPr>
            </w:pPr>
            <w:r>
              <w:rPr>
                <w:b/>
                <w:spacing w:val="-2"/>
                <w:sz w:val="24"/>
              </w:rPr>
              <w:t>Premium Rounding Example</w:t>
            </w:r>
          </w:p>
        </w:tc>
      </w:tr>
      <w:tr>
        <w:tblPrEx>
          <w:tblW w:w="0" w:type="auto"/>
          <w:jc w:val="left"/>
          <w:tblInd w:w="327" w:type="dxa"/>
          <w:tblLayout w:type="fixed"/>
          <w:tblCellMar>
            <w:top w:w="0" w:type="dxa"/>
            <w:left w:w="0" w:type="dxa"/>
            <w:bottom w:w="0" w:type="dxa"/>
            <w:right w:w="0" w:type="dxa"/>
          </w:tblCellMar>
          <w:tblLook w:val="01E0"/>
        </w:tblPrEx>
        <w:trPr>
          <w:trHeight w:val="2517"/>
          <w:jc w:val="left"/>
        </w:trPr>
        <w:tc>
          <w:tcPr>
            <w:tcW w:w="946"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9"/>
              <w:jc w:val="center"/>
              <w:rPr>
                <w:sz w:val="22"/>
              </w:rPr>
            </w:pPr>
            <w:r>
              <w:rPr>
                <w:spacing w:val="-5"/>
                <w:sz w:val="22"/>
              </w:rPr>
              <w:t>18</w:t>
            </w:r>
          </w:p>
        </w:tc>
        <w:tc>
          <w:tcPr>
            <w:tcW w:w="1421" w:type="dxa"/>
          </w:tcPr>
          <w:p>
            <w:pPr>
              <w:pStyle w:val="TableParagraph"/>
              <w:rPr>
                <w:rFonts w:ascii="Arial"/>
                <w:b/>
                <w:sz w:val="22"/>
              </w:rPr>
            </w:pPr>
          </w:p>
          <w:p>
            <w:pPr>
              <w:pStyle w:val="TableParagraph"/>
              <w:rPr>
                <w:rFonts w:ascii="Arial"/>
                <w:b/>
                <w:sz w:val="22"/>
              </w:rPr>
            </w:pPr>
          </w:p>
          <w:p>
            <w:pPr>
              <w:pStyle w:val="TableParagraph"/>
              <w:spacing w:before="245"/>
              <w:rPr>
                <w:rFonts w:ascii="Arial"/>
                <w:b/>
                <w:sz w:val="22"/>
              </w:rPr>
            </w:pPr>
          </w:p>
          <w:p>
            <w:pPr>
              <w:pStyle w:val="TableParagraph"/>
              <w:ind w:left="208"/>
              <w:rPr>
                <w:sz w:val="22"/>
              </w:rPr>
            </w:pPr>
            <w:r>
              <w:rPr>
                <w:spacing w:val="-2"/>
                <w:sz w:val="22"/>
              </w:rPr>
              <w:t>Non-</w:t>
            </w:r>
            <w:r>
              <w:rPr>
                <w:spacing w:val="-4"/>
                <w:sz w:val="22"/>
              </w:rPr>
              <w:t>RPPO</w:t>
            </w:r>
          </w:p>
          <w:p>
            <w:pPr>
              <w:pStyle w:val="TableParagraph"/>
              <w:spacing w:before="1"/>
              <w:ind w:left="275"/>
              <w:rPr>
                <w:sz w:val="22"/>
              </w:rPr>
            </w:pPr>
            <w:r>
              <w:rPr>
                <w:spacing w:val="-2"/>
                <w:sz w:val="22"/>
              </w:rPr>
              <w:t>MA-</w:t>
            </w:r>
            <w:r>
              <w:rPr>
                <w:spacing w:val="-4"/>
                <w:sz w:val="22"/>
              </w:rPr>
              <w:t>Only</w:t>
            </w:r>
          </w:p>
        </w:tc>
        <w:tc>
          <w:tcPr>
            <w:tcW w:w="224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76" w:right="70"/>
              <w:jc w:val="center"/>
              <w:rPr>
                <w:sz w:val="22"/>
              </w:rPr>
            </w:pPr>
            <w:r>
              <w:rPr>
                <w:spacing w:val="-5"/>
                <w:sz w:val="22"/>
              </w:rPr>
              <w:t>N/A</w:t>
            </w:r>
          </w:p>
        </w:tc>
        <w:tc>
          <w:tcPr>
            <w:tcW w:w="1674" w:type="dxa"/>
          </w:tcPr>
          <w:p>
            <w:pPr>
              <w:pStyle w:val="TableParagraph"/>
              <w:spacing w:before="244"/>
              <w:rPr>
                <w:rFonts w:ascii="Arial"/>
                <w:b/>
                <w:sz w:val="22"/>
              </w:rPr>
            </w:pPr>
          </w:p>
          <w:p>
            <w:pPr>
              <w:pStyle w:val="TableParagraph"/>
              <w:ind w:left="173" w:right="166" w:hanging="4"/>
              <w:jc w:val="center"/>
              <w:rPr>
                <w:sz w:val="22"/>
              </w:rPr>
            </w:pPr>
            <w:r>
              <w:rPr>
                <w:sz w:val="22"/>
              </w:rPr>
              <w:t>Not</w:t>
            </w:r>
            <w:r>
              <w:rPr>
                <w:spacing w:val="-1"/>
                <w:sz w:val="22"/>
              </w:rPr>
              <w:t xml:space="preserve"> </w:t>
            </w:r>
            <w:r>
              <w:rPr>
                <w:sz w:val="22"/>
              </w:rPr>
              <w:t>permitted; these</w:t>
            </w:r>
            <w:r>
              <w:rPr>
                <w:spacing w:val="-5"/>
                <w:sz w:val="22"/>
              </w:rPr>
              <w:t xml:space="preserve"> </w:t>
            </w:r>
            <w:r>
              <w:rPr>
                <w:sz w:val="22"/>
              </w:rPr>
              <w:t>plans</w:t>
            </w:r>
            <w:r>
              <w:rPr>
                <w:spacing w:val="-6"/>
                <w:sz w:val="22"/>
              </w:rPr>
              <w:t xml:space="preserve"> </w:t>
            </w:r>
            <w:r>
              <w:rPr>
                <w:sz w:val="22"/>
              </w:rPr>
              <w:t>are not</w:t>
            </w:r>
            <w:r>
              <w:rPr>
                <w:spacing w:val="-14"/>
                <w:sz w:val="22"/>
              </w:rPr>
              <w:t xml:space="preserve"> </w:t>
            </w:r>
            <w:r>
              <w:rPr>
                <w:sz w:val="22"/>
              </w:rPr>
              <w:t>affected</w:t>
            </w:r>
            <w:r>
              <w:rPr>
                <w:spacing w:val="-14"/>
                <w:sz w:val="22"/>
              </w:rPr>
              <w:t xml:space="preserve"> </w:t>
            </w:r>
            <w:r>
              <w:rPr>
                <w:sz w:val="22"/>
              </w:rPr>
              <w:t xml:space="preserve">by the Part D and MA regional </w:t>
            </w:r>
            <w:r>
              <w:rPr>
                <w:spacing w:val="-2"/>
                <w:sz w:val="22"/>
              </w:rPr>
              <w:t>benchmarks</w:t>
            </w:r>
          </w:p>
        </w:tc>
        <w:tc>
          <w:tcPr>
            <w:tcW w:w="153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4" w:right="1"/>
              <w:jc w:val="center"/>
              <w:rPr>
                <w:sz w:val="22"/>
              </w:rPr>
            </w:pPr>
            <w:r>
              <w:rPr>
                <w:spacing w:val="-5"/>
                <w:sz w:val="22"/>
              </w:rPr>
              <w:t>N/A</w:t>
            </w:r>
          </w:p>
        </w:tc>
        <w:tc>
          <w:tcPr>
            <w:tcW w:w="1270" w:type="dxa"/>
          </w:tcPr>
          <w:p>
            <w:pPr>
              <w:pStyle w:val="TableParagraph"/>
              <w:spacing w:before="118"/>
              <w:ind w:left="49" w:right="47"/>
              <w:jc w:val="center"/>
              <w:rPr>
                <w:sz w:val="22"/>
              </w:rPr>
            </w:pPr>
            <w:r>
              <w:rPr>
                <w:spacing w:val="-4"/>
                <w:sz w:val="22"/>
              </w:rPr>
              <w:t xml:space="preserve">Not </w:t>
            </w:r>
            <w:r>
              <w:rPr>
                <w:spacing w:val="-2"/>
                <w:sz w:val="22"/>
              </w:rPr>
              <w:t xml:space="preserve">permitted; premiums </w:t>
            </w:r>
            <w:r>
              <w:rPr>
                <w:sz w:val="22"/>
              </w:rPr>
              <w:t>must</w:t>
            </w:r>
            <w:r>
              <w:rPr>
                <w:spacing w:val="-14"/>
                <w:sz w:val="22"/>
              </w:rPr>
              <w:t xml:space="preserve"> </w:t>
            </w:r>
            <w:r>
              <w:rPr>
                <w:sz w:val="22"/>
              </w:rPr>
              <w:t xml:space="preserve">reflect </w:t>
            </w:r>
            <w:r>
              <w:rPr>
                <w:spacing w:val="-2"/>
                <w:sz w:val="22"/>
              </w:rPr>
              <w:t xml:space="preserve">desired </w:t>
            </w:r>
            <w:r>
              <w:rPr>
                <w:sz w:val="22"/>
              </w:rPr>
              <w:t>rounding</w:t>
            </w:r>
            <w:r>
              <w:rPr>
                <w:spacing w:val="-13"/>
                <w:sz w:val="22"/>
              </w:rPr>
              <w:t xml:space="preserve"> </w:t>
            </w:r>
            <w:r>
              <w:rPr>
                <w:sz w:val="22"/>
              </w:rPr>
              <w:t xml:space="preserve">in the initial June bid </w:t>
            </w:r>
            <w:r>
              <w:rPr>
                <w:spacing w:val="-2"/>
                <w:sz w:val="22"/>
              </w:rPr>
              <w:t>submission</w:t>
            </w:r>
          </w:p>
        </w:tc>
        <w:tc>
          <w:tcPr>
            <w:tcW w:w="140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21"/>
              <w:rPr>
                <w:rFonts w:ascii="Arial"/>
                <w:b/>
                <w:sz w:val="22"/>
              </w:rPr>
            </w:pPr>
          </w:p>
          <w:p>
            <w:pPr>
              <w:pStyle w:val="TableParagraph"/>
              <w:ind w:left="4"/>
              <w:jc w:val="center"/>
              <w:rPr>
                <w:sz w:val="22"/>
              </w:rPr>
            </w:pPr>
            <w:r>
              <w:rPr>
                <w:spacing w:val="-5"/>
                <w:sz w:val="22"/>
              </w:rPr>
              <w:t>N/A</w:t>
            </w:r>
          </w:p>
        </w:tc>
      </w:tr>
      <w:tr>
        <w:tblPrEx>
          <w:tblW w:w="0" w:type="auto"/>
          <w:jc w:val="left"/>
          <w:tblInd w:w="327" w:type="dxa"/>
          <w:tblLayout w:type="fixed"/>
          <w:tblCellMar>
            <w:top w:w="0" w:type="dxa"/>
            <w:left w:w="0" w:type="dxa"/>
            <w:bottom w:w="0" w:type="dxa"/>
            <w:right w:w="0" w:type="dxa"/>
          </w:tblCellMar>
          <w:tblLook w:val="01E0"/>
        </w:tblPrEx>
        <w:trPr>
          <w:trHeight w:val="2517"/>
          <w:jc w:val="left"/>
        </w:trPr>
        <w:tc>
          <w:tcPr>
            <w:tcW w:w="946"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19"/>
              <w:rPr>
                <w:rFonts w:ascii="Arial"/>
                <w:b/>
                <w:sz w:val="22"/>
              </w:rPr>
            </w:pPr>
          </w:p>
          <w:p>
            <w:pPr>
              <w:pStyle w:val="TableParagraph"/>
              <w:spacing w:before="1"/>
              <w:ind w:left="9"/>
              <w:jc w:val="center"/>
              <w:rPr>
                <w:sz w:val="22"/>
              </w:rPr>
            </w:pPr>
            <w:r>
              <w:rPr>
                <w:spacing w:val="-5"/>
                <w:sz w:val="22"/>
              </w:rPr>
              <w:t>19</w:t>
            </w:r>
          </w:p>
        </w:tc>
        <w:tc>
          <w:tcPr>
            <w:tcW w:w="1421" w:type="dxa"/>
          </w:tcPr>
          <w:p>
            <w:pPr>
              <w:pStyle w:val="TableParagraph"/>
              <w:rPr>
                <w:rFonts w:ascii="Arial"/>
                <w:b/>
                <w:sz w:val="22"/>
              </w:rPr>
            </w:pPr>
          </w:p>
          <w:p>
            <w:pPr>
              <w:pStyle w:val="TableParagraph"/>
              <w:rPr>
                <w:rFonts w:ascii="Arial"/>
                <w:b/>
                <w:sz w:val="22"/>
              </w:rPr>
            </w:pPr>
          </w:p>
          <w:p>
            <w:pPr>
              <w:pStyle w:val="TableParagraph"/>
              <w:spacing w:before="245"/>
              <w:rPr>
                <w:rFonts w:ascii="Arial"/>
                <w:b/>
                <w:sz w:val="22"/>
              </w:rPr>
            </w:pPr>
          </w:p>
          <w:p>
            <w:pPr>
              <w:pStyle w:val="TableParagraph"/>
              <w:ind w:left="9" w:right="2"/>
              <w:jc w:val="center"/>
              <w:rPr>
                <w:sz w:val="22"/>
              </w:rPr>
            </w:pPr>
            <w:r>
              <w:rPr>
                <w:spacing w:val="-4"/>
                <w:sz w:val="22"/>
              </w:rPr>
              <w:t>RPPO</w:t>
            </w:r>
          </w:p>
          <w:p>
            <w:pPr>
              <w:pStyle w:val="TableParagraph"/>
              <w:spacing w:before="2"/>
              <w:ind w:left="9" w:right="1"/>
              <w:jc w:val="center"/>
              <w:rPr>
                <w:sz w:val="22"/>
              </w:rPr>
            </w:pPr>
            <w:r>
              <w:rPr>
                <w:spacing w:val="-2"/>
                <w:sz w:val="22"/>
              </w:rPr>
              <w:t>MA-</w:t>
            </w:r>
            <w:r>
              <w:rPr>
                <w:spacing w:val="-4"/>
                <w:sz w:val="22"/>
              </w:rPr>
              <w:t>Only</w:t>
            </w:r>
          </w:p>
        </w:tc>
        <w:tc>
          <w:tcPr>
            <w:tcW w:w="2245"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19"/>
              <w:rPr>
                <w:rFonts w:ascii="Arial"/>
                <w:b/>
                <w:sz w:val="22"/>
              </w:rPr>
            </w:pPr>
          </w:p>
          <w:p>
            <w:pPr>
              <w:pStyle w:val="TableParagraph"/>
              <w:spacing w:before="1"/>
              <w:ind w:left="76" w:right="70"/>
              <w:jc w:val="center"/>
              <w:rPr>
                <w:sz w:val="22"/>
              </w:rPr>
            </w:pPr>
            <w:r>
              <w:rPr>
                <w:spacing w:val="-5"/>
                <w:sz w:val="22"/>
              </w:rPr>
              <w:t>N/A</w:t>
            </w:r>
          </w:p>
        </w:tc>
        <w:tc>
          <w:tcPr>
            <w:tcW w:w="1674" w:type="dxa"/>
          </w:tcPr>
          <w:p>
            <w:pPr>
              <w:pStyle w:val="TableParagraph"/>
              <w:spacing w:before="119"/>
              <w:ind w:left="89" w:right="82"/>
              <w:jc w:val="center"/>
              <w:rPr>
                <w:sz w:val="22"/>
              </w:rPr>
            </w:pPr>
            <w:r>
              <w:rPr>
                <w:sz w:val="22"/>
              </w:rPr>
              <w:t xml:space="preserve">Required to reflect the published MA </w:t>
            </w:r>
            <w:r>
              <w:rPr>
                <w:spacing w:val="-2"/>
                <w:sz w:val="22"/>
              </w:rPr>
              <w:t xml:space="preserve">regional benchmarks; </w:t>
            </w:r>
            <w:r>
              <w:rPr>
                <w:sz w:val="22"/>
              </w:rPr>
              <w:t>these</w:t>
            </w:r>
            <w:r>
              <w:rPr>
                <w:spacing w:val="-5"/>
                <w:sz w:val="22"/>
              </w:rPr>
              <w:t xml:space="preserve"> </w:t>
            </w:r>
            <w:r>
              <w:rPr>
                <w:sz w:val="22"/>
              </w:rPr>
              <w:t>plans</w:t>
            </w:r>
            <w:r>
              <w:rPr>
                <w:spacing w:val="-6"/>
                <w:sz w:val="22"/>
              </w:rPr>
              <w:t xml:space="preserve"> </w:t>
            </w:r>
            <w:r>
              <w:rPr>
                <w:sz w:val="22"/>
              </w:rPr>
              <w:t>are not</w:t>
            </w:r>
            <w:r>
              <w:rPr>
                <w:spacing w:val="-14"/>
                <w:sz w:val="22"/>
              </w:rPr>
              <w:t xml:space="preserve"> </w:t>
            </w:r>
            <w:r>
              <w:rPr>
                <w:sz w:val="22"/>
              </w:rPr>
              <w:t>affected</w:t>
            </w:r>
            <w:r>
              <w:rPr>
                <w:spacing w:val="-14"/>
                <w:sz w:val="22"/>
              </w:rPr>
              <w:t xml:space="preserve"> </w:t>
            </w:r>
            <w:r>
              <w:rPr>
                <w:sz w:val="22"/>
              </w:rPr>
              <w:t xml:space="preserve">by the Part D </w:t>
            </w:r>
            <w:r>
              <w:rPr>
                <w:spacing w:val="-2"/>
                <w:sz w:val="22"/>
              </w:rPr>
              <w:t>benchmarks</w:t>
            </w:r>
          </w:p>
        </w:tc>
        <w:tc>
          <w:tcPr>
            <w:tcW w:w="153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19"/>
              <w:rPr>
                <w:rFonts w:ascii="Arial"/>
                <w:b/>
                <w:sz w:val="22"/>
              </w:rPr>
            </w:pPr>
          </w:p>
          <w:p>
            <w:pPr>
              <w:pStyle w:val="TableParagraph"/>
              <w:spacing w:before="1"/>
              <w:ind w:left="4"/>
              <w:jc w:val="center"/>
              <w:rPr>
                <w:sz w:val="22"/>
              </w:rPr>
            </w:pPr>
            <w:r>
              <w:rPr>
                <w:spacing w:val="-4"/>
                <w:sz w:val="22"/>
              </w:rPr>
              <w:t>None</w:t>
            </w:r>
          </w:p>
        </w:tc>
        <w:tc>
          <w:tcPr>
            <w:tcW w:w="1270"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19"/>
              <w:rPr>
                <w:rFonts w:ascii="Arial"/>
                <w:b/>
                <w:sz w:val="22"/>
              </w:rPr>
            </w:pPr>
          </w:p>
          <w:p>
            <w:pPr>
              <w:pStyle w:val="TableParagraph"/>
              <w:spacing w:before="1"/>
              <w:ind w:left="203"/>
              <w:rPr>
                <w:sz w:val="22"/>
              </w:rPr>
            </w:pPr>
            <w:r>
              <w:rPr>
                <w:spacing w:val="-2"/>
                <w:sz w:val="22"/>
              </w:rPr>
              <w:t>Permitted</w:t>
            </w:r>
          </w:p>
        </w:tc>
        <w:tc>
          <w:tcPr>
            <w:tcW w:w="1402" w:type="dxa"/>
          </w:tcPr>
          <w:p>
            <w:pPr>
              <w:pStyle w:val="TableParagraph"/>
              <w:rPr>
                <w:rFonts w:ascii="Arial"/>
                <w:b/>
                <w:sz w:val="22"/>
              </w:rPr>
            </w:pPr>
          </w:p>
          <w:p>
            <w:pPr>
              <w:pStyle w:val="TableParagraph"/>
              <w:rPr>
                <w:rFonts w:ascii="Arial"/>
                <w:b/>
                <w:sz w:val="22"/>
              </w:rPr>
            </w:pPr>
          </w:p>
          <w:p>
            <w:pPr>
              <w:pStyle w:val="TableParagraph"/>
              <w:rPr>
                <w:rFonts w:ascii="Arial"/>
                <w:b/>
                <w:sz w:val="22"/>
              </w:rPr>
            </w:pPr>
          </w:p>
          <w:p>
            <w:pPr>
              <w:pStyle w:val="TableParagraph"/>
              <w:spacing w:before="119"/>
              <w:rPr>
                <w:rFonts w:ascii="Arial"/>
                <w:b/>
                <w:sz w:val="22"/>
              </w:rPr>
            </w:pPr>
          </w:p>
          <w:p>
            <w:pPr>
              <w:pStyle w:val="TableParagraph"/>
              <w:spacing w:before="1"/>
              <w:ind w:left="4" w:right="4"/>
              <w:jc w:val="center"/>
              <w:rPr>
                <w:sz w:val="22"/>
              </w:rPr>
            </w:pPr>
            <w:r>
              <w:rPr>
                <w:spacing w:val="-4"/>
                <w:sz w:val="22"/>
              </w:rPr>
              <w:t>None</w:t>
            </w:r>
          </w:p>
        </w:tc>
      </w:tr>
    </w:tbl>
    <w:p>
      <w:pPr>
        <w:pStyle w:val="TableParagraph"/>
        <w:spacing w:after="0"/>
        <w:jc w:val="center"/>
        <w:rPr>
          <w:sz w:val="22"/>
        </w:rPr>
        <w:sectPr>
          <w:pgSz w:w="12240" w:h="15840"/>
          <w:pgMar w:top="960" w:right="0" w:bottom="940" w:left="1080" w:header="727" w:footer="747"/>
          <w:cols w:space="720"/>
        </w:sectPr>
      </w:pPr>
    </w:p>
    <w:p>
      <w:pPr>
        <w:pStyle w:val="BodyText"/>
        <w:spacing w:before="226"/>
        <w:ind w:left="0"/>
        <w:rPr>
          <w:rFonts w:ascii="Arial"/>
          <w:b/>
          <w:sz w:val="21"/>
        </w:rPr>
      </w:pPr>
    </w:p>
    <w:p>
      <w:pPr>
        <w:pStyle w:val="Heading2"/>
        <w:numPr>
          <w:ilvl w:val="0"/>
          <w:numId w:val="26"/>
        </w:numPr>
        <w:tabs>
          <w:tab w:val="left" w:pos="761"/>
        </w:tabs>
        <w:spacing w:before="0" w:after="0" w:line="240" w:lineRule="auto"/>
        <w:ind w:left="761" w:right="0" w:hanging="257"/>
        <w:jc w:val="left"/>
      </w:pPr>
      <w:bookmarkStart w:id="363" w:name="II. Rebate Reallocation Guidelines"/>
      <w:bookmarkEnd w:id="363"/>
      <w:bookmarkStart w:id="364" w:name="_bookmark97"/>
      <w:bookmarkEnd w:id="364"/>
      <w:r>
        <w:rPr>
          <w:smallCaps/>
        </w:rPr>
        <w:t>Rebate</w:t>
      </w:r>
      <w:r>
        <w:rPr>
          <w:smallCaps/>
          <w:spacing w:val="-11"/>
        </w:rPr>
        <w:t xml:space="preserve"> </w:t>
      </w:r>
      <w:r>
        <w:rPr>
          <w:smallCaps/>
        </w:rPr>
        <w:t>Reallocation</w:t>
      </w:r>
      <w:r>
        <w:rPr>
          <w:smallCaps/>
          <w:spacing w:val="-11"/>
        </w:rPr>
        <w:t xml:space="preserve"> </w:t>
      </w:r>
      <w:r>
        <w:rPr>
          <w:smallCaps/>
          <w:spacing w:val="-2"/>
        </w:rPr>
        <w:t>Guidelines</w:t>
      </w:r>
    </w:p>
    <w:p>
      <w:pPr>
        <w:pStyle w:val="ListParagraph"/>
        <w:numPr>
          <w:ilvl w:val="1"/>
          <w:numId w:val="26"/>
        </w:numPr>
        <w:tabs>
          <w:tab w:val="left" w:pos="771"/>
        </w:tabs>
        <w:spacing w:before="240" w:after="0" w:line="240" w:lineRule="auto"/>
        <w:ind w:left="771" w:right="0" w:hanging="267"/>
        <w:jc w:val="left"/>
        <w:rPr>
          <w:rFonts w:ascii="Arial"/>
          <w:b/>
          <w:sz w:val="21"/>
        </w:rPr>
      </w:pPr>
      <w:bookmarkStart w:id="365" w:name="A. Primary Guidelines"/>
      <w:bookmarkEnd w:id="365"/>
      <w:r>
        <w:rPr>
          <w:rFonts w:ascii="Arial"/>
          <w:b/>
          <w:sz w:val="21"/>
        </w:rPr>
        <w:t>Primary</w:t>
      </w:r>
      <w:r>
        <w:rPr>
          <w:rFonts w:ascii="Arial"/>
          <w:b/>
          <w:spacing w:val="-6"/>
          <w:sz w:val="21"/>
        </w:rPr>
        <w:t xml:space="preserve"> </w:t>
      </w:r>
      <w:r>
        <w:rPr>
          <w:rFonts w:ascii="Arial"/>
          <w:b/>
          <w:spacing w:val="-2"/>
          <w:sz w:val="21"/>
        </w:rPr>
        <w:t>Guidelines</w:t>
      </w:r>
    </w:p>
    <w:p>
      <w:pPr>
        <w:pStyle w:val="ListParagraph"/>
        <w:numPr>
          <w:ilvl w:val="2"/>
          <w:numId w:val="26"/>
        </w:numPr>
        <w:tabs>
          <w:tab w:val="left" w:pos="864"/>
        </w:tabs>
        <w:spacing w:before="118" w:after="0" w:line="240" w:lineRule="auto"/>
        <w:ind w:left="864" w:right="1894" w:hanging="360"/>
        <w:jc w:val="left"/>
        <w:rPr>
          <w:sz w:val="24"/>
        </w:rPr>
      </w:pPr>
      <w:r>
        <w:rPr>
          <w:sz w:val="24"/>
        </w:rPr>
        <w:t>Rebate</w:t>
      </w:r>
      <w:r>
        <w:rPr>
          <w:spacing w:val="-3"/>
          <w:sz w:val="24"/>
        </w:rPr>
        <w:t xml:space="preserve"> </w:t>
      </w:r>
      <w:r>
        <w:rPr>
          <w:sz w:val="24"/>
        </w:rPr>
        <w:t>reallocation</w:t>
      </w:r>
      <w:r>
        <w:rPr>
          <w:spacing w:val="-3"/>
          <w:sz w:val="24"/>
        </w:rPr>
        <w:t xml:space="preserve"> </w:t>
      </w:r>
      <w:r>
        <w:rPr>
          <w:sz w:val="24"/>
        </w:rPr>
        <w:t>is</w:t>
      </w:r>
      <w:r>
        <w:rPr>
          <w:spacing w:val="-3"/>
          <w:sz w:val="24"/>
        </w:rPr>
        <w:t xml:space="preserve"> </w:t>
      </w:r>
      <w:r>
        <w:rPr>
          <w:sz w:val="24"/>
        </w:rPr>
        <w:t>only</w:t>
      </w:r>
      <w:r>
        <w:rPr>
          <w:spacing w:val="-3"/>
          <w:sz w:val="24"/>
        </w:rPr>
        <w:t xml:space="preserve"> </w:t>
      </w:r>
      <w:r>
        <w:rPr>
          <w:sz w:val="24"/>
        </w:rPr>
        <w:t>an</w:t>
      </w:r>
      <w:r>
        <w:rPr>
          <w:spacing w:val="-3"/>
          <w:sz w:val="24"/>
        </w:rPr>
        <w:t xml:space="preserve"> </w:t>
      </w:r>
      <w:r>
        <w:rPr>
          <w:sz w:val="24"/>
        </w:rPr>
        <w:t>opportunity</w:t>
      </w:r>
      <w:r>
        <w:rPr>
          <w:spacing w:val="-3"/>
          <w:sz w:val="24"/>
        </w:rPr>
        <w:t xml:space="preserve"> </w:t>
      </w:r>
      <w:r>
        <w:rPr>
          <w:sz w:val="24"/>
        </w:rPr>
        <w:t>to</w:t>
      </w:r>
      <w:r>
        <w:rPr>
          <w:spacing w:val="-1"/>
          <w:sz w:val="24"/>
        </w:rPr>
        <w:t xml:space="preserve"> </w:t>
      </w:r>
      <w:r>
        <w:rPr>
          <w:sz w:val="24"/>
        </w:rPr>
        <w:t>(i)</w:t>
      </w:r>
      <w:r>
        <w:rPr>
          <w:spacing w:val="-4"/>
          <w:sz w:val="24"/>
        </w:rPr>
        <w:t xml:space="preserve"> </w:t>
      </w:r>
      <w:r>
        <w:rPr>
          <w:sz w:val="24"/>
        </w:rPr>
        <w:t>achieve</w:t>
      </w:r>
      <w:r>
        <w:rPr>
          <w:spacing w:val="-4"/>
          <w:sz w:val="24"/>
        </w:rPr>
        <w:t xml:space="preserve"> </w:t>
      </w:r>
      <w:r>
        <w:rPr>
          <w:sz w:val="24"/>
        </w:rPr>
        <w:t>the</w:t>
      </w:r>
      <w:r>
        <w:rPr>
          <w:spacing w:val="-3"/>
          <w:sz w:val="24"/>
        </w:rPr>
        <w:t xml:space="preserve"> </w:t>
      </w:r>
      <w:r>
        <w:rPr>
          <w:sz w:val="24"/>
        </w:rPr>
        <w:t>target</w:t>
      </w:r>
      <w:r>
        <w:rPr>
          <w:spacing w:val="-3"/>
          <w:sz w:val="24"/>
        </w:rPr>
        <w:t xml:space="preserve"> </w:t>
      </w:r>
      <w:r>
        <w:rPr>
          <w:sz w:val="24"/>
        </w:rPr>
        <w:t>plan</w:t>
      </w:r>
      <w:r>
        <w:rPr>
          <w:spacing w:val="-3"/>
          <w:sz w:val="24"/>
        </w:rPr>
        <w:t xml:space="preserve"> </w:t>
      </w:r>
      <w:r>
        <w:rPr>
          <w:sz w:val="24"/>
        </w:rPr>
        <w:t>intention</w:t>
      </w:r>
      <w:r>
        <w:rPr>
          <w:spacing w:val="-3"/>
          <w:sz w:val="24"/>
        </w:rPr>
        <w:t xml:space="preserve"> </w:t>
      </w:r>
      <w:r>
        <w:rPr>
          <w:sz w:val="24"/>
        </w:rPr>
        <w:t>for</w:t>
      </w:r>
      <w:r>
        <w:rPr>
          <w:spacing w:val="-3"/>
          <w:sz w:val="24"/>
        </w:rPr>
        <w:t xml:space="preserve"> </w:t>
      </w:r>
      <w:r>
        <w:rPr>
          <w:sz w:val="24"/>
        </w:rPr>
        <w:t>the Part D basic premium, subject to these instructions, and (ii) reflect the published MA regional benchmarks in RPPO bids.</w:t>
      </w:r>
    </w:p>
    <w:p>
      <w:pPr>
        <w:pStyle w:val="ListParagraph"/>
        <w:numPr>
          <w:ilvl w:val="3"/>
          <w:numId w:val="26"/>
        </w:numPr>
        <w:tabs>
          <w:tab w:val="left" w:pos="1584"/>
        </w:tabs>
        <w:spacing w:before="120" w:after="0" w:line="240" w:lineRule="auto"/>
        <w:ind w:left="1584" w:right="1481" w:hanging="720"/>
        <w:jc w:val="left"/>
        <w:rPr>
          <w:sz w:val="24"/>
        </w:rPr>
      </w:pPr>
      <w:r>
        <w:rPr>
          <w:sz w:val="24"/>
        </w:rPr>
        <w:t>When</w:t>
      </w:r>
      <w:r>
        <w:rPr>
          <w:spacing w:val="-3"/>
          <w:sz w:val="24"/>
        </w:rPr>
        <w:t xml:space="preserve"> </w:t>
      </w:r>
      <w:r>
        <w:rPr>
          <w:sz w:val="24"/>
        </w:rPr>
        <w:t>rebates</w:t>
      </w:r>
      <w:r>
        <w:rPr>
          <w:spacing w:val="-4"/>
          <w:sz w:val="24"/>
        </w:rPr>
        <w:t xml:space="preserve"> </w:t>
      </w:r>
      <w:r>
        <w:rPr>
          <w:sz w:val="24"/>
        </w:rPr>
        <w:t>are</w:t>
      </w:r>
      <w:r>
        <w:rPr>
          <w:spacing w:val="-5"/>
          <w:sz w:val="24"/>
        </w:rPr>
        <w:t xml:space="preserve"> </w:t>
      </w:r>
      <w:r>
        <w:rPr>
          <w:sz w:val="24"/>
        </w:rPr>
        <w:t>reallocated</w:t>
      </w:r>
      <w:r>
        <w:rPr>
          <w:spacing w:val="-3"/>
          <w:sz w:val="24"/>
        </w:rPr>
        <w:t xml:space="preserve"> </w:t>
      </w:r>
      <w:r>
        <w:rPr>
          <w:sz w:val="24"/>
        </w:rPr>
        <w:t>to</w:t>
      </w:r>
      <w:r>
        <w:rPr>
          <w:spacing w:val="-3"/>
          <w:sz w:val="24"/>
        </w:rPr>
        <w:t xml:space="preserve"> </w:t>
      </w:r>
      <w:r>
        <w:rPr>
          <w:sz w:val="24"/>
        </w:rPr>
        <w:t>achieve</w:t>
      </w:r>
      <w:r>
        <w:rPr>
          <w:spacing w:val="-4"/>
          <w:sz w:val="24"/>
        </w:rPr>
        <w:t xml:space="preserve"> </w:t>
      </w:r>
      <w:r>
        <w:rPr>
          <w:sz w:val="24"/>
        </w:rPr>
        <w:t>the</w:t>
      </w:r>
      <w:r>
        <w:rPr>
          <w:spacing w:val="-3"/>
          <w:sz w:val="24"/>
        </w:rPr>
        <w:t xml:space="preserve"> </w:t>
      </w:r>
      <w:r>
        <w:rPr>
          <w:sz w:val="24"/>
        </w:rPr>
        <w:t>target</w:t>
      </w:r>
      <w:r>
        <w:rPr>
          <w:spacing w:val="-1"/>
          <w:sz w:val="24"/>
        </w:rPr>
        <w:t xml:space="preserve"> </w:t>
      </w:r>
      <w:r>
        <w:rPr>
          <w:sz w:val="24"/>
        </w:rPr>
        <w:t>plan</w:t>
      </w:r>
      <w:r>
        <w:rPr>
          <w:spacing w:val="-3"/>
          <w:sz w:val="24"/>
        </w:rPr>
        <w:t xml:space="preserve"> </w:t>
      </w:r>
      <w:r>
        <w:rPr>
          <w:sz w:val="24"/>
        </w:rPr>
        <w:t>intention</w:t>
      </w:r>
      <w:r>
        <w:rPr>
          <w:spacing w:val="-3"/>
          <w:sz w:val="24"/>
        </w:rPr>
        <w:t xml:space="preserve"> </w:t>
      </w:r>
      <w:r>
        <w:rPr>
          <w:sz w:val="24"/>
        </w:rPr>
        <w:t>for</w:t>
      </w:r>
      <w:r>
        <w:rPr>
          <w:spacing w:val="-4"/>
          <w:sz w:val="24"/>
        </w:rPr>
        <w:t xml:space="preserve"> </w:t>
      </w:r>
      <w:r>
        <w:rPr>
          <w:sz w:val="24"/>
        </w:rPr>
        <w:t>the Part</w:t>
      </w:r>
      <w:r>
        <w:rPr>
          <w:spacing w:val="-3"/>
          <w:sz w:val="24"/>
        </w:rPr>
        <w:t xml:space="preserve"> </w:t>
      </w:r>
      <w:r>
        <w:rPr>
          <w:sz w:val="24"/>
        </w:rPr>
        <w:t>D</w:t>
      </w:r>
      <w:r>
        <w:rPr>
          <w:spacing w:val="-4"/>
          <w:sz w:val="24"/>
        </w:rPr>
        <w:t xml:space="preserve"> </w:t>
      </w:r>
      <w:r>
        <w:rPr>
          <w:sz w:val="24"/>
        </w:rPr>
        <w:t>basic premium, CMS will only accept a partial return to the target plan intention for the Part D basic premium in the following situations:</w:t>
      </w:r>
    </w:p>
    <w:p>
      <w:pPr>
        <w:pStyle w:val="ListParagraph"/>
        <w:numPr>
          <w:ilvl w:val="4"/>
          <w:numId w:val="26"/>
        </w:numPr>
        <w:tabs>
          <w:tab w:val="left" w:pos="2304"/>
        </w:tabs>
        <w:spacing w:before="120" w:after="0" w:line="240" w:lineRule="auto"/>
        <w:ind w:left="2304" w:right="1769" w:hanging="720"/>
        <w:jc w:val="left"/>
        <w:rPr>
          <w:sz w:val="24"/>
        </w:rPr>
      </w:pPr>
      <w:r>
        <w:rPr>
          <w:sz w:val="24"/>
        </w:rPr>
        <w:t>The</w:t>
      </w:r>
      <w:r>
        <w:rPr>
          <w:spacing w:val="-4"/>
          <w:sz w:val="24"/>
        </w:rPr>
        <w:t xml:space="preserve"> </w:t>
      </w:r>
      <w:r>
        <w:rPr>
          <w:sz w:val="24"/>
        </w:rPr>
        <w:t>total</w:t>
      </w:r>
      <w:r>
        <w:rPr>
          <w:spacing w:val="-3"/>
          <w:sz w:val="24"/>
        </w:rPr>
        <w:t xml:space="preserve"> </w:t>
      </w:r>
      <w:r>
        <w:rPr>
          <w:sz w:val="24"/>
        </w:rPr>
        <w:t>MA</w:t>
      </w:r>
      <w:r>
        <w:rPr>
          <w:spacing w:val="-3"/>
          <w:sz w:val="24"/>
        </w:rPr>
        <w:t xml:space="preserve"> </w:t>
      </w:r>
      <w:r>
        <w:rPr>
          <w:sz w:val="24"/>
        </w:rPr>
        <w:t>rebate</w:t>
      </w:r>
      <w:r>
        <w:rPr>
          <w:spacing w:val="-4"/>
          <w:sz w:val="24"/>
        </w:rPr>
        <w:t xml:space="preserve"> </w:t>
      </w:r>
      <w:r>
        <w:rPr>
          <w:sz w:val="24"/>
        </w:rPr>
        <w:t>amount</w:t>
      </w:r>
      <w:r>
        <w:rPr>
          <w:spacing w:val="-3"/>
          <w:sz w:val="24"/>
        </w:rPr>
        <w:t xml:space="preserve"> </w:t>
      </w:r>
      <w:r>
        <w:rPr>
          <w:sz w:val="24"/>
        </w:rPr>
        <w:t>has</w:t>
      </w:r>
      <w:r>
        <w:rPr>
          <w:spacing w:val="-4"/>
          <w:sz w:val="24"/>
        </w:rPr>
        <w:t xml:space="preserve"> </w:t>
      </w:r>
      <w:r>
        <w:rPr>
          <w:sz w:val="24"/>
        </w:rPr>
        <w:t>been</w:t>
      </w:r>
      <w:r>
        <w:rPr>
          <w:spacing w:val="-3"/>
          <w:sz w:val="24"/>
        </w:rPr>
        <w:t xml:space="preserve"> </w:t>
      </w:r>
      <w:r>
        <w:rPr>
          <w:sz w:val="24"/>
        </w:rPr>
        <w:t>allocated</w:t>
      </w:r>
      <w:r>
        <w:rPr>
          <w:spacing w:val="-3"/>
          <w:sz w:val="24"/>
        </w:rPr>
        <w:t xml:space="preserve"> </w:t>
      </w:r>
      <w:r>
        <w:rPr>
          <w:sz w:val="24"/>
        </w:rPr>
        <w:t>to</w:t>
      </w:r>
      <w:r>
        <w:rPr>
          <w:spacing w:val="-1"/>
          <w:sz w:val="24"/>
        </w:rPr>
        <w:t xml:space="preserve"> </w:t>
      </w:r>
      <w:r>
        <w:rPr>
          <w:sz w:val="24"/>
        </w:rPr>
        <w:t>reduce</w:t>
      </w:r>
      <w:r>
        <w:rPr>
          <w:spacing w:val="-4"/>
          <w:sz w:val="24"/>
        </w:rPr>
        <w:t xml:space="preserve"> </w:t>
      </w:r>
      <w:r>
        <w:rPr>
          <w:sz w:val="24"/>
        </w:rPr>
        <w:t>the</w:t>
      </w:r>
      <w:r>
        <w:rPr>
          <w:spacing w:val="-3"/>
          <w:sz w:val="24"/>
        </w:rPr>
        <w:t xml:space="preserve"> </w:t>
      </w:r>
      <w:r>
        <w:rPr>
          <w:sz w:val="24"/>
        </w:rPr>
        <w:t>Part</w:t>
      </w:r>
      <w:r>
        <w:rPr>
          <w:spacing w:val="-3"/>
          <w:sz w:val="24"/>
        </w:rPr>
        <w:t xml:space="preserve"> </w:t>
      </w:r>
      <w:r>
        <w:rPr>
          <w:sz w:val="24"/>
        </w:rPr>
        <w:t>D</w:t>
      </w:r>
      <w:r>
        <w:rPr>
          <w:spacing w:val="-4"/>
          <w:sz w:val="24"/>
        </w:rPr>
        <w:t xml:space="preserve"> </w:t>
      </w:r>
      <w:r>
        <w:rPr>
          <w:sz w:val="24"/>
        </w:rPr>
        <w:t xml:space="preserve">basic premium, but the resulting Part D basic premium is still greater than the </w:t>
      </w:r>
      <w:r>
        <w:rPr>
          <w:spacing w:val="-2"/>
          <w:sz w:val="24"/>
        </w:rPr>
        <w:t>target.</w:t>
      </w:r>
    </w:p>
    <w:p>
      <w:pPr>
        <w:pStyle w:val="ListParagraph"/>
        <w:numPr>
          <w:ilvl w:val="4"/>
          <w:numId w:val="26"/>
        </w:numPr>
        <w:tabs>
          <w:tab w:val="left" w:pos="2304"/>
        </w:tabs>
        <w:spacing w:before="121" w:after="0" w:line="240" w:lineRule="auto"/>
        <w:ind w:left="2304" w:right="1512" w:hanging="720"/>
        <w:jc w:val="left"/>
        <w:rPr>
          <w:sz w:val="24"/>
        </w:rPr>
      </w:pPr>
      <w:r>
        <w:rPr>
          <w:sz w:val="24"/>
        </w:rPr>
        <w:t>The rebate amount allocated to Part D basic premium is $0, and it is impossible</w:t>
      </w:r>
      <w:r>
        <w:rPr>
          <w:spacing w:val="-3"/>
          <w:sz w:val="24"/>
        </w:rPr>
        <w:t xml:space="preserve"> </w:t>
      </w:r>
      <w:r>
        <w:rPr>
          <w:sz w:val="24"/>
        </w:rPr>
        <w:t>to</w:t>
      </w:r>
      <w:r>
        <w:rPr>
          <w:spacing w:val="-3"/>
          <w:sz w:val="24"/>
        </w:rPr>
        <w:t xml:space="preserve"> </w:t>
      </w:r>
      <w:r>
        <w:rPr>
          <w:sz w:val="24"/>
        </w:rPr>
        <w:t>achieve</w:t>
      </w:r>
      <w:r>
        <w:rPr>
          <w:spacing w:val="-5"/>
          <w:sz w:val="24"/>
        </w:rPr>
        <w:t xml:space="preserve"> </w:t>
      </w:r>
      <w:r>
        <w:rPr>
          <w:sz w:val="24"/>
        </w:rPr>
        <w:t>the</w:t>
      </w:r>
      <w:r>
        <w:rPr>
          <w:spacing w:val="-2"/>
          <w:sz w:val="24"/>
        </w:rPr>
        <w:t xml:space="preserve"> </w:t>
      </w:r>
      <w:r>
        <w:rPr>
          <w:sz w:val="24"/>
        </w:rPr>
        <w:t>target</w:t>
      </w:r>
      <w:r>
        <w:rPr>
          <w:spacing w:val="-3"/>
          <w:sz w:val="24"/>
        </w:rPr>
        <w:t xml:space="preserve"> </w:t>
      </w:r>
      <w:r>
        <w:rPr>
          <w:sz w:val="24"/>
        </w:rPr>
        <w:t>plan</w:t>
      </w:r>
      <w:r>
        <w:rPr>
          <w:spacing w:val="-3"/>
          <w:sz w:val="24"/>
        </w:rPr>
        <w:t xml:space="preserve"> </w:t>
      </w:r>
      <w:r>
        <w:rPr>
          <w:sz w:val="24"/>
        </w:rPr>
        <w:t>intention</w:t>
      </w:r>
      <w:r>
        <w:rPr>
          <w:spacing w:val="-3"/>
          <w:sz w:val="24"/>
        </w:rPr>
        <w:t xml:space="preserve"> </w:t>
      </w:r>
      <w:r>
        <w:rPr>
          <w:sz w:val="24"/>
        </w:rPr>
        <w:t>for the</w:t>
      </w:r>
      <w:r>
        <w:rPr>
          <w:spacing w:val="-4"/>
          <w:sz w:val="24"/>
        </w:rPr>
        <w:t xml:space="preserve"> </w:t>
      </w:r>
      <w:r>
        <w:rPr>
          <w:sz w:val="24"/>
        </w:rPr>
        <w:t>Part</w:t>
      </w:r>
      <w:r>
        <w:rPr>
          <w:spacing w:val="-3"/>
          <w:sz w:val="24"/>
        </w:rPr>
        <w:t xml:space="preserve"> </w:t>
      </w:r>
      <w:r>
        <w:rPr>
          <w:sz w:val="24"/>
        </w:rPr>
        <w:t>D</w:t>
      </w:r>
      <w:r>
        <w:rPr>
          <w:spacing w:val="-4"/>
          <w:sz w:val="24"/>
        </w:rPr>
        <w:t xml:space="preserve"> </w:t>
      </w:r>
      <w:r>
        <w:rPr>
          <w:sz w:val="24"/>
        </w:rPr>
        <w:t>basic</w:t>
      </w:r>
      <w:r>
        <w:rPr>
          <w:spacing w:val="-4"/>
          <w:sz w:val="24"/>
        </w:rPr>
        <w:t xml:space="preserve"> </w:t>
      </w:r>
      <w:r>
        <w:rPr>
          <w:sz w:val="24"/>
        </w:rPr>
        <w:t>premium.</w:t>
      </w:r>
    </w:p>
    <w:p>
      <w:pPr>
        <w:pStyle w:val="ListParagraph"/>
        <w:numPr>
          <w:ilvl w:val="3"/>
          <w:numId w:val="26"/>
        </w:numPr>
        <w:tabs>
          <w:tab w:val="left" w:pos="1584"/>
        </w:tabs>
        <w:spacing w:before="120" w:after="0" w:line="240" w:lineRule="auto"/>
        <w:ind w:left="1584" w:right="1485" w:hanging="720"/>
        <w:jc w:val="left"/>
        <w:rPr>
          <w:sz w:val="24"/>
        </w:rPr>
      </w:pPr>
      <w:r>
        <w:rPr>
          <w:sz w:val="24"/>
        </w:rPr>
        <w:t>When</w:t>
      </w:r>
      <w:r>
        <w:rPr>
          <w:spacing w:val="-2"/>
          <w:sz w:val="24"/>
        </w:rPr>
        <w:t xml:space="preserve"> </w:t>
      </w:r>
      <w:r>
        <w:rPr>
          <w:sz w:val="24"/>
        </w:rPr>
        <w:t>rebates</w:t>
      </w:r>
      <w:r>
        <w:rPr>
          <w:spacing w:val="-2"/>
          <w:sz w:val="24"/>
        </w:rPr>
        <w:t xml:space="preserve"> </w:t>
      </w:r>
      <w:r>
        <w:rPr>
          <w:sz w:val="24"/>
        </w:rPr>
        <w:t>are</w:t>
      </w:r>
      <w:r>
        <w:rPr>
          <w:spacing w:val="-4"/>
          <w:sz w:val="24"/>
        </w:rPr>
        <w:t xml:space="preserve"> </w:t>
      </w:r>
      <w:r>
        <w:rPr>
          <w:sz w:val="24"/>
        </w:rPr>
        <w:t>reallocated</w:t>
      </w:r>
      <w:r>
        <w:rPr>
          <w:spacing w:val="-2"/>
          <w:sz w:val="24"/>
        </w:rPr>
        <w:t xml:space="preserve"> </w:t>
      </w:r>
      <w:r>
        <w:rPr>
          <w:sz w:val="24"/>
        </w:rPr>
        <w:t>to</w:t>
      </w:r>
      <w:r>
        <w:rPr>
          <w:spacing w:val="-2"/>
          <w:sz w:val="24"/>
        </w:rPr>
        <w:t xml:space="preserve"> </w:t>
      </w:r>
      <w:r>
        <w:rPr>
          <w:sz w:val="24"/>
        </w:rPr>
        <w:t>achieve</w:t>
      </w:r>
      <w:r>
        <w:rPr>
          <w:spacing w:val="-3"/>
          <w:sz w:val="24"/>
        </w:rPr>
        <w:t xml:space="preserve"> </w:t>
      </w:r>
      <w:r>
        <w:rPr>
          <w:sz w:val="24"/>
        </w:rPr>
        <w:t>the</w:t>
      </w:r>
      <w:r>
        <w:rPr>
          <w:spacing w:val="-2"/>
          <w:sz w:val="24"/>
        </w:rPr>
        <w:t xml:space="preserve"> </w:t>
      </w:r>
      <w:r>
        <w:rPr>
          <w:sz w:val="24"/>
        </w:rPr>
        <w:t>LIPSA</w:t>
      </w:r>
      <w:r>
        <w:rPr>
          <w:spacing w:val="-3"/>
          <w:sz w:val="24"/>
        </w:rPr>
        <w:t xml:space="preserve"> </w:t>
      </w:r>
      <w:r>
        <w:rPr>
          <w:sz w:val="24"/>
        </w:rPr>
        <w:t>as</w:t>
      </w:r>
      <w:r>
        <w:rPr>
          <w:spacing w:val="-3"/>
          <w:sz w:val="24"/>
        </w:rPr>
        <w:t xml:space="preserve"> </w:t>
      </w:r>
      <w:r>
        <w:rPr>
          <w:sz w:val="24"/>
        </w:rPr>
        <w:t>the</w:t>
      </w:r>
      <w:r>
        <w:rPr>
          <w:spacing w:val="-1"/>
          <w:sz w:val="24"/>
        </w:rPr>
        <w:t xml:space="preserve"> </w:t>
      </w:r>
      <w:r>
        <w:rPr>
          <w:sz w:val="24"/>
        </w:rPr>
        <w:t>Part</w:t>
      </w:r>
      <w:r>
        <w:rPr>
          <w:spacing w:val="-2"/>
          <w:sz w:val="24"/>
        </w:rPr>
        <w:t xml:space="preserve"> </w:t>
      </w:r>
      <w:r>
        <w:rPr>
          <w:sz w:val="24"/>
        </w:rPr>
        <w:t>D</w:t>
      </w:r>
      <w:r>
        <w:rPr>
          <w:spacing w:val="-3"/>
          <w:sz w:val="24"/>
        </w:rPr>
        <w:t xml:space="preserve"> </w:t>
      </w:r>
      <w:r>
        <w:rPr>
          <w:sz w:val="24"/>
        </w:rPr>
        <w:t>basic</w:t>
      </w:r>
      <w:r>
        <w:rPr>
          <w:spacing w:val="-3"/>
          <w:sz w:val="24"/>
        </w:rPr>
        <w:t xml:space="preserve"> </w:t>
      </w:r>
      <w:r>
        <w:rPr>
          <w:sz w:val="24"/>
        </w:rPr>
        <w:t>premium,</w:t>
      </w:r>
      <w:r>
        <w:rPr>
          <w:spacing w:val="-2"/>
          <w:sz w:val="24"/>
        </w:rPr>
        <w:t xml:space="preserve"> </w:t>
      </w:r>
      <w:r>
        <w:rPr>
          <w:sz w:val="24"/>
        </w:rPr>
        <w:t>the Part D basic premium net of rebate must be equal to (i) the exact published LIPSA,</w:t>
      </w:r>
    </w:p>
    <w:p>
      <w:pPr>
        <w:pStyle w:val="BodyText"/>
        <w:ind w:left="1584" w:right="1444"/>
      </w:pPr>
      <w:r>
        <w:t>(ii) the LIPSA rounded to the nearest $0.10 when the published LIPSA is not</w:t>
      </w:r>
      <w:r>
        <w:rPr>
          <w:spacing w:val="40"/>
        </w:rPr>
        <w:t xml:space="preserve"> </w:t>
      </w:r>
      <w:r>
        <w:t>already rounded to $0.10 (that is, the rounded value must be within +/−$0.05 of the unrounded LIPSA benchmark value), or (iii) the LIPSA rounded down to the</w:t>
      </w:r>
      <w:r>
        <w:rPr>
          <w:spacing w:val="40"/>
        </w:rPr>
        <w:t xml:space="preserve"> </w:t>
      </w:r>
      <w:r>
        <w:t>nearest</w:t>
      </w:r>
      <w:r>
        <w:rPr>
          <w:spacing w:val="-3"/>
        </w:rPr>
        <w:t xml:space="preserve"> </w:t>
      </w:r>
      <w:r>
        <w:t>dollar</w:t>
      </w:r>
      <w:r>
        <w:rPr>
          <w:spacing w:val="-3"/>
        </w:rPr>
        <w:t xml:space="preserve"> </w:t>
      </w:r>
      <w:r>
        <w:t>amount.</w:t>
      </w:r>
      <w:r>
        <w:rPr>
          <w:spacing w:val="-2"/>
        </w:rPr>
        <w:t xml:space="preserve"> </w:t>
      </w:r>
      <w:r>
        <w:t>The</w:t>
      </w:r>
      <w:r>
        <w:rPr>
          <w:spacing w:val="-3"/>
        </w:rPr>
        <w:t xml:space="preserve"> </w:t>
      </w:r>
      <w:r>
        <w:t>LIPSA</w:t>
      </w:r>
      <w:r>
        <w:rPr>
          <w:spacing w:val="-3"/>
        </w:rPr>
        <w:t xml:space="preserve"> </w:t>
      </w:r>
      <w:r>
        <w:t>for</w:t>
      </w:r>
      <w:r>
        <w:rPr>
          <w:spacing w:val="-3"/>
        </w:rPr>
        <w:t xml:space="preserve"> </w:t>
      </w:r>
      <w:r>
        <w:t>a</w:t>
      </w:r>
      <w:r>
        <w:rPr>
          <w:spacing w:val="-4"/>
        </w:rPr>
        <w:t xml:space="preserve"> </w:t>
      </w:r>
      <w:r>
        <w:t>plan</w:t>
      </w:r>
      <w:r>
        <w:rPr>
          <w:spacing w:val="-3"/>
        </w:rPr>
        <w:t xml:space="preserve"> </w:t>
      </w:r>
      <w:r>
        <w:t>that</w:t>
      </w:r>
      <w:r>
        <w:rPr>
          <w:spacing w:val="-3"/>
        </w:rPr>
        <w:t xml:space="preserve"> </w:t>
      </w:r>
      <w:r>
        <w:t>spans</w:t>
      </w:r>
      <w:r>
        <w:rPr>
          <w:spacing w:val="-3"/>
        </w:rPr>
        <w:t xml:space="preserve"> </w:t>
      </w:r>
      <w:r>
        <w:t>multiple</w:t>
      </w:r>
      <w:r>
        <w:rPr>
          <w:spacing w:val="-2"/>
        </w:rPr>
        <w:t xml:space="preserve"> </w:t>
      </w:r>
      <w:r>
        <w:t>Part</w:t>
      </w:r>
      <w:r>
        <w:rPr>
          <w:spacing w:val="-3"/>
        </w:rPr>
        <w:t xml:space="preserve"> </w:t>
      </w:r>
      <w:r>
        <w:t>D</w:t>
      </w:r>
      <w:r>
        <w:rPr>
          <w:spacing w:val="-3"/>
        </w:rPr>
        <w:t xml:space="preserve"> </w:t>
      </w:r>
      <w:r>
        <w:t>regions</w:t>
      </w:r>
      <w:r>
        <w:rPr>
          <w:spacing w:val="-3"/>
        </w:rPr>
        <w:t xml:space="preserve"> </w:t>
      </w:r>
      <w:r>
        <w:t>must be the LIS eligible member weighted average of the LIPSA for each service region.</w:t>
      </w:r>
    </w:p>
    <w:p>
      <w:pPr>
        <w:pStyle w:val="ListParagraph"/>
        <w:numPr>
          <w:ilvl w:val="3"/>
          <w:numId w:val="26"/>
        </w:numPr>
        <w:tabs>
          <w:tab w:val="left" w:pos="1584"/>
        </w:tabs>
        <w:spacing w:before="120" w:after="0" w:line="240" w:lineRule="auto"/>
        <w:ind w:left="1584" w:right="0" w:hanging="720"/>
        <w:jc w:val="left"/>
        <w:rPr>
          <w:sz w:val="24"/>
        </w:rPr>
      </w:pPr>
      <w:r>
        <w:rPr>
          <w:sz w:val="24"/>
        </w:rPr>
        <w:t>When</w:t>
      </w:r>
      <w:r>
        <w:rPr>
          <w:spacing w:val="-1"/>
          <w:sz w:val="24"/>
        </w:rPr>
        <w:t xml:space="preserve"> </w:t>
      </w:r>
      <w:r>
        <w:rPr>
          <w:sz w:val="24"/>
        </w:rPr>
        <w:t>rebates are</w:t>
      </w:r>
      <w:r>
        <w:rPr>
          <w:spacing w:val="-3"/>
          <w:sz w:val="24"/>
        </w:rPr>
        <w:t xml:space="preserve"> </w:t>
      </w:r>
      <w:r>
        <w:rPr>
          <w:sz w:val="24"/>
        </w:rPr>
        <w:t>reallocated to</w:t>
      </w:r>
      <w:r>
        <w:rPr>
          <w:spacing w:val="-1"/>
          <w:sz w:val="24"/>
        </w:rPr>
        <w:t xml:space="preserve"> </w:t>
      </w:r>
      <w:r>
        <w:rPr>
          <w:sz w:val="24"/>
        </w:rPr>
        <w:t>achieve</w:t>
      </w:r>
      <w:r>
        <w:rPr>
          <w:spacing w:val="-1"/>
          <w:sz w:val="24"/>
        </w:rPr>
        <w:t xml:space="preserve"> </w:t>
      </w:r>
      <w:r>
        <w:rPr>
          <w:sz w:val="24"/>
        </w:rPr>
        <w:t>the</w:t>
      </w:r>
      <w:r>
        <w:rPr>
          <w:spacing w:val="-1"/>
          <w:sz w:val="24"/>
        </w:rPr>
        <w:t xml:space="preserve"> </w:t>
      </w:r>
      <w:r>
        <w:rPr>
          <w:sz w:val="24"/>
        </w:rPr>
        <w:t>LIPSA</w:t>
      </w:r>
      <w:r>
        <w:rPr>
          <w:spacing w:val="-1"/>
          <w:sz w:val="24"/>
        </w:rPr>
        <w:t xml:space="preserve"> </w:t>
      </w:r>
      <w:r>
        <w:rPr>
          <w:sz w:val="24"/>
        </w:rPr>
        <w:t>as</w:t>
      </w:r>
      <w:r>
        <w:rPr>
          <w:spacing w:val="-2"/>
          <w:sz w:val="24"/>
        </w:rPr>
        <w:t xml:space="preserve"> </w:t>
      </w:r>
      <w:r>
        <w:rPr>
          <w:sz w:val="24"/>
        </w:rPr>
        <w:t>the</w:t>
      </w:r>
      <w:r>
        <w:rPr>
          <w:spacing w:val="1"/>
          <w:sz w:val="24"/>
        </w:rPr>
        <w:t xml:space="preserve"> </w:t>
      </w:r>
      <w:r>
        <w:rPr>
          <w:sz w:val="24"/>
        </w:rPr>
        <w:t>Part</w:t>
      </w:r>
      <w:r>
        <w:rPr>
          <w:spacing w:val="-1"/>
          <w:sz w:val="24"/>
        </w:rPr>
        <w:t xml:space="preserve"> </w:t>
      </w:r>
      <w:r>
        <w:rPr>
          <w:sz w:val="24"/>
        </w:rPr>
        <w:t>D</w:t>
      </w:r>
      <w:r>
        <w:rPr>
          <w:spacing w:val="-1"/>
          <w:sz w:val="24"/>
        </w:rPr>
        <w:t xml:space="preserve"> </w:t>
      </w:r>
      <w:r>
        <w:rPr>
          <w:sz w:val="24"/>
        </w:rPr>
        <w:t>basic</w:t>
      </w:r>
      <w:r>
        <w:rPr>
          <w:spacing w:val="-2"/>
          <w:sz w:val="24"/>
        </w:rPr>
        <w:t xml:space="preserve"> </w:t>
      </w:r>
      <w:r>
        <w:rPr>
          <w:sz w:val="24"/>
        </w:rPr>
        <w:t xml:space="preserve">premium, </w:t>
      </w:r>
      <w:r>
        <w:rPr>
          <w:spacing w:val="-5"/>
          <w:sz w:val="24"/>
        </w:rPr>
        <w:t>if</w:t>
      </w:r>
    </w:p>
    <w:p>
      <w:pPr>
        <w:pStyle w:val="BodyText"/>
        <w:spacing w:before="1"/>
        <w:ind w:left="1584" w:right="1494"/>
      </w:pPr>
      <w:r>
        <w:t>(i) the MAO has no total MA rebates or has allocated the total MA rebates to the Part D basic premium, and (ii) the difference between the Part D basic premium post-benchmark</w:t>
      </w:r>
      <w:r>
        <w:rPr>
          <w:spacing w:val="-2"/>
        </w:rPr>
        <w:t xml:space="preserve"> </w:t>
      </w:r>
      <w:r>
        <w:t>and</w:t>
      </w:r>
      <w:r>
        <w:rPr>
          <w:spacing w:val="-4"/>
        </w:rPr>
        <w:t xml:space="preserve"> </w:t>
      </w:r>
      <w:r>
        <w:t>the</w:t>
      </w:r>
      <w:r>
        <w:rPr>
          <w:spacing w:val="-3"/>
        </w:rPr>
        <w:t xml:space="preserve"> </w:t>
      </w:r>
      <w:r>
        <w:t>LIPSA</w:t>
      </w:r>
      <w:r>
        <w:rPr>
          <w:spacing w:val="-5"/>
        </w:rPr>
        <w:t xml:space="preserve"> </w:t>
      </w:r>
      <w:r>
        <w:t>is</w:t>
      </w:r>
      <w:r>
        <w:rPr>
          <w:spacing w:val="-5"/>
        </w:rPr>
        <w:t xml:space="preserve"> </w:t>
      </w:r>
      <w:r>
        <w:t>between</w:t>
      </w:r>
      <w:r>
        <w:rPr>
          <w:spacing w:val="-4"/>
        </w:rPr>
        <w:t xml:space="preserve"> </w:t>
      </w:r>
      <w:r>
        <w:t>$0</w:t>
      </w:r>
      <w:r>
        <w:rPr>
          <w:spacing w:val="-4"/>
        </w:rPr>
        <w:t xml:space="preserve"> </w:t>
      </w:r>
      <w:r>
        <w:t>and</w:t>
      </w:r>
      <w:r>
        <w:rPr>
          <w:spacing w:val="-2"/>
        </w:rPr>
        <w:t xml:space="preserve"> </w:t>
      </w:r>
      <w:r>
        <w:t>the</w:t>
      </w:r>
      <w:r>
        <w:rPr>
          <w:spacing w:val="-4"/>
        </w:rPr>
        <w:t xml:space="preserve"> </w:t>
      </w:r>
      <w:r>
        <w:t>de</w:t>
      </w:r>
      <w:r>
        <w:rPr>
          <w:spacing w:val="-4"/>
        </w:rPr>
        <w:t xml:space="preserve"> </w:t>
      </w:r>
      <w:r>
        <w:t>minimis</w:t>
      </w:r>
      <w:r>
        <w:rPr>
          <w:spacing w:val="-5"/>
        </w:rPr>
        <w:t xml:space="preserve"> </w:t>
      </w:r>
      <w:r>
        <w:t>amount</w:t>
      </w:r>
      <w:r>
        <w:rPr>
          <w:spacing w:val="-4"/>
        </w:rPr>
        <w:t xml:space="preserve"> </w:t>
      </w:r>
      <w:r>
        <w:t>published by CMS, the MAO</w:t>
      </w:r>
      <w:r>
        <w:rPr>
          <w:spacing w:val="-1"/>
        </w:rPr>
        <w:t xml:space="preserve"> </w:t>
      </w:r>
      <w:r>
        <w:t>may volunteer to waive the</w:t>
      </w:r>
      <w:r>
        <w:rPr>
          <w:spacing w:val="-1"/>
        </w:rPr>
        <w:t xml:space="preserve"> </w:t>
      </w:r>
      <w:r>
        <w:t>portion of the</w:t>
      </w:r>
      <w:r>
        <w:rPr>
          <w:spacing w:val="-1"/>
        </w:rPr>
        <w:t xml:space="preserve"> </w:t>
      </w:r>
      <w:r>
        <w:t>Part D</w:t>
      </w:r>
      <w:r>
        <w:rPr>
          <w:spacing w:val="-1"/>
        </w:rPr>
        <w:t xml:space="preserve"> </w:t>
      </w:r>
      <w:r>
        <w:t>basic premium equal to this difference. If the difference between the Part D basic premium</w:t>
      </w:r>
    </w:p>
    <w:p>
      <w:pPr>
        <w:pStyle w:val="BodyText"/>
        <w:ind w:left="1584" w:right="1481"/>
      </w:pPr>
      <w:r>
        <w:t>post-benchmark</w:t>
      </w:r>
      <w:r>
        <w:rPr>
          <w:spacing w:val="-2"/>
        </w:rPr>
        <w:t xml:space="preserve"> </w:t>
      </w:r>
      <w:r>
        <w:t>and</w:t>
      </w:r>
      <w:r>
        <w:rPr>
          <w:spacing w:val="-4"/>
        </w:rPr>
        <w:t xml:space="preserve"> </w:t>
      </w:r>
      <w:r>
        <w:t>the</w:t>
      </w:r>
      <w:r>
        <w:rPr>
          <w:spacing w:val="-3"/>
        </w:rPr>
        <w:t xml:space="preserve"> </w:t>
      </w:r>
      <w:r>
        <w:t>LIPSA</w:t>
      </w:r>
      <w:r>
        <w:rPr>
          <w:spacing w:val="-5"/>
        </w:rPr>
        <w:t xml:space="preserve"> </w:t>
      </w:r>
      <w:r>
        <w:t>is</w:t>
      </w:r>
      <w:r>
        <w:rPr>
          <w:spacing w:val="-5"/>
        </w:rPr>
        <w:t xml:space="preserve"> </w:t>
      </w:r>
      <w:r>
        <w:t>greater</w:t>
      </w:r>
      <w:r>
        <w:rPr>
          <w:spacing w:val="-5"/>
        </w:rPr>
        <w:t xml:space="preserve"> </w:t>
      </w:r>
      <w:r>
        <w:t>than</w:t>
      </w:r>
      <w:r>
        <w:rPr>
          <w:spacing w:val="-4"/>
        </w:rPr>
        <w:t xml:space="preserve"> </w:t>
      </w:r>
      <w:r>
        <w:t>the</w:t>
      </w:r>
      <w:r>
        <w:rPr>
          <w:spacing w:val="-3"/>
        </w:rPr>
        <w:t xml:space="preserve"> </w:t>
      </w:r>
      <w:r>
        <w:t>de</w:t>
      </w:r>
      <w:r>
        <w:rPr>
          <w:spacing w:val="-3"/>
        </w:rPr>
        <w:t xml:space="preserve"> </w:t>
      </w:r>
      <w:r>
        <w:t>minimis</w:t>
      </w:r>
      <w:r>
        <w:rPr>
          <w:spacing w:val="-5"/>
        </w:rPr>
        <w:t xml:space="preserve"> </w:t>
      </w:r>
      <w:r>
        <w:t>amount</w:t>
      </w:r>
      <w:r>
        <w:rPr>
          <w:spacing w:val="-4"/>
        </w:rPr>
        <w:t xml:space="preserve"> </w:t>
      </w:r>
      <w:r>
        <w:t>published</w:t>
      </w:r>
      <w:r>
        <w:rPr>
          <w:spacing w:val="-4"/>
        </w:rPr>
        <w:t xml:space="preserve"> </w:t>
      </w:r>
      <w:r>
        <w:t>by CMS, the MAO cannot volunteer to waive the de minimis amount.</w:t>
      </w:r>
    </w:p>
    <w:p>
      <w:pPr>
        <w:pStyle w:val="ListParagraph"/>
        <w:numPr>
          <w:ilvl w:val="3"/>
          <w:numId w:val="26"/>
        </w:numPr>
        <w:tabs>
          <w:tab w:val="left" w:pos="1584"/>
        </w:tabs>
        <w:spacing w:before="120" w:after="0" w:line="240" w:lineRule="auto"/>
        <w:ind w:left="1584" w:right="1542" w:hanging="720"/>
        <w:jc w:val="left"/>
        <w:rPr>
          <w:sz w:val="24"/>
        </w:rPr>
      </w:pPr>
      <w:r>
        <w:rPr>
          <w:sz w:val="24"/>
        </w:rPr>
        <w:t>MAOs must resubmit all their RPPO bids during the rebate reallocation period to reflect the published MA regional benchmarks within their bids. The allocation of rebates must be revised to reflect the new total rebates. After updates for the regional benchmarks and allocation of rebates due to the regional benchmarks, MAOs</w:t>
      </w:r>
      <w:r>
        <w:rPr>
          <w:spacing w:val="-4"/>
          <w:sz w:val="24"/>
        </w:rPr>
        <w:t xml:space="preserve"> </w:t>
      </w:r>
      <w:r>
        <w:rPr>
          <w:sz w:val="24"/>
        </w:rPr>
        <w:t>are</w:t>
      </w:r>
      <w:r>
        <w:rPr>
          <w:spacing w:val="-5"/>
          <w:sz w:val="24"/>
        </w:rPr>
        <w:t xml:space="preserve"> </w:t>
      </w:r>
      <w:r>
        <w:rPr>
          <w:sz w:val="24"/>
        </w:rPr>
        <w:t>permitted</w:t>
      </w:r>
      <w:r>
        <w:rPr>
          <w:spacing w:val="-3"/>
          <w:sz w:val="24"/>
        </w:rPr>
        <w:t xml:space="preserve"> </w:t>
      </w:r>
      <w:r>
        <w:rPr>
          <w:sz w:val="24"/>
        </w:rPr>
        <w:t>or</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reallocate</w:t>
      </w:r>
      <w:r>
        <w:rPr>
          <w:spacing w:val="-2"/>
          <w:sz w:val="24"/>
        </w:rPr>
        <w:t xml:space="preserve"> </w:t>
      </w:r>
      <w:r>
        <w:rPr>
          <w:sz w:val="24"/>
        </w:rPr>
        <w:t>rebates</w:t>
      </w:r>
      <w:r>
        <w:rPr>
          <w:spacing w:val="-4"/>
          <w:sz w:val="24"/>
        </w:rPr>
        <w:t xml:space="preserve"> </w:t>
      </w:r>
      <w:r>
        <w:rPr>
          <w:sz w:val="24"/>
        </w:rPr>
        <w:t>in</w:t>
      </w:r>
      <w:r>
        <w:rPr>
          <w:spacing w:val="-3"/>
          <w:sz w:val="24"/>
        </w:rPr>
        <w:t xml:space="preserve"> </w:t>
      </w:r>
      <w:r>
        <w:rPr>
          <w:sz w:val="24"/>
        </w:rPr>
        <w:t>their</w:t>
      </w:r>
      <w:r>
        <w:rPr>
          <w:spacing w:val="-3"/>
          <w:sz w:val="24"/>
        </w:rPr>
        <w:t xml:space="preserve"> </w:t>
      </w:r>
      <w:r>
        <w:rPr>
          <w:sz w:val="24"/>
        </w:rPr>
        <w:t>MA-PD</w:t>
      </w:r>
      <w:r>
        <w:rPr>
          <w:spacing w:val="-4"/>
          <w:sz w:val="24"/>
        </w:rPr>
        <w:t xml:space="preserve"> </w:t>
      </w:r>
      <w:r>
        <w:rPr>
          <w:sz w:val="24"/>
        </w:rPr>
        <w:t>RPPO</w:t>
      </w:r>
      <w:r>
        <w:rPr>
          <w:spacing w:val="-4"/>
          <w:sz w:val="24"/>
        </w:rPr>
        <w:t xml:space="preserve"> </w:t>
      </w:r>
      <w:r>
        <w:rPr>
          <w:sz w:val="24"/>
        </w:rPr>
        <w:t>bids</w:t>
      </w:r>
      <w:r>
        <w:rPr>
          <w:spacing w:val="-4"/>
          <w:sz w:val="24"/>
        </w:rPr>
        <w:t xml:space="preserve"> </w:t>
      </w:r>
      <w:r>
        <w:rPr>
          <w:sz w:val="24"/>
        </w:rPr>
        <w:t>to achieve the target plan intention for the Part D basic premium.</w:t>
      </w:r>
    </w:p>
    <w:p>
      <w:pPr>
        <w:pStyle w:val="ListParagraph"/>
        <w:numPr>
          <w:ilvl w:val="2"/>
          <w:numId w:val="26"/>
        </w:numPr>
        <w:tabs>
          <w:tab w:val="left" w:pos="864"/>
        </w:tabs>
        <w:spacing w:before="120" w:after="0" w:line="240" w:lineRule="auto"/>
        <w:ind w:left="864" w:right="1540" w:hanging="360"/>
        <w:jc w:val="left"/>
        <w:rPr>
          <w:sz w:val="24"/>
        </w:rPr>
      </w:pPr>
      <w:r>
        <w:rPr>
          <w:sz w:val="24"/>
        </w:rPr>
        <w:t>To</w:t>
      </w:r>
      <w:r>
        <w:rPr>
          <w:spacing w:val="-3"/>
          <w:sz w:val="24"/>
        </w:rPr>
        <w:t xml:space="preserve"> </w:t>
      </w:r>
      <w:r>
        <w:rPr>
          <w:sz w:val="24"/>
        </w:rPr>
        <w:t>satisfy</w:t>
      </w:r>
      <w:r>
        <w:rPr>
          <w:spacing w:val="-3"/>
          <w:sz w:val="24"/>
        </w:rPr>
        <w:t xml:space="preserve"> </w:t>
      </w:r>
      <w:r>
        <w:rPr>
          <w:sz w:val="24"/>
        </w:rPr>
        <w:t>all</w:t>
      </w:r>
      <w:r>
        <w:rPr>
          <w:spacing w:val="-3"/>
          <w:sz w:val="24"/>
        </w:rPr>
        <w:t xml:space="preserve"> </w:t>
      </w:r>
      <w:r>
        <w:rPr>
          <w:sz w:val="24"/>
        </w:rPr>
        <w:t>CMS</w:t>
      </w:r>
      <w:r>
        <w:rPr>
          <w:spacing w:val="-3"/>
          <w:sz w:val="24"/>
        </w:rPr>
        <w:t xml:space="preserve"> </w:t>
      </w:r>
      <w:r>
        <w:rPr>
          <w:sz w:val="24"/>
        </w:rPr>
        <w:t>rebate</w:t>
      </w:r>
      <w:r>
        <w:rPr>
          <w:spacing w:val="-3"/>
          <w:sz w:val="24"/>
        </w:rPr>
        <w:t xml:space="preserve"> </w:t>
      </w:r>
      <w:r>
        <w:rPr>
          <w:sz w:val="24"/>
        </w:rPr>
        <w:t>reallocation</w:t>
      </w:r>
      <w:r>
        <w:rPr>
          <w:spacing w:val="-3"/>
          <w:sz w:val="24"/>
        </w:rPr>
        <w:t xml:space="preserve"> </w:t>
      </w:r>
      <w:r>
        <w:rPr>
          <w:sz w:val="24"/>
        </w:rPr>
        <w:t>requirements,</w:t>
      </w:r>
      <w:r>
        <w:rPr>
          <w:spacing w:val="-3"/>
          <w:sz w:val="24"/>
        </w:rPr>
        <w:t xml:space="preserve"> </w:t>
      </w:r>
      <w:r>
        <w:rPr>
          <w:sz w:val="24"/>
        </w:rPr>
        <w:t>it</w:t>
      </w:r>
      <w:r>
        <w:rPr>
          <w:spacing w:val="-3"/>
          <w:sz w:val="24"/>
        </w:rPr>
        <w:t xml:space="preserve"> </w:t>
      </w:r>
      <w:r>
        <w:rPr>
          <w:sz w:val="24"/>
        </w:rPr>
        <w:t>may</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possible</w:t>
      </w:r>
      <w:r>
        <w:rPr>
          <w:spacing w:val="-7"/>
          <w:sz w:val="24"/>
        </w:rPr>
        <w:t xml:space="preserve"> </w:t>
      </w:r>
      <w:r>
        <w:rPr>
          <w:sz w:val="24"/>
        </w:rPr>
        <w:t>for</w:t>
      </w:r>
      <w:r>
        <w:rPr>
          <w:spacing w:val="-5"/>
          <w:sz w:val="24"/>
        </w:rPr>
        <w:t xml:space="preserve"> </w:t>
      </w:r>
      <w:r>
        <w:rPr>
          <w:sz w:val="24"/>
        </w:rPr>
        <w:t>the</w:t>
      </w:r>
      <w:r>
        <w:rPr>
          <w:spacing w:val="-3"/>
          <w:sz w:val="24"/>
        </w:rPr>
        <w:t xml:space="preserve"> </w:t>
      </w:r>
      <w:r>
        <w:rPr>
          <w:sz w:val="24"/>
        </w:rPr>
        <w:t>MAO</w:t>
      </w:r>
      <w:r>
        <w:rPr>
          <w:spacing w:val="-4"/>
          <w:sz w:val="24"/>
        </w:rPr>
        <w:t xml:space="preserve"> </w:t>
      </w:r>
      <w:r>
        <w:rPr>
          <w:sz w:val="24"/>
        </w:rPr>
        <w:t>to return to the total estimated plan premium (line 9 of Worksheet 6, Section IIIC) from the BPT submitted prior to rebate reallocation.</w:t>
      </w:r>
    </w:p>
    <w:p>
      <w:pPr>
        <w:pStyle w:val="ListParagraph"/>
        <w:numPr>
          <w:ilvl w:val="2"/>
          <w:numId w:val="26"/>
        </w:numPr>
        <w:tabs>
          <w:tab w:val="left" w:pos="864"/>
        </w:tabs>
        <w:spacing w:before="121" w:after="0" w:line="240" w:lineRule="auto"/>
        <w:ind w:left="864" w:right="2253" w:hanging="360"/>
        <w:jc w:val="left"/>
        <w:rPr>
          <w:sz w:val="24"/>
        </w:rPr>
      </w:pPr>
      <w:r>
        <w:rPr>
          <w:sz w:val="24"/>
        </w:rPr>
        <w:t>MAOs</w:t>
      </w:r>
      <w:r>
        <w:rPr>
          <w:spacing w:val="-4"/>
          <w:sz w:val="24"/>
        </w:rPr>
        <w:t xml:space="preserve"> </w:t>
      </w:r>
      <w:r>
        <w:rPr>
          <w:sz w:val="24"/>
        </w:rPr>
        <w:t>may</w:t>
      </w:r>
      <w:r>
        <w:rPr>
          <w:spacing w:val="-3"/>
          <w:sz w:val="24"/>
        </w:rPr>
        <w:t xml:space="preserve"> </w:t>
      </w:r>
      <w:r>
        <w:rPr>
          <w:sz w:val="24"/>
        </w:rPr>
        <w:t>not</w:t>
      </w:r>
      <w:r>
        <w:rPr>
          <w:spacing w:val="-3"/>
          <w:sz w:val="24"/>
        </w:rPr>
        <w:t xml:space="preserve"> </w:t>
      </w:r>
      <w:r>
        <w:rPr>
          <w:sz w:val="24"/>
        </w:rPr>
        <w:t>change</w:t>
      </w:r>
      <w:r>
        <w:rPr>
          <w:spacing w:val="-4"/>
          <w:sz w:val="24"/>
        </w:rPr>
        <w:t xml:space="preserve"> </w:t>
      </w:r>
      <w:r>
        <w:rPr>
          <w:sz w:val="24"/>
        </w:rPr>
        <w:t>the</w:t>
      </w:r>
      <w:r>
        <w:rPr>
          <w:spacing w:val="-4"/>
          <w:sz w:val="24"/>
        </w:rPr>
        <w:t xml:space="preserve"> </w:t>
      </w:r>
      <w:r>
        <w:rPr>
          <w:sz w:val="24"/>
        </w:rPr>
        <w:t>“plan</w:t>
      </w:r>
      <w:r>
        <w:rPr>
          <w:spacing w:val="-3"/>
          <w:sz w:val="24"/>
        </w:rPr>
        <w:t xml:space="preserve"> </w:t>
      </w:r>
      <w:r>
        <w:rPr>
          <w:sz w:val="24"/>
        </w:rPr>
        <w:t>intention</w:t>
      </w:r>
      <w:r>
        <w:rPr>
          <w:spacing w:val="-3"/>
          <w:sz w:val="24"/>
        </w:rPr>
        <w:t xml:space="preserve"> </w:t>
      </w:r>
      <w:r>
        <w:rPr>
          <w:sz w:val="24"/>
        </w:rPr>
        <w:t>for</w:t>
      </w:r>
      <w:r>
        <w:rPr>
          <w:spacing w:val="-4"/>
          <w:sz w:val="24"/>
        </w:rPr>
        <w:t xml:space="preserve"> </w:t>
      </w:r>
      <w:r>
        <w:rPr>
          <w:sz w:val="24"/>
        </w:rPr>
        <w:t>target</w:t>
      </w:r>
      <w:r>
        <w:rPr>
          <w:spacing w:val="-2"/>
          <w:sz w:val="24"/>
        </w:rPr>
        <w:t xml:space="preserve"> </w:t>
      </w:r>
      <w:r>
        <w:rPr>
          <w:sz w:val="24"/>
        </w:rPr>
        <w:t>PD</w:t>
      </w:r>
      <w:r>
        <w:rPr>
          <w:spacing w:val="-4"/>
          <w:sz w:val="24"/>
        </w:rPr>
        <w:t xml:space="preserve"> </w:t>
      </w:r>
      <w:r>
        <w:rPr>
          <w:sz w:val="24"/>
        </w:rPr>
        <w:t>basic</w:t>
      </w:r>
      <w:r>
        <w:rPr>
          <w:spacing w:val="-4"/>
          <w:sz w:val="24"/>
        </w:rPr>
        <w:t xml:space="preserve"> </w:t>
      </w:r>
      <w:r>
        <w:rPr>
          <w:sz w:val="24"/>
        </w:rPr>
        <w:t>premium”</w:t>
      </w:r>
      <w:r>
        <w:rPr>
          <w:spacing w:val="-4"/>
          <w:sz w:val="24"/>
        </w:rPr>
        <w:t xml:space="preserve"> </w:t>
      </w:r>
      <w:r>
        <w:rPr>
          <w:sz w:val="24"/>
        </w:rPr>
        <w:t>(line</w:t>
      </w:r>
      <w:r>
        <w:rPr>
          <w:spacing w:val="-3"/>
          <w:sz w:val="24"/>
        </w:rPr>
        <w:t xml:space="preserve"> </w:t>
      </w:r>
      <w:r>
        <w:rPr>
          <w:sz w:val="24"/>
        </w:rPr>
        <w:t>10</w:t>
      </w:r>
      <w:r>
        <w:rPr>
          <w:spacing w:val="-3"/>
          <w:sz w:val="24"/>
        </w:rPr>
        <w:t xml:space="preserve"> </w:t>
      </w:r>
      <w:r>
        <w:rPr>
          <w:sz w:val="24"/>
        </w:rPr>
        <w:t>of MA BPT Worksheet 6, Section IIIC) after initial submission.</w:t>
      </w:r>
    </w:p>
    <w:p>
      <w:pPr>
        <w:pStyle w:val="ListParagraph"/>
        <w:numPr>
          <w:ilvl w:val="2"/>
          <w:numId w:val="26"/>
        </w:numPr>
        <w:tabs>
          <w:tab w:val="left" w:pos="864"/>
        </w:tabs>
        <w:spacing w:before="120" w:after="0" w:line="240" w:lineRule="auto"/>
        <w:ind w:left="864" w:right="1620" w:hanging="360"/>
        <w:jc w:val="left"/>
        <w:rPr>
          <w:sz w:val="24"/>
        </w:rPr>
      </w:pPr>
      <w:r>
        <w:rPr>
          <w:sz w:val="24"/>
        </w:rPr>
        <w:t>The total Part D premium must be greater than or equal to $0. Total Part D Premium includes</w:t>
      </w:r>
      <w:r>
        <w:rPr>
          <w:spacing w:val="-3"/>
          <w:sz w:val="24"/>
        </w:rPr>
        <w:t xml:space="preserve"> </w:t>
      </w:r>
      <w:r>
        <w:rPr>
          <w:sz w:val="24"/>
        </w:rPr>
        <w:t>(i)</w:t>
      </w:r>
      <w:r>
        <w:rPr>
          <w:spacing w:val="-2"/>
          <w:sz w:val="24"/>
        </w:rPr>
        <w:t xml:space="preserve"> </w:t>
      </w:r>
      <w:r>
        <w:rPr>
          <w:sz w:val="24"/>
        </w:rPr>
        <w:t>the</w:t>
      </w:r>
      <w:r>
        <w:rPr>
          <w:spacing w:val="-4"/>
          <w:sz w:val="24"/>
        </w:rPr>
        <w:t xml:space="preserve"> </w:t>
      </w:r>
      <w:r>
        <w:rPr>
          <w:sz w:val="24"/>
        </w:rPr>
        <w:t>Part</w:t>
      </w:r>
      <w:r>
        <w:rPr>
          <w:spacing w:val="-2"/>
          <w:sz w:val="24"/>
        </w:rPr>
        <w:t xml:space="preserve"> </w:t>
      </w:r>
      <w:r>
        <w:rPr>
          <w:sz w:val="24"/>
        </w:rPr>
        <w:t>D</w:t>
      </w:r>
      <w:r>
        <w:rPr>
          <w:spacing w:val="-3"/>
          <w:sz w:val="24"/>
        </w:rPr>
        <w:t xml:space="preserve"> </w:t>
      </w:r>
      <w:r>
        <w:rPr>
          <w:sz w:val="24"/>
        </w:rPr>
        <w:t>basic</w:t>
      </w:r>
      <w:r>
        <w:rPr>
          <w:spacing w:val="-2"/>
          <w:sz w:val="24"/>
        </w:rPr>
        <w:t xml:space="preserve"> </w:t>
      </w:r>
      <w:r>
        <w:rPr>
          <w:sz w:val="24"/>
        </w:rPr>
        <w:t>premium</w:t>
      </w:r>
      <w:r>
        <w:rPr>
          <w:spacing w:val="-2"/>
          <w:sz w:val="24"/>
        </w:rPr>
        <w:t xml:space="preserve"> </w:t>
      </w:r>
      <w:r>
        <w:rPr>
          <w:sz w:val="24"/>
        </w:rPr>
        <w:t>net</w:t>
      </w:r>
      <w:r>
        <w:rPr>
          <w:spacing w:val="-2"/>
          <w:sz w:val="24"/>
        </w:rPr>
        <w:t xml:space="preserve"> </w:t>
      </w:r>
      <w:r>
        <w:rPr>
          <w:sz w:val="24"/>
        </w:rPr>
        <w:t>of</w:t>
      </w:r>
      <w:r>
        <w:rPr>
          <w:spacing w:val="-3"/>
          <w:sz w:val="24"/>
        </w:rPr>
        <w:t xml:space="preserve"> </w:t>
      </w:r>
      <w:r>
        <w:rPr>
          <w:sz w:val="24"/>
        </w:rPr>
        <w:t>rebates</w:t>
      </w:r>
      <w:r>
        <w:rPr>
          <w:spacing w:val="-3"/>
          <w:sz w:val="24"/>
        </w:rPr>
        <w:t xml:space="preserve"> </w:t>
      </w:r>
      <w:r>
        <w:rPr>
          <w:sz w:val="24"/>
        </w:rPr>
        <w:t>(line</w:t>
      </w:r>
      <w:r>
        <w:rPr>
          <w:spacing w:val="-2"/>
          <w:sz w:val="24"/>
        </w:rPr>
        <w:t xml:space="preserve"> </w:t>
      </w:r>
      <w:r>
        <w:rPr>
          <w:sz w:val="24"/>
        </w:rPr>
        <w:t>7d</w:t>
      </w:r>
      <w:r>
        <w:rPr>
          <w:spacing w:val="-2"/>
          <w:sz w:val="24"/>
        </w:rPr>
        <w:t xml:space="preserve"> </w:t>
      </w:r>
      <w:r>
        <w:rPr>
          <w:sz w:val="24"/>
        </w:rPr>
        <w:t>of</w:t>
      </w:r>
      <w:r>
        <w:rPr>
          <w:spacing w:val="-4"/>
          <w:sz w:val="24"/>
        </w:rPr>
        <w:t xml:space="preserve"> </w:t>
      </w:r>
      <w:r>
        <w:rPr>
          <w:sz w:val="24"/>
        </w:rPr>
        <w:t>Worksheet 6,</w:t>
      </w:r>
      <w:r>
        <w:rPr>
          <w:spacing w:val="-2"/>
          <w:sz w:val="24"/>
        </w:rPr>
        <w:t xml:space="preserve"> </w:t>
      </w:r>
      <w:r>
        <w:rPr>
          <w:sz w:val="24"/>
        </w:rPr>
        <w:t>Section</w:t>
      </w:r>
      <w:r>
        <w:rPr>
          <w:spacing w:val="-2"/>
          <w:sz w:val="24"/>
        </w:rPr>
        <w:t xml:space="preserve"> </w:t>
      </w:r>
      <w:r>
        <w:rPr>
          <w:sz w:val="24"/>
        </w:rPr>
        <w:t>IIIC)</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BodyText"/>
        <w:ind w:left="864" w:right="1481"/>
      </w:pPr>
      <w:r>
        <w:t>after</w:t>
      </w:r>
      <w:r>
        <w:rPr>
          <w:spacing w:val="-3"/>
        </w:rPr>
        <w:t xml:space="preserve"> </w:t>
      </w:r>
      <w:r>
        <w:t>reflecting</w:t>
      </w:r>
      <w:r>
        <w:rPr>
          <w:spacing w:val="-3"/>
        </w:rPr>
        <w:t xml:space="preserve"> </w:t>
      </w:r>
      <w:r>
        <w:t>the</w:t>
      </w:r>
      <w:r>
        <w:rPr>
          <w:spacing w:val="-3"/>
        </w:rPr>
        <w:t xml:space="preserve"> </w:t>
      </w:r>
      <w:r>
        <w:t>Part</w:t>
      </w:r>
      <w:r>
        <w:rPr>
          <w:spacing w:val="-3"/>
        </w:rPr>
        <w:t xml:space="preserve"> </w:t>
      </w:r>
      <w:r>
        <w:t>D</w:t>
      </w:r>
      <w:r>
        <w:rPr>
          <w:spacing w:val="-2"/>
        </w:rPr>
        <w:t xml:space="preserve"> </w:t>
      </w:r>
      <w:r>
        <w:t>benchmarks</w:t>
      </w:r>
      <w:r>
        <w:rPr>
          <w:spacing w:val="-1"/>
        </w:rPr>
        <w:t xml:space="preserve"> </w:t>
      </w:r>
      <w:r>
        <w:t>and</w:t>
      </w:r>
      <w:r>
        <w:rPr>
          <w:spacing w:val="-3"/>
        </w:rPr>
        <w:t xml:space="preserve"> </w:t>
      </w:r>
      <w:r>
        <w:t>(ii)</w:t>
      </w:r>
      <w:r>
        <w:rPr>
          <w:spacing w:val="-3"/>
        </w:rPr>
        <w:t xml:space="preserve"> </w:t>
      </w:r>
      <w:r>
        <w:t>the</w:t>
      </w:r>
      <w:r>
        <w:rPr>
          <w:spacing w:val="-2"/>
        </w:rPr>
        <w:t xml:space="preserve"> </w:t>
      </w:r>
      <w:r>
        <w:t>Part</w:t>
      </w:r>
      <w:r>
        <w:rPr>
          <w:spacing w:val="-3"/>
        </w:rPr>
        <w:t xml:space="preserve"> </w:t>
      </w:r>
      <w:r>
        <w:t>D</w:t>
      </w:r>
      <w:r>
        <w:rPr>
          <w:spacing w:val="-4"/>
        </w:rPr>
        <w:t xml:space="preserve"> </w:t>
      </w:r>
      <w:r>
        <w:t>supplemental</w:t>
      </w:r>
      <w:r>
        <w:rPr>
          <w:spacing w:val="-3"/>
        </w:rPr>
        <w:t xml:space="preserve"> </w:t>
      </w:r>
      <w:r>
        <w:t>premium</w:t>
      </w:r>
      <w:r>
        <w:rPr>
          <w:spacing w:val="-3"/>
        </w:rPr>
        <w:t xml:space="preserve"> </w:t>
      </w:r>
      <w:r>
        <w:t>net</w:t>
      </w:r>
      <w:r>
        <w:rPr>
          <w:spacing w:val="-3"/>
        </w:rPr>
        <w:t xml:space="preserve"> </w:t>
      </w:r>
      <w:r>
        <w:t>of rebates (line 8d of Worksheet 6, Section IIIC).</w:t>
      </w:r>
    </w:p>
    <w:p>
      <w:pPr>
        <w:pStyle w:val="ListParagraph"/>
        <w:numPr>
          <w:ilvl w:val="2"/>
          <w:numId w:val="26"/>
        </w:numPr>
        <w:tabs>
          <w:tab w:val="left" w:pos="864"/>
        </w:tabs>
        <w:spacing w:before="120" w:after="0" w:line="240" w:lineRule="auto"/>
        <w:ind w:left="864" w:right="1605" w:hanging="360"/>
        <w:jc w:val="left"/>
        <w:rPr>
          <w:sz w:val="24"/>
        </w:rPr>
      </w:pPr>
      <w:r>
        <w:rPr>
          <w:sz w:val="24"/>
        </w:rPr>
        <w:t>The Part D basic premium prior to rebates (line 7a of Worksheet 6, Section IIIC) must be greater than or equal to the rebates allocated to Part D basic premium (line 7c of Worksheet</w:t>
      </w:r>
      <w:r>
        <w:rPr>
          <w:spacing w:val="-3"/>
          <w:sz w:val="24"/>
        </w:rPr>
        <w:t xml:space="preserve"> </w:t>
      </w:r>
      <w:r>
        <w:rPr>
          <w:sz w:val="24"/>
        </w:rPr>
        <w:t>6,</w:t>
      </w:r>
      <w:r>
        <w:rPr>
          <w:spacing w:val="-3"/>
          <w:sz w:val="24"/>
        </w:rPr>
        <w:t xml:space="preserve"> </w:t>
      </w:r>
      <w:r>
        <w:rPr>
          <w:sz w:val="24"/>
        </w:rPr>
        <w:t>Section</w:t>
      </w:r>
      <w:r>
        <w:rPr>
          <w:spacing w:val="-3"/>
          <w:sz w:val="24"/>
        </w:rPr>
        <w:t xml:space="preserve"> </w:t>
      </w:r>
      <w:r>
        <w:rPr>
          <w:sz w:val="24"/>
        </w:rPr>
        <w:t>IIIC).</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case</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Part</w:t>
      </w:r>
      <w:r>
        <w:rPr>
          <w:spacing w:val="-3"/>
          <w:sz w:val="24"/>
        </w:rPr>
        <w:t xml:space="preserve"> </w:t>
      </w:r>
      <w:r>
        <w:rPr>
          <w:sz w:val="24"/>
        </w:rPr>
        <w:t>D</w:t>
      </w:r>
      <w:r>
        <w:rPr>
          <w:spacing w:val="-4"/>
          <w:sz w:val="24"/>
        </w:rPr>
        <w:t xml:space="preserve"> </w:t>
      </w:r>
      <w:r>
        <w:rPr>
          <w:sz w:val="24"/>
        </w:rPr>
        <w:t>basic</w:t>
      </w:r>
      <w:r>
        <w:rPr>
          <w:spacing w:val="-3"/>
          <w:sz w:val="24"/>
        </w:rPr>
        <w:t xml:space="preserve"> </w:t>
      </w:r>
      <w:r>
        <w:rPr>
          <w:sz w:val="24"/>
        </w:rPr>
        <w:t>premium</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rebates</w:t>
      </w:r>
      <w:r>
        <w:rPr>
          <w:spacing w:val="-2"/>
          <w:sz w:val="24"/>
        </w:rPr>
        <w:t xml:space="preserve"> </w:t>
      </w:r>
      <w:r>
        <w:rPr>
          <w:sz w:val="24"/>
        </w:rPr>
        <w:t>(line 7a of Worksheet 6, Section IIIC) is negative, then the rebates allocated to Part D basic premium (line 7c of Worksheet 6, Section IIIC) must equal $0.00.</w:t>
      </w:r>
    </w:p>
    <w:p>
      <w:pPr>
        <w:pStyle w:val="ListParagraph"/>
        <w:numPr>
          <w:ilvl w:val="2"/>
          <w:numId w:val="26"/>
        </w:numPr>
        <w:tabs>
          <w:tab w:val="left" w:pos="864"/>
        </w:tabs>
        <w:spacing w:before="120" w:after="0" w:line="240" w:lineRule="auto"/>
        <w:ind w:left="864" w:right="1495" w:hanging="360"/>
        <w:jc w:val="left"/>
        <w:rPr>
          <w:sz w:val="24"/>
        </w:rPr>
      </w:pPr>
      <w:r>
        <w:rPr>
          <w:sz w:val="24"/>
        </w:rPr>
        <w:t>During the rebate reallocation period, the MAO may decrease or increase Part D supplemental premium due to excessive or insufficient allocation of rebates. However, no modifications are allowed to the benefit design or pricing of the Part D basic benefit or the supplemental benefit offered under the “enhanced alternative” design. That is, no changes are permitted to the allowed costs, administrative costs, or gain/loss margin in the Part D basic and supplemental benefits. In the rare case that (i) the total Part D premium (that is, the Part D basic premium net of rebates plus Part D supplemental premium net of rebates) is</w:t>
      </w:r>
      <w:r>
        <w:rPr>
          <w:spacing w:val="-2"/>
          <w:sz w:val="24"/>
        </w:rPr>
        <w:t xml:space="preserve"> </w:t>
      </w:r>
      <w:r>
        <w:rPr>
          <w:sz w:val="24"/>
        </w:rPr>
        <w:t>negative</w:t>
      </w:r>
      <w:r>
        <w:rPr>
          <w:spacing w:val="-2"/>
          <w:sz w:val="24"/>
        </w:rPr>
        <w:t xml:space="preserve"> </w:t>
      </w:r>
      <w:r>
        <w:rPr>
          <w:sz w:val="24"/>
        </w:rPr>
        <w:t>after</w:t>
      </w:r>
      <w:r>
        <w:rPr>
          <w:spacing w:val="-1"/>
          <w:sz w:val="24"/>
        </w:rPr>
        <w:t xml:space="preserve"> </w:t>
      </w:r>
      <w:r>
        <w:rPr>
          <w:sz w:val="24"/>
        </w:rPr>
        <w:t>the</w:t>
      </w:r>
      <w:r>
        <w:rPr>
          <w:spacing w:val="-3"/>
          <w:sz w:val="24"/>
        </w:rPr>
        <w:t xml:space="preserve"> </w:t>
      </w:r>
      <w:r>
        <w:rPr>
          <w:sz w:val="24"/>
        </w:rPr>
        <w:t>release</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national</w:t>
      </w:r>
      <w:r>
        <w:rPr>
          <w:spacing w:val="-1"/>
          <w:sz w:val="24"/>
        </w:rPr>
        <w:t xml:space="preserve"> </w:t>
      </w:r>
      <w:r>
        <w:rPr>
          <w:sz w:val="24"/>
        </w:rPr>
        <w:t>average and</w:t>
      </w:r>
      <w:r>
        <w:rPr>
          <w:spacing w:val="-1"/>
          <w:sz w:val="24"/>
        </w:rPr>
        <w:t xml:space="preserve"> </w:t>
      </w:r>
      <w:r>
        <w:rPr>
          <w:sz w:val="24"/>
        </w:rPr>
        <w:t>base</w:t>
      </w:r>
      <w:r>
        <w:rPr>
          <w:spacing w:val="-2"/>
          <w:sz w:val="24"/>
        </w:rPr>
        <w:t xml:space="preserve"> </w:t>
      </w:r>
      <w:r>
        <w:rPr>
          <w:sz w:val="24"/>
        </w:rPr>
        <w:t>beneficiary</w:t>
      </w:r>
      <w:r>
        <w:rPr>
          <w:spacing w:val="-1"/>
          <w:sz w:val="24"/>
        </w:rPr>
        <w:t xml:space="preserve"> </w:t>
      </w:r>
      <w:r>
        <w:rPr>
          <w:sz w:val="24"/>
        </w:rPr>
        <w:t>premium and</w:t>
      </w:r>
      <w:r>
        <w:rPr>
          <w:spacing w:val="-1"/>
          <w:sz w:val="24"/>
        </w:rPr>
        <w:t xml:space="preserve"> </w:t>
      </w:r>
      <w:r>
        <w:rPr>
          <w:sz w:val="24"/>
        </w:rPr>
        <w:t>(ii)</w:t>
      </w:r>
      <w:r>
        <w:rPr>
          <w:spacing w:val="-1"/>
          <w:sz w:val="24"/>
        </w:rPr>
        <w:t xml:space="preserve"> </w:t>
      </w:r>
      <w:r>
        <w:rPr>
          <w:sz w:val="24"/>
        </w:rPr>
        <w:t>it cannot</w:t>
      </w:r>
      <w:r>
        <w:rPr>
          <w:spacing w:val="-3"/>
          <w:sz w:val="24"/>
        </w:rPr>
        <w:t xml:space="preserve"> </w:t>
      </w:r>
      <w:r>
        <w:rPr>
          <w:sz w:val="24"/>
        </w:rPr>
        <w:t>be</w:t>
      </w:r>
      <w:r>
        <w:rPr>
          <w:spacing w:val="-3"/>
          <w:sz w:val="24"/>
        </w:rPr>
        <w:t xml:space="preserve"> </w:t>
      </w:r>
      <w:r>
        <w:rPr>
          <w:sz w:val="24"/>
        </w:rPr>
        <w:t>made</w:t>
      </w:r>
      <w:r>
        <w:rPr>
          <w:spacing w:val="-4"/>
          <w:sz w:val="24"/>
        </w:rPr>
        <w:t xml:space="preserve"> </w:t>
      </w:r>
      <w:r>
        <w:rPr>
          <w:sz w:val="24"/>
        </w:rPr>
        <w:t>positive</w:t>
      </w:r>
      <w:r>
        <w:rPr>
          <w:spacing w:val="-4"/>
          <w:sz w:val="24"/>
        </w:rPr>
        <w:t xml:space="preserve"> </w:t>
      </w:r>
      <w:r>
        <w:rPr>
          <w:sz w:val="24"/>
        </w:rPr>
        <w:t>by</w:t>
      </w:r>
      <w:r>
        <w:rPr>
          <w:spacing w:val="-3"/>
          <w:sz w:val="24"/>
        </w:rPr>
        <w:t xml:space="preserve"> </w:t>
      </w:r>
      <w:r>
        <w:rPr>
          <w:sz w:val="24"/>
        </w:rPr>
        <w:t>reducing</w:t>
      </w:r>
      <w:r>
        <w:rPr>
          <w:spacing w:val="-3"/>
          <w:sz w:val="24"/>
        </w:rPr>
        <w:t xml:space="preserve"> </w:t>
      </w:r>
      <w:r>
        <w:rPr>
          <w:sz w:val="24"/>
        </w:rPr>
        <w:t>the</w:t>
      </w:r>
      <w:r>
        <w:rPr>
          <w:spacing w:val="-4"/>
          <w:sz w:val="24"/>
        </w:rPr>
        <w:t xml:space="preserve"> </w:t>
      </w:r>
      <w:r>
        <w:rPr>
          <w:sz w:val="24"/>
        </w:rPr>
        <w:t>rebates</w:t>
      </w:r>
      <w:r>
        <w:rPr>
          <w:spacing w:val="-2"/>
          <w:sz w:val="24"/>
        </w:rPr>
        <w:t xml:space="preserve"> </w:t>
      </w:r>
      <w:r>
        <w:rPr>
          <w:sz w:val="24"/>
        </w:rPr>
        <w:t>allocated</w:t>
      </w:r>
      <w:r>
        <w:rPr>
          <w:spacing w:val="-3"/>
          <w:sz w:val="24"/>
        </w:rPr>
        <w:t xml:space="preserve"> </w:t>
      </w:r>
      <w:r>
        <w:rPr>
          <w:sz w:val="24"/>
        </w:rPr>
        <w:t>to</w:t>
      </w:r>
      <w:r>
        <w:rPr>
          <w:spacing w:val="-1"/>
          <w:sz w:val="24"/>
        </w:rPr>
        <w:t xml:space="preserve"> </w:t>
      </w:r>
      <w:r>
        <w:rPr>
          <w:sz w:val="24"/>
        </w:rPr>
        <w:t>Part</w:t>
      </w:r>
      <w:r>
        <w:rPr>
          <w:spacing w:val="-3"/>
          <w:sz w:val="24"/>
        </w:rPr>
        <w:t xml:space="preserve"> </w:t>
      </w:r>
      <w:r>
        <w:rPr>
          <w:sz w:val="24"/>
        </w:rPr>
        <w:t>D</w:t>
      </w:r>
      <w:r>
        <w:rPr>
          <w:spacing w:val="-4"/>
          <w:sz w:val="24"/>
        </w:rPr>
        <w:t xml:space="preserve"> </w:t>
      </w:r>
      <w:r>
        <w:rPr>
          <w:sz w:val="24"/>
        </w:rPr>
        <w:t>supplemental</w:t>
      </w:r>
      <w:r>
        <w:rPr>
          <w:spacing w:val="-3"/>
          <w:sz w:val="24"/>
        </w:rPr>
        <w:t xml:space="preserve"> </w:t>
      </w:r>
      <w:r>
        <w:rPr>
          <w:sz w:val="24"/>
        </w:rPr>
        <w:t>premium, CMS may require the MAO to enhance the Part D benefits. The enhancement must be limited to the minimum amount necessary to make a non-negative total Part D premium.</w:t>
      </w:r>
    </w:p>
    <w:p>
      <w:pPr>
        <w:pStyle w:val="ListParagraph"/>
        <w:numPr>
          <w:ilvl w:val="2"/>
          <w:numId w:val="26"/>
        </w:numPr>
        <w:tabs>
          <w:tab w:val="left" w:pos="864"/>
        </w:tabs>
        <w:spacing w:before="121" w:after="0" w:line="240" w:lineRule="auto"/>
        <w:ind w:left="864" w:right="1574" w:hanging="360"/>
        <w:jc w:val="left"/>
        <w:rPr>
          <w:sz w:val="24"/>
        </w:rPr>
      </w:pPr>
      <w:r>
        <w:rPr>
          <w:sz w:val="24"/>
        </w:rPr>
        <w:t>When</w:t>
      </w:r>
      <w:r>
        <w:rPr>
          <w:spacing w:val="-4"/>
          <w:sz w:val="24"/>
        </w:rPr>
        <w:t xml:space="preserve"> </w:t>
      </w:r>
      <w:r>
        <w:rPr>
          <w:sz w:val="24"/>
        </w:rPr>
        <w:t>MAOs</w:t>
      </w:r>
      <w:r>
        <w:rPr>
          <w:spacing w:val="-3"/>
          <w:sz w:val="24"/>
        </w:rPr>
        <w:t xml:space="preserve"> </w:t>
      </w:r>
      <w:r>
        <w:rPr>
          <w:sz w:val="24"/>
        </w:rPr>
        <w:t>resubmit</w:t>
      </w:r>
      <w:r>
        <w:rPr>
          <w:spacing w:val="-3"/>
          <w:sz w:val="24"/>
        </w:rPr>
        <w:t xml:space="preserve"> </w:t>
      </w:r>
      <w:r>
        <w:rPr>
          <w:sz w:val="24"/>
        </w:rPr>
        <w:t>bids</w:t>
      </w:r>
      <w:r>
        <w:rPr>
          <w:spacing w:val="-3"/>
          <w:sz w:val="24"/>
        </w:rPr>
        <w:t xml:space="preserve"> </w:t>
      </w:r>
      <w:r>
        <w:rPr>
          <w:sz w:val="24"/>
        </w:rPr>
        <w:t>during</w:t>
      </w:r>
      <w:r>
        <w:rPr>
          <w:spacing w:val="-3"/>
          <w:sz w:val="24"/>
        </w:rPr>
        <w:t xml:space="preserve"> </w:t>
      </w:r>
      <w:r>
        <w:rPr>
          <w:sz w:val="24"/>
        </w:rPr>
        <w:t>or</w:t>
      </w:r>
      <w:r>
        <w:rPr>
          <w:spacing w:val="-4"/>
          <w:sz w:val="24"/>
        </w:rPr>
        <w:t xml:space="preserve"> </w:t>
      </w:r>
      <w:r>
        <w:rPr>
          <w:sz w:val="24"/>
        </w:rPr>
        <w:t>after</w:t>
      </w:r>
      <w:r>
        <w:rPr>
          <w:spacing w:val="-3"/>
          <w:sz w:val="24"/>
        </w:rPr>
        <w:t xml:space="preserve"> </w:t>
      </w:r>
      <w:r>
        <w:rPr>
          <w:sz w:val="24"/>
        </w:rPr>
        <w:t>the</w:t>
      </w:r>
      <w:r>
        <w:rPr>
          <w:spacing w:val="-5"/>
          <w:sz w:val="24"/>
        </w:rPr>
        <w:t xml:space="preserve"> </w:t>
      </w:r>
      <w:r>
        <w:rPr>
          <w:sz w:val="24"/>
        </w:rPr>
        <w:t>rebate</w:t>
      </w:r>
      <w:r>
        <w:rPr>
          <w:spacing w:val="-3"/>
          <w:sz w:val="24"/>
        </w:rPr>
        <w:t xml:space="preserve"> </w:t>
      </w:r>
      <w:r>
        <w:rPr>
          <w:sz w:val="24"/>
        </w:rPr>
        <w:t>reallocation</w:t>
      </w:r>
      <w:r>
        <w:rPr>
          <w:spacing w:val="-3"/>
          <w:sz w:val="24"/>
        </w:rPr>
        <w:t xml:space="preserve"> </w:t>
      </w:r>
      <w:r>
        <w:rPr>
          <w:sz w:val="24"/>
        </w:rPr>
        <w:t>period, they</w:t>
      </w:r>
      <w:r>
        <w:rPr>
          <w:spacing w:val="-3"/>
          <w:sz w:val="24"/>
        </w:rPr>
        <w:t xml:space="preserve"> </w:t>
      </w:r>
      <w:r>
        <w:rPr>
          <w:sz w:val="24"/>
        </w:rPr>
        <w:t>must</w:t>
      </w:r>
      <w:r>
        <w:rPr>
          <w:spacing w:val="-2"/>
          <w:sz w:val="24"/>
        </w:rPr>
        <w:t xml:space="preserve"> </w:t>
      </w:r>
      <w:r>
        <w:rPr>
          <w:sz w:val="24"/>
        </w:rPr>
        <w:t>update the Part D BPT to reflect the published national average monthly bid amount and base beneficiary premium.</w:t>
      </w:r>
    </w:p>
    <w:p>
      <w:pPr>
        <w:pStyle w:val="ListParagraph"/>
        <w:numPr>
          <w:ilvl w:val="2"/>
          <w:numId w:val="26"/>
        </w:numPr>
        <w:tabs>
          <w:tab w:val="left" w:pos="864"/>
        </w:tabs>
        <w:spacing w:before="120" w:after="0" w:line="240" w:lineRule="auto"/>
        <w:ind w:left="864" w:right="1467" w:hanging="360"/>
        <w:jc w:val="left"/>
        <w:rPr>
          <w:sz w:val="24"/>
        </w:rPr>
      </w:pPr>
      <w:r>
        <w:rPr>
          <w:sz w:val="24"/>
        </w:rPr>
        <w:t>The exact amount of the plan’s total MA rebate must be allocated. The amount of rebate allocated</w:t>
      </w:r>
      <w:r>
        <w:rPr>
          <w:spacing w:val="-3"/>
          <w:sz w:val="24"/>
        </w:rPr>
        <w:t xml:space="preserve"> </w:t>
      </w:r>
      <w:r>
        <w:rPr>
          <w:sz w:val="24"/>
        </w:rPr>
        <w:t>to</w:t>
      </w:r>
      <w:r>
        <w:rPr>
          <w:spacing w:val="-3"/>
          <w:sz w:val="24"/>
        </w:rPr>
        <w:t xml:space="preserve"> </w:t>
      </w:r>
      <w:r>
        <w:rPr>
          <w:sz w:val="24"/>
        </w:rPr>
        <w:t>each</w:t>
      </w:r>
      <w:r>
        <w:rPr>
          <w:spacing w:val="-3"/>
          <w:sz w:val="24"/>
        </w:rPr>
        <w:t xml:space="preserve"> </w:t>
      </w:r>
      <w:r>
        <w:rPr>
          <w:sz w:val="24"/>
        </w:rPr>
        <w:t>benefit</w:t>
      </w:r>
      <w:r>
        <w:rPr>
          <w:spacing w:val="-1"/>
          <w:sz w:val="24"/>
        </w:rPr>
        <w:t xml:space="preserve"> </w:t>
      </w:r>
      <w:r>
        <w:rPr>
          <w:sz w:val="24"/>
        </w:rPr>
        <w:t>(A/B</w:t>
      </w:r>
      <w:r>
        <w:rPr>
          <w:spacing w:val="-3"/>
          <w:sz w:val="24"/>
        </w:rPr>
        <w:t xml:space="preserve"> </w:t>
      </w:r>
      <w:r>
        <w:rPr>
          <w:sz w:val="24"/>
        </w:rPr>
        <w:t>mandatory</w:t>
      </w:r>
      <w:r>
        <w:rPr>
          <w:spacing w:val="-3"/>
          <w:sz w:val="24"/>
        </w:rPr>
        <w:t xml:space="preserve"> </w:t>
      </w:r>
      <w:r>
        <w:rPr>
          <w:sz w:val="24"/>
        </w:rPr>
        <w:t>supplemental,</w:t>
      </w:r>
      <w:r>
        <w:rPr>
          <w:spacing w:val="-3"/>
          <w:sz w:val="24"/>
        </w:rPr>
        <w:t xml:space="preserve"> </w:t>
      </w:r>
      <w:r>
        <w:rPr>
          <w:sz w:val="24"/>
        </w:rPr>
        <w:t>Part</w:t>
      </w:r>
      <w:r>
        <w:rPr>
          <w:spacing w:val="-3"/>
          <w:sz w:val="24"/>
        </w:rPr>
        <w:t xml:space="preserve"> </w:t>
      </w:r>
      <w:r>
        <w:rPr>
          <w:sz w:val="24"/>
        </w:rPr>
        <w:t>B,</w:t>
      </w:r>
      <w:r>
        <w:rPr>
          <w:spacing w:val="-3"/>
          <w:sz w:val="24"/>
        </w:rPr>
        <w:t xml:space="preserve"> </w:t>
      </w:r>
      <w:r>
        <w:rPr>
          <w:sz w:val="24"/>
        </w:rPr>
        <w:t>Part</w:t>
      </w:r>
      <w:r>
        <w:rPr>
          <w:spacing w:val="-3"/>
          <w:sz w:val="24"/>
        </w:rPr>
        <w:t xml:space="preserve"> </w:t>
      </w:r>
      <w:r>
        <w:rPr>
          <w:sz w:val="24"/>
        </w:rPr>
        <w:t>D)</w:t>
      </w:r>
      <w:r>
        <w:rPr>
          <w:spacing w:val="-4"/>
          <w:sz w:val="24"/>
        </w:rPr>
        <w:t xml:space="preserve"> </w:t>
      </w:r>
      <w:r>
        <w:rPr>
          <w:sz w:val="24"/>
        </w:rPr>
        <w:t>must</w:t>
      </w:r>
      <w:r>
        <w:rPr>
          <w:spacing w:val="-3"/>
          <w:sz w:val="24"/>
        </w:rPr>
        <w:t xml:space="preserve"> </w:t>
      </w:r>
      <w:r>
        <w:rPr>
          <w:sz w:val="24"/>
        </w:rPr>
        <w:t>not</w:t>
      </w:r>
      <w:r>
        <w:rPr>
          <w:spacing w:val="-2"/>
          <w:sz w:val="24"/>
        </w:rPr>
        <w:t xml:space="preserve"> </w:t>
      </w:r>
      <w:r>
        <w:rPr>
          <w:sz w:val="24"/>
        </w:rPr>
        <w:t>exceed</w:t>
      </w:r>
      <w:r>
        <w:rPr>
          <w:spacing w:val="-3"/>
          <w:sz w:val="24"/>
        </w:rPr>
        <w:t xml:space="preserve"> </w:t>
      </w:r>
      <w:r>
        <w:rPr>
          <w:sz w:val="24"/>
        </w:rPr>
        <w:t>the value of that benefit. For example, if the Part D supplemental premium is $50, the MAO may</w:t>
      </w:r>
      <w:r>
        <w:rPr>
          <w:spacing w:val="-1"/>
          <w:sz w:val="24"/>
        </w:rPr>
        <w:t xml:space="preserve"> </w:t>
      </w:r>
      <w:r>
        <w:rPr>
          <w:sz w:val="24"/>
        </w:rPr>
        <w:t>not</w:t>
      </w:r>
      <w:r>
        <w:rPr>
          <w:spacing w:val="-1"/>
          <w:sz w:val="24"/>
        </w:rPr>
        <w:t xml:space="preserve"> </w:t>
      </w:r>
      <w:r>
        <w:rPr>
          <w:sz w:val="24"/>
        </w:rPr>
        <w:t>allocate</w:t>
      </w:r>
      <w:r>
        <w:rPr>
          <w:spacing w:val="-1"/>
          <w:sz w:val="24"/>
        </w:rPr>
        <w:t xml:space="preserve"> </w:t>
      </w:r>
      <w:r>
        <w:rPr>
          <w:sz w:val="24"/>
        </w:rPr>
        <w:t>more</w:t>
      </w:r>
      <w:r>
        <w:rPr>
          <w:spacing w:val="-2"/>
          <w:sz w:val="24"/>
        </w:rPr>
        <w:t xml:space="preserve"> </w:t>
      </w:r>
      <w:r>
        <w:rPr>
          <w:sz w:val="24"/>
        </w:rPr>
        <w:t>than</w:t>
      </w:r>
      <w:r>
        <w:rPr>
          <w:spacing w:val="-1"/>
          <w:sz w:val="24"/>
        </w:rPr>
        <w:t xml:space="preserve"> </w:t>
      </w:r>
      <w:r>
        <w:rPr>
          <w:sz w:val="24"/>
        </w:rPr>
        <w:t>$50</w:t>
      </w:r>
      <w:r>
        <w:rPr>
          <w:spacing w:val="-1"/>
          <w:sz w:val="24"/>
        </w:rPr>
        <w:t xml:space="preserve"> </w:t>
      </w:r>
      <w:r>
        <w:rPr>
          <w:sz w:val="24"/>
        </w:rPr>
        <w:t>to</w:t>
      </w:r>
      <w:r>
        <w:rPr>
          <w:spacing w:val="-1"/>
          <w:sz w:val="24"/>
        </w:rPr>
        <w:t xml:space="preserve"> </w:t>
      </w:r>
      <w:r>
        <w:rPr>
          <w:sz w:val="24"/>
        </w:rPr>
        <w:t>buy</w:t>
      </w:r>
      <w:r>
        <w:rPr>
          <w:spacing w:val="-1"/>
          <w:sz w:val="24"/>
        </w:rPr>
        <w:t xml:space="preserve"> </w:t>
      </w:r>
      <w:r>
        <w:rPr>
          <w:sz w:val="24"/>
        </w:rPr>
        <w:t>down</w:t>
      </w:r>
      <w:r>
        <w:rPr>
          <w:spacing w:val="-1"/>
          <w:sz w:val="24"/>
        </w:rPr>
        <w:t xml:space="preserve"> </w:t>
      </w:r>
      <w:r>
        <w:rPr>
          <w:sz w:val="24"/>
        </w:rPr>
        <w:t>that</w:t>
      </w:r>
      <w:r>
        <w:rPr>
          <w:spacing w:val="-1"/>
          <w:sz w:val="24"/>
        </w:rPr>
        <w:t xml:space="preserve"> </w:t>
      </w:r>
      <w:r>
        <w:rPr>
          <w:sz w:val="24"/>
        </w:rPr>
        <w:t>premium.</w:t>
      </w:r>
      <w:r>
        <w:rPr>
          <w:spacing w:val="-1"/>
          <w:sz w:val="24"/>
        </w:rPr>
        <w:t xml:space="preserve"> </w:t>
      </w:r>
      <w:r>
        <w:rPr>
          <w:sz w:val="24"/>
        </w:rPr>
        <w:t>Rebate</w:t>
      </w:r>
      <w:r>
        <w:rPr>
          <w:spacing w:val="-1"/>
          <w:sz w:val="24"/>
        </w:rPr>
        <w:t xml:space="preserve"> </w:t>
      </w:r>
      <w:r>
        <w:rPr>
          <w:sz w:val="24"/>
        </w:rPr>
        <w:t>allocations</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Part</w:t>
      </w:r>
      <w:r>
        <w:rPr>
          <w:spacing w:val="-1"/>
          <w:sz w:val="24"/>
        </w:rPr>
        <w:t xml:space="preserve"> </w:t>
      </w:r>
      <w:r>
        <w:rPr>
          <w:sz w:val="24"/>
        </w:rPr>
        <w:t>B premium cannot exceed the amount provided by CMS that is pre-populated in the BPT.</w:t>
      </w:r>
    </w:p>
    <w:p>
      <w:pPr>
        <w:pStyle w:val="ListParagraph"/>
        <w:numPr>
          <w:ilvl w:val="2"/>
          <w:numId w:val="26"/>
        </w:numPr>
        <w:tabs>
          <w:tab w:val="left" w:pos="864"/>
        </w:tabs>
        <w:spacing w:before="121" w:after="0" w:line="240" w:lineRule="auto"/>
        <w:ind w:left="864" w:right="1583" w:hanging="360"/>
        <w:jc w:val="left"/>
        <w:rPr>
          <w:sz w:val="24"/>
        </w:rPr>
      </w:pPr>
      <w:r>
        <w:rPr>
          <w:sz w:val="24"/>
        </w:rPr>
        <w:t>There are several options for reallocating excessive (or insufficient) allocation of rebates during</w:t>
      </w:r>
      <w:r>
        <w:rPr>
          <w:spacing w:val="-3"/>
          <w:sz w:val="24"/>
        </w:rPr>
        <w:t xml:space="preserve"> </w:t>
      </w:r>
      <w:r>
        <w:rPr>
          <w:sz w:val="24"/>
        </w:rPr>
        <w:t>the</w:t>
      </w:r>
      <w:r>
        <w:rPr>
          <w:spacing w:val="-4"/>
          <w:sz w:val="24"/>
        </w:rPr>
        <w:t xml:space="preserve"> </w:t>
      </w:r>
      <w:r>
        <w:rPr>
          <w:sz w:val="24"/>
        </w:rPr>
        <w:t>rebate</w:t>
      </w:r>
      <w:r>
        <w:rPr>
          <w:spacing w:val="-4"/>
          <w:sz w:val="24"/>
        </w:rPr>
        <w:t xml:space="preserve"> </w:t>
      </w:r>
      <w:r>
        <w:rPr>
          <w:sz w:val="24"/>
        </w:rPr>
        <w:t>reallocation</w:t>
      </w:r>
      <w:r>
        <w:rPr>
          <w:spacing w:val="-3"/>
          <w:sz w:val="24"/>
        </w:rPr>
        <w:t xml:space="preserve"> </w:t>
      </w:r>
      <w:r>
        <w:rPr>
          <w:sz w:val="24"/>
        </w:rPr>
        <w:t>period.</w:t>
      </w:r>
      <w:r>
        <w:rPr>
          <w:spacing w:val="-3"/>
          <w:sz w:val="24"/>
        </w:rPr>
        <w:t xml:space="preserve"> </w:t>
      </w:r>
      <w:r>
        <w:rPr>
          <w:sz w:val="24"/>
        </w:rPr>
        <w:t>An</w:t>
      </w:r>
      <w:r>
        <w:rPr>
          <w:spacing w:val="-3"/>
          <w:sz w:val="24"/>
        </w:rPr>
        <w:t xml:space="preserve"> </w:t>
      </w:r>
      <w:r>
        <w:rPr>
          <w:sz w:val="24"/>
        </w:rPr>
        <w:t>MAO</w:t>
      </w:r>
      <w:r>
        <w:rPr>
          <w:spacing w:val="-4"/>
          <w:sz w:val="24"/>
        </w:rPr>
        <w:t xml:space="preserve"> </w:t>
      </w:r>
      <w:r>
        <w:rPr>
          <w:sz w:val="24"/>
        </w:rPr>
        <w:t>may</w:t>
      </w:r>
      <w:r>
        <w:rPr>
          <w:spacing w:val="-3"/>
          <w:sz w:val="24"/>
        </w:rPr>
        <w:t xml:space="preserve"> </w:t>
      </w:r>
      <w:r>
        <w:rPr>
          <w:sz w:val="24"/>
        </w:rPr>
        <w:t>select</w:t>
      </w:r>
      <w:r>
        <w:rPr>
          <w:spacing w:val="-3"/>
          <w:sz w:val="24"/>
        </w:rPr>
        <w:t xml:space="preserve"> </w:t>
      </w:r>
      <w:r>
        <w:rPr>
          <w:sz w:val="24"/>
        </w:rPr>
        <w:t>one</w:t>
      </w:r>
      <w:r>
        <w:rPr>
          <w:spacing w:val="-3"/>
          <w:sz w:val="24"/>
        </w:rPr>
        <w:t xml:space="preserve"> </w:t>
      </w:r>
      <w:r>
        <w:rPr>
          <w:sz w:val="24"/>
        </w:rPr>
        <w:t>or</w:t>
      </w:r>
      <w:r>
        <w:rPr>
          <w:spacing w:val="-5"/>
          <w:sz w:val="24"/>
        </w:rPr>
        <w:t xml:space="preserve"> </w:t>
      </w:r>
      <w:r>
        <w:rPr>
          <w:sz w:val="24"/>
        </w:rPr>
        <w:t>multiple</w:t>
      </w:r>
      <w:r>
        <w:rPr>
          <w:spacing w:val="-3"/>
          <w:sz w:val="24"/>
        </w:rPr>
        <w:t xml:space="preserve"> </w:t>
      </w:r>
      <w:r>
        <w:rPr>
          <w:sz w:val="24"/>
        </w:rPr>
        <w:t>of</w:t>
      </w:r>
      <w:r>
        <w:rPr>
          <w:spacing w:val="-3"/>
          <w:sz w:val="24"/>
        </w:rPr>
        <w:t xml:space="preserve"> </w:t>
      </w:r>
      <w:r>
        <w:rPr>
          <w:sz w:val="24"/>
        </w:rPr>
        <w:t>these</w:t>
      </w:r>
      <w:r>
        <w:rPr>
          <w:spacing w:val="-4"/>
          <w:sz w:val="24"/>
        </w:rPr>
        <w:t xml:space="preserve"> </w:t>
      </w:r>
      <w:r>
        <w:rPr>
          <w:sz w:val="24"/>
        </w:rPr>
        <w:t>options for a plan during rebate reallocation. In order from the (i) fewest changes to the BPT cells and</w:t>
      </w:r>
      <w:r>
        <w:rPr>
          <w:spacing w:val="-1"/>
          <w:sz w:val="24"/>
        </w:rPr>
        <w:t xml:space="preserve"> </w:t>
      </w:r>
      <w:r>
        <w:rPr>
          <w:sz w:val="24"/>
        </w:rPr>
        <w:t>having</w:t>
      </w:r>
      <w:r>
        <w:rPr>
          <w:spacing w:val="-1"/>
          <w:sz w:val="24"/>
        </w:rPr>
        <w:t xml:space="preserve"> </w:t>
      </w:r>
      <w:r>
        <w:rPr>
          <w:sz w:val="24"/>
        </w:rPr>
        <w:t>the</w:t>
      </w:r>
      <w:r>
        <w:rPr>
          <w:spacing w:val="-2"/>
          <w:sz w:val="24"/>
        </w:rPr>
        <w:t xml:space="preserve"> </w:t>
      </w:r>
      <w:r>
        <w:rPr>
          <w:sz w:val="24"/>
        </w:rPr>
        <w:t>greatest</w:t>
      </w:r>
      <w:r>
        <w:rPr>
          <w:spacing w:val="-1"/>
          <w:sz w:val="24"/>
        </w:rPr>
        <w:t xml:space="preserve"> </w:t>
      </w:r>
      <w:r>
        <w:rPr>
          <w:sz w:val="24"/>
        </w:rPr>
        <w:t>effect</w:t>
      </w:r>
      <w:r>
        <w:rPr>
          <w:spacing w:val="-1"/>
          <w:sz w:val="24"/>
        </w:rPr>
        <w:t xml:space="preserve"> </w:t>
      </w:r>
      <w:r>
        <w:rPr>
          <w:sz w:val="24"/>
        </w:rPr>
        <w:t>on all</w:t>
      </w:r>
      <w:r>
        <w:rPr>
          <w:spacing w:val="-1"/>
          <w:sz w:val="24"/>
        </w:rPr>
        <w:t xml:space="preserve"> </w:t>
      </w:r>
      <w:r>
        <w:rPr>
          <w:sz w:val="24"/>
        </w:rPr>
        <w:t>beneficiaries</w:t>
      </w:r>
      <w:r>
        <w:rPr>
          <w:spacing w:val="-2"/>
          <w:sz w:val="24"/>
        </w:rPr>
        <w:t xml:space="preserve"> </w:t>
      </w:r>
      <w:r>
        <w:rPr>
          <w:sz w:val="24"/>
        </w:rPr>
        <w:t>to</w:t>
      </w:r>
      <w:r>
        <w:rPr>
          <w:spacing w:val="-1"/>
          <w:sz w:val="24"/>
        </w:rPr>
        <w:t xml:space="preserve"> </w:t>
      </w:r>
      <w:r>
        <w:rPr>
          <w:sz w:val="24"/>
        </w:rPr>
        <w:t>(ii)</w:t>
      </w:r>
      <w:r>
        <w:rPr>
          <w:spacing w:val="-1"/>
          <w:sz w:val="24"/>
        </w:rPr>
        <w:t xml:space="preserve"> </w:t>
      </w:r>
      <w:r>
        <w:rPr>
          <w:sz w:val="24"/>
        </w:rPr>
        <w:t>most</w:t>
      </w:r>
      <w:r>
        <w:rPr>
          <w:spacing w:val="-1"/>
          <w:sz w:val="24"/>
        </w:rPr>
        <w:t xml:space="preserve"> </w:t>
      </w:r>
      <w:r>
        <w:rPr>
          <w:sz w:val="24"/>
        </w:rPr>
        <w:t>changes</w:t>
      </w:r>
      <w:r>
        <w:rPr>
          <w:spacing w:val="-2"/>
          <w:sz w:val="24"/>
        </w:rPr>
        <w:t xml:space="preserve"> </w:t>
      </w:r>
      <w:r>
        <w:rPr>
          <w:sz w:val="24"/>
        </w:rPr>
        <w:t>to</w:t>
      </w:r>
      <w:r>
        <w:rPr>
          <w:spacing w:val="-1"/>
          <w:sz w:val="24"/>
        </w:rPr>
        <w:t xml:space="preserve"> </w:t>
      </w:r>
      <w:r>
        <w:rPr>
          <w:sz w:val="24"/>
        </w:rPr>
        <w:t>the BPT</w:t>
      </w:r>
      <w:r>
        <w:rPr>
          <w:spacing w:val="-1"/>
          <w:sz w:val="24"/>
        </w:rPr>
        <w:t xml:space="preserve"> </w:t>
      </w:r>
      <w:r>
        <w:rPr>
          <w:sz w:val="24"/>
        </w:rPr>
        <w:t>cells</w:t>
      </w:r>
      <w:r>
        <w:rPr>
          <w:spacing w:val="-2"/>
          <w:sz w:val="24"/>
        </w:rPr>
        <w:t xml:space="preserve"> </w:t>
      </w:r>
      <w:r>
        <w:rPr>
          <w:sz w:val="24"/>
        </w:rPr>
        <w:t>and having the least effect on most beneficiaries—</w:t>
      </w:r>
    </w:p>
    <w:p>
      <w:pPr>
        <w:pStyle w:val="ListParagraph"/>
        <w:numPr>
          <w:ilvl w:val="3"/>
          <w:numId w:val="26"/>
        </w:numPr>
        <w:tabs>
          <w:tab w:val="left" w:pos="1584"/>
        </w:tabs>
        <w:spacing w:before="120" w:after="0" w:line="240" w:lineRule="auto"/>
        <w:ind w:left="1584" w:right="1841" w:hanging="720"/>
        <w:jc w:val="left"/>
        <w:rPr>
          <w:sz w:val="24"/>
        </w:rPr>
      </w:pPr>
      <w:r>
        <w:rPr>
          <w:sz w:val="24"/>
        </w:rPr>
        <w:t>Decrease</w:t>
      </w:r>
      <w:r>
        <w:rPr>
          <w:spacing w:val="-3"/>
          <w:sz w:val="24"/>
        </w:rPr>
        <w:t xml:space="preserve"> </w:t>
      </w:r>
      <w:r>
        <w:rPr>
          <w:sz w:val="24"/>
        </w:rPr>
        <w:t>(or</w:t>
      </w:r>
      <w:r>
        <w:rPr>
          <w:spacing w:val="-6"/>
          <w:sz w:val="24"/>
        </w:rPr>
        <w:t xml:space="preserve"> </w:t>
      </w:r>
      <w:r>
        <w:rPr>
          <w:sz w:val="24"/>
        </w:rPr>
        <w:t>increase)</w:t>
      </w:r>
      <w:r>
        <w:rPr>
          <w:spacing w:val="-4"/>
          <w:sz w:val="24"/>
        </w:rPr>
        <w:t xml:space="preserve"> </w:t>
      </w:r>
      <w:r>
        <w:rPr>
          <w:sz w:val="24"/>
        </w:rPr>
        <w:t>other</w:t>
      </w:r>
      <w:r>
        <w:rPr>
          <w:spacing w:val="-4"/>
          <w:sz w:val="24"/>
        </w:rPr>
        <w:t xml:space="preserve"> </w:t>
      </w:r>
      <w:r>
        <w:rPr>
          <w:sz w:val="24"/>
        </w:rPr>
        <w:t>premiums</w:t>
      </w:r>
      <w:r>
        <w:rPr>
          <w:spacing w:val="-5"/>
          <w:sz w:val="24"/>
        </w:rPr>
        <w:t xml:space="preserve"> </w:t>
      </w:r>
      <w:r>
        <w:rPr>
          <w:sz w:val="24"/>
        </w:rPr>
        <w:t>(Part</w:t>
      </w:r>
      <w:r>
        <w:rPr>
          <w:spacing w:val="-4"/>
          <w:sz w:val="24"/>
        </w:rPr>
        <w:t xml:space="preserve"> </w:t>
      </w:r>
      <w:r>
        <w:rPr>
          <w:sz w:val="24"/>
        </w:rPr>
        <w:t>B,</w:t>
      </w:r>
      <w:r>
        <w:rPr>
          <w:spacing w:val="-4"/>
          <w:sz w:val="24"/>
        </w:rPr>
        <w:t xml:space="preserve"> </w:t>
      </w:r>
      <w:r>
        <w:rPr>
          <w:sz w:val="24"/>
        </w:rPr>
        <w:t>A/B</w:t>
      </w:r>
      <w:r>
        <w:rPr>
          <w:spacing w:val="-4"/>
          <w:sz w:val="24"/>
        </w:rPr>
        <w:t xml:space="preserve"> </w:t>
      </w:r>
      <w:r>
        <w:rPr>
          <w:sz w:val="24"/>
        </w:rPr>
        <w:t>mandatory</w:t>
      </w:r>
      <w:r>
        <w:rPr>
          <w:spacing w:val="-4"/>
          <w:sz w:val="24"/>
        </w:rPr>
        <w:t xml:space="preserve"> </w:t>
      </w:r>
      <w:r>
        <w:rPr>
          <w:sz w:val="24"/>
        </w:rPr>
        <w:t>supplemental,</w:t>
      </w:r>
      <w:r>
        <w:rPr>
          <w:spacing w:val="-4"/>
          <w:sz w:val="24"/>
        </w:rPr>
        <w:t xml:space="preserve"> </w:t>
      </w:r>
      <w:r>
        <w:rPr>
          <w:sz w:val="24"/>
        </w:rPr>
        <w:t>or Part D supplemental);</w:t>
      </w:r>
    </w:p>
    <w:p>
      <w:pPr>
        <w:pStyle w:val="ListParagraph"/>
        <w:numPr>
          <w:ilvl w:val="3"/>
          <w:numId w:val="26"/>
        </w:numPr>
        <w:tabs>
          <w:tab w:val="left" w:pos="1584"/>
        </w:tabs>
        <w:spacing w:before="120" w:after="0" w:line="240" w:lineRule="auto"/>
        <w:ind w:left="1584" w:right="1541" w:hanging="720"/>
        <w:jc w:val="left"/>
        <w:rPr>
          <w:sz w:val="24"/>
        </w:rPr>
      </w:pPr>
      <w:r>
        <w:rPr>
          <w:sz w:val="24"/>
        </w:rPr>
        <w:t>Increase/add</w:t>
      </w:r>
      <w:r>
        <w:rPr>
          <w:spacing w:val="-4"/>
          <w:sz w:val="24"/>
        </w:rPr>
        <w:t xml:space="preserve"> </w:t>
      </w:r>
      <w:r>
        <w:rPr>
          <w:sz w:val="24"/>
        </w:rPr>
        <w:t>(or</w:t>
      </w:r>
      <w:r>
        <w:rPr>
          <w:spacing w:val="-7"/>
          <w:sz w:val="24"/>
        </w:rPr>
        <w:t xml:space="preserve"> </w:t>
      </w:r>
      <w:r>
        <w:rPr>
          <w:sz w:val="24"/>
        </w:rPr>
        <w:t>reduce/remove)</w:t>
      </w:r>
      <w:r>
        <w:rPr>
          <w:spacing w:val="-5"/>
          <w:sz w:val="24"/>
        </w:rPr>
        <w:t xml:space="preserve"> </w:t>
      </w:r>
      <w:r>
        <w:rPr>
          <w:sz w:val="24"/>
        </w:rPr>
        <w:t>non-Medicare</w:t>
      </w:r>
      <w:r>
        <w:rPr>
          <w:spacing w:val="-6"/>
          <w:sz w:val="24"/>
        </w:rPr>
        <w:t xml:space="preserve"> </w:t>
      </w:r>
      <w:r>
        <w:rPr>
          <w:sz w:val="24"/>
        </w:rPr>
        <w:t>covered</w:t>
      </w:r>
      <w:r>
        <w:rPr>
          <w:spacing w:val="-5"/>
          <w:sz w:val="24"/>
        </w:rPr>
        <w:t xml:space="preserve"> </w:t>
      </w:r>
      <w:r>
        <w:rPr>
          <w:sz w:val="24"/>
        </w:rPr>
        <w:t>benefits</w:t>
      </w:r>
      <w:r>
        <w:rPr>
          <w:spacing w:val="-6"/>
          <w:sz w:val="24"/>
        </w:rPr>
        <w:t xml:space="preserve"> </w:t>
      </w:r>
      <w:r>
        <w:rPr>
          <w:sz w:val="24"/>
        </w:rPr>
        <w:t>in</w:t>
      </w:r>
      <w:r>
        <w:rPr>
          <w:spacing w:val="-5"/>
          <w:sz w:val="24"/>
        </w:rPr>
        <w:t xml:space="preserve"> </w:t>
      </w:r>
      <w:r>
        <w:rPr>
          <w:sz w:val="24"/>
        </w:rPr>
        <w:t>service</w:t>
      </w:r>
      <w:r>
        <w:rPr>
          <w:spacing w:val="-4"/>
          <w:sz w:val="24"/>
        </w:rPr>
        <w:t xml:space="preserve"> </w:t>
      </w:r>
      <w:r>
        <w:rPr>
          <w:sz w:val="24"/>
        </w:rPr>
        <w:t>category lines l-q and then buy down the new A/B mandatory supplemental premium to the initial level;</w:t>
      </w:r>
    </w:p>
    <w:p>
      <w:pPr>
        <w:pStyle w:val="ListParagraph"/>
        <w:numPr>
          <w:ilvl w:val="3"/>
          <w:numId w:val="26"/>
        </w:numPr>
        <w:tabs>
          <w:tab w:val="left" w:pos="1584"/>
        </w:tabs>
        <w:spacing w:before="121" w:after="0" w:line="240" w:lineRule="auto"/>
        <w:ind w:left="1584" w:right="1949" w:hanging="720"/>
        <w:jc w:val="both"/>
        <w:rPr>
          <w:sz w:val="24"/>
        </w:rPr>
      </w:pPr>
      <w:r>
        <w:rPr>
          <w:sz w:val="24"/>
        </w:rPr>
        <w:t>Reduce</w:t>
      </w:r>
      <w:r>
        <w:rPr>
          <w:spacing w:val="-5"/>
          <w:sz w:val="24"/>
        </w:rPr>
        <w:t xml:space="preserve"> </w:t>
      </w:r>
      <w:r>
        <w:rPr>
          <w:sz w:val="24"/>
        </w:rPr>
        <w:t>(or</w:t>
      </w:r>
      <w:r>
        <w:rPr>
          <w:spacing w:val="-6"/>
          <w:sz w:val="24"/>
        </w:rPr>
        <w:t xml:space="preserve"> </w:t>
      </w:r>
      <w:r>
        <w:rPr>
          <w:sz w:val="24"/>
        </w:rPr>
        <w:t>increase)</w:t>
      </w:r>
      <w:r>
        <w:rPr>
          <w:spacing w:val="-2"/>
          <w:sz w:val="24"/>
        </w:rPr>
        <w:t xml:space="preserve"> </w:t>
      </w:r>
      <w:r>
        <w:rPr>
          <w:sz w:val="24"/>
        </w:rPr>
        <w:t>cost</w:t>
      </w:r>
      <w:r>
        <w:rPr>
          <w:spacing w:val="-4"/>
          <w:sz w:val="24"/>
        </w:rPr>
        <w:t xml:space="preserve"> </w:t>
      </w:r>
      <w:r>
        <w:rPr>
          <w:sz w:val="24"/>
        </w:rPr>
        <w:t>sharing</w:t>
      </w:r>
      <w:r>
        <w:rPr>
          <w:spacing w:val="-4"/>
          <w:sz w:val="24"/>
        </w:rPr>
        <w:t xml:space="preserve"> </w:t>
      </w:r>
      <w:r>
        <w:rPr>
          <w:sz w:val="24"/>
        </w:rPr>
        <w:t>for</w:t>
      </w:r>
      <w:r>
        <w:rPr>
          <w:spacing w:val="-4"/>
          <w:sz w:val="24"/>
        </w:rPr>
        <w:t xml:space="preserve"> </w:t>
      </w:r>
      <w:r>
        <w:rPr>
          <w:sz w:val="24"/>
        </w:rPr>
        <w:t>widely</w:t>
      </w:r>
      <w:r>
        <w:rPr>
          <w:spacing w:val="-4"/>
          <w:sz w:val="24"/>
        </w:rPr>
        <w:t xml:space="preserve"> </w:t>
      </w:r>
      <w:r>
        <w:rPr>
          <w:sz w:val="24"/>
        </w:rPr>
        <w:t>used</w:t>
      </w:r>
      <w:r>
        <w:rPr>
          <w:spacing w:val="-2"/>
          <w:sz w:val="24"/>
        </w:rPr>
        <w:t xml:space="preserve"> </w:t>
      </w:r>
      <w:r>
        <w:rPr>
          <w:sz w:val="24"/>
        </w:rPr>
        <w:t>services</w:t>
      </w:r>
      <w:r>
        <w:rPr>
          <w:spacing w:val="-5"/>
          <w:sz w:val="24"/>
        </w:rPr>
        <w:t xml:space="preserve"> </w:t>
      </w:r>
      <w:r>
        <w:rPr>
          <w:sz w:val="24"/>
        </w:rPr>
        <w:t>such</w:t>
      </w:r>
      <w:r>
        <w:rPr>
          <w:spacing w:val="-3"/>
          <w:sz w:val="24"/>
        </w:rPr>
        <w:t xml:space="preserve"> </w:t>
      </w:r>
      <w:r>
        <w:rPr>
          <w:sz w:val="24"/>
        </w:rPr>
        <w:t>as</w:t>
      </w:r>
      <w:r>
        <w:rPr>
          <w:spacing w:val="-5"/>
          <w:sz w:val="24"/>
        </w:rPr>
        <w:t xml:space="preserve"> </w:t>
      </w:r>
      <w:r>
        <w:rPr>
          <w:sz w:val="24"/>
        </w:rPr>
        <w:t>primary</w:t>
      </w:r>
      <w:r>
        <w:rPr>
          <w:spacing w:val="-2"/>
          <w:sz w:val="24"/>
        </w:rPr>
        <w:t xml:space="preserve"> </w:t>
      </w:r>
      <w:r>
        <w:rPr>
          <w:sz w:val="24"/>
        </w:rPr>
        <w:t>care visits</w:t>
      </w:r>
      <w:r>
        <w:rPr>
          <w:spacing w:val="-4"/>
          <w:sz w:val="24"/>
        </w:rPr>
        <w:t xml:space="preserve"> </w:t>
      </w:r>
      <w:r>
        <w:rPr>
          <w:sz w:val="24"/>
        </w:rPr>
        <w:t>and</w:t>
      </w:r>
      <w:r>
        <w:rPr>
          <w:spacing w:val="-4"/>
          <w:sz w:val="24"/>
        </w:rPr>
        <w:t xml:space="preserve"> </w:t>
      </w:r>
      <w:r>
        <w:rPr>
          <w:sz w:val="24"/>
        </w:rPr>
        <w:t>then</w:t>
      </w:r>
      <w:r>
        <w:rPr>
          <w:spacing w:val="-4"/>
          <w:sz w:val="24"/>
        </w:rPr>
        <w:t xml:space="preserve"> </w:t>
      </w:r>
      <w:r>
        <w:rPr>
          <w:sz w:val="24"/>
        </w:rPr>
        <w:t>buy</w:t>
      </w:r>
      <w:r>
        <w:rPr>
          <w:spacing w:val="-4"/>
          <w:sz w:val="24"/>
        </w:rPr>
        <w:t xml:space="preserve"> </w:t>
      </w:r>
      <w:r>
        <w:rPr>
          <w:sz w:val="24"/>
        </w:rPr>
        <w:t>down</w:t>
      </w:r>
      <w:r>
        <w:rPr>
          <w:spacing w:val="-4"/>
          <w:sz w:val="24"/>
        </w:rPr>
        <w:t xml:space="preserve"> </w:t>
      </w:r>
      <w:r>
        <w:rPr>
          <w:sz w:val="24"/>
        </w:rPr>
        <w:t>the</w:t>
      </w:r>
      <w:r>
        <w:rPr>
          <w:spacing w:val="-4"/>
          <w:sz w:val="24"/>
        </w:rPr>
        <w:t xml:space="preserve"> </w:t>
      </w:r>
      <w:r>
        <w:rPr>
          <w:sz w:val="24"/>
        </w:rPr>
        <w:t>new</w:t>
      </w:r>
      <w:r>
        <w:rPr>
          <w:spacing w:val="-5"/>
          <w:sz w:val="24"/>
        </w:rPr>
        <w:t xml:space="preserve"> </w:t>
      </w:r>
      <w:r>
        <w:rPr>
          <w:sz w:val="24"/>
        </w:rPr>
        <w:t>A/B</w:t>
      </w:r>
      <w:r>
        <w:rPr>
          <w:spacing w:val="-4"/>
          <w:sz w:val="24"/>
        </w:rPr>
        <w:t xml:space="preserve"> </w:t>
      </w:r>
      <w:r>
        <w:rPr>
          <w:sz w:val="24"/>
        </w:rPr>
        <w:t>mandatory</w:t>
      </w:r>
      <w:r>
        <w:rPr>
          <w:spacing w:val="-3"/>
          <w:sz w:val="24"/>
        </w:rPr>
        <w:t xml:space="preserve"> </w:t>
      </w:r>
      <w:r>
        <w:rPr>
          <w:sz w:val="24"/>
        </w:rPr>
        <w:t>supplemental</w:t>
      </w:r>
      <w:r>
        <w:rPr>
          <w:spacing w:val="-4"/>
          <w:sz w:val="24"/>
        </w:rPr>
        <w:t xml:space="preserve"> </w:t>
      </w:r>
      <w:r>
        <w:rPr>
          <w:sz w:val="24"/>
        </w:rPr>
        <w:t>premium</w:t>
      </w:r>
      <w:r>
        <w:rPr>
          <w:spacing w:val="-4"/>
          <w:sz w:val="24"/>
        </w:rPr>
        <w:t xml:space="preserve"> </w:t>
      </w:r>
      <w:r>
        <w:rPr>
          <w:sz w:val="24"/>
        </w:rPr>
        <w:t>to</w:t>
      </w:r>
      <w:r>
        <w:rPr>
          <w:spacing w:val="-4"/>
          <w:sz w:val="24"/>
        </w:rPr>
        <w:t xml:space="preserve"> </w:t>
      </w:r>
      <w:r>
        <w:rPr>
          <w:sz w:val="24"/>
        </w:rPr>
        <w:t>the initial level; and</w:t>
      </w:r>
    </w:p>
    <w:p>
      <w:pPr>
        <w:pStyle w:val="ListParagraph"/>
        <w:numPr>
          <w:ilvl w:val="3"/>
          <w:numId w:val="26"/>
        </w:numPr>
        <w:tabs>
          <w:tab w:val="left" w:pos="1584"/>
        </w:tabs>
        <w:spacing w:before="120" w:after="0" w:line="240" w:lineRule="auto"/>
        <w:ind w:left="1584" w:right="1515" w:hanging="720"/>
        <w:jc w:val="left"/>
        <w:rPr>
          <w:sz w:val="24"/>
        </w:rPr>
      </w:pPr>
      <w:r>
        <w:rPr>
          <w:sz w:val="24"/>
        </w:rPr>
        <w:t>Reduce (or increase) cost sharing for more limited-use services such as inpatient, skilled</w:t>
      </w:r>
      <w:r>
        <w:rPr>
          <w:spacing w:val="-4"/>
          <w:sz w:val="24"/>
        </w:rPr>
        <w:t xml:space="preserve"> </w:t>
      </w:r>
      <w:r>
        <w:rPr>
          <w:sz w:val="24"/>
        </w:rPr>
        <w:t>nursing</w:t>
      </w:r>
      <w:r>
        <w:rPr>
          <w:spacing w:val="-4"/>
          <w:sz w:val="24"/>
        </w:rPr>
        <w:t xml:space="preserve"> </w:t>
      </w:r>
      <w:r>
        <w:rPr>
          <w:sz w:val="24"/>
        </w:rPr>
        <w:t>facility</w:t>
      </w:r>
      <w:r>
        <w:rPr>
          <w:spacing w:val="-4"/>
          <w:sz w:val="24"/>
        </w:rPr>
        <w:t xml:space="preserve"> </w:t>
      </w:r>
      <w:r>
        <w:rPr>
          <w:sz w:val="24"/>
        </w:rPr>
        <w:t>(SNF),</w:t>
      </w:r>
      <w:r>
        <w:rPr>
          <w:spacing w:val="-3"/>
          <w:sz w:val="24"/>
        </w:rPr>
        <w:t xml:space="preserve"> </w:t>
      </w:r>
      <w:r>
        <w:rPr>
          <w:sz w:val="24"/>
        </w:rPr>
        <w:t>and</w:t>
      </w:r>
      <w:r>
        <w:rPr>
          <w:spacing w:val="-4"/>
          <w:sz w:val="24"/>
        </w:rPr>
        <w:t xml:space="preserve"> </w:t>
      </w:r>
      <w:r>
        <w:rPr>
          <w:sz w:val="24"/>
        </w:rPr>
        <w:t>home</w:t>
      </w:r>
      <w:r>
        <w:rPr>
          <w:spacing w:val="-4"/>
          <w:sz w:val="24"/>
        </w:rPr>
        <w:t xml:space="preserve"> </w:t>
      </w:r>
      <w:r>
        <w:rPr>
          <w:sz w:val="24"/>
        </w:rPr>
        <w:t>health</w:t>
      </w:r>
      <w:r>
        <w:rPr>
          <w:spacing w:val="-4"/>
          <w:sz w:val="24"/>
        </w:rPr>
        <w:t xml:space="preserve"> </w:t>
      </w:r>
      <w:r>
        <w:rPr>
          <w:sz w:val="24"/>
        </w:rPr>
        <w:t>care,</w:t>
      </w:r>
      <w:r>
        <w:rPr>
          <w:spacing w:val="-4"/>
          <w:sz w:val="24"/>
        </w:rPr>
        <w:t xml:space="preserve"> </w:t>
      </w:r>
      <w:r>
        <w:rPr>
          <w:sz w:val="24"/>
        </w:rPr>
        <w:t>or</w:t>
      </w:r>
      <w:r>
        <w:rPr>
          <w:spacing w:val="-4"/>
          <w:sz w:val="24"/>
        </w:rPr>
        <w:t xml:space="preserve"> </w:t>
      </w:r>
      <w:r>
        <w:rPr>
          <w:sz w:val="24"/>
        </w:rPr>
        <w:t>the</w:t>
      </w:r>
      <w:r>
        <w:rPr>
          <w:spacing w:val="-6"/>
          <w:sz w:val="24"/>
        </w:rPr>
        <w:t xml:space="preserve"> </w:t>
      </w:r>
      <w:r>
        <w:rPr>
          <w:sz w:val="24"/>
        </w:rPr>
        <w:t>maximum</w:t>
      </w:r>
      <w:r>
        <w:rPr>
          <w:spacing w:val="-4"/>
          <w:sz w:val="24"/>
        </w:rPr>
        <w:t xml:space="preserve"> </w:t>
      </w:r>
      <w:r>
        <w:rPr>
          <w:sz w:val="24"/>
        </w:rPr>
        <w:t>out-of-pocket (MOOP) and then buy down the new A/B mandatory supplemental premium to the initial level.</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ListParagraph"/>
        <w:numPr>
          <w:ilvl w:val="2"/>
          <w:numId w:val="26"/>
        </w:numPr>
        <w:tabs>
          <w:tab w:val="left" w:pos="864"/>
        </w:tabs>
        <w:spacing w:before="0" w:after="0" w:line="240" w:lineRule="auto"/>
        <w:ind w:left="864" w:right="1696" w:hanging="360"/>
        <w:jc w:val="both"/>
        <w:rPr>
          <w:sz w:val="24"/>
        </w:rPr>
      </w:pPr>
      <w:r>
        <w:rPr>
          <w:sz w:val="24"/>
        </w:rPr>
        <w:t>CMS</w:t>
      </w:r>
      <w:r>
        <w:rPr>
          <w:spacing w:val="-2"/>
          <w:sz w:val="24"/>
        </w:rPr>
        <w:t xml:space="preserve"> </w:t>
      </w:r>
      <w:r>
        <w:rPr>
          <w:sz w:val="24"/>
        </w:rPr>
        <w:t>will</w:t>
      </w:r>
      <w:r>
        <w:rPr>
          <w:spacing w:val="-2"/>
          <w:sz w:val="24"/>
        </w:rPr>
        <w:t xml:space="preserve"> </w:t>
      </w:r>
      <w:r>
        <w:rPr>
          <w:sz w:val="24"/>
        </w:rPr>
        <w:t>not</w:t>
      </w:r>
      <w:r>
        <w:rPr>
          <w:spacing w:val="-2"/>
          <w:sz w:val="24"/>
        </w:rPr>
        <w:t xml:space="preserve"> </w:t>
      </w:r>
      <w:r>
        <w:rPr>
          <w:sz w:val="24"/>
        </w:rPr>
        <w:t>allow</w:t>
      </w:r>
      <w:r>
        <w:rPr>
          <w:spacing w:val="-5"/>
          <w:sz w:val="24"/>
        </w:rPr>
        <w:t xml:space="preserve"> </w:t>
      </w:r>
      <w:r>
        <w:rPr>
          <w:sz w:val="24"/>
        </w:rPr>
        <w:t>MAOs</w:t>
      </w:r>
      <w:r>
        <w:rPr>
          <w:spacing w:val="-3"/>
          <w:sz w:val="24"/>
        </w:rPr>
        <w:t xml:space="preserve"> </w:t>
      </w:r>
      <w:r>
        <w:rPr>
          <w:sz w:val="24"/>
        </w:rPr>
        <w:t>to</w:t>
      </w:r>
      <w:r>
        <w:rPr>
          <w:spacing w:val="-2"/>
          <w:sz w:val="24"/>
        </w:rPr>
        <w:t xml:space="preserve"> </w:t>
      </w:r>
      <w:r>
        <w:rPr>
          <w:sz w:val="24"/>
        </w:rPr>
        <w:t>substantially</w:t>
      </w:r>
      <w:r>
        <w:rPr>
          <w:spacing w:val="-2"/>
          <w:sz w:val="24"/>
        </w:rPr>
        <w:t xml:space="preserve"> </w:t>
      </w:r>
      <w:r>
        <w:rPr>
          <w:sz w:val="24"/>
        </w:rPr>
        <w:t>change</w:t>
      </w:r>
      <w:r>
        <w:rPr>
          <w:spacing w:val="-3"/>
          <w:sz w:val="24"/>
        </w:rPr>
        <w:t xml:space="preserve"> </w:t>
      </w:r>
      <w:r>
        <w:rPr>
          <w:sz w:val="24"/>
        </w:rPr>
        <w:t>A/B</w:t>
      </w:r>
      <w:r>
        <w:rPr>
          <w:spacing w:val="-2"/>
          <w:sz w:val="24"/>
        </w:rPr>
        <w:t xml:space="preserve"> </w:t>
      </w:r>
      <w:r>
        <w:rPr>
          <w:sz w:val="24"/>
        </w:rPr>
        <w:t>mandatory</w:t>
      </w:r>
      <w:r>
        <w:rPr>
          <w:spacing w:val="-2"/>
          <w:sz w:val="24"/>
        </w:rPr>
        <w:t xml:space="preserve"> </w:t>
      </w:r>
      <w:r>
        <w:rPr>
          <w:sz w:val="24"/>
        </w:rPr>
        <w:t>supplemental</w:t>
      </w:r>
      <w:r>
        <w:rPr>
          <w:spacing w:val="-2"/>
          <w:sz w:val="24"/>
        </w:rPr>
        <w:t xml:space="preserve"> </w:t>
      </w:r>
      <w:r>
        <w:rPr>
          <w:sz w:val="24"/>
        </w:rPr>
        <w:t>benefits during</w:t>
      </w:r>
      <w:r>
        <w:rPr>
          <w:spacing w:val="-4"/>
          <w:sz w:val="24"/>
        </w:rPr>
        <w:t xml:space="preserve"> </w:t>
      </w:r>
      <w:r>
        <w:rPr>
          <w:sz w:val="24"/>
        </w:rPr>
        <w:t>the</w:t>
      </w:r>
      <w:r>
        <w:rPr>
          <w:spacing w:val="-5"/>
          <w:sz w:val="24"/>
        </w:rPr>
        <w:t xml:space="preserve"> </w:t>
      </w:r>
      <w:r>
        <w:rPr>
          <w:sz w:val="24"/>
        </w:rPr>
        <w:t>rebate</w:t>
      </w:r>
      <w:r>
        <w:rPr>
          <w:spacing w:val="-5"/>
          <w:sz w:val="24"/>
        </w:rPr>
        <w:t xml:space="preserve"> </w:t>
      </w:r>
      <w:r>
        <w:rPr>
          <w:sz w:val="24"/>
        </w:rPr>
        <w:t>reallocation</w:t>
      </w:r>
      <w:r>
        <w:rPr>
          <w:spacing w:val="-4"/>
          <w:sz w:val="24"/>
        </w:rPr>
        <w:t xml:space="preserve"> </w:t>
      </w:r>
      <w:r>
        <w:rPr>
          <w:sz w:val="24"/>
        </w:rPr>
        <w:t>period.</w:t>
      </w:r>
      <w:r>
        <w:rPr>
          <w:spacing w:val="-4"/>
          <w:sz w:val="24"/>
        </w:rPr>
        <w:t xml:space="preserve"> </w:t>
      </w:r>
      <w:r>
        <w:rPr>
          <w:sz w:val="24"/>
        </w:rPr>
        <w:t>CMS</w:t>
      </w:r>
      <w:r>
        <w:rPr>
          <w:spacing w:val="-4"/>
          <w:sz w:val="24"/>
        </w:rPr>
        <w:t xml:space="preserve"> </w:t>
      </w:r>
      <w:r>
        <w:rPr>
          <w:sz w:val="24"/>
        </w:rPr>
        <w:t>expects</w:t>
      </w:r>
      <w:r>
        <w:rPr>
          <w:spacing w:val="-5"/>
          <w:sz w:val="24"/>
        </w:rPr>
        <w:t xml:space="preserve"> </w:t>
      </w:r>
      <w:r>
        <w:rPr>
          <w:sz w:val="24"/>
        </w:rPr>
        <w:t>only</w:t>
      </w:r>
      <w:r>
        <w:rPr>
          <w:spacing w:val="-4"/>
          <w:sz w:val="24"/>
        </w:rPr>
        <w:t xml:space="preserve"> </w:t>
      </w:r>
      <w:r>
        <w:rPr>
          <w:sz w:val="24"/>
        </w:rPr>
        <w:t>marginal</w:t>
      </w:r>
      <w:r>
        <w:rPr>
          <w:spacing w:val="-4"/>
          <w:sz w:val="24"/>
        </w:rPr>
        <w:t xml:space="preserve"> </w:t>
      </w:r>
      <w:r>
        <w:rPr>
          <w:sz w:val="24"/>
        </w:rPr>
        <w:t>adjustments</w:t>
      </w:r>
      <w:r>
        <w:rPr>
          <w:spacing w:val="-5"/>
          <w:sz w:val="24"/>
        </w:rPr>
        <w:t xml:space="preserve"> </w:t>
      </w:r>
      <w:r>
        <w:rPr>
          <w:sz w:val="24"/>
        </w:rPr>
        <w:t>during</w:t>
      </w:r>
      <w:r>
        <w:rPr>
          <w:spacing w:val="-4"/>
          <w:sz w:val="24"/>
        </w:rPr>
        <w:t xml:space="preserve"> </w:t>
      </w:r>
      <w:r>
        <w:rPr>
          <w:sz w:val="24"/>
        </w:rPr>
        <w:t>this period and will evaluate material differences.</w:t>
      </w:r>
    </w:p>
    <w:p>
      <w:pPr>
        <w:pStyle w:val="ListParagraph"/>
        <w:numPr>
          <w:ilvl w:val="3"/>
          <w:numId w:val="26"/>
        </w:numPr>
        <w:tabs>
          <w:tab w:val="left" w:pos="1584"/>
        </w:tabs>
        <w:spacing w:before="120" w:after="0" w:line="240" w:lineRule="auto"/>
        <w:ind w:left="1584" w:right="1481" w:hanging="720"/>
        <w:jc w:val="left"/>
        <w:rPr>
          <w:sz w:val="24"/>
        </w:rPr>
      </w:pPr>
      <w:r>
        <w:rPr>
          <w:sz w:val="24"/>
        </w:rPr>
        <w:t>For a non-RPPO plan, the value of unallocated rebates is defined as the amount of unallocated</w:t>
      </w:r>
      <w:r>
        <w:rPr>
          <w:spacing w:val="-4"/>
          <w:sz w:val="24"/>
        </w:rPr>
        <w:t xml:space="preserve"> </w:t>
      </w:r>
      <w:r>
        <w:rPr>
          <w:sz w:val="24"/>
        </w:rPr>
        <w:t>rebates</w:t>
      </w:r>
      <w:r>
        <w:rPr>
          <w:spacing w:val="-5"/>
          <w:sz w:val="24"/>
        </w:rPr>
        <w:t xml:space="preserve"> </w:t>
      </w:r>
      <w:r>
        <w:rPr>
          <w:sz w:val="24"/>
        </w:rPr>
        <w:t>remaining</w:t>
      </w:r>
      <w:r>
        <w:rPr>
          <w:spacing w:val="-2"/>
          <w:sz w:val="24"/>
        </w:rPr>
        <w:t xml:space="preserve"> </w:t>
      </w:r>
      <w:r>
        <w:rPr>
          <w:sz w:val="24"/>
        </w:rPr>
        <w:t>after</w:t>
      </w:r>
      <w:r>
        <w:rPr>
          <w:spacing w:val="-4"/>
          <w:sz w:val="24"/>
        </w:rPr>
        <w:t xml:space="preserve"> </w:t>
      </w:r>
      <w:r>
        <w:rPr>
          <w:sz w:val="24"/>
        </w:rPr>
        <w:t>achieving</w:t>
      </w:r>
      <w:r>
        <w:rPr>
          <w:spacing w:val="-4"/>
          <w:sz w:val="24"/>
        </w:rPr>
        <w:t xml:space="preserve"> </w:t>
      </w:r>
      <w:r>
        <w:rPr>
          <w:sz w:val="24"/>
        </w:rPr>
        <w:t>the</w:t>
      </w:r>
      <w:r>
        <w:rPr>
          <w:spacing w:val="-4"/>
          <w:sz w:val="24"/>
        </w:rPr>
        <w:t xml:space="preserve"> </w:t>
      </w:r>
      <w:r>
        <w:rPr>
          <w:sz w:val="24"/>
        </w:rPr>
        <w:t>target</w:t>
      </w:r>
      <w:r>
        <w:rPr>
          <w:spacing w:val="-4"/>
          <w:sz w:val="24"/>
        </w:rPr>
        <w:t xml:space="preserve"> </w:t>
      </w:r>
      <w:r>
        <w:rPr>
          <w:sz w:val="24"/>
        </w:rPr>
        <w:t>plan</w:t>
      </w:r>
      <w:r>
        <w:rPr>
          <w:spacing w:val="-4"/>
          <w:sz w:val="24"/>
        </w:rPr>
        <w:t xml:space="preserve"> </w:t>
      </w:r>
      <w:r>
        <w:rPr>
          <w:sz w:val="24"/>
        </w:rPr>
        <w:t>intention</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Part</w:t>
      </w:r>
      <w:r>
        <w:rPr>
          <w:spacing w:val="-4"/>
          <w:sz w:val="24"/>
        </w:rPr>
        <w:t xml:space="preserve"> </w:t>
      </w:r>
      <w:r>
        <w:rPr>
          <w:sz w:val="24"/>
        </w:rPr>
        <w:t>D basic premium.</w:t>
      </w:r>
    </w:p>
    <w:p>
      <w:pPr>
        <w:pStyle w:val="ListParagraph"/>
        <w:numPr>
          <w:ilvl w:val="4"/>
          <w:numId w:val="26"/>
        </w:numPr>
        <w:tabs>
          <w:tab w:val="left" w:pos="2304"/>
        </w:tabs>
        <w:spacing w:before="120" w:after="0" w:line="240" w:lineRule="auto"/>
        <w:ind w:left="2304" w:right="0" w:hanging="720"/>
        <w:jc w:val="left"/>
        <w:rPr>
          <w:sz w:val="24"/>
        </w:rPr>
      </w:pPr>
      <w:r>
        <w:rPr>
          <w:sz w:val="24"/>
        </w:rPr>
        <w:t>If</w:t>
      </w:r>
      <w:r>
        <w:rPr>
          <w:spacing w:val="-1"/>
          <w:sz w:val="24"/>
        </w:rPr>
        <w:t xml:space="preserve"> </w:t>
      </w:r>
      <w:r>
        <w:rPr>
          <w:sz w:val="24"/>
        </w:rPr>
        <w:t>the</w:t>
      </w:r>
      <w:r>
        <w:rPr>
          <w:spacing w:val="-3"/>
          <w:sz w:val="24"/>
        </w:rPr>
        <w:t xml:space="preserve"> </w:t>
      </w:r>
      <w:r>
        <w:rPr>
          <w:sz w:val="24"/>
        </w:rPr>
        <w:t>Part</w:t>
      </w:r>
      <w:r>
        <w:rPr>
          <w:spacing w:val="-1"/>
          <w:sz w:val="24"/>
        </w:rPr>
        <w:t xml:space="preserve"> </w:t>
      </w:r>
      <w:r>
        <w:rPr>
          <w:sz w:val="24"/>
        </w:rPr>
        <w:t>D</w:t>
      </w:r>
      <w:r>
        <w:rPr>
          <w:spacing w:val="-1"/>
          <w:sz w:val="24"/>
        </w:rPr>
        <w:t xml:space="preserve"> </w:t>
      </w:r>
      <w:r>
        <w:rPr>
          <w:sz w:val="24"/>
        </w:rPr>
        <w:t>basic</w:t>
      </w:r>
      <w:r>
        <w:rPr>
          <w:spacing w:val="-1"/>
          <w:sz w:val="24"/>
        </w:rPr>
        <w:t xml:space="preserve"> </w:t>
      </w:r>
      <w:r>
        <w:rPr>
          <w:sz w:val="24"/>
        </w:rPr>
        <w:t>premium</w:t>
      </w:r>
      <w:r>
        <w:rPr>
          <w:spacing w:val="-1"/>
          <w:sz w:val="24"/>
        </w:rPr>
        <w:t xml:space="preserve"> </w:t>
      </w:r>
      <w:r>
        <w:rPr>
          <w:sz w:val="24"/>
        </w:rPr>
        <w:t>prior to</w:t>
      </w:r>
      <w:r>
        <w:rPr>
          <w:spacing w:val="-1"/>
          <w:sz w:val="24"/>
        </w:rPr>
        <w:t xml:space="preserve"> </w:t>
      </w:r>
      <w:r>
        <w:rPr>
          <w:sz w:val="24"/>
        </w:rPr>
        <w:t>rebates</w:t>
      </w:r>
      <w:r>
        <w:rPr>
          <w:spacing w:val="-2"/>
          <w:sz w:val="24"/>
        </w:rPr>
        <w:t xml:space="preserve"> </w:t>
      </w:r>
      <w:r>
        <w:rPr>
          <w:sz w:val="24"/>
        </w:rPr>
        <w:t>(line</w:t>
      </w:r>
      <w:r>
        <w:rPr>
          <w:spacing w:val="1"/>
          <w:sz w:val="24"/>
        </w:rPr>
        <w:t xml:space="preserve"> </w:t>
      </w:r>
      <w:r>
        <w:rPr>
          <w:sz w:val="24"/>
        </w:rPr>
        <w:t>7a</w:t>
      </w:r>
      <w:r>
        <w:rPr>
          <w:spacing w:val="-2"/>
          <w:sz w:val="24"/>
        </w:rPr>
        <w:t xml:space="preserve"> </w:t>
      </w:r>
      <w:r>
        <w:rPr>
          <w:sz w:val="24"/>
        </w:rPr>
        <w:t>of</w:t>
      </w:r>
      <w:r>
        <w:rPr>
          <w:spacing w:val="-1"/>
          <w:sz w:val="24"/>
        </w:rPr>
        <w:t xml:space="preserve"> </w:t>
      </w:r>
      <w:r>
        <w:rPr>
          <w:sz w:val="24"/>
        </w:rPr>
        <w:t xml:space="preserve">Worksheet </w:t>
      </w:r>
      <w:r>
        <w:rPr>
          <w:spacing w:val="-5"/>
          <w:sz w:val="24"/>
        </w:rPr>
        <w:t>6,</w:t>
      </w:r>
    </w:p>
    <w:p>
      <w:pPr>
        <w:pStyle w:val="BodyText"/>
        <w:ind w:left="2304" w:right="1443"/>
      </w:pPr>
      <w:r>
        <w:t>Section IIIC)</w:t>
      </w:r>
      <w:r>
        <w:rPr>
          <w:spacing w:val="-1"/>
        </w:rPr>
        <w:t xml:space="preserve"> </w:t>
      </w:r>
      <w:r>
        <w:t>results</w:t>
      </w:r>
      <w:r>
        <w:rPr>
          <w:spacing w:val="-2"/>
        </w:rPr>
        <w:t xml:space="preserve"> </w:t>
      </w:r>
      <w:r>
        <w:t>in</w:t>
      </w:r>
      <w:r>
        <w:rPr>
          <w:spacing w:val="-1"/>
        </w:rPr>
        <w:t xml:space="preserve"> </w:t>
      </w:r>
      <w:r>
        <w:t>a</w:t>
      </w:r>
      <w:r>
        <w:rPr>
          <w:spacing w:val="-1"/>
        </w:rPr>
        <w:t xml:space="preserve"> </w:t>
      </w:r>
      <w:r>
        <w:t>negative</w:t>
      </w:r>
      <w:r>
        <w:rPr>
          <w:spacing w:val="-2"/>
        </w:rPr>
        <w:t xml:space="preserve"> </w:t>
      </w:r>
      <w:r>
        <w:t>value—either</w:t>
      </w:r>
      <w:r>
        <w:rPr>
          <w:spacing w:val="-1"/>
        </w:rPr>
        <w:t xml:space="preserve"> </w:t>
      </w:r>
      <w:r>
        <w:t>at initial</w:t>
      </w:r>
      <w:r>
        <w:rPr>
          <w:spacing w:val="-1"/>
        </w:rPr>
        <w:t xml:space="preserve"> </w:t>
      </w:r>
      <w:r>
        <w:t>submission</w:t>
      </w:r>
      <w:r>
        <w:rPr>
          <w:spacing w:val="-1"/>
        </w:rPr>
        <w:t xml:space="preserve"> </w:t>
      </w:r>
      <w:r>
        <w:t>or</w:t>
      </w:r>
      <w:r>
        <w:rPr>
          <w:spacing w:val="-1"/>
        </w:rPr>
        <w:t xml:space="preserve"> </w:t>
      </w:r>
      <w:r>
        <w:t>after the published direct subsidy is applied to the BPT—the amount of unallocated rebates includes the amount required to return the total Part D premium to that originally submitted. For plans targeting the LIPSA, this calculation instead reflects the amount necessary to return the Part D supplemental</w:t>
      </w:r>
      <w:r>
        <w:rPr>
          <w:spacing w:val="-4"/>
        </w:rPr>
        <w:t xml:space="preserve"> </w:t>
      </w:r>
      <w:r>
        <w:t>premium</w:t>
      </w:r>
      <w:r>
        <w:rPr>
          <w:spacing w:val="-4"/>
        </w:rPr>
        <w:t xml:space="preserve"> </w:t>
      </w:r>
      <w:r>
        <w:t>to</w:t>
      </w:r>
      <w:r>
        <w:rPr>
          <w:spacing w:val="-4"/>
        </w:rPr>
        <w:t xml:space="preserve"> </w:t>
      </w:r>
      <w:r>
        <w:t>its</w:t>
      </w:r>
      <w:r>
        <w:rPr>
          <w:spacing w:val="-4"/>
        </w:rPr>
        <w:t xml:space="preserve"> </w:t>
      </w:r>
      <w:r>
        <w:t>intended</w:t>
      </w:r>
      <w:r>
        <w:rPr>
          <w:spacing w:val="-4"/>
        </w:rPr>
        <w:t xml:space="preserve"> </w:t>
      </w:r>
      <w:r>
        <w:t>level—generally</w:t>
      </w:r>
      <w:r>
        <w:rPr>
          <w:spacing w:val="-4"/>
        </w:rPr>
        <w:t xml:space="preserve"> </w:t>
      </w:r>
      <w:r>
        <w:t>resulting</w:t>
      </w:r>
      <w:r>
        <w:rPr>
          <w:spacing w:val="-4"/>
        </w:rPr>
        <w:t xml:space="preserve"> </w:t>
      </w:r>
      <w:r>
        <w:t>in</w:t>
      </w:r>
      <w:r>
        <w:rPr>
          <w:spacing w:val="-4"/>
        </w:rPr>
        <w:t xml:space="preserve"> </w:t>
      </w:r>
      <w:r>
        <w:t>a</w:t>
      </w:r>
      <w:r>
        <w:rPr>
          <w:spacing w:val="-4"/>
        </w:rPr>
        <w:t xml:space="preserve"> </w:t>
      </w:r>
      <w:r>
        <w:t>$0</w:t>
      </w:r>
      <w:r>
        <w:rPr>
          <w:spacing w:val="-4"/>
        </w:rPr>
        <w:t xml:space="preserve"> </w:t>
      </w:r>
      <w:r>
        <w:t>total Part D premium for low-income beneficiaries—rather than the originally submitted total Part D premium, which may vary based on assumptions for the low-income subsidy and the NAMBA in the initial submission.</w:t>
      </w:r>
    </w:p>
    <w:p>
      <w:pPr>
        <w:pStyle w:val="ListParagraph"/>
        <w:numPr>
          <w:ilvl w:val="3"/>
          <w:numId w:val="26"/>
        </w:numPr>
        <w:tabs>
          <w:tab w:val="left" w:pos="1584"/>
        </w:tabs>
        <w:spacing w:before="1" w:after="0" w:line="240" w:lineRule="auto"/>
        <w:ind w:left="1584" w:right="2009" w:hanging="720"/>
        <w:jc w:val="left"/>
        <w:rPr>
          <w:sz w:val="24"/>
        </w:rPr>
      </w:pPr>
      <w:r>
        <w:rPr>
          <w:sz w:val="24"/>
        </w:rPr>
        <w:t>For</w:t>
      </w:r>
      <w:r>
        <w:rPr>
          <w:spacing w:val="-3"/>
          <w:sz w:val="24"/>
        </w:rPr>
        <w:t xml:space="preserve"> </w:t>
      </w:r>
      <w:r>
        <w:rPr>
          <w:sz w:val="24"/>
        </w:rPr>
        <w:t>an</w:t>
      </w:r>
      <w:r>
        <w:rPr>
          <w:spacing w:val="-3"/>
          <w:sz w:val="24"/>
        </w:rPr>
        <w:t xml:space="preserve"> </w:t>
      </w:r>
      <w:r>
        <w:rPr>
          <w:sz w:val="24"/>
        </w:rPr>
        <w:t>RPPO</w:t>
      </w:r>
      <w:r>
        <w:rPr>
          <w:spacing w:val="-4"/>
          <w:sz w:val="24"/>
        </w:rPr>
        <w:t xml:space="preserve"> </w:t>
      </w:r>
      <w:r>
        <w:rPr>
          <w:sz w:val="24"/>
        </w:rPr>
        <w:t>plan,</w:t>
      </w:r>
      <w:r>
        <w:rPr>
          <w:spacing w:val="-3"/>
          <w:sz w:val="24"/>
        </w:rPr>
        <w:t xml:space="preserve"> </w:t>
      </w:r>
      <w:r>
        <w:rPr>
          <w:sz w:val="24"/>
        </w:rPr>
        <w:t>the</w:t>
      </w:r>
      <w:r>
        <w:rPr>
          <w:spacing w:val="-3"/>
          <w:sz w:val="24"/>
        </w:rPr>
        <w:t xml:space="preserve"> </w:t>
      </w:r>
      <w:r>
        <w:rPr>
          <w:sz w:val="24"/>
        </w:rPr>
        <w:t>value</w:t>
      </w:r>
      <w:r>
        <w:rPr>
          <w:spacing w:val="-3"/>
          <w:sz w:val="24"/>
        </w:rPr>
        <w:t xml:space="preserve"> </w:t>
      </w:r>
      <w:r>
        <w:rPr>
          <w:sz w:val="24"/>
        </w:rPr>
        <w:t>of</w:t>
      </w:r>
      <w:r>
        <w:rPr>
          <w:spacing w:val="-3"/>
          <w:sz w:val="24"/>
        </w:rPr>
        <w:t xml:space="preserve"> </w:t>
      </w:r>
      <w:r>
        <w:rPr>
          <w:sz w:val="24"/>
        </w:rPr>
        <w:t>unallocated</w:t>
      </w:r>
      <w:r>
        <w:rPr>
          <w:spacing w:val="-2"/>
          <w:sz w:val="24"/>
        </w:rPr>
        <w:t xml:space="preserve"> </w:t>
      </w:r>
      <w:r>
        <w:rPr>
          <w:sz w:val="24"/>
        </w:rPr>
        <w:t>rebates</w:t>
      </w:r>
      <w:r>
        <w:rPr>
          <w:spacing w:val="-4"/>
          <w:sz w:val="24"/>
        </w:rPr>
        <w:t xml:space="preserve"> </w:t>
      </w:r>
      <w:r>
        <w:rPr>
          <w:sz w:val="24"/>
        </w:rPr>
        <w:t>is</w:t>
      </w:r>
      <w:r>
        <w:rPr>
          <w:spacing w:val="-3"/>
          <w:sz w:val="24"/>
        </w:rPr>
        <w:t xml:space="preserve"> </w:t>
      </w:r>
      <w:r>
        <w:rPr>
          <w:sz w:val="24"/>
        </w:rPr>
        <w:t>defined</w:t>
      </w:r>
      <w:r>
        <w:rPr>
          <w:spacing w:val="-3"/>
          <w:sz w:val="24"/>
        </w:rPr>
        <w:t xml:space="preserve"> </w:t>
      </w:r>
      <w:r>
        <w:rPr>
          <w:sz w:val="24"/>
        </w:rPr>
        <w:t>as</w:t>
      </w:r>
      <w:r>
        <w:rPr>
          <w:spacing w:val="-4"/>
          <w:sz w:val="24"/>
        </w:rPr>
        <w:t xml:space="preserve"> </w:t>
      </w:r>
      <w:r>
        <w:rPr>
          <w:sz w:val="24"/>
        </w:rPr>
        <w:t>the</w:t>
      </w:r>
      <w:r>
        <w:rPr>
          <w:spacing w:val="-3"/>
          <w:sz w:val="24"/>
        </w:rPr>
        <w:t xml:space="preserve"> </w:t>
      </w:r>
      <w:r>
        <w:rPr>
          <w:sz w:val="24"/>
        </w:rPr>
        <w:t>amount</w:t>
      </w:r>
      <w:r>
        <w:rPr>
          <w:spacing w:val="-3"/>
          <w:sz w:val="24"/>
        </w:rPr>
        <w:t xml:space="preserve"> </w:t>
      </w:r>
      <w:r>
        <w:rPr>
          <w:sz w:val="24"/>
        </w:rPr>
        <w:t>of unallocated rebates remaining after—</w:t>
      </w:r>
    </w:p>
    <w:p>
      <w:pPr>
        <w:pStyle w:val="ListParagraph"/>
        <w:numPr>
          <w:ilvl w:val="4"/>
          <w:numId w:val="26"/>
        </w:numPr>
        <w:tabs>
          <w:tab w:val="left" w:pos="2304"/>
        </w:tabs>
        <w:spacing w:before="120" w:after="0" w:line="240" w:lineRule="auto"/>
        <w:ind w:left="2304" w:right="1553" w:hanging="629"/>
        <w:jc w:val="left"/>
        <w:rPr>
          <w:sz w:val="24"/>
        </w:rPr>
      </w:pPr>
      <w:r>
        <w:rPr>
          <w:sz w:val="24"/>
        </w:rPr>
        <w:t>For an MA-PD plan, (i) applying the MA regional benchmark, and (ii) if applicable,</w:t>
      </w:r>
      <w:r>
        <w:rPr>
          <w:spacing w:val="-4"/>
          <w:sz w:val="24"/>
        </w:rPr>
        <w:t xml:space="preserve"> </w:t>
      </w:r>
      <w:r>
        <w:rPr>
          <w:sz w:val="24"/>
        </w:rPr>
        <w:t>achieving</w:t>
      </w:r>
      <w:r>
        <w:rPr>
          <w:spacing w:val="-4"/>
          <w:sz w:val="24"/>
        </w:rPr>
        <w:t xml:space="preserve"> </w:t>
      </w:r>
      <w:r>
        <w:rPr>
          <w:sz w:val="24"/>
        </w:rPr>
        <w:t>the</w:t>
      </w:r>
      <w:r>
        <w:rPr>
          <w:spacing w:val="-3"/>
          <w:sz w:val="24"/>
        </w:rPr>
        <w:t xml:space="preserve"> </w:t>
      </w:r>
      <w:r>
        <w:rPr>
          <w:sz w:val="24"/>
        </w:rPr>
        <w:t>target</w:t>
      </w:r>
      <w:r>
        <w:rPr>
          <w:spacing w:val="-4"/>
          <w:sz w:val="24"/>
        </w:rPr>
        <w:t xml:space="preserve"> </w:t>
      </w:r>
      <w:r>
        <w:rPr>
          <w:sz w:val="24"/>
        </w:rPr>
        <w:t>plan</w:t>
      </w:r>
      <w:r>
        <w:rPr>
          <w:spacing w:val="-4"/>
          <w:sz w:val="24"/>
        </w:rPr>
        <w:t xml:space="preserve"> </w:t>
      </w:r>
      <w:r>
        <w:rPr>
          <w:sz w:val="24"/>
        </w:rPr>
        <w:t>intention</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Part</w:t>
      </w:r>
      <w:r>
        <w:rPr>
          <w:spacing w:val="-4"/>
          <w:sz w:val="24"/>
        </w:rPr>
        <w:t xml:space="preserve"> </w:t>
      </w:r>
      <w:r>
        <w:rPr>
          <w:sz w:val="24"/>
        </w:rPr>
        <w:t>D</w:t>
      </w:r>
      <w:r>
        <w:rPr>
          <w:spacing w:val="-4"/>
          <w:sz w:val="24"/>
        </w:rPr>
        <w:t xml:space="preserve"> </w:t>
      </w:r>
      <w:r>
        <w:rPr>
          <w:sz w:val="24"/>
        </w:rPr>
        <w:t>basic</w:t>
      </w:r>
      <w:r>
        <w:rPr>
          <w:spacing w:val="-4"/>
          <w:sz w:val="24"/>
        </w:rPr>
        <w:t xml:space="preserve"> </w:t>
      </w:r>
      <w:r>
        <w:rPr>
          <w:sz w:val="24"/>
        </w:rPr>
        <w:t>premium. If the Part D basic premium prior to rebates (line 7a of Worksheet 6,</w:t>
      </w:r>
    </w:p>
    <w:p>
      <w:pPr>
        <w:pStyle w:val="BodyText"/>
        <w:ind w:left="2304" w:right="1443"/>
      </w:pPr>
      <w:r>
        <w:t>Section IIIC)</w:t>
      </w:r>
      <w:r>
        <w:rPr>
          <w:spacing w:val="-1"/>
        </w:rPr>
        <w:t xml:space="preserve"> </w:t>
      </w:r>
      <w:r>
        <w:t>results</w:t>
      </w:r>
      <w:r>
        <w:rPr>
          <w:spacing w:val="-2"/>
        </w:rPr>
        <w:t xml:space="preserve"> </w:t>
      </w:r>
      <w:r>
        <w:t>in</w:t>
      </w:r>
      <w:r>
        <w:rPr>
          <w:spacing w:val="-1"/>
        </w:rPr>
        <w:t xml:space="preserve"> </w:t>
      </w:r>
      <w:r>
        <w:t>a</w:t>
      </w:r>
      <w:r>
        <w:rPr>
          <w:spacing w:val="-1"/>
        </w:rPr>
        <w:t xml:space="preserve"> </w:t>
      </w:r>
      <w:r>
        <w:t>negative</w:t>
      </w:r>
      <w:r>
        <w:rPr>
          <w:spacing w:val="-2"/>
        </w:rPr>
        <w:t xml:space="preserve"> </w:t>
      </w:r>
      <w:r>
        <w:t>value—either</w:t>
      </w:r>
      <w:r>
        <w:rPr>
          <w:spacing w:val="-1"/>
        </w:rPr>
        <w:t xml:space="preserve"> </w:t>
      </w:r>
      <w:r>
        <w:t>at initial</w:t>
      </w:r>
      <w:r>
        <w:rPr>
          <w:spacing w:val="-1"/>
        </w:rPr>
        <w:t xml:space="preserve"> </w:t>
      </w:r>
      <w:r>
        <w:t>submission</w:t>
      </w:r>
      <w:r>
        <w:rPr>
          <w:spacing w:val="-1"/>
        </w:rPr>
        <w:t xml:space="preserve"> </w:t>
      </w:r>
      <w:r>
        <w:t>or</w:t>
      </w:r>
      <w:r>
        <w:rPr>
          <w:spacing w:val="-1"/>
        </w:rPr>
        <w:t xml:space="preserve"> </w:t>
      </w:r>
      <w:r>
        <w:t>after the published direct subsidy is applied to the BPT—the amount of unallocated rebates includes the amount required to return the total Part D premium to that originally submitted. For plans targeting the LIPSA, this calculation instead reflects the amount necessary to return the Part D supplemental</w:t>
      </w:r>
      <w:r>
        <w:rPr>
          <w:spacing w:val="-4"/>
        </w:rPr>
        <w:t xml:space="preserve"> </w:t>
      </w:r>
      <w:r>
        <w:t>premium</w:t>
      </w:r>
      <w:r>
        <w:rPr>
          <w:spacing w:val="-4"/>
        </w:rPr>
        <w:t xml:space="preserve"> </w:t>
      </w:r>
      <w:r>
        <w:t>to</w:t>
      </w:r>
      <w:r>
        <w:rPr>
          <w:spacing w:val="-4"/>
        </w:rPr>
        <w:t xml:space="preserve"> </w:t>
      </w:r>
      <w:r>
        <w:t>its</w:t>
      </w:r>
      <w:r>
        <w:rPr>
          <w:spacing w:val="-4"/>
        </w:rPr>
        <w:t xml:space="preserve"> </w:t>
      </w:r>
      <w:r>
        <w:t>intended</w:t>
      </w:r>
      <w:r>
        <w:rPr>
          <w:spacing w:val="-4"/>
        </w:rPr>
        <w:t xml:space="preserve"> </w:t>
      </w:r>
      <w:r>
        <w:t>level—generally</w:t>
      </w:r>
      <w:r>
        <w:rPr>
          <w:spacing w:val="-4"/>
        </w:rPr>
        <w:t xml:space="preserve"> </w:t>
      </w:r>
      <w:r>
        <w:t>resulting</w:t>
      </w:r>
      <w:r>
        <w:rPr>
          <w:spacing w:val="-4"/>
        </w:rPr>
        <w:t xml:space="preserve"> </w:t>
      </w:r>
      <w:r>
        <w:t>in</w:t>
      </w:r>
      <w:r>
        <w:rPr>
          <w:spacing w:val="-4"/>
        </w:rPr>
        <w:t xml:space="preserve"> </w:t>
      </w:r>
      <w:r>
        <w:t>a</w:t>
      </w:r>
      <w:r>
        <w:rPr>
          <w:spacing w:val="-4"/>
        </w:rPr>
        <w:t xml:space="preserve"> </w:t>
      </w:r>
      <w:r>
        <w:t>$0</w:t>
      </w:r>
      <w:r>
        <w:rPr>
          <w:spacing w:val="-4"/>
        </w:rPr>
        <w:t xml:space="preserve"> </w:t>
      </w:r>
      <w:r>
        <w:t>total Part D premium for low-income beneficiaries—rather than the originally submitted total Part D premium, which may vary based on assumptions for the low-income subsidy and the NAMBA in the initial submission.</w:t>
      </w:r>
    </w:p>
    <w:p>
      <w:pPr>
        <w:pStyle w:val="ListParagraph"/>
        <w:numPr>
          <w:ilvl w:val="4"/>
          <w:numId w:val="26"/>
        </w:numPr>
        <w:tabs>
          <w:tab w:val="left" w:pos="2304"/>
        </w:tabs>
        <w:spacing w:before="1" w:after="0" w:line="240" w:lineRule="auto"/>
        <w:ind w:left="2304" w:right="0" w:hanging="720"/>
        <w:jc w:val="left"/>
        <w:rPr>
          <w:sz w:val="24"/>
        </w:rPr>
      </w:pPr>
      <w:r>
        <w:rPr>
          <w:sz w:val="24"/>
        </w:rPr>
        <w:t>For</w:t>
      </w:r>
      <w:r>
        <w:rPr>
          <w:spacing w:val="-1"/>
          <w:sz w:val="24"/>
        </w:rPr>
        <w:t xml:space="preserve"> </w:t>
      </w:r>
      <w:r>
        <w:rPr>
          <w:sz w:val="24"/>
        </w:rPr>
        <w:t>an</w:t>
      </w:r>
      <w:r>
        <w:rPr>
          <w:spacing w:val="-1"/>
          <w:sz w:val="24"/>
        </w:rPr>
        <w:t xml:space="preserve"> </w:t>
      </w:r>
      <w:r>
        <w:rPr>
          <w:sz w:val="24"/>
        </w:rPr>
        <w:t>MA-only</w:t>
      </w:r>
      <w:r>
        <w:rPr>
          <w:spacing w:val="-1"/>
          <w:sz w:val="24"/>
        </w:rPr>
        <w:t xml:space="preserve"> </w:t>
      </w:r>
      <w:r>
        <w:rPr>
          <w:sz w:val="24"/>
        </w:rPr>
        <w:t>plan,</w:t>
      </w:r>
      <w:r>
        <w:rPr>
          <w:spacing w:val="-1"/>
          <w:sz w:val="24"/>
        </w:rPr>
        <w:t xml:space="preserve"> </w:t>
      </w:r>
      <w:r>
        <w:rPr>
          <w:sz w:val="24"/>
        </w:rPr>
        <w:t>applying</w:t>
      </w:r>
      <w:r>
        <w:rPr>
          <w:spacing w:val="-2"/>
          <w:sz w:val="24"/>
        </w:rPr>
        <w:t xml:space="preserve"> </w:t>
      </w:r>
      <w:r>
        <w:rPr>
          <w:sz w:val="24"/>
        </w:rPr>
        <w:t>the</w:t>
      </w:r>
      <w:r>
        <w:rPr>
          <w:spacing w:val="-1"/>
          <w:sz w:val="24"/>
        </w:rPr>
        <w:t xml:space="preserve"> </w:t>
      </w:r>
      <w:r>
        <w:rPr>
          <w:sz w:val="24"/>
        </w:rPr>
        <w:t>MA</w:t>
      </w:r>
      <w:r>
        <w:rPr>
          <w:spacing w:val="-1"/>
          <w:sz w:val="24"/>
        </w:rPr>
        <w:t xml:space="preserve"> </w:t>
      </w:r>
      <w:r>
        <w:rPr>
          <w:sz w:val="24"/>
        </w:rPr>
        <w:t>regional</w:t>
      </w:r>
      <w:r>
        <w:rPr>
          <w:spacing w:val="-1"/>
          <w:sz w:val="24"/>
        </w:rPr>
        <w:t xml:space="preserve"> </w:t>
      </w:r>
      <w:r>
        <w:rPr>
          <w:spacing w:val="-2"/>
          <w:sz w:val="24"/>
        </w:rPr>
        <w:t>benchmark.</w:t>
      </w:r>
    </w:p>
    <w:p>
      <w:pPr>
        <w:pStyle w:val="ListParagraph"/>
        <w:numPr>
          <w:ilvl w:val="3"/>
          <w:numId w:val="26"/>
        </w:numPr>
        <w:tabs>
          <w:tab w:val="left" w:pos="1584"/>
        </w:tabs>
        <w:spacing w:before="120" w:after="0" w:line="240" w:lineRule="auto"/>
        <w:ind w:left="1584" w:right="1478" w:hanging="720"/>
        <w:jc w:val="left"/>
        <w:rPr>
          <w:sz w:val="24"/>
        </w:rPr>
      </w:pPr>
      <w:r>
        <w:rPr>
          <w:sz w:val="24"/>
        </w:rPr>
        <w:t>When</w:t>
      </w:r>
      <w:r>
        <w:rPr>
          <w:spacing w:val="-6"/>
          <w:sz w:val="24"/>
        </w:rPr>
        <w:t xml:space="preserve"> </w:t>
      </w:r>
      <w:r>
        <w:rPr>
          <w:sz w:val="24"/>
        </w:rPr>
        <w:t>changing</w:t>
      </w:r>
      <w:r>
        <w:rPr>
          <w:spacing w:val="-5"/>
          <w:sz w:val="24"/>
        </w:rPr>
        <w:t xml:space="preserve"> </w:t>
      </w:r>
      <w:r>
        <w:rPr>
          <w:sz w:val="24"/>
        </w:rPr>
        <w:t>A/B</w:t>
      </w:r>
      <w:r>
        <w:rPr>
          <w:spacing w:val="-5"/>
          <w:sz w:val="24"/>
        </w:rPr>
        <w:t xml:space="preserve"> </w:t>
      </w:r>
      <w:r>
        <w:rPr>
          <w:sz w:val="24"/>
        </w:rPr>
        <w:t>mandatory</w:t>
      </w:r>
      <w:r>
        <w:rPr>
          <w:spacing w:val="-5"/>
          <w:sz w:val="24"/>
        </w:rPr>
        <w:t xml:space="preserve"> </w:t>
      </w:r>
      <w:r>
        <w:rPr>
          <w:sz w:val="24"/>
        </w:rPr>
        <w:t>supplemental</w:t>
      </w:r>
      <w:r>
        <w:rPr>
          <w:spacing w:val="-5"/>
          <w:sz w:val="24"/>
        </w:rPr>
        <w:t xml:space="preserve"> </w:t>
      </w:r>
      <w:r>
        <w:rPr>
          <w:sz w:val="24"/>
        </w:rPr>
        <w:t>benefits</w:t>
      </w:r>
      <w:r>
        <w:rPr>
          <w:spacing w:val="-6"/>
          <w:sz w:val="24"/>
        </w:rPr>
        <w:t xml:space="preserve"> </w:t>
      </w:r>
      <w:r>
        <w:rPr>
          <w:sz w:val="24"/>
        </w:rPr>
        <w:t>during</w:t>
      </w:r>
      <w:r>
        <w:rPr>
          <w:spacing w:val="-5"/>
          <w:sz w:val="24"/>
        </w:rPr>
        <w:t xml:space="preserve"> </w:t>
      </w:r>
      <w:r>
        <w:rPr>
          <w:sz w:val="24"/>
        </w:rPr>
        <w:t>the</w:t>
      </w:r>
      <w:r>
        <w:rPr>
          <w:spacing w:val="-6"/>
          <w:sz w:val="24"/>
        </w:rPr>
        <w:t xml:space="preserve"> </w:t>
      </w:r>
      <w:r>
        <w:rPr>
          <w:sz w:val="24"/>
        </w:rPr>
        <w:t>rebate</w:t>
      </w:r>
      <w:r>
        <w:rPr>
          <w:spacing w:val="-5"/>
          <w:sz w:val="24"/>
        </w:rPr>
        <w:t xml:space="preserve"> </w:t>
      </w:r>
      <w:r>
        <w:rPr>
          <w:sz w:val="24"/>
        </w:rPr>
        <w:t>reallocation period, —</w:t>
      </w:r>
    </w:p>
    <w:p>
      <w:pPr>
        <w:pStyle w:val="ListParagraph"/>
        <w:numPr>
          <w:ilvl w:val="4"/>
          <w:numId w:val="26"/>
        </w:numPr>
        <w:tabs>
          <w:tab w:val="left" w:pos="2304"/>
        </w:tabs>
        <w:spacing w:before="120" w:after="0" w:line="240" w:lineRule="auto"/>
        <w:ind w:left="2304" w:right="2009" w:hanging="720"/>
        <w:jc w:val="left"/>
        <w:rPr>
          <w:sz w:val="24"/>
        </w:rPr>
      </w:pPr>
      <w:r>
        <w:rPr>
          <w:sz w:val="24"/>
        </w:rPr>
        <w:t>The</w:t>
      </w:r>
      <w:r>
        <w:rPr>
          <w:spacing w:val="-5"/>
          <w:sz w:val="24"/>
        </w:rPr>
        <w:t xml:space="preserve"> </w:t>
      </w:r>
      <w:r>
        <w:rPr>
          <w:sz w:val="24"/>
        </w:rPr>
        <w:t>change</w:t>
      </w:r>
      <w:r>
        <w:rPr>
          <w:spacing w:val="-5"/>
          <w:sz w:val="24"/>
        </w:rPr>
        <w:t xml:space="preserve"> </w:t>
      </w:r>
      <w:r>
        <w:rPr>
          <w:sz w:val="24"/>
        </w:rPr>
        <w:t>in</w:t>
      </w:r>
      <w:r>
        <w:rPr>
          <w:spacing w:val="-4"/>
          <w:sz w:val="24"/>
        </w:rPr>
        <w:t xml:space="preserve"> </w:t>
      </w:r>
      <w:r>
        <w:rPr>
          <w:sz w:val="24"/>
        </w:rPr>
        <w:t>Worksheet</w:t>
      </w:r>
      <w:r>
        <w:rPr>
          <w:spacing w:val="-4"/>
          <w:sz w:val="24"/>
        </w:rPr>
        <w:t xml:space="preserve"> </w:t>
      </w:r>
      <w:r>
        <w:rPr>
          <w:sz w:val="24"/>
        </w:rPr>
        <w:t>4,</w:t>
      </w:r>
      <w:r>
        <w:rPr>
          <w:spacing w:val="-4"/>
          <w:sz w:val="24"/>
        </w:rPr>
        <w:t xml:space="preserve"> </w:t>
      </w:r>
      <w:r>
        <w:rPr>
          <w:sz w:val="24"/>
        </w:rPr>
        <w:t>cell</w:t>
      </w:r>
      <w:r>
        <w:rPr>
          <w:spacing w:val="-4"/>
          <w:sz w:val="24"/>
        </w:rPr>
        <w:t xml:space="preserve"> </w:t>
      </w:r>
      <w:r>
        <w:rPr>
          <w:sz w:val="24"/>
        </w:rPr>
        <w:t>R108,</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between</w:t>
      </w:r>
      <w:r>
        <w:rPr>
          <w:spacing w:val="-4"/>
          <w:sz w:val="24"/>
        </w:rPr>
        <w:t xml:space="preserve"> </w:t>
      </w:r>
      <w:r>
        <w:rPr>
          <w:sz w:val="24"/>
        </w:rPr>
        <w:t>$0.00</w:t>
      </w:r>
      <w:r>
        <w:rPr>
          <w:spacing w:val="-4"/>
          <w:sz w:val="24"/>
        </w:rPr>
        <w:t xml:space="preserve"> </w:t>
      </w:r>
      <w:r>
        <w:rPr>
          <w:sz w:val="24"/>
        </w:rPr>
        <w:t>and</w:t>
      </w:r>
      <w:r>
        <w:rPr>
          <w:spacing w:val="-2"/>
          <w:sz w:val="24"/>
        </w:rPr>
        <w:t xml:space="preserve"> </w:t>
      </w:r>
      <w:r>
        <w:rPr>
          <w:sz w:val="24"/>
        </w:rPr>
        <w:t>110 percent of unallocated rebate value as described above; and</w:t>
      </w:r>
    </w:p>
    <w:p>
      <w:pPr>
        <w:pStyle w:val="ListParagraph"/>
        <w:numPr>
          <w:ilvl w:val="4"/>
          <w:numId w:val="26"/>
        </w:numPr>
        <w:tabs>
          <w:tab w:val="left" w:pos="2304"/>
        </w:tabs>
        <w:spacing w:before="120" w:after="0" w:line="240" w:lineRule="auto"/>
        <w:ind w:left="2304" w:right="1601" w:hanging="720"/>
        <w:jc w:val="left"/>
        <w:rPr>
          <w:sz w:val="24"/>
        </w:rPr>
      </w:pPr>
      <w:r>
        <w:rPr>
          <w:sz w:val="24"/>
        </w:rPr>
        <w:t>The gain/loss margin PMPM in Worksheet 4, cell H107, must not increase or decrease by more than $1.00. Note that this step is separate from any change</w:t>
      </w:r>
      <w:r>
        <w:rPr>
          <w:spacing w:val="-5"/>
          <w:sz w:val="24"/>
        </w:rPr>
        <w:t xml:space="preserve"> </w:t>
      </w:r>
      <w:r>
        <w:rPr>
          <w:sz w:val="24"/>
        </w:rPr>
        <w:t>in</w:t>
      </w:r>
      <w:r>
        <w:rPr>
          <w:spacing w:val="-4"/>
          <w:sz w:val="24"/>
        </w:rPr>
        <w:t xml:space="preserve"> </w:t>
      </w:r>
      <w:r>
        <w:rPr>
          <w:sz w:val="24"/>
        </w:rPr>
        <w:t>gain/loss</w:t>
      </w:r>
      <w:r>
        <w:rPr>
          <w:spacing w:val="-5"/>
          <w:sz w:val="24"/>
        </w:rPr>
        <w:t xml:space="preserve"> </w:t>
      </w:r>
      <w:r>
        <w:rPr>
          <w:sz w:val="24"/>
        </w:rPr>
        <w:t>margin</w:t>
      </w:r>
      <w:r>
        <w:rPr>
          <w:spacing w:val="-3"/>
          <w:sz w:val="24"/>
        </w:rPr>
        <w:t xml:space="preserve"> </w:t>
      </w:r>
      <w:r>
        <w:rPr>
          <w:sz w:val="24"/>
        </w:rPr>
        <w:t>to</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CMS’s</w:t>
      </w:r>
      <w:r>
        <w:rPr>
          <w:spacing w:val="-7"/>
          <w:sz w:val="24"/>
        </w:rPr>
        <w:t xml:space="preserve"> </w:t>
      </w:r>
      <w:r>
        <w:rPr>
          <w:sz w:val="24"/>
        </w:rPr>
        <w:t>TBC</w:t>
      </w:r>
      <w:r>
        <w:rPr>
          <w:spacing w:val="-4"/>
          <w:sz w:val="24"/>
        </w:rPr>
        <w:t xml:space="preserve"> </w:t>
      </w:r>
      <w:r>
        <w:rPr>
          <w:sz w:val="24"/>
        </w:rPr>
        <w:t>requirement</w:t>
      </w:r>
      <w:r>
        <w:rPr>
          <w:spacing w:val="-3"/>
          <w:sz w:val="24"/>
        </w:rPr>
        <w:t xml:space="preserve"> </w:t>
      </w:r>
      <w:r>
        <w:rPr>
          <w:sz w:val="24"/>
        </w:rPr>
        <w:t>and/or the premium rounding rules; and</w:t>
      </w:r>
    </w:p>
    <w:p>
      <w:pPr>
        <w:pStyle w:val="ListParagraph"/>
        <w:numPr>
          <w:ilvl w:val="4"/>
          <w:numId w:val="26"/>
        </w:numPr>
        <w:tabs>
          <w:tab w:val="left" w:pos="2304"/>
        </w:tabs>
        <w:spacing w:before="121" w:after="0" w:line="240" w:lineRule="auto"/>
        <w:ind w:left="2304" w:right="1474" w:hanging="720"/>
        <w:jc w:val="left"/>
        <w:rPr>
          <w:sz w:val="24"/>
        </w:rPr>
      </w:pPr>
      <w:r>
        <w:rPr>
          <w:sz w:val="24"/>
        </w:rPr>
        <w:t>CMS will not allow the MAO to eliminate or significantly reduce one benefit for the purpose of adding or significantly enhancing another benefit (or vice versa). For example, if the MAO has an excessive allocation of $3, CMS</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allow</w:t>
      </w:r>
      <w:r>
        <w:rPr>
          <w:spacing w:val="-5"/>
          <w:sz w:val="24"/>
        </w:rPr>
        <w:t xml:space="preserve"> </w:t>
      </w:r>
      <w:r>
        <w:rPr>
          <w:sz w:val="24"/>
        </w:rPr>
        <w:t>the</w:t>
      </w:r>
      <w:r>
        <w:rPr>
          <w:spacing w:val="-4"/>
          <w:sz w:val="24"/>
        </w:rPr>
        <w:t xml:space="preserve"> </w:t>
      </w:r>
      <w:r>
        <w:rPr>
          <w:sz w:val="24"/>
        </w:rPr>
        <w:t>reduction</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A/B</w:t>
      </w:r>
      <w:r>
        <w:rPr>
          <w:spacing w:val="-4"/>
          <w:sz w:val="24"/>
        </w:rPr>
        <w:t xml:space="preserve"> </w:t>
      </w:r>
      <w:r>
        <w:rPr>
          <w:sz w:val="24"/>
        </w:rPr>
        <w:t>mandatory</w:t>
      </w:r>
      <w:r>
        <w:rPr>
          <w:spacing w:val="-4"/>
          <w:sz w:val="24"/>
        </w:rPr>
        <w:t xml:space="preserve"> </w:t>
      </w:r>
      <w:r>
        <w:rPr>
          <w:sz w:val="24"/>
        </w:rPr>
        <w:t>supplemental</w:t>
      </w:r>
      <w:r>
        <w:rPr>
          <w:spacing w:val="-4"/>
          <w:sz w:val="24"/>
        </w:rPr>
        <w:t xml:space="preserve"> </w:t>
      </w:r>
      <w:r>
        <w:rPr>
          <w:sz w:val="24"/>
        </w:rPr>
        <w:t>benefit</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BodyText"/>
        <w:ind w:left="2304" w:right="1481"/>
      </w:pPr>
      <w:r>
        <w:t>by $2 to add $5 into a different mandatory supplemental benefit. We consider</w:t>
      </w:r>
      <w:r>
        <w:rPr>
          <w:spacing w:val="-4"/>
        </w:rPr>
        <w:t xml:space="preserve"> </w:t>
      </w:r>
      <w:r>
        <w:t>this</w:t>
      </w:r>
      <w:r>
        <w:rPr>
          <w:spacing w:val="-5"/>
        </w:rPr>
        <w:t xml:space="preserve"> </w:t>
      </w:r>
      <w:r>
        <w:t>to</w:t>
      </w:r>
      <w:r>
        <w:rPr>
          <w:spacing w:val="-4"/>
        </w:rPr>
        <w:t xml:space="preserve"> </w:t>
      </w:r>
      <w:r>
        <w:t>be</w:t>
      </w:r>
      <w:r>
        <w:rPr>
          <w:spacing w:val="-5"/>
        </w:rPr>
        <w:t xml:space="preserve"> </w:t>
      </w:r>
      <w:r>
        <w:t>a</w:t>
      </w:r>
      <w:r>
        <w:rPr>
          <w:spacing w:val="-5"/>
        </w:rPr>
        <w:t xml:space="preserve"> </w:t>
      </w:r>
      <w:r>
        <w:t>substantial</w:t>
      </w:r>
      <w:r>
        <w:rPr>
          <w:spacing w:val="-4"/>
        </w:rPr>
        <w:t xml:space="preserve"> </w:t>
      </w:r>
      <w:r>
        <w:t>change</w:t>
      </w:r>
      <w:r>
        <w:rPr>
          <w:spacing w:val="-5"/>
        </w:rPr>
        <w:t xml:space="preserve"> </w:t>
      </w:r>
      <w:r>
        <w:t>in</w:t>
      </w:r>
      <w:r>
        <w:rPr>
          <w:spacing w:val="-4"/>
        </w:rPr>
        <w:t xml:space="preserve"> </w:t>
      </w:r>
      <w:r>
        <w:t>the</w:t>
      </w:r>
      <w:r>
        <w:rPr>
          <w:spacing w:val="-5"/>
        </w:rPr>
        <w:t xml:space="preserve"> </w:t>
      </w:r>
      <w:r>
        <w:t>A/B</w:t>
      </w:r>
      <w:r>
        <w:rPr>
          <w:spacing w:val="-2"/>
        </w:rPr>
        <w:t xml:space="preserve"> </w:t>
      </w:r>
      <w:r>
        <w:t>mandatory</w:t>
      </w:r>
      <w:r>
        <w:rPr>
          <w:spacing w:val="-4"/>
        </w:rPr>
        <w:t xml:space="preserve"> </w:t>
      </w:r>
      <w:r>
        <w:t>supplemental benefit; and</w:t>
      </w:r>
    </w:p>
    <w:p>
      <w:pPr>
        <w:pStyle w:val="ListParagraph"/>
        <w:numPr>
          <w:ilvl w:val="4"/>
          <w:numId w:val="26"/>
        </w:numPr>
        <w:tabs>
          <w:tab w:val="left" w:pos="2304"/>
        </w:tabs>
        <w:spacing w:before="120" w:after="0" w:line="240" w:lineRule="auto"/>
        <w:ind w:left="2304" w:right="1485" w:hanging="720"/>
        <w:jc w:val="left"/>
        <w:rPr>
          <w:sz w:val="24"/>
        </w:rPr>
      </w:pPr>
      <w:r>
        <w:rPr>
          <w:sz w:val="24"/>
        </w:rPr>
        <w:t>Changes in MA pricing assumptions for the incremental change in A/B mandatory supplemental benefits and the associated impact on other pricing assumptions</w:t>
      </w:r>
      <w:r>
        <w:rPr>
          <w:spacing w:val="-5"/>
          <w:sz w:val="24"/>
        </w:rPr>
        <w:t xml:space="preserve"> </w:t>
      </w:r>
      <w:r>
        <w:rPr>
          <w:sz w:val="24"/>
        </w:rPr>
        <w:t>(that</w:t>
      </w:r>
      <w:r>
        <w:rPr>
          <w:spacing w:val="-4"/>
          <w:sz w:val="24"/>
        </w:rPr>
        <w:t xml:space="preserve"> </w:t>
      </w:r>
      <w:r>
        <w:rPr>
          <w:sz w:val="24"/>
        </w:rPr>
        <w:t>is,</w:t>
      </w:r>
      <w:r>
        <w:rPr>
          <w:spacing w:val="-4"/>
          <w:sz w:val="24"/>
        </w:rPr>
        <w:t xml:space="preserve"> </w:t>
      </w:r>
      <w:r>
        <w:rPr>
          <w:sz w:val="24"/>
        </w:rPr>
        <w:t>flow-through</w:t>
      </w:r>
      <w:r>
        <w:rPr>
          <w:spacing w:val="-4"/>
          <w:sz w:val="24"/>
        </w:rPr>
        <w:t xml:space="preserve"> </w:t>
      </w:r>
      <w:r>
        <w:rPr>
          <w:sz w:val="24"/>
        </w:rPr>
        <w:t>pricing),</w:t>
      </w:r>
      <w:r>
        <w:rPr>
          <w:spacing w:val="-2"/>
          <w:sz w:val="24"/>
        </w:rPr>
        <w:t xml:space="preserve"> </w:t>
      </w:r>
      <w:r>
        <w:rPr>
          <w:sz w:val="24"/>
        </w:rPr>
        <w:t>as</w:t>
      </w:r>
      <w:r>
        <w:rPr>
          <w:spacing w:val="-5"/>
          <w:sz w:val="24"/>
        </w:rPr>
        <w:t xml:space="preserve"> </w:t>
      </w:r>
      <w:r>
        <w:rPr>
          <w:sz w:val="24"/>
        </w:rPr>
        <w:t>described</w:t>
      </w:r>
      <w:r>
        <w:rPr>
          <w:spacing w:val="-4"/>
          <w:sz w:val="24"/>
        </w:rPr>
        <w:t xml:space="preserve"> </w:t>
      </w:r>
      <w:r>
        <w:rPr>
          <w:sz w:val="24"/>
        </w:rPr>
        <w:t>in</w:t>
      </w:r>
      <w:r>
        <w:rPr>
          <w:spacing w:val="-4"/>
          <w:sz w:val="24"/>
        </w:rPr>
        <w:t xml:space="preserve"> </w:t>
      </w:r>
      <w:r>
        <w:rPr>
          <w:sz w:val="24"/>
        </w:rPr>
        <w:t>section III</w:t>
      </w:r>
      <w:r>
        <w:rPr>
          <w:spacing w:val="-4"/>
          <w:sz w:val="24"/>
        </w:rPr>
        <w:t xml:space="preserve"> </w:t>
      </w:r>
      <w:r>
        <w:rPr>
          <w:sz w:val="24"/>
        </w:rPr>
        <w:t>of</w:t>
      </w:r>
      <w:r>
        <w:rPr>
          <w:spacing w:val="-6"/>
          <w:sz w:val="24"/>
        </w:rPr>
        <w:t xml:space="preserve"> </w:t>
      </w:r>
      <w:r>
        <w:rPr>
          <w:sz w:val="24"/>
        </w:rPr>
        <w:t xml:space="preserve">this appendix, are permitted only for the bids involved in rebate reallocation. Note that flow-through pricing may be limited by items 10.3.1 and 10.3.2 </w:t>
      </w:r>
      <w:r>
        <w:rPr>
          <w:spacing w:val="-2"/>
          <w:sz w:val="24"/>
        </w:rPr>
        <w:t>above.</w:t>
      </w:r>
    </w:p>
    <w:p>
      <w:pPr>
        <w:pStyle w:val="ListParagraph"/>
        <w:numPr>
          <w:ilvl w:val="2"/>
          <w:numId w:val="26"/>
        </w:numPr>
        <w:tabs>
          <w:tab w:val="left" w:pos="924"/>
        </w:tabs>
        <w:spacing w:before="120" w:after="0" w:line="240" w:lineRule="auto"/>
        <w:ind w:left="924" w:right="1539" w:hanging="420"/>
        <w:jc w:val="left"/>
        <w:rPr>
          <w:sz w:val="24"/>
        </w:rPr>
      </w:pPr>
      <w:r>
        <w:rPr>
          <w:sz w:val="24"/>
        </w:rPr>
        <w:t>CMS</w:t>
      </w:r>
      <w:r>
        <w:rPr>
          <w:spacing w:val="-3"/>
          <w:sz w:val="24"/>
        </w:rPr>
        <w:t xml:space="preserve"> </w:t>
      </w:r>
      <w:r>
        <w:rPr>
          <w:sz w:val="24"/>
        </w:rPr>
        <w:t>will</w:t>
      </w:r>
      <w:r>
        <w:rPr>
          <w:spacing w:val="-3"/>
          <w:sz w:val="24"/>
        </w:rPr>
        <w:t xml:space="preserve"> </w:t>
      </w:r>
      <w:r>
        <w:rPr>
          <w:sz w:val="24"/>
        </w:rPr>
        <w:t>allow</w:t>
      </w:r>
      <w:r>
        <w:rPr>
          <w:spacing w:val="-3"/>
          <w:sz w:val="24"/>
        </w:rPr>
        <w:t xml:space="preserve"> </w:t>
      </w:r>
      <w:r>
        <w:rPr>
          <w:sz w:val="24"/>
        </w:rPr>
        <w:t>additional</w:t>
      </w:r>
      <w:r>
        <w:rPr>
          <w:spacing w:val="-2"/>
          <w:sz w:val="24"/>
        </w:rPr>
        <w:t xml:space="preserve"> </w:t>
      </w:r>
      <w:r>
        <w:rPr>
          <w:sz w:val="24"/>
        </w:rPr>
        <w:t>changes</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MA</w:t>
      </w:r>
      <w:r>
        <w:rPr>
          <w:spacing w:val="-4"/>
          <w:sz w:val="24"/>
        </w:rPr>
        <w:t xml:space="preserve"> </w:t>
      </w:r>
      <w:r>
        <w:rPr>
          <w:sz w:val="24"/>
        </w:rPr>
        <w:t>gain/loss</w:t>
      </w:r>
      <w:r>
        <w:rPr>
          <w:spacing w:val="-4"/>
          <w:sz w:val="24"/>
        </w:rPr>
        <w:t xml:space="preserve"> </w:t>
      </w:r>
      <w:r>
        <w:rPr>
          <w:sz w:val="24"/>
        </w:rPr>
        <w:t>margin</w:t>
      </w:r>
      <w:r>
        <w:rPr>
          <w:spacing w:val="-3"/>
          <w:sz w:val="24"/>
        </w:rPr>
        <w:t xml:space="preserve"> </w:t>
      </w:r>
      <w:r>
        <w:rPr>
          <w:sz w:val="24"/>
        </w:rPr>
        <w:t>PMPM</w:t>
      </w:r>
      <w:r>
        <w:rPr>
          <w:spacing w:val="-3"/>
          <w:sz w:val="24"/>
        </w:rPr>
        <w:t xml:space="preserve"> </w:t>
      </w:r>
      <w:r>
        <w:rPr>
          <w:sz w:val="24"/>
        </w:rPr>
        <w:t>when</w:t>
      </w:r>
      <w:r>
        <w:rPr>
          <w:spacing w:val="-3"/>
          <w:sz w:val="24"/>
        </w:rPr>
        <w:t xml:space="preserve"> </w:t>
      </w:r>
      <w:r>
        <w:rPr>
          <w:sz w:val="24"/>
        </w:rPr>
        <w:t>it</w:t>
      </w:r>
      <w:r>
        <w:rPr>
          <w:spacing w:val="-3"/>
          <w:sz w:val="24"/>
        </w:rPr>
        <w:t xml:space="preserve"> </w:t>
      </w:r>
      <w:r>
        <w:rPr>
          <w:sz w:val="24"/>
        </w:rPr>
        <w:t>is</w:t>
      </w:r>
      <w:r>
        <w:rPr>
          <w:spacing w:val="-4"/>
          <w:sz w:val="24"/>
        </w:rPr>
        <w:t xml:space="preserve"> </w:t>
      </w:r>
      <w:r>
        <w:rPr>
          <w:sz w:val="24"/>
        </w:rPr>
        <w:t>required for an MAO to comply with CMS’s TBC requirement.</w:t>
      </w:r>
    </w:p>
    <w:p>
      <w:pPr>
        <w:pStyle w:val="ListParagraph"/>
        <w:numPr>
          <w:ilvl w:val="3"/>
          <w:numId w:val="26"/>
        </w:numPr>
        <w:tabs>
          <w:tab w:val="left" w:pos="1584"/>
        </w:tabs>
        <w:spacing w:before="121" w:after="0" w:line="240" w:lineRule="auto"/>
        <w:ind w:left="1584" w:right="1771" w:hanging="720"/>
        <w:jc w:val="left"/>
        <w:rPr>
          <w:sz w:val="24"/>
        </w:rPr>
      </w:pPr>
      <w:r>
        <w:rPr>
          <w:sz w:val="24"/>
        </w:rPr>
        <w:t>After</w:t>
      </w:r>
      <w:r>
        <w:rPr>
          <w:spacing w:val="-1"/>
          <w:sz w:val="24"/>
        </w:rPr>
        <w:t xml:space="preserve"> </w:t>
      </w:r>
      <w:r>
        <w:rPr>
          <w:sz w:val="24"/>
        </w:rPr>
        <w:t>CMS’s release of the MA regional benchmarks and the Part D benchmarks and</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an</w:t>
      </w:r>
      <w:r>
        <w:rPr>
          <w:spacing w:val="-3"/>
          <w:sz w:val="24"/>
        </w:rPr>
        <w:t xml:space="preserve"> </w:t>
      </w:r>
      <w:r>
        <w:rPr>
          <w:sz w:val="24"/>
        </w:rPr>
        <w:t>MAO’s</w:t>
      </w:r>
      <w:r>
        <w:rPr>
          <w:spacing w:val="-4"/>
          <w:sz w:val="24"/>
        </w:rPr>
        <w:t xml:space="preserve"> </w:t>
      </w:r>
      <w:r>
        <w:rPr>
          <w:sz w:val="24"/>
        </w:rPr>
        <w:t>participation</w:t>
      </w:r>
      <w:r>
        <w:rPr>
          <w:spacing w:val="-3"/>
          <w:sz w:val="24"/>
        </w:rPr>
        <w:t xml:space="preserve"> </w:t>
      </w:r>
      <w:r>
        <w:rPr>
          <w:sz w:val="24"/>
        </w:rPr>
        <w:t>in</w:t>
      </w:r>
      <w:r>
        <w:rPr>
          <w:spacing w:val="-3"/>
          <w:sz w:val="24"/>
        </w:rPr>
        <w:t xml:space="preserve"> </w:t>
      </w:r>
      <w:r>
        <w:rPr>
          <w:sz w:val="24"/>
        </w:rPr>
        <w:t>rebate</w:t>
      </w:r>
      <w:r>
        <w:rPr>
          <w:spacing w:val="-2"/>
          <w:sz w:val="24"/>
        </w:rPr>
        <w:t xml:space="preserve"> </w:t>
      </w:r>
      <w:r>
        <w:rPr>
          <w:sz w:val="24"/>
        </w:rPr>
        <w:t>reallocation</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plan,</w:t>
      </w:r>
      <w:r>
        <w:rPr>
          <w:spacing w:val="-3"/>
          <w:sz w:val="24"/>
        </w:rPr>
        <w:t xml:space="preserve"> </w:t>
      </w:r>
      <w:r>
        <w:rPr>
          <w:sz w:val="24"/>
        </w:rPr>
        <w:t>if</w:t>
      </w:r>
      <w:r>
        <w:rPr>
          <w:spacing w:val="-4"/>
          <w:sz w:val="24"/>
        </w:rPr>
        <w:t xml:space="preserve"> </w:t>
      </w:r>
      <w:r>
        <w:rPr>
          <w:sz w:val="24"/>
        </w:rPr>
        <w:t>the</w:t>
      </w:r>
      <w:r>
        <w:rPr>
          <w:spacing w:val="-2"/>
          <w:sz w:val="24"/>
        </w:rPr>
        <w:t xml:space="preserve"> </w:t>
      </w:r>
      <w:r>
        <w:rPr>
          <w:sz w:val="24"/>
        </w:rPr>
        <w:t>plan’s premium increases due to the updates to the benchmarks such that it is no longer compliant with CMS’s TBC requirements, the MAO is required to make any necessary changes to ensure compliance with TBC requirements. Additionally, when making adjustments for TBC compliance, the MAO may be required, permitted, or not permitted to return to the target intention for the Part D basic premium, as specified in applicable guidance.</w:t>
      </w:r>
    </w:p>
    <w:p>
      <w:pPr>
        <w:pStyle w:val="ListParagraph"/>
        <w:numPr>
          <w:ilvl w:val="4"/>
          <w:numId w:val="26"/>
        </w:numPr>
        <w:tabs>
          <w:tab w:val="left" w:pos="2304"/>
        </w:tabs>
        <w:spacing w:before="120" w:after="0" w:line="240" w:lineRule="auto"/>
        <w:ind w:left="2304" w:right="1452" w:hanging="720"/>
        <w:jc w:val="left"/>
        <w:rPr>
          <w:sz w:val="24"/>
        </w:rPr>
      </w:pPr>
      <w:r>
        <w:rPr>
          <w:sz w:val="24"/>
        </w:rPr>
        <w:t>Plans may adjust the MA gain/loss margin PMPM when the plan modifies A/B mandatory supplemental benefits that do not affect the TBC calculation (such as non-covered or Professional supplemental benefits not included in the OOPC model). MA gain/loss margin PMPM may be adjusted without changes to these benefits if the plan can demonstrate that TBC compliance cannot</w:t>
      </w:r>
      <w:r>
        <w:rPr>
          <w:spacing w:val="-4"/>
          <w:sz w:val="24"/>
        </w:rPr>
        <w:t xml:space="preserve"> </w:t>
      </w:r>
      <w:r>
        <w:rPr>
          <w:sz w:val="24"/>
        </w:rPr>
        <w:t>otherwise</w:t>
      </w:r>
      <w:r>
        <w:rPr>
          <w:spacing w:val="-4"/>
          <w:sz w:val="24"/>
        </w:rPr>
        <w:t xml:space="preserve"> </w:t>
      </w:r>
      <w:r>
        <w:rPr>
          <w:sz w:val="24"/>
        </w:rPr>
        <w:t>be</w:t>
      </w:r>
      <w:r>
        <w:rPr>
          <w:spacing w:val="-5"/>
          <w:sz w:val="24"/>
        </w:rPr>
        <w:t xml:space="preserve"> </w:t>
      </w:r>
      <w:r>
        <w:rPr>
          <w:sz w:val="24"/>
        </w:rPr>
        <w:t>achieved,</w:t>
      </w:r>
      <w:r>
        <w:rPr>
          <w:spacing w:val="-4"/>
          <w:sz w:val="24"/>
        </w:rPr>
        <w:t xml:space="preserve"> </w:t>
      </w:r>
      <w:r>
        <w:rPr>
          <w:sz w:val="24"/>
        </w:rPr>
        <w:t>which</w:t>
      </w:r>
      <w:r>
        <w:rPr>
          <w:spacing w:val="-4"/>
          <w:sz w:val="24"/>
        </w:rPr>
        <w:t xml:space="preserve"> </w:t>
      </w:r>
      <w:r>
        <w:rPr>
          <w:sz w:val="24"/>
        </w:rPr>
        <w:t>may</w:t>
      </w:r>
      <w:r>
        <w:rPr>
          <w:spacing w:val="-4"/>
          <w:sz w:val="24"/>
        </w:rPr>
        <w:t xml:space="preserve"> </w:t>
      </w:r>
      <w:r>
        <w:rPr>
          <w:sz w:val="24"/>
        </w:rPr>
        <w:t>occur</w:t>
      </w:r>
      <w:r>
        <w:rPr>
          <w:spacing w:val="-2"/>
          <w:sz w:val="24"/>
        </w:rPr>
        <w:t xml:space="preserve"> </w:t>
      </w:r>
      <w:r>
        <w:rPr>
          <w:sz w:val="24"/>
        </w:rPr>
        <w:t>when</w:t>
      </w:r>
      <w:r>
        <w:rPr>
          <w:spacing w:val="-5"/>
          <w:sz w:val="24"/>
        </w:rPr>
        <w:t xml:space="preserve"> </w:t>
      </w:r>
      <w:r>
        <w:rPr>
          <w:sz w:val="24"/>
        </w:rPr>
        <w:t>the</w:t>
      </w:r>
      <w:r>
        <w:rPr>
          <w:spacing w:val="-4"/>
          <w:sz w:val="24"/>
        </w:rPr>
        <w:t xml:space="preserve"> </w:t>
      </w:r>
      <w:r>
        <w:rPr>
          <w:sz w:val="24"/>
        </w:rPr>
        <w:t>plan</w:t>
      </w:r>
      <w:r>
        <w:rPr>
          <w:spacing w:val="-4"/>
          <w:sz w:val="24"/>
        </w:rPr>
        <w:t xml:space="preserve"> </w:t>
      </w:r>
      <w:r>
        <w:rPr>
          <w:sz w:val="24"/>
        </w:rPr>
        <w:t>does</w:t>
      </w:r>
      <w:r>
        <w:rPr>
          <w:spacing w:val="-5"/>
          <w:sz w:val="24"/>
        </w:rPr>
        <w:t xml:space="preserve"> </w:t>
      </w:r>
      <w:r>
        <w:rPr>
          <w:sz w:val="24"/>
        </w:rPr>
        <w:t>not</w:t>
      </w:r>
      <w:r>
        <w:rPr>
          <w:spacing w:val="-4"/>
          <w:sz w:val="24"/>
        </w:rPr>
        <w:t xml:space="preserve"> </w:t>
      </w:r>
      <w:r>
        <w:rPr>
          <w:sz w:val="24"/>
        </w:rPr>
        <w:t>offer any A/B mandatory supplemental benefits that do not affect the TBC calculation.</w:t>
      </w:r>
      <w:r>
        <w:rPr>
          <w:spacing w:val="-4"/>
          <w:sz w:val="24"/>
        </w:rPr>
        <w:t xml:space="preserve"> </w:t>
      </w:r>
      <w:r>
        <w:rPr>
          <w:sz w:val="24"/>
        </w:rPr>
        <w:t>Any</w:t>
      </w:r>
      <w:r>
        <w:rPr>
          <w:spacing w:val="-5"/>
          <w:sz w:val="24"/>
        </w:rPr>
        <w:t xml:space="preserve"> </w:t>
      </w:r>
      <w:r>
        <w:rPr>
          <w:sz w:val="24"/>
        </w:rPr>
        <w:t>change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MA</w:t>
      </w:r>
      <w:r>
        <w:rPr>
          <w:spacing w:val="-4"/>
          <w:sz w:val="24"/>
        </w:rPr>
        <w:t xml:space="preserve"> </w:t>
      </w:r>
      <w:r>
        <w:rPr>
          <w:sz w:val="24"/>
        </w:rPr>
        <w:t>gain/loss</w:t>
      </w:r>
      <w:r>
        <w:rPr>
          <w:spacing w:val="-4"/>
          <w:sz w:val="24"/>
        </w:rPr>
        <w:t xml:space="preserve"> </w:t>
      </w:r>
      <w:r>
        <w:rPr>
          <w:sz w:val="24"/>
        </w:rPr>
        <w:t>margin</w:t>
      </w:r>
      <w:r>
        <w:rPr>
          <w:spacing w:val="-3"/>
          <w:sz w:val="24"/>
        </w:rPr>
        <w:t xml:space="preserve"> </w:t>
      </w:r>
      <w:r>
        <w:rPr>
          <w:sz w:val="24"/>
        </w:rPr>
        <w:t>PMPM</w:t>
      </w:r>
      <w:r>
        <w:rPr>
          <w:spacing w:val="-3"/>
          <w:sz w:val="24"/>
        </w:rPr>
        <w:t xml:space="preserve"> </w:t>
      </w:r>
      <w:r>
        <w:rPr>
          <w:sz w:val="24"/>
        </w:rPr>
        <w:t>must</w:t>
      </w:r>
      <w:r>
        <w:rPr>
          <w:spacing w:val="-3"/>
          <w:sz w:val="24"/>
        </w:rPr>
        <w:t xml:space="preserve"> </w:t>
      </w:r>
      <w:r>
        <w:rPr>
          <w:sz w:val="24"/>
        </w:rPr>
        <w:t>not</w:t>
      </w:r>
      <w:r>
        <w:rPr>
          <w:spacing w:val="-4"/>
          <w:sz w:val="24"/>
        </w:rPr>
        <w:t xml:space="preserve"> </w:t>
      </w:r>
      <w:r>
        <w:rPr>
          <w:sz w:val="24"/>
        </w:rPr>
        <w:t>exceed the amount needed to change the premium such that the plan’s TBC value is reduced to equal the TBC threshold amount.</w:t>
      </w:r>
    </w:p>
    <w:p>
      <w:pPr>
        <w:pStyle w:val="ListParagraph"/>
        <w:numPr>
          <w:ilvl w:val="3"/>
          <w:numId w:val="26"/>
        </w:numPr>
        <w:tabs>
          <w:tab w:val="left" w:pos="1584"/>
        </w:tabs>
        <w:spacing w:before="121" w:after="0" w:line="240" w:lineRule="auto"/>
        <w:ind w:left="1584" w:right="1489" w:hanging="720"/>
        <w:jc w:val="left"/>
        <w:rPr>
          <w:sz w:val="24"/>
        </w:rPr>
      </w:pPr>
      <w:r>
        <w:rPr>
          <w:sz w:val="24"/>
        </w:rPr>
        <w:t>After an MAO participates in rebate reallocation for a plan, if the MAO’s changes in</w:t>
      </w:r>
      <w:r>
        <w:rPr>
          <w:spacing w:val="-4"/>
          <w:sz w:val="24"/>
        </w:rPr>
        <w:t xml:space="preserve"> </w:t>
      </w:r>
      <w:r>
        <w:rPr>
          <w:sz w:val="24"/>
        </w:rPr>
        <w:t>A/B</w:t>
      </w:r>
      <w:r>
        <w:rPr>
          <w:spacing w:val="-4"/>
          <w:sz w:val="24"/>
        </w:rPr>
        <w:t xml:space="preserve"> </w:t>
      </w:r>
      <w:r>
        <w:rPr>
          <w:sz w:val="24"/>
        </w:rPr>
        <w:t>mandatory</w:t>
      </w:r>
      <w:r>
        <w:rPr>
          <w:spacing w:val="-4"/>
          <w:sz w:val="24"/>
        </w:rPr>
        <w:t xml:space="preserve"> </w:t>
      </w:r>
      <w:r>
        <w:rPr>
          <w:sz w:val="24"/>
        </w:rPr>
        <w:t>supplemental</w:t>
      </w:r>
      <w:r>
        <w:rPr>
          <w:spacing w:val="-4"/>
          <w:sz w:val="24"/>
        </w:rPr>
        <w:t xml:space="preserve"> </w:t>
      </w:r>
      <w:r>
        <w:rPr>
          <w:sz w:val="24"/>
        </w:rPr>
        <w:t>benefits</w:t>
      </w:r>
      <w:r>
        <w:rPr>
          <w:spacing w:val="-3"/>
          <w:sz w:val="24"/>
        </w:rPr>
        <w:t xml:space="preserve"> </w:t>
      </w:r>
      <w:r>
        <w:rPr>
          <w:sz w:val="24"/>
        </w:rPr>
        <w:t>during</w:t>
      </w:r>
      <w:r>
        <w:rPr>
          <w:spacing w:val="-4"/>
          <w:sz w:val="24"/>
        </w:rPr>
        <w:t xml:space="preserve"> </w:t>
      </w:r>
      <w:r>
        <w:rPr>
          <w:sz w:val="24"/>
        </w:rPr>
        <w:t>rebate</w:t>
      </w:r>
      <w:r>
        <w:rPr>
          <w:spacing w:val="-4"/>
          <w:sz w:val="24"/>
        </w:rPr>
        <w:t xml:space="preserve"> </w:t>
      </w:r>
      <w:r>
        <w:rPr>
          <w:sz w:val="24"/>
        </w:rPr>
        <w:t>reallocation</w:t>
      </w:r>
      <w:r>
        <w:rPr>
          <w:spacing w:val="-3"/>
          <w:sz w:val="24"/>
        </w:rPr>
        <w:t xml:space="preserve"> </w:t>
      </w:r>
      <w:r>
        <w:rPr>
          <w:sz w:val="24"/>
        </w:rPr>
        <w:t>cause</w:t>
      </w:r>
      <w:r>
        <w:rPr>
          <w:spacing w:val="-5"/>
          <w:sz w:val="24"/>
        </w:rPr>
        <w:t xml:space="preserve"> </w:t>
      </w:r>
      <w:r>
        <w:rPr>
          <w:sz w:val="24"/>
        </w:rPr>
        <w:t>the</w:t>
      </w:r>
      <w:r>
        <w:rPr>
          <w:spacing w:val="-5"/>
          <w:sz w:val="24"/>
        </w:rPr>
        <w:t xml:space="preserve"> </w:t>
      </w:r>
      <w:r>
        <w:rPr>
          <w:sz w:val="24"/>
        </w:rPr>
        <w:t>plan</w:t>
      </w:r>
      <w:r>
        <w:rPr>
          <w:spacing w:val="-5"/>
          <w:sz w:val="24"/>
        </w:rPr>
        <w:t xml:space="preserve"> </w:t>
      </w:r>
      <w:r>
        <w:rPr>
          <w:sz w:val="24"/>
        </w:rPr>
        <w:t>to no longer comply with CMS’s TBC requirements, CMS will require the MAO to resubmit to comply with TBC requirements by changing (i) A/B mandatory supplemental benefits; or (ii) MA, Part D, or Part B premiums. CMS will only permit additional changes in MA gain/loss margin PMPM (that is, additional to the changes in MA gain/loss margin PMPM in 10.3.2 and for premium rounding) as a last resort in this case.</w:t>
      </w:r>
    </w:p>
    <w:p>
      <w:pPr>
        <w:pStyle w:val="ListParagraph"/>
        <w:numPr>
          <w:ilvl w:val="2"/>
          <w:numId w:val="26"/>
        </w:numPr>
        <w:tabs>
          <w:tab w:val="left" w:pos="924"/>
        </w:tabs>
        <w:spacing w:before="121" w:after="0" w:line="240" w:lineRule="auto"/>
        <w:ind w:left="924" w:right="1485" w:hanging="420"/>
        <w:jc w:val="left"/>
        <w:rPr>
          <w:sz w:val="24"/>
        </w:rPr>
      </w:pPr>
      <w:r>
        <w:rPr>
          <w:sz w:val="24"/>
        </w:rPr>
        <w:t>Per Appendix B, item 45, support may be required for changes in PMPM bid values as a result</w:t>
      </w:r>
      <w:r>
        <w:rPr>
          <w:spacing w:val="-3"/>
          <w:sz w:val="24"/>
        </w:rPr>
        <w:t xml:space="preserve"> </w:t>
      </w:r>
      <w:r>
        <w:rPr>
          <w:sz w:val="24"/>
        </w:rPr>
        <w:t>of</w:t>
      </w:r>
      <w:r>
        <w:rPr>
          <w:spacing w:val="-4"/>
          <w:sz w:val="24"/>
        </w:rPr>
        <w:t xml:space="preserve"> </w:t>
      </w:r>
      <w:r>
        <w:rPr>
          <w:sz w:val="24"/>
        </w:rPr>
        <w:t>rebate</w:t>
      </w:r>
      <w:r>
        <w:rPr>
          <w:spacing w:val="-4"/>
          <w:sz w:val="24"/>
        </w:rPr>
        <w:t xml:space="preserve"> </w:t>
      </w:r>
      <w:r>
        <w:rPr>
          <w:sz w:val="24"/>
        </w:rPr>
        <w:t>reallocation.</w:t>
      </w:r>
      <w:r>
        <w:rPr>
          <w:spacing w:val="-4"/>
          <w:sz w:val="24"/>
        </w:rPr>
        <w:t xml:space="preserve"> </w:t>
      </w:r>
      <w:r>
        <w:rPr>
          <w:sz w:val="24"/>
        </w:rPr>
        <w:t>When</w:t>
      </w:r>
      <w:r>
        <w:rPr>
          <w:spacing w:val="-4"/>
          <w:sz w:val="24"/>
        </w:rPr>
        <w:t xml:space="preserve"> </w:t>
      </w:r>
      <w:r>
        <w:rPr>
          <w:sz w:val="24"/>
        </w:rPr>
        <w:t>requested</w:t>
      </w:r>
      <w:r>
        <w:rPr>
          <w:spacing w:val="-4"/>
          <w:sz w:val="24"/>
        </w:rPr>
        <w:t xml:space="preserve"> </w:t>
      </w:r>
      <w:r>
        <w:rPr>
          <w:sz w:val="24"/>
        </w:rPr>
        <w:t>the</w:t>
      </w:r>
      <w:r>
        <w:rPr>
          <w:spacing w:val="-5"/>
          <w:sz w:val="24"/>
        </w:rPr>
        <w:t xml:space="preserve"> </w:t>
      </w:r>
      <w:r>
        <w:rPr>
          <w:sz w:val="24"/>
        </w:rPr>
        <w:t>following</w:t>
      </w:r>
      <w:r>
        <w:rPr>
          <w:spacing w:val="-4"/>
          <w:sz w:val="24"/>
        </w:rPr>
        <w:t xml:space="preserve"> </w:t>
      </w:r>
      <w:r>
        <w:rPr>
          <w:sz w:val="24"/>
        </w:rPr>
        <w:t>information</w:t>
      </w:r>
      <w:r>
        <w:rPr>
          <w:spacing w:val="-4"/>
          <w:sz w:val="24"/>
        </w:rPr>
        <w:t xml:space="preserve"> </w:t>
      </w:r>
      <w:r>
        <w:rPr>
          <w:sz w:val="24"/>
        </w:rPr>
        <w:t>is</w:t>
      </w:r>
      <w:r>
        <w:rPr>
          <w:spacing w:val="-5"/>
          <w:sz w:val="24"/>
        </w:rPr>
        <w:t xml:space="preserve"> </w:t>
      </w:r>
      <w:r>
        <w:rPr>
          <w:sz w:val="24"/>
        </w:rPr>
        <w:t>to</w:t>
      </w:r>
      <w:r>
        <w:rPr>
          <w:spacing w:val="-4"/>
          <w:sz w:val="24"/>
        </w:rPr>
        <w:t xml:space="preserve"> </w:t>
      </w:r>
      <w:r>
        <w:rPr>
          <w:sz w:val="24"/>
        </w:rPr>
        <w:t>be</w:t>
      </w:r>
      <w:r>
        <w:rPr>
          <w:spacing w:val="-5"/>
          <w:sz w:val="24"/>
        </w:rPr>
        <w:t xml:space="preserve"> </w:t>
      </w:r>
      <w:r>
        <w:rPr>
          <w:sz w:val="24"/>
        </w:rPr>
        <w:t>provided—</w:t>
      </w:r>
    </w:p>
    <w:p>
      <w:pPr>
        <w:pStyle w:val="ListParagraph"/>
        <w:numPr>
          <w:ilvl w:val="3"/>
          <w:numId w:val="26"/>
        </w:numPr>
        <w:tabs>
          <w:tab w:val="left" w:pos="1584"/>
        </w:tabs>
        <w:spacing w:before="120" w:after="0" w:line="240" w:lineRule="auto"/>
        <w:ind w:left="1584" w:right="1561" w:hanging="720"/>
        <w:jc w:val="left"/>
        <w:rPr>
          <w:sz w:val="24"/>
        </w:rPr>
      </w:pPr>
      <w:r>
        <w:rPr>
          <w:sz w:val="24"/>
        </w:rPr>
        <w:t>A</w:t>
      </w:r>
      <w:r>
        <w:rPr>
          <w:spacing w:val="-4"/>
          <w:sz w:val="24"/>
        </w:rPr>
        <w:t xml:space="preserve"> </w:t>
      </w:r>
      <w:r>
        <w:rPr>
          <w:sz w:val="24"/>
        </w:rPr>
        <w:t>statement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intent</w:t>
      </w:r>
      <w:r>
        <w:rPr>
          <w:spacing w:val="-2"/>
          <w:sz w:val="24"/>
        </w:rPr>
        <w:t xml:space="preserve"> </w:t>
      </w:r>
      <w:r>
        <w:rPr>
          <w:sz w:val="24"/>
        </w:rPr>
        <w:t>to</w:t>
      </w:r>
      <w:r>
        <w:rPr>
          <w:spacing w:val="-3"/>
          <w:sz w:val="24"/>
        </w:rPr>
        <w:t xml:space="preserve"> </w:t>
      </w:r>
      <w:r>
        <w:rPr>
          <w:sz w:val="24"/>
        </w:rPr>
        <w:t>participate</w:t>
      </w:r>
      <w:r>
        <w:rPr>
          <w:spacing w:val="-4"/>
          <w:sz w:val="24"/>
        </w:rPr>
        <w:t xml:space="preserve"> </w:t>
      </w:r>
      <w:r>
        <w:rPr>
          <w:sz w:val="24"/>
        </w:rPr>
        <w:t>in</w:t>
      </w:r>
      <w:r>
        <w:rPr>
          <w:spacing w:val="-3"/>
          <w:sz w:val="24"/>
        </w:rPr>
        <w:t xml:space="preserve"> </w:t>
      </w:r>
      <w:r>
        <w:rPr>
          <w:sz w:val="24"/>
        </w:rPr>
        <w:t>rebate</w:t>
      </w:r>
      <w:r>
        <w:rPr>
          <w:spacing w:val="-3"/>
          <w:sz w:val="24"/>
        </w:rPr>
        <w:t xml:space="preserve"> </w:t>
      </w:r>
      <w:r>
        <w:rPr>
          <w:sz w:val="24"/>
        </w:rPr>
        <w:t>reallocation,</w:t>
      </w:r>
      <w:r>
        <w:rPr>
          <w:spacing w:val="-3"/>
          <w:sz w:val="24"/>
        </w:rPr>
        <w:t xml:space="preserve"> </w:t>
      </w:r>
      <w:r>
        <w:rPr>
          <w:sz w:val="24"/>
        </w:rPr>
        <w:t>premium</w:t>
      </w:r>
      <w:r>
        <w:rPr>
          <w:spacing w:val="-3"/>
          <w:sz w:val="24"/>
        </w:rPr>
        <w:t xml:space="preserve"> </w:t>
      </w:r>
      <w:r>
        <w:rPr>
          <w:sz w:val="24"/>
        </w:rPr>
        <w:t>rounding,</w:t>
      </w:r>
      <w:r>
        <w:rPr>
          <w:spacing w:val="-3"/>
          <w:sz w:val="24"/>
        </w:rPr>
        <w:t xml:space="preserve"> </w:t>
      </w:r>
      <w:r>
        <w:rPr>
          <w:sz w:val="24"/>
        </w:rPr>
        <w:t>or both rebate reallocation and premium rounding.</w:t>
      </w:r>
    </w:p>
    <w:p>
      <w:pPr>
        <w:pStyle w:val="ListParagraph"/>
        <w:numPr>
          <w:ilvl w:val="3"/>
          <w:numId w:val="26"/>
        </w:numPr>
        <w:tabs>
          <w:tab w:val="left" w:pos="1584"/>
        </w:tabs>
        <w:spacing w:before="120" w:after="0" w:line="240" w:lineRule="auto"/>
        <w:ind w:left="1584" w:right="1523" w:hanging="720"/>
        <w:jc w:val="left"/>
        <w:rPr>
          <w:sz w:val="24"/>
        </w:rPr>
      </w:pPr>
      <w:r>
        <w:rPr>
          <w:sz w:val="24"/>
        </w:rPr>
        <w:t>Reconciliation</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amount</w:t>
      </w:r>
      <w:r>
        <w:rPr>
          <w:spacing w:val="-4"/>
          <w:sz w:val="24"/>
        </w:rPr>
        <w:t xml:space="preserve"> </w:t>
      </w:r>
      <w:r>
        <w:rPr>
          <w:sz w:val="24"/>
        </w:rPr>
        <w:t>of</w:t>
      </w:r>
      <w:r>
        <w:rPr>
          <w:spacing w:val="-4"/>
          <w:sz w:val="24"/>
        </w:rPr>
        <w:t xml:space="preserve"> </w:t>
      </w:r>
      <w:r>
        <w:rPr>
          <w:sz w:val="24"/>
        </w:rPr>
        <w:t>unallocated</w:t>
      </w:r>
      <w:r>
        <w:rPr>
          <w:spacing w:val="-2"/>
          <w:sz w:val="24"/>
        </w:rPr>
        <w:t xml:space="preserve"> </w:t>
      </w:r>
      <w:r>
        <w:rPr>
          <w:sz w:val="24"/>
        </w:rPr>
        <w:t>rebates</w:t>
      </w:r>
      <w:r>
        <w:rPr>
          <w:spacing w:val="-5"/>
          <w:sz w:val="24"/>
        </w:rPr>
        <w:t xml:space="preserve"> </w:t>
      </w:r>
      <w:r>
        <w:rPr>
          <w:sz w:val="24"/>
        </w:rPr>
        <w:t>due</w:t>
      </w:r>
      <w:r>
        <w:rPr>
          <w:spacing w:val="-5"/>
          <w:sz w:val="24"/>
        </w:rPr>
        <w:t xml:space="preserve"> </w:t>
      </w:r>
      <w:r>
        <w:rPr>
          <w:sz w:val="24"/>
        </w:rPr>
        <w:t>to</w:t>
      </w:r>
      <w:r>
        <w:rPr>
          <w:spacing w:val="-4"/>
          <w:sz w:val="24"/>
        </w:rPr>
        <w:t xml:space="preserve"> </w:t>
      </w:r>
      <w:r>
        <w:rPr>
          <w:sz w:val="24"/>
        </w:rPr>
        <w:t>rebate</w:t>
      </w:r>
      <w:r>
        <w:rPr>
          <w:spacing w:val="-5"/>
          <w:sz w:val="24"/>
        </w:rPr>
        <w:t xml:space="preserve"> </w:t>
      </w:r>
      <w:r>
        <w:rPr>
          <w:sz w:val="24"/>
        </w:rPr>
        <w:t>reallocation and the changes in the BPT during rebate reallocation.</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225"/>
        <w:ind w:left="0"/>
        <w:rPr>
          <w:sz w:val="21"/>
        </w:rPr>
      </w:pPr>
    </w:p>
    <w:p>
      <w:pPr>
        <w:pStyle w:val="ListParagraph"/>
        <w:numPr>
          <w:ilvl w:val="1"/>
          <w:numId w:val="26"/>
        </w:numPr>
        <w:tabs>
          <w:tab w:val="left" w:pos="771"/>
        </w:tabs>
        <w:spacing w:before="0" w:after="0" w:line="240" w:lineRule="auto"/>
        <w:ind w:left="771" w:right="0" w:hanging="267"/>
        <w:jc w:val="left"/>
        <w:rPr>
          <w:rFonts w:ascii="Arial"/>
          <w:b/>
          <w:sz w:val="21"/>
        </w:rPr>
      </w:pPr>
      <w:bookmarkStart w:id="366" w:name="B. Label Definitions and References for "/>
      <w:bookmarkEnd w:id="366"/>
      <w:r>
        <w:rPr>
          <w:rFonts w:ascii="Arial"/>
          <w:b/>
          <w:sz w:val="21"/>
        </w:rPr>
        <w:t>Label</w:t>
      </w:r>
      <w:r>
        <w:rPr>
          <w:rFonts w:ascii="Arial"/>
          <w:b/>
          <w:spacing w:val="-8"/>
          <w:sz w:val="21"/>
        </w:rPr>
        <w:t xml:space="preserve"> </w:t>
      </w:r>
      <w:r>
        <w:rPr>
          <w:rFonts w:ascii="Arial"/>
          <w:b/>
          <w:sz w:val="21"/>
        </w:rPr>
        <w:t>Definitions</w:t>
      </w:r>
      <w:r>
        <w:rPr>
          <w:rFonts w:ascii="Arial"/>
          <w:b/>
          <w:spacing w:val="-7"/>
          <w:sz w:val="21"/>
        </w:rPr>
        <w:t xml:space="preserve"> </w:t>
      </w:r>
      <w:r>
        <w:rPr>
          <w:rFonts w:ascii="Arial"/>
          <w:b/>
          <w:sz w:val="21"/>
        </w:rPr>
        <w:t>and</w:t>
      </w:r>
      <w:r>
        <w:rPr>
          <w:rFonts w:ascii="Arial"/>
          <w:b/>
          <w:spacing w:val="-8"/>
          <w:sz w:val="21"/>
        </w:rPr>
        <w:t xml:space="preserve"> </w:t>
      </w:r>
      <w:r>
        <w:rPr>
          <w:rFonts w:ascii="Arial"/>
          <w:b/>
          <w:sz w:val="21"/>
        </w:rPr>
        <w:t>References</w:t>
      </w:r>
      <w:r>
        <w:rPr>
          <w:rFonts w:ascii="Arial"/>
          <w:b/>
          <w:spacing w:val="-7"/>
          <w:sz w:val="21"/>
        </w:rPr>
        <w:t xml:space="preserve"> </w:t>
      </w:r>
      <w:r>
        <w:rPr>
          <w:rFonts w:ascii="Arial"/>
          <w:b/>
          <w:sz w:val="21"/>
        </w:rPr>
        <w:t>for</w:t>
      </w:r>
      <w:r>
        <w:rPr>
          <w:rFonts w:ascii="Arial"/>
          <w:b/>
          <w:spacing w:val="-9"/>
          <w:sz w:val="21"/>
        </w:rPr>
        <w:t xml:space="preserve"> </w:t>
      </w:r>
      <w:r>
        <w:rPr>
          <w:rFonts w:ascii="Arial"/>
          <w:b/>
          <w:spacing w:val="-2"/>
          <w:sz w:val="21"/>
        </w:rPr>
        <w:t>Examples</w:t>
      </w:r>
    </w:p>
    <w:p>
      <w:pPr>
        <w:pStyle w:val="BodyText"/>
        <w:spacing w:before="131"/>
        <w:ind w:left="0"/>
        <w:rPr>
          <w:rFonts w:ascii="Arial"/>
          <w:b/>
          <w:sz w:val="20"/>
        </w:rPr>
      </w:pPr>
    </w:p>
    <w:tbl>
      <w:tblPr>
        <w:tblStyle w:val="TableNormal"/>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0"/>
        <w:gridCol w:w="5551"/>
        <w:gridCol w:w="1669"/>
      </w:tblGrid>
      <w:tr>
        <w:tblPrEx>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24"/>
          <w:jc w:val="left"/>
        </w:trPr>
        <w:tc>
          <w:tcPr>
            <w:tcW w:w="1990" w:type="dxa"/>
          </w:tcPr>
          <w:p>
            <w:pPr>
              <w:pStyle w:val="TableParagraph"/>
              <w:spacing w:before="240"/>
              <w:ind w:left="13" w:right="4"/>
              <w:jc w:val="center"/>
              <w:rPr>
                <w:b/>
                <w:sz w:val="21"/>
              </w:rPr>
            </w:pPr>
            <w:r>
              <w:rPr>
                <w:b/>
                <w:spacing w:val="-2"/>
                <w:sz w:val="21"/>
              </w:rPr>
              <w:t>Label</w:t>
            </w:r>
          </w:p>
        </w:tc>
        <w:tc>
          <w:tcPr>
            <w:tcW w:w="5551" w:type="dxa"/>
          </w:tcPr>
          <w:p>
            <w:pPr>
              <w:pStyle w:val="TableParagraph"/>
              <w:spacing w:before="240"/>
              <w:ind w:left="27" w:right="18"/>
              <w:jc w:val="center"/>
              <w:rPr>
                <w:b/>
                <w:sz w:val="21"/>
              </w:rPr>
            </w:pPr>
            <w:r>
              <w:rPr>
                <w:b/>
                <w:spacing w:val="-2"/>
                <w:sz w:val="21"/>
              </w:rPr>
              <w:t>Definition</w:t>
            </w:r>
          </w:p>
        </w:tc>
        <w:tc>
          <w:tcPr>
            <w:tcW w:w="1669" w:type="dxa"/>
          </w:tcPr>
          <w:p>
            <w:pPr>
              <w:pStyle w:val="TableParagraph"/>
              <w:spacing w:line="240" w:lineRule="exact"/>
              <w:jc w:val="center"/>
              <w:rPr>
                <w:b/>
                <w:sz w:val="21"/>
              </w:rPr>
            </w:pPr>
            <w:r>
              <w:rPr>
                <w:b/>
                <w:sz w:val="21"/>
              </w:rPr>
              <w:t>MA</w:t>
            </w:r>
            <w:r>
              <w:rPr>
                <w:b/>
                <w:spacing w:val="-5"/>
                <w:sz w:val="21"/>
              </w:rPr>
              <w:t xml:space="preserve"> BPT</w:t>
            </w:r>
          </w:p>
          <w:p>
            <w:pPr>
              <w:pStyle w:val="TableParagraph"/>
              <w:spacing w:line="240" w:lineRule="atLeast"/>
              <w:ind w:left="121" w:right="117"/>
              <w:jc w:val="center"/>
              <w:rPr>
                <w:b/>
                <w:sz w:val="21"/>
              </w:rPr>
            </w:pPr>
            <w:r>
              <w:rPr>
                <w:b/>
                <w:spacing w:val="-2"/>
                <w:sz w:val="21"/>
              </w:rPr>
              <w:t xml:space="preserve">Worksheet </w:t>
            </w:r>
            <w:r>
              <w:rPr>
                <w:b/>
                <w:sz w:val="21"/>
              </w:rPr>
              <w:t>(WS)</w:t>
            </w:r>
            <w:r>
              <w:rPr>
                <w:b/>
                <w:spacing w:val="-14"/>
                <w:sz w:val="21"/>
              </w:rPr>
              <w:t xml:space="preserve"> </w:t>
            </w:r>
            <w:r>
              <w:rPr>
                <w:b/>
                <w:sz w:val="21"/>
              </w:rPr>
              <w:t>Reference</w:t>
            </w:r>
          </w:p>
        </w:tc>
      </w:tr>
      <w:tr>
        <w:tblPrEx>
          <w:tblW w:w="0" w:type="auto"/>
          <w:jc w:val="left"/>
          <w:tblInd w:w="514" w:type="dxa"/>
          <w:tblLayout w:type="fixed"/>
          <w:tblCellMar>
            <w:top w:w="0" w:type="dxa"/>
            <w:left w:w="0" w:type="dxa"/>
            <w:bottom w:w="0" w:type="dxa"/>
            <w:right w:w="0" w:type="dxa"/>
          </w:tblCellMar>
          <w:tblLook w:val="01E0"/>
        </w:tblPrEx>
        <w:trPr>
          <w:trHeight w:val="1365"/>
          <w:jc w:val="left"/>
        </w:trPr>
        <w:tc>
          <w:tcPr>
            <w:tcW w:w="1990" w:type="dxa"/>
          </w:tcPr>
          <w:p>
            <w:pPr>
              <w:pStyle w:val="TableParagraph"/>
              <w:spacing w:before="200"/>
              <w:rPr>
                <w:rFonts w:ascii="Arial"/>
                <w:b/>
                <w:sz w:val="21"/>
              </w:rPr>
            </w:pPr>
          </w:p>
          <w:p>
            <w:pPr>
              <w:pStyle w:val="TableParagraph"/>
              <w:ind w:left="551" w:hanging="41"/>
              <w:rPr>
                <w:sz w:val="21"/>
              </w:rPr>
            </w:pPr>
            <w:r>
              <w:rPr>
                <w:sz w:val="21"/>
              </w:rPr>
              <w:t>Rebates</w:t>
            </w:r>
            <w:r>
              <w:rPr>
                <w:spacing w:val="-14"/>
                <w:sz w:val="21"/>
              </w:rPr>
              <w:t xml:space="preserve"> </w:t>
            </w:r>
            <w:r>
              <w:rPr>
                <w:sz w:val="21"/>
              </w:rPr>
              <w:t xml:space="preserve">for </w:t>
            </w:r>
            <w:r>
              <w:rPr>
                <w:spacing w:val="-2"/>
                <w:sz w:val="21"/>
              </w:rPr>
              <w:t>Allocation</w:t>
            </w:r>
          </w:p>
        </w:tc>
        <w:tc>
          <w:tcPr>
            <w:tcW w:w="5551" w:type="dxa"/>
          </w:tcPr>
          <w:p>
            <w:pPr>
              <w:pStyle w:val="TableParagraph"/>
              <w:spacing w:before="79"/>
              <w:ind w:left="119" w:right="109" w:hanging="3"/>
              <w:jc w:val="center"/>
              <w:rPr>
                <w:sz w:val="21"/>
              </w:rPr>
            </w:pPr>
            <w:r>
              <w:rPr>
                <w:sz w:val="21"/>
              </w:rPr>
              <w:t>The total amount of rebates required to allocate to (i) achieve the target plan intention for the Part D basic premium and (ii) update</w:t>
            </w:r>
            <w:r>
              <w:rPr>
                <w:spacing w:val="-6"/>
                <w:sz w:val="21"/>
              </w:rPr>
              <w:t xml:space="preserve"> </w:t>
            </w:r>
            <w:r>
              <w:rPr>
                <w:sz w:val="21"/>
              </w:rPr>
              <w:t>BPT</w:t>
            </w:r>
            <w:r>
              <w:rPr>
                <w:spacing w:val="-5"/>
                <w:sz w:val="21"/>
              </w:rPr>
              <w:t xml:space="preserve"> </w:t>
            </w:r>
            <w:r>
              <w:rPr>
                <w:sz w:val="21"/>
              </w:rPr>
              <w:t>for</w:t>
            </w:r>
            <w:r>
              <w:rPr>
                <w:spacing w:val="-4"/>
                <w:sz w:val="21"/>
              </w:rPr>
              <w:t xml:space="preserve"> </w:t>
            </w:r>
            <w:r>
              <w:rPr>
                <w:sz w:val="21"/>
              </w:rPr>
              <w:t>published</w:t>
            </w:r>
            <w:r>
              <w:rPr>
                <w:spacing w:val="-6"/>
                <w:sz w:val="21"/>
              </w:rPr>
              <w:t xml:space="preserve"> </w:t>
            </w:r>
            <w:r>
              <w:rPr>
                <w:sz w:val="21"/>
              </w:rPr>
              <w:t>RPPO</w:t>
            </w:r>
            <w:r>
              <w:rPr>
                <w:spacing w:val="-4"/>
                <w:sz w:val="21"/>
              </w:rPr>
              <w:t xml:space="preserve"> </w:t>
            </w:r>
            <w:r>
              <w:rPr>
                <w:sz w:val="21"/>
              </w:rPr>
              <w:t>benchmark</w:t>
            </w:r>
            <w:r>
              <w:rPr>
                <w:spacing w:val="-3"/>
                <w:sz w:val="21"/>
              </w:rPr>
              <w:t xml:space="preserve"> </w:t>
            </w:r>
            <w:r>
              <w:rPr>
                <w:sz w:val="21"/>
              </w:rPr>
              <w:t>values</w:t>
            </w:r>
            <w:r>
              <w:rPr>
                <w:spacing w:val="-6"/>
                <w:sz w:val="21"/>
              </w:rPr>
              <w:t xml:space="preserve"> </w:t>
            </w:r>
            <w:r>
              <w:rPr>
                <w:sz w:val="21"/>
              </w:rPr>
              <w:t>(that</w:t>
            </w:r>
            <w:r>
              <w:rPr>
                <w:spacing w:val="-4"/>
                <w:sz w:val="21"/>
              </w:rPr>
              <w:t xml:space="preserve"> </w:t>
            </w:r>
            <w:r>
              <w:rPr>
                <w:sz w:val="21"/>
              </w:rPr>
              <w:t>is,</w:t>
            </w:r>
            <w:r>
              <w:rPr>
                <w:spacing w:val="-3"/>
                <w:sz w:val="21"/>
              </w:rPr>
              <w:t xml:space="preserve"> </w:t>
            </w:r>
            <w:r>
              <w:rPr>
                <w:sz w:val="21"/>
              </w:rPr>
              <w:t>the unallocated rebates in Worksheet 6, L31 that is a result of (i) and/or (ii)).</w:t>
            </w:r>
          </w:p>
        </w:tc>
        <w:tc>
          <w:tcPr>
            <w:tcW w:w="1669" w:type="dxa"/>
          </w:tcPr>
          <w:p>
            <w:pPr>
              <w:pStyle w:val="TableParagraph"/>
              <w:rPr>
                <w:rFonts w:ascii="Arial"/>
                <w:b/>
                <w:sz w:val="21"/>
              </w:rPr>
            </w:pPr>
          </w:p>
          <w:p>
            <w:pPr>
              <w:pStyle w:val="TableParagraph"/>
              <w:spacing w:before="79"/>
              <w:rPr>
                <w:rFonts w:ascii="Arial"/>
                <w:b/>
                <w:sz w:val="21"/>
              </w:rPr>
            </w:pPr>
          </w:p>
          <w:p>
            <w:pPr>
              <w:pStyle w:val="TableParagraph"/>
              <w:ind w:left="2"/>
              <w:jc w:val="center"/>
              <w:rPr>
                <w:sz w:val="21"/>
              </w:rPr>
            </w:pPr>
            <w:r>
              <w:rPr>
                <w:spacing w:val="-5"/>
                <w:sz w:val="21"/>
              </w:rPr>
              <w:t>N/A</w:t>
            </w:r>
          </w:p>
        </w:tc>
      </w:tr>
      <w:tr>
        <w:tblPrEx>
          <w:tblW w:w="0" w:type="auto"/>
          <w:jc w:val="left"/>
          <w:tblInd w:w="514" w:type="dxa"/>
          <w:tblLayout w:type="fixed"/>
          <w:tblCellMar>
            <w:top w:w="0" w:type="dxa"/>
            <w:left w:w="0" w:type="dxa"/>
            <w:bottom w:w="0" w:type="dxa"/>
            <w:right w:w="0" w:type="dxa"/>
          </w:tblCellMar>
          <w:tblLook w:val="01E0"/>
        </w:tblPrEx>
        <w:trPr>
          <w:trHeight w:val="1802"/>
          <w:jc w:val="left"/>
        </w:trPr>
        <w:tc>
          <w:tcPr>
            <w:tcW w:w="1990" w:type="dxa"/>
          </w:tcPr>
          <w:p>
            <w:pPr>
              <w:pStyle w:val="TableParagraph"/>
              <w:rPr>
                <w:rFonts w:ascii="Arial"/>
                <w:b/>
                <w:sz w:val="21"/>
              </w:rPr>
            </w:pPr>
          </w:p>
          <w:p>
            <w:pPr>
              <w:pStyle w:val="TableParagraph"/>
              <w:rPr>
                <w:rFonts w:ascii="Arial"/>
                <w:b/>
                <w:sz w:val="21"/>
              </w:rPr>
            </w:pPr>
          </w:p>
          <w:p>
            <w:pPr>
              <w:pStyle w:val="TableParagraph"/>
              <w:spacing w:before="56"/>
              <w:rPr>
                <w:rFonts w:ascii="Arial"/>
                <w:b/>
                <w:sz w:val="21"/>
              </w:rPr>
            </w:pPr>
          </w:p>
          <w:p>
            <w:pPr>
              <w:pStyle w:val="TableParagraph"/>
              <w:ind w:left="13" w:right="3"/>
              <w:jc w:val="center"/>
              <w:rPr>
                <w:sz w:val="21"/>
              </w:rPr>
            </w:pPr>
            <w:r>
              <w:rPr>
                <w:spacing w:val="-2"/>
                <w:sz w:val="21"/>
              </w:rPr>
              <w:t>LIPSA</w:t>
            </w:r>
          </w:p>
        </w:tc>
        <w:tc>
          <w:tcPr>
            <w:tcW w:w="5551" w:type="dxa"/>
          </w:tcPr>
          <w:p>
            <w:pPr>
              <w:pStyle w:val="TableParagraph"/>
              <w:spacing w:before="176"/>
              <w:rPr>
                <w:rFonts w:ascii="Arial"/>
                <w:b/>
                <w:sz w:val="21"/>
              </w:rPr>
            </w:pPr>
          </w:p>
          <w:p>
            <w:pPr>
              <w:pStyle w:val="TableParagraph"/>
              <w:ind w:left="145" w:right="136" w:hanging="2"/>
              <w:jc w:val="center"/>
              <w:rPr>
                <w:sz w:val="21"/>
              </w:rPr>
            </w:pPr>
            <w:r>
              <w:rPr>
                <w:sz w:val="21"/>
              </w:rPr>
              <w:t>The CMS-published low-income subsidy amount for fully eligible</w:t>
            </w:r>
            <w:r>
              <w:rPr>
                <w:spacing w:val="-4"/>
                <w:sz w:val="21"/>
              </w:rPr>
              <w:t xml:space="preserve"> </w:t>
            </w:r>
            <w:r>
              <w:rPr>
                <w:sz w:val="21"/>
              </w:rPr>
              <w:t>low-income</w:t>
            </w:r>
            <w:r>
              <w:rPr>
                <w:spacing w:val="-4"/>
                <w:sz w:val="21"/>
              </w:rPr>
              <w:t xml:space="preserve"> </w:t>
            </w:r>
            <w:r>
              <w:rPr>
                <w:sz w:val="21"/>
              </w:rPr>
              <w:t>subsidy</w:t>
            </w:r>
            <w:r>
              <w:rPr>
                <w:spacing w:val="-9"/>
                <w:sz w:val="21"/>
              </w:rPr>
              <w:t xml:space="preserve"> </w:t>
            </w:r>
            <w:r>
              <w:rPr>
                <w:sz w:val="21"/>
              </w:rPr>
              <w:t>individuals</w:t>
            </w:r>
            <w:r>
              <w:rPr>
                <w:spacing w:val="-5"/>
                <w:sz w:val="21"/>
              </w:rPr>
              <w:t xml:space="preserve"> </w:t>
            </w:r>
            <w:r>
              <w:rPr>
                <w:sz w:val="21"/>
              </w:rPr>
              <w:t>in</w:t>
            </w:r>
            <w:r>
              <w:rPr>
                <w:spacing w:val="-4"/>
                <w:sz w:val="21"/>
              </w:rPr>
              <w:t xml:space="preserve"> </w:t>
            </w:r>
            <w:r>
              <w:rPr>
                <w:sz w:val="21"/>
              </w:rPr>
              <w:t>each</w:t>
            </w:r>
            <w:r>
              <w:rPr>
                <w:spacing w:val="-5"/>
                <w:sz w:val="21"/>
              </w:rPr>
              <w:t xml:space="preserve"> </w:t>
            </w:r>
            <w:r>
              <w:rPr>
                <w:sz w:val="21"/>
              </w:rPr>
              <w:t>Part</w:t>
            </w:r>
            <w:r>
              <w:rPr>
                <w:spacing w:val="-5"/>
                <w:sz w:val="21"/>
              </w:rPr>
              <w:t xml:space="preserve"> </w:t>
            </w:r>
            <w:r>
              <w:rPr>
                <w:sz w:val="21"/>
              </w:rPr>
              <w:t>D</w:t>
            </w:r>
            <w:r>
              <w:rPr>
                <w:spacing w:val="-3"/>
                <w:sz w:val="21"/>
              </w:rPr>
              <w:t xml:space="preserve"> </w:t>
            </w:r>
            <w:r>
              <w:rPr>
                <w:sz w:val="21"/>
              </w:rPr>
              <w:t>region.</w:t>
            </w:r>
          </w:p>
          <w:p>
            <w:pPr>
              <w:pStyle w:val="TableParagraph"/>
              <w:ind w:left="391" w:right="379" w:hanging="1"/>
              <w:jc w:val="center"/>
              <w:rPr>
                <w:sz w:val="21"/>
              </w:rPr>
            </w:pPr>
            <w:r>
              <w:rPr>
                <w:sz w:val="21"/>
              </w:rPr>
              <w:t>This amount is published prior to the rebate reallocation period,</w:t>
            </w:r>
            <w:r>
              <w:rPr>
                <w:spacing w:val="-3"/>
                <w:sz w:val="21"/>
              </w:rPr>
              <w:t xml:space="preserve"> </w:t>
            </w:r>
            <w:r>
              <w:rPr>
                <w:sz w:val="21"/>
              </w:rPr>
              <w:t>but</w:t>
            </w:r>
            <w:r>
              <w:rPr>
                <w:spacing w:val="-3"/>
                <w:sz w:val="21"/>
              </w:rPr>
              <w:t xml:space="preserve"> </w:t>
            </w:r>
            <w:r>
              <w:rPr>
                <w:sz w:val="21"/>
              </w:rPr>
              <w:t>not</w:t>
            </w:r>
            <w:r>
              <w:rPr>
                <w:spacing w:val="-6"/>
                <w:sz w:val="21"/>
              </w:rPr>
              <w:t xml:space="preserve"> </w:t>
            </w:r>
            <w:r>
              <w:rPr>
                <w:sz w:val="21"/>
              </w:rPr>
              <w:t>prior</w:t>
            </w:r>
            <w:r>
              <w:rPr>
                <w:spacing w:val="-4"/>
                <w:sz w:val="21"/>
              </w:rPr>
              <w:t xml:space="preserve"> </w:t>
            </w:r>
            <w:r>
              <w:rPr>
                <w:sz w:val="21"/>
              </w:rPr>
              <w:t>to</w:t>
            </w:r>
            <w:r>
              <w:rPr>
                <w:spacing w:val="-2"/>
                <w:sz w:val="21"/>
              </w:rPr>
              <w:t xml:space="preserve"> </w:t>
            </w:r>
            <w:r>
              <w:rPr>
                <w:sz w:val="21"/>
              </w:rPr>
              <w:t>the</w:t>
            </w:r>
            <w:r>
              <w:rPr>
                <w:spacing w:val="-2"/>
                <w:sz w:val="21"/>
              </w:rPr>
              <w:t xml:space="preserve"> </w:t>
            </w:r>
            <w:r>
              <w:rPr>
                <w:sz w:val="21"/>
              </w:rPr>
              <w:t>initial</w:t>
            </w:r>
            <w:r>
              <w:rPr>
                <w:spacing w:val="-4"/>
                <w:sz w:val="21"/>
              </w:rPr>
              <w:t xml:space="preserve"> </w:t>
            </w:r>
            <w:r>
              <w:rPr>
                <w:sz w:val="21"/>
              </w:rPr>
              <w:t>June</w:t>
            </w:r>
            <w:r>
              <w:rPr>
                <w:spacing w:val="-3"/>
                <w:sz w:val="21"/>
              </w:rPr>
              <w:t xml:space="preserve"> </w:t>
            </w:r>
            <w:r>
              <w:rPr>
                <w:sz w:val="21"/>
              </w:rPr>
              <w:t>BPT</w:t>
            </w:r>
            <w:r>
              <w:rPr>
                <w:spacing w:val="-2"/>
                <w:sz w:val="21"/>
              </w:rPr>
              <w:t xml:space="preserve"> submissions.</w:t>
            </w:r>
          </w:p>
        </w:tc>
        <w:tc>
          <w:tcPr>
            <w:tcW w:w="1669" w:type="dxa"/>
          </w:tcPr>
          <w:p>
            <w:pPr>
              <w:pStyle w:val="TableParagraph"/>
              <w:rPr>
                <w:rFonts w:ascii="Arial"/>
                <w:b/>
                <w:sz w:val="21"/>
              </w:rPr>
            </w:pPr>
          </w:p>
          <w:p>
            <w:pPr>
              <w:pStyle w:val="TableParagraph"/>
              <w:rPr>
                <w:rFonts w:ascii="Arial"/>
                <w:b/>
                <w:sz w:val="21"/>
              </w:rPr>
            </w:pPr>
          </w:p>
          <w:p>
            <w:pPr>
              <w:pStyle w:val="TableParagraph"/>
              <w:spacing w:before="56"/>
              <w:rPr>
                <w:rFonts w:ascii="Arial"/>
                <w:b/>
                <w:sz w:val="21"/>
              </w:rPr>
            </w:pPr>
          </w:p>
          <w:p>
            <w:pPr>
              <w:pStyle w:val="TableParagraph"/>
              <w:ind w:left="2"/>
              <w:jc w:val="center"/>
              <w:rPr>
                <w:sz w:val="21"/>
              </w:rPr>
            </w:pPr>
            <w:r>
              <w:rPr>
                <w:spacing w:val="-5"/>
                <w:sz w:val="21"/>
              </w:rPr>
              <w:t>N/A</w:t>
            </w:r>
          </w:p>
        </w:tc>
      </w:tr>
      <w:tr>
        <w:tblPrEx>
          <w:tblW w:w="0" w:type="auto"/>
          <w:jc w:val="left"/>
          <w:tblInd w:w="514" w:type="dxa"/>
          <w:tblLayout w:type="fixed"/>
          <w:tblCellMar>
            <w:top w:w="0" w:type="dxa"/>
            <w:left w:w="0" w:type="dxa"/>
            <w:bottom w:w="0" w:type="dxa"/>
            <w:right w:w="0" w:type="dxa"/>
          </w:tblCellMar>
          <w:tblLook w:val="01E0"/>
        </w:tblPrEx>
        <w:trPr>
          <w:trHeight w:val="1050"/>
          <w:jc w:val="left"/>
        </w:trPr>
        <w:tc>
          <w:tcPr>
            <w:tcW w:w="1990" w:type="dxa"/>
          </w:tcPr>
          <w:p>
            <w:pPr>
              <w:pStyle w:val="TableParagraph"/>
              <w:spacing w:before="41"/>
              <w:ind w:left="220" w:right="209" w:hanging="1"/>
              <w:jc w:val="center"/>
              <w:rPr>
                <w:sz w:val="21"/>
              </w:rPr>
            </w:pPr>
            <w:r>
              <w:rPr>
                <w:sz w:val="21"/>
              </w:rPr>
              <w:t xml:space="preserve">Change in MSB </w:t>
            </w:r>
            <w:r>
              <w:rPr>
                <w:spacing w:val="-2"/>
                <w:sz w:val="21"/>
              </w:rPr>
              <w:t xml:space="preserve">Revenue </w:t>
            </w:r>
            <w:r>
              <w:rPr>
                <w:sz w:val="21"/>
              </w:rPr>
              <w:t>Requirement</w:t>
            </w:r>
            <w:r>
              <w:rPr>
                <w:spacing w:val="-14"/>
                <w:sz w:val="21"/>
              </w:rPr>
              <w:t xml:space="preserve"> </w:t>
            </w:r>
            <w:r>
              <w:rPr>
                <w:sz w:val="21"/>
              </w:rPr>
              <w:t xml:space="preserve">(Rev </w:t>
            </w:r>
            <w:r>
              <w:rPr>
                <w:spacing w:val="-4"/>
                <w:sz w:val="21"/>
              </w:rPr>
              <w:t>Req)</w:t>
            </w:r>
          </w:p>
        </w:tc>
        <w:tc>
          <w:tcPr>
            <w:tcW w:w="5551" w:type="dxa"/>
          </w:tcPr>
          <w:p>
            <w:pPr>
              <w:pStyle w:val="TableParagraph"/>
              <w:spacing w:before="163"/>
              <w:ind w:left="27" w:right="16"/>
              <w:jc w:val="center"/>
              <w:rPr>
                <w:sz w:val="21"/>
              </w:rPr>
            </w:pPr>
            <w:r>
              <w:rPr>
                <w:sz w:val="21"/>
              </w:rPr>
              <w:t>The</w:t>
            </w:r>
            <w:r>
              <w:rPr>
                <w:spacing w:val="-3"/>
                <w:sz w:val="21"/>
              </w:rPr>
              <w:t xml:space="preserve"> </w:t>
            </w:r>
            <w:r>
              <w:rPr>
                <w:sz w:val="21"/>
              </w:rPr>
              <w:t>amount</w:t>
            </w:r>
            <w:r>
              <w:rPr>
                <w:spacing w:val="-4"/>
                <w:sz w:val="21"/>
              </w:rPr>
              <w:t xml:space="preserve"> </w:t>
            </w:r>
            <w:r>
              <w:rPr>
                <w:sz w:val="21"/>
              </w:rPr>
              <w:t>of</w:t>
            </w:r>
            <w:r>
              <w:rPr>
                <w:spacing w:val="-4"/>
                <w:sz w:val="21"/>
              </w:rPr>
              <w:t xml:space="preserve"> </w:t>
            </w:r>
            <w:r>
              <w:rPr>
                <w:sz w:val="21"/>
              </w:rPr>
              <w:t>change</w:t>
            </w:r>
            <w:r>
              <w:rPr>
                <w:spacing w:val="-3"/>
                <w:sz w:val="21"/>
              </w:rPr>
              <w:t xml:space="preserve"> </w:t>
            </w:r>
            <w:r>
              <w:rPr>
                <w:sz w:val="21"/>
              </w:rPr>
              <w:t>in</w:t>
            </w:r>
            <w:r>
              <w:rPr>
                <w:spacing w:val="-3"/>
                <w:sz w:val="21"/>
              </w:rPr>
              <w:t xml:space="preserve"> </w:t>
            </w:r>
            <w:r>
              <w:rPr>
                <w:sz w:val="21"/>
              </w:rPr>
              <w:t>the</w:t>
            </w:r>
            <w:r>
              <w:rPr>
                <w:spacing w:val="-6"/>
                <w:sz w:val="21"/>
              </w:rPr>
              <w:t xml:space="preserve"> </w:t>
            </w:r>
            <w:r>
              <w:rPr>
                <w:sz w:val="21"/>
              </w:rPr>
              <w:t>total</w:t>
            </w:r>
            <w:r>
              <w:rPr>
                <w:spacing w:val="-4"/>
                <w:sz w:val="21"/>
              </w:rPr>
              <w:t xml:space="preserve"> </w:t>
            </w:r>
            <w:r>
              <w:rPr>
                <w:sz w:val="21"/>
              </w:rPr>
              <w:t>revenue</w:t>
            </w:r>
            <w:r>
              <w:rPr>
                <w:spacing w:val="-3"/>
                <w:sz w:val="21"/>
              </w:rPr>
              <w:t xml:space="preserve"> </w:t>
            </w:r>
            <w:r>
              <w:rPr>
                <w:sz w:val="21"/>
              </w:rPr>
              <w:t>requirement</w:t>
            </w:r>
            <w:r>
              <w:rPr>
                <w:spacing w:val="-4"/>
                <w:sz w:val="21"/>
              </w:rPr>
              <w:t xml:space="preserve"> </w:t>
            </w:r>
            <w:r>
              <w:rPr>
                <w:sz w:val="21"/>
              </w:rPr>
              <w:t>for</w:t>
            </w:r>
            <w:r>
              <w:rPr>
                <w:spacing w:val="-4"/>
                <w:sz w:val="21"/>
              </w:rPr>
              <w:t xml:space="preserve"> </w:t>
            </w:r>
            <w:r>
              <w:rPr>
                <w:sz w:val="21"/>
              </w:rPr>
              <w:t xml:space="preserve">the A/B mandatory supplemental benefits from pre to post rebate </w:t>
            </w:r>
            <w:r>
              <w:rPr>
                <w:spacing w:val="-2"/>
                <w:sz w:val="21"/>
              </w:rPr>
              <w:t>reallocation.</w:t>
            </w:r>
          </w:p>
        </w:tc>
        <w:tc>
          <w:tcPr>
            <w:tcW w:w="1669" w:type="dxa"/>
          </w:tcPr>
          <w:p>
            <w:pPr>
              <w:pStyle w:val="TableParagraph"/>
              <w:spacing w:before="162"/>
              <w:rPr>
                <w:rFonts w:ascii="Arial"/>
                <w:b/>
                <w:sz w:val="21"/>
              </w:rPr>
            </w:pPr>
          </w:p>
          <w:p>
            <w:pPr>
              <w:pStyle w:val="TableParagraph"/>
              <w:ind w:left="2"/>
              <w:jc w:val="center"/>
              <w:rPr>
                <w:sz w:val="21"/>
              </w:rPr>
            </w:pPr>
            <w:r>
              <w:rPr>
                <w:spacing w:val="-5"/>
                <w:sz w:val="21"/>
              </w:rPr>
              <w:t>N/A</w:t>
            </w:r>
          </w:p>
        </w:tc>
      </w:tr>
      <w:tr>
        <w:tblPrEx>
          <w:tblW w:w="0" w:type="auto"/>
          <w:jc w:val="left"/>
          <w:tblInd w:w="514" w:type="dxa"/>
          <w:tblLayout w:type="fixed"/>
          <w:tblCellMar>
            <w:top w:w="0" w:type="dxa"/>
            <w:left w:w="0" w:type="dxa"/>
            <w:bottom w:w="0" w:type="dxa"/>
            <w:right w:w="0" w:type="dxa"/>
          </w:tblCellMar>
          <w:tblLook w:val="01E0"/>
        </w:tblPrEx>
        <w:trPr>
          <w:trHeight w:val="599"/>
          <w:jc w:val="left"/>
        </w:trPr>
        <w:tc>
          <w:tcPr>
            <w:tcW w:w="1990" w:type="dxa"/>
          </w:tcPr>
          <w:p>
            <w:pPr>
              <w:pStyle w:val="TableParagraph"/>
              <w:spacing w:before="180"/>
              <w:ind w:left="13" w:right="2"/>
              <w:jc w:val="center"/>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5551" w:type="dxa"/>
          </w:tcPr>
          <w:p>
            <w:pPr>
              <w:pStyle w:val="TableParagraph"/>
              <w:spacing w:before="58"/>
              <w:ind w:left="1828" w:hanging="1304"/>
              <w:rPr>
                <w:sz w:val="21"/>
              </w:rPr>
            </w:pPr>
            <w:r>
              <w:rPr>
                <w:sz w:val="21"/>
              </w:rPr>
              <w:t>The</w:t>
            </w:r>
            <w:r>
              <w:rPr>
                <w:spacing w:val="-4"/>
                <w:sz w:val="21"/>
              </w:rPr>
              <w:t xml:space="preserve"> </w:t>
            </w:r>
            <w:r>
              <w:rPr>
                <w:sz w:val="21"/>
              </w:rPr>
              <w:t>total</w:t>
            </w:r>
            <w:r>
              <w:rPr>
                <w:spacing w:val="-5"/>
                <w:sz w:val="21"/>
              </w:rPr>
              <w:t xml:space="preserve"> </w:t>
            </w:r>
            <w:r>
              <w:rPr>
                <w:sz w:val="21"/>
              </w:rPr>
              <w:t>revenue</w:t>
            </w:r>
            <w:r>
              <w:rPr>
                <w:spacing w:val="-4"/>
                <w:sz w:val="21"/>
              </w:rPr>
              <w:t xml:space="preserve"> </w:t>
            </w:r>
            <w:r>
              <w:rPr>
                <w:sz w:val="21"/>
              </w:rPr>
              <w:t>requirement</w:t>
            </w:r>
            <w:r>
              <w:rPr>
                <w:spacing w:val="-5"/>
                <w:sz w:val="21"/>
              </w:rPr>
              <w:t xml:space="preserve"> </w:t>
            </w:r>
            <w:r>
              <w:rPr>
                <w:sz w:val="21"/>
              </w:rPr>
              <w:t>for</w:t>
            </w:r>
            <w:r>
              <w:rPr>
                <w:spacing w:val="-5"/>
                <w:sz w:val="21"/>
              </w:rPr>
              <w:t xml:space="preserve"> </w:t>
            </w:r>
            <w:r>
              <w:rPr>
                <w:sz w:val="21"/>
              </w:rPr>
              <w:t>the</w:t>
            </w:r>
            <w:r>
              <w:rPr>
                <w:spacing w:val="-4"/>
                <w:sz w:val="21"/>
              </w:rPr>
              <w:t xml:space="preserve"> </w:t>
            </w:r>
            <w:r>
              <w:rPr>
                <w:sz w:val="21"/>
              </w:rPr>
              <w:t>A/B</w:t>
            </w:r>
            <w:r>
              <w:rPr>
                <w:spacing w:val="-6"/>
                <w:sz w:val="21"/>
              </w:rPr>
              <w:t xml:space="preserve"> </w:t>
            </w:r>
            <w:r>
              <w:rPr>
                <w:sz w:val="21"/>
              </w:rPr>
              <w:t>mandatory supplemental benefits.</w:t>
            </w:r>
          </w:p>
        </w:tc>
        <w:tc>
          <w:tcPr>
            <w:tcW w:w="1669" w:type="dxa"/>
          </w:tcPr>
          <w:p>
            <w:pPr>
              <w:pStyle w:val="TableParagraph"/>
              <w:spacing w:before="180"/>
              <w:ind w:left="3"/>
              <w:jc w:val="center"/>
              <w:rPr>
                <w:sz w:val="21"/>
              </w:rPr>
            </w:pPr>
            <w:r>
              <w:rPr>
                <w:sz w:val="21"/>
              </w:rPr>
              <w:t>WS4</w:t>
            </w:r>
            <w:r>
              <w:rPr>
                <w:spacing w:val="-3"/>
                <w:sz w:val="21"/>
              </w:rPr>
              <w:t xml:space="preserve"> </w:t>
            </w:r>
            <w:r>
              <w:rPr>
                <w:spacing w:val="-4"/>
                <w:sz w:val="21"/>
              </w:rPr>
              <w:t>R108</w:t>
            </w:r>
          </w:p>
        </w:tc>
      </w:tr>
      <w:tr>
        <w:tblPrEx>
          <w:tblW w:w="0" w:type="auto"/>
          <w:jc w:val="left"/>
          <w:tblInd w:w="514" w:type="dxa"/>
          <w:tblLayout w:type="fixed"/>
          <w:tblCellMar>
            <w:top w:w="0" w:type="dxa"/>
            <w:left w:w="0" w:type="dxa"/>
            <w:bottom w:w="0" w:type="dxa"/>
            <w:right w:w="0" w:type="dxa"/>
          </w:tblCellMar>
          <w:tblLook w:val="01E0"/>
        </w:tblPrEx>
        <w:trPr>
          <w:trHeight w:val="599"/>
          <w:jc w:val="left"/>
        </w:trPr>
        <w:tc>
          <w:tcPr>
            <w:tcW w:w="1990" w:type="dxa"/>
          </w:tcPr>
          <w:p>
            <w:pPr>
              <w:pStyle w:val="TableParagraph"/>
              <w:spacing w:before="58"/>
              <w:ind w:left="551" w:hanging="99"/>
              <w:rPr>
                <w:sz w:val="21"/>
              </w:rPr>
            </w:pPr>
            <w:r>
              <w:rPr>
                <w:sz w:val="21"/>
              </w:rPr>
              <w:t>MSB</w:t>
            </w:r>
            <w:r>
              <w:rPr>
                <w:spacing w:val="-14"/>
                <w:sz w:val="21"/>
              </w:rPr>
              <w:t xml:space="preserve"> </w:t>
            </w:r>
            <w:r>
              <w:rPr>
                <w:sz w:val="21"/>
              </w:rPr>
              <w:t xml:space="preserve">Rebate </w:t>
            </w:r>
            <w:r>
              <w:rPr>
                <w:spacing w:val="-2"/>
                <w:sz w:val="21"/>
              </w:rPr>
              <w:t>Allocation</w:t>
            </w:r>
          </w:p>
        </w:tc>
        <w:tc>
          <w:tcPr>
            <w:tcW w:w="5551" w:type="dxa"/>
          </w:tcPr>
          <w:p>
            <w:pPr>
              <w:pStyle w:val="TableParagraph"/>
              <w:spacing w:before="58"/>
              <w:ind w:left="1783" w:hanging="1510"/>
              <w:rPr>
                <w:sz w:val="21"/>
              </w:rPr>
            </w:pPr>
            <w:r>
              <w:rPr>
                <w:sz w:val="21"/>
              </w:rPr>
              <w:t>The</w:t>
            </w:r>
            <w:r>
              <w:rPr>
                <w:spacing w:val="-4"/>
                <w:sz w:val="21"/>
              </w:rPr>
              <w:t xml:space="preserve"> </w:t>
            </w:r>
            <w:r>
              <w:rPr>
                <w:sz w:val="21"/>
              </w:rPr>
              <w:t>total</w:t>
            </w:r>
            <w:r>
              <w:rPr>
                <w:spacing w:val="-5"/>
                <w:sz w:val="21"/>
              </w:rPr>
              <w:t xml:space="preserve"> </w:t>
            </w:r>
            <w:r>
              <w:rPr>
                <w:sz w:val="21"/>
              </w:rPr>
              <w:t>amount</w:t>
            </w:r>
            <w:r>
              <w:rPr>
                <w:spacing w:val="-5"/>
                <w:sz w:val="21"/>
              </w:rPr>
              <w:t xml:space="preserve"> </w:t>
            </w:r>
            <w:r>
              <w:rPr>
                <w:sz w:val="21"/>
              </w:rPr>
              <w:t>of</w:t>
            </w:r>
            <w:r>
              <w:rPr>
                <w:spacing w:val="-5"/>
                <w:sz w:val="21"/>
              </w:rPr>
              <w:t xml:space="preserve"> </w:t>
            </w:r>
            <w:r>
              <w:rPr>
                <w:sz w:val="21"/>
              </w:rPr>
              <w:t>rebates</w:t>
            </w:r>
            <w:r>
              <w:rPr>
                <w:spacing w:val="-5"/>
                <w:sz w:val="21"/>
              </w:rPr>
              <w:t xml:space="preserve"> </w:t>
            </w:r>
            <w:r>
              <w:rPr>
                <w:sz w:val="21"/>
              </w:rPr>
              <w:t>allocated</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A/B</w:t>
            </w:r>
            <w:r>
              <w:rPr>
                <w:spacing w:val="-4"/>
                <w:sz w:val="21"/>
              </w:rPr>
              <w:t xml:space="preserve"> </w:t>
            </w:r>
            <w:r>
              <w:rPr>
                <w:sz w:val="21"/>
              </w:rPr>
              <w:t>mandatory supplemental premium.</w:t>
            </w:r>
          </w:p>
        </w:tc>
        <w:tc>
          <w:tcPr>
            <w:tcW w:w="1669" w:type="dxa"/>
          </w:tcPr>
          <w:p>
            <w:pPr>
              <w:pStyle w:val="TableParagraph"/>
              <w:spacing w:before="180"/>
              <w:ind w:left="1"/>
              <w:jc w:val="center"/>
              <w:rPr>
                <w:sz w:val="21"/>
              </w:rPr>
            </w:pPr>
            <w:r>
              <w:rPr>
                <w:sz w:val="21"/>
              </w:rPr>
              <w:t>WS6</w:t>
            </w:r>
            <w:r>
              <w:rPr>
                <w:spacing w:val="-3"/>
                <w:sz w:val="21"/>
              </w:rPr>
              <w:t xml:space="preserve"> </w:t>
            </w:r>
            <w:r>
              <w:rPr>
                <w:sz w:val="21"/>
              </w:rPr>
              <w:t>R13</w:t>
            </w:r>
            <w:r>
              <w:rPr>
                <w:spacing w:val="-3"/>
                <w:sz w:val="21"/>
              </w:rPr>
              <w:t xml:space="preserve"> </w:t>
            </w:r>
            <w:r>
              <w:rPr>
                <w:sz w:val="21"/>
              </w:rPr>
              <w:t>+</w:t>
            </w:r>
            <w:r>
              <w:rPr>
                <w:spacing w:val="-2"/>
                <w:sz w:val="21"/>
              </w:rPr>
              <w:t xml:space="preserve"> </w:t>
            </w:r>
            <w:r>
              <w:rPr>
                <w:spacing w:val="-5"/>
                <w:sz w:val="21"/>
              </w:rPr>
              <w:t>R14</w:t>
            </w:r>
          </w:p>
        </w:tc>
      </w:tr>
      <w:tr>
        <w:tblPrEx>
          <w:tblW w:w="0" w:type="auto"/>
          <w:jc w:val="left"/>
          <w:tblInd w:w="514" w:type="dxa"/>
          <w:tblLayout w:type="fixed"/>
          <w:tblCellMar>
            <w:top w:w="0" w:type="dxa"/>
            <w:left w:w="0" w:type="dxa"/>
            <w:bottom w:w="0" w:type="dxa"/>
            <w:right w:w="0" w:type="dxa"/>
          </w:tblCellMar>
          <w:tblLook w:val="01E0"/>
        </w:tblPrEx>
        <w:trPr>
          <w:trHeight w:val="902"/>
          <w:jc w:val="left"/>
        </w:trPr>
        <w:tc>
          <w:tcPr>
            <w:tcW w:w="1990" w:type="dxa"/>
          </w:tcPr>
          <w:p>
            <w:pPr>
              <w:pStyle w:val="TableParagraph"/>
              <w:spacing w:before="88"/>
              <w:rPr>
                <w:rFonts w:ascii="Arial"/>
                <w:b/>
                <w:sz w:val="21"/>
              </w:rPr>
            </w:pPr>
          </w:p>
          <w:p>
            <w:pPr>
              <w:pStyle w:val="TableParagraph"/>
              <w:ind w:left="13" w:right="3"/>
              <w:jc w:val="center"/>
              <w:rPr>
                <w:sz w:val="21"/>
              </w:rPr>
            </w:pPr>
            <w:r>
              <w:rPr>
                <w:sz w:val="21"/>
              </w:rPr>
              <w:t>MA</w:t>
            </w:r>
            <w:r>
              <w:rPr>
                <w:spacing w:val="-1"/>
                <w:sz w:val="21"/>
              </w:rPr>
              <w:t xml:space="preserve"> </w:t>
            </w:r>
            <w:r>
              <w:rPr>
                <w:spacing w:val="-2"/>
                <w:sz w:val="21"/>
              </w:rPr>
              <w:t>Premium</w:t>
            </w:r>
          </w:p>
        </w:tc>
        <w:tc>
          <w:tcPr>
            <w:tcW w:w="5551" w:type="dxa"/>
          </w:tcPr>
          <w:p>
            <w:pPr>
              <w:pStyle w:val="TableParagraph"/>
              <w:spacing w:before="209"/>
              <w:ind w:left="391" w:hanging="272"/>
              <w:rPr>
                <w:sz w:val="21"/>
              </w:rPr>
            </w:pPr>
            <w:r>
              <w:rPr>
                <w:sz w:val="21"/>
              </w:rPr>
              <w:t>The</w:t>
            </w:r>
            <w:r>
              <w:rPr>
                <w:spacing w:val="-7"/>
                <w:sz w:val="21"/>
              </w:rPr>
              <w:t xml:space="preserve"> </w:t>
            </w:r>
            <w:r>
              <w:rPr>
                <w:sz w:val="21"/>
              </w:rPr>
              <w:t>A/B</w:t>
            </w:r>
            <w:r>
              <w:rPr>
                <w:spacing w:val="-4"/>
                <w:sz w:val="21"/>
              </w:rPr>
              <w:t xml:space="preserve"> </w:t>
            </w:r>
            <w:r>
              <w:rPr>
                <w:sz w:val="21"/>
              </w:rPr>
              <w:t>mandatory</w:t>
            </w:r>
            <w:r>
              <w:rPr>
                <w:spacing w:val="-5"/>
                <w:sz w:val="21"/>
              </w:rPr>
              <w:t xml:space="preserve"> </w:t>
            </w:r>
            <w:r>
              <w:rPr>
                <w:sz w:val="21"/>
              </w:rPr>
              <w:t>supplemental</w:t>
            </w:r>
            <w:r>
              <w:rPr>
                <w:spacing w:val="-6"/>
                <w:sz w:val="21"/>
              </w:rPr>
              <w:t xml:space="preserve"> </w:t>
            </w:r>
            <w:r>
              <w:rPr>
                <w:sz w:val="21"/>
              </w:rPr>
              <w:t>premium,</w:t>
            </w:r>
            <w:r>
              <w:rPr>
                <w:spacing w:val="-5"/>
                <w:sz w:val="21"/>
              </w:rPr>
              <w:t xml:space="preserve"> </w:t>
            </w:r>
            <w:r>
              <w:rPr>
                <w:sz w:val="21"/>
              </w:rPr>
              <w:t>because</w:t>
            </w:r>
            <w:r>
              <w:rPr>
                <w:spacing w:val="-8"/>
                <w:sz w:val="21"/>
              </w:rPr>
              <w:t xml:space="preserve"> </w:t>
            </w:r>
            <w:r>
              <w:rPr>
                <w:sz w:val="21"/>
              </w:rPr>
              <w:t>MA</w:t>
            </w:r>
            <w:r>
              <w:rPr>
                <w:spacing w:val="-7"/>
                <w:sz w:val="21"/>
              </w:rPr>
              <w:t xml:space="preserve"> </w:t>
            </w:r>
            <w:r>
              <w:rPr>
                <w:sz w:val="21"/>
              </w:rPr>
              <w:t>basic premium must be $0 to participate in rebate reallocation.</w:t>
            </w:r>
          </w:p>
        </w:tc>
        <w:tc>
          <w:tcPr>
            <w:tcW w:w="1669" w:type="dxa"/>
          </w:tcPr>
          <w:p>
            <w:pPr>
              <w:pStyle w:val="TableParagraph"/>
              <w:spacing w:before="88"/>
              <w:rPr>
                <w:rFonts w:ascii="Arial"/>
                <w:b/>
                <w:sz w:val="21"/>
              </w:rPr>
            </w:pPr>
          </w:p>
          <w:p>
            <w:pPr>
              <w:pStyle w:val="TableParagraph"/>
              <w:ind w:left="3"/>
              <w:jc w:val="center"/>
              <w:rPr>
                <w:sz w:val="21"/>
              </w:rPr>
            </w:pPr>
            <w:r>
              <w:rPr>
                <w:sz w:val="21"/>
              </w:rPr>
              <w:t>WS6</w:t>
            </w:r>
            <w:r>
              <w:rPr>
                <w:spacing w:val="-3"/>
                <w:sz w:val="21"/>
              </w:rPr>
              <w:t xml:space="preserve"> </w:t>
            </w:r>
            <w:r>
              <w:rPr>
                <w:spacing w:val="-5"/>
                <w:sz w:val="21"/>
              </w:rPr>
              <w:t>R31</w:t>
            </w:r>
          </w:p>
        </w:tc>
      </w:tr>
      <w:tr>
        <w:tblPrEx>
          <w:tblW w:w="0" w:type="auto"/>
          <w:jc w:val="left"/>
          <w:tblInd w:w="514" w:type="dxa"/>
          <w:tblLayout w:type="fixed"/>
          <w:tblCellMar>
            <w:top w:w="0" w:type="dxa"/>
            <w:left w:w="0" w:type="dxa"/>
            <w:bottom w:w="0" w:type="dxa"/>
            <w:right w:w="0" w:type="dxa"/>
          </w:tblCellMar>
          <w:tblLook w:val="01E0"/>
        </w:tblPrEx>
        <w:trPr>
          <w:trHeight w:val="599"/>
          <w:jc w:val="left"/>
        </w:trPr>
        <w:tc>
          <w:tcPr>
            <w:tcW w:w="1990" w:type="dxa"/>
          </w:tcPr>
          <w:p>
            <w:pPr>
              <w:pStyle w:val="TableParagraph"/>
              <w:spacing w:before="58"/>
              <w:ind w:left="702" w:hanging="428"/>
              <w:rPr>
                <w:sz w:val="21"/>
              </w:rPr>
            </w:pPr>
            <w:r>
              <w:rPr>
                <w:sz w:val="21"/>
              </w:rPr>
              <w:t>Basic</w:t>
            </w:r>
            <w:r>
              <w:rPr>
                <w:spacing w:val="-14"/>
                <w:sz w:val="21"/>
              </w:rPr>
              <w:t xml:space="preserve"> </w:t>
            </w:r>
            <w:r>
              <w:rPr>
                <w:sz w:val="21"/>
              </w:rPr>
              <w:t>Prem</w:t>
            </w:r>
            <w:r>
              <w:rPr>
                <w:spacing w:val="-13"/>
                <w:sz w:val="21"/>
              </w:rPr>
              <w:t xml:space="preserve"> </w:t>
            </w:r>
            <w:r>
              <w:rPr>
                <w:sz w:val="21"/>
              </w:rPr>
              <w:t xml:space="preserve">Prior </w:t>
            </w:r>
            <w:r>
              <w:rPr>
                <w:spacing w:val="-2"/>
                <w:sz w:val="21"/>
              </w:rPr>
              <w:t>Rebate</w:t>
            </w:r>
          </w:p>
        </w:tc>
        <w:tc>
          <w:tcPr>
            <w:tcW w:w="5551" w:type="dxa"/>
          </w:tcPr>
          <w:p>
            <w:pPr>
              <w:pStyle w:val="TableParagraph"/>
              <w:spacing w:before="58" w:line="241" w:lineRule="exact"/>
              <w:ind w:left="27" w:right="21"/>
              <w:jc w:val="center"/>
              <w:rPr>
                <w:sz w:val="21"/>
              </w:rPr>
            </w:pPr>
            <w:r>
              <w:rPr>
                <w:sz w:val="21"/>
              </w:rPr>
              <w:t>The</w:t>
            </w:r>
            <w:r>
              <w:rPr>
                <w:spacing w:val="-4"/>
                <w:sz w:val="21"/>
              </w:rPr>
              <w:t xml:space="preserve"> </w:t>
            </w:r>
            <w:r>
              <w:rPr>
                <w:sz w:val="21"/>
              </w:rPr>
              <w:t>Part</w:t>
            </w:r>
            <w:r>
              <w:rPr>
                <w:spacing w:val="-4"/>
                <w:sz w:val="21"/>
              </w:rPr>
              <w:t xml:space="preserve"> </w:t>
            </w:r>
            <w:r>
              <w:rPr>
                <w:sz w:val="21"/>
              </w:rPr>
              <w:t>D</w:t>
            </w:r>
            <w:r>
              <w:rPr>
                <w:spacing w:val="-2"/>
                <w:sz w:val="21"/>
              </w:rPr>
              <w:t xml:space="preserve"> </w:t>
            </w:r>
            <w:r>
              <w:rPr>
                <w:sz w:val="21"/>
              </w:rPr>
              <w:t>basic</w:t>
            </w:r>
            <w:r>
              <w:rPr>
                <w:spacing w:val="-4"/>
                <w:sz w:val="21"/>
              </w:rPr>
              <w:t xml:space="preserve"> </w:t>
            </w:r>
            <w:r>
              <w:rPr>
                <w:sz w:val="21"/>
              </w:rPr>
              <w:t>premium</w:t>
            </w:r>
            <w:r>
              <w:rPr>
                <w:spacing w:val="-4"/>
                <w:sz w:val="21"/>
              </w:rPr>
              <w:t xml:space="preserve"> </w:t>
            </w:r>
            <w:r>
              <w:rPr>
                <w:sz w:val="21"/>
              </w:rPr>
              <w:t>prior</w:t>
            </w:r>
            <w:r>
              <w:rPr>
                <w:spacing w:val="-4"/>
                <w:sz w:val="21"/>
              </w:rPr>
              <w:t xml:space="preserve"> </w:t>
            </w:r>
            <w:r>
              <w:rPr>
                <w:sz w:val="21"/>
              </w:rPr>
              <w:t>to</w:t>
            </w:r>
            <w:r>
              <w:rPr>
                <w:spacing w:val="-4"/>
                <w:sz w:val="21"/>
              </w:rPr>
              <w:t xml:space="preserve"> </w:t>
            </w:r>
            <w:r>
              <w:rPr>
                <w:sz w:val="21"/>
              </w:rPr>
              <w:t>allocation</w:t>
            </w:r>
            <w:r>
              <w:rPr>
                <w:spacing w:val="-3"/>
                <w:sz w:val="21"/>
              </w:rPr>
              <w:t xml:space="preserve"> </w:t>
            </w:r>
            <w:r>
              <w:rPr>
                <w:sz w:val="21"/>
              </w:rPr>
              <w:t>of</w:t>
            </w:r>
            <w:r>
              <w:rPr>
                <w:spacing w:val="-4"/>
                <w:sz w:val="21"/>
              </w:rPr>
              <w:t xml:space="preserve"> </w:t>
            </w:r>
            <w:r>
              <w:rPr>
                <w:sz w:val="21"/>
              </w:rPr>
              <w:t>MA</w:t>
            </w:r>
            <w:r>
              <w:rPr>
                <w:spacing w:val="-3"/>
                <w:sz w:val="21"/>
              </w:rPr>
              <w:t xml:space="preserve"> </w:t>
            </w:r>
            <w:r>
              <w:rPr>
                <w:spacing w:val="-2"/>
                <w:sz w:val="21"/>
              </w:rPr>
              <w:t>rebates.</w:t>
            </w:r>
          </w:p>
          <w:p>
            <w:pPr>
              <w:pStyle w:val="TableParagraph"/>
              <w:spacing w:line="241" w:lineRule="exact"/>
              <w:ind w:left="27" w:right="18"/>
              <w:jc w:val="center"/>
              <w:rPr>
                <w:sz w:val="21"/>
              </w:rPr>
            </w:pPr>
            <w:r>
              <w:rPr>
                <w:sz w:val="21"/>
              </w:rPr>
              <w:t>This</w:t>
            </w:r>
            <w:r>
              <w:rPr>
                <w:spacing w:val="-3"/>
                <w:sz w:val="21"/>
              </w:rPr>
              <w:t xml:space="preserve"> </w:t>
            </w:r>
            <w:r>
              <w:rPr>
                <w:sz w:val="21"/>
              </w:rPr>
              <w:t>value</w:t>
            </w:r>
            <w:r>
              <w:rPr>
                <w:spacing w:val="-2"/>
                <w:sz w:val="21"/>
              </w:rPr>
              <w:t xml:space="preserve"> </w:t>
            </w:r>
            <w:r>
              <w:rPr>
                <w:sz w:val="21"/>
              </w:rPr>
              <w:t>is</w:t>
            </w:r>
            <w:r>
              <w:rPr>
                <w:spacing w:val="-2"/>
                <w:sz w:val="21"/>
              </w:rPr>
              <w:t xml:space="preserve"> </w:t>
            </w:r>
            <w:r>
              <w:rPr>
                <w:sz w:val="21"/>
              </w:rPr>
              <w:t>from</w:t>
            </w:r>
            <w:r>
              <w:rPr>
                <w:spacing w:val="-3"/>
                <w:sz w:val="21"/>
              </w:rPr>
              <w:t xml:space="preserve"> </w:t>
            </w:r>
            <w:r>
              <w:rPr>
                <w:sz w:val="21"/>
              </w:rPr>
              <w:t>the</w:t>
            </w:r>
            <w:r>
              <w:rPr>
                <w:spacing w:val="-5"/>
                <w:sz w:val="21"/>
              </w:rPr>
              <w:t xml:space="preserve"> </w:t>
            </w:r>
            <w:r>
              <w:rPr>
                <w:sz w:val="21"/>
              </w:rPr>
              <w:t>Part</w:t>
            </w:r>
            <w:r>
              <w:rPr>
                <w:spacing w:val="-3"/>
                <w:sz w:val="21"/>
              </w:rPr>
              <w:t xml:space="preserve"> </w:t>
            </w:r>
            <w:r>
              <w:rPr>
                <w:sz w:val="21"/>
              </w:rPr>
              <w:t>D</w:t>
            </w:r>
            <w:r>
              <w:rPr>
                <w:spacing w:val="-3"/>
                <w:sz w:val="21"/>
              </w:rPr>
              <w:t xml:space="preserve"> </w:t>
            </w:r>
            <w:r>
              <w:rPr>
                <w:spacing w:val="-4"/>
                <w:sz w:val="21"/>
              </w:rPr>
              <w:t>BPT.</w:t>
            </w:r>
          </w:p>
        </w:tc>
        <w:tc>
          <w:tcPr>
            <w:tcW w:w="1669" w:type="dxa"/>
          </w:tcPr>
          <w:p>
            <w:pPr>
              <w:pStyle w:val="TableParagraph"/>
              <w:spacing w:before="178"/>
              <w:ind w:left="3"/>
              <w:jc w:val="center"/>
              <w:rPr>
                <w:sz w:val="21"/>
              </w:rPr>
            </w:pPr>
            <w:r>
              <w:rPr>
                <w:sz w:val="21"/>
              </w:rPr>
              <w:t>WS6</w:t>
            </w:r>
            <w:r>
              <w:rPr>
                <w:spacing w:val="-3"/>
                <w:sz w:val="21"/>
              </w:rPr>
              <w:t xml:space="preserve"> </w:t>
            </w:r>
            <w:r>
              <w:rPr>
                <w:spacing w:val="-5"/>
                <w:sz w:val="21"/>
              </w:rPr>
              <w:t>R34</w:t>
            </w:r>
          </w:p>
        </w:tc>
      </w:tr>
      <w:tr>
        <w:tblPrEx>
          <w:tblW w:w="0" w:type="auto"/>
          <w:jc w:val="left"/>
          <w:tblInd w:w="514" w:type="dxa"/>
          <w:tblLayout w:type="fixed"/>
          <w:tblCellMar>
            <w:top w:w="0" w:type="dxa"/>
            <w:left w:w="0" w:type="dxa"/>
            <w:bottom w:w="0" w:type="dxa"/>
            <w:right w:w="0" w:type="dxa"/>
          </w:tblCellMar>
          <w:tblLook w:val="01E0"/>
        </w:tblPrEx>
        <w:trPr>
          <w:trHeight w:val="592"/>
          <w:jc w:val="left"/>
        </w:trPr>
        <w:tc>
          <w:tcPr>
            <w:tcW w:w="1990" w:type="dxa"/>
          </w:tcPr>
          <w:p>
            <w:pPr>
              <w:pStyle w:val="TableParagraph"/>
              <w:spacing w:before="53"/>
              <w:ind w:left="551" w:hanging="358"/>
              <w:rPr>
                <w:sz w:val="21"/>
              </w:rPr>
            </w:pPr>
            <w:r>
              <w:rPr>
                <w:sz w:val="21"/>
              </w:rPr>
              <w:t>Basic</w:t>
            </w:r>
            <w:r>
              <w:rPr>
                <w:spacing w:val="-14"/>
                <w:sz w:val="21"/>
              </w:rPr>
              <w:t xml:space="preserve"> </w:t>
            </w:r>
            <w:r>
              <w:rPr>
                <w:sz w:val="21"/>
              </w:rPr>
              <w:t>Prem</w:t>
            </w:r>
            <w:r>
              <w:rPr>
                <w:spacing w:val="-13"/>
                <w:sz w:val="21"/>
              </w:rPr>
              <w:t xml:space="preserve"> </w:t>
            </w:r>
            <w:r>
              <w:rPr>
                <w:sz w:val="21"/>
              </w:rPr>
              <w:t xml:space="preserve">Rebate </w:t>
            </w:r>
            <w:r>
              <w:rPr>
                <w:spacing w:val="-2"/>
                <w:sz w:val="21"/>
              </w:rPr>
              <w:t>Allocation</w:t>
            </w:r>
          </w:p>
        </w:tc>
        <w:tc>
          <w:tcPr>
            <w:tcW w:w="5551" w:type="dxa"/>
          </w:tcPr>
          <w:p>
            <w:pPr>
              <w:pStyle w:val="TableParagraph"/>
              <w:spacing w:before="175"/>
              <w:ind w:left="27" w:right="19"/>
              <w:jc w:val="center"/>
              <w:rPr>
                <w:sz w:val="21"/>
              </w:rPr>
            </w:pPr>
            <w:r>
              <w:rPr>
                <w:sz w:val="21"/>
              </w:rPr>
              <w:t>The</w:t>
            </w:r>
            <w:r>
              <w:rPr>
                <w:spacing w:val="-3"/>
                <w:sz w:val="21"/>
              </w:rPr>
              <w:t xml:space="preserve"> </w:t>
            </w:r>
            <w:r>
              <w:rPr>
                <w:sz w:val="21"/>
              </w:rPr>
              <w:t>rebates</w:t>
            </w:r>
            <w:r>
              <w:rPr>
                <w:spacing w:val="-4"/>
                <w:sz w:val="21"/>
              </w:rPr>
              <w:t xml:space="preserve"> </w:t>
            </w:r>
            <w:r>
              <w:rPr>
                <w:sz w:val="21"/>
              </w:rPr>
              <w:t>allocated</w:t>
            </w:r>
            <w:r>
              <w:rPr>
                <w:spacing w:val="-3"/>
                <w:sz w:val="21"/>
              </w:rPr>
              <w:t xml:space="preserve"> </w:t>
            </w:r>
            <w:r>
              <w:rPr>
                <w:sz w:val="21"/>
              </w:rPr>
              <w:t>to</w:t>
            </w:r>
            <w:r>
              <w:rPr>
                <w:spacing w:val="-3"/>
                <w:sz w:val="21"/>
              </w:rPr>
              <w:t xml:space="preserve"> </w:t>
            </w:r>
            <w:r>
              <w:rPr>
                <w:sz w:val="21"/>
              </w:rPr>
              <w:t>the</w:t>
            </w:r>
            <w:r>
              <w:rPr>
                <w:spacing w:val="-5"/>
                <w:sz w:val="21"/>
              </w:rPr>
              <w:t xml:space="preserve"> </w:t>
            </w:r>
            <w:r>
              <w:rPr>
                <w:sz w:val="21"/>
              </w:rPr>
              <w:t>Part</w:t>
            </w:r>
            <w:r>
              <w:rPr>
                <w:spacing w:val="-4"/>
                <w:sz w:val="21"/>
              </w:rPr>
              <w:t xml:space="preserve"> </w:t>
            </w:r>
            <w:r>
              <w:rPr>
                <w:sz w:val="21"/>
              </w:rPr>
              <w:t>D</w:t>
            </w:r>
            <w:r>
              <w:rPr>
                <w:spacing w:val="-2"/>
                <w:sz w:val="21"/>
              </w:rPr>
              <w:t xml:space="preserve"> </w:t>
            </w:r>
            <w:r>
              <w:rPr>
                <w:sz w:val="21"/>
              </w:rPr>
              <w:t>basic</w:t>
            </w:r>
            <w:r>
              <w:rPr>
                <w:spacing w:val="-5"/>
                <w:sz w:val="21"/>
              </w:rPr>
              <w:t xml:space="preserve"> </w:t>
            </w:r>
            <w:r>
              <w:rPr>
                <w:spacing w:val="-2"/>
                <w:sz w:val="21"/>
              </w:rPr>
              <w:t>premium.</w:t>
            </w:r>
          </w:p>
        </w:tc>
        <w:tc>
          <w:tcPr>
            <w:tcW w:w="1669" w:type="dxa"/>
          </w:tcPr>
          <w:p>
            <w:pPr>
              <w:pStyle w:val="TableParagraph"/>
              <w:spacing w:before="175"/>
              <w:ind w:left="3"/>
              <w:jc w:val="center"/>
              <w:rPr>
                <w:sz w:val="21"/>
              </w:rPr>
            </w:pPr>
            <w:r>
              <w:rPr>
                <w:sz w:val="21"/>
              </w:rPr>
              <w:t>WS6</w:t>
            </w:r>
            <w:r>
              <w:rPr>
                <w:spacing w:val="-3"/>
                <w:sz w:val="21"/>
              </w:rPr>
              <w:t xml:space="preserve"> </w:t>
            </w:r>
            <w:r>
              <w:rPr>
                <w:spacing w:val="-5"/>
                <w:sz w:val="21"/>
              </w:rPr>
              <w:t>R36</w:t>
            </w:r>
          </w:p>
        </w:tc>
      </w:tr>
      <w:tr>
        <w:tblPrEx>
          <w:tblW w:w="0" w:type="auto"/>
          <w:jc w:val="left"/>
          <w:tblInd w:w="514" w:type="dxa"/>
          <w:tblLayout w:type="fixed"/>
          <w:tblCellMar>
            <w:top w:w="0" w:type="dxa"/>
            <w:left w:w="0" w:type="dxa"/>
            <w:bottom w:w="0" w:type="dxa"/>
            <w:right w:w="0" w:type="dxa"/>
          </w:tblCellMar>
          <w:tblLook w:val="01E0"/>
        </w:tblPrEx>
        <w:trPr>
          <w:trHeight w:val="599"/>
          <w:jc w:val="left"/>
        </w:trPr>
        <w:tc>
          <w:tcPr>
            <w:tcW w:w="1990" w:type="dxa"/>
          </w:tcPr>
          <w:p>
            <w:pPr>
              <w:pStyle w:val="TableParagraph"/>
              <w:spacing w:before="58"/>
              <w:ind w:left="609" w:hanging="147"/>
              <w:rPr>
                <w:sz w:val="21"/>
              </w:rPr>
            </w:pPr>
            <w:r>
              <w:rPr>
                <w:sz w:val="21"/>
              </w:rPr>
              <w:t>Part</w:t>
            </w:r>
            <w:r>
              <w:rPr>
                <w:spacing w:val="-14"/>
                <w:sz w:val="21"/>
              </w:rPr>
              <w:t xml:space="preserve"> </w:t>
            </w:r>
            <w:r>
              <w:rPr>
                <w:sz w:val="21"/>
              </w:rPr>
              <w:t>D</w:t>
            </w:r>
            <w:r>
              <w:rPr>
                <w:spacing w:val="-13"/>
                <w:sz w:val="21"/>
              </w:rPr>
              <w:t xml:space="preserve"> </w:t>
            </w:r>
            <w:r>
              <w:rPr>
                <w:sz w:val="21"/>
              </w:rPr>
              <w:t xml:space="preserve">Basic </w:t>
            </w:r>
            <w:r>
              <w:rPr>
                <w:spacing w:val="-2"/>
                <w:sz w:val="21"/>
              </w:rPr>
              <w:t>Premium</w:t>
            </w:r>
          </w:p>
        </w:tc>
        <w:tc>
          <w:tcPr>
            <w:tcW w:w="5551" w:type="dxa"/>
          </w:tcPr>
          <w:p>
            <w:pPr>
              <w:pStyle w:val="TableParagraph"/>
              <w:spacing w:before="178"/>
              <w:ind w:left="27" w:right="19"/>
              <w:jc w:val="center"/>
              <w:rPr>
                <w:sz w:val="21"/>
              </w:rPr>
            </w:pPr>
            <w:r>
              <w:rPr>
                <w:sz w:val="21"/>
              </w:rPr>
              <w:t>The</w:t>
            </w:r>
            <w:r>
              <w:rPr>
                <w:spacing w:val="-4"/>
                <w:sz w:val="21"/>
              </w:rPr>
              <w:t xml:space="preserve"> </w:t>
            </w:r>
            <w:r>
              <w:rPr>
                <w:sz w:val="21"/>
              </w:rPr>
              <w:t>Part</w:t>
            </w:r>
            <w:r>
              <w:rPr>
                <w:spacing w:val="-4"/>
                <w:sz w:val="21"/>
              </w:rPr>
              <w:t xml:space="preserve"> </w:t>
            </w:r>
            <w:r>
              <w:rPr>
                <w:sz w:val="21"/>
              </w:rPr>
              <w:t>D</w:t>
            </w:r>
            <w:r>
              <w:rPr>
                <w:spacing w:val="-3"/>
                <w:sz w:val="21"/>
              </w:rPr>
              <w:t xml:space="preserve"> </w:t>
            </w:r>
            <w:r>
              <w:rPr>
                <w:sz w:val="21"/>
              </w:rPr>
              <w:t>basic</w:t>
            </w:r>
            <w:r>
              <w:rPr>
                <w:spacing w:val="-3"/>
                <w:sz w:val="21"/>
              </w:rPr>
              <w:t xml:space="preserve"> </w:t>
            </w:r>
            <w:r>
              <w:rPr>
                <w:sz w:val="21"/>
              </w:rPr>
              <w:t>premium</w:t>
            </w:r>
            <w:r>
              <w:rPr>
                <w:spacing w:val="-5"/>
                <w:sz w:val="21"/>
              </w:rPr>
              <w:t xml:space="preserve"> </w:t>
            </w:r>
            <w:r>
              <w:rPr>
                <w:sz w:val="21"/>
              </w:rPr>
              <w:t>after</w:t>
            </w:r>
            <w:r>
              <w:rPr>
                <w:spacing w:val="-4"/>
                <w:sz w:val="21"/>
              </w:rPr>
              <w:t xml:space="preserve"> </w:t>
            </w:r>
            <w:r>
              <w:rPr>
                <w:sz w:val="21"/>
              </w:rPr>
              <w:t>allocation</w:t>
            </w:r>
            <w:r>
              <w:rPr>
                <w:spacing w:val="-4"/>
                <w:sz w:val="21"/>
              </w:rPr>
              <w:t xml:space="preserve"> </w:t>
            </w:r>
            <w:r>
              <w:rPr>
                <w:sz w:val="21"/>
              </w:rPr>
              <w:t>of</w:t>
            </w:r>
            <w:r>
              <w:rPr>
                <w:spacing w:val="-4"/>
                <w:sz w:val="21"/>
              </w:rPr>
              <w:t xml:space="preserve"> </w:t>
            </w:r>
            <w:r>
              <w:rPr>
                <w:sz w:val="21"/>
              </w:rPr>
              <w:t>MA</w:t>
            </w:r>
            <w:r>
              <w:rPr>
                <w:spacing w:val="-3"/>
                <w:sz w:val="21"/>
              </w:rPr>
              <w:t xml:space="preserve"> </w:t>
            </w:r>
            <w:r>
              <w:rPr>
                <w:spacing w:val="-2"/>
                <w:sz w:val="21"/>
              </w:rPr>
              <w:t>rebates.</w:t>
            </w:r>
          </w:p>
        </w:tc>
        <w:tc>
          <w:tcPr>
            <w:tcW w:w="1669" w:type="dxa"/>
          </w:tcPr>
          <w:p>
            <w:pPr>
              <w:pStyle w:val="TableParagraph"/>
              <w:spacing w:before="178"/>
              <w:ind w:left="3"/>
              <w:jc w:val="center"/>
              <w:rPr>
                <w:sz w:val="21"/>
              </w:rPr>
            </w:pPr>
            <w:r>
              <w:rPr>
                <w:sz w:val="21"/>
              </w:rPr>
              <w:t>WS6</w:t>
            </w:r>
            <w:r>
              <w:rPr>
                <w:spacing w:val="-3"/>
                <w:sz w:val="21"/>
              </w:rPr>
              <w:t xml:space="preserve"> </w:t>
            </w:r>
            <w:r>
              <w:rPr>
                <w:spacing w:val="-5"/>
                <w:sz w:val="21"/>
              </w:rPr>
              <w:t>R37</w:t>
            </w:r>
          </w:p>
        </w:tc>
      </w:tr>
      <w:tr>
        <w:tblPrEx>
          <w:tblW w:w="0" w:type="auto"/>
          <w:jc w:val="left"/>
          <w:tblInd w:w="514" w:type="dxa"/>
          <w:tblLayout w:type="fixed"/>
          <w:tblCellMar>
            <w:top w:w="0" w:type="dxa"/>
            <w:left w:w="0" w:type="dxa"/>
            <w:bottom w:w="0" w:type="dxa"/>
            <w:right w:w="0" w:type="dxa"/>
          </w:tblCellMar>
          <w:tblLook w:val="01E0"/>
        </w:tblPrEx>
        <w:trPr>
          <w:trHeight w:val="599"/>
          <w:jc w:val="left"/>
        </w:trPr>
        <w:tc>
          <w:tcPr>
            <w:tcW w:w="1990" w:type="dxa"/>
          </w:tcPr>
          <w:p>
            <w:pPr>
              <w:pStyle w:val="TableParagraph"/>
              <w:spacing w:before="58"/>
              <w:ind w:left="702" w:hanging="411"/>
              <w:rPr>
                <w:sz w:val="21"/>
              </w:rPr>
            </w:pPr>
            <w:r>
              <w:rPr>
                <w:sz w:val="21"/>
              </w:rPr>
              <w:t>Supp</w:t>
            </w:r>
            <w:r>
              <w:rPr>
                <w:spacing w:val="-14"/>
                <w:sz w:val="21"/>
              </w:rPr>
              <w:t xml:space="preserve"> </w:t>
            </w:r>
            <w:r>
              <w:rPr>
                <w:sz w:val="21"/>
              </w:rPr>
              <w:t>Prem</w:t>
            </w:r>
            <w:r>
              <w:rPr>
                <w:spacing w:val="-13"/>
                <w:sz w:val="21"/>
              </w:rPr>
              <w:t xml:space="preserve"> </w:t>
            </w:r>
            <w:r>
              <w:rPr>
                <w:sz w:val="21"/>
              </w:rPr>
              <w:t xml:space="preserve">Prior </w:t>
            </w:r>
            <w:r>
              <w:rPr>
                <w:spacing w:val="-2"/>
                <w:sz w:val="21"/>
              </w:rPr>
              <w:t>Rebate</w:t>
            </w:r>
          </w:p>
        </w:tc>
        <w:tc>
          <w:tcPr>
            <w:tcW w:w="5551" w:type="dxa"/>
          </w:tcPr>
          <w:p>
            <w:pPr>
              <w:pStyle w:val="TableParagraph"/>
              <w:spacing w:before="58"/>
              <w:ind w:left="959" w:hanging="728"/>
              <w:rPr>
                <w:sz w:val="21"/>
              </w:rPr>
            </w:pPr>
            <w:r>
              <w:rPr>
                <w:sz w:val="21"/>
              </w:rPr>
              <w:t>The</w:t>
            </w:r>
            <w:r>
              <w:rPr>
                <w:spacing w:val="-4"/>
                <w:sz w:val="21"/>
              </w:rPr>
              <w:t xml:space="preserve"> </w:t>
            </w:r>
            <w:r>
              <w:rPr>
                <w:sz w:val="21"/>
              </w:rPr>
              <w:t>Part</w:t>
            </w:r>
            <w:r>
              <w:rPr>
                <w:spacing w:val="-5"/>
                <w:sz w:val="21"/>
              </w:rPr>
              <w:t xml:space="preserve"> </w:t>
            </w:r>
            <w:r>
              <w:rPr>
                <w:sz w:val="21"/>
              </w:rPr>
              <w:t>D</w:t>
            </w:r>
            <w:r>
              <w:rPr>
                <w:spacing w:val="-3"/>
                <w:sz w:val="21"/>
              </w:rPr>
              <w:t xml:space="preserve"> </w:t>
            </w:r>
            <w:r>
              <w:rPr>
                <w:sz w:val="21"/>
              </w:rPr>
              <w:t>supplemental</w:t>
            </w:r>
            <w:r>
              <w:rPr>
                <w:spacing w:val="-5"/>
                <w:sz w:val="21"/>
              </w:rPr>
              <w:t xml:space="preserve"> </w:t>
            </w:r>
            <w:r>
              <w:rPr>
                <w:sz w:val="21"/>
              </w:rPr>
              <w:t>premium</w:t>
            </w:r>
            <w:r>
              <w:rPr>
                <w:spacing w:val="-5"/>
                <w:sz w:val="21"/>
              </w:rPr>
              <w:t xml:space="preserve"> </w:t>
            </w:r>
            <w:r>
              <w:rPr>
                <w:sz w:val="21"/>
              </w:rPr>
              <w:t>prior</w:t>
            </w:r>
            <w:r>
              <w:rPr>
                <w:spacing w:val="-5"/>
                <w:sz w:val="21"/>
              </w:rPr>
              <w:t xml:space="preserve"> </w:t>
            </w:r>
            <w:r>
              <w:rPr>
                <w:sz w:val="21"/>
              </w:rPr>
              <w:t>to</w:t>
            </w:r>
            <w:r>
              <w:rPr>
                <w:spacing w:val="-4"/>
                <w:sz w:val="21"/>
              </w:rPr>
              <w:t xml:space="preserve"> </w:t>
            </w:r>
            <w:r>
              <w:rPr>
                <w:sz w:val="21"/>
              </w:rPr>
              <w:t>allocation</w:t>
            </w:r>
            <w:r>
              <w:rPr>
                <w:spacing w:val="-4"/>
                <w:sz w:val="21"/>
              </w:rPr>
              <w:t xml:space="preserve"> </w:t>
            </w:r>
            <w:r>
              <w:rPr>
                <w:sz w:val="21"/>
              </w:rPr>
              <w:t>of</w:t>
            </w:r>
            <w:r>
              <w:rPr>
                <w:spacing w:val="-5"/>
                <w:sz w:val="21"/>
              </w:rPr>
              <w:t xml:space="preserve"> </w:t>
            </w:r>
            <w:r>
              <w:rPr>
                <w:sz w:val="21"/>
              </w:rPr>
              <w:t>MA rebates. This value is from the Part D BPT.</w:t>
            </w:r>
          </w:p>
        </w:tc>
        <w:tc>
          <w:tcPr>
            <w:tcW w:w="1669" w:type="dxa"/>
          </w:tcPr>
          <w:p>
            <w:pPr>
              <w:pStyle w:val="TableParagraph"/>
              <w:spacing w:before="180"/>
              <w:ind w:left="3"/>
              <w:jc w:val="center"/>
              <w:rPr>
                <w:sz w:val="21"/>
              </w:rPr>
            </w:pPr>
            <w:r>
              <w:rPr>
                <w:sz w:val="21"/>
              </w:rPr>
              <w:t>WS6</w:t>
            </w:r>
            <w:r>
              <w:rPr>
                <w:spacing w:val="-3"/>
                <w:sz w:val="21"/>
              </w:rPr>
              <w:t xml:space="preserve"> </w:t>
            </w:r>
            <w:r>
              <w:rPr>
                <w:spacing w:val="-5"/>
                <w:sz w:val="21"/>
              </w:rPr>
              <w:t>R40</w:t>
            </w:r>
          </w:p>
        </w:tc>
      </w:tr>
      <w:tr>
        <w:tblPrEx>
          <w:tblW w:w="0" w:type="auto"/>
          <w:jc w:val="left"/>
          <w:tblInd w:w="514" w:type="dxa"/>
          <w:tblLayout w:type="fixed"/>
          <w:tblCellMar>
            <w:top w:w="0" w:type="dxa"/>
            <w:left w:w="0" w:type="dxa"/>
            <w:bottom w:w="0" w:type="dxa"/>
            <w:right w:w="0" w:type="dxa"/>
          </w:tblCellMar>
          <w:tblLook w:val="01E0"/>
        </w:tblPrEx>
        <w:trPr>
          <w:trHeight w:val="648"/>
          <w:jc w:val="left"/>
        </w:trPr>
        <w:tc>
          <w:tcPr>
            <w:tcW w:w="1990" w:type="dxa"/>
          </w:tcPr>
          <w:p>
            <w:pPr>
              <w:pStyle w:val="TableParagraph"/>
              <w:spacing w:before="82"/>
              <w:ind w:left="551" w:hanging="341"/>
              <w:rPr>
                <w:sz w:val="21"/>
              </w:rPr>
            </w:pPr>
            <w:r>
              <w:rPr>
                <w:sz w:val="21"/>
              </w:rPr>
              <w:t>Supp</w:t>
            </w:r>
            <w:r>
              <w:rPr>
                <w:spacing w:val="-14"/>
                <w:sz w:val="21"/>
              </w:rPr>
              <w:t xml:space="preserve"> </w:t>
            </w:r>
            <w:r>
              <w:rPr>
                <w:sz w:val="21"/>
              </w:rPr>
              <w:t>Prem</w:t>
            </w:r>
            <w:r>
              <w:rPr>
                <w:spacing w:val="-13"/>
                <w:sz w:val="21"/>
              </w:rPr>
              <w:t xml:space="preserve"> </w:t>
            </w:r>
            <w:r>
              <w:rPr>
                <w:sz w:val="21"/>
              </w:rPr>
              <w:t xml:space="preserve">Rebate </w:t>
            </w:r>
            <w:r>
              <w:rPr>
                <w:spacing w:val="-2"/>
                <w:sz w:val="21"/>
              </w:rPr>
              <w:t>Allocation</w:t>
            </w:r>
          </w:p>
        </w:tc>
        <w:tc>
          <w:tcPr>
            <w:tcW w:w="5551" w:type="dxa"/>
          </w:tcPr>
          <w:p>
            <w:pPr>
              <w:pStyle w:val="TableParagraph"/>
              <w:spacing w:before="205"/>
              <w:ind w:left="27" w:right="19"/>
              <w:jc w:val="center"/>
              <w:rPr>
                <w:sz w:val="21"/>
              </w:rPr>
            </w:pPr>
            <w:r>
              <w:rPr>
                <w:sz w:val="21"/>
              </w:rPr>
              <w:t>The</w:t>
            </w:r>
            <w:r>
              <w:rPr>
                <w:spacing w:val="-4"/>
                <w:sz w:val="21"/>
              </w:rPr>
              <w:t xml:space="preserve"> </w:t>
            </w:r>
            <w:r>
              <w:rPr>
                <w:sz w:val="21"/>
              </w:rPr>
              <w:t>rebates</w:t>
            </w:r>
            <w:r>
              <w:rPr>
                <w:spacing w:val="-4"/>
                <w:sz w:val="21"/>
              </w:rPr>
              <w:t xml:space="preserve"> </w:t>
            </w:r>
            <w:r>
              <w:rPr>
                <w:sz w:val="21"/>
              </w:rPr>
              <w:t>allocated</w:t>
            </w:r>
            <w:r>
              <w:rPr>
                <w:spacing w:val="-3"/>
                <w:sz w:val="21"/>
              </w:rPr>
              <w:t xml:space="preserve"> </w:t>
            </w:r>
            <w:r>
              <w:rPr>
                <w:sz w:val="21"/>
              </w:rPr>
              <w:t>to</w:t>
            </w:r>
            <w:r>
              <w:rPr>
                <w:spacing w:val="-4"/>
                <w:sz w:val="21"/>
              </w:rPr>
              <w:t xml:space="preserve"> </w:t>
            </w:r>
            <w:r>
              <w:rPr>
                <w:sz w:val="21"/>
              </w:rPr>
              <w:t>the</w:t>
            </w:r>
            <w:r>
              <w:rPr>
                <w:spacing w:val="-6"/>
                <w:sz w:val="21"/>
              </w:rPr>
              <w:t xml:space="preserve"> </w:t>
            </w:r>
            <w:r>
              <w:rPr>
                <w:sz w:val="21"/>
              </w:rPr>
              <w:t>Part</w:t>
            </w:r>
            <w:r>
              <w:rPr>
                <w:spacing w:val="-4"/>
                <w:sz w:val="21"/>
              </w:rPr>
              <w:t xml:space="preserve"> </w:t>
            </w:r>
            <w:r>
              <w:rPr>
                <w:sz w:val="21"/>
              </w:rPr>
              <w:t>D</w:t>
            </w:r>
            <w:r>
              <w:rPr>
                <w:spacing w:val="-2"/>
                <w:sz w:val="21"/>
              </w:rPr>
              <w:t xml:space="preserve"> </w:t>
            </w:r>
            <w:r>
              <w:rPr>
                <w:sz w:val="21"/>
              </w:rPr>
              <w:t>supplemental</w:t>
            </w:r>
            <w:r>
              <w:rPr>
                <w:spacing w:val="-4"/>
                <w:sz w:val="21"/>
              </w:rPr>
              <w:t xml:space="preserve"> </w:t>
            </w:r>
            <w:r>
              <w:rPr>
                <w:spacing w:val="-2"/>
                <w:sz w:val="21"/>
              </w:rPr>
              <w:t>premium.</w:t>
            </w:r>
          </w:p>
        </w:tc>
        <w:tc>
          <w:tcPr>
            <w:tcW w:w="1669" w:type="dxa"/>
          </w:tcPr>
          <w:p>
            <w:pPr>
              <w:pStyle w:val="TableParagraph"/>
              <w:spacing w:before="205"/>
              <w:ind w:left="3"/>
              <w:jc w:val="center"/>
              <w:rPr>
                <w:sz w:val="21"/>
              </w:rPr>
            </w:pPr>
            <w:r>
              <w:rPr>
                <w:sz w:val="21"/>
              </w:rPr>
              <w:t>WS6</w:t>
            </w:r>
            <w:r>
              <w:rPr>
                <w:spacing w:val="-3"/>
                <w:sz w:val="21"/>
              </w:rPr>
              <w:t xml:space="preserve"> </w:t>
            </w:r>
            <w:r>
              <w:rPr>
                <w:spacing w:val="-5"/>
                <w:sz w:val="21"/>
              </w:rPr>
              <w:t>R42</w:t>
            </w:r>
          </w:p>
        </w:tc>
      </w:tr>
      <w:tr>
        <w:tblPrEx>
          <w:tblW w:w="0" w:type="auto"/>
          <w:jc w:val="left"/>
          <w:tblInd w:w="514" w:type="dxa"/>
          <w:tblLayout w:type="fixed"/>
          <w:tblCellMar>
            <w:top w:w="0" w:type="dxa"/>
            <w:left w:w="0" w:type="dxa"/>
            <w:bottom w:w="0" w:type="dxa"/>
            <w:right w:w="0" w:type="dxa"/>
          </w:tblCellMar>
          <w:tblLook w:val="01E0"/>
        </w:tblPrEx>
        <w:trPr>
          <w:trHeight w:val="599"/>
          <w:jc w:val="left"/>
        </w:trPr>
        <w:tc>
          <w:tcPr>
            <w:tcW w:w="1990" w:type="dxa"/>
          </w:tcPr>
          <w:p>
            <w:pPr>
              <w:pStyle w:val="TableParagraph"/>
              <w:spacing w:before="58"/>
              <w:ind w:left="609" w:hanging="492"/>
              <w:rPr>
                <w:sz w:val="21"/>
              </w:rPr>
            </w:pPr>
            <w:r>
              <w:rPr>
                <w:sz w:val="21"/>
              </w:rPr>
              <w:t>Part</w:t>
            </w:r>
            <w:r>
              <w:rPr>
                <w:spacing w:val="-14"/>
                <w:sz w:val="21"/>
              </w:rPr>
              <w:t xml:space="preserve"> </w:t>
            </w:r>
            <w:r>
              <w:rPr>
                <w:sz w:val="21"/>
              </w:rPr>
              <w:t>D</w:t>
            </w:r>
            <w:r>
              <w:rPr>
                <w:spacing w:val="-13"/>
                <w:sz w:val="21"/>
              </w:rPr>
              <w:t xml:space="preserve"> </w:t>
            </w:r>
            <w:r>
              <w:rPr>
                <w:sz w:val="21"/>
              </w:rPr>
              <w:t xml:space="preserve">Supplemental </w:t>
            </w:r>
            <w:r>
              <w:rPr>
                <w:spacing w:val="-2"/>
                <w:sz w:val="21"/>
              </w:rPr>
              <w:t>Premium</w:t>
            </w:r>
          </w:p>
        </w:tc>
        <w:tc>
          <w:tcPr>
            <w:tcW w:w="5551" w:type="dxa"/>
          </w:tcPr>
          <w:p>
            <w:pPr>
              <w:pStyle w:val="TableParagraph"/>
              <w:spacing w:before="58"/>
              <w:ind w:left="2450" w:hanging="2098"/>
              <w:rPr>
                <w:sz w:val="21"/>
              </w:rPr>
            </w:pPr>
            <w:r>
              <w:rPr>
                <w:sz w:val="21"/>
              </w:rPr>
              <w:t>The</w:t>
            </w:r>
            <w:r>
              <w:rPr>
                <w:spacing w:val="-4"/>
                <w:sz w:val="21"/>
              </w:rPr>
              <w:t xml:space="preserve"> </w:t>
            </w:r>
            <w:r>
              <w:rPr>
                <w:sz w:val="21"/>
              </w:rPr>
              <w:t>Part</w:t>
            </w:r>
            <w:r>
              <w:rPr>
                <w:spacing w:val="-5"/>
                <w:sz w:val="21"/>
              </w:rPr>
              <w:t xml:space="preserve"> </w:t>
            </w:r>
            <w:r>
              <w:rPr>
                <w:sz w:val="21"/>
              </w:rPr>
              <w:t>D</w:t>
            </w:r>
            <w:r>
              <w:rPr>
                <w:spacing w:val="-3"/>
                <w:sz w:val="21"/>
              </w:rPr>
              <w:t xml:space="preserve"> </w:t>
            </w:r>
            <w:r>
              <w:rPr>
                <w:sz w:val="21"/>
              </w:rPr>
              <w:t>supplemental</w:t>
            </w:r>
            <w:r>
              <w:rPr>
                <w:spacing w:val="-5"/>
                <w:sz w:val="21"/>
              </w:rPr>
              <w:t xml:space="preserve"> </w:t>
            </w:r>
            <w:r>
              <w:rPr>
                <w:sz w:val="21"/>
              </w:rPr>
              <w:t>premium</w:t>
            </w:r>
            <w:r>
              <w:rPr>
                <w:spacing w:val="-5"/>
                <w:sz w:val="21"/>
              </w:rPr>
              <w:t xml:space="preserve"> </w:t>
            </w:r>
            <w:r>
              <w:rPr>
                <w:sz w:val="21"/>
              </w:rPr>
              <w:t>after</w:t>
            </w:r>
            <w:r>
              <w:rPr>
                <w:spacing w:val="-5"/>
                <w:sz w:val="21"/>
              </w:rPr>
              <w:t xml:space="preserve"> </w:t>
            </w:r>
            <w:r>
              <w:rPr>
                <w:sz w:val="21"/>
              </w:rPr>
              <w:t>allocation</w:t>
            </w:r>
            <w:r>
              <w:rPr>
                <w:spacing w:val="-4"/>
                <w:sz w:val="21"/>
              </w:rPr>
              <w:t xml:space="preserve"> </w:t>
            </w:r>
            <w:r>
              <w:rPr>
                <w:sz w:val="21"/>
              </w:rPr>
              <w:t>of</w:t>
            </w:r>
            <w:r>
              <w:rPr>
                <w:spacing w:val="-5"/>
                <w:sz w:val="21"/>
              </w:rPr>
              <w:t xml:space="preserve"> </w:t>
            </w:r>
            <w:r>
              <w:rPr>
                <w:sz w:val="21"/>
              </w:rPr>
              <w:t xml:space="preserve">MA </w:t>
            </w:r>
            <w:r>
              <w:rPr>
                <w:spacing w:val="-2"/>
                <w:sz w:val="21"/>
              </w:rPr>
              <w:t>rebates.</w:t>
            </w:r>
          </w:p>
        </w:tc>
        <w:tc>
          <w:tcPr>
            <w:tcW w:w="1669" w:type="dxa"/>
          </w:tcPr>
          <w:p>
            <w:pPr>
              <w:pStyle w:val="TableParagraph"/>
              <w:spacing w:before="180"/>
              <w:ind w:left="3"/>
              <w:jc w:val="center"/>
              <w:rPr>
                <w:sz w:val="21"/>
              </w:rPr>
            </w:pPr>
            <w:r>
              <w:rPr>
                <w:sz w:val="21"/>
              </w:rPr>
              <w:t>WS6</w:t>
            </w:r>
            <w:r>
              <w:rPr>
                <w:spacing w:val="-3"/>
                <w:sz w:val="21"/>
              </w:rPr>
              <w:t xml:space="preserve"> </w:t>
            </w:r>
            <w:r>
              <w:rPr>
                <w:spacing w:val="-5"/>
                <w:sz w:val="21"/>
              </w:rPr>
              <w:t>R43</w:t>
            </w:r>
          </w:p>
        </w:tc>
      </w:tr>
      <w:tr>
        <w:tblPrEx>
          <w:tblW w:w="0" w:type="auto"/>
          <w:jc w:val="left"/>
          <w:tblInd w:w="514" w:type="dxa"/>
          <w:tblLayout w:type="fixed"/>
          <w:tblCellMar>
            <w:top w:w="0" w:type="dxa"/>
            <w:left w:w="0" w:type="dxa"/>
            <w:bottom w:w="0" w:type="dxa"/>
            <w:right w:w="0" w:type="dxa"/>
          </w:tblCellMar>
          <w:tblLook w:val="01E0"/>
        </w:tblPrEx>
        <w:trPr>
          <w:trHeight w:val="422"/>
          <w:jc w:val="left"/>
        </w:trPr>
        <w:tc>
          <w:tcPr>
            <w:tcW w:w="1990" w:type="dxa"/>
          </w:tcPr>
          <w:p>
            <w:pPr>
              <w:pStyle w:val="TableParagraph"/>
              <w:spacing w:before="91"/>
              <w:ind w:left="13"/>
              <w:jc w:val="center"/>
              <w:rPr>
                <w:sz w:val="21"/>
              </w:rPr>
            </w:pPr>
            <w:r>
              <w:rPr>
                <w:sz w:val="21"/>
              </w:rPr>
              <w:t>Total</w:t>
            </w:r>
            <w:r>
              <w:rPr>
                <w:spacing w:val="-2"/>
                <w:sz w:val="21"/>
              </w:rPr>
              <w:t xml:space="preserve"> </w:t>
            </w:r>
            <w:r>
              <w:rPr>
                <w:sz w:val="21"/>
              </w:rPr>
              <w:t>Plan</w:t>
            </w:r>
            <w:r>
              <w:rPr>
                <w:spacing w:val="-1"/>
                <w:sz w:val="21"/>
              </w:rPr>
              <w:t xml:space="preserve"> </w:t>
            </w:r>
            <w:r>
              <w:rPr>
                <w:spacing w:val="-2"/>
                <w:sz w:val="21"/>
              </w:rPr>
              <w:t>Premium</w:t>
            </w:r>
          </w:p>
        </w:tc>
        <w:tc>
          <w:tcPr>
            <w:tcW w:w="5551" w:type="dxa"/>
          </w:tcPr>
          <w:p>
            <w:pPr>
              <w:pStyle w:val="TableParagraph"/>
              <w:spacing w:before="91"/>
              <w:ind w:left="27" w:right="21"/>
              <w:jc w:val="center"/>
              <w:rPr>
                <w:sz w:val="21"/>
              </w:rPr>
            </w:pPr>
            <w:r>
              <w:rPr>
                <w:sz w:val="21"/>
              </w:rPr>
              <w:t>The</w:t>
            </w:r>
            <w:r>
              <w:rPr>
                <w:spacing w:val="-4"/>
                <w:sz w:val="21"/>
              </w:rPr>
              <w:t xml:space="preserve"> </w:t>
            </w:r>
            <w:r>
              <w:rPr>
                <w:sz w:val="21"/>
              </w:rPr>
              <w:t>total</w:t>
            </w:r>
            <w:r>
              <w:rPr>
                <w:spacing w:val="-5"/>
                <w:sz w:val="21"/>
              </w:rPr>
              <w:t xml:space="preserve"> </w:t>
            </w:r>
            <w:r>
              <w:rPr>
                <w:sz w:val="21"/>
              </w:rPr>
              <w:t>estimated</w:t>
            </w:r>
            <w:r>
              <w:rPr>
                <w:spacing w:val="-4"/>
                <w:sz w:val="21"/>
              </w:rPr>
              <w:t xml:space="preserve"> </w:t>
            </w:r>
            <w:r>
              <w:rPr>
                <w:sz w:val="21"/>
              </w:rPr>
              <w:t>plan</w:t>
            </w:r>
            <w:r>
              <w:rPr>
                <w:spacing w:val="-3"/>
                <w:sz w:val="21"/>
              </w:rPr>
              <w:t xml:space="preserve"> </w:t>
            </w:r>
            <w:r>
              <w:rPr>
                <w:spacing w:val="-2"/>
                <w:sz w:val="21"/>
              </w:rPr>
              <w:t>premium.</w:t>
            </w:r>
          </w:p>
        </w:tc>
        <w:tc>
          <w:tcPr>
            <w:tcW w:w="1669" w:type="dxa"/>
          </w:tcPr>
          <w:p>
            <w:pPr>
              <w:pStyle w:val="TableParagraph"/>
              <w:spacing w:before="91"/>
              <w:ind w:left="3"/>
              <w:jc w:val="center"/>
              <w:rPr>
                <w:sz w:val="21"/>
              </w:rPr>
            </w:pPr>
            <w:r>
              <w:rPr>
                <w:sz w:val="21"/>
              </w:rPr>
              <w:t>WS6</w:t>
            </w:r>
            <w:r>
              <w:rPr>
                <w:spacing w:val="-3"/>
                <w:sz w:val="21"/>
              </w:rPr>
              <w:t xml:space="preserve"> </w:t>
            </w:r>
            <w:r>
              <w:rPr>
                <w:spacing w:val="-5"/>
                <w:sz w:val="21"/>
              </w:rPr>
              <w:t>R45</w:t>
            </w:r>
          </w:p>
        </w:tc>
      </w:tr>
    </w:tbl>
    <w:p>
      <w:pPr>
        <w:pStyle w:val="TableParagraph"/>
        <w:spacing w:after="0"/>
        <w:jc w:val="center"/>
        <w:rPr>
          <w:sz w:val="21"/>
        </w:rPr>
        <w:sectPr>
          <w:pgSz w:w="12240" w:h="15840"/>
          <w:pgMar w:top="960" w:right="0" w:bottom="940" w:left="1080" w:header="727" w:footer="747"/>
          <w:cols w:space="720"/>
        </w:sectPr>
      </w:pPr>
    </w:p>
    <w:p>
      <w:pPr>
        <w:pStyle w:val="BodyText"/>
        <w:spacing w:before="225"/>
        <w:ind w:left="0"/>
        <w:rPr>
          <w:rFonts w:ascii="Arial"/>
          <w:b/>
          <w:sz w:val="21"/>
        </w:rPr>
      </w:pPr>
    </w:p>
    <w:p>
      <w:pPr>
        <w:pStyle w:val="ListParagraph"/>
        <w:numPr>
          <w:ilvl w:val="1"/>
          <w:numId w:val="26"/>
        </w:numPr>
        <w:tabs>
          <w:tab w:val="left" w:pos="771"/>
        </w:tabs>
        <w:spacing w:before="0" w:after="0" w:line="240" w:lineRule="auto"/>
        <w:ind w:left="771" w:right="0" w:hanging="267"/>
        <w:jc w:val="left"/>
        <w:rPr>
          <w:rFonts w:ascii="Arial"/>
          <w:b/>
          <w:sz w:val="21"/>
        </w:rPr>
      </w:pPr>
      <w:bookmarkStart w:id="367" w:name="C. Non-RPPO Examples When Target is Init"/>
      <w:bookmarkEnd w:id="367"/>
      <w:r>
        <w:rPr>
          <w:rFonts w:ascii="Arial"/>
          <w:b/>
          <w:sz w:val="21"/>
        </w:rPr>
        <w:t>Non-RPPO</w:t>
      </w:r>
      <w:r>
        <w:rPr>
          <w:rFonts w:ascii="Arial"/>
          <w:b/>
          <w:spacing w:val="-8"/>
          <w:sz w:val="21"/>
        </w:rPr>
        <w:t xml:space="preserve"> </w:t>
      </w:r>
      <w:r>
        <w:rPr>
          <w:rFonts w:ascii="Arial"/>
          <w:b/>
          <w:sz w:val="21"/>
        </w:rPr>
        <w:t>Examples</w:t>
      </w:r>
      <w:r>
        <w:rPr>
          <w:rFonts w:ascii="Arial"/>
          <w:b/>
          <w:spacing w:val="-8"/>
          <w:sz w:val="21"/>
        </w:rPr>
        <w:t xml:space="preserve"> </w:t>
      </w:r>
      <w:r>
        <w:rPr>
          <w:rFonts w:ascii="Arial"/>
          <w:b/>
          <w:sz w:val="21"/>
        </w:rPr>
        <w:t>When</w:t>
      </w:r>
      <w:r>
        <w:rPr>
          <w:rFonts w:ascii="Arial"/>
          <w:b/>
          <w:spacing w:val="-7"/>
          <w:sz w:val="21"/>
        </w:rPr>
        <w:t xml:space="preserve"> </w:t>
      </w:r>
      <w:r>
        <w:rPr>
          <w:rFonts w:ascii="Arial"/>
          <w:b/>
          <w:sz w:val="21"/>
        </w:rPr>
        <w:t>Target</w:t>
      </w:r>
      <w:r>
        <w:rPr>
          <w:rFonts w:ascii="Arial"/>
          <w:b/>
          <w:spacing w:val="-6"/>
          <w:sz w:val="21"/>
        </w:rPr>
        <w:t xml:space="preserve"> </w:t>
      </w:r>
      <w:r>
        <w:rPr>
          <w:rFonts w:ascii="Arial"/>
          <w:b/>
          <w:sz w:val="21"/>
        </w:rPr>
        <w:t>is</w:t>
      </w:r>
      <w:r>
        <w:rPr>
          <w:rFonts w:ascii="Arial"/>
          <w:b/>
          <w:spacing w:val="-5"/>
          <w:sz w:val="21"/>
        </w:rPr>
        <w:t xml:space="preserve"> </w:t>
      </w:r>
      <w:r>
        <w:rPr>
          <w:rFonts w:ascii="Arial"/>
          <w:b/>
          <w:sz w:val="21"/>
        </w:rPr>
        <w:t>Initial</w:t>
      </w:r>
      <w:r>
        <w:rPr>
          <w:rFonts w:ascii="Arial"/>
          <w:b/>
          <w:spacing w:val="-5"/>
          <w:sz w:val="21"/>
        </w:rPr>
        <w:t xml:space="preserve"> </w:t>
      </w:r>
      <w:r>
        <w:rPr>
          <w:rFonts w:ascii="Arial"/>
          <w:b/>
          <w:sz w:val="21"/>
        </w:rPr>
        <w:t>Part</w:t>
      </w:r>
      <w:r>
        <w:rPr>
          <w:rFonts w:ascii="Arial"/>
          <w:b/>
          <w:spacing w:val="-6"/>
          <w:sz w:val="21"/>
        </w:rPr>
        <w:t xml:space="preserve"> </w:t>
      </w:r>
      <w:r>
        <w:rPr>
          <w:rFonts w:ascii="Arial"/>
          <w:b/>
          <w:sz w:val="21"/>
        </w:rPr>
        <w:t>D</w:t>
      </w:r>
      <w:r>
        <w:rPr>
          <w:rFonts w:ascii="Arial"/>
          <w:b/>
          <w:spacing w:val="-5"/>
          <w:sz w:val="21"/>
        </w:rPr>
        <w:t xml:space="preserve"> </w:t>
      </w:r>
      <w:r>
        <w:rPr>
          <w:rFonts w:ascii="Arial"/>
          <w:b/>
          <w:sz w:val="21"/>
        </w:rPr>
        <w:t>Basic</w:t>
      </w:r>
      <w:r>
        <w:rPr>
          <w:rFonts w:ascii="Arial"/>
          <w:b/>
          <w:spacing w:val="-7"/>
          <w:sz w:val="21"/>
        </w:rPr>
        <w:t xml:space="preserve"> </w:t>
      </w:r>
      <w:r>
        <w:rPr>
          <w:rFonts w:ascii="Arial"/>
          <w:b/>
          <w:spacing w:val="-2"/>
          <w:sz w:val="21"/>
        </w:rPr>
        <w:t>Premium</w:t>
      </w:r>
    </w:p>
    <w:p>
      <w:pPr>
        <w:pStyle w:val="BodyText"/>
        <w:spacing w:before="120"/>
        <w:ind w:right="1619"/>
      </w:pPr>
      <w:r>
        <w:t>In</w:t>
      </w:r>
      <w:r>
        <w:rPr>
          <w:spacing w:val="-3"/>
        </w:rPr>
        <w:t xml:space="preserve"> </w:t>
      </w:r>
      <w:r>
        <w:t>the</w:t>
      </w:r>
      <w:r>
        <w:rPr>
          <w:spacing w:val="-2"/>
        </w:rPr>
        <w:t xml:space="preserve"> </w:t>
      </w:r>
      <w:r>
        <w:t>following</w:t>
      </w:r>
      <w:r>
        <w:rPr>
          <w:spacing w:val="-3"/>
        </w:rPr>
        <w:t xml:space="preserve"> </w:t>
      </w:r>
      <w:r>
        <w:t>examples,</w:t>
      </w:r>
      <w:r>
        <w:rPr>
          <w:spacing w:val="-3"/>
        </w:rPr>
        <w:t xml:space="preserve"> </w:t>
      </w:r>
      <w:r>
        <w:t>the</w:t>
      </w:r>
      <w:r>
        <w:rPr>
          <w:spacing w:val="-3"/>
        </w:rPr>
        <w:t xml:space="preserve"> </w:t>
      </w:r>
      <w:r>
        <w:t>bold</w:t>
      </w:r>
      <w:r>
        <w:rPr>
          <w:spacing w:val="-3"/>
        </w:rPr>
        <w:t xml:space="preserve"> </w:t>
      </w:r>
      <w:r>
        <w:t>and</w:t>
      </w:r>
      <w:r>
        <w:rPr>
          <w:spacing w:val="-3"/>
        </w:rPr>
        <w:t xml:space="preserve"> </w:t>
      </w:r>
      <w:r>
        <w:t>italicized</w:t>
      </w:r>
      <w:r>
        <w:rPr>
          <w:spacing w:val="-1"/>
        </w:rPr>
        <w:t xml:space="preserve"> </w:t>
      </w:r>
      <w:r>
        <w:t>numbers</w:t>
      </w:r>
      <w:r>
        <w:rPr>
          <w:spacing w:val="-4"/>
        </w:rPr>
        <w:t xml:space="preserve"> </w:t>
      </w:r>
      <w:r>
        <w:t>represent</w:t>
      </w:r>
      <w:r>
        <w:rPr>
          <w:spacing w:val="-3"/>
        </w:rPr>
        <w:t xml:space="preserve"> </w:t>
      </w:r>
      <w:r>
        <w:t>a</w:t>
      </w:r>
      <w:r>
        <w:rPr>
          <w:spacing w:val="-2"/>
        </w:rPr>
        <w:t xml:space="preserve"> </w:t>
      </w:r>
      <w:r>
        <w:t>change</w:t>
      </w:r>
      <w:r>
        <w:rPr>
          <w:spacing w:val="-4"/>
        </w:rPr>
        <w:t xml:space="preserve"> </w:t>
      </w:r>
      <w:r>
        <w:t>to</w:t>
      </w:r>
      <w:r>
        <w:rPr>
          <w:spacing w:val="-3"/>
        </w:rPr>
        <w:t xml:space="preserve"> </w:t>
      </w:r>
      <w:r>
        <w:t>an</w:t>
      </w:r>
      <w:r>
        <w:rPr>
          <w:spacing w:val="-3"/>
        </w:rPr>
        <w:t xml:space="preserve"> </w:t>
      </w:r>
      <w:r>
        <w:t>input</w:t>
      </w:r>
      <w:r>
        <w:rPr>
          <w:spacing w:val="-3"/>
        </w:rPr>
        <w:t xml:space="preserve"> </w:t>
      </w:r>
      <w:r>
        <w:t>cell in the BPT.</w:t>
      </w:r>
    </w:p>
    <w:p>
      <w:pPr>
        <w:pStyle w:val="BodyText"/>
        <w:spacing w:before="4"/>
        <w:ind w:left="0"/>
      </w:pPr>
    </w:p>
    <w:p>
      <w:pPr>
        <w:pStyle w:val="Heading4"/>
        <w:ind w:right="0"/>
        <w:rPr>
          <w:i/>
        </w:rPr>
      </w:pPr>
      <w:bookmarkStart w:id="368" w:name="Example 1: Rebate Reallocation is Not Pe"/>
      <w:bookmarkEnd w:id="368"/>
      <w:r>
        <w:rPr>
          <w:i/>
        </w:rPr>
        <w:t>Example</w:t>
      </w:r>
      <w:r>
        <w:rPr>
          <w:i/>
          <w:spacing w:val="-5"/>
        </w:rPr>
        <w:t xml:space="preserve"> </w:t>
      </w:r>
      <w:r>
        <w:rPr>
          <w:i/>
        </w:rPr>
        <w:t>1:</w:t>
      </w:r>
      <w:r>
        <w:rPr>
          <w:i/>
          <w:spacing w:val="-2"/>
        </w:rPr>
        <w:t xml:space="preserve"> </w:t>
      </w:r>
      <w:r>
        <w:rPr>
          <w:i/>
        </w:rPr>
        <w:t>Rebate</w:t>
      </w:r>
      <w:r>
        <w:rPr>
          <w:i/>
          <w:spacing w:val="-2"/>
        </w:rPr>
        <w:t xml:space="preserve"> </w:t>
      </w:r>
      <w:r>
        <w:rPr>
          <w:i/>
        </w:rPr>
        <w:t>Reallocation</w:t>
      </w:r>
      <w:r>
        <w:rPr>
          <w:i/>
          <w:spacing w:val="-2"/>
        </w:rPr>
        <w:t xml:space="preserve"> </w:t>
      </w:r>
      <w:r>
        <w:rPr>
          <w:i/>
        </w:rPr>
        <w:t>is</w:t>
      </w:r>
      <w:r>
        <w:rPr>
          <w:i/>
          <w:spacing w:val="-4"/>
        </w:rPr>
        <w:t xml:space="preserve"> </w:t>
      </w:r>
      <w:r>
        <w:rPr>
          <w:i/>
        </w:rPr>
        <w:t>Not</w:t>
      </w:r>
      <w:r>
        <w:rPr>
          <w:i/>
          <w:spacing w:val="-3"/>
        </w:rPr>
        <w:t xml:space="preserve"> </w:t>
      </w:r>
      <w:r>
        <w:rPr>
          <w:i/>
          <w:spacing w:val="-2"/>
        </w:rPr>
        <w:t>Permitted.</w:t>
      </w:r>
    </w:p>
    <w:p>
      <w:pPr>
        <w:pStyle w:val="BodyText"/>
        <w:spacing w:before="130"/>
        <w:ind w:left="0"/>
        <w:rPr>
          <w:rFonts w:ascii="Arial"/>
          <w:b/>
          <w:i/>
          <w:sz w:val="20"/>
        </w:rPr>
      </w:pPr>
    </w:p>
    <w:tbl>
      <w:tblPr>
        <w:tblStyle w:val="TableNormal"/>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0"/>
        <w:gridCol w:w="2362"/>
        <w:gridCol w:w="2360"/>
      </w:tblGrid>
      <w:tr>
        <w:tblPrEx>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70"/>
          <w:jc w:val="left"/>
        </w:trPr>
        <w:tc>
          <w:tcPr>
            <w:tcW w:w="4220" w:type="dxa"/>
          </w:tcPr>
          <w:p>
            <w:pPr>
              <w:pStyle w:val="TableParagraph"/>
              <w:spacing w:before="163"/>
              <w:ind w:left="11"/>
              <w:jc w:val="center"/>
              <w:rPr>
                <w:b/>
                <w:sz w:val="21"/>
              </w:rPr>
            </w:pPr>
            <w:r>
              <w:rPr>
                <w:b/>
                <w:spacing w:val="-2"/>
                <w:sz w:val="21"/>
              </w:rPr>
              <w:t>Label</w:t>
            </w:r>
          </w:p>
        </w:tc>
        <w:tc>
          <w:tcPr>
            <w:tcW w:w="2362" w:type="dxa"/>
          </w:tcPr>
          <w:p>
            <w:pPr>
              <w:pStyle w:val="TableParagraph"/>
              <w:spacing w:before="163"/>
              <w:ind w:left="9" w:right="3"/>
              <w:jc w:val="center"/>
              <w:rPr>
                <w:b/>
                <w:sz w:val="21"/>
              </w:rPr>
            </w:pPr>
            <w:r>
              <w:rPr>
                <w:b/>
                <w:sz w:val="21"/>
              </w:rPr>
              <w:t>Initial</w:t>
            </w:r>
            <w:r>
              <w:rPr>
                <w:b/>
                <w:spacing w:val="-4"/>
                <w:sz w:val="21"/>
              </w:rPr>
              <w:t xml:space="preserve"> </w:t>
            </w:r>
            <w:r>
              <w:rPr>
                <w:b/>
                <w:sz w:val="21"/>
              </w:rPr>
              <w:t>June</w:t>
            </w:r>
            <w:r>
              <w:rPr>
                <w:b/>
                <w:spacing w:val="-2"/>
                <w:sz w:val="21"/>
              </w:rPr>
              <w:t xml:space="preserve"> </w:t>
            </w:r>
            <w:r>
              <w:rPr>
                <w:b/>
                <w:spacing w:val="-5"/>
                <w:sz w:val="21"/>
              </w:rPr>
              <w:t>Bid</w:t>
            </w:r>
          </w:p>
        </w:tc>
        <w:tc>
          <w:tcPr>
            <w:tcW w:w="2360" w:type="dxa"/>
          </w:tcPr>
          <w:p>
            <w:pPr>
              <w:pStyle w:val="TableParagraph"/>
              <w:spacing w:before="43"/>
              <w:ind w:left="652" w:hanging="192"/>
              <w:rPr>
                <w:b/>
                <w:sz w:val="21"/>
              </w:rPr>
            </w:pPr>
            <w:r>
              <w:rPr>
                <w:b/>
                <w:sz w:val="21"/>
              </w:rPr>
              <w:t>After</w:t>
            </w:r>
            <w:r>
              <w:rPr>
                <w:b/>
                <w:spacing w:val="-14"/>
                <w:sz w:val="21"/>
              </w:rPr>
              <w:t xml:space="preserve"> </w:t>
            </w:r>
            <w:r>
              <w:rPr>
                <w:b/>
                <w:sz w:val="21"/>
              </w:rPr>
              <w:t>Release</w:t>
            </w:r>
            <w:r>
              <w:rPr>
                <w:b/>
                <w:spacing w:val="-13"/>
                <w:sz w:val="21"/>
              </w:rPr>
              <w:t xml:space="preserve"> </w:t>
            </w:r>
            <w:r>
              <w:rPr>
                <w:b/>
                <w:sz w:val="21"/>
              </w:rPr>
              <w:t xml:space="preserve">of </w:t>
            </w:r>
            <w:r>
              <w:rPr>
                <w:b/>
                <w:spacing w:val="-2"/>
                <w:sz w:val="21"/>
              </w:rPr>
              <w:t>Benchmark</w:t>
            </w:r>
          </w:p>
        </w:tc>
      </w:tr>
      <w:tr>
        <w:tblPrEx>
          <w:tblW w:w="0" w:type="auto"/>
          <w:jc w:val="left"/>
          <w:tblInd w:w="514" w:type="dxa"/>
          <w:tblLayout w:type="fixed"/>
          <w:tblCellMar>
            <w:top w:w="0" w:type="dxa"/>
            <w:left w:w="0" w:type="dxa"/>
            <w:bottom w:w="0" w:type="dxa"/>
            <w:right w:w="0" w:type="dxa"/>
          </w:tblCellMar>
          <w:tblLook w:val="01E0"/>
        </w:tblPrEx>
        <w:trPr>
          <w:trHeight w:val="332"/>
          <w:jc w:val="left"/>
        </w:trPr>
        <w:tc>
          <w:tcPr>
            <w:tcW w:w="4220" w:type="dxa"/>
            <w:tcBorders>
              <w:bottom w:val="nil"/>
            </w:tcBorders>
          </w:tcPr>
          <w:p>
            <w:pPr>
              <w:pStyle w:val="TableParagraph"/>
              <w:spacing w:before="58"/>
              <w:ind w:left="107"/>
              <w:rPr>
                <w:b/>
                <w:sz w:val="21"/>
              </w:rPr>
            </w:pPr>
            <w:r>
              <w:rPr>
                <w:b/>
                <w:sz w:val="21"/>
              </w:rPr>
              <w:t>Rebates</w:t>
            </w:r>
            <w:r>
              <w:rPr>
                <w:b/>
                <w:spacing w:val="-5"/>
                <w:sz w:val="21"/>
              </w:rPr>
              <w:t xml:space="preserve"> </w:t>
            </w:r>
            <w:r>
              <w:rPr>
                <w:b/>
                <w:sz w:val="21"/>
              </w:rPr>
              <w:t>for</w:t>
            </w:r>
            <w:r>
              <w:rPr>
                <w:b/>
                <w:spacing w:val="-6"/>
                <w:sz w:val="21"/>
              </w:rPr>
              <w:t xml:space="preserve"> </w:t>
            </w:r>
            <w:r>
              <w:rPr>
                <w:b/>
                <w:spacing w:val="-2"/>
                <w:sz w:val="21"/>
              </w:rPr>
              <w:t>Allocation</w:t>
            </w:r>
          </w:p>
        </w:tc>
        <w:tc>
          <w:tcPr>
            <w:tcW w:w="2362" w:type="dxa"/>
            <w:tcBorders>
              <w:bottom w:val="nil"/>
            </w:tcBorders>
          </w:tcPr>
          <w:p>
            <w:pPr>
              <w:pStyle w:val="TableParagraph"/>
              <w:spacing w:before="58"/>
              <w:ind w:left="9" w:right="1"/>
              <w:jc w:val="center"/>
              <w:rPr>
                <w:sz w:val="21"/>
              </w:rPr>
            </w:pPr>
            <w:r>
              <w:rPr>
                <w:spacing w:val="-5"/>
                <w:sz w:val="21"/>
              </w:rPr>
              <w:t>N/A</w:t>
            </w:r>
          </w:p>
        </w:tc>
        <w:tc>
          <w:tcPr>
            <w:tcW w:w="2360" w:type="dxa"/>
            <w:tcBorders>
              <w:bottom w:val="nil"/>
            </w:tcBorders>
          </w:tcPr>
          <w:p>
            <w:pPr>
              <w:pStyle w:val="TableParagraph"/>
              <w:spacing w:before="58"/>
              <w:ind w:left="11" w:right="1"/>
              <w:jc w:val="center"/>
              <w:rPr>
                <w:sz w:val="21"/>
              </w:rPr>
            </w:pPr>
            <w:r>
              <w:rPr>
                <w:spacing w:val="-5"/>
                <w:sz w:val="21"/>
              </w:rPr>
              <w:t>N/A</w:t>
            </w:r>
          </w:p>
        </w:tc>
      </w:tr>
      <w:tr>
        <w:tblPrEx>
          <w:tblW w:w="0" w:type="auto"/>
          <w:jc w:val="left"/>
          <w:tblInd w:w="514" w:type="dxa"/>
          <w:tblLayout w:type="fixed"/>
          <w:tblCellMar>
            <w:top w:w="0" w:type="dxa"/>
            <w:left w:w="0" w:type="dxa"/>
            <w:bottom w:w="0" w:type="dxa"/>
            <w:right w:w="0" w:type="dxa"/>
          </w:tblCellMar>
          <w:tblLook w:val="01E0"/>
        </w:tblPrEx>
        <w:trPr>
          <w:trHeight w:val="435"/>
          <w:jc w:val="left"/>
        </w:trPr>
        <w:tc>
          <w:tcPr>
            <w:tcW w:w="4220" w:type="dxa"/>
            <w:tcBorders>
              <w:top w:val="nil"/>
              <w:bottom w:val="nil"/>
            </w:tcBorders>
          </w:tcPr>
          <w:p>
            <w:pPr>
              <w:pStyle w:val="TableParagraph"/>
              <w:spacing w:before="25"/>
              <w:ind w:left="107"/>
              <w:rPr>
                <w:b/>
                <w:sz w:val="21"/>
              </w:rPr>
            </w:pPr>
            <w:r>
              <w:rPr>
                <w:b/>
                <w:sz w:val="21"/>
              </w:rPr>
              <w:t>Change</w:t>
            </w:r>
            <w:r>
              <w:rPr>
                <w:b/>
                <w:spacing w:val="-3"/>
                <w:sz w:val="21"/>
              </w:rPr>
              <w:t xml:space="preserve"> </w:t>
            </w:r>
            <w:r>
              <w:rPr>
                <w:b/>
                <w:sz w:val="21"/>
              </w:rPr>
              <w:t>in</w:t>
            </w:r>
            <w:r>
              <w:rPr>
                <w:b/>
                <w:spacing w:val="-5"/>
                <w:sz w:val="21"/>
              </w:rPr>
              <w:t xml:space="preserve"> </w:t>
            </w:r>
            <w:r>
              <w:rPr>
                <w:b/>
                <w:sz w:val="21"/>
              </w:rPr>
              <w:t>MSB</w:t>
            </w:r>
            <w:r>
              <w:rPr>
                <w:b/>
                <w:spacing w:val="-4"/>
                <w:sz w:val="21"/>
              </w:rPr>
              <w:t xml:space="preserve"> </w:t>
            </w:r>
            <w:r>
              <w:rPr>
                <w:b/>
                <w:sz w:val="21"/>
              </w:rPr>
              <w:t>Rev</w:t>
            </w:r>
            <w:r>
              <w:rPr>
                <w:b/>
                <w:spacing w:val="-4"/>
                <w:sz w:val="21"/>
              </w:rPr>
              <w:t xml:space="preserve"> </w:t>
            </w:r>
            <w:r>
              <w:rPr>
                <w:b/>
                <w:spacing w:val="-5"/>
                <w:sz w:val="21"/>
              </w:rPr>
              <w:t>Req</w:t>
            </w:r>
          </w:p>
        </w:tc>
        <w:tc>
          <w:tcPr>
            <w:tcW w:w="2362" w:type="dxa"/>
            <w:tcBorders>
              <w:top w:val="nil"/>
              <w:bottom w:val="nil"/>
            </w:tcBorders>
          </w:tcPr>
          <w:p>
            <w:pPr>
              <w:pStyle w:val="TableParagraph"/>
              <w:spacing w:before="25"/>
              <w:ind w:left="9" w:right="1"/>
              <w:jc w:val="center"/>
              <w:rPr>
                <w:sz w:val="21"/>
              </w:rPr>
            </w:pPr>
            <w:r>
              <w:rPr>
                <w:spacing w:val="-5"/>
                <w:sz w:val="21"/>
              </w:rPr>
              <w:t>N/A</w:t>
            </w:r>
          </w:p>
        </w:tc>
        <w:tc>
          <w:tcPr>
            <w:tcW w:w="2360" w:type="dxa"/>
            <w:tcBorders>
              <w:top w:val="nil"/>
              <w:bottom w:val="nil"/>
            </w:tcBorders>
          </w:tcPr>
          <w:p>
            <w:pPr>
              <w:pStyle w:val="TableParagraph"/>
              <w:spacing w:before="25"/>
              <w:ind w:left="11" w:right="1"/>
              <w:jc w:val="center"/>
              <w:rPr>
                <w:sz w:val="21"/>
              </w:rPr>
            </w:pPr>
            <w:r>
              <w:rPr>
                <w:spacing w:val="-5"/>
                <w:sz w:val="21"/>
              </w:rPr>
              <w:t>N/A</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4220" w:type="dxa"/>
            <w:tcBorders>
              <w:top w:val="nil"/>
              <w:bottom w:val="nil"/>
            </w:tcBorders>
          </w:tcPr>
          <w:p>
            <w:pPr>
              <w:pStyle w:val="TableParagraph"/>
              <w:spacing w:before="190" w:line="240" w:lineRule="exact"/>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2362" w:type="dxa"/>
            <w:tcBorders>
              <w:top w:val="nil"/>
              <w:bottom w:val="nil"/>
            </w:tcBorders>
          </w:tcPr>
          <w:p>
            <w:pPr>
              <w:pStyle w:val="TableParagraph"/>
              <w:spacing w:before="190" w:line="240" w:lineRule="exact"/>
              <w:ind w:left="9" w:right="2"/>
              <w:jc w:val="center"/>
              <w:rPr>
                <w:sz w:val="21"/>
              </w:rPr>
            </w:pPr>
            <w:r>
              <w:rPr>
                <w:spacing w:val="-2"/>
                <w:sz w:val="21"/>
              </w:rPr>
              <w:t>$141.20</w:t>
            </w:r>
          </w:p>
        </w:tc>
        <w:tc>
          <w:tcPr>
            <w:tcW w:w="2360" w:type="dxa"/>
            <w:tcBorders>
              <w:top w:val="nil"/>
              <w:bottom w:val="nil"/>
            </w:tcBorders>
          </w:tcPr>
          <w:p>
            <w:pPr>
              <w:pStyle w:val="TableParagraph"/>
              <w:spacing w:before="161"/>
              <w:ind w:left="11" w:right="2"/>
              <w:jc w:val="center"/>
              <w:rPr>
                <w:sz w:val="21"/>
              </w:rPr>
            </w:pPr>
            <w:r>
              <w:rPr>
                <w:spacing w:val="-2"/>
                <w:sz w:val="21"/>
              </w:rPr>
              <w:t>$141.20</w:t>
            </w:r>
          </w:p>
        </w:tc>
      </w:tr>
      <w:tr>
        <w:tblPrEx>
          <w:tblW w:w="0" w:type="auto"/>
          <w:jc w:val="left"/>
          <w:tblInd w:w="514" w:type="dxa"/>
          <w:tblLayout w:type="fixed"/>
          <w:tblCellMar>
            <w:top w:w="0" w:type="dxa"/>
            <w:left w:w="0" w:type="dxa"/>
            <w:bottom w:w="0" w:type="dxa"/>
            <w:right w:w="0" w:type="dxa"/>
          </w:tblCellMar>
          <w:tblLook w:val="01E0"/>
        </w:tblPrEx>
        <w:trPr>
          <w:trHeight w:val="314"/>
          <w:jc w:val="left"/>
        </w:trPr>
        <w:tc>
          <w:tcPr>
            <w:tcW w:w="4220" w:type="dxa"/>
            <w:tcBorders>
              <w:top w:val="nil"/>
              <w:bottom w:val="nil"/>
            </w:tcBorders>
          </w:tcPr>
          <w:p>
            <w:pPr>
              <w:pStyle w:val="TableParagraph"/>
              <w:spacing w:before="39"/>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2362" w:type="dxa"/>
            <w:tcBorders>
              <w:top w:val="nil"/>
              <w:bottom w:val="nil"/>
            </w:tcBorders>
          </w:tcPr>
          <w:p>
            <w:pPr>
              <w:pStyle w:val="TableParagraph"/>
              <w:spacing w:before="39"/>
              <w:ind w:left="9" w:right="2"/>
              <w:jc w:val="center"/>
              <w:rPr>
                <w:sz w:val="21"/>
              </w:rPr>
            </w:pPr>
            <w:r>
              <w:rPr>
                <w:spacing w:val="-2"/>
                <w:sz w:val="21"/>
              </w:rPr>
              <w:t>$135.40</w:t>
            </w:r>
          </w:p>
        </w:tc>
        <w:tc>
          <w:tcPr>
            <w:tcW w:w="2360" w:type="dxa"/>
            <w:tcBorders>
              <w:top w:val="nil"/>
              <w:bottom w:val="nil"/>
            </w:tcBorders>
          </w:tcPr>
          <w:p>
            <w:pPr>
              <w:pStyle w:val="TableParagraph"/>
              <w:spacing w:before="11"/>
              <w:ind w:left="11" w:right="2"/>
              <w:jc w:val="center"/>
              <w:rPr>
                <w:sz w:val="21"/>
              </w:rPr>
            </w:pPr>
            <w:r>
              <w:rPr>
                <w:spacing w:val="-2"/>
                <w:sz w:val="21"/>
              </w:rPr>
              <w:t>$135.40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4220" w:type="dxa"/>
            <w:tcBorders>
              <w:top w:val="nil"/>
              <w:bottom w:val="nil"/>
            </w:tcBorders>
          </w:tcPr>
          <w:p>
            <w:pPr>
              <w:pStyle w:val="TableParagraph"/>
              <w:spacing w:before="25"/>
              <w:ind w:left="107"/>
              <w:rPr>
                <w:b/>
                <w:sz w:val="21"/>
              </w:rPr>
            </w:pPr>
            <w:r>
              <w:rPr>
                <w:b/>
                <w:sz w:val="21"/>
              </w:rPr>
              <w:t>MA</w:t>
            </w:r>
            <w:r>
              <w:rPr>
                <w:b/>
                <w:spacing w:val="-5"/>
                <w:sz w:val="21"/>
              </w:rPr>
              <w:t xml:space="preserve"> </w:t>
            </w:r>
            <w:r>
              <w:rPr>
                <w:b/>
                <w:spacing w:val="-2"/>
                <w:sz w:val="21"/>
              </w:rPr>
              <w:t>Premium</w:t>
            </w:r>
          </w:p>
        </w:tc>
        <w:tc>
          <w:tcPr>
            <w:tcW w:w="2362" w:type="dxa"/>
            <w:tcBorders>
              <w:top w:val="nil"/>
              <w:bottom w:val="nil"/>
            </w:tcBorders>
          </w:tcPr>
          <w:p>
            <w:pPr>
              <w:pStyle w:val="TableParagraph"/>
              <w:spacing w:before="25"/>
              <w:ind w:left="9"/>
              <w:jc w:val="center"/>
              <w:rPr>
                <w:sz w:val="21"/>
              </w:rPr>
            </w:pPr>
            <w:r>
              <w:rPr>
                <w:spacing w:val="-2"/>
                <w:sz w:val="21"/>
              </w:rPr>
              <w:t>$5.80</w:t>
            </w:r>
          </w:p>
        </w:tc>
        <w:tc>
          <w:tcPr>
            <w:tcW w:w="2360" w:type="dxa"/>
            <w:tcBorders>
              <w:top w:val="nil"/>
              <w:bottom w:val="nil"/>
            </w:tcBorders>
          </w:tcPr>
          <w:p>
            <w:pPr>
              <w:pStyle w:val="TableParagraph"/>
              <w:spacing w:before="25"/>
              <w:ind w:left="11"/>
              <w:jc w:val="center"/>
              <w:rPr>
                <w:sz w:val="21"/>
              </w:rPr>
            </w:pPr>
            <w:r>
              <w:rPr>
                <w:spacing w:val="-2"/>
                <w:sz w:val="21"/>
              </w:rPr>
              <w:t>$5.80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4220" w:type="dxa"/>
            <w:tcBorders>
              <w:top w:val="nil"/>
              <w:bottom w:val="nil"/>
            </w:tcBorders>
          </w:tcPr>
          <w:p>
            <w:pPr>
              <w:pStyle w:val="TableParagraph"/>
              <w:spacing w:before="175"/>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5"/>
                <w:sz w:val="21"/>
              </w:rPr>
              <w:t xml:space="preserve"> </w:t>
            </w:r>
            <w:r>
              <w:rPr>
                <w:spacing w:val="-2"/>
                <w:sz w:val="21"/>
              </w:rPr>
              <w:t>Rebate</w:t>
            </w:r>
          </w:p>
        </w:tc>
        <w:tc>
          <w:tcPr>
            <w:tcW w:w="2362" w:type="dxa"/>
            <w:tcBorders>
              <w:top w:val="nil"/>
              <w:bottom w:val="nil"/>
            </w:tcBorders>
          </w:tcPr>
          <w:p>
            <w:pPr>
              <w:pStyle w:val="TableParagraph"/>
              <w:spacing w:before="175"/>
              <w:ind w:left="9"/>
              <w:jc w:val="center"/>
              <w:rPr>
                <w:sz w:val="21"/>
              </w:rPr>
            </w:pPr>
            <w:r>
              <w:rPr>
                <w:spacing w:val="-2"/>
                <w:sz w:val="21"/>
              </w:rPr>
              <w:t>$23.20</w:t>
            </w:r>
          </w:p>
        </w:tc>
        <w:tc>
          <w:tcPr>
            <w:tcW w:w="2360" w:type="dxa"/>
            <w:tcBorders>
              <w:top w:val="nil"/>
              <w:bottom w:val="nil"/>
            </w:tcBorders>
          </w:tcPr>
          <w:p>
            <w:pPr>
              <w:pStyle w:val="TableParagraph"/>
              <w:spacing w:before="175"/>
              <w:ind w:left="11"/>
              <w:jc w:val="center"/>
              <w:rPr>
                <w:sz w:val="21"/>
              </w:rPr>
            </w:pPr>
            <w:r>
              <w:rPr>
                <w:spacing w:val="-2"/>
                <w:sz w:val="21"/>
              </w:rPr>
              <w:t>$12.20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4220"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5"/>
                <w:sz w:val="21"/>
              </w:rPr>
              <w:t xml:space="preserve"> </w:t>
            </w:r>
            <w:r>
              <w:rPr>
                <w:spacing w:val="-2"/>
                <w:sz w:val="21"/>
              </w:rPr>
              <w:t>Allocations</w:t>
            </w:r>
          </w:p>
        </w:tc>
        <w:tc>
          <w:tcPr>
            <w:tcW w:w="2362" w:type="dxa"/>
            <w:tcBorders>
              <w:top w:val="nil"/>
              <w:bottom w:val="nil"/>
            </w:tcBorders>
          </w:tcPr>
          <w:p>
            <w:pPr>
              <w:pStyle w:val="TableParagraph"/>
              <w:spacing w:before="25"/>
              <w:ind w:left="9"/>
              <w:jc w:val="center"/>
              <w:rPr>
                <w:sz w:val="21"/>
              </w:rPr>
            </w:pPr>
            <w:r>
              <w:rPr>
                <w:spacing w:val="-2"/>
                <w:sz w:val="21"/>
              </w:rPr>
              <w:t>$0.00</w:t>
            </w:r>
          </w:p>
        </w:tc>
        <w:tc>
          <w:tcPr>
            <w:tcW w:w="2360" w:type="dxa"/>
            <w:tcBorders>
              <w:top w:val="nil"/>
              <w:bottom w:val="nil"/>
            </w:tcBorders>
          </w:tcPr>
          <w:p>
            <w:pPr>
              <w:pStyle w:val="TableParagraph"/>
              <w:spacing w:before="25"/>
              <w:ind w:left="11"/>
              <w:jc w:val="center"/>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4220"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2362" w:type="dxa"/>
            <w:tcBorders>
              <w:top w:val="nil"/>
              <w:bottom w:val="nil"/>
            </w:tcBorders>
          </w:tcPr>
          <w:p>
            <w:pPr>
              <w:pStyle w:val="TableParagraph"/>
              <w:spacing w:before="25"/>
              <w:ind w:left="9"/>
              <w:jc w:val="center"/>
              <w:rPr>
                <w:sz w:val="21"/>
              </w:rPr>
            </w:pPr>
            <w:r>
              <w:rPr>
                <w:spacing w:val="-2"/>
                <w:sz w:val="21"/>
              </w:rPr>
              <w:t>$23.20</w:t>
            </w:r>
          </w:p>
        </w:tc>
        <w:tc>
          <w:tcPr>
            <w:tcW w:w="2360" w:type="dxa"/>
            <w:tcBorders>
              <w:top w:val="nil"/>
              <w:bottom w:val="nil"/>
            </w:tcBorders>
          </w:tcPr>
          <w:p>
            <w:pPr>
              <w:pStyle w:val="TableParagraph"/>
              <w:spacing w:before="25"/>
              <w:ind w:left="11"/>
              <w:jc w:val="center"/>
              <w:rPr>
                <w:sz w:val="21"/>
              </w:rPr>
            </w:pPr>
            <w:r>
              <w:rPr>
                <w:spacing w:val="-2"/>
                <w:sz w:val="21"/>
              </w:rPr>
              <w:t>$12.20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4220"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2362" w:type="dxa"/>
            <w:tcBorders>
              <w:top w:val="nil"/>
              <w:bottom w:val="nil"/>
            </w:tcBorders>
          </w:tcPr>
          <w:p>
            <w:pPr>
              <w:pStyle w:val="TableParagraph"/>
              <w:spacing w:before="175"/>
              <w:ind w:left="9"/>
              <w:jc w:val="center"/>
              <w:rPr>
                <w:sz w:val="21"/>
              </w:rPr>
            </w:pPr>
            <w:r>
              <w:rPr>
                <w:spacing w:val="-2"/>
                <w:sz w:val="21"/>
              </w:rPr>
              <w:t>$63.70</w:t>
            </w:r>
          </w:p>
        </w:tc>
        <w:tc>
          <w:tcPr>
            <w:tcW w:w="2360" w:type="dxa"/>
            <w:tcBorders>
              <w:top w:val="nil"/>
              <w:bottom w:val="nil"/>
            </w:tcBorders>
          </w:tcPr>
          <w:p>
            <w:pPr>
              <w:pStyle w:val="TableParagraph"/>
              <w:spacing w:before="175"/>
              <w:ind w:left="11"/>
              <w:jc w:val="center"/>
              <w:rPr>
                <w:sz w:val="21"/>
              </w:rPr>
            </w:pPr>
            <w:r>
              <w:rPr>
                <w:spacing w:val="-2"/>
                <w:sz w:val="21"/>
              </w:rPr>
              <w:t>$63.70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4220"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2362" w:type="dxa"/>
            <w:tcBorders>
              <w:top w:val="nil"/>
              <w:bottom w:val="nil"/>
            </w:tcBorders>
          </w:tcPr>
          <w:p>
            <w:pPr>
              <w:pStyle w:val="TableParagraph"/>
              <w:spacing w:before="25"/>
              <w:ind w:left="9"/>
              <w:jc w:val="center"/>
              <w:rPr>
                <w:sz w:val="21"/>
              </w:rPr>
            </w:pPr>
            <w:r>
              <w:rPr>
                <w:spacing w:val="-2"/>
                <w:sz w:val="21"/>
              </w:rPr>
              <w:t>$63.70</w:t>
            </w:r>
          </w:p>
        </w:tc>
        <w:tc>
          <w:tcPr>
            <w:tcW w:w="2360" w:type="dxa"/>
            <w:tcBorders>
              <w:top w:val="nil"/>
              <w:bottom w:val="nil"/>
            </w:tcBorders>
          </w:tcPr>
          <w:p>
            <w:pPr>
              <w:pStyle w:val="TableParagraph"/>
              <w:spacing w:before="25"/>
              <w:ind w:left="11"/>
              <w:jc w:val="center"/>
              <w:rPr>
                <w:sz w:val="21"/>
              </w:rPr>
            </w:pPr>
            <w:r>
              <w:rPr>
                <w:spacing w:val="-2"/>
                <w:sz w:val="21"/>
              </w:rPr>
              <w:t>$63.70</w:t>
            </w:r>
          </w:p>
        </w:tc>
      </w:tr>
      <w:tr>
        <w:tblPrEx>
          <w:tblW w:w="0" w:type="auto"/>
          <w:jc w:val="left"/>
          <w:tblInd w:w="514" w:type="dxa"/>
          <w:tblLayout w:type="fixed"/>
          <w:tblCellMar>
            <w:top w:w="0" w:type="dxa"/>
            <w:left w:w="0" w:type="dxa"/>
            <w:bottom w:w="0" w:type="dxa"/>
            <w:right w:w="0" w:type="dxa"/>
          </w:tblCellMar>
          <w:tblLook w:val="01E0"/>
        </w:tblPrEx>
        <w:trPr>
          <w:trHeight w:val="567"/>
          <w:jc w:val="left"/>
        </w:trPr>
        <w:tc>
          <w:tcPr>
            <w:tcW w:w="4220"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2362" w:type="dxa"/>
            <w:tcBorders>
              <w:top w:val="nil"/>
            </w:tcBorders>
          </w:tcPr>
          <w:p>
            <w:pPr>
              <w:pStyle w:val="TableParagraph"/>
              <w:spacing w:before="25"/>
              <w:ind w:left="9"/>
              <w:jc w:val="center"/>
              <w:rPr>
                <w:sz w:val="21"/>
              </w:rPr>
            </w:pPr>
            <w:r>
              <w:rPr>
                <w:spacing w:val="-2"/>
                <w:sz w:val="21"/>
              </w:rPr>
              <w:t>$0.00</w:t>
            </w:r>
          </w:p>
        </w:tc>
        <w:tc>
          <w:tcPr>
            <w:tcW w:w="2360" w:type="dxa"/>
            <w:tcBorders>
              <w:top w:val="nil"/>
            </w:tcBorders>
          </w:tcPr>
          <w:p>
            <w:pPr>
              <w:pStyle w:val="TableParagraph"/>
              <w:spacing w:before="25"/>
              <w:ind w:left="11"/>
              <w:jc w:val="center"/>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299"/>
          <w:jc w:val="left"/>
        </w:trPr>
        <w:tc>
          <w:tcPr>
            <w:tcW w:w="4220" w:type="dxa"/>
          </w:tcPr>
          <w:p>
            <w:pPr>
              <w:pStyle w:val="TableParagraph"/>
              <w:spacing w:before="58"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2362" w:type="dxa"/>
          </w:tcPr>
          <w:p>
            <w:pPr>
              <w:pStyle w:val="TableParagraph"/>
              <w:spacing w:before="58" w:line="221" w:lineRule="exact"/>
              <w:ind w:left="9"/>
              <w:jc w:val="center"/>
              <w:rPr>
                <w:sz w:val="21"/>
              </w:rPr>
            </w:pPr>
            <w:r>
              <w:rPr>
                <w:spacing w:val="-2"/>
                <w:sz w:val="21"/>
              </w:rPr>
              <w:t>$29.00</w:t>
            </w:r>
          </w:p>
        </w:tc>
        <w:tc>
          <w:tcPr>
            <w:tcW w:w="2360" w:type="dxa"/>
          </w:tcPr>
          <w:p>
            <w:pPr>
              <w:pStyle w:val="TableParagraph"/>
              <w:spacing w:before="58" w:line="221" w:lineRule="exact"/>
              <w:ind w:left="11"/>
              <w:jc w:val="center"/>
              <w:rPr>
                <w:sz w:val="21"/>
              </w:rPr>
            </w:pPr>
            <w:r>
              <w:rPr>
                <w:spacing w:val="-2"/>
                <w:sz w:val="21"/>
              </w:rPr>
              <w:t>$18.00</w:t>
            </w:r>
          </w:p>
        </w:tc>
      </w:tr>
    </w:tbl>
    <w:p>
      <w:pPr>
        <w:pStyle w:val="BodyText"/>
        <w:spacing w:before="242"/>
        <w:ind w:right="1481"/>
      </w:pPr>
      <w:r>
        <w:t>In this example, rebate reallocation is not permitted if both (i) the initial June bid has $0.00 basic</w:t>
      </w:r>
      <w:r>
        <w:rPr>
          <w:spacing w:val="-4"/>
        </w:rPr>
        <w:t xml:space="preserve"> </w:t>
      </w:r>
      <w:r>
        <w:t>premium</w:t>
      </w:r>
      <w:r>
        <w:rPr>
          <w:spacing w:val="-4"/>
        </w:rPr>
        <w:t xml:space="preserve"> </w:t>
      </w:r>
      <w:r>
        <w:t>rebate</w:t>
      </w:r>
      <w:r>
        <w:rPr>
          <w:spacing w:val="-4"/>
        </w:rPr>
        <w:t xml:space="preserve"> </w:t>
      </w:r>
      <w:r>
        <w:t>allocations;</w:t>
      </w:r>
      <w:r>
        <w:rPr>
          <w:spacing w:val="-4"/>
        </w:rPr>
        <w:t xml:space="preserve"> </w:t>
      </w:r>
      <w:r>
        <w:t>and</w:t>
      </w:r>
      <w:r>
        <w:rPr>
          <w:spacing w:val="-4"/>
        </w:rPr>
        <w:t xml:space="preserve"> </w:t>
      </w:r>
      <w:r>
        <w:t>(ii)</w:t>
      </w:r>
      <w:r>
        <w:rPr>
          <w:spacing w:val="-4"/>
        </w:rPr>
        <w:t xml:space="preserve"> </w:t>
      </w:r>
      <w:r>
        <w:t>after</w:t>
      </w:r>
      <w:r>
        <w:rPr>
          <w:spacing w:val="-4"/>
        </w:rPr>
        <w:t xml:space="preserve"> </w:t>
      </w:r>
      <w:r>
        <w:t>reflecting</w:t>
      </w:r>
      <w:r>
        <w:rPr>
          <w:spacing w:val="-4"/>
        </w:rPr>
        <w:t xml:space="preserve"> </w:t>
      </w:r>
      <w:r>
        <w:t>announced</w:t>
      </w:r>
      <w:r>
        <w:rPr>
          <w:spacing w:val="-2"/>
        </w:rPr>
        <w:t xml:space="preserve"> </w:t>
      </w:r>
      <w:r>
        <w:t>Part</w:t>
      </w:r>
      <w:r>
        <w:rPr>
          <w:spacing w:val="-4"/>
        </w:rPr>
        <w:t xml:space="preserve"> </w:t>
      </w:r>
      <w:r>
        <w:t>D</w:t>
      </w:r>
      <w:r>
        <w:rPr>
          <w:spacing w:val="-3"/>
        </w:rPr>
        <w:t xml:space="preserve"> </w:t>
      </w:r>
      <w:r>
        <w:t>benchmarks,</w:t>
      </w:r>
      <w:r>
        <w:rPr>
          <w:spacing w:val="-4"/>
        </w:rPr>
        <w:t xml:space="preserve"> </w:t>
      </w:r>
      <w:r>
        <w:t>the basic premium prior rebate is less than the initial June bid Part D basic premium. In the circumstances where the Part D basic premium is negative and not offset by the Part D supplemental premium, rebate reallocation is required.</w:t>
      </w:r>
    </w:p>
    <w:p>
      <w:pPr>
        <w:pStyle w:val="BodyText"/>
        <w:spacing w:after="0"/>
        <w:sectPr>
          <w:pgSz w:w="12240" w:h="15840"/>
          <w:pgMar w:top="960" w:right="0" w:bottom="940" w:left="1080" w:header="727" w:footer="747"/>
          <w:cols w:space="720"/>
        </w:sectPr>
      </w:pPr>
    </w:p>
    <w:p>
      <w:pPr>
        <w:pStyle w:val="BodyText"/>
        <w:spacing w:before="191"/>
        <w:ind w:left="0"/>
      </w:pPr>
    </w:p>
    <w:p>
      <w:pPr>
        <w:pStyle w:val="Heading4"/>
      </w:pPr>
      <w:bookmarkStart w:id="369" w:name="Example 2: Excessive Rebates Allocated t"/>
      <w:bookmarkEnd w:id="369"/>
      <w:r>
        <w:rPr>
          <w:i/>
        </w:rPr>
        <w:t>Example</w:t>
      </w:r>
      <w:r>
        <w:rPr>
          <w:i/>
          <w:spacing w:val="-4"/>
        </w:rPr>
        <w:t xml:space="preserve"> </w:t>
      </w:r>
      <w:r>
        <w:rPr>
          <w:i/>
        </w:rPr>
        <w:t>2:</w:t>
      </w:r>
      <w:r>
        <w:rPr>
          <w:i/>
          <w:spacing w:val="-4"/>
        </w:rPr>
        <w:t xml:space="preserve"> </w:t>
      </w:r>
      <w:r>
        <w:rPr>
          <w:i/>
        </w:rPr>
        <w:t>Excessive</w:t>
      </w:r>
      <w:r>
        <w:rPr>
          <w:i/>
          <w:spacing w:val="-4"/>
        </w:rPr>
        <w:t xml:space="preserve"> </w:t>
      </w:r>
      <w:r>
        <w:rPr>
          <w:i/>
        </w:rPr>
        <w:t>Rebates</w:t>
      </w:r>
      <w:r>
        <w:rPr>
          <w:i/>
          <w:spacing w:val="-4"/>
        </w:rPr>
        <w:t xml:space="preserve"> </w:t>
      </w:r>
      <w:r>
        <w:rPr>
          <w:i/>
        </w:rPr>
        <w:t>Allocated</w:t>
      </w:r>
      <w:r>
        <w:rPr>
          <w:i/>
          <w:spacing w:val="-4"/>
        </w:rPr>
        <w:t xml:space="preserve"> </w:t>
      </w:r>
      <w:r>
        <w:rPr>
          <w:i/>
        </w:rPr>
        <w:t>to Part</w:t>
      </w:r>
      <w:r>
        <w:rPr>
          <w:i/>
          <w:spacing w:val="-4"/>
        </w:rPr>
        <w:t xml:space="preserve"> </w:t>
      </w:r>
      <w:r>
        <w:rPr>
          <w:i/>
        </w:rPr>
        <w:t>D</w:t>
      </w:r>
      <w:r>
        <w:rPr>
          <w:i/>
          <w:spacing w:val="-4"/>
        </w:rPr>
        <w:t xml:space="preserve"> </w:t>
      </w:r>
      <w:r>
        <w:rPr>
          <w:i/>
        </w:rPr>
        <w:t>Basic</w:t>
      </w:r>
      <w:r>
        <w:rPr>
          <w:i/>
          <w:spacing w:val="-3"/>
        </w:rPr>
        <w:t xml:space="preserve"> </w:t>
      </w:r>
      <w:r>
        <w:rPr>
          <w:i/>
        </w:rPr>
        <w:t>Premium,</w:t>
      </w:r>
      <w:r>
        <w:rPr>
          <w:i/>
          <w:spacing w:val="-3"/>
        </w:rPr>
        <w:t xml:space="preserve"> </w:t>
      </w:r>
      <w:r>
        <w:rPr>
          <w:i/>
        </w:rPr>
        <w:t>Reallocation</w:t>
      </w:r>
      <w:r>
        <w:t xml:space="preserve"> is Mandatory, and MAO can Achieve Target.</w:t>
      </w:r>
    </w:p>
    <w:p>
      <w:pPr>
        <w:pStyle w:val="BodyText"/>
        <w:spacing w:before="125"/>
        <w:ind w:left="0"/>
        <w:rPr>
          <w:rFonts w:ascii="Arial"/>
          <w:b/>
          <w:i/>
          <w:sz w:val="20"/>
        </w:rPr>
      </w:pPr>
    </w:p>
    <w:tbl>
      <w:tblPr>
        <w:tblStyle w:val="TableNormal"/>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7"/>
        <w:gridCol w:w="1889"/>
        <w:gridCol w:w="1562"/>
        <w:gridCol w:w="1623"/>
        <w:gridCol w:w="1791"/>
      </w:tblGrid>
      <w:tr>
        <w:tblPrEx>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84"/>
          <w:jc w:val="left"/>
        </w:trPr>
        <w:tc>
          <w:tcPr>
            <w:tcW w:w="3327" w:type="dxa"/>
          </w:tcPr>
          <w:p>
            <w:pPr>
              <w:pStyle w:val="TableParagraph"/>
              <w:spacing w:before="175"/>
              <w:ind w:left="16"/>
              <w:jc w:val="center"/>
              <w:rPr>
                <w:b/>
                <w:sz w:val="21"/>
              </w:rPr>
            </w:pPr>
            <w:r>
              <w:rPr>
                <w:b/>
                <w:spacing w:val="-2"/>
                <w:sz w:val="21"/>
              </w:rPr>
              <w:t>Label</w:t>
            </w:r>
          </w:p>
        </w:tc>
        <w:tc>
          <w:tcPr>
            <w:tcW w:w="1889" w:type="dxa"/>
          </w:tcPr>
          <w:p>
            <w:pPr>
              <w:pStyle w:val="TableParagraph"/>
              <w:spacing w:before="175"/>
              <w:ind w:left="16" w:right="2"/>
              <w:jc w:val="center"/>
              <w:rPr>
                <w:b/>
                <w:sz w:val="21"/>
              </w:rPr>
            </w:pPr>
            <w:r>
              <w:rPr>
                <w:b/>
                <w:sz w:val="21"/>
              </w:rPr>
              <w:t>Initial</w:t>
            </w:r>
            <w:r>
              <w:rPr>
                <w:b/>
                <w:spacing w:val="-4"/>
                <w:sz w:val="21"/>
              </w:rPr>
              <w:t xml:space="preserve"> </w:t>
            </w:r>
            <w:r>
              <w:rPr>
                <w:b/>
                <w:sz w:val="21"/>
              </w:rPr>
              <w:t>June</w:t>
            </w:r>
            <w:r>
              <w:rPr>
                <w:b/>
                <w:spacing w:val="-2"/>
                <w:sz w:val="21"/>
              </w:rPr>
              <w:t xml:space="preserve"> </w:t>
            </w:r>
            <w:r>
              <w:rPr>
                <w:b/>
                <w:spacing w:val="-5"/>
                <w:sz w:val="21"/>
              </w:rPr>
              <w:t>Bid</w:t>
            </w:r>
          </w:p>
        </w:tc>
        <w:tc>
          <w:tcPr>
            <w:tcW w:w="1562" w:type="dxa"/>
          </w:tcPr>
          <w:p>
            <w:pPr>
              <w:pStyle w:val="TableParagraph"/>
              <w:spacing w:before="55"/>
              <w:ind w:left="148" w:right="9" w:firstLine="33"/>
              <w:rPr>
                <w:b/>
                <w:sz w:val="21"/>
              </w:rPr>
            </w:pPr>
            <w:r>
              <w:rPr>
                <w:b/>
                <w:sz w:val="21"/>
              </w:rPr>
              <w:t>After Release of</w:t>
            </w:r>
            <w:r>
              <w:rPr>
                <w:b/>
                <w:spacing w:val="-3"/>
                <w:sz w:val="21"/>
              </w:rPr>
              <w:t xml:space="preserve"> </w:t>
            </w:r>
            <w:r>
              <w:rPr>
                <w:b/>
                <w:spacing w:val="-2"/>
                <w:sz w:val="21"/>
              </w:rPr>
              <w:t>Benchmark</w:t>
            </w:r>
          </w:p>
        </w:tc>
        <w:tc>
          <w:tcPr>
            <w:tcW w:w="1623" w:type="dxa"/>
            <w:tcBorders>
              <w:right w:val="single" w:sz="8" w:space="0" w:color="000000"/>
            </w:tcBorders>
          </w:tcPr>
          <w:p>
            <w:pPr>
              <w:pStyle w:val="TableParagraph"/>
              <w:spacing w:before="175"/>
              <w:ind w:left="24"/>
              <w:jc w:val="center"/>
              <w:rPr>
                <w:b/>
                <w:sz w:val="21"/>
              </w:rPr>
            </w:pPr>
            <w:r>
              <w:rPr>
                <w:b/>
                <w:sz w:val="21"/>
              </w:rPr>
              <w:t>Option</w:t>
            </w:r>
            <w:r>
              <w:rPr>
                <w:b/>
                <w:spacing w:val="-5"/>
                <w:sz w:val="21"/>
              </w:rPr>
              <w:t xml:space="preserve"> 1b</w:t>
            </w:r>
          </w:p>
        </w:tc>
        <w:tc>
          <w:tcPr>
            <w:tcW w:w="1791" w:type="dxa"/>
            <w:tcBorders>
              <w:top w:val="single" w:sz="8" w:space="0" w:color="000000"/>
              <w:left w:val="single" w:sz="8" w:space="0" w:color="000000"/>
              <w:bottom w:val="single" w:sz="8" w:space="0" w:color="000000"/>
              <w:right w:val="single" w:sz="8" w:space="0" w:color="000000"/>
            </w:tcBorders>
          </w:tcPr>
          <w:p>
            <w:pPr>
              <w:pStyle w:val="TableParagraph"/>
              <w:spacing w:before="55"/>
              <w:ind w:left="528" w:hanging="240"/>
              <w:rPr>
                <w:b/>
                <w:sz w:val="21"/>
              </w:rPr>
            </w:pPr>
            <w:r>
              <w:rPr>
                <w:b/>
                <w:spacing w:val="-2"/>
                <w:sz w:val="21"/>
              </w:rPr>
              <w:t>Unacceptable Option*</w:t>
            </w:r>
          </w:p>
        </w:tc>
      </w:tr>
      <w:tr>
        <w:tblPrEx>
          <w:tblW w:w="0" w:type="auto"/>
          <w:jc w:val="left"/>
          <w:tblInd w:w="509" w:type="dxa"/>
          <w:tblLayout w:type="fixed"/>
          <w:tblCellMar>
            <w:top w:w="0" w:type="dxa"/>
            <w:left w:w="0" w:type="dxa"/>
            <w:bottom w:w="0" w:type="dxa"/>
            <w:right w:w="0" w:type="dxa"/>
          </w:tblCellMar>
          <w:tblLook w:val="01E0"/>
        </w:tblPrEx>
        <w:trPr>
          <w:trHeight w:val="337"/>
          <w:jc w:val="left"/>
        </w:trPr>
        <w:tc>
          <w:tcPr>
            <w:tcW w:w="3327" w:type="dxa"/>
            <w:tcBorders>
              <w:bottom w:val="nil"/>
            </w:tcBorders>
          </w:tcPr>
          <w:p>
            <w:pPr>
              <w:pStyle w:val="TableParagraph"/>
              <w:spacing w:before="62"/>
              <w:ind w:left="112"/>
              <w:rPr>
                <w:b/>
                <w:sz w:val="21"/>
              </w:rPr>
            </w:pPr>
            <w:r>
              <w:rPr>
                <w:b/>
                <w:sz w:val="21"/>
              </w:rPr>
              <w:t>Rebates</w:t>
            </w:r>
            <w:r>
              <w:rPr>
                <w:b/>
                <w:spacing w:val="-5"/>
                <w:sz w:val="21"/>
              </w:rPr>
              <w:t xml:space="preserve"> </w:t>
            </w:r>
            <w:r>
              <w:rPr>
                <w:b/>
                <w:sz w:val="21"/>
              </w:rPr>
              <w:t>for</w:t>
            </w:r>
            <w:r>
              <w:rPr>
                <w:b/>
                <w:spacing w:val="-6"/>
                <w:sz w:val="21"/>
              </w:rPr>
              <w:t xml:space="preserve"> </w:t>
            </w:r>
            <w:r>
              <w:rPr>
                <w:b/>
                <w:spacing w:val="-2"/>
                <w:sz w:val="21"/>
              </w:rPr>
              <w:t>Allocation</w:t>
            </w:r>
          </w:p>
        </w:tc>
        <w:tc>
          <w:tcPr>
            <w:tcW w:w="1889" w:type="dxa"/>
            <w:tcBorders>
              <w:bottom w:val="nil"/>
            </w:tcBorders>
          </w:tcPr>
          <w:p>
            <w:pPr>
              <w:pStyle w:val="TableParagraph"/>
              <w:spacing w:before="62"/>
              <w:ind w:left="16" w:right="1"/>
              <w:jc w:val="center"/>
              <w:rPr>
                <w:sz w:val="21"/>
              </w:rPr>
            </w:pPr>
            <w:r>
              <w:rPr>
                <w:spacing w:val="-5"/>
                <w:sz w:val="21"/>
              </w:rPr>
              <w:t>N/A</w:t>
            </w:r>
          </w:p>
        </w:tc>
        <w:tc>
          <w:tcPr>
            <w:tcW w:w="1562" w:type="dxa"/>
            <w:tcBorders>
              <w:bottom w:val="nil"/>
            </w:tcBorders>
          </w:tcPr>
          <w:p>
            <w:pPr>
              <w:pStyle w:val="TableParagraph"/>
              <w:spacing w:before="62"/>
              <w:ind w:left="24" w:right="2"/>
              <w:jc w:val="center"/>
              <w:rPr>
                <w:sz w:val="21"/>
              </w:rPr>
            </w:pPr>
            <w:r>
              <w:rPr>
                <w:spacing w:val="-2"/>
                <w:sz w:val="21"/>
              </w:rPr>
              <w:t>$7.60</w:t>
            </w:r>
          </w:p>
        </w:tc>
        <w:tc>
          <w:tcPr>
            <w:tcW w:w="1623" w:type="dxa"/>
            <w:tcBorders>
              <w:bottom w:val="nil"/>
              <w:right w:val="single" w:sz="8" w:space="0" w:color="000000"/>
            </w:tcBorders>
          </w:tcPr>
          <w:p>
            <w:pPr>
              <w:pStyle w:val="TableParagraph"/>
              <w:spacing w:before="62"/>
              <w:ind w:left="24"/>
              <w:jc w:val="center"/>
              <w:rPr>
                <w:sz w:val="21"/>
              </w:rPr>
            </w:pPr>
            <w:r>
              <w:rPr>
                <w:spacing w:val="-2"/>
                <w:sz w:val="21"/>
              </w:rPr>
              <w:t>$7.60</w:t>
            </w:r>
          </w:p>
        </w:tc>
        <w:tc>
          <w:tcPr>
            <w:tcW w:w="1791" w:type="dxa"/>
            <w:tcBorders>
              <w:top w:val="single" w:sz="8" w:space="0" w:color="000000"/>
              <w:left w:val="single" w:sz="8" w:space="0" w:color="000000"/>
              <w:bottom w:val="nil"/>
              <w:right w:val="single" w:sz="8" w:space="0" w:color="000000"/>
            </w:tcBorders>
          </w:tcPr>
          <w:p>
            <w:pPr>
              <w:pStyle w:val="TableParagraph"/>
              <w:spacing w:before="62"/>
              <w:ind w:left="19"/>
              <w:jc w:val="center"/>
              <w:rPr>
                <w:sz w:val="21"/>
              </w:rPr>
            </w:pPr>
            <w:r>
              <w:rPr>
                <w:spacing w:val="-2"/>
                <w:sz w:val="21"/>
              </w:rPr>
              <w:t>$7.60</w:t>
            </w:r>
          </w:p>
        </w:tc>
      </w:tr>
      <w:tr>
        <w:tblPrEx>
          <w:tblW w:w="0" w:type="auto"/>
          <w:jc w:val="left"/>
          <w:tblInd w:w="509" w:type="dxa"/>
          <w:tblLayout w:type="fixed"/>
          <w:tblCellMar>
            <w:top w:w="0" w:type="dxa"/>
            <w:left w:w="0" w:type="dxa"/>
            <w:bottom w:w="0" w:type="dxa"/>
            <w:right w:w="0" w:type="dxa"/>
          </w:tblCellMar>
          <w:tblLook w:val="01E0"/>
        </w:tblPrEx>
        <w:trPr>
          <w:trHeight w:val="435"/>
          <w:jc w:val="left"/>
        </w:trPr>
        <w:tc>
          <w:tcPr>
            <w:tcW w:w="3327" w:type="dxa"/>
            <w:tcBorders>
              <w:top w:val="nil"/>
              <w:bottom w:val="nil"/>
            </w:tcBorders>
          </w:tcPr>
          <w:p>
            <w:pPr>
              <w:pStyle w:val="TableParagraph"/>
              <w:spacing w:before="25"/>
              <w:ind w:left="112"/>
              <w:rPr>
                <w:b/>
                <w:sz w:val="21"/>
              </w:rPr>
            </w:pPr>
            <w:r>
              <w:rPr>
                <w:b/>
                <w:sz w:val="21"/>
              </w:rPr>
              <w:t>Change</w:t>
            </w:r>
            <w:r>
              <w:rPr>
                <w:b/>
                <w:spacing w:val="-3"/>
                <w:sz w:val="21"/>
              </w:rPr>
              <w:t xml:space="preserve"> </w:t>
            </w:r>
            <w:r>
              <w:rPr>
                <w:b/>
                <w:sz w:val="21"/>
              </w:rPr>
              <w:t>in</w:t>
            </w:r>
            <w:r>
              <w:rPr>
                <w:b/>
                <w:spacing w:val="-5"/>
                <w:sz w:val="21"/>
              </w:rPr>
              <w:t xml:space="preserve"> </w:t>
            </w:r>
            <w:r>
              <w:rPr>
                <w:b/>
                <w:sz w:val="21"/>
              </w:rPr>
              <w:t>MSB</w:t>
            </w:r>
            <w:r>
              <w:rPr>
                <w:b/>
                <w:spacing w:val="-4"/>
                <w:sz w:val="21"/>
              </w:rPr>
              <w:t xml:space="preserve"> </w:t>
            </w:r>
            <w:r>
              <w:rPr>
                <w:b/>
                <w:sz w:val="21"/>
              </w:rPr>
              <w:t>Rev</w:t>
            </w:r>
            <w:r>
              <w:rPr>
                <w:b/>
                <w:spacing w:val="-5"/>
                <w:sz w:val="21"/>
              </w:rPr>
              <w:t xml:space="preserve"> Req</w:t>
            </w:r>
          </w:p>
        </w:tc>
        <w:tc>
          <w:tcPr>
            <w:tcW w:w="1889" w:type="dxa"/>
            <w:tcBorders>
              <w:top w:val="nil"/>
              <w:bottom w:val="nil"/>
            </w:tcBorders>
          </w:tcPr>
          <w:p>
            <w:pPr>
              <w:pStyle w:val="TableParagraph"/>
              <w:spacing w:before="25"/>
              <w:ind w:left="16" w:right="1"/>
              <w:jc w:val="center"/>
              <w:rPr>
                <w:sz w:val="21"/>
              </w:rPr>
            </w:pPr>
            <w:r>
              <w:rPr>
                <w:spacing w:val="-5"/>
                <w:sz w:val="21"/>
              </w:rPr>
              <w:t>N/A</w:t>
            </w:r>
          </w:p>
        </w:tc>
        <w:tc>
          <w:tcPr>
            <w:tcW w:w="1562" w:type="dxa"/>
            <w:tcBorders>
              <w:top w:val="nil"/>
              <w:bottom w:val="nil"/>
            </w:tcBorders>
          </w:tcPr>
          <w:p>
            <w:pPr>
              <w:pStyle w:val="TableParagraph"/>
              <w:spacing w:before="25"/>
              <w:ind w:left="24" w:right="4"/>
              <w:jc w:val="center"/>
              <w:rPr>
                <w:sz w:val="21"/>
              </w:rPr>
            </w:pPr>
            <w:r>
              <w:rPr>
                <w:spacing w:val="-5"/>
                <w:sz w:val="21"/>
              </w:rPr>
              <w:t>N/A</w:t>
            </w:r>
          </w:p>
        </w:tc>
        <w:tc>
          <w:tcPr>
            <w:tcW w:w="1623" w:type="dxa"/>
            <w:tcBorders>
              <w:top w:val="nil"/>
              <w:bottom w:val="nil"/>
              <w:right w:val="single" w:sz="8" w:space="0" w:color="000000"/>
            </w:tcBorders>
          </w:tcPr>
          <w:p>
            <w:pPr>
              <w:pStyle w:val="TableParagraph"/>
              <w:spacing w:before="25"/>
              <w:ind w:left="24"/>
              <w:jc w:val="center"/>
              <w:rPr>
                <w:sz w:val="21"/>
              </w:rPr>
            </w:pPr>
            <w:r>
              <w:rPr>
                <w:spacing w:val="-2"/>
                <w:sz w:val="21"/>
              </w:rPr>
              <w:t>$7.60</w:t>
            </w:r>
          </w:p>
        </w:tc>
        <w:tc>
          <w:tcPr>
            <w:tcW w:w="1791" w:type="dxa"/>
            <w:tcBorders>
              <w:top w:val="nil"/>
              <w:left w:val="single" w:sz="8" w:space="0" w:color="000000"/>
              <w:bottom w:val="nil"/>
              <w:right w:val="single" w:sz="8" w:space="0" w:color="000000"/>
            </w:tcBorders>
          </w:tcPr>
          <w:p>
            <w:pPr>
              <w:pStyle w:val="TableParagraph"/>
              <w:spacing w:before="25"/>
              <w:ind w:left="19"/>
              <w:jc w:val="center"/>
              <w:rPr>
                <w:sz w:val="21"/>
              </w:rPr>
            </w:pPr>
            <w:r>
              <w:rPr>
                <w:spacing w:val="-2"/>
                <w:sz w:val="21"/>
              </w:rPr>
              <w:t>$8.40</w:t>
            </w:r>
          </w:p>
        </w:tc>
      </w:tr>
      <w:tr>
        <w:tblPrEx>
          <w:tblW w:w="0" w:type="auto"/>
          <w:jc w:val="left"/>
          <w:tblInd w:w="509" w:type="dxa"/>
          <w:tblLayout w:type="fixed"/>
          <w:tblCellMar>
            <w:top w:w="0" w:type="dxa"/>
            <w:left w:w="0" w:type="dxa"/>
            <w:bottom w:w="0" w:type="dxa"/>
            <w:right w:w="0" w:type="dxa"/>
          </w:tblCellMar>
          <w:tblLook w:val="01E0"/>
        </w:tblPrEx>
        <w:trPr>
          <w:trHeight w:val="450"/>
          <w:jc w:val="left"/>
        </w:trPr>
        <w:tc>
          <w:tcPr>
            <w:tcW w:w="3327" w:type="dxa"/>
            <w:tcBorders>
              <w:top w:val="nil"/>
              <w:bottom w:val="nil"/>
            </w:tcBorders>
          </w:tcPr>
          <w:p>
            <w:pPr>
              <w:pStyle w:val="TableParagraph"/>
              <w:spacing w:before="189" w:line="240" w:lineRule="exact"/>
              <w:ind w:left="112"/>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889" w:type="dxa"/>
            <w:tcBorders>
              <w:top w:val="nil"/>
              <w:bottom w:val="nil"/>
            </w:tcBorders>
          </w:tcPr>
          <w:p>
            <w:pPr>
              <w:pStyle w:val="TableParagraph"/>
              <w:spacing w:before="189" w:line="240" w:lineRule="exact"/>
              <w:ind w:left="16"/>
              <w:jc w:val="center"/>
              <w:rPr>
                <w:sz w:val="21"/>
              </w:rPr>
            </w:pPr>
            <w:r>
              <w:rPr>
                <w:spacing w:val="-2"/>
                <w:sz w:val="21"/>
              </w:rPr>
              <w:t>$3.70</w:t>
            </w:r>
          </w:p>
        </w:tc>
        <w:tc>
          <w:tcPr>
            <w:tcW w:w="1562" w:type="dxa"/>
            <w:tcBorders>
              <w:top w:val="nil"/>
              <w:bottom w:val="nil"/>
            </w:tcBorders>
          </w:tcPr>
          <w:p>
            <w:pPr>
              <w:pStyle w:val="TableParagraph"/>
              <w:spacing w:before="161"/>
              <w:ind w:left="24" w:right="2"/>
              <w:jc w:val="center"/>
              <w:rPr>
                <w:sz w:val="21"/>
              </w:rPr>
            </w:pPr>
            <w:r>
              <w:rPr>
                <w:spacing w:val="-2"/>
                <w:sz w:val="21"/>
              </w:rPr>
              <w:t>$3.70</w:t>
            </w:r>
          </w:p>
        </w:tc>
        <w:tc>
          <w:tcPr>
            <w:tcW w:w="1623" w:type="dxa"/>
            <w:tcBorders>
              <w:top w:val="nil"/>
              <w:bottom w:val="nil"/>
              <w:right w:val="single" w:sz="8" w:space="0" w:color="000000"/>
            </w:tcBorders>
          </w:tcPr>
          <w:p>
            <w:pPr>
              <w:pStyle w:val="TableParagraph"/>
              <w:spacing w:before="189" w:line="240" w:lineRule="exact"/>
              <w:ind w:left="24"/>
              <w:jc w:val="center"/>
              <w:rPr>
                <w:b/>
                <w:i/>
                <w:sz w:val="21"/>
              </w:rPr>
            </w:pPr>
            <w:r>
              <w:rPr>
                <w:b/>
                <w:i/>
                <w:spacing w:val="-2"/>
                <w:sz w:val="21"/>
              </w:rPr>
              <w:t>$11.30</w:t>
            </w:r>
          </w:p>
        </w:tc>
        <w:tc>
          <w:tcPr>
            <w:tcW w:w="1791" w:type="dxa"/>
            <w:tcBorders>
              <w:top w:val="nil"/>
              <w:left w:val="single" w:sz="8" w:space="0" w:color="000000"/>
              <w:bottom w:val="nil"/>
              <w:right w:val="single" w:sz="8" w:space="0" w:color="000000"/>
            </w:tcBorders>
          </w:tcPr>
          <w:p>
            <w:pPr>
              <w:pStyle w:val="TableParagraph"/>
              <w:spacing w:before="189" w:line="240" w:lineRule="exact"/>
              <w:ind w:left="19"/>
              <w:jc w:val="center"/>
              <w:rPr>
                <w:b/>
                <w:i/>
                <w:sz w:val="21"/>
              </w:rPr>
            </w:pPr>
            <w:r>
              <w:rPr>
                <w:b/>
                <w:i/>
                <w:spacing w:val="-2"/>
                <w:sz w:val="21"/>
              </w:rPr>
              <w:t>$12.10</w:t>
            </w:r>
          </w:p>
        </w:tc>
      </w:tr>
      <w:tr>
        <w:tblPrEx>
          <w:tblW w:w="0" w:type="auto"/>
          <w:jc w:val="left"/>
          <w:tblInd w:w="509" w:type="dxa"/>
          <w:tblLayout w:type="fixed"/>
          <w:tblCellMar>
            <w:top w:w="0" w:type="dxa"/>
            <w:left w:w="0" w:type="dxa"/>
            <w:bottom w:w="0" w:type="dxa"/>
            <w:right w:w="0" w:type="dxa"/>
          </w:tblCellMar>
          <w:tblLook w:val="01E0"/>
        </w:tblPrEx>
        <w:trPr>
          <w:trHeight w:val="314"/>
          <w:jc w:val="left"/>
        </w:trPr>
        <w:tc>
          <w:tcPr>
            <w:tcW w:w="3327" w:type="dxa"/>
            <w:tcBorders>
              <w:top w:val="nil"/>
              <w:bottom w:val="nil"/>
            </w:tcBorders>
          </w:tcPr>
          <w:p>
            <w:pPr>
              <w:pStyle w:val="TableParagraph"/>
              <w:spacing w:before="39"/>
              <w:ind w:left="112"/>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889" w:type="dxa"/>
            <w:tcBorders>
              <w:top w:val="nil"/>
              <w:bottom w:val="nil"/>
            </w:tcBorders>
          </w:tcPr>
          <w:p>
            <w:pPr>
              <w:pStyle w:val="TableParagraph"/>
              <w:spacing w:before="39"/>
              <w:ind w:left="16"/>
              <w:jc w:val="center"/>
              <w:rPr>
                <w:sz w:val="21"/>
              </w:rPr>
            </w:pPr>
            <w:r>
              <w:rPr>
                <w:spacing w:val="-2"/>
                <w:sz w:val="21"/>
              </w:rPr>
              <w:t>$3.70</w:t>
            </w:r>
          </w:p>
        </w:tc>
        <w:tc>
          <w:tcPr>
            <w:tcW w:w="1562" w:type="dxa"/>
            <w:tcBorders>
              <w:top w:val="nil"/>
              <w:bottom w:val="nil"/>
            </w:tcBorders>
          </w:tcPr>
          <w:p>
            <w:pPr>
              <w:pStyle w:val="TableParagraph"/>
              <w:spacing w:before="11"/>
              <w:ind w:left="24" w:right="2"/>
              <w:jc w:val="center"/>
              <w:rPr>
                <w:sz w:val="21"/>
              </w:rPr>
            </w:pPr>
            <w:r>
              <w:rPr>
                <w:spacing w:val="-2"/>
                <w:sz w:val="21"/>
              </w:rPr>
              <w:t>$3.70</w:t>
            </w:r>
          </w:p>
        </w:tc>
        <w:tc>
          <w:tcPr>
            <w:tcW w:w="1623" w:type="dxa"/>
            <w:tcBorders>
              <w:top w:val="nil"/>
              <w:bottom w:val="nil"/>
              <w:right w:val="single" w:sz="8" w:space="0" w:color="000000"/>
            </w:tcBorders>
          </w:tcPr>
          <w:p>
            <w:pPr>
              <w:pStyle w:val="TableParagraph"/>
              <w:spacing w:before="39"/>
              <w:ind w:left="24"/>
              <w:jc w:val="center"/>
              <w:rPr>
                <w:b/>
                <w:i/>
                <w:sz w:val="21"/>
              </w:rPr>
            </w:pPr>
            <w:r>
              <w:rPr>
                <w:b/>
                <w:i/>
                <w:spacing w:val="-2"/>
                <w:sz w:val="21"/>
              </w:rPr>
              <w:t>$11.30</w:t>
            </w:r>
          </w:p>
        </w:tc>
        <w:tc>
          <w:tcPr>
            <w:tcW w:w="1791" w:type="dxa"/>
            <w:tcBorders>
              <w:top w:val="nil"/>
              <w:left w:val="single" w:sz="8" w:space="0" w:color="000000"/>
              <w:bottom w:val="nil"/>
              <w:right w:val="single" w:sz="8" w:space="0" w:color="000000"/>
            </w:tcBorders>
          </w:tcPr>
          <w:p>
            <w:pPr>
              <w:pStyle w:val="TableParagraph"/>
              <w:spacing w:before="39"/>
              <w:ind w:left="19"/>
              <w:jc w:val="center"/>
              <w:rPr>
                <w:b/>
                <w:i/>
                <w:sz w:val="21"/>
              </w:rPr>
            </w:pPr>
            <w:r>
              <w:rPr>
                <w:b/>
                <w:i/>
                <w:spacing w:val="-2"/>
                <w:sz w:val="21"/>
              </w:rPr>
              <w:t>$12.10</w:t>
            </w:r>
          </w:p>
        </w:tc>
      </w:tr>
      <w:tr>
        <w:tblPrEx>
          <w:tblW w:w="0" w:type="auto"/>
          <w:jc w:val="left"/>
          <w:tblInd w:w="509" w:type="dxa"/>
          <w:tblLayout w:type="fixed"/>
          <w:tblCellMar>
            <w:top w:w="0" w:type="dxa"/>
            <w:left w:w="0" w:type="dxa"/>
            <w:bottom w:w="0" w:type="dxa"/>
            <w:right w:w="0" w:type="dxa"/>
          </w:tblCellMar>
          <w:tblLook w:val="01E0"/>
        </w:tblPrEx>
        <w:trPr>
          <w:trHeight w:val="450"/>
          <w:jc w:val="left"/>
        </w:trPr>
        <w:tc>
          <w:tcPr>
            <w:tcW w:w="3327" w:type="dxa"/>
            <w:tcBorders>
              <w:top w:val="nil"/>
              <w:bottom w:val="nil"/>
            </w:tcBorders>
          </w:tcPr>
          <w:p>
            <w:pPr>
              <w:pStyle w:val="TableParagraph"/>
              <w:spacing w:before="25"/>
              <w:ind w:left="112"/>
              <w:rPr>
                <w:b/>
                <w:sz w:val="21"/>
              </w:rPr>
            </w:pPr>
            <w:r>
              <w:rPr>
                <w:b/>
                <w:sz w:val="21"/>
              </w:rPr>
              <w:t>MA</w:t>
            </w:r>
            <w:r>
              <w:rPr>
                <w:b/>
                <w:spacing w:val="-5"/>
                <w:sz w:val="21"/>
              </w:rPr>
              <w:t xml:space="preserve"> </w:t>
            </w:r>
            <w:r>
              <w:rPr>
                <w:b/>
                <w:spacing w:val="-2"/>
                <w:sz w:val="21"/>
              </w:rPr>
              <w:t>Premium</w:t>
            </w:r>
          </w:p>
        </w:tc>
        <w:tc>
          <w:tcPr>
            <w:tcW w:w="1889" w:type="dxa"/>
            <w:tcBorders>
              <w:top w:val="nil"/>
              <w:bottom w:val="nil"/>
            </w:tcBorders>
          </w:tcPr>
          <w:p>
            <w:pPr>
              <w:pStyle w:val="TableParagraph"/>
              <w:spacing w:before="25"/>
              <w:ind w:left="16"/>
              <w:jc w:val="center"/>
              <w:rPr>
                <w:sz w:val="21"/>
              </w:rPr>
            </w:pPr>
            <w:r>
              <w:rPr>
                <w:spacing w:val="-2"/>
                <w:sz w:val="21"/>
              </w:rPr>
              <w:t>$0.00</w:t>
            </w:r>
          </w:p>
        </w:tc>
        <w:tc>
          <w:tcPr>
            <w:tcW w:w="1562" w:type="dxa"/>
            <w:tcBorders>
              <w:top w:val="nil"/>
              <w:bottom w:val="nil"/>
            </w:tcBorders>
          </w:tcPr>
          <w:p>
            <w:pPr>
              <w:pStyle w:val="TableParagraph"/>
              <w:spacing w:before="25"/>
              <w:ind w:left="24" w:right="2"/>
              <w:jc w:val="center"/>
              <w:rPr>
                <w:sz w:val="21"/>
              </w:rPr>
            </w:pPr>
            <w:r>
              <w:rPr>
                <w:spacing w:val="-2"/>
                <w:sz w:val="21"/>
              </w:rPr>
              <w:t>$0.00</w:t>
            </w:r>
          </w:p>
        </w:tc>
        <w:tc>
          <w:tcPr>
            <w:tcW w:w="1623" w:type="dxa"/>
            <w:tcBorders>
              <w:top w:val="nil"/>
              <w:bottom w:val="nil"/>
              <w:right w:val="single" w:sz="8" w:space="0" w:color="000000"/>
            </w:tcBorders>
          </w:tcPr>
          <w:p>
            <w:pPr>
              <w:pStyle w:val="TableParagraph"/>
              <w:spacing w:before="25"/>
              <w:ind w:left="24"/>
              <w:jc w:val="center"/>
              <w:rPr>
                <w:sz w:val="21"/>
              </w:rPr>
            </w:pPr>
            <w:r>
              <w:rPr>
                <w:spacing w:val="-2"/>
                <w:sz w:val="21"/>
              </w:rPr>
              <w:t>$0.00</w:t>
            </w:r>
          </w:p>
        </w:tc>
        <w:tc>
          <w:tcPr>
            <w:tcW w:w="1791" w:type="dxa"/>
            <w:tcBorders>
              <w:top w:val="nil"/>
              <w:left w:val="single" w:sz="8" w:space="0" w:color="000000"/>
              <w:bottom w:val="nil"/>
              <w:right w:val="single" w:sz="8" w:space="0" w:color="000000"/>
            </w:tcBorders>
          </w:tcPr>
          <w:p>
            <w:pPr>
              <w:pStyle w:val="TableParagraph"/>
              <w:spacing w:before="25"/>
              <w:ind w:left="19"/>
              <w:jc w:val="center"/>
              <w:rPr>
                <w:sz w:val="21"/>
              </w:rPr>
            </w:pPr>
            <w:r>
              <w:rPr>
                <w:spacing w:val="-2"/>
                <w:sz w:val="21"/>
              </w:rPr>
              <w:t>$0.00</w:t>
            </w:r>
          </w:p>
        </w:tc>
      </w:tr>
      <w:tr>
        <w:tblPrEx>
          <w:tblW w:w="0" w:type="auto"/>
          <w:jc w:val="left"/>
          <w:tblInd w:w="509" w:type="dxa"/>
          <w:tblLayout w:type="fixed"/>
          <w:tblCellMar>
            <w:top w:w="0" w:type="dxa"/>
            <w:left w:w="0" w:type="dxa"/>
            <w:bottom w:w="0" w:type="dxa"/>
            <w:right w:w="0" w:type="dxa"/>
          </w:tblCellMar>
          <w:tblLook w:val="01E0"/>
        </w:tblPrEx>
        <w:trPr>
          <w:trHeight w:val="450"/>
          <w:jc w:val="left"/>
        </w:trPr>
        <w:tc>
          <w:tcPr>
            <w:tcW w:w="3327" w:type="dxa"/>
            <w:tcBorders>
              <w:top w:val="nil"/>
              <w:bottom w:val="nil"/>
            </w:tcBorders>
          </w:tcPr>
          <w:p>
            <w:pPr>
              <w:pStyle w:val="TableParagraph"/>
              <w:spacing w:before="175"/>
              <w:ind w:left="112"/>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5"/>
                <w:sz w:val="21"/>
              </w:rPr>
              <w:t xml:space="preserve"> </w:t>
            </w:r>
            <w:r>
              <w:rPr>
                <w:spacing w:val="-2"/>
                <w:sz w:val="21"/>
              </w:rPr>
              <w:t>Rebate</w:t>
            </w:r>
          </w:p>
        </w:tc>
        <w:tc>
          <w:tcPr>
            <w:tcW w:w="1889" w:type="dxa"/>
            <w:tcBorders>
              <w:top w:val="nil"/>
              <w:bottom w:val="nil"/>
            </w:tcBorders>
          </w:tcPr>
          <w:p>
            <w:pPr>
              <w:pStyle w:val="TableParagraph"/>
              <w:spacing w:before="175"/>
              <w:ind w:left="16"/>
              <w:jc w:val="center"/>
              <w:rPr>
                <w:sz w:val="21"/>
              </w:rPr>
            </w:pPr>
            <w:r>
              <w:rPr>
                <w:spacing w:val="-2"/>
                <w:sz w:val="21"/>
              </w:rPr>
              <w:t>$33.00</w:t>
            </w:r>
          </w:p>
        </w:tc>
        <w:tc>
          <w:tcPr>
            <w:tcW w:w="1562" w:type="dxa"/>
            <w:tcBorders>
              <w:top w:val="nil"/>
              <w:bottom w:val="nil"/>
            </w:tcBorders>
          </w:tcPr>
          <w:p>
            <w:pPr>
              <w:pStyle w:val="TableParagraph"/>
              <w:spacing w:before="175"/>
              <w:ind w:left="24" w:right="2"/>
              <w:jc w:val="center"/>
              <w:rPr>
                <w:sz w:val="21"/>
              </w:rPr>
            </w:pPr>
            <w:r>
              <w:rPr>
                <w:spacing w:val="-2"/>
                <w:sz w:val="21"/>
              </w:rPr>
              <w:t>$25.40</w:t>
            </w:r>
          </w:p>
        </w:tc>
        <w:tc>
          <w:tcPr>
            <w:tcW w:w="1623" w:type="dxa"/>
            <w:tcBorders>
              <w:top w:val="nil"/>
              <w:bottom w:val="nil"/>
              <w:right w:val="single" w:sz="8" w:space="0" w:color="000000"/>
            </w:tcBorders>
          </w:tcPr>
          <w:p>
            <w:pPr>
              <w:pStyle w:val="TableParagraph"/>
              <w:spacing w:before="175"/>
              <w:ind w:left="24"/>
              <w:jc w:val="center"/>
              <w:rPr>
                <w:sz w:val="21"/>
              </w:rPr>
            </w:pPr>
            <w:r>
              <w:rPr>
                <w:spacing w:val="-2"/>
                <w:sz w:val="21"/>
              </w:rPr>
              <w:t>$25.40</w:t>
            </w:r>
          </w:p>
        </w:tc>
        <w:tc>
          <w:tcPr>
            <w:tcW w:w="1791" w:type="dxa"/>
            <w:tcBorders>
              <w:top w:val="nil"/>
              <w:left w:val="single" w:sz="8" w:space="0" w:color="000000"/>
              <w:bottom w:val="nil"/>
              <w:right w:val="single" w:sz="8" w:space="0" w:color="000000"/>
            </w:tcBorders>
          </w:tcPr>
          <w:p>
            <w:pPr>
              <w:pStyle w:val="TableParagraph"/>
              <w:spacing w:before="175"/>
              <w:ind w:left="19"/>
              <w:jc w:val="center"/>
              <w:rPr>
                <w:sz w:val="21"/>
              </w:rPr>
            </w:pPr>
            <w:r>
              <w:rPr>
                <w:spacing w:val="-2"/>
                <w:sz w:val="21"/>
              </w:rPr>
              <w:t>$25.40</w:t>
            </w:r>
          </w:p>
        </w:tc>
      </w:tr>
      <w:tr>
        <w:tblPrEx>
          <w:tblW w:w="0" w:type="auto"/>
          <w:jc w:val="left"/>
          <w:tblInd w:w="509" w:type="dxa"/>
          <w:tblLayout w:type="fixed"/>
          <w:tblCellMar>
            <w:top w:w="0" w:type="dxa"/>
            <w:left w:w="0" w:type="dxa"/>
            <w:bottom w:w="0" w:type="dxa"/>
            <w:right w:w="0" w:type="dxa"/>
          </w:tblCellMar>
          <w:tblLook w:val="01E0"/>
        </w:tblPrEx>
        <w:trPr>
          <w:trHeight w:val="300"/>
          <w:jc w:val="left"/>
        </w:trPr>
        <w:tc>
          <w:tcPr>
            <w:tcW w:w="3327" w:type="dxa"/>
            <w:tcBorders>
              <w:top w:val="nil"/>
              <w:bottom w:val="nil"/>
            </w:tcBorders>
          </w:tcPr>
          <w:p>
            <w:pPr>
              <w:pStyle w:val="TableParagraph"/>
              <w:spacing w:before="25"/>
              <w:ind w:left="112"/>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5"/>
                <w:sz w:val="21"/>
              </w:rPr>
              <w:t xml:space="preserve"> </w:t>
            </w:r>
            <w:r>
              <w:rPr>
                <w:spacing w:val="-2"/>
                <w:sz w:val="21"/>
              </w:rPr>
              <w:t>Allocations</w:t>
            </w:r>
          </w:p>
        </w:tc>
        <w:tc>
          <w:tcPr>
            <w:tcW w:w="1889" w:type="dxa"/>
            <w:tcBorders>
              <w:top w:val="nil"/>
              <w:bottom w:val="nil"/>
            </w:tcBorders>
          </w:tcPr>
          <w:p>
            <w:pPr>
              <w:pStyle w:val="TableParagraph"/>
              <w:spacing w:before="25"/>
              <w:ind w:left="16"/>
              <w:jc w:val="center"/>
              <w:rPr>
                <w:sz w:val="21"/>
              </w:rPr>
            </w:pPr>
            <w:r>
              <w:rPr>
                <w:spacing w:val="-2"/>
                <w:sz w:val="21"/>
              </w:rPr>
              <w:t>$33.00</w:t>
            </w:r>
          </w:p>
        </w:tc>
        <w:tc>
          <w:tcPr>
            <w:tcW w:w="1562" w:type="dxa"/>
            <w:tcBorders>
              <w:top w:val="nil"/>
              <w:bottom w:val="nil"/>
            </w:tcBorders>
          </w:tcPr>
          <w:p>
            <w:pPr>
              <w:pStyle w:val="TableParagraph"/>
              <w:spacing w:before="25"/>
              <w:ind w:left="24" w:right="2"/>
              <w:jc w:val="center"/>
              <w:rPr>
                <w:sz w:val="21"/>
              </w:rPr>
            </w:pPr>
            <w:r>
              <w:rPr>
                <w:spacing w:val="-2"/>
                <w:sz w:val="21"/>
              </w:rPr>
              <w:t>$33.00</w:t>
            </w:r>
          </w:p>
        </w:tc>
        <w:tc>
          <w:tcPr>
            <w:tcW w:w="1623" w:type="dxa"/>
            <w:tcBorders>
              <w:top w:val="nil"/>
              <w:bottom w:val="nil"/>
              <w:right w:val="single" w:sz="8" w:space="0" w:color="000000"/>
            </w:tcBorders>
          </w:tcPr>
          <w:p>
            <w:pPr>
              <w:pStyle w:val="TableParagraph"/>
              <w:spacing w:before="25"/>
              <w:ind w:left="24"/>
              <w:jc w:val="center"/>
              <w:rPr>
                <w:b/>
                <w:i/>
                <w:sz w:val="21"/>
              </w:rPr>
            </w:pPr>
            <w:r>
              <w:rPr>
                <w:b/>
                <w:i/>
                <w:spacing w:val="-2"/>
                <w:sz w:val="21"/>
              </w:rPr>
              <w:t>$25.40</w:t>
            </w:r>
          </w:p>
        </w:tc>
        <w:tc>
          <w:tcPr>
            <w:tcW w:w="1791" w:type="dxa"/>
            <w:tcBorders>
              <w:top w:val="nil"/>
              <w:left w:val="single" w:sz="8" w:space="0" w:color="000000"/>
              <w:bottom w:val="nil"/>
              <w:right w:val="single" w:sz="8" w:space="0" w:color="000000"/>
            </w:tcBorders>
          </w:tcPr>
          <w:p>
            <w:pPr>
              <w:pStyle w:val="TableParagraph"/>
              <w:spacing w:before="25"/>
              <w:ind w:left="19"/>
              <w:jc w:val="center"/>
              <w:rPr>
                <w:b/>
                <w:i/>
                <w:sz w:val="21"/>
              </w:rPr>
            </w:pPr>
            <w:r>
              <w:rPr>
                <w:b/>
                <w:i/>
                <w:spacing w:val="-2"/>
                <w:sz w:val="21"/>
              </w:rPr>
              <w:t>$25.40</w:t>
            </w:r>
          </w:p>
        </w:tc>
      </w:tr>
      <w:tr>
        <w:tblPrEx>
          <w:tblW w:w="0" w:type="auto"/>
          <w:jc w:val="left"/>
          <w:tblInd w:w="509" w:type="dxa"/>
          <w:tblLayout w:type="fixed"/>
          <w:tblCellMar>
            <w:top w:w="0" w:type="dxa"/>
            <w:left w:w="0" w:type="dxa"/>
            <w:bottom w:w="0" w:type="dxa"/>
            <w:right w:w="0" w:type="dxa"/>
          </w:tblCellMar>
          <w:tblLook w:val="01E0"/>
        </w:tblPrEx>
        <w:trPr>
          <w:trHeight w:val="450"/>
          <w:jc w:val="left"/>
        </w:trPr>
        <w:tc>
          <w:tcPr>
            <w:tcW w:w="3327" w:type="dxa"/>
            <w:tcBorders>
              <w:top w:val="nil"/>
              <w:bottom w:val="nil"/>
            </w:tcBorders>
          </w:tcPr>
          <w:p>
            <w:pPr>
              <w:pStyle w:val="TableParagraph"/>
              <w:spacing w:before="25"/>
              <w:ind w:left="112"/>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889" w:type="dxa"/>
            <w:tcBorders>
              <w:top w:val="nil"/>
              <w:bottom w:val="nil"/>
            </w:tcBorders>
          </w:tcPr>
          <w:p>
            <w:pPr>
              <w:pStyle w:val="TableParagraph"/>
              <w:spacing w:before="25"/>
              <w:ind w:left="16"/>
              <w:jc w:val="center"/>
              <w:rPr>
                <w:sz w:val="21"/>
              </w:rPr>
            </w:pPr>
            <w:r>
              <w:rPr>
                <w:spacing w:val="-2"/>
                <w:sz w:val="21"/>
              </w:rPr>
              <w:t>$0.00</w:t>
            </w:r>
          </w:p>
        </w:tc>
        <w:tc>
          <w:tcPr>
            <w:tcW w:w="1562" w:type="dxa"/>
            <w:tcBorders>
              <w:top w:val="nil"/>
              <w:bottom w:val="nil"/>
            </w:tcBorders>
          </w:tcPr>
          <w:p>
            <w:pPr>
              <w:pStyle w:val="TableParagraph"/>
              <w:spacing w:before="25"/>
              <w:ind w:left="24"/>
              <w:jc w:val="center"/>
              <w:rPr>
                <w:sz w:val="21"/>
              </w:rPr>
            </w:pPr>
            <w:r>
              <w:rPr>
                <w:spacing w:val="-2"/>
                <w:sz w:val="21"/>
              </w:rPr>
              <w:t>−$7.60</w:t>
            </w:r>
          </w:p>
        </w:tc>
        <w:tc>
          <w:tcPr>
            <w:tcW w:w="1623" w:type="dxa"/>
            <w:tcBorders>
              <w:top w:val="nil"/>
              <w:bottom w:val="nil"/>
              <w:right w:val="single" w:sz="8" w:space="0" w:color="000000"/>
            </w:tcBorders>
          </w:tcPr>
          <w:p>
            <w:pPr>
              <w:pStyle w:val="TableParagraph"/>
              <w:spacing w:before="25"/>
              <w:ind w:left="24"/>
              <w:jc w:val="center"/>
              <w:rPr>
                <w:sz w:val="21"/>
              </w:rPr>
            </w:pPr>
            <w:r>
              <w:rPr>
                <w:spacing w:val="-2"/>
                <w:sz w:val="21"/>
              </w:rPr>
              <w:t>$0.00</w:t>
            </w:r>
          </w:p>
        </w:tc>
        <w:tc>
          <w:tcPr>
            <w:tcW w:w="1791" w:type="dxa"/>
            <w:tcBorders>
              <w:top w:val="nil"/>
              <w:left w:val="single" w:sz="8" w:space="0" w:color="000000"/>
              <w:bottom w:val="nil"/>
              <w:right w:val="single" w:sz="8" w:space="0" w:color="000000"/>
            </w:tcBorders>
          </w:tcPr>
          <w:p>
            <w:pPr>
              <w:pStyle w:val="TableParagraph"/>
              <w:spacing w:before="25"/>
              <w:ind w:left="19"/>
              <w:jc w:val="center"/>
              <w:rPr>
                <w:sz w:val="21"/>
              </w:rPr>
            </w:pPr>
            <w:r>
              <w:rPr>
                <w:spacing w:val="-2"/>
                <w:sz w:val="21"/>
              </w:rPr>
              <w:t>$0.00</w:t>
            </w:r>
          </w:p>
        </w:tc>
      </w:tr>
      <w:tr>
        <w:tblPrEx>
          <w:tblW w:w="0" w:type="auto"/>
          <w:jc w:val="left"/>
          <w:tblInd w:w="509" w:type="dxa"/>
          <w:tblLayout w:type="fixed"/>
          <w:tblCellMar>
            <w:top w:w="0" w:type="dxa"/>
            <w:left w:w="0" w:type="dxa"/>
            <w:bottom w:w="0" w:type="dxa"/>
            <w:right w:w="0" w:type="dxa"/>
          </w:tblCellMar>
          <w:tblLook w:val="01E0"/>
        </w:tblPrEx>
        <w:trPr>
          <w:trHeight w:val="450"/>
          <w:jc w:val="left"/>
        </w:trPr>
        <w:tc>
          <w:tcPr>
            <w:tcW w:w="3327" w:type="dxa"/>
            <w:tcBorders>
              <w:top w:val="nil"/>
              <w:bottom w:val="nil"/>
            </w:tcBorders>
          </w:tcPr>
          <w:p>
            <w:pPr>
              <w:pStyle w:val="TableParagraph"/>
              <w:spacing w:before="175"/>
              <w:ind w:left="112"/>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889" w:type="dxa"/>
            <w:tcBorders>
              <w:top w:val="nil"/>
              <w:bottom w:val="nil"/>
            </w:tcBorders>
          </w:tcPr>
          <w:p>
            <w:pPr>
              <w:pStyle w:val="TableParagraph"/>
              <w:spacing w:before="175"/>
              <w:ind w:left="16"/>
              <w:jc w:val="center"/>
              <w:rPr>
                <w:sz w:val="21"/>
              </w:rPr>
            </w:pPr>
            <w:r>
              <w:rPr>
                <w:spacing w:val="-2"/>
                <w:sz w:val="21"/>
              </w:rPr>
              <w:t>$0.00</w:t>
            </w:r>
          </w:p>
        </w:tc>
        <w:tc>
          <w:tcPr>
            <w:tcW w:w="1562" w:type="dxa"/>
            <w:tcBorders>
              <w:top w:val="nil"/>
              <w:bottom w:val="nil"/>
            </w:tcBorders>
          </w:tcPr>
          <w:p>
            <w:pPr>
              <w:pStyle w:val="TableParagraph"/>
              <w:spacing w:before="175"/>
              <w:ind w:left="24" w:right="2"/>
              <w:jc w:val="center"/>
              <w:rPr>
                <w:sz w:val="21"/>
              </w:rPr>
            </w:pPr>
            <w:r>
              <w:rPr>
                <w:spacing w:val="-2"/>
                <w:sz w:val="21"/>
              </w:rPr>
              <w:t>$0.00</w:t>
            </w:r>
          </w:p>
        </w:tc>
        <w:tc>
          <w:tcPr>
            <w:tcW w:w="1623" w:type="dxa"/>
            <w:tcBorders>
              <w:top w:val="nil"/>
              <w:bottom w:val="nil"/>
              <w:right w:val="single" w:sz="8" w:space="0" w:color="000000"/>
            </w:tcBorders>
          </w:tcPr>
          <w:p>
            <w:pPr>
              <w:pStyle w:val="TableParagraph"/>
              <w:spacing w:before="175"/>
              <w:ind w:left="24"/>
              <w:jc w:val="center"/>
              <w:rPr>
                <w:sz w:val="21"/>
              </w:rPr>
            </w:pPr>
            <w:r>
              <w:rPr>
                <w:spacing w:val="-2"/>
                <w:sz w:val="21"/>
              </w:rPr>
              <w:t>$0.00</w:t>
            </w:r>
          </w:p>
        </w:tc>
        <w:tc>
          <w:tcPr>
            <w:tcW w:w="1791" w:type="dxa"/>
            <w:tcBorders>
              <w:top w:val="nil"/>
              <w:left w:val="single" w:sz="8" w:space="0" w:color="000000"/>
              <w:bottom w:val="nil"/>
              <w:right w:val="single" w:sz="8" w:space="0" w:color="000000"/>
            </w:tcBorders>
          </w:tcPr>
          <w:p>
            <w:pPr>
              <w:pStyle w:val="TableParagraph"/>
              <w:spacing w:before="175"/>
              <w:ind w:left="19"/>
              <w:jc w:val="center"/>
              <w:rPr>
                <w:sz w:val="21"/>
              </w:rPr>
            </w:pPr>
            <w:r>
              <w:rPr>
                <w:spacing w:val="-2"/>
                <w:sz w:val="21"/>
              </w:rPr>
              <w:t>$0.00</w:t>
            </w:r>
          </w:p>
        </w:tc>
      </w:tr>
      <w:tr>
        <w:tblPrEx>
          <w:tblW w:w="0" w:type="auto"/>
          <w:jc w:val="left"/>
          <w:tblInd w:w="509" w:type="dxa"/>
          <w:tblLayout w:type="fixed"/>
          <w:tblCellMar>
            <w:top w:w="0" w:type="dxa"/>
            <w:left w:w="0" w:type="dxa"/>
            <w:bottom w:w="0" w:type="dxa"/>
            <w:right w:w="0" w:type="dxa"/>
          </w:tblCellMar>
          <w:tblLook w:val="01E0"/>
        </w:tblPrEx>
        <w:trPr>
          <w:trHeight w:val="300"/>
          <w:jc w:val="left"/>
        </w:trPr>
        <w:tc>
          <w:tcPr>
            <w:tcW w:w="3327" w:type="dxa"/>
            <w:tcBorders>
              <w:top w:val="nil"/>
              <w:bottom w:val="nil"/>
            </w:tcBorders>
          </w:tcPr>
          <w:p>
            <w:pPr>
              <w:pStyle w:val="TableParagraph"/>
              <w:spacing w:before="25"/>
              <w:ind w:left="112"/>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889" w:type="dxa"/>
            <w:tcBorders>
              <w:top w:val="nil"/>
              <w:bottom w:val="nil"/>
            </w:tcBorders>
          </w:tcPr>
          <w:p>
            <w:pPr>
              <w:pStyle w:val="TableParagraph"/>
              <w:spacing w:before="25"/>
              <w:ind w:left="16"/>
              <w:jc w:val="center"/>
              <w:rPr>
                <w:sz w:val="21"/>
              </w:rPr>
            </w:pPr>
            <w:r>
              <w:rPr>
                <w:spacing w:val="-2"/>
                <w:sz w:val="21"/>
              </w:rPr>
              <w:t>$0.00</w:t>
            </w:r>
          </w:p>
        </w:tc>
        <w:tc>
          <w:tcPr>
            <w:tcW w:w="1562" w:type="dxa"/>
            <w:tcBorders>
              <w:top w:val="nil"/>
              <w:bottom w:val="nil"/>
            </w:tcBorders>
          </w:tcPr>
          <w:p>
            <w:pPr>
              <w:pStyle w:val="TableParagraph"/>
              <w:spacing w:before="25"/>
              <w:ind w:left="24" w:right="2"/>
              <w:jc w:val="center"/>
              <w:rPr>
                <w:sz w:val="21"/>
              </w:rPr>
            </w:pPr>
            <w:r>
              <w:rPr>
                <w:spacing w:val="-2"/>
                <w:sz w:val="21"/>
              </w:rPr>
              <w:t>$0.00</w:t>
            </w:r>
          </w:p>
        </w:tc>
        <w:tc>
          <w:tcPr>
            <w:tcW w:w="1623" w:type="dxa"/>
            <w:tcBorders>
              <w:top w:val="nil"/>
              <w:bottom w:val="nil"/>
              <w:right w:val="single" w:sz="8" w:space="0" w:color="000000"/>
            </w:tcBorders>
          </w:tcPr>
          <w:p>
            <w:pPr>
              <w:pStyle w:val="TableParagraph"/>
              <w:spacing w:before="25"/>
              <w:ind w:left="24"/>
              <w:jc w:val="center"/>
              <w:rPr>
                <w:sz w:val="21"/>
              </w:rPr>
            </w:pPr>
            <w:r>
              <w:rPr>
                <w:spacing w:val="-2"/>
                <w:sz w:val="21"/>
              </w:rPr>
              <w:t>$0.00</w:t>
            </w:r>
          </w:p>
        </w:tc>
        <w:tc>
          <w:tcPr>
            <w:tcW w:w="1791" w:type="dxa"/>
            <w:tcBorders>
              <w:top w:val="nil"/>
              <w:left w:val="single" w:sz="8" w:space="0" w:color="000000"/>
              <w:bottom w:val="nil"/>
              <w:right w:val="single" w:sz="8" w:space="0" w:color="000000"/>
            </w:tcBorders>
          </w:tcPr>
          <w:p>
            <w:pPr>
              <w:pStyle w:val="TableParagraph"/>
              <w:spacing w:before="25"/>
              <w:ind w:left="19"/>
              <w:jc w:val="center"/>
              <w:rPr>
                <w:sz w:val="21"/>
              </w:rPr>
            </w:pPr>
            <w:r>
              <w:rPr>
                <w:spacing w:val="-2"/>
                <w:sz w:val="21"/>
              </w:rPr>
              <w:t>$0.00</w:t>
            </w:r>
          </w:p>
        </w:tc>
      </w:tr>
      <w:tr>
        <w:tblPrEx>
          <w:tblW w:w="0" w:type="auto"/>
          <w:jc w:val="left"/>
          <w:tblInd w:w="509" w:type="dxa"/>
          <w:tblLayout w:type="fixed"/>
          <w:tblCellMar>
            <w:top w:w="0" w:type="dxa"/>
            <w:left w:w="0" w:type="dxa"/>
            <w:bottom w:w="0" w:type="dxa"/>
            <w:right w:w="0" w:type="dxa"/>
          </w:tblCellMar>
          <w:tblLook w:val="01E0"/>
        </w:tblPrEx>
        <w:trPr>
          <w:trHeight w:val="566"/>
          <w:jc w:val="left"/>
        </w:trPr>
        <w:tc>
          <w:tcPr>
            <w:tcW w:w="3327" w:type="dxa"/>
            <w:tcBorders>
              <w:top w:val="nil"/>
            </w:tcBorders>
          </w:tcPr>
          <w:p>
            <w:pPr>
              <w:pStyle w:val="TableParagraph"/>
              <w:spacing w:before="25"/>
              <w:ind w:left="112"/>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889" w:type="dxa"/>
            <w:tcBorders>
              <w:top w:val="nil"/>
            </w:tcBorders>
          </w:tcPr>
          <w:p>
            <w:pPr>
              <w:pStyle w:val="TableParagraph"/>
              <w:spacing w:before="25"/>
              <w:ind w:left="16"/>
              <w:jc w:val="center"/>
              <w:rPr>
                <w:sz w:val="21"/>
              </w:rPr>
            </w:pPr>
            <w:r>
              <w:rPr>
                <w:spacing w:val="-2"/>
                <w:sz w:val="21"/>
              </w:rPr>
              <w:t>$0.00</w:t>
            </w:r>
          </w:p>
        </w:tc>
        <w:tc>
          <w:tcPr>
            <w:tcW w:w="1562" w:type="dxa"/>
            <w:tcBorders>
              <w:top w:val="nil"/>
            </w:tcBorders>
          </w:tcPr>
          <w:p>
            <w:pPr>
              <w:pStyle w:val="TableParagraph"/>
              <w:spacing w:before="25"/>
              <w:ind w:left="24" w:right="2"/>
              <w:jc w:val="center"/>
              <w:rPr>
                <w:sz w:val="21"/>
              </w:rPr>
            </w:pPr>
            <w:r>
              <w:rPr>
                <w:spacing w:val="-2"/>
                <w:sz w:val="21"/>
              </w:rPr>
              <w:t>$0.00</w:t>
            </w:r>
          </w:p>
        </w:tc>
        <w:tc>
          <w:tcPr>
            <w:tcW w:w="1623" w:type="dxa"/>
            <w:tcBorders>
              <w:top w:val="nil"/>
              <w:right w:val="single" w:sz="8" w:space="0" w:color="000000"/>
            </w:tcBorders>
          </w:tcPr>
          <w:p>
            <w:pPr>
              <w:pStyle w:val="TableParagraph"/>
              <w:spacing w:before="25"/>
              <w:ind w:left="24"/>
              <w:jc w:val="center"/>
              <w:rPr>
                <w:sz w:val="21"/>
              </w:rPr>
            </w:pPr>
            <w:r>
              <w:rPr>
                <w:spacing w:val="-2"/>
                <w:sz w:val="21"/>
              </w:rPr>
              <w:t>$0.00</w:t>
            </w:r>
          </w:p>
        </w:tc>
        <w:tc>
          <w:tcPr>
            <w:tcW w:w="1791" w:type="dxa"/>
            <w:tcBorders>
              <w:top w:val="nil"/>
              <w:left w:val="single" w:sz="8" w:space="0" w:color="000000"/>
              <w:right w:val="single" w:sz="8" w:space="0" w:color="000000"/>
            </w:tcBorders>
          </w:tcPr>
          <w:p>
            <w:pPr>
              <w:pStyle w:val="TableParagraph"/>
              <w:spacing w:before="25"/>
              <w:ind w:left="19"/>
              <w:jc w:val="center"/>
              <w:rPr>
                <w:sz w:val="21"/>
              </w:rPr>
            </w:pPr>
            <w:r>
              <w:rPr>
                <w:spacing w:val="-2"/>
                <w:sz w:val="21"/>
              </w:rPr>
              <w:t>$0.00</w:t>
            </w:r>
          </w:p>
        </w:tc>
      </w:tr>
      <w:tr>
        <w:tblPrEx>
          <w:tblW w:w="0" w:type="auto"/>
          <w:jc w:val="left"/>
          <w:tblInd w:w="509" w:type="dxa"/>
          <w:tblLayout w:type="fixed"/>
          <w:tblCellMar>
            <w:top w:w="0" w:type="dxa"/>
            <w:left w:w="0" w:type="dxa"/>
            <w:bottom w:w="0" w:type="dxa"/>
            <w:right w:w="0" w:type="dxa"/>
          </w:tblCellMar>
          <w:tblLook w:val="01E0"/>
        </w:tblPrEx>
        <w:trPr>
          <w:trHeight w:val="311"/>
          <w:jc w:val="left"/>
        </w:trPr>
        <w:tc>
          <w:tcPr>
            <w:tcW w:w="3327" w:type="dxa"/>
          </w:tcPr>
          <w:p>
            <w:pPr>
              <w:pStyle w:val="TableParagraph"/>
              <w:spacing w:before="75" w:line="216" w:lineRule="exact"/>
              <w:ind w:left="112"/>
              <w:rPr>
                <w:b/>
                <w:sz w:val="21"/>
              </w:rPr>
            </w:pPr>
            <w:r>
              <w:rPr>
                <w:b/>
                <w:sz w:val="21"/>
              </w:rPr>
              <w:t>Total</w:t>
            </w:r>
            <w:r>
              <w:rPr>
                <w:b/>
                <w:spacing w:val="-3"/>
                <w:sz w:val="21"/>
              </w:rPr>
              <w:t xml:space="preserve"> </w:t>
            </w:r>
            <w:r>
              <w:rPr>
                <w:b/>
                <w:sz w:val="21"/>
              </w:rPr>
              <w:t>Plan</w:t>
            </w:r>
            <w:r>
              <w:rPr>
                <w:b/>
                <w:spacing w:val="-2"/>
                <w:sz w:val="21"/>
              </w:rPr>
              <w:t xml:space="preserve"> Premium</w:t>
            </w:r>
          </w:p>
        </w:tc>
        <w:tc>
          <w:tcPr>
            <w:tcW w:w="1889" w:type="dxa"/>
          </w:tcPr>
          <w:p>
            <w:pPr>
              <w:pStyle w:val="TableParagraph"/>
              <w:spacing w:before="75" w:line="216" w:lineRule="exact"/>
              <w:ind w:left="16"/>
              <w:jc w:val="center"/>
              <w:rPr>
                <w:sz w:val="21"/>
              </w:rPr>
            </w:pPr>
            <w:r>
              <w:rPr>
                <w:spacing w:val="-2"/>
                <w:sz w:val="21"/>
              </w:rPr>
              <w:t>$0.00</w:t>
            </w:r>
          </w:p>
        </w:tc>
        <w:tc>
          <w:tcPr>
            <w:tcW w:w="1562" w:type="dxa"/>
          </w:tcPr>
          <w:p>
            <w:pPr>
              <w:pStyle w:val="TableParagraph"/>
              <w:spacing w:before="75" w:line="216" w:lineRule="exact"/>
              <w:ind w:left="24"/>
              <w:jc w:val="center"/>
              <w:rPr>
                <w:sz w:val="21"/>
              </w:rPr>
            </w:pPr>
            <w:r>
              <w:rPr>
                <w:spacing w:val="-2"/>
                <w:sz w:val="21"/>
              </w:rPr>
              <w:t>−$7.60</w:t>
            </w:r>
          </w:p>
        </w:tc>
        <w:tc>
          <w:tcPr>
            <w:tcW w:w="1623" w:type="dxa"/>
            <w:tcBorders>
              <w:right w:val="single" w:sz="8" w:space="0" w:color="000000"/>
            </w:tcBorders>
          </w:tcPr>
          <w:p>
            <w:pPr>
              <w:pStyle w:val="TableParagraph"/>
              <w:spacing w:before="75" w:line="216" w:lineRule="exact"/>
              <w:ind w:left="24"/>
              <w:jc w:val="center"/>
              <w:rPr>
                <w:sz w:val="21"/>
              </w:rPr>
            </w:pPr>
            <w:r>
              <w:rPr>
                <w:spacing w:val="-2"/>
                <w:sz w:val="21"/>
              </w:rPr>
              <w:t>$0.00</w:t>
            </w:r>
          </w:p>
        </w:tc>
        <w:tc>
          <w:tcPr>
            <w:tcW w:w="1791" w:type="dxa"/>
            <w:tcBorders>
              <w:left w:val="single" w:sz="8" w:space="0" w:color="000000"/>
              <w:bottom w:val="single" w:sz="8" w:space="0" w:color="000000"/>
              <w:right w:val="single" w:sz="8" w:space="0" w:color="000000"/>
            </w:tcBorders>
          </w:tcPr>
          <w:p>
            <w:pPr>
              <w:pStyle w:val="TableParagraph"/>
              <w:spacing w:before="75" w:line="216" w:lineRule="exact"/>
              <w:ind w:left="19"/>
              <w:jc w:val="center"/>
              <w:rPr>
                <w:sz w:val="21"/>
              </w:rPr>
            </w:pPr>
            <w:r>
              <w:rPr>
                <w:spacing w:val="-2"/>
                <w:sz w:val="21"/>
              </w:rPr>
              <w:t>$0.00</w:t>
            </w:r>
          </w:p>
        </w:tc>
      </w:tr>
    </w:tbl>
    <w:p>
      <w:pPr>
        <w:pStyle w:val="BodyText"/>
        <w:spacing w:before="91"/>
        <w:ind w:left="0"/>
        <w:rPr>
          <w:rFonts w:ascii="Arial"/>
          <w:b/>
          <w:i/>
        </w:rPr>
      </w:pPr>
    </w:p>
    <w:p>
      <w:pPr>
        <w:pStyle w:val="BodyText"/>
      </w:pPr>
      <w:r>
        <w:t>In</w:t>
      </w:r>
      <w:r>
        <w:rPr>
          <w:spacing w:val="-3"/>
        </w:rPr>
        <w:t xml:space="preserve"> </w:t>
      </w:r>
      <w:r>
        <w:t>this</w:t>
      </w:r>
      <w:r>
        <w:rPr>
          <w:spacing w:val="-2"/>
        </w:rPr>
        <w:t xml:space="preserve"> </w:t>
      </w:r>
      <w:r>
        <w:t>example,</w:t>
      </w:r>
      <w:r>
        <w:rPr>
          <w:spacing w:val="-1"/>
        </w:rPr>
        <w:t xml:space="preserve"> </w:t>
      </w:r>
      <w:r>
        <w:t>the</w:t>
      </w:r>
      <w:r>
        <w:rPr>
          <w:spacing w:val="-1"/>
        </w:rPr>
        <w:t xml:space="preserve"> </w:t>
      </w:r>
      <w:r>
        <w:t>change</w:t>
      </w:r>
      <w:r>
        <w:rPr>
          <w:spacing w:val="-2"/>
        </w:rPr>
        <w:t xml:space="preserve"> </w:t>
      </w:r>
      <w:r>
        <w:t>in</w:t>
      </w:r>
      <w:r>
        <w:rPr>
          <w:spacing w:val="1"/>
        </w:rPr>
        <w:t xml:space="preserve"> </w:t>
      </w:r>
      <w:r>
        <w:t>MSB revenue</w:t>
      </w:r>
      <w:r>
        <w:rPr>
          <w:spacing w:val="-2"/>
        </w:rPr>
        <w:t xml:space="preserve"> </w:t>
      </w:r>
      <w:r>
        <w:t>requirement</w:t>
      </w:r>
      <w:r>
        <w:rPr>
          <w:spacing w:val="-1"/>
        </w:rPr>
        <w:t xml:space="preserve"> </w:t>
      </w:r>
      <w:r>
        <w:t>must be</w:t>
      </w:r>
      <w:r>
        <w:rPr>
          <w:spacing w:val="-2"/>
        </w:rPr>
        <w:t xml:space="preserve"> </w:t>
      </w:r>
      <w:r>
        <w:t>between</w:t>
      </w:r>
      <w:r>
        <w:rPr>
          <w:spacing w:val="1"/>
        </w:rPr>
        <w:t xml:space="preserve"> </w:t>
      </w:r>
      <w:r>
        <w:t>$0.00</w:t>
      </w:r>
      <w:r>
        <w:rPr>
          <w:spacing w:val="-1"/>
        </w:rPr>
        <w:t xml:space="preserve"> </w:t>
      </w:r>
      <w:r>
        <w:t xml:space="preserve">and </w:t>
      </w:r>
      <w:r>
        <w:rPr>
          <w:spacing w:val="-2"/>
        </w:rPr>
        <w:t>$7.60.</w:t>
      </w:r>
    </w:p>
    <w:p>
      <w:pPr>
        <w:pStyle w:val="BodyText"/>
        <w:spacing w:before="139"/>
        <w:ind w:right="1481"/>
      </w:pPr>
      <w:r>
        <w:rPr>
          <w:b/>
        </w:rPr>
        <w:t>Option 1</w:t>
      </w:r>
      <w:r>
        <w:t>: If, after reflecting announced Part D benchmarks, the basic premium rebate allocations</w:t>
      </w:r>
      <w:r>
        <w:rPr>
          <w:spacing w:val="-4"/>
        </w:rPr>
        <w:t xml:space="preserve"> </w:t>
      </w:r>
      <w:r>
        <w:t>are</w:t>
      </w:r>
      <w:r>
        <w:rPr>
          <w:spacing w:val="-5"/>
        </w:rPr>
        <w:t xml:space="preserve"> </w:t>
      </w:r>
      <w:r>
        <w:t>greater</w:t>
      </w:r>
      <w:r>
        <w:rPr>
          <w:spacing w:val="-3"/>
        </w:rPr>
        <w:t xml:space="preserve"> </w:t>
      </w:r>
      <w:r>
        <w:t>than</w:t>
      </w:r>
      <w:r>
        <w:rPr>
          <w:spacing w:val="-3"/>
        </w:rPr>
        <w:t xml:space="preserve"> </w:t>
      </w:r>
      <w:r>
        <w:t>the</w:t>
      </w:r>
      <w:r>
        <w:rPr>
          <w:spacing w:val="-3"/>
        </w:rPr>
        <w:t xml:space="preserve"> </w:t>
      </w:r>
      <w:r>
        <w:t>basic</w:t>
      </w:r>
      <w:r>
        <w:rPr>
          <w:spacing w:val="-3"/>
        </w:rPr>
        <w:t xml:space="preserve"> </w:t>
      </w:r>
      <w:r>
        <w:t>premium</w:t>
      </w:r>
      <w:r>
        <w:rPr>
          <w:spacing w:val="-3"/>
        </w:rPr>
        <w:t xml:space="preserve"> </w:t>
      </w:r>
      <w:r>
        <w:t>prior</w:t>
      </w:r>
      <w:r>
        <w:rPr>
          <w:spacing w:val="-3"/>
        </w:rPr>
        <w:t xml:space="preserve"> </w:t>
      </w:r>
      <w:r>
        <w:t>rebate,</w:t>
      </w:r>
      <w:r>
        <w:rPr>
          <w:spacing w:val="-3"/>
        </w:rPr>
        <w:t xml:space="preserve"> </w:t>
      </w:r>
      <w:r>
        <w:t>rebate</w:t>
      </w:r>
      <w:r>
        <w:rPr>
          <w:spacing w:val="-3"/>
        </w:rPr>
        <w:t xml:space="preserve"> </w:t>
      </w:r>
      <w:r>
        <w:t>reallocation</w:t>
      </w:r>
      <w:r>
        <w:rPr>
          <w:spacing w:val="-3"/>
        </w:rPr>
        <w:t xml:space="preserve"> </w:t>
      </w:r>
      <w:r>
        <w:t>is</w:t>
      </w:r>
      <w:r>
        <w:rPr>
          <w:spacing w:val="-4"/>
        </w:rPr>
        <w:t xml:space="preserve"> </w:t>
      </w:r>
      <w:r>
        <w:t>required.</w:t>
      </w:r>
      <w:r>
        <w:rPr>
          <w:spacing w:val="-3"/>
        </w:rPr>
        <w:t xml:space="preserve"> </w:t>
      </w:r>
      <w:r>
        <w:t>The MAO must reallocate the excessive allocation of $7.60 by either—</w:t>
      </w:r>
    </w:p>
    <w:p>
      <w:pPr>
        <w:spacing w:before="142"/>
        <w:ind w:left="1224" w:right="0" w:firstLine="0"/>
        <w:jc w:val="left"/>
        <w:rPr>
          <w:sz w:val="24"/>
        </w:rPr>
      </w:pPr>
      <w:r>
        <w:rPr>
          <w:b/>
          <w:sz w:val="24"/>
        </w:rPr>
        <w:t>1a</w:t>
      </w:r>
      <w:r>
        <w:rPr>
          <w:b/>
          <w:spacing w:val="-5"/>
          <w:sz w:val="24"/>
        </w:rPr>
        <w:t xml:space="preserve"> </w:t>
      </w:r>
      <w:r>
        <w:rPr>
          <w:b/>
          <w:sz w:val="24"/>
        </w:rPr>
        <w:t>(Option</w:t>
      </w:r>
      <w:r>
        <w:rPr>
          <w:b/>
          <w:spacing w:val="-2"/>
          <w:sz w:val="24"/>
        </w:rPr>
        <w:t xml:space="preserve"> </w:t>
      </w:r>
      <w:r>
        <w:rPr>
          <w:b/>
          <w:sz w:val="24"/>
        </w:rPr>
        <w:t>not</w:t>
      </w:r>
      <w:r>
        <w:rPr>
          <w:b/>
          <w:spacing w:val="-2"/>
          <w:sz w:val="24"/>
        </w:rPr>
        <w:t xml:space="preserve"> </w:t>
      </w:r>
      <w:r>
        <w:rPr>
          <w:b/>
          <w:sz w:val="24"/>
        </w:rPr>
        <w:t>shown</w:t>
      </w:r>
      <w:r>
        <w:rPr>
          <w:b/>
          <w:spacing w:val="-2"/>
          <w:sz w:val="24"/>
        </w:rPr>
        <w:t xml:space="preserve"> </w:t>
      </w:r>
      <w:r>
        <w:rPr>
          <w:b/>
          <w:sz w:val="24"/>
        </w:rPr>
        <w:t>above)</w:t>
      </w:r>
      <w:r>
        <w:rPr>
          <w:sz w:val="24"/>
        </w:rPr>
        <w:t>:</w:t>
      </w:r>
      <w:r>
        <w:rPr>
          <w:spacing w:val="-2"/>
          <w:sz w:val="24"/>
        </w:rPr>
        <w:t xml:space="preserve"> </w:t>
      </w:r>
      <w:r>
        <w:rPr>
          <w:sz w:val="24"/>
        </w:rPr>
        <w:t>In</w:t>
      </w:r>
      <w:r>
        <w:rPr>
          <w:spacing w:val="-2"/>
          <w:sz w:val="24"/>
        </w:rPr>
        <w:t xml:space="preserve"> </w:t>
      </w:r>
      <w:r>
        <w:rPr>
          <w:sz w:val="24"/>
        </w:rPr>
        <w:t>this</w:t>
      </w:r>
      <w:r>
        <w:rPr>
          <w:spacing w:val="-3"/>
          <w:sz w:val="24"/>
        </w:rPr>
        <w:t xml:space="preserve"> </w:t>
      </w:r>
      <w:r>
        <w:rPr>
          <w:sz w:val="24"/>
        </w:rPr>
        <w:t>example,</w:t>
      </w:r>
      <w:r>
        <w:rPr>
          <w:spacing w:val="-2"/>
          <w:sz w:val="24"/>
        </w:rPr>
        <w:t xml:space="preserve"> </w:t>
      </w:r>
      <w:r>
        <w:rPr>
          <w:sz w:val="24"/>
        </w:rPr>
        <w:t>reallocating</w:t>
      </w:r>
      <w:r>
        <w:rPr>
          <w:spacing w:val="-2"/>
          <w:sz w:val="24"/>
        </w:rPr>
        <w:t xml:space="preserve"> </w:t>
      </w:r>
      <w:r>
        <w:rPr>
          <w:sz w:val="24"/>
        </w:rPr>
        <w:t>the</w:t>
      </w:r>
      <w:r>
        <w:rPr>
          <w:spacing w:val="-2"/>
          <w:sz w:val="24"/>
        </w:rPr>
        <w:t xml:space="preserve"> </w:t>
      </w:r>
      <w:r>
        <w:rPr>
          <w:sz w:val="24"/>
        </w:rPr>
        <w:t>excessive</w:t>
      </w:r>
      <w:r>
        <w:rPr>
          <w:spacing w:val="-1"/>
          <w:sz w:val="24"/>
        </w:rPr>
        <w:t xml:space="preserve"> </w:t>
      </w:r>
      <w:r>
        <w:rPr>
          <w:sz w:val="24"/>
        </w:rPr>
        <w:t>allocation</w:t>
      </w:r>
      <w:r>
        <w:rPr>
          <w:spacing w:val="-2"/>
          <w:sz w:val="24"/>
        </w:rPr>
        <w:t xml:space="preserve"> </w:t>
      </w:r>
      <w:r>
        <w:rPr>
          <w:spacing w:val="-5"/>
          <w:sz w:val="24"/>
        </w:rPr>
        <w:t>of</w:t>
      </w:r>
    </w:p>
    <w:p>
      <w:pPr>
        <w:pStyle w:val="BodyText"/>
        <w:ind w:left="1224"/>
      </w:pPr>
      <w:r>
        <w:t>$7.60</w:t>
      </w:r>
      <w:r>
        <w:rPr>
          <w:spacing w:val="-3"/>
        </w:rPr>
        <w:t xml:space="preserve"> </w:t>
      </w:r>
      <w:r>
        <w:t>entirely</w:t>
      </w:r>
      <w:r>
        <w:rPr>
          <w:spacing w:val="-1"/>
        </w:rPr>
        <w:t xml:space="preserve"> </w:t>
      </w:r>
      <w:r>
        <w:t>to the</w:t>
      </w:r>
      <w:r>
        <w:rPr>
          <w:spacing w:val="-1"/>
        </w:rPr>
        <w:t xml:space="preserve"> </w:t>
      </w:r>
      <w:r>
        <w:t>Part</w:t>
      </w:r>
      <w:r>
        <w:rPr>
          <w:spacing w:val="1"/>
        </w:rPr>
        <w:t xml:space="preserve"> </w:t>
      </w:r>
      <w:r>
        <w:t>B</w:t>
      </w:r>
      <w:r>
        <w:rPr>
          <w:spacing w:val="-1"/>
        </w:rPr>
        <w:t xml:space="preserve"> </w:t>
      </w:r>
      <w:r>
        <w:t>premium (in</w:t>
      </w:r>
      <w:r>
        <w:rPr>
          <w:spacing w:val="-1"/>
        </w:rPr>
        <w:t xml:space="preserve"> </w:t>
      </w:r>
      <w:r>
        <w:t>the</w:t>
      </w:r>
      <w:r>
        <w:rPr>
          <w:spacing w:val="-2"/>
        </w:rPr>
        <w:t xml:space="preserve"> </w:t>
      </w:r>
      <w:r>
        <w:t>circumstances</w:t>
      </w:r>
      <w:r>
        <w:rPr>
          <w:spacing w:val="-1"/>
        </w:rPr>
        <w:t xml:space="preserve"> </w:t>
      </w:r>
      <w:r>
        <w:t>where</w:t>
      </w:r>
      <w:r>
        <w:rPr>
          <w:spacing w:val="-3"/>
        </w:rPr>
        <w:t xml:space="preserve"> </w:t>
      </w:r>
      <w:r>
        <w:t>there</w:t>
      </w:r>
      <w:r>
        <w:rPr>
          <w:spacing w:val="-1"/>
        </w:rPr>
        <w:t xml:space="preserve"> </w:t>
      </w:r>
      <w:r>
        <w:t>is</w:t>
      </w:r>
      <w:r>
        <w:rPr>
          <w:spacing w:val="-2"/>
        </w:rPr>
        <w:t xml:space="preserve"> </w:t>
      </w:r>
      <w:r>
        <w:t>a MA</w:t>
      </w:r>
      <w:r>
        <w:rPr>
          <w:spacing w:val="-1"/>
        </w:rPr>
        <w:t xml:space="preserve"> </w:t>
      </w:r>
      <w:r>
        <w:rPr>
          <w:spacing w:val="-5"/>
        </w:rPr>
        <w:t>or</w:t>
      </w:r>
    </w:p>
    <w:p>
      <w:pPr>
        <w:pStyle w:val="BodyText"/>
        <w:ind w:left="1224" w:right="1443"/>
      </w:pPr>
      <w:r>
        <w:t>Part</w:t>
      </w:r>
      <w:r>
        <w:rPr>
          <w:spacing w:val="-3"/>
        </w:rPr>
        <w:t xml:space="preserve"> </w:t>
      </w:r>
      <w:r>
        <w:t>D</w:t>
      </w:r>
      <w:r>
        <w:rPr>
          <w:spacing w:val="-4"/>
        </w:rPr>
        <w:t xml:space="preserve"> </w:t>
      </w:r>
      <w:r>
        <w:t>supplemental</w:t>
      </w:r>
      <w:r>
        <w:rPr>
          <w:spacing w:val="-3"/>
        </w:rPr>
        <w:t xml:space="preserve"> </w:t>
      </w:r>
      <w:r>
        <w:t>premium</w:t>
      </w:r>
      <w:r>
        <w:rPr>
          <w:spacing w:val="-3"/>
        </w:rPr>
        <w:t xml:space="preserve"> </w:t>
      </w:r>
      <w:r>
        <w:t>pre-rebate</w:t>
      </w:r>
      <w:r>
        <w:rPr>
          <w:spacing w:val="-4"/>
        </w:rPr>
        <w:t xml:space="preserve"> </w:t>
      </w:r>
      <w:r>
        <w:t>reallocation,</w:t>
      </w:r>
      <w:r>
        <w:rPr>
          <w:spacing w:val="-3"/>
        </w:rPr>
        <w:t xml:space="preserve"> </w:t>
      </w:r>
      <w:r>
        <w:t>the</w:t>
      </w:r>
      <w:r>
        <w:rPr>
          <w:spacing w:val="-3"/>
        </w:rPr>
        <w:t xml:space="preserve"> </w:t>
      </w:r>
      <w:r>
        <w:t>MAO</w:t>
      </w:r>
      <w:r>
        <w:rPr>
          <w:spacing w:val="-5"/>
        </w:rPr>
        <w:t xml:space="preserve"> </w:t>
      </w:r>
      <w:r>
        <w:t>may</w:t>
      </w:r>
      <w:r>
        <w:rPr>
          <w:spacing w:val="-3"/>
        </w:rPr>
        <w:t xml:space="preserve"> </w:t>
      </w:r>
      <w:r>
        <w:t>choose</w:t>
      </w:r>
      <w:r>
        <w:rPr>
          <w:spacing w:val="-4"/>
        </w:rPr>
        <w:t xml:space="preserve"> </w:t>
      </w:r>
      <w:r>
        <w:t>to</w:t>
      </w:r>
      <w:r>
        <w:rPr>
          <w:spacing w:val="-3"/>
        </w:rPr>
        <w:t xml:space="preserve"> </w:t>
      </w:r>
      <w:r>
        <w:t>make</w:t>
      </w:r>
      <w:r>
        <w:rPr>
          <w:spacing w:val="-2"/>
        </w:rPr>
        <w:t xml:space="preserve"> </w:t>
      </w:r>
      <w:r>
        <w:t>no changes to MSB revenue requirement and decrease the MA or Part D supplemental premiums); or</w:t>
      </w:r>
    </w:p>
    <w:p>
      <w:pPr>
        <w:pStyle w:val="BodyText"/>
        <w:spacing w:before="139"/>
        <w:ind w:left="1224" w:right="1574"/>
        <w:jc w:val="both"/>
      </w:pPr>
      <w:r>
        <w:rPr>
          <w:b/>
        </w:rPr>
        <w:t>1b</w:t>
      </w:r>
      <w:r>
        <w:rPr>
          <w:b/>
          <w:spacing w:val="-1"/>
        </w:rPr>
        <w:t xml:space="preserve"> </w:t>
      </w:r>
      <w:r>
        <w:rPr>
          <w:b/>
        </w:rPr>
        <w:t>(Option</w:t>
      </w:r>
      <w:r>
        <w:rPr>
          <w:b/>
          <w:spacing w:val="-1"/>
        </w:rPr>
        <w:t xml:space="preserve"> </w:t>
      </w:r>
      <w:r>
        <w:rPr>
          <w:b/>
        </w:rPr>
        <w:t>shown</w:t>
      </w:r>
      <w:r>
        <w:rPr>
          <w:b/>
          <w:spacing w:val="-1"/>
        </w:rPr>
        <w:t xml:space="preserve"> </w:t>
      </w:r>
      <w:r>
        <w:rPr>
          <w:b/>
        </w:rPr>
        <w:t>above)</w:t>
      </w:r>
      <w:r>
        <w:t>: Increasing MSB</w:t>
      </w:r>
      <w:r>
        <w:rPr>
          <w:spacing w:val="-1"/>
        </w:rPr>
        <w:t xml:space="preserve"> </w:t>
      </w:r>
      <w:r>
        <w:t>revenue</w:t>
      </w:r>
      <w:r>
        <w:rPr>
          <w:spacing w:val="-2"/>
        </w:rPr>
        <w:t xml:space="preserve"> </w:t>
      </w:r>
      <w:r>
        <w:t>requirement by</w:t>
      </w:r>
      <w:r>
        <w:rPr>
          <w:spacing w:val="-1"/>
        </w:rPr>
        <w:t xml:space="preserve"> </w:t>
      </w:r>
      <w:r>
        <w:t>less</w:t>
      </w:r>
      <w:r>
        <w:rPr>
          <w:spacing w:val="-2"/>
        </w:rPr>
        <w:t xml:space="preserve"> </w:t>
      </w:r>
      <w:r>
        <w:t>than</w:t>
      </w:r>
      <w:r>
        <w:rPr>
          <w:spacing w:val="-1"/>
        </w:rPr>
        <w:t xml:space="preserve"> </w:t>
      </w:r>
      <w:r>
        <w:t>or</w:t>
      </w:r>
      <w:r>
        <w:rPr>
          <w:spacing w:val="-3"/>
        </w:rPr>
        <w:t xml:space="preserve"> </w:t>
      </w:r>
      <w:r>
        <w:t>equal to</w:t>
      </w:r>
      <w:r>
        <w:rPr>
          <w:spacing w:val="-2"/>
        </w:rPr>
        <w:t xml:space="preserve"> </w:t>
      </w:r>
      <w:r>
        <w:t>$7.60,</w:t>
      </w:r>
      <w:r>
        <w:rPr>
          <w:spacing w:val="-2"/>
        </w:rPr>
        <w:t xml:space="preserve"> </w:t>
      </w:r>
      <w:r>
        <w:t>such</w:t>
      </w:r>
      <w:r>
        <w:rPr>
          <w:spacing w:val="-2"/>
        </w:rPr>
        <w:t xml:space="preserve"> </w:t>
      </w:r>
      <w:r>
        <w:t>that</w:t>
      </w:r>
      <w:r>
        <w:rPr>
          <w:spacing w:val="-2"/>
        </w:rPr>
        <w:t xml:space="preserve"> </w:t>
      </w:r>
      <w:r>
        <w:t>there</w:t>
      </w:r>
      <w:r>
        <w:rPr>
          <w:spacing w:val="-3"/>
        </w:rPr>
        <w:t xml:space="preserve"> </w:t>
      </w:r>
      <w:r>
        <w:t>is</w:t>
      </w:r>
      <w:r>
        <w:rPr>
          <w:spacing w:val="-3"/>
        </w:rPr>
        <w:t xml:space="preserve"> </w:t>
      </w:r>
      <w:r>
        <w:t>a</w:t>
      </w:r>
      <w:r>
        <w:rPr>
          <w:spacing w:val="-3"/>
        </w:rPr>
        <w:t xml:space="preserve"> </w:t>
      </w:r>
      <w:r>
        <w:t>partial</w:t>
      </w:r>
      <w:r>
        <w:rPr>
          <w:spacing w:val="-2"/>
        </w:rPr>
        <w:t xml:space="preserve"> </w:t>
      </w:r>
      <w:r>
        <w:t>or</w:t>
      </w:r>
      <w:r>
        <w:rPr>
          <w:spacing w:val="-2"/>
        </w:rPr>
        <w:t xml:space="preserve"> </w:t>
      </w:r>
      <w:r>
        <w:t>full</w:t>
      </w:r>
      <w:r>
        <w:rPr>
          <w:spacing w:val="-2"/>
        </w:rPr>
        <w:t xml:space="preserve"> </w:t>
      </w:r>
      <w:r>
        <w:t>return</w:t>
      </w:r>
      <w:r>
        <w:rPr>
          <w:spacing w:val="-2"/>
        </w:rPr>
        <w:t xml:space="preserve"> </w:t>
      </w:r>
      <w:r>
        <w:t>to</w:t>
      </w:r>
      <w:r>
        <w:rPr>
          <w:spacing w:val="-2"/>
        </w:rPr>
        <w:t xml:space="preserve"> </w:t>
      </w:r>
      <w:r>
        <w:t>the</w:t>
      </w:r>
      <w:r>
        <w:rPr>
          <w:spacing w:val="-2"/>
        </w:rPr>
        <w:t xml:space="preserve"> </w:t>
      </w:r>
      <w:r>
        <w:t>MA</w:t>
      </w:r>
      <w:r>
        <w:rPr>
          <w:spacing w:val="-3"/>
        </w:rPr>
        <w:t xml:space="preserve"> </w:t>
      </w:r>
      <w:r>
        <w:t>premium</w:t>
      </w:r>
      <w:r>
        <w:rPr>
          <w:spacing w:val="-2"/>
        </w:rPr>
        <w:t xml:space="preserve"> </w:t>
      </w:r>
      <w:r>
        <w:t>in</w:t>
      </w:r>
      <w:r>
        <w:rPr>
          <w:spacing w:val="-2"/>
        </w:rPr>
        <w:t xml:space="preserve"> </w:t>
      </w:r>
      <w:r>
        <w:t>initial</w:t>
      </w:r>
      <w:r>
        <w:rPr>
          <w:spacing w:val="-2"/>
        </w:rPr>
        <w:t xml:space="preserve"> </w:t>
      </w:r>
      <w:r>
        <w:t>June</w:t>
      </w:r>
      <w:r>
        <w:rPr>
          <w:spacing w:val="-2"/>
        </w:rPr>
        <w:t xml:space="preserve"> </w:t>
      </w:r>
      <w:r>
        <w:t>bid by increasing rebate allocations to MA, Part D supplemental, or Part B premiums.</w:t>
      </w:r>
    </w:p>
    <w:p>
      <w:pPr>
        <w:pStyle w:val="BodyText"/>
        <w:spacing w:before="140"/>
        <w:ind w:right="1481"/>
      </w:pPr>
      <w:r>
        <w:t>*</w:t>
      </w:r>
      <w:r>
        <w:rPr>
          <w:b/>
        </w:rPr>
        <w:t>Unacceptable</w:t>
      </w:r>
      <w:r>
        <w:rPr>
          <w:b/>
          <w:spacing w:val="-4"/>
        </w:rPr>
        <w:t xml:space="preserve"> </w:t>
      </w:r>
      <w:r>
        <w:rPr>
          <w:b/>
        </w:rPr>
        <w:t>Option</w:t>
      </w:r>
      <w:r>
        <w:t>:</w:t>
      </w:r>
      <w:r>
        <w:rPr>
          <w:spacing w:val="-3"/>
        </w:rPr>
        <w:t xml:space="preserve"> </w:t>
      </w:r>
      <w:r>
        <w:t>The</w:t>
      </w:r>
      <w:r>
        <w:rPr>
          <w:spacing w:val="-5"/>
        </w:rPr>
        <w:t xml:space="preserve"> </w:t>
      </w:r>
      <w:r>
        <w:t>MSB</w:t>
      </w:r>
      <w:r>
        <w:rPr>
          <w:spacing w:val="-3"/>
        </w:rPr>
        <w:t xml:space="preserve"> </w:t>
      </w:r>
      <w:r>
        <w:t>revenue</w:t>
      </w:r>
      <w:r>
        <w:rPr>
          <w:spacing w:val="-2"/>
        </w:rPr>
        <w:t xml:space="preserve"> </w:t>
      </w:r>
      <w:r>
        <w:t>requirement</w:t>
      </w:r>
      <w:r>
        <w:rPr>
          <w:spacing w:val="-3"/>
        </w:rPr>
        <w:t xml:space="preserve"> </w:t>
      </w:r>
      <w:r>
        <w:t>cannot</w:t>
      </w:r>
      <w:r>
        <w:rPr>
          <w:spacing w:val="-3"/>
        </w:rPr>
        <w:t xml:space="preserve"> </w:t>
      </w:r>
      <w:r>
        <w:t>increase</w:t>
      </w:r>
      <w:r>
        <w:rPr>
          <w:spacing w:val="-4"/>
        </w:rPr>
        <w:t xml:space="preserve"> </w:t>
      </w:r>
      <w:r>
        <w:t>more</w:t>
      </w:r>
      <w:r>
        <w:rPr>
          <w:spacing w:val="-4"/>
        </w:rPr>
        <w:t xml:space="preserve"> </w:t>
      </w:r>
      <w:r>
        <w:t>than</w:t>
      </w:r>
      <w:r>
        <w:rPr>
          <w:spacing w:val="-3"/>
        </w:rPr>
        <w:t xml:space="preserve"> </w:t>
      </w:r>
      <w:r>
        <w:t>the</w:t>
      </w:r>
      <w:r>
        <w:rPr>
          <w:spacing w:val="-4"/>
        </w:rPr>
        <w:t xml:space="preserve"> </w:t>
      </w:r>
      <w:r>
        <w:t>value</w:t>
      </w:r>
      <w:r>
        <w:rPr>
          <w:spacing w:val="-4"/>
        </w:rPr>
        <w:t xml:space="preserve"> </w:t>
      </w:r>
      <w:r>
        <w:t>of the rebates for allocation.</w:t>
      </w:r>
    </w:p>
    <w:p>
      <w:pPr>
        <w:pStyle w:val="BodyText"/>
        <w:spacing w:after="0"/>
        <w:sectPr>
          <w:pgSz w:w="12240" w:h="15840"/>
          <w:pgMar w:top="960" w:right="0" w:bottom="940" w:left="1080" w:header="727" w:footer="747"/>
          <w:cols w:space="720"/>
        </w:sectPr>
      </w:pPr>
    </w:p>
    <w:p>
      <w:pPr>
        <w:pStyle w:val="BodyText"/>
        <w:spacing w:before="191"/>
        <w:ind w:left="0"/>
      </w:pPr>
    </w:p>
    <w:p>
      <w:pPr>
        <w:pStyle w:val="Heading4"/>
      </w:pPr>
      <w:bookmarkStart w:id="370" w:name="Example 3: Excessive Rebates Allocated t"/>
      <w:bookmarkEnd w:id="370"/>
      <w:r>
        <w:rPr>
          <w:i/>
        </w:rPr>
        <w:t>Example</w:t>
      </w:r>
      <w:r>
        <w:rPr>
          <w:i/>
          <w:spacing w:val="-4"/>
        </w:rPr>
        <w:t xml:space="preserve"> </w:t>
      </w:r>
      <w:r>
        <w:rPr>
          <w:i/>
        </w:rPr>
        <w:t>3:</w:t>
      </w:r>
      <w:r>
        <w:rPr>
          <w:i/>
          <w:spacing w:val="-4"/>
        </w:rPr>
        <w:t xml:space="preserve"> </w:t>
      </w:r>
      <w:r>
        <w:rPr>
          <w:i/>
        </w:rPr>
        <w:t>Excessive</w:t>
      </w:r>
      <w:r>
        <w:rPr>
          <w:i/>
          <w:spacing w:val="-4"/>
        </w:rPr>
        <w:t xml:space="preserve"> </w:t>
      </w:r>
      <w:r>
        <w:rPr>
          <w:i/>
        </w:rPr>
        <w:t>Rebates</w:t>
      </w:r>
      <w:r>
        <w:rPr>
          <w:i/>
          <w:spacing w:val="-4"/>
        </w:rPr>
        <w:t xml:space="preserve"> </w:t>
      </w:r>
      <w:r>
        <w:rPr>
          <w:i/>
        </w:rPr>
        <w:t>Allocated</w:t>
      </w:r>
      <w:r>
        <w:rPr>
          <w:i/>
          <w:spacing w:val="-4"/>
        </w:rPr>
        <w:t xml:space="preserve"> </w:t>
      </w:r>
      <w:r>
        <w:rPr>
          <w:i/>
        </w:rPr>
        <w:t>to</w:t>
      </w:r>
      <w:r>
        <w:rPr>
          <w:i/>
          <w:spacing w:val="-4"/>
        </w:rPr>
        <w:t xml:space="preserve"> </w:t>
      </w:r>
      <w:r>
        <w:rPr>
          <w:i/>
        </w:rPr>
        <w:t>Part</w:t>
      </w:r>
      <w:r>
        <w:rPr>
          <w:i/>
          <w:spacing w:val="-4"/>
        </w:rPr>
        <w:t xml:space="preserve"> </w:t>
      </w:r>
      <w:r>
        <w:rPr>
          <w:i/>
        </w:rPr>
        <w:t>D</w:t>
      </w:r>
      <w:r>
        <w:rPr>
          <w:i/>
          <w:spacing w:val="-1"/>
        </w:rPr>
        <w:t xml:space="preserve"> </w:t>
      </w:r>
      <w:r>
        <w:rPr>
          <w:i/>
        </w:rPr>
        <w:t>Basic</w:t>
      </w:r>
      <w:r>
        <w:rPr>
          <w:i/>
          <w:spacing w:val="-2"/>
        </w:rPr>
        <w:t xml:space="preserve"> </w:t>
      </w:r>
      <w:r>
        <w:rPr>
          <w:i/>
        </w:rPr>
        <w:t>Premium,</w:t>
      </w:r>
      <w:r>
        <w:rPr>
          <w:i/>
          <w:spacing w:val="-3"/>
        </w:rPr>
        <w:t xml:space="preserve"> </w:t>
      </w:r>
      <w:r>
        <w:rPr>
          <w:i/>
        </w:rPr>
        <w:t>Reallocation</w:t>
      </w:r>
      <w:r>
        <w:t xml:space="preserve"> is Mandatory, and MAO cannot Achieve Target.</w:t>
      </w:r>
    </w:p>
    <w:p>
      <w:pPr>
        <w:pStyle w:val="BodyText"/>
        <w:spacing w:before="130"/>
        <w:ind w:left="0"/>
        <w:rPr>
          <w:rFonts w:ascii="Arial"/>
          <w:b/>
          <w:i/>
          <w:sz w:val="20"/>
        </w:rPr>
      </w:pPr>
    </w:p>
    <w:tbl>
      <w:tblPr>
        <w:tblStyle w:val="TableNormal"/>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1"/>
        <w:gridCol w:w="1316"/>
        <w:gridCol w:w="1352"/>
        <w:gridCol w:w="1169"/>
        <w:gridCol w:w="1352"/>
        <w:gridCol w:w="1440"/>
      </w:tblGrid>
      <w:tr>
        <w:tblPrEx>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53"/>
          <w:jc w:val="left"/>
        </w:trPr>
        <w:tc>
          <w:tcPr>
            <w:tcW w:w="3001" w:type="dxa"/>
          </w:tcPr>
          <w:p>
            <w:pPr>
              <w:pStyle w:val="TableParagraph"/>
              <w:spacing w:before="66"/>
              <w:rPr>
                <w:rFonts w:ascii="Arial"/>
                <w:b/>
                <w:i/>
                <w:sz w:val="21"/>
              </w:rPr>
            </w:pPr>
          </w:p>
          <w:p>
            <w:pPr>
              <w:pStyle w:val="TableParagraph"/>
              <w:ind w:left="11"/>
              <w:jc w:val="center"/>
              <w:rPr>
                <w:b/>
                <w:sz w:val="21"/>
              </w:rPr>
            </w:pPr>
            <w:r>
              <w:rPr>
                <w:b/>
                <w:spacing w:val="-2"/>
                <w:sz w:val="21"/>
              </w:rPr>
              <w:t>Label</w:t>
            </w:r>
          </w:p>
        </w:tc>
        <w:tc>
          <w:tcPr>
            <w:tcW w:w="1316" w:type="dxa"/>
          </w:tcPr>
          <w:p>
            <w:pPr>
              <w:pStyle w:val="TableParagraph"/>
              <w:spacing w:before="185"/>
              <w:ind w:left="498" w:right="129" w:hanging="360"/>
              <w:rPr>
                <w:b/>
                <w:sz w:val="21"/>
              </w:rPr>
            </w:pPr>
            <w:r>
              <w:rPr>
                <w:b/>
                <w:sz w:val="21"/>
              </w:rPr>
              <w:t>Initial</w:t>
            </w:r>
            <w:r>
              <w:rPr>
                <w:b/>
                <w:spacing w:val="-14"/>
                <w:sz w:val="21"/>
              </w:rPr>
              <w:t xml:space="preserve"> </w:t>
            </w:r>
            <w:r>
              <w:rPr>
                <w:b/>
                <w:sz w:val="21"/>
              </w:rPr>
              <w:t xml:space="preserve">June </w:t>
            </w:r>
            <w:r>
              <w:rPr>
                <w:b/>
                <w:spacing w:val="-4"/>
                <w:sz w:val="21"/>
              </w:rPr>
              <w:t>Bid</w:t>
            </w:r>
          </w:p>
        </w:tc>
        <w:tc>
          <w:tcPr>
            <w:tcW w:w="1352" w:type="dxa"/>
          </w:tcPr>
          <w:p>
            <w:pPr>
              <w:pStyle w:val="TableParagraph"/>
              <w:spacing w:before="65"/>
              <w:ind w:left="147" w:right="139" w:hanging="2"/>
              <w:jc w:val="center"/>
              <w:rPr>
                <w:b/>
                <w:sz w:val="21"/>
              </w:rPr>
            </w:pPr>
            <w:r>
              <w:rPr>
                <w:b/>
                <w:spacing w:val="-2"/>
                <w:sz w:val="21"/>
              </w:rPr>
              <w:t xml:space="preserve">After </w:t>
            </w:r>
            <w:r>
              <w:rPr>
                <w:b/>
                <w:sz w:val="21"/>
              </w:rPr>
              <w:t xml:space="preserve">Release of </w:t>
            </w:r>
            <w:r>
              <w:rPr>
                <w:b/>
                <w:spacing w:val="-2"/>
                <w:sz w:val="21"/>
              </w:rPr>
              <w:t>Benchmark</w:t>
            </w:r>
          </w:p>
        </w:tc>
        <w:tc>
          <w:tcPr>
            <w:tcW w:w="1169" w:type="dxa"/>
          </w:tcPr>
          <w:p>
            <w:pPr>
              <w:pStyle w:val="TableParagraph"/>
              <w:spacing w:before="66"/>
              <w:rPr>
                <w:rFonts w:ascii="Arial"/>
                <w:b/>
                <w:i/>
                <w:sz w:val="21"/>
              </w:rPr>
            </w:pPr>
          </w:p>
          <w:p>
            <w:pPr>
              <w:pStyle w:val="TableParagraph"/>
              <w:ind w:left="7" w:right="6"/>
              <w:jc w:val="center"/>
              <w:rPr>
                <w:b/>
                <w:sz w:val="21"/>
              </w:rPr>
            </w:pPr>
            <w:r>
              <w:rPr>
                <w:b/>
                <w:sz w:val="21"/>
              </w:rPr>
              <w:t>Option</w:t>
            </w:r>
            <w:r>
              <w:rPr>
                <w:b/>
                <w:spacing w:val="-5"/>
                <w:sz w:val="21"/>
              </w:rPr>
              <w:t xml:space="preserve"> 1a</w:t>
            </w:r>
          </w:p>
        </w:tc>
        <w:tc>
          <w:tcPr>
            <w:tcW w:w="1352" w:type="dxa"/>
          </w:tcPr>
          <w:p>
            <w:pPr>
              <w:pStyle w:val="TableParagraph"/>
              <w:spacing w:before="66"/>
              <w:rPr>
                <w:rFonts w:ascii="Arial"/>
                <w:b/>
                <w:i/>
                <w:sz w:val="21"/>
              </w:rPr>
            </w:pPr>
          </w:p>
          <w:p>
            <w:pPr>
              <w:pStyle w:val="TableParagraph"/>
              <w:ind w:left="23" w:right="21"/>
              <w:jc w:val="center"/>
              <w:rPr>
                <w:b/>
                <w:sz w:val="21"/>
              </w:rPr>
            </w:pPr>
            <w:r>
              <w:rPr>
                <w:b/>
                <w:sz w:val="21"/>
              </w:rPr>
              <w:t>Option</w:t>
            </w:r>
            <w:r>
              <w:rPr>
                <w:b/>
                <w:spacing w:val="-5"/>
                <w:sz w:val="21"/>
              </w:rPr>
              <w:t xml:space="preserve"> 1b</w:t>
            </w:r>
          </w:p>
        </w:tc>
        <w:tc>
          <w:tcPr>
            <w:tcW w:w="1440" w:type="dxa"/>
          </w:tcPr>
          <w:p>
            <w:pPr>
              <w:pStyle w:val="TableParagraph"/>
              <w:spacing w:before="185"/>
              <w:ind w:left="348" w:hanging="240"/>
              <w:rPr>
                <w:b/>
                <w:sz w:val="21"/>
              </w:rPr>
            </w:pPr>
            <w:r>
              <w:rPr>
                <w:b/>
                <w:spacing w:val="-2"/>
                <w:sz w:val="21"/>
              </w:rPr>
              <w:t>Unacceptable Option*</w:t>
            </w:r>
          </w:p>
        </w:tc>
      </w:tr>
      <w:tr>
        <w:tblPrEx>
          <w:tblW w:w="0" w:type="auto"/>
          <w:jc w:val="left"/>
          <w:tblInd w:w="514" w:type="dxa"/>
          <w:tblLayout w:type="fixed"/>
          <w:tblCellMar>
            <w:top w:w="0" w:type="dxa"/>
            <w:left w:w="0" w:type="dxa"/>
            <w:bottom w:w="0" w:type="dxa"/>
            <w:right w:w="0" w:type="dxa"/>
          </w:tblCellMar>
          <w:tblLook w:val="01E0"/>
        </w:tblPrEx>
        <w:trPr>
          <w:trHeight w:val="319"/>
          <w:jc w:val="left"/>
        </w:trPr>
        <w:tc>
          <w:tcPr>
            <w:tcW w:w="3001" w:type="dxa"/>
            <w:tcBorders>
              <w:bottom w:val="nil"/>
            </w:tcBorders>
          </w:tcPr>
          <w:p>
            <w:pPr>
              <w:pStyle w:val="TableParagraph"/>
              <w:spacing w:before="60" w:line="239" w:lineRule="exact"/>
              <w:ind w:left="107"/>
              <w:rPr>
                <w:b/>
                <w:sz w:val="21"/>
              </w:rPr>
            </w:pPr>
            <w:r>
              <w:rPr>
                <w:b/>
                <w:sz w:val="21"/>
              </w:rPr>
              <w:t>Rebate</w:t>
            </w:r>
            <w:r>
              <w:rPr>
                <w:b/>
                <w:spacing w:val="-5"/>
                <w:sz w:val="21"/>
              </w:rPr>
              <w:t xml:space="preserve"> </w:t>
            </w:r>
            <w:r>
              <w:rPr>
                <w:b/>
                <w:sz w:val="21"/>
              </w:rPr>
              <w:t>Dollars</w:t>
            </w:r>
            <w:r>
              <w:rPr>
                <w:b/>
                <w:spacing w:val="-6"/>
                <w:sz w:val="21"/>
              </w:rPr>
              <w:t xml:space="preserve"> </w:t>
            </w:r>
            <w:r>
              <w:rPr>
                <w:b/>
                <w:sz w:val="21"/>
              </w:rPr>
              <w:t>for</w:t>
            </w:r>
            <w:r>
              <w:rPr>
                <w:b/>
                <w:spacing w:val="-7"/>
                <w:sz w:val="21"/>
              </w:rPr>
              <w:t xml:space="preserve"> </w:t>
            </w:r>
            <w:r>
              <w:rPr>
                <w:b/>
                <w:spacing w:val="-2"/>
                <w:sz w:val="21"/>
              </w:rPr>
              <w:t>Allocation</w:t>
            </w:r>
          </w:p>
        </w:tc>
        <w:tc>
          <w:tcPr>
            <w:tcW w:w="1316" w:type="dxa"/>
            <w:tcBorders>
              <w:bottom w:val="nil"/>
            </w:tcBorders>
          </w:tcPr>
          <w:p>
            <w:pPr>
              <w:pStyle w:val="TableParagraph"/>
              <w:spacing w:before="60" w:line="239" w:lineRule="exact"/>
              <w:ind w:left="10" w:right="4"/>
              <w:jc w:val="center"/>
              <w:rPr>
                <w:sz w:val="21"/>
              </w:rPr>
            </w:pPr>
            <w:r>
              <w:rPr>
                <w:spacing w:val="-5"/>
                <w:sz w:val="21"/>
              </w:rPr>
              <w:t>N/A</w:t>
            </w:r>
          </w:p>
        </w:tc>
        <w:tc>
          <w:tcPr>
            <w:tcW w:w="1352" w:type="dxa"/>
            <w:tcBorders>
              <w:bottom w:val="nil"/>
            </w:tcBorders>
          </w:tcPr>
          <w:p>
            <w:pPr>
              <w:pStyle w:val="TableParagraph"/>
              <w:spacing w:before="60" w:line="239" w:lineRule="exact"/>
              <w:ind w:left="23" w:right="20"/>
              <w:jc w:val="center"/>
              <w:rPr>
                <w:sz w:val="21"/>
              </w:rPr>
            </w:pPr>
            <w:r>
              <w:rPr>
                <w:spacing w:val="-5"/>
                <w:sz w:val="21"/>
              </w:rPr>
              <w:t>N/A</w:t>
            </w:r>
          </w:p>
        </w:tc>
        <w:tc>
          <w:tcPr>
            <w:tcW w:w="1169" w:type="dxa"/>
            <w:tcBorders>
              <w:bottom w:val="nil"/>
            </w:tcBorders>
          </w:tcPr>
          <w:p>
            <w:pPr>
              <w:pStyle w:val="TableParagraph"/>
              <w:spacing w:before="60" w:line="239" w:lineRule="exact"/>
              <w:ind w:left="7" w:right="4"/>
              <w:jc w:val="center"/>
              <w:rPr>
                <w:sz w:val="21"/>
              </w:rPr>
            </w:pPr>
            <w:r>
              <w:rPr>
                <w:spacing w:val="-2"/>
                <w:sz w:val="21"/>
              </w:rPr>
              <w:t>$5.60</w:t>
            </w:r>
          </w:p>
        </w:tc>
        <w:tc>
          <w:tcPr>
            <w:tcW w:w="1352" w:type="dxa"/>
            <w:tcBorders>
              <w:bottom w:val="nil"/>
            </w:tcBorders>
          </w:tcPr>
          <w:p>
            <w:pPr>
              <w:pStyle w:val="TableParagraph"/>
              <w:spacing w:before="60" w:line="239" w:lineRule="exact"/>
              <w:ind w:left="23" w:right="21"/>
              <w:jc w:val="center"/>
              <w:rPr>
                <w:sz w:val="21"/>
              </w:rPr>
            </w:pPr>
            <w:r>
              <w:rPr>
                <w:spacing w:val="-2"/>
                <w:sz w:val="21"/>
              </w:rPr>
              <w:t>$5.60</w:t>
            </w:r>
          </w:p>
        </w:tc>
        <w:tc>
          <w:tcPr>
            <w:tcW w:w="1440" w:type="dxa"/>
            <w:tcBorders>
              <w:bottom w:val="nil"/>
            </w:tcBorders>
          </w:tcPr>
          <w:p>
            <w:pPr>
              <w:pStyle w:val="TableParagraph"/>
              <w:spacing w:before="60" w:line="239" w:lineRule="exact"/>
              <w:ind w:left="5" w:right="5"/>
              <w:jc w:val="center"/>
              <w:rPr>
                <w:sz w:val="21"/>
              </w:rPr>
            </w:pPr>
            <w:r>
              <w:rPr>
                <w:spacing w:val="-2"/>
                <w:sz w:val="21"/>
              </w:rPr>
              <w:t>$5.60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9"/>
              <w:ind w:left="107"/>
              <w:rPr>
                <w:b/>
                <w:sz w:val="21"/>
              </w:rPr>
            </w:pPr>
            <w:r>
              <w:rPr>
                <w:b/>
                <w:sz w:val="21"/>
              </w:rPr>
              <w:t>Change</w:t>
            </w:r>
            <w:r>
              <w:rPr>
                <w:b/>
                <w:spacing w:val="-3"/>
                <w:sz w:val="21"/>
              </w:rPr>
              <w:t xml:space="preserve"> </w:t>
            </w:r>
            <w:r>
              <w:rPr>
                <w:b/>
                <w:sz w:val="21"/>
              </w:rPr>
              <w:t>in</w:t>
            </w:r>
            <w:r>
              <w:rPr>
                <w:b/>
                <w:spacing w:val="-5"/>
                <w:sz w:val="21"/>
              </w:rPr>
              <w:t xml:space="preserve"> </w:t>
            </w:r>
            <w:r>
              <w:rPr>
                <w:b/>
                <w:sz w:val="21"/>
              </w:rPr>
              <w:t>MSB</w:t>
            </w:r>
            <w:r>
              <w:rPr>
                <w:b/>
                <w:spacing w:val="-4"/>
                <w:sz w:val="21"/>
              </w:rPr>
              <w:t xml:space="preserve"> </w:t>
            </w:r>
            <w:r>
              <w:rPr>
                <w:b/>
                <w:sz w:val="21"/>
              </w:rPr>
              <w:t>Rev</w:t>
            </w:r>
            <w:r>
              <w:rPr>
                <w:b/>
                <w:spacing w:val="-5"/>
                <w:sz w:val="21"/>
              </w:rPr>
              <w:t xml:space="preserve"> Req</w:t>
            </w:r>
          </w:p>
        </w:tc>
        <w:tc>
          <w:tcPr>
            <w:tcW w:w="1316" w:type="dxa"/>
            <w:tcBorders>
              <w:top w:val="nil"/>
              <w:bottom w:val="nil"/>
            </w:tcBorders>
          </w:tcPr>
          <w:p>
            <w:pPr>
              <w:pStyle w:val="TableParagraph"/>
              <w:spacing w:before="41"/>
              <w:ind w:left="10" w:right="4"/>
              <w:jc w:val="center"/>
              <w:rPr>
                <w:sz w:val="21"/>
              </w:rPr>
            </w:pPr>
            <w:r>
              <w:rPr>
                <w:spacing w:val="-5"/>
                <w:sz w:val="21"/>
              </w:rPr>
              <w:t>N/A</w:t>
            </w:r>
          </w:p>
        </w:tc>
        <w:tc>
          <w:tcPr>
            <w:tcW w:w="1352" w:type="dxa"/>
            <w:tcBorders>
              <w:top w:val="nil"/>
              <w:bottom w:val="nil"/>
            </w:tcBorders>
          </w:tcPr>
          <w:p>
            <w:pPr>
              <w:pStyle w:val="TableParagraph"/>
              <w:spacing w:before="41"/>
              <w:ind w:left="23" w:right="20"/>
              <w:jc w:val="center"/>
              <w:rPr>
                <w:sz w:val="21"/>
              </w:rPr>
            </w:pPr>
            <w:r>
              <w:rPr>
                <w:spacing w:val="-5"/>
                <w:sz w:val="21"/>
              </w:rPr>
              <w:t>N/A</w:t>
            </w:r>
          </w:p>
        </w:tc>
        <w:tc>
          <w:tcPr>
            <w:tcW w:w="1169" w:type="dxa"/>
            <w:tcBorders>
              <w:top w:val="nil"/>
              <w:bottom w:val="nil"/>
            </w:tcBorders>
          </w:tcPr>
          <w:p>
            <w:pPr>
              <w:pStyle w:val="TableParagraph"/>
              <w:spacing w:before="41"/>
              <w:ind w:left="7" w:right="4"/>
              <w:jc w:val="center"/>
              <w:rPr>
                <w:sz w:val="21"/>
              </w:rPr>
            </w:pPr>
            <w:r>
              <w:rPr>
                <w:spacing w:val="-2"/>
                <w:sz w:val="21"/>
              </w:rPr>
              <w:t>$0.00</w:t>
            </w:r>
          </w:p>
        </w:tc>
        <w:tc>
          <w:tcPr>
            <w:tcW w:w="1352" w:type="dxa"/>
            <w:tcBorders>
              <w:top w:val="nil"/>
              <w:bottom w:val="nil"/>
            </w:tcBorders>
          </w:tcPr>
          <w:p>
            <w:pPr>
              <w:pStyle w:val="TableParagraph"/>
              <w:spacing w:before="41"/>
              <w:ind w:left="23" w:right="21"/>
              <w:jc w:val="center"/>
              <w:rPr>
                <w:sz w:val="21"/>
              </w:rPr>
            </w:pPr>
            <w:r>
              <w:rPr>
                <w:spacing w:val="-2"/>
                <w:sz w:val="21"/>
              </w:rPr>
              <w:t>$5.60</w:t>
            </w:r>
          </w:p>
        </w:tc>
        <w:tc>
          <w:tcPr>
            <w:tcW w:w="1440" w:type="dxa"/>
            <w:tcBorders>
              <w:top w:val="nil"/>
              <w:bottom w:val="nil"/>
            </w:tcBorders>
          </w:tcPr>
          <w:p>
            <w:pPr>
              <w:pStyle w:val="TableParagraph"/>
              <w:spacing w:before="41"/>
              <w:ind w:left="5" w:right="5"/>
              <w:jc w:val="center"/>
              <w:rPr>
                <w:sz w:val="21"/>
              </w:rPr>
            </w:pPr>
            <w:r>
              <w:rPr>
                <w:spacing w:val="-2"/>
                <w:sz w:val="21"/>
              </w:rPr>
              <w:t>$6.60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59"/>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316" w:type="dxa"/>
            <w:tcBorders>
              <w:top w:val="nil"/>
              <w:bottom w:val="nil"/>
            </w:tcBorders>
          </w:tcPr>
          <w:p>
            <w:pPr>
              <w:pStyle w:val="TableParagraph"/>
              <w:spacing w:before="191" w:line="239" w:lineRule="exact"/>
              <w:ind w:left="10"/>
              <w:jc w:val="center"/>
              <w:rPr>
                <w:sz w:val="21"/>
              </w:rPr>
            </w:pPr>
            <w:r>
              <w:rPr>
                <w:spacing w:val="-2"/>
                <w:sz w:val="21"/>
              </w:rPr>
              <w:t>$109.17</w:t>
            </w:r>
          </w:p>
        </w:tc>
        <w:tc>
          <w:tcPr>
            <w:tcW w:w="1352" w:type="dxa"/>
            <w:tcBorders>
              <w:top w:val="nil"/>
              <w:bottom w:val="nil"/>
            </w:tcBorders>
          </w:tcPr>
          <w:p>
            <w:pPr>
              <w:pStyle w:val="TableParagraph"/>
              <w:spacing w:before="159"/>
              <w:ind w:left="26" w:right="20"/>
              <w:jc w:val="center"/>
              <w:rPr>
                <w:sz w:val="21"/>
              </w:rPr>
            </w:pPr>
            <w:r>
              <w:rPr>
                <w:spacing w:val="-2"/>
                <w:sz w:val="21"/>
              </w:rPr>
              <w:t>$109.17</w:t>
            </w:r>
          </w:p>
        </w:tc>
        <w:tc>
          <w:tcPr>
            <w:tcW w:w="1169" w:type="dxa"/>
            <w:tcBorders>
              <w:top w:val="nil"/>
              <w:bottom w:val="nil"/>
            </w:tcBorders>
          </w:tcPr>
          <w:p>
            <w:pPr>
              <w:pStyle w:val="TableParagraph"/>
              <w:spacing w:before="159"/>
              <w:ind w:left="7" w:right="6"/>
              <w:jc w:val="center"/>
              <w:rPr>
                <w:sz w:val="21"/>
              </w:rPr>
            </w:pPr>
            <w:r>
              <w:rPr>
                <w:spacing w:val="-2"/>
                <w:sz w:val="21"/>
              </w:rPr>
              <w:t>$109.17</w:t>
            </w:r>
          </w:p>
        </w:tc>
        <w:tc>
          <w:tcPr>
            <w:tcW w:w="1352" w:type="dxa"/>
            <w:tcBorders>
              <w:top w:val="nil"/>
              <w:bottom w:val="nil"/>
            </w:tcBorders>
          </w:tcPr>
          <w:p>
            <w:pPr>
              <w:pStyle w:val="TableParagraph"/>
              <w:spacing w:before="191" w:line="239" w:lineRule="exact"/>
              <w:ind w:left="25" w:right="20"/>
              <w:jc w:val="center"/>
              <w:rPr>
                <w:b/>
                <w:i/>
                <w:sz w:val="21"/>
              </w:rPr>
            </w:pPr>
            <w:r>
              <w:rPr>
                <w:b/>
                <w:i/>
                <w:spacing w:val="-2"/>
                <w:sz w:val="21"/>
              </w:rPr>
              <w:t>$114.77</w:t>
            </w:r>
          </w:p>
        </w:tc>
        <w:tc>
          <w:tcPr>
            <w:tcW w:w="1440" w:type="dxa"/>
            <w:tcBorders>
              <w:top w:val="nil"/>
              <w:bottom w:val="nil"/>
            </w:tcBorders>
          </w:tcPr>
          <w:p>
            <w:pPr>
              <w:pStyle w:val="TableParagraph"/>
              <w:spacing w:before="191" w:line="239" w:lineRule="exact"/>
              <w:ind w:left="5" w:right="2"/>
              <w:jc w:val="center"/>
              <w:rPr>
                <w:b/>
                <w:i/>
                <w:sz w:val="21"/>
              </w:rPr>
            </w:pPr>
            <w:r>
              <w:rPr>
                <w:b/>
                <w:i/>
                <w:spacing w:val="-2"/>
                <w:sz w:val="21"/>
              </w:rPr>
              <w:t>$115.77</w:t>
            </w:r>
          </w:p>
        </w:tc>
      </w:tr>
      <w:tr>
        <w:tblPrEx>
          <w:tblW w:w="0" w:type="auto"/>
          <w:jc w:val="left"/>
          <w:tblInd w:w="514" w:type="dxa"/>
          <w:tblLayout w:type="fixed"/>
          <w:tblCellMar>
            <w:top w:w="0" w:type="dxa"/>
            <w:left w:w="0" w:type="dxa"/>
            <w:bottom w:w="0" w:type="dxa"/>
            <w:right w:w="0" w:type="dxa"/>
          </w:tblCellMar>
          <w:tblLook w:val="01E0"/>
        </w:tblPrEx>
        <w:trPr>
          <w:trHeight w:val="315"/>
          <w:jc w:val="left"/>
        </w:trPr>
        <w:tc>
          <w:tcPr>
            <w:tcW w:w="3001" w:type="dxa"/>
            <w:tcBorders>
              <w:top w:val="nil"/>
              <w:bottom w:val="nil"/>
            </w:tcBorders>
          </w:tcPr>
          <w:p>
            <w:pPr>
              <w:pStyle w:val="TableParagraph"/>
              <w:spacing w:before="41"/>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316" w:type="dxa"/>
            <w:tcBorders>
              <w:top w:val="nil"/>
              <w:bottom w:val="nil"/>
            </w:tcBorders>
          </w:tcPr>
          <w:p>
            <w:pPr>
              <w:pStyle w:val="TableParagraph"/>
              <w:spacing w:before="41"/>
              <w:ind w:left="10" w:right="3"/>
              <w:jc w:val="center"/>
              <w:rPr>
                <w:sz w:val="21"/>
              </w:rPr>
            </w:pPr>
            <w:r>
              <w:rPr>
                <w:spacing w:val="-2"/>
                <w:sz w:val="21"/>
              </w:rPr>
              <w:t>$94.17</w:t>
            </w:r>
          </w:p>
        </w:tc>
        <w:tc>
          <w:tcPr>
            <w:tcW w:w="1352" w:type="dxa"/>
            <w:tcBorders>
              <w:top w:val="nil"/>
              <w:bottom w:val="nil"/>
            </w:tcBorders>
          </w:tcPr>
          <w:p>
            <w:pPr>
              <w:pStyle w:val="TableParagraph"/>
              <w:spacing w:before="9"/>
              <w:ind w:left="23" w:right="20"/>
              <w:jc w:val="center"/>
              <w:rPr>
                <w:sz w:val="21"/>
              </w:rPr>
            </w:pPr>
            <w:r>
              <w:rPr>
                <w:spacing w:val="-2"/>
                <w:sz w:val="21"/>
              </w:rPr>
              <w:t>$94.17</w:t>
            </w:r>
          </w:p>
        </w:tc>
        <w:tc>
          <w:tcPr>
            <w:tcW w:w="1169" w:type="dxa"/>
            <w:tcBorders>
              <w:top w:val="nil"/>
              <w:bottom w:val="nil"/>
            </w:tcBorders>
          </w:tcPr>
          <w:p>
            <w:pPr>
              <w:pStyle w:val="TableParagraph"/>
              <w:spacing w:before="41"/>
              <w:ind w:left="7" w:right="4"/>
              <w:jc w:val="center"/>
              <w:rPr>
                <w:b/>
                <w:i/>
                <w:sz w:val="21"/>
              </w:rPr>
            </w:pPr>
            <w:r>
              <w:rPr>
                <w:b/>
                <w:i/>
                <w:spacing w:val="-2"/>
                <w:sz w:val="21"/>
              </w:rPr>
              <w:t>$99.77</w:t>
            </w:r>
          </w:p>
        </w:tc>
        <w:tc>
          <w:tcPr>
            <w:tcW w:w="1352" w:type="dxa"/>
            <w:tcBorders>
              <w:top w:val="nil"/>
              <w:bottom w:val="nil"/>
            </w:tcBorders>
          </w:tcPr>
          <w:p>
            <w:pPr>
              <w:pStyle w:val="TableParagraph"/>
              <w:spacing w:before="41"/>
              <w:ind w:left="23" w:right="21"/>
              <w:jc w:val="center"/>
              <w:rPr>
                <w:b/>
                <w:i/>
                <w:sz w:val="21"/>
              </w:rPr>
            </w:pPr>
            <w:r>
              <w:rPr>
                <w:b/>
                <w:i/>
                <w:spacing w:val="-2"/>
                <w:sz w:val="21"/>
              </w:rPr>
              <w:t>$99.77</w:t>
            </w:r>
          </w:p>
        </w:tc>
        <w:tc>
          <w:tcPr>
            <w:tcW w:w="1440" w:type="dxa"/>
            <w:tcBorders>
              <w:top w:val="nil"/>
              <w:bottom w:val="nil"/>
            </w:tcBorders>
          </w:tcPr>
          <w:p>
            <w:pPr>
              <w:pStyle w:val="TableParagraph"/>
              <w:spacing w:before="41"/>
              <w:ind w:left="5" w:right="2"/>
              <w:jc w:val="center"/>
              <w:rPr>
                <w:b/>
                <w:i/>
                <w:sz w:val="21"/>
              </w:rPr>
            </w:pPr>
            <w:r>
              <w:rPr>
                <w:b/>
                <w:i/>
                <w:spacing w:val="-2"/>
                <w:sz w:val="21"/>
              </w:rPr>
              <w:t>$100.77</w:t>
            </w:r>
          </w:p>
        </w:tc>
      </w:tr>
      <w:tr>
        <w:tblPrEx>
          <w:tblW w:w="0" w:type="auto"/>
          <w:jc w:val="left"/>
          <w:tblInd w:w="514" w:type="dxa"/>
          <w:tblLayout w:type="fixed"/>
          <w:tblCellMar>
            <w:top w:w="0" w:type="dxa"/>
            <w:left w:w="0" w:type="dxa"/>
            <w:bottom w:w="0" w:type="dxa"/>
            <w:right w:w="0" w:type="dxa"/>
          </w:tblCellMar>
          <w:tblLook w:val="01E0"/>
        </w:tblPrEx>
        <w:trPr>
          <w:trHeight w:val="434"/>
          <w:jc w:val="left"/>
        </w:trPr>
        <w:tc>
          <w:tcPr>
            <w:tcW w:w="3001" w:type="dxa"/>
            <w:tcBorders>
              <w:top w:val="nil"/>
              <w:bottom w:val="nil"/>
            </w:tcBorders>
          </w:tcPr>
          <w:p>
            <w:pPr>
              <w:pStyle w:val="TableParagraph"/>
              <w:spacing w:before="25"/>
              <w:ind w:left="107"/>
              <w:rPr>
                <w:b/>
                <w:sz w:val="21"/>
              </w:rPr>
            </w:pPr>
            <w:r>
              <w:rPr>
                <w:b/>
                <w:sz w:val="21"/>
              </w:rPr>
              <w:t>MA</w:t>
            </w:r>
            <w:r>
              <w:rPr>
                <w:b/>
                <w:spacing w:val="-5"/>
                <w:sz w:val="21"/>
              </w:rPr>
              <w:t xml:space="preserve"> </w:t>
            </w:r>
            <w:r>
              <w:rPr>
                <w:b/>
                <w:spacing w:val="-2"/>
                <w:sz w:val="21"/>
              </w:rPr>
              <w:t>Premium</w:t>
            </w:r>
          </w:p>
        </w:tc>
        <w:tc>
          <w:tcPr>
            <w:tcW w:w="1316" w:type="dxa"/>
            <w:tcBorders>
              <w:top w:val="nil"/>
              <w:bottom w:val="nil"/>
            </w:tcBorders>
          </w:tcPr>
          <w:p>
            <w:pPr>
              <w:pStyle w:val="TableParagraph"/>
              <w:spacing w:before="25"/>
              <w:ind w:left="10" w:right="3"/>
              <w:jc w:val="center"/>
              <w:rPr>
                <w:sz w:val="21"/>
              </w:rPr>
            </w:pPr>
            <w:r>
              <w:rPr>
                <w:spacing w:val="-2"/>
                <w:sz w:val="21"/>
              </w:rPr>
              <w:t>$15.00</w:t>
            </w:r>
          </w:p>
        </w:tc>
        <w:tc>
          <w:tcPr>
            <w:tcW w:w="1352" w:type="dxa"/>
            <w:tcBorders>
              <w:top w:val="nil"/>
              <w:bottom w:val="nil"/>
            </w:tcBorders>
          </w:tcPr>
          <w:p>
            <w:pPr>
              <w:pStyle w:val="TableParagraph"/>
              <w:spacing w:before="25"/>
              <w:ind w:left="23" w:right="20"/>
              <w:jc w:val="center"/>
              <w:rPr>
                <w:sz w:val="21"/>
              </w:rPr>
            </w:pPr>
            <w:r>
              <w:rPr>
                <w:spacing w:val="-2"/>
                <w:sz w:val="21"/>
              </w:rPr>
              <w:t>$15.00</w:t>
            </w:r>
          </w:p>
        </w:tc>
        <w:tc>
          <w:tcPr>
            <w:tcW w:w="1169" w:type="dxa"/>
            <w:tcBorders>
              <w:top w:val="nil"/>
              <w:bottom w:val="nil"/>
            </w:tcBorders>
          </w:tcPr>
          <w:p>
            <w:pPr>
              <w:pStyle w:val="TableParagraph"/>
              <w:spacing w:before="25"/>
              <w:ind w:left="7" w:right="4"/>
              <w:jc w:val="center"/>
              <w:rPr>
                <w:sz w:val="21"/>
              </w:rPr>
            </w:pPr>
            <w:r>
              <w:rPr>
                <w:spacing w:val="-2"/>
                <w:sz w:val="21"/>
              </w:rPr>
              <w:t>$9.40</w:t>
            </w:r>
          </w:p>
        </w:tc>
        <w:tc>
          <w:tcPr>
            <w:tcW w:w="1352" w:type="dxa"/>
            <w:tcBorders>
              <w:top w:val="nil"/>
              <w:bottom w:val="nil"/>
            </w:tcBorders>
          </w:tcPr>
          <w:p>
            <w:pPr>
              <w:pStyle w:val="TableParagraph"/>
              <w:spacing w:before="25"/>
              <w:ind w:left="23" w:right="21"/>
              <w:jc w:val="center"/>
              <w:rPr>
                <w:sz w:val="21"/>
              </w:rPr>
            </w:pPr>
            <w:r>
              <w:rPr>
                <w:spacing w:val="-2"/>
                <w:sz w:val="21"/>
              </w:rPr>
              <w:t>$15.00</w:t>
            </w:r>
          </w:p>
        </w:tc>
        <w:tc>
          <w:tcPr>
            <w:tcW w:w="1440" w:type="dxa"/>
            <w:tcBorders>
              <w:top w:val="nil"/>
              <w:bottom w:val="nil"/>
            </w:tcBorders>
          </w:tcPr>
          <w:p>
            <w:pPr>
              <w:pStyle w:val="TableParagraph"/>
              <w:spacing w:before="25"/>
              <w:ind w:left="5" w:right="5"/>
              <w:jc w:val="center"/>
              <w:rPr>
                <w:sz w:val="21"/>
              </w:rPr>
            </w:pPr>
            <w:r>
              <w:rPr>
                <w:spacing w:val="-2"/>
                <w:sz w:val="21"/>
              </w:rPr>
              <w:t>$15.00</w:t>
            </w:r>
          </w:p>
        </w:tc>
      </w:tr>
      <w:tr>
        <w:tblPrEx>
          <w:tblW w:w="0" w:type="auto"/>
          <w:jc w:val="left"/>
          <w:tblInd w:w="514" w:type="dxa"/>
          <w:tblLayout w:type="fixed"/>
          <w:tblCellMar>
            <w:top w:w="0" w:type="dxa"/>
            <w:left w:w="0" w:type="dxa"/>
            <w:bottom w:w="0" w:type="dxa"/>
            <w:right w:w="0" w:type="dxa"/>
          </w:tblCellMar>
          <w:tblLook w:val="01E0"/>
        </w:tblPrEx>
        <w:trPr>
          <w:trHeight w:val="465"/>
          <w:jc w:val="left"/>
        </w:trPr>
        <w:tc>
          <w:tcPr>
            <w:tcW w:w="3001" w:type="dxa"/>
            <w:tcBorders>
              <w:top w:val="nil"/>
              <w:bottom w:val="nil"/>
            </w:tcBorders>
          </w:tcPr>
          <w:p>
            <w:pPr>
              <w:pStyle w:val="TableParagraph"/>
              <w:spacing w:before="191"/>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5"/>
                <w:sz w:val="21"/>
              </w:rPr>
              <w:t xml:space="preserve"> </w:t>
            </w:r>
            <w:r>
              <w:rPr>
                <w:spacing w:val="-2"/>
                <w:sz w:val="21"/>
              </w:rPr>
              <w:t>Rebate</w:t>
            </w:r>
          </w:p>
        </w:tc>
        <w:tc>
          <w:tcPr>
            <w:tcW w:w="1316" w:type="dxa"/>
            <w:tcBorders>
              <w:top w:val="nil"/>
              <w:bottom w:val="nil"/>
            </w:tcBorders>
          </w:tcPr>
          <w:p>
            <w:pPr>
              <w:pStyle w:val="TableParagraph"/>
              <w:spacing w:before="191"/>
              <w:ind w:left="10" w:right="3"/>
              <w:jc w:val="center"/>
              <w:rPr>
                <w:sz w:val="21"/>
              </w:rPr>
            </w:pPr>
            <w:r>
              <w:rPr>
                <w:spacing w:val="-2"/>
                <w:sz w:val="21"/>
              </w:rPr>
              <w:t>$1.90</w:t>
            </w:r>
          </w:p>
        </w:tc>
        <w:tc>
          <w:tcPr>
            <w:tcW w:w="1352" w:type="dxa"/>
            <w:tcBorders>
              <w:top w:val="nil"/>
              <w:bottom w:val="nil"/>
            </w:tcBorders>
          </w:tcPr>
          <w:p>
            <w:pPr>
              <w:pStyle w:val="TableParagraph"/>
              <w:spacing w:before="159"/>
              <w:ind w:left="26" w:right="20"/>
              <w:jc w:val="center"/>
              <w:rPr>
                <w:sz w:val="21"/>
              </w:rPr>
            </w:pPr>
            <w:r>
              <w:rPr>
                <w:spacing w:val="-2"/>
                <w:sz w:val="21"/>
              </w:rPr>
              <w:t>−$3.70</w:t>
            </w:r>
          </w:p>
        </w:tc>
        <w:tc>
          <w:tcPr>
            <w:tcW w:w="1169" w:type="dxa"/>
            <w:tcBorders>
              <w:top w:val="nil"/>
              <w:bottom w:val="nil"/>
            </w:tcBorders>
          </w:tcPr>
          <w:p>
            <w:pPr>
              <w:pStyle w:val="TableParagraph"/>
              <w:spacing w:before="159"/>
              <w:ind w:left="7" w:right="6"/>
              <w:jc w:val="center"/>
              <w:rPr>
                <w:sz w:val="21"/>
              </w:rPr>
            </w:pPr>
            <w:r>
              <w:rPr>
                <w:spacing w:val="-2"/>
                <w:sz w:val="21"/>
              </w:rPr>
              <w:t>−$3.70</w:t>
            </w:r>
          </w:p>
        </w:tc>
        <w:tc>
          <w:tcPr>
            <w:tcW w:w="1352" w:type="dxa"/>
            <w:tcBorders>
              <w:top w:val="nil"/>
              <w:bottom w:val="nil"/>
            </w:tcBorders>
          </w:tcPr>
          <w:p>
            <w:pPr>
              <w:pStyle w:val="TableParagraph"/>
              <w:spacing w:before="159"/>
              <w:ind w:left="25" w:right="20"/>
              <w:jc w:val="center"/>
              <w:rPr>
                <w:sz w:val="21"/>
              </w:rPr>
            </w:pPr>
            <w:r>
              <w:rPr>
                <w:spacing w:val="-2"/>
                <w:sz w:val="21"/>
              </w:rPr>
              <w:t>−$3.70</w:t>
            </w:r>
          </w:p>
        </w:tc>
        <w:tc>
          <w:tcPr>
            <w:tcW w:w="1440" w:type="dxa"/>
            <w:tcBorders>
              <w:top w:val="nil"/>
              <w:bottom w:val="nil"/>
            </w:tcBorders>
          </w:tcPr>
          <w:p>
            <w:pPr>
              <w:pStyle w:val="TableParagraph"/>
              <w:spacing w:before="159"/>
              <w:ind w:left="5" w:right="2"/>
              <w:jc w:val="center"/>
              <w:rPr>
                <w:sz w:val="21"/>
              </w:rPr>
            </w:pPr>
            <w:r>
              <w:rPr>
                <w:spacing w:val="-2"/>
                <w:sz w:val="21"/>
              </w:rPr>
              <w:t>−$3.70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5"/>
                <w:sz w:val="21"/>
              </w:rPr>
              <w:t xml:space="preserve"> </w:t>
            </w:r>
            <w:r>
              <w:rPr>
                <w:spacing w:val="-2"/>
                <w:sz w:val="21"/>
              </w:rPr>
              <w:t>Allocations</w:t>
            </w:r>
          </w:p>
        </w:tc>
        <w:tc>
          <w:tcPr>
            <w:tcW w:w="1316" w:type="dxa"/>
            <w:tcBorders>
              <w:top w:val="nil"/>
              <w:bottom w:val="nil"/>
            </w:tcBorders>
          </w:tcPr>
          <w:p>
            <w:pPr>
              <w:pStyle w:val="TableParagraph"/>
              <w:spacing w:before="25"/>
              <w:ind w:left="10" w:right="3"/>
              <w:jc w:val="center"/>
              <w:rPr>
                <w:sz w:val="21"/>
              </w:rPr>
            </w:pPr>
            <w:r>
              <w:rPr>
                <w:spacing w:val="-2"/>
                <w:sz w:val="21"/>
              </w:rPr>
              <w:t>$1.90</w:t>
            </w:r>
          </w:p>
        </w:tc>
        <w:tc>
          <w:tcPr>
            <w:tcW w:w="1352" w:type="dxa"/>
            <w:tcBorders>
              <w:top w:val="nil"/>
              <w:bottom w:val="nil"/>
            </w:tcBorders>
          </w:tcPr>
          <w:p>
            <w:pPr>
              <w:pStyle w:val="TableParagraph"/>
              <w:spacing w:before="25"/>
              <w:ind w:left="23" w:right="20"/>
              <w:jc w:val="center"/>
              <w:rPr>
                <w:sz w:val="21"/>
              </w:rPr>
            </w:pPr>
            <w:r>
              <w:rPr>
                <w:spacing w:val="-2"/>
                <w:sz w:val="21"/>
              </w:rPr>
              <w:t>$1.90</w:t>
            </w:r>
          </w:p>
        </w:tc>
        <w:tc>
          <w:tcPr>
            <w:tcW w:w="1169" w:type="dxa"/>
            <w:tcBorders>
              <w:top w:val="nil"/>
              <w:bottom w:val="nil"/>
            </w:tcBorders>
          </w:tcPr>
          <w:p>
            <w:pPr>
              <w:pStyle w:val="TableParagraph"/>
              <w:spacing w:before="25"/>
              <w:ind w:left="7" w:right="4"/>
              <w:jc w:val="center"/>
              <w:rPr>
                <w:b/>
                <w:i/>
                <w:sz w:val="21"/>
              </w:rPr>
            </w:pPr>
            <w:r>
              <w:rPr>
                <w:b/>
                <w:i/>
                <w:spacing w:val="-2"/>
                <w:sz w:val="21"/>
              </w:rPr>
              <w:t>$0.00</w:t>
            </w:r>
          </w:p>
        </w:tc>
        <w:tc>
          <w:tcPr>
            <w:tcW w:w="1352" w:type="dxa"/>
            <w:tcBorders>
              <w:top w:val="nil"/>
              <w:bottom w:val="nil"/>
            </w:tcBorders>
          </w:tcPr>
          <w:p>
            <w:pPr>
              <w:pStyle w:val="TableParagraph"/>
              <w:spacing w:before="25"/>
              <w:ind w:left="23" w:right="21"/>
              <w:jc w:val="center"/>
              <w:rPr>
                <w:b/>
                <w:i/>
                <w:sz w:val="21"/>
              </w:rPr>
            </w:pPr>
            <w:r>
              <w:rPr>
                <w:b/>
                <w:i/>
                <w:spacing w:val="-2"/>
                <w:sz w:val="21"/>
              </w:rPr>
              <w:t>$0.00</w:t>
            </w:r>
          </w:p>
        </w:tc>
        <w:tc>
          <w:tcPr>
            <w:tcW w:w="1440" w:type="dxa"/>
            <w:tcBorders>
              <w:top w:val="nil"/>
              <w:bottom w:val="nil"/>
            </w:tcBorders>
          </w:tcPr>
          <w:p>
            <w:pPr>
              <w:pStyle w:val="TableParagraph"/>
              <w:spacing w:before="25"/>
              <w:ind w:left="5" w:right="5"/>
              <w:jc w:val="center"/>
              <w:rPr>
                <w:b/>
                <w:i/>
                <w:sz w:val="21"/>
              </w:rPr>
            </w:pPr>
            <w:r>
              <w:rPr>
                <w:b/>
                <w:i/>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316" w:type="dxa"/>
            <w:tcBorders>
              <w:top w:val="nil"/>
              <w:bottom w:val="nil"/>
            </w:tcBorders>
          </w:tcPr>
          <w:p>
            <w:pPr>
              <w:pStyle w:val="TableParagraph"/>
              <w:spacing w:before="25"/>
              <w:ind w:left="10" w:right="3"/>
              <w:jc w:val="center"/>
              <w:rPr>
                <w:sz w:val="21"/>
              </w:rPr>
            </w:pPr>
            <w:r>
              <w:rPr>
                <w:spacing w:val="-2"/>
                <w:sz w:val="21"/>
              </w:rPr>
              <w:t>$0.00</w:t>
            </w:r>
          </w:p>
        </w:tc>
        <w:tc>
          <w:tcPr>
            <w:tcW w:w="1352" w:type="dxa"/>
            <w:tcBorders>
              <w:top w:val="nil"/>
              <w:bottom w:val="nil"/>
            </w:tcBorders>
          </w:tcPr>
          <w:p>
            <w:pPr>
              <w:pStyle w:val="TableParagraph"/>
              <w:spacing w:before="25"/>
              <w:ind w:left="26" w:right="20"/>
              <w:jc w:val="center"/>
              <w:rPr>
                <w:sz w:val="21"/>
              </w:rPr>
            </w:pPr>
            <w:r>
              <w:rPr>
                <w:spacing w:val="-2"/>
                <w:sz w:val="21"/>
              </w:rPr>
              <w:t>−$5.60</w:t>
            </w:r>
          </w:p>
        </w:tc>
        <w:tc>
          <w:tcPr>
            <w:tcW w:w="1169" w:type="dxa"/>
            <w:tcBorders>
              <w:top w:val="nil"/>
              <w:bottom w:val="nil"/>
            </w:tcBorders>
          </w:tcPr>
          <w:p>
            <w:pPr>
              <w:pStyle w:val="TableParagraph"/>
              <w:spacing w:before="25"/>
              <w:ind w:left="7" w:right="6"/>
              <w:jc w:val="center"/>
              <w:rPr>
                <w:sz w:val="21"/>
              </w:rPr>
            </w:pPr>
            <w:r>
              <w:rPr>
                <w:spacing w:val="-2"/>
                <w:sz w:val="21"/>
              </w:rPr>
              <w:t>−$3.70</w:t>
            </w:r>
          </w:p>
        </w:tc>
        <w:tc>
          <w:tcPr>
            <w:tcW w:w="1352" w:type="dxa"/>
            <w:tcBorders>
              <w:top w:val="nil"/>
              <w:bottom w:val="nil"/>
            </w:tcBorders>
          </w:tcPr>
          <w:p>
            <w:pPr>
              <w:pStyle w:val="TableParagraph"/>
              <w:spacing w:before="25"/>
              <w:ind w:left="25" w:right="20"/>
              <w:jc w:val="center"/>
              <w:rPr>
                <w:sz w:val="21"/>
              </w:rPr>
            </w:pPr>
            <w:r>
              <w:rPr>
                <w:spacing w:val="-2"/>
                <w:sz w:val="21"/>
              </w:rPr>
              <w:t>−$3.70</w:t>
            </w:r>
          </w:p>
        </w:tc>
        <w:tc>
          <w:tcPr>
            <w:tcW w:w="1440" w:type="dxa"/>
            <w:tcBorders>
              <w:top w:val="nil"/>
              <w:bottom w:val="nil"/>
            </w:tcBorders>
          </w:tcPr>
          <w:p>
            <w:pPr>
              <w:pStyle w:val="TableParagraph"/>
              <w:spacing w:before="25"/>
              <w:ind w:left="5" w:right="2"/>
              <w:jc w:val="center"/>
              <w:rPr>
                <w:sz w:val="21"/>
              </w:rPr>
            </w:pPr>
            <w:r>
              <w:rPr>
                <w:spacing w:val="-2"/>
                <w:sz w:val="21"/>
              </w:rPr>
              <w:t>−$3.70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316" w:type="dxa"/>
            <w:tcBorders>
              <w:top w:val="nil"/>
              <w:bottom w:val="nil"/>
            </w:tcBorders>
          </w:tcPr>
          <w:p>
            <w:pPr>
              <w:pStyle w:val="TableParagraph"/>
              <w:spacing w:before="175"/>
              <w:ind w:left="10" w:right="3"/>
              <w:jc w:val="center"/>
              <w:rPr>
                <w:sz w:val="21"/>
              </w:rPr>
            </w:pPr>
            <w:r>
              <w:rPr>
                <w:spacing w:val="-2"/>
                <w:sz w:val="21"/>
              </w:rPr>
              <w:t>$19.30</w:t>
            </w:r>
          </w:p>
        </w:tc>
        <w:tc>
          <w:tcPr>
            <w:tcW w:w="1352" w:type="dxa"/>
            <w:tcBorders>
              <w:top w:val="nil"/>
              <w:bottom w:val="nil"/>
            </w:tcBorders>
          </w:tcPr>
          <w:p>
            <w:pPr>
              <w:pStyle w:val="TableParagraph"/>
              <w:spacing w:before="175"/>
              <w:ind w:left="23" w:right="20"/>
              <w:jc w:val="center"/>
              <w:rPr>
                <w:sz w:val="21"/>
              </w:rPr>
            </w:pPr>
            <w:r>
              <w:rPr>
                <w:spacing w:val="-2"/>
                <w:sz w:val="21"/>
              </w:rPr>
              <w:t>$19.30</w:t>
            </w:r>
          </w:p>
        </w:tc>
        <w:tc>
          <w:tcPr>
            <w:tcW w:w="1169" w:type="dxa"/>
            <w:tcBorders>
              <w:top w:val="nil"/>
              <w:bottom w:val="nil"/>
            </w:tcBorders>
          </w:tcPr>
          <w:p>
            <w:pPr>
              <w:pStyle w:val="TableParagraph"/>
              <w:spacing w:before="175"/>
              <w:ind w:left="7" w:right="4"/>
              <w:jc w:val="center"/>
              <w:rPr>
                <w:sz w:val="21"/>
              </w:rPr>
            </w:pPr>
            <w:r>
              <w:rPr>
                <w:spacing w:val="-2"/>
                <w:sz w:val="21"/>
              </w:rPr>
              <w:t>$19.30</w:t>
            </w:r>
          </w:p>
        </w:tc>
        <w:tc>
          <w:tcPr>
            <w:tcW w:w="1352" w:type="dxa"/>
            <w:tcBorders>
              <w:top w:val="nil"/>
              <w:bottom w:val="nil"/>
            </w:tcBorders>
          </w:tcPr>
          <w:p>
            <w:pPr>
              <w:pStyle w:val="TableParagraph"/>
              <w:spacing w:before="175"/>
              <w:ind w:left="23" w:right="21"/>
              <w:jc w:val="center"/>
              <w:rPr>
                <w:sz w:val="21"/>
              </w:rPr>
            </w:pPr>
            <w:r>
              <w:rPr>
                <w:spacing w:val="-2"/>
                <w:sz w:val="21"/>
              </w:rPr>
              <w:t>$19.30</w:t>
            </w:r>
          </w:p>
        </w:tc>
        <w:tc>
          <w:tcPr>
            <w:tcW w:w="1440" w:type="dxa"/>
            <w:tcBorders>
              <w:top w:val="nil"/>
              <w:bottom w:val="nil"/>
            </w:tcBorders>
          </w:tcPr>
          <w:p>
            <w:pPr>
              <w:pStyle w:val="TableParagraph"/>
              <w:spacing w:before="175"/>
              <w:ind w:left="5" w:right="5"/>
              <w:jc w:val="center"/>
              <w:rPr>
                <w:sz w:val="21"/>
              </w:rPr>
            </w:pPr>
            <w:r>
              <w:rPr>
                <w:spacing w:val="-2"/>
                <w:sz w:val="21"/>
              </w:rPr>
              <w:t>$19.30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316" w:type="dxa"/>
            <w:tcBorders>
              <w:top w:val="nil"/>
              <w:bottom w:val="nil"/>
            </w:tcBorders>
          </w:tcPr>
          <w:p>
            <w:pPr>
              <w:pStyle w:val="TableParagraph"/>
              <w:spacing w:before="25"/>
              <w:ind w:left="10" w:right="3"/>
              <w:jc w:val="center"/>
              <w:rPr>
                <w:sz w:val="21"/>
              </w:rPr>
            </w:pPr>
            <w:r>
              <w:rPr>
                <w:spacing w:val="-2"/>
                <w:sz w:val="21"/>
              </w:rPr>
              <w:t>$19.30</w:t>
            </w:r>
          </w:p>
        </w:tc>
        <w:tc>
          <w:tcPr>
            <w:tcW w:w="1352" w:type="dxa"/>
            <w:tcBorders>
              <w:top w:val="nil"/>
              <w:bottom w:val="nil"/>
            </w:tcBorders>
          </w:tcPr>
          <w:p>
            <w:pPr>
              <w:pStyle w:val="TableParagraph"/>
              <w:spacing w:before="25"/>
              <w:ind w:left="23" w:right="20"/>
              <w:jc w:val="center"/>
              <w:rPr>
                <w:sz w:val="21"/>
              </w:rPr>
            </w:pPr>
            <w:r>
              <w:rPr>
                <w:spacing w:val="-2"/>
                <w:sz w:val="21"/>
              </w:rPr>
              <w:t>$19.30</w:t>
            </w:r>
          </w:p>
        </w:tc>
        <w:tc>
          <w:tcPr>
            <w:tcW w:w="1169" w:type="dxa"/>
            <w:tcBorders>
              <w:top w:val="nil"/>
              <w:bottom w:val="nil"/>
            </w:tcBorders>
          </w:tcPr>
          <w:p>
            <w:pPr>
              <w:pStyle w:val="TableParagraph"/>
              <w:spacing w:before="25"/>
              <w:ind w:left="7" w:right="4"/>
              <w:jc w:val="center"/>
              <w:rPr>
                <w:b/>
                <w:i/>
                <w:sz w:val="21"/>
              </w:rPr>
            </w:pPr>
            <w:r>
              <w:rPr>
                <w:b/>
                <w:i/>
                <w:spacing w:val="-2"/>
                <w:sz w:val="21"/>
              </w:rPr>
              <w:t>$15.60</w:t>
            </w:r>
          </w:p>
        </w:tc>
        <w:tc>
          <w:tcPr>
            <w:tcW w:w="1352" w:type="dxa"/>
            <w:tcBorders>
              <w:top w:val="nil"/>
              <w:bottom w:val="nil"/>
            </w:tcBorders>
          </w:tcPr>
          <w:p>
            <w:pPr>
              <w:pStyle w:val="TableParagraph"/>
              <w:spacing w:before="25"/>
              <w:ind w:left="23" w:right="21"/>
              <w:jc w:val="center"/>
              <w:rPr>
                <w:b/>
                <w:i/>
                <w:sz w:val="21"/>
              </w:rPr>
            </w:pPr>
            <w:r>
              <w:rPr>
                <w:b/>
                <w:i/>
                <w:spacing w:val="-2"/>
                <w:sz w:val="21"/>
              </w:rPr>
              <w:t>$15.60</w:t>
            </w:r>
          </w:p>
        </w:tc>
        <w:tc>
          <w:tcPr>
            <w:tcW w:w="1440" w:type="dxa"/>
            <w:tcBorders>
              <w:top w:val="nil"/>
              <w:bottom w:val="nil"/>
            </w:tcBorders>
          </w:tcPr>
          <w:p>
            <w:pPr>
              <w:pStyle w:val="TableParagraph"/>
              <w:spacing w:before="25"/>
              <w:ind w:left="5" w:right="5"/>
              <w:jc w:val="center"/>
              <w:rPr>
                <w:b/>
                <w:i/>
                <w:sz w:val="21"/>
              </w:rPr>
            </w:pPr>
            <w:r>
              <w:rPr>
                <w:b/>
                <w:i/>
                <w:spacing w:val="-2"/>
                <w:sz w:val="21"/>
              </w:rPr>
              <w:t>$15.60</w:t>
            </w:r>
          </w:p>
        </w:tc>
      </w:tr>
      <w:tr>
        <w:tblPrEx>
          <w:tblW w:w="0" w:type="auto"/>
          <w:jc w:val="left"/>
          <w:tblInd w:w="514" w:type="dxa"/>
          <w:tblLayout w:type="fixed"/>
          <w:tblCellMar>
            <w:top w:w="0" w:type="dxa"/>
            <w:left w:w="0" w:type="dxa"/>
            <w:bottom w:w="0" w:type="dxa"/>
            <w:right w:w="0" w:type="dxa"/>
          </w:tblCellMar>
          <w:tblLook w:val="01E0"/>
        </w:tblPrEx>
        <w:trPr>
          <w:trHeight w:val="566"/>
          <w:jc w:val="left"/>
        </w:trPr>
        <w:tc>
          <w:tcPr>
            <w:tcW w:w="3001"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316" w:type="dxa"/>
            <w:tcBorders>
              <w:top w:val="nil"/>
            </w:tcBorders>
          </w:tcPr>
          <w:p>
            <w:pPr>
              <w:pStyle w:val="TableParagraph"/>
              <w:spacing w:before="25"/>
              <w:ind w:left="10" w:right="3"/>
              <w:jc w:val="center"/>
              <w:rPr>
                <w:sz w:val="21"/>
              </w:rPr>
            </w:pPr>
            <w:r>
              <w:rPr>
                <w:spacing w:val="-2"/>
                <w:sz w:val="21"/>
              </w:rPr>
              <w:t>$0.00</w:t>
            </w:r>
          </w:p>
        </w:tc>
        <w:tc>
          <w:tcPr>
            <w:tcW w:w="1352" w:type="dxa"/>
            <w:tcBorders>
              <w:top w:val="nil"/>
            </w:tcBorders>
          </w:tcPr>
          <w:p>
            <w:pPr>
              <w:pStyle w:val="TableParagraph"/>
              <w:spacing w:before="25"/>
              <w:ind w:left="23" w:right="20"/>
              <w:jc w:val="center"/>
              <w:rPr>
                <w:sz w:val="21"/>
              </w:rPr>
            </w:pPr>
            <w:r>
              <w:rPr>
                <w:spacing w:val="-2"/>
                <w:sz w:val="21"/>
              </w:rPr>
              <w:t>$0.00</w:t>
            </w:r>
          </w:p>
        </w:tc>
        <w:tc>
          <w:tcPr>
            <w:tcW w:w="1169" w:type="dxa"/>
            <w:tcBorders>
              <w:top w:val="nil"/>
            </w:tcBorders>
          </w:tcPr>
          <w:p>
            <w:pPr>
              <w:pStyle w:val="TableParagraph"/>
              <w:spacing w:before="25"/>
              <w:ind w:left="7" w:right="4"/>
              <w:jc w:val="center"/>
              <w:rPr>
                <w:sz w:val="21"/>
              </w:rPr>
            </w:pPr>
            <w:r>
              <w:rPr>
                <w:spacing w:val="-2"/>
                <w:sz w:val="21"/>
              </w:rPr>
              <w:t>$3.70</w:t>
            </w:r>
          </w:p>
        </w:tc>
        <w:tc>
          <w:tcPr>
            <w:tcW w:w="1352" w:type="dxa"/>
            <w:tcBorders>
              <w:top w:val="nil"/>
            </w:tcBorders>
          </w:tcPr>
          <w:p>
            <w:pPr>
              <w:pStyle w:val="TableParagraph"/>
              <w:spacing w:before="25"/>
              <w:ind w:left="23" w:right="21"/>
              <w:jc w:val="center"/>
              <w:rPr>
                <w:sz w:val="21"/>
              </w:rPr>
            </w:pPr>
            <w:r>
              <w:rPr>
                <w:spacing w:val="-2"/>
                <w:sz w:val="21"/>
              </w:rPr>
              <w:t>$3.70</w:t>
            </w:r>
          </w:p>
        </w:tc>
        <w:tc>
          <w:tcPr>
            <w:tcW w:w="1440" w:type="dxa"/>
            <w:tcBorders>
              <w:top w:val="nil"/>
            </w:tcBorders>
          </w:tcPr>
          <w:p>
            <w:pPr>
              <w:pStyle w:val="TableParagraph"/>
              <w:spacing w:before="25"/>
              <w:ind w:left="5" w:right="5"/>
              <w:jc w:val="center"/>
              <w:rPr>
                <w:sz w:val="21"/>
              </w:rPr>
            </w:pPr>
            <w:r>
              <w:rPr>
                <w:spacing w:val="-2"/>
                <w:sz w:val="21"/>
              </w:rPr>
              <w:t>$3.70</w:t>
            </w:r>
          </w:p>
        </w:tc>
      </w:tr>
      <w:tr>
        <w:tblPrEx>
          <w:tblW w:w="0" w:type="auto"/>
          <w:jc w:val="left"/>
          <w:tblInd w:w="514" w:type="dxa"/>
          <w:tblLayout w:type="fixed"/>
          <w:tblCellMar>
            <w:top w:w="0" w:type="dxa"/>
            <w:left w:w="0" w:type="dxa"/>
            <w:bottom w:w="0" w:type="dxa"/>
            <w:right w:w="0" w:type="dxa"/>
          </w:tblCellMar>
          <w:tblLook w:val="01E0"/>
        </w:tblPrEx>
        <w:trPr>
          <w:trHeight w:val="299"/>
          <w:jc w:val="left"/>
        </w:trPr>
        <w:tc>
          <w:tcPr>
            <w:tcW w:w="3001" w:type="dxa"/>
          </w:tcPr>
          <w:p>
            <w:pPr>
              <w:pStyle w:val="TableParagraph"/>
              <w:spacing w:before="58"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316" w:type="dxa"/>
          </w:tcPr>
          <w:p>
            <w:pPr>
              <w:pStyle w:val="TableParagraph"/>
              <w:spacing w:before="58" w:line="221" w:lineRule="exact"/>
              <w:ind w:left="10" w:right="3"/>
              <w:jc w:val="center"/>
              <w:rPr>
                <w:sz w:val="21"/>
              </w:rPr>
            </w:pPr>
            <w:r>
              <w:rPr>
                <w:spacing w:val="-2"/>
                <w:sz w:val="21"/>
              </w:rPr>
              <w:t>$15.00</w:t>
            </w:r>
          </w:p>
        </w:tc>
        <w:tc>
          <w:tcPr>
            <w:tcW w:w="1352" w:type="dxa"/>
          </w:tcPr>
          <w:p>
            <w:pPr>
              <w:pStyle w:val="TableParagraph"/>
              <w:spacing w:before="58" w:line="221" w:lineRule="exact"/>
              <w:ind w:left="23" w:right="20"/>
              <w:jc w:val="center"/>
              <w:rPr>
                <w:sz w:val="21"/>
              </w:rPr>
            </w:pPr>
            <w:r>
              <w:rPr>
                <w:spacing w:val="-2"/>
                <w:sz w:val="21"/>
              </w:rPr>
              <w:t>$9.40</w:t>
            </w:r>
          </w:p>
        </w:tc>
        <w:tc>
          <w:tcPr>
            <w:tcW w:w="1169" w:type="dxa"/>
          </w:tcPr>
          <w:p>
            <w:pPr>
              <w:pStyle w:val="TableParagraph"/>
              <w:spacing w:before="58" w:line="221" w:lineRule="exact"/>
              <w:ind w:left="7" w:right="4"/>
              <w:jc w:val="center"/>
              <w:rPr>
                <w:sz w:val="21"/>
              </w:rPr>
            </w:pPr>
            <w:r>
              <w:rPr>
                <w:spacing w:val="-2"/>
                <w:sz w:val="21"/>
              </w:rPr>
              <w:t>$9.40</w:t>
            </w:r>
          </w:p>
        </w:tc>
        <w:tc>
          <w:tcPr>
            <w:tcW w:w="1352" w:type="dxa"/>
          </w:tcPr>
          <w:p>
            <w:pPr>
              <w:pStyle w:val="TableParagraph"/>
              <w:spacing w:before="58" w:line="221" w:lineRule="exact"/>
              <w:ind w:left="23" w:right="21"/>
              <w:jc w:val="center"/>
              <w:rPr>
                <w:sz w:val="21"/>
              </w:rPr>
            </w:pPr>
            <w:r>
              <w:rPr>
                <w:spacing w:val="-2"/>
                <w:sz w:val="21"/>
              </w:rPr>
              <w:t>$15.00</w:t>
            </w:r>
          </w:p>
        </w:tc>
        <w:tc>
          <w:tcPr>
            <w:tcW w:w="1440" w:type="dxa"/>
          </w:tcPr>
          <w:p>
            <w:pPr>
              <w:pStyle w:val="TableParagraph"/>
              <w:spacing w:before="58" w:line="221" w:lineRule="exact"/>
              <w:ind w:left="5" w:right="5"/>
              <w:jc w:val="center"/>
              <w:rPr>
                <w:sz w:val="21"/>
              </w:rPr>
            </w:pPr>
            <w:r>
              <w:rPr>
                <w:spacing w:val="-2"/>
                <w:sz w:val="21"/>
              </w:rPr>
              <w:t>$15.00</w:t>
            </w:r>
          </w:p>
        </w:tc>
      </w:tr>
    </w:tbl>
    <w:p>
      <w:pPr>
        <w:pStyle w:val="BodyText"/>
        <w:spacing w:before="88"/>
        <w:ind w:left="0"/>
        <w:rPr>
          <w:rFonts w:ascii="Arial"/>
          <w:b/>
          <w:i/>
        </w:rPr>
      </w:pPr>
    </w:p>
    <w:p>
      <w:pPr>
        <w:pStyle w:val="BodyText"/>
      </w:pPr>
      <w:r>
        <w:t>In</w:t>
      </w:r>
      <w:r>
        <w:rPr>
          <w:spacing w:val="-1"/>
        </w:rPr>
        <w:t xml:space="preserve"> </w:t>
      </w:r>
      <w:r>
        <w:t>this</w:t>
      </w:r>
      <w:r>
        <w:rPr>
          <w:spacing w:val="-2"/>
        </w:rPr>
        <w:t xml:space="preserve"> </w:t>
      </w:r>
      <w:r>
        <w:t>example,</w:t>
      </w:r>
      <w:r>
        <w:rPr>
          <w:spacing w:val="-1"/>
        </w:rPr>
        <w:t xml:space="preserve"> </w:t>
      </w:r>
      <w:r>
        <w:t>the</w:t>
      </w:r>
      <w:r>
        <w:rPr>
          <w:spacing w:val="-1"/>
        </w:rPr>
        <w:t xml:space="preserve"> </w:t>
      </w:r>
      <w:r>
        <w:t>change</w:t>
      </w:r>
      <w:r>
        <w:rPr>
          <w:spacing w:val="-2"/>
        </w:rPr>
        <w:t xml:space="preserve"> </w:t>
      </w:r>
      <w:r>
        <w:t>in</w:t>
      </w:r>
      <w:r>
        <w:rPr>
          <w:spacing w:val="-1"/>
        </w:rPr>
        <w:t xml:space="preserve"> </w:t>
      </w:r>
      <w:r>
        <w:t>MSB</w:t>
      </w:r>
      <w:r>
        <w:rPr>
          <w:spacing w:val="-1"/>
        </w:rPr>
        <w:t xml:space="preserve"> </w:t>
      </w:r>
      <w:r>
        <w:t>revenue</w:t>
      </w:r>
      <w:r>
        <w:rPr>
          <w:spacing w:val="-2"/>
        </w:rPr>
        <w:t xml:space="preserve"> </w:t>
      </w:r>
      <w:r>
        <w:t>requirement</w:t>
      </w:r>
      <w:r>
        <w:rPr>
          <w:spacing w:val="-1"/>
        </w:rPr>
        <w:t xml:space="preserve"> </w:t>
      </w:r>
      <w:r>
        <w:t>must</w:t>
      </w:r>
      <w:r>
        <w:rPr>
          <w:spacing w:val="-1"/>
        </w:rPr>
        <w:t xml:space="preserve"> </w:t>
      </w:r>
      <w:r>
        <w:t>be</w:t>
      </w:r>
      <w:r>
        <w:rPr>
          <w:spacing w:val="-1"/>
        </w:rPr>
        <w:t xml:space="preserve"> </w:t>
      </w:r>
      <w:r>
        <w:t>between</w:t>
      </w:r>
      <w:r>
        <w:rPr>
          <w:spacing w:val="1"/>
        </w:rPr>
        <w:t xml:space="preserve"> </w:t>
      </w:r>
      <w:r>
        <w:t>$0.00</w:t>
      </w:r>
      <w:r>
        <w:rPr>
          <w:spacing w:val="-1"/>
        </w:rPr>
        <w:t xml:space="preserve"> </w:t>
      </w:r>
      <w:r>
        <w:t>and</w:t>
      </w:r>
      <w:r>
        <w:rPr>
          <w:spacing w:val="-1"/>
        </w:rPr>
        <w:t xml:space="preserve"> </w:t>
      </w:r>
      <w:r>
        <w:rPr>
          <w:spacing w:val="-2"/>
        </w:rPr>
        <w:t>$5.60.</w:t>
      </w:r>
    </w:p>
    <w:p>
      <w:pPr>
        <w:pStyle w:val="BodyText"/>
        <w:spacing w:before="139"/>
        <w:ind w:right="1478"/>
      </w:pPr>
      <w:r>
        <w:rPr>
          <w:b/>
        </w:rPr>
        <w:t>Options</w:t>
      </w:r>
      <w:r>
        <w:rPr>
          <w:b/>
          <w:spacing w:val="-3"/>
        </w:rPr>
        <w:t xml:space="preserve"> </w:t>
      </w:r>
      <w:r>
        <w:rPr>
          <w:b/>
        </w:rPr>
        <w:t>1</w:t>
      </w:r>
      <w:r>
        <w:t>:</w:t>
      </w:r>
      <w:r>
        <w:rPr>
          <w:spacing w:val="-3"/>
        </w:rPr>
        <w:t xml:space="preserve"> </w:t>
      </w:r>
      <w:r>
        <w:t>If,</w:t>
      </w:r>
      <w:r>
        <w:rPr>
          <w:spacing w:val="-3"/>
        </w:rPr>
        <w:t xml:space="preserve"> </w:t>
      </w:r>
      <w:r>
        <w:t>after</w:t>
      </w:r>
      <w:r>
        <w:rPr>
          <w:spacing w:val="-3"/>
        </w:rPr>
        <w:t xml:space="preserve"> </w:t>
      </w:r>
      <w:r>
        <w:t>reflecting</w:t>
      </w:r>
      <w:r>
        <w:rPr>
          <w:spacing w:val="-3"/>
        </w:rPr>
        <w:t xml:space="preserve"> </w:t>
      </w:r>
      <w:r>
        <w:t>announced</w:t>
      </w:r>
      <w:r>
        <w:rPr>
          <w:spacing w:val="-3"/>
        </w:rPr>
        <w:t xml:space="preserve"> </w:t>
      </w:r>
      <w:r>
        <w:t>Part</w:t>
      </w:r>
      <w:r>
        <w:rPr>
          <w:spacing w:val="-3"/>
        </w:rPr>
        <w:t xml:space="preserve"> </w:t>
      </w:r>
      <w:r>
        <w:t>D</w:t>
      </w:r>
      <w:r>
        <w:rPr>
          <w:spacing w:val="-4"/>
        </w:rPr>
        <w:t xml:space="preserve"> </w:t>
      </w:r>
      <w:r>
        <w:t>benchmarks,</w:t>
      </w:r>
      <w:r>
        <w:rPr>
          <w:spacing w:val="-3"/>
        </w:rPr>
        <w:t xml:space="preserve"> </w:t>
      </w:r>
      <w:r>
        <w:t>the</w:t>
      </w:r>
      <w:r>
        <w:rPr>
          <w:spacing w:val="-4"/>
        </w:rPr>
        <w:t xml:space="preserve"> </w:t>
      </w:r>
      <w:r>
        <w:t>Part</w:t>
      </w:r>
      <w:r>
        <w:rPr>
          <w:spacing w:val="-3"/>
        </w:rPr>
        <w:t xml:space="preserve"> </w:t>
      </w:r>
      <w:r>
        <w:t>D</w:t>
      </w:r>
      <w:r>
        <w:rPr>
          <w:spacing w:val="-4"/>
        </w:rPr>
        <w:t xml:space="preserve"> </w:t>
      </w:r>
      <w:r>
        <w:t>basic</w:t>
      </w:r>
      <w:r>
        <w:rPr>
          <w:spacing w:val="-3"/>
        </w:rPr>
        <w:t xml:space="preserve"> </w:t>
      </w:r>
      <w:r>
        <w:t>premium</w:t>
      </w:r>
      <w:r>
        <w:rPr>
          <w:spacing w:val="-3"/>
        </w:rPr>
        <w:t xml:space="preserve"> </w:t>
      </w:r>
      <w:r>
        <w:t>plus</w:t>
      </w:r>
      <w:r>
        <w:rPr>
          <w:spacing w:val="-4"/>
        </w:rPr>
        <w:t xml:space="preserve"> </w:t>
      </w:r>
      <w:r>
        <w:t>the Part D supplemental premium is less than $0.00, rebate reallocation is required. The MAO</w:t>
      </w:r>
      <w:r>
        <w:rPr>
          <w:spacing w:val="40"/>
        </w:rPr>
        <w:t xml:space="preserve"> </w:t>
      </w:r>
      <w:r>
        <w:t>must reallocate the excessive allocation of $5.60 by either—</w:t>
      </w:r>
    </w:p>
    <w:p>
      <w:pPr>
        <w:pStyle w:val="BodyText"/>
        <w:spacing w:before="142"/>
        <w:ind w:left="1315" w:right="1481"/>
      </w:pPr>
      <w:r>
        <w:rPr>
          <w:b/>
        </w:rPr>
        <w:t>1a</w:t>
      </w:r>
      <w:r>
        <w:t>:</w:t>
      </w:r>
      <w:r>
        <w:rPr>
          <w:spacing w:val="-3"/>
        </w:rPr>
        <w:t xml:space="preserve"> </w:t>
      </w:r>
      <w:r>
        <w:t>Making</w:t>
      </w:r>
      <w:r>
        <w:rPr>
          <w:spacing w:val="-3"/>
        </w:rPr>
        <w:t xml:space="preserve"> </w:t>
      </w:r>
      <w:r>
        <w:t>no</w:t>
      </w:r>
      <w:r>
        <w:rPr>
          <w:spacing w:val="-3"/>
        </w:rPr>
        <w:t xml:space="preserve"> </w:t>
      </w:r>
      <w:r>
        <w:t>changes</w:t>
      </w:r>
      <w:r>
        <w:rPr>
          <w:spacing w:val="-4"/>
        </w:rPr>
        <w:t xml:space="preserve"> </w:t>
      </w:r>
      <w:r>
        <w:t>to</w:t>
      </w:r>
      <w:r>
        <w:rPr>
          <w:spacing w:val="-3"/>
        </w:rPr>
        <w:t xml:space="preserve"> </w:t>
      </w:r>
      <w:r>
        <w:t>MSB</w:t>
      </w:r>
      <w:r>
        <w:rPr>
          <w:spacing w:val="-3"/>
        </w:rPr>
        <w:t xml:space="preserve"> </w:t>
      </w:r>
      <w:r>
        <w:t>revenue</w:t>
      </w:r>
      <w:r>
        <w:rPr>
          <w:spacing w:val="-4"/>
        </w:rPr>
        <w:t xml:space="preserve"> </w:t>
      </w:r>
      <w:r>
        <w:t>requirement</w:t>
      </w:r>
      <w:r>
        <w:rPr>
          <w:spacing w:val="-3"/>
        </w:rPr>
        <w:t xml:space="preserve"> </w:t>
      </w:r>
      <w:r>
        <w:t>and</w:t>
      </w:r>
      <w:r>
        <w:rPr>
          <w:spacing w:val="-3"/>
        </w:rPr>
        <w:t xml:space="preserve"> </w:t>
      </w:r>
      <w:r>
        <w:t>decreasing</w:t>
      </w:r>
      <w:r>
        <w:rPr>
          <w:spacing w:val="-3"/>
        </w:rPr>
        <w:t xml:space="preserve"> </w:t>
      </w:r>
      <w:r>
        <w:t>the</w:t>
      </w:r>
      <w:r>
        <w:rPr>
          <w:spacing w:val="-4"/>
        </w:rPr>
        <w:t xml:space="preserve"> </w:t>
      </w:r>
      <w:r>
        <w:t>MA</w:t>
      </w:r>
      <w:r>
        <w:rPr>
          <w:spacing w:val="-4"/>
        </w:rPr>
        <w:t xml:space="preserve"> </w:t>
      </w:r>
      <w:r>
        <w:t>premium (or increasing the rebates allocated to the Part B premium) by increasing rebate allocations to MA or Part B premiums; or</w:t>
      </w:r>
    </w:p>
    <w:p>
      <w:pPr>
        <w:pStyle w:val="BodyText"/>
        <w:spacing w:before="139"/>
        <w:ind w:left="1315" w:right="1443"/>
      </w:pPr>
      <w:r>
        <w:rPr>
          <w:b/>
        </w:rPr>
        <w:t>1b</w:t>
      </w:r>
      <w:r>
        <w:t>:</w:t>
      </w:r>
      <w:r>
        <w:rPr>
          <w:spacing w:val="-3"/>
        </w:rPr>
        <w:t xml:space="preserve"> </w:t>
      </w:r>
      <w:r>
        <w:t>Increasing</w:t>
      </w:r>
      <w:r>
        <w:rPr>
          <w:spacing w:val="-3"/>
        </w:rPr>
        <w:t xml:space="preserve"> </w:t>
      </w:r>
      <w:r>
        <w:t>MSB</w:t>
      </w:r>
      <w:r>
        <w:rPr>
          <w:spacing w:val="-3"/>
        </w:rPr>
        <w:t xml:space="preserve"> </w:t>
      </w:r>
      <w:r>
        <w:t>revenue</w:t>
      </w:r>
      <w:r>
        <w:rPr>
          <w:spacing w:val="-4"/>
        </w:rPr>
        <w:t xml:space="preserve"> </w:t>
      </w:r>
      <w:r>
        <w:t>requirement</w:t>
      </w:r>
      <w:r>
        <w:rPr>
          <w:spacing w:val="-3"/>
        </w:rPr>
        <w:t xml:space="preserve"> </w:t>
      </w:r>
      <w:r>
        <w:t>by</w:t>
      </w:r>
      <w:r>
        <w:rPr>
          <w:spacing w:val="-3"/>
        </w:rPr>
        <w:t xml:space="preserve"> </w:t>
      </w:r>
      <w:r>
        <w:t>less</w:t>
      </w:r>
      <w:r>
        <w:rPr>
          <w:spacing w:val="-4"/>
        </w:rPr>
        <w:t xml:space="preserve"> </w:t>
      </w:r>
      <w:r>
        <w:t>than</w:t>
      </w:r>
      <w:r>
        <w:rPr>
          <w:spacing w:val="-3"/>
        </w:rPr>
        <w:t xml:space="preserve"> </w:t>
      </w:r>
      <w:r>
        <w:t>or</w:t>
      </w:r>
      <w:r>
        <w:rPr>
          <w:spacing w:val="-5"/>
        </w:rPr>
        <w:t xml:space="preserve"> </w:t>
      </w:r>
      <w:r>
        <w:t>equal</w:t>
      </w:r>
      <w:r>
        <w:rPr>
          <w:spacing w:val="-3"/>
        </w:rPr>
        <w:t xml:space="preserve"> </w:t>
      </w:r>
      <w:r>
        <w:t>to</w:t>
      </w:r>
      <w:r>
        <w:rPr>
          <w:spacing w:val="-3"/>
        </w:rPr>
        <w:t xml:space="preserve"> </w:t>
      </w:r>
      <w:r>
        <w:t>$5.60,</w:t>
      </w:r>
      <w:r>
        <w:rPr>
          <w:spacing w:val="-3"/>
        </w:rPr>
        <w:t xml:space="preserve"> </w:t>
      </w:r>
      <w:r>
        <w:t>such</w:t>
      </w:r>
      <w:r>
        <w:rPr>
          <w:spacing w:val="-3"/>
        </w:rPr>
        <w:t xml:space="preserve"> </w:t>
      </w:r>
      <w:r>
        <w:t>that</w:t>
      </w:r>
      <w:r>
        <w:rPr>
          <w:spacing w:val="-3"/>
        </w:rPr>
        <w:t xml:space="preserve"> </w:t>
      </w:r>
      <w:r>
        <w:t>there is a partial or full return to the MA premium in initial June bid by increasing rebate allocations to MA or Part B premiums.</w:t>
      </w:r>
    </w:p>
    <w:p>
      <w:pPr>
        <w:pStyle w:val="BodyText"/>
        <w:spacing w:before="140"/>
        <w:ind w:right="1481"/>
      </w:pPr>
      <w:r>
        <w:rPr>
          <w:b/>
        </w:rPr>
        <w:t>*Unacceptable</w:t>
      </w:r>
      <w:r>
        <w:rPr>
          <w:b/>
          <w:spacing w:val="-4"/>
        </w:rPr>
        <w:t xml:space="preserve"> </w:t>
      </w:r>
      <w:r>
        <w:rPr>
          <w:b/>
        </w:rPr>
        <w:t>Option</w:t>
      </w:r>
      <w:r>
        <w:t>:</w:t>
      </w:r>
      <w:r>
        <w:rPr>
          <w:spacing w:val="-3"/>
        </w:rPr>
        <w:t xml:space="preserve"> </w:t>
      </w:r>
      <w:r>
        <w:t>The</w:t>
      </w:r>
      <w:r>
        <w:rPr>
          <w:spacing w:val="-4"/>
        </w:rPr>
        <w:t xml:space="preserve"> </w:t>
      </w:r>
      <w:r>
        <w:t>MSB</w:t>
      </w:r>
      <w:r>
        <w:rPr>
          <w:spacing w:val="-3"/>
        </w:rPr>
        <w:t xml:space="preserve"> </w:t>
      </w:r>
      <w:r>
        <w:t>revenue</w:t>
      </w:r>
      <w:r>
        <w:rPr>
          <w:spacing w:val="-2"/>
        </w:rPr>
        <w:t xml:space="preserve"> </w:t>
      </w:r>
      <w:r>
        <w:t>requirement</w:t>
      </w:r>
      <w:r>
        <w:rPr>
          <w:spacing w:val="-3"/>
        </w:rPr>
        <w:t xml:space="preserve"> </w:t>
      </w:r>
      <w:r>
        <w:t>cannot</w:t>
      </w:r>
      <w:r>
        <w:rPr>
          <w:spacing w:val="-3"/>
        </w:rPr>
        <w:t xml:space="preserve"> </w:t>
      </w:r>
      <w:r>
        <w:t>increase</w:t>
      </w:r>
      <w:r>
        <w:rPr>
          <w:spacing w:val="-4"/>
        </w:rPr>
        <w:t xml:space="preserve"> </w:t>
      </w:r>
      <w:r>
        <w:t>more</w:t>
      </w:r>
      <w:r>
        <w:rPr>
          <w:spacing w:val="-5"/>
        </w:rPr>
        <w:t xml:space="preserve"> </w:t>
      </w:r>
      <w:r>
        <w:t>than</w:t>
      </w:r>
      <w:r>
        <w:rPr>
          <w:spacing w:val="-3"/>
        </w:rPr>
        <w:t xml:space="preserve"> </w:t>
      </w:r>
      <w:r>
        <w:t>the</w:t>
      </w:r>
      <w:r>
        <w:rPr>
          <w:spacing w:val="-4"/>
        </w:rPr>
        <w:t xml:space="preserve"> </w:t>
      </w:r>
      <w:r>
        <w:t>value</w:t>
      </w:r>
      <w:r>
        <w:rPr>
          <w:spacing w:val="-4"/>
        </w:rPr>
        <w:t xml:space="preserve"> </w:t>
      </w:r>
      <w:r>
        <w:t>of the rebate dollars for allocation.</w:t>
      </w:r>
    </w:p>
    <w:p>
      <w:pPr>
        <w:pStyle w:val="BodyText"/>
        <w:spacing w:after="0"/>
        <w:sectPr>
          <w:pgSz w:w="12240" w:h="15840"/>
          <w:pgMar w:top="960" w:right="0" w:bottom="940" w:left="1080" w:header="727" w:footer="747"/>
          <w:cols w:space="720"/>
        </w:sectPr>
      </w:pPr>
    </w:p>
    <w:p>
      <w:pPr>
        <w:pStyle w:val="BodyText"/>
        <w:spacing w:before="191"/>
        <w:ind w:left="0"/>
      </w:pPr>
    </w:p>
    <w:p>
      <w:pPr>
        <w:pStyle w:val="Heading4"/>
      </w:pPr>
      <w:bookmarkStart w:id="371" w:name="Example 4: Excessive Rebates Allocated t"/>
      <w:bookmarkEnd w:id="371"/>
      <w:r>
        <w:rPr>
          <w:i/>
        </w:rPr>
        <w:t>Example</w:t>
      </w:r>
      <w:r>
        <w:rPr>
          <w:i/>
          <w:spacing w:val="-2"/>
        </w:rPr>
        <w:t xml:space="preserve"> </w:t>
      </w:r>
      <w:r>
        <w:rPr>
          <w:i/>
        </w:rPr>
        <w:t>4:</w:t>
      </w:r>
      <w:r>
        <w:rPr>
          <w:i/>
          <w:spacing w:val="-4"/>
        </w:rPr>
        <w:t xml:space="preserve"> </w:t>
      </w:r>
      <w:r>
        <w:rPr>
          <w:i/>
        </w:rPr>
        <w:t>Excessive</w:t>
      </w:r>
      <w:r>
        <w:rPr>
          <w:i/>
          <w:spacing w:val="-4"/>
        </w:rPr>
        <w:t xml:space="preserve"> </w:t>
      </w:r>
      <w:r>
        <w:rPr>
          <w:i/>
        </w:rPr>
        <w:t>Rebates</w:t>
      </w:r>
      <w:r>
        <w:rPr>
          <w:i/>
          <w:spacing w:val="-4"/>
        </w:rPr>
        <w:t xml:space="preserve"> </w:t>
      </w:r>
      <w:r>
        <w:rPr>
          <w:i/>
        </w:rPr>
        <w:t>Allocated</w:t>
      </w:r>
      <w:r>
        <w:rPr>
          <w:i/>
          <w:spacing w:val="-4"/>
        </w:rPr>
        <w:t xml:space="preserve"> </w:t>
      </w:r>
      <w:r>
        <w:rPr>
          <w:i/>
        </w:rPr>
        <w:t>to</w:t>
      </w:r>
      <w:r>
        <w:rPr>
          <w:i/>
          <w:spacing w:val="-1"/>
        </w:rPr>
        <w:t xml:space="preserve"> </w:t>
      </w:r>
      <w:r>
        <w:rPr>
          <w:i/>
        </w:rPr>
        <w:t>Part</w:t>
      </w:r>
      <w:r>
        <w:rPr>
          <w:i/>
          <w:spacing w:val="-4"/>
        </w:rPr>
        <w:t xml:space="preserve"> </w:t>
      </w:r>
      <w:r>
        <w:rPr>
          <w:i/>
        </w:rPr>
        <w:t>D</w:t>
      </w:r>
      <w:r>
        <w:rPr>
          <w:i/>
          <w:spacing w:val="-4"/>
        </w:rPr>
        <w:t xml:space="preserve"> </w:t>
      </w:r>
      <w:r>
        <w:rPr>
          <w:i/>
        </w:rPr>
        <w:t>Basic</w:t>
      </w:r>
      <w:r>
        <w:rPr>
          <w:i/>
          <w:spacing w:val="-3"/>
        </w:rPr>
        <w:t xml:space="preserve"> </w:t>
      </w:r>
      <w:r>
        <w:rPr>
          <w:i/>
        </w:rPr>
        <w:t>Premium,</w:t>
      </w:r>
      <w:r>
        <w:rPr>
          <w:i/>
          <w:spacing w:val="-3"/>
        </w:rPr>
        <w:t xml:space="preserve"> </w:t>
      </w:r>
      <w:r>
        <w:rPr>
          <w:i/>
        </w:rPr>
        <w:t>Reallocation</w:t>
      </w:r>
      <w:r>
        <w:t xml:space="preserve"> is Optional, and MAO can Achieve Target.</w:t>
      </w:r>
    </w:p>
    <w:p>
      <w:pPr>
        <w:pStyle w:val="BodyText"/>
        <w:spacing w:before="130"/>
        <w:ind w:left="0"/>
        <w:rPr>
          <w:rFonts w:ascii="Arial"/>
          <w:b/>
          <w:i/>
          <w:sz w:val="20"/>
        </w:rPr>
      </w:pPr>
    </w:p>
    <w:tbl>
      <w:tblPr>
        <w:tblStyle w:val="TableNormal"/>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7"/>
        <w:gridCol w:w="1169"/>
        <w:gridCol w:w="1352"/>
        <w:gridCol w:w="1169"/>
        <w:gridCol w:w="1352"/>
        <w:gridCol w:w="1440"/>
      </w:tblGrid>
      <w:tr>
        <w:tblPrEx>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66"/>
          <w:jc w:val="left"/>
        </w:trPr>
        <w:tc>
          <w:tcPr>
            <w:tcW w:w="3147" w:type="dxa"/>
          </w:tcPr>
          <w:p>
            <w:pPr>
              <w:pStyle w:val="TableParagraph"/>
              <w:spacing w:before="121"/>
              <w:rPr>
                <w:rFonts w:ascii="Arial"/>
                <w:b/>
                <w:i/>
                <w:sz w:val="21"/>
              </w:rPr>
            </w:pPr>
          </w:p>
          <w:p>
            <w:pPr>
              <w:pStyle w:val="TableParagraph"/>
              <w:ind w:left="9"/>
              <w:jc w:val="center"/>
              <w:rPr>
                <w:b/>
                <w:sz w:val="21"/>
              </w:rPr>
            </w:pPr>
            <w:r>
              <w:rPr>
                <w:b/>
                <w:spacing w:val="-2"/>
                <w:sz w:val="21"/>
              </w:rPr>
              <w:t>Label</w:t>
            </w:r>
          </w:p>
        </w:tc>
        <w:tc>
          <w:tcPr>
            <w:tcW w:w="1169" w:type="dxa"/>
          </w:tcPr>
          <w:p>
            <w:pPr>
              <w:pStyle w:val="TableParagraph"/>
              <w:spacing w:before="240"/>
              <w:ind w:left="179" w:right="174" w:firstLine="127"/>
              <w:rPr>
                <w:b/>
                <w:sz w:val="21"/>
              </w:rPr>
            </w:pPr>
            <w:r>
              <w:rPr>
                <w:b/>
                <w:spacing w:val="-2"/>
                <w:sz w:val="21"/>
              </w:rPr>
              <w:t xml:space="preserve">Initial </w:t>
            </w:r>
            <w:r>
              <w:rPr>
                <w:b/>
                <w:sz w:val="21"/>
              </w:rPr>
              <w:t>June</w:t>
            </w:r>
            <w:r>
              <w:rPr>
                <w:b/>
                <w:spacing w:val="-14"/>
                <w:sz w:val="21"/>
              </w:rPr>
              <w:t xml:space="preserve"> </w:t>
            </w:r>
            <w:r>
              <w:rPr>
                <w:b/>
                <w:sz w:val="21"/>
              </w:rPr>
              <w:t>Bid</w:t>
            </w:r>
          </w:p>
        </w:tc>
        <w:tc>
          <w:tcPr>
            <w:tcW w:w="1352" w:type="dxa"/>
          </w:tcPr>
          <w:p>
            <w:pPr>
              <w:pStyle w:val="TableParagraph"/>
              <w:ind w:left="148" w:right="138" w:hanging="2"/>
              <w:jc w:val="center"/>
              <w:rPr>
                <w:b/>
                <w:sz w:val="21"/>
              </w:rPr>
            </w:pPr>
            <w:r>
              <w:rPr>
                <w:b/>
                <w:spacing w:val="-2"/>
                <w:sz w:val="21"/>
              </w:rPr>
              <w:t xml:space="preserve">After </w:t>
            </w:r>
            <w:r>
              <w:rPr>
                <w:b/>
                <w:sz w:val="21"/>
              </w:rPr>
              <w:t xml:space="preserve">Release of </w:t>
            </w:r>
            <w:r>
              <w:rPr>
                <w:b/>
                <w:spacing w:val="-2"/>
                <w:sz w:val="21"/>
              </w:rPr>
              <w:t>Benchmark</w:t>
            </w:r>
          </w:p>
          <w:p>
            <w:pPr>
              <w:pStyle w:val="TableParagraph"/>
              <w:spacing w:before="1" w:line="221" w:lineRule="exact"/>
              <w:ind w:left="24" w:right="20"/>
              <w:jc w:val="center"/>
              <w:rPr>
                <w:b/>
                <w:sz w:val="21"/>
              </w:rPr>
            </w:pPr>
            <w:r>
              <w:rPr>
                <w:b/>
                <w:sz w:val="21"/>
              </w:rPr>
              <w:t>(Option</w:t>
            </w:r>
            <w:r>
              <w:rPr>
                <w:b/>
                <w:spacing w:val="-6"/>
                <w:sz w:val="21"/>
              </w:rPr>
              <w:t xml:space="preserve"> </w:t>
            </w:r>
            <w:r>
              <w:rPr>
                <w:b/>
                <w:spacing w:val="-5"/>
                <w:sz w:val="21"/>
              </w:rPr>
              <w:t>1)</w:t>
            </w:r>
          </w:p>
        </w:tc>
        <w:tc>
          <w:tcPr>
            <w:tcW w:w="1169" w:type="dxa"/>
          </w:tcPr>
          <w:p>
            <w:pPr>
              <w:pStyle w:val="TableParagraph"/>
              <w:spacing w:before="121"/>
              <w:rPr>
                <w:rFonts w:ascii="Arial"/>
                <w:b/>
                <w:i/>
                <w:sz w:val="21"/>
              </w:rPr>
            </w:pPr>
          </w:p>
          <w:p>
            <w:pPr>
              <w:pStyle w:val="TableParagraph"/>
              <w:ind w:left="7" w:right="4"/>
              <w:jc w:val="center"/>
              <w:rPr>
                <w:b/>
                <w:sz w:val="21"/>
              </w:rPr>
            </w:pPr>
            <w:r>
              <w:rPr>
                <w:b/>
                <w:sz w:val="21"/>
              </w:rPr>
              <w:t>Option</w:t>
            </w:r>
            <w:r>
              <w:rPr>
                <w:b/>
                <w:spacing w:val="-5"/>
                <w:sz w:val="21"/>
              </w:rPr>
              <w:t xml:space="preserve"> 2a</w:t>
            </w:r>
          </w:p>
        </w:tc>
        <w:tc>
          <w:tcPr>
            <w:tcW w:w="1352" w:type="dxa"/>
          </w:tcPr>
          <w:p>
            <w:pPr>
              <w:pStyle w:val="TableParagraph"/>
              <w:spacing w:before="121"/>
              <w:rPr>
                <w:rFonts w:ascii="Arial"/>
                <w:b/>
                <w:i/>
                <w:sz w:val="21"/>
              </w:rPr>
            </w:pPr>
          </w:p>
          <w:p>
            <w:pPr>
              <w:pStyle w:val="TableParagraph"/>
              <w:ind w:left="24" w:right="20"/>
              <w:jc w:val="center"/>
              <w:rPr>
                <w:b/>
                <w:sz w:val="21"/>
              </w:rPr>
            </w:pPr>
            <w:r>
              <w:rPr>
                <w:b/>
                <w:sz w:val="21"/>
              </w:rPr>
              <w:t>Option</w:t>
            </w:r>
            <w:r>
              <w:rPr>
                <w:b/>
                <w:spacing w:val="-5"/>
                <w:sz w:val="21"/>
              </w:rPr>
              <w:t xml:space="preserve"> 2b</w:t>
            </w:r>
          </w:p>
        </w:tc>
        <w:tc>
          <w:tcPr>
            <w:tcW w:w="1440" w:type="dxa"/>
          </w:tcPr>
          <w:p>
            <w:pPr>
              <w:pStyle w:val="TableParagraph"/>
              <w:spacing w:before="240"/>
              <w:ind w:left="349" w:hanging="240"/>
              <w:rPr>
                <w:b/>
                <w:sz w:val="21"/>
              </w:rPr>
            </w:pPr>
            <w:r>
              <w:rPr>
                <w:b/>
                <w:spacing w:val="-2"/>
                <w:sz w:val="21"/>
              </w:rPr>
              <w:t>Unacceptable Option*</w:t>
            </w:r>
          </w:p>
        </w:tc>
      </w:tr>
      <w:tr>
        <w:tblPrEx>
          <w:tblW w:w="0" w:type="auto"/>
          <w:jc w:val="left"/>
          <w:tblInd w:w="514" w:type="dxa"/>
          <w:tblLayout w:type="fixed"/>
          <w:tblCellMar>
            <w:top w:w="0" w:type="dxa"/>
            <w:left w:w="0" w:type="dxa"/>
            <w:bottom w:w="0" w:type="dxa"/>
            <w:right w:w="0" w:type="dxa"/>
          </w:tblCellMar>
          <w:tblLook w:val="01E0"/>
        </w:tblPrEx>
        <w:trPr>
          <w:trHeight w:val="332"/>
          <w:jc w:val="left"/>
        </w:trPr>
        <w:tc>
          <w:tcPr>
            <w:tcW w:w="3147" w:type="dxa"/>
            <w:tcBorders>
              <w:bottom w:val="nil"/>
            </w:tcBorders>
          </w:tcPr>
          <w:p>
            <w:pPr>
              <w:pStyle w:val="TableParagraph"/>
              <w:spacing w:before="58"/>
              <w:ind w:left="107"/>
              <w:rPr>
                <w:b/>
                <w:sz w:val="21"/>
              </w:rPr>
            </w:pPr>
            <w:r>
              <w:rPr>
                <w:b/>
                <w:sz w:val="21"/>
              </w:rPr>
              <w:t>Rebates</w:t>
            </w:r>
            <w:r>
              <w:rPr>
                <w:b/>
                <w:spacing w:val="-5"/>
                <w:sz w:val="21"/>
              </w:rPr>
              <w:t xml:space="preserve"> </w:t>
            </w:r>
            <w:r>
              <w:rPr>
                <w:b/>
                <w:sz w:val="21"/>
              </w:rPr>
              <w:t>for</w:t>
            </w:r>
            <w:r>
              <w:rPr>
                <w:b/>
                <w:spacing w:val="-6"/>
                <w:sz w:val="21"/>
              </w:rPr>
              <w:t xml:space="preserve"> </w:t>
            </w:r>
            <w:r>
              <w:rPr>
                <w:b/>
                <w:spacing w:val="-2"/>
                <w:sz w:val="21"/>
              </w:rPr>
              <w:t>Allocation</w:t>
            </w:r>
          </w:p>
        </w:tc>
        <w:tc>
          <w:tcPr>
            <w:tcW w:w="1169" w:type="dxa"/>
            <w:tcBorders>
              <w:bottom w:val="nil"/>
            </w:tcBorders>
          </w:tcPr>
          <w:p>
            <w:pPr>
              <w:pStyle w:val="TableParagraph"/>
              <w:spacing w:before="58"/>
              <w:ind w:left="7" w:right="2"/>
              <w:jc w:val="center"/>
              <w:rPr>
                <w:sz w:val="21"/>
              </w:rPr>
            </w:pPr>
            <w:r>
              <w:rPr>
                <w:spacing w:val="-5"/>
                <w:sz w:val="21"/>
              </w:rPr>
              <w:t>N/A</w:t>
            </w:r>
          </w:p>
        </w:tc>
        <w:tc>
          <w:tcPr>
            <w:tcW w:w="1352" w:type="dxa"/>
            <w:tcBorders>
              <w:bottom w:val="nil"/>
            </w:tcBorders>
          </w:tcPr>
          <w:p>
            <w:pPr>
              <w:pStyle w:val="TableParagraph"/>
              <w:spacing w:before="58"/>
              <w:ind w:left="25" w:right="20"/>
              <w:jc w:val="center"/>
              <w:rPr>
                <w:sz w:val="21"/>
              </w:rPr>
            </w:pPr>
            <w:r>
              <w:rPr>
                <w:spacing w:val="-5"/>
                <w:sz w:val="21"/>
              </w:rPr>
              <w:t>N/A</w:t>
            </w:r>
          </w:p>
        </w:tc>
        <w:tc>
          <w:tcPr>
            <w:tcW w:w="1169" w:type="dxa"/>
            <w:tcBorders>
              <w:bottom w:val="nil"/>
            </w:tcBorders>
          </w:tcPr>
          <w:p>
            <w:pPr>
              <w:pStyle w:val="TableParagraph"/>
              <w:spacing w:before="58"/>
              <w:ind w:left="7" w:right="2"/>
              <w:jc w:val="center"/>
              <w:rPr>
                <w:sz w:val="21"/>
              </w:rPr>
            </w:pPr>
            <w:r>
              <w:rPr>
                <w:spacing w:val="-2"/>
                <w:sz w:val="21"/>
              </w:rPr>
              <w:t>$7.60</w:t>
            </w:r>
          </w:p>
        </w:tc>
        <w:tc>
          <w:tcPr>
            <w:tcW w:w="1352" w:type="dxa"/>
            <w:tcBorders>
              <w:bottom w:val="nil"/>
            </w:tcBorders>
          </w:tcPr>
          <w:p>
            <w:pPr>
              <w:pStyle w:val="TableParagraph"/>
              <w:spacing w:before="58"/>
              <w:ind w:left="24" w:right="20"/>
              <w:jc w:val="center"/>
              <w:rPr>
                <w:sz w:val="21"/>
              </w:rPr>
            </w:pPr>
            <w:r>
              <w:rPr>
                <w:spacing w:val="-2"/>
                <w:sz w:val="21"/>
              </w:rPr>
              <w:t>$7.60</w:t>
            </w:r>
          </w:p>
        </w:tc>
        <w:tc>
          <w:tcPr>
            <w:tcW w:w="1440" w:type="dxa"/>
            <w:tcBorders>
              <w:bottom w:val="nil"/>
            </w:tcBorders>
          </w:tcPr>
          <w:p>
            <w:pPr>
              <w:pStyle w:val="TableParagraph"/>
              <w:spacing w:before="58"/>
              <w:ind w:left="5" w:right="3"/>
              <w:jc w:val="center"/>
              <w:rPr>
                <w:sz w:val="21"/>
              </w:rPr>
            </w:pPr>
            <w:r>
              <w:rPr>
                <w:spacing w:val="-2"/>
                <w:sz w:val="21"/>
              </w:rPr>
              <w:t>$7.60</w:t>
            </w:r>
          </w:p>
        </w:tc>
      </w:tr>
      <w:tr>
        <w:tblPrEx>
          <w:tblW w:w="0" w:type="auto"/>
          <w:jc w:val="left"/>
          <w:tblInd w:w="514" w:type="dxa"/>
          <w:tblLayout w:type="fixed"/>
          <w:tblCellMar>
            <w:top w:w="0" w:type="dxa"/>
            <w:left w:w="0" w:type="dxa"/>
            <w:bottom w:w="0" w:type="dxa"/>
            <w:right w:w="0" w:type="dxa"/>
          </w:tblCellMar>
          <w:tblLook w:val="01E0"/>
        </w:tblPrEx>
        <w:trPr>
          <w:trHeight w:val="435"/>
          <w:jc w:val="left"/>
        </w:trPr>
        <w:tc>
          <w:tcPr>
            <w:tcW w:w="3147" w:type="dxa"/>
            <w:tcBorders>
              <w:top w:val="nil"/>
              <w:bottom w:val="nil"/>
            </w:tcBorders>
          </w:tcPr>
          <w:p>
            <w:pPr>
              <w:pStyle w:val="TableParagraph"/>
              <w:spacing w:before="25"/>
              <w:ind w:left="107"/>
              <w:rPr>
                <w:b/>
                <w:sz w:val="21"/>
              </w:rPr>
            </w:pPr>
            <w:r>
              <w:rPr>
                <w:b/>
                <w:sz w:val="21"/>
              </w:rPr>
              <w:t>Change</w:t>
            </w:r>
            <w:r>
              <w:rPr>
                <w:b/>
                <w:spacing w:val="-3"/>
                <w:sz w:val="21"/>
              </w:rPr>
              <w:t xml:space="preserve"> </w:t>
            </w:r>
            <w:r>
              <w:rPr>
                <w:b/>
                <w:sz w:val="21"/>
              </w:rPr>
              <w:t>in</w:t>
            </w:r>
            <w:r>
              <w:rPr>
                <w:b/>
                <w:spacing w:val="-5"/>
                <w:sz w:val="21"/>
              </w:rPr>
              <w:t xml:space="preserve"> </w:t>
            </w:r>
            <w:r>
              <w:rPr>
                <w:b/>
                <w:sz w:val="21"/>
              </w:rPr>
              <w:t>MSB</w:t>
            </w:r>
            <w:r>
              <w:rPr>
                <w:b/>
                <w:spacing w:val="-4"/>
                <w:sz w:val="21"/>
              </w:rPr>
              <w:t xml:space="preserve"> </w:t>
            </w:r>
            <w:r>
              <w:rPr>
                <w:b/>
                <w:sz w:val="21"/>
              </w:rPr>
              <w:t>Rev</w:t>
            </w:r>
            <w:r>
              <w:rPr>
                <w:b/>
                <w:spacing w:val="-5"/>
                <w:sz w:val="21"/>
              </w:rPr>
              <w:t xml:space="preserve"> Req</w:t>
            </w:r>
          </w:p>
        </w:tc>
        <w:tc>
          <w:tcPr>
            <w:tcW w:w="1169" w:type="dxa"/>
            <w:tcBorders>
              <w:top w:val="nil"/>
              <w:bottom w:val="nil"/>
            </w:tcBorders>
          </w:tcPr>
          <w:p>
            <w:pPr>
              <w:pStyle w:val="TableParagraph"/>
              <w:spacing w:before="25"/>
              <w:ind w:left="7" w:right="2"/>
              <w:jc w:val="center"/>
              <w:rPr>
                <w:sz w:val="21"/>
              </w:rPr>
            </w:pPr>
            <w:r>
              <w:rPr>
                <w:spacing w:val="-5"/>
                <w:sz w:val="21"/>
              </w:rPr>
              <w:t>N/A</w:t>
            </w:r>
          </w:p>
        </w:tc>
        <w:tc>
          <w:tcPr>
            <w:tcW w:w="1352" w:type="dxa"/>
            <w:tcBorders>
              <w:top w:val="nil"/>
              <w:bottom w:val="nil"/>
            </w:tcBorders>
          </w:tcPr>
          <w:p>
            <w:pPr>
              <w:pStyle w:val="TableParagraph"/>
              <w:spacing w:before="25"/>
              <w:ind w:left="25" w:right="20"/>
              <w:jc w:val="center"/>
              <w:rPr>
                <w:sz w:val="21"/>
              </w:rPr>
            </w:pPr>
            <w:r>
              <w:rPr>
                <w:spacing w:val="-5"/>
                <w:sz w:val="21"/>
              </w:rPr>
              <w:t>N/A</w:t>
            </w:r>
          </w:p>
        </w:tc>
        <w:tc>
          <w:tcPr>
            <w:tcW w:w="1169" w:type="dxa"/>
            <w:tcBorders>
              <w:top w:val="nil"/>
              <w:bottom w:val="nil"/>
            </w:tcBorders>
          </w:tcPr>
          <w:p>
            <w:pPr>
              <w:pStyle w:val="TableParagraph"/>
              <w:spacing w:before="25"/>
              <w:ind w:left="7" w:right="2"/>
              <w:jc w:val="center"/>
              <w:rPr>
                <w:sz w:val="21"/>
              </w:rPr>
            </w:pPr>
            <w:r>
              <w:rPr>
                <w:spacing w:val="-2"/>
                <w:sz w:val="21"/>
              </w:rPr>
              <w:t>$0.00</w:t>
            </w:r>
          </w:p>
        </w:tc>
        <w:tc>
          <w:tcPr>
            <w:tcW w:w="1352" w:type="dxa"/>
            <w:tcBorders>
              <w:top w:val="nil"/>
              <w:bottom w:val="nil"/>
            </w:tcBorders>
          </w:tcPr>
          <w:p>
            <w:pPr>
              <w:pStyle w:val="TableParagraph"/>
              <w:spacing w:before="25"/>
              <w:ind w:left="24" w:right="20"/>
              <w:jc w:val="center"/>
              <w:rPr>
                <w:sz w:val="21"/>
              </w:rPr>
            </w:pPr>
            <w:r>
              <w:rPr>
                <w:spacing w:val="-2"/>
                <w:sz w:val="21"/>
              </w:rPr>
              <w:t>$7.60</w:t>
            </w:r>
          </w:p>
        </w:tc>
        <w:tc>
          <w:tcPr>
            <w:tcW w:w="1440" w:type="dxa"/>
            <w:tcBorders>
              <w:top w:val="nil"/>
              <w:bottom w:val="nil"/>
            </w:tcBorders>
          </w:tcPr>
          <w:p>
            <w:pPr>
              <w:pStyle w:val="TableParagraph"/>
              <w:spacing w:before="25"/>
              <w:ind w:left="5" w:right="3"/>
              <w:jc w:val="center"/>
              <w:rPr>
                <w:sz w:val="21"/>
              </w:rPr>
            </w:pPr>
            <w:r>
              <w:rPr>
                <w:spacing w:val="-2"/>
                <w:sz w:val="21"/>
              </w:rPr>
              <w:t>$11.20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147" w:type="dxa"/>
            <w:tcBorders>
              <w:top w:val="nil"/>
              <w:bottom w:val="nil"/>
            </w:tcBorders>
          </w:tcPr>
          <w:p>
            <w:pPr>
              <w:pStyle w:val="TableParagraph"/>
              <w:spacing w:before="189" w:line="240" w:lineRule="exact"/>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169" w:type="dxa"/>
            <w:tcBorders>
              <w:top w:val="nil"/>
              <w:bottom w:val="nil"/>
            </w:tcBorders>
          </w:tcPr>
          <w:p>
            <w:pPr>
              <w:pStyle w:val="TableParagraph"/>
              <w:spacing w:before="189" w:line="240" w:lineRule="exact"/>
              <w:ind w:left="7" w:right="3"/>
              <w:jc w:val="center"/>
              <w:rPr>
                <w:sz w:val="21"/>
              </w:rPr>
            </w:pPr>
            <w:r>
              <w:rPr>
                <w:spacing w:val="-2"/>
                <w:sz w:val="21"/>
              </w:rPr>
              <w:t>$144.70</w:t>
            </w:r>
          </w:p>
        </w:tc>
        <w:tc>
          <w:tcPr>
            <w:tcW w:w="1352" w:type="dxa"/>
            <w:tcBorders>
              <w:top w:val="nil"/>
              <w:bottom w:val="nil"/>
            </w:tcBorders>
          </w:tcPr>
          <w:p>
            <w:pPr>
              <w:pStyle w:val="TableParagraph"/>
              <w:spacing w:before="161"/>
              <w:ind w:left="28" w:right="20"/>
              <w:jc w:val="center"/>
              <w:rPr>
                <w:sz w:val="21"/>
              </w:rPr>
            </w:pPr>
            <w:r>
              <w:rPr>
                <w:spacing w:val="-2"/>
                <w:sz w:val="21"/>
              </w:rPr>
              <w:t>$144.70</w:t>
            </w:r>
          </w:p>
        </w:tc>
        <w:tc>
          <w:tcPr>
            <w:tcW w:w="1169" w:type="dxa"/>
            <w:tcBorders>
              <w:top w:val="nil"/>
              <w:bottom w:val="nil"/>
            </w:tcBorders>
          </w:tcPr>
          <w:p>
            <w:pPr>
              <w:pStyle w:val="TableParagraph"/>
              <w:spacing w:before="189" w:line="240" w:lineRule="exact"/>
              <w:ind w:left="7" w:right="4"/>
              <w:jc w:val="center"/>
              <w:rPr>
                <w:sz w:val="21"/>
              </w:rPr>
            </w:pPr>
            <w:r>
              <w:rPr>
                <w:spacing w:val="-2"/>
                <w:sz w:val="21"/>
              </w:rPr>
              <w:t>$144.70</w:t>
            </w:r>
          </w:p>
        </w:tc>
        <w:tc>
          <w:tcPr>
            <w:tcW w:w="1352" w:type="dxa"/>
            <w:tcBorders>
              <w:top w:val="nil"/>
              <w:bottom w:val="nil"/>
            </w:tcBorders>
          </w:tcPr>
          <w:p>
            <w:pPr>
              <w:pStyle w:val="TableParagraph"/>
              <w:spacing w:before="189" w:line="240" w:lineRule="exact"/>
              <w:ind w:left="27" w:right="20"/>
              <w:jc w:val="center"/>
              <w:rPr>
                <w:b/>
                <w:i/>
                <w:sz w:val="21"/>
              </w:rPr>
            </w:pPr>
            <w:r>
              <w:rPr>
                <w:b/>
                <w:i/>
                <w:spacing w:val="-2"/>
                <w:sz w:val="21"/>
              </w:rPr>
              <w:t>$152.30</w:t>
            </w:r>
          </w:p>
        </w:tc>
        <w:tc>
          <w:tcPr>
            <w:tcW w:w="1440" w:type="dxa"/>
            <w:tcBorders>
              <w:top w:val="nil"/>
              <w:bottom w:val="nil"/>
            </w:tcBorders>
          </w:tcPr>
          <w:p>
            <w:pPr>
              <w:pStyle w:val="TableParagraph"/>
              <w:spacing w:before="189" w:line="240" w:lineRule="exact"/>
              <w:ind w:left="5"/>
              <w:jc w:val="center"/>
              <w:rPr>
                <w:b/>
                <w:i/>
                <w:sz w:val="21"/>
              </w:rPr>
            </w:pPr>
            <w:r>
              <w:rPr>
                <w:b/>
                <w:i/>
                <w:spacing w:val="-2"/>
                <w:sz w:val="21"/>
              </w:rPr>
              <w:t>$155.90</w:t>
            </w:r>
          </w:p>
        </w:tc>
      </w:tr>
      <w:tr>
        <w:tblPrEx>
          <w:tblW w:w="0" w:type="auto"/>
          <w:jc w:val="left"/>
          <w:tblInd w:w="514" w:type="dxa"/>
          <w:tblLayout w:type="fixed"/>
          <w:tblCellMar>
            <w:top w:w="0" w:type="dxa"/>
            <w:left w:w="0" w:type="dxa"/>
            <w:bottom w:w="0" w:type="dxa"/>
            <w:right w:w="0" w:type="dxa"/>
          </w:tblCellMar>
          <w:tblLook w:val="01E0"/>
        </w:tblPrEx>
        <w:trPr>
          <w:trHeight w:val="314"/>
          <w:jc w:val="left"/>
        </w:trPr>
        <w:tc>
          <w:tcPr>
            <w:tcW w:w="3147" w:type="dxa"/>
            <w:tcBorders>
              <w:top w:val="nil"/>
              <w:bottom w:val="nil"/>
            </w:tcBorders>
          </w:tcPr>
          <w:p>
            <w:pPr>
              <w:pStyle w:val="TableParagraph"/>
              <w:spacing w:before="39"/>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169" w:type="dxa"/>
            <w:tcBorders>
              <w:top w:val="nil"/>
              <w:bottom w:val="nil"/>
            </w:tcBorders>
          </w:tcPr>
          <w:p>
            <w:pPr>
              <w:pStyle w:val="TableParagraph"/>
              <w:spacing w:before="39"/>
              <w:ind w:left="7" w:right="3"/>
              <w:jc w:val="center"/>
              <w:rPr>
                <w:sz w:val="21"/>
              </w:rPr>
            </w:pPr>
            <w:r>
              <w:rPr>
                <w:spacing w:val="-2"/>
                <w:sz w:val="21"/>
              </w:rPr>
              <w:t>$113.00</w:t>
            </w:r>
          </w:p>
        </w:tc>
        <w:tc>
          <w:tcPr>
            <w:tcW w:w="1352" w:type="dxa"/>
            <w:tcBorders>
              <w:top w:val="nil"/>
              <w:bottom w:val="nil"/>
            </w:tcBorders>
          </w:tcPr>
          <w:p>
            <w:pPr>
              <w:pStyle w:val="TableParagraph"/>
              <w:spacing w:before="11"/>
              <w:ind w:left="28" w:right="20"/>
              <w:jc w:val="center"/>
              <w:rPr>
                <w:sz w:val="21"/>
              </w:rPr>
            </w:pPr>
            <w:r>
              <w:rPr>
                <w:spacing w:val="-2"/>
                <w:sz w:val="21"/>
              </w:rPr>
              <w:t>$113.00</w:t>
            </w:r>
          </w:p>
        </w:tc>
        <w:tc>
          <w:tcPr>
            <w:tcW w:w="1169" w:type="dxa"/>
            <w:tcBorders>
              <w:top w:val="nil"/>
              <w:bottom w:val="nil"/>
            </w:tcBorders>
          </w:tcPr>
          <w:p>
            <w:pPr>
              <w:pStyle w:val="TableParagraph"/>
              <w:spacing w:before="39"/>
              <w:ind w:left="7" w:right="4"/>
              <w:jc w:val="center"/>
              <w:rPr>
                <w:b/>
                <w:i/>
                <w:sz w:val="21"/>
              </w:rPr>
            </w:pPr>
            <w:r>
              <w:rPr>
                <w:b/>
                <w:i/>
                <w:spacing w:val="-2"/>
                <w:sz w:val="21"/>
              </w:rPr>
              <w:t>$120.60</w:t>
            </w:r>
          </w:p>
        </w:tc>
        <w:tc>
          <w:tcPr>
            <w:tcW w:w="1352" w:type="dxa"/>
            <w:tcBorders>
              <w:top w:val="nil"/>
              <w:bottom w:val="nil"/>
            </w:tcBorders>
          </w:tcPr>
          <w:p>
            <w:pPr>
              <w:pStyle w:val="TableParagraph"/>
              <w:spacing w:before="39"/>
              <w:ind w:left="27" w:right="20"/>
              <w:jc w:val="center"/>
              <w:rPr>
                <w:b/>
                <w:i/>
                <w:sz w:val="21"/>
              </w:rPr>
            </w:pPr>
            <w:r>
              <w:rPr>
                <w:b/>
                <w:i/>
                <w:spacing w:val="-2"/>
                <w:sz w:val="21"/>
              </w:rPr>
              <w:t>$120.60</w:t>
            </w:r>
          </w:p>
        </w:tc>
        <w:tc>
          <w:tcPr>
            <w:tcW w:w="1440" w:type="dxa"/>
            <w:tcBorders>
              <w:top w:val="nil"/>
              <w:bottom w:val="nil"/>
            </w:tcBorders>
          </w:tcPr>
          <w:p>
            <w:pPr>
              <w:pStyle w:val="TableParagraph"/>
              <w:spacing w:before="39"/>
              <w:ind w:left="5"/>
              <w:jc w:val="center"/>
              <w:rPr>
                <w:b/>
                <w:i/>
                <w:sz w:val="21"/>
              </w:rPr>
            </w:pPr>
            <w:r>
              <w:rPr>
                <w:b/>
                <w:i/>
                <w:spacing w:val="-2"/>
                <w:sz w:val="21"/>
              </w:rPr>
              <w:t>$124.20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147" w:type="dxa"/>
            <w:tcBorders>
              <w:top w:val="nil"/>
              <w:bottom w:val="nil"/>
            </w:tcBorders>
          </w:tcPr>
          <w:p>
            <w:pPr>
              <w:pStyle w:val="TableParagraph"/>
              <w:spacing w:before="25"/>
              <w:ind w:left="107"/>
              <w:rPr>
                <w:b/>
                <w:sz w:val="21"/>
              </w:rPr>
            </w:pPr>
            <w:r>
              <w:rPr>
                <w:b/>
                <w:sz w:val="21"/>
              </w:rPr>
              <w:t>MA</w:t>
            </w:r>
            <w:r>
              <w:rPr>
                <w:b/>
                <w:spacing w:val="-5"/>
                <w:sz w:val="21"/>
              </w:rPr>
              <w:t xml:space="preserve"> </w:t>
            </w:r>
            <w:r>
              <w:rPr>
                <w:b/>
                <w:spacing w:val="-2"/>
                <w:sz w:val="21"/>
              </w:rPr>
              <w:t>Premium</w:t>
            </w:r>
          </w:p>
        </w:tc>
        <w:tc>
          <w:tcPr>
            <w:tcW w:w="1169" w:type="dxa"/>
            <w:tcBorders>
              <w:top w:val="nil"/>
              <w:bottom w:val="nil"/>
            </w:tcBorders>
          </w:tcPr>
          <w:p>
            <w:pPr>
              <w:pStyle w:val="TableParagraph"/>
              <w:spacing w:before="25"/>
              <w:ind w:left="7" w:right="1"/>
              <w:jc w:val="center"/>
              <w:rPr>
                <w:sz w:val="21"/>
              </w:rPr>
            </w:pPr>
            <w:r>
              <w:rPr>
                <w:spacing w:val="-2"/>
                <w:sz w:val="21"/>
              </w:rPr>
              <w:t>$31.70</w:t>
            </w:r>
          </w:p>
        </w:tc>
        <w:tc>
          <w:tcPr>
            <w:tcW w:w="1352" w:type="dxa"/>
            <w:tcBorders>
              <w:top w:val="nil"/>
              <w:bottom w:val="nil"/>
            </w:tcBorders>
          </w:tcPr>
          <w:p>
            <w:pPr>
              <w:pStyle w:val="TableParagraph"/>
              <w:spacing w:before="25"/>
              <w:ind w:left="25" w:right="20"/>
              <w:jc w:val="center"/>
              <w:rPr>
                <w:sz w:val="21"/>
              </w:rPr>
            </w:pPr>
            <w:r>
              <w:rPr>
                <w:spacing w:val="-2"/>
                <w:sz w:val="21"/>
              </w:rPr>
              <w:t>$31.70</w:t>
            </w:r>
          </w:p>
        </w:tc>
        <w:tc>
          <w:tcPr>
            <w:tcW w:w="1169" w:type="dxa"/>
            <w:tcBorders>
              <w:top w:val="nil"/>
              <w:bottom w:val="nil"/>
            </w:tcBorders>
          </w:tcPr>
          <w:p>
            <w:pPr>
              <w:pStyle w:val="TableParagraph"/>
              <w:spacing w:before="25"/>
              <w:ind w:left="7" w:right="2"/>
              <w:jc w:val="center"/>
              <w:rPr>
                <w:sz w:val="21"/>
              </w:rPr>
            </w:pPr>
            <w:r>
              <w:rPr>
                <w:spacing w:val="-2"/>
                <w:sz w:val="21"/>
              </w:rPr>
              <w:t>$24.10</w:t>
            </w:r>
          </w:p>
        </w:tc>
        <w:tc>
          <w:tcPr>
            <w:tcW w:w="1352" w:type="dxa"/>
            <w:tcBorders>
              <w:top w:val="nil"/>
              <w:bottom w:val="nil"/>
            </w:tcBorders>
          </w:tcPr>
          <w:p>
            <w:pPr>
              <w:pStyle w:val="TableParagraph"/>
              <w:spacing w:before="25"/>
              <w:ind w:left="24" w:right="20"/>
              <w:jc w:val="center"/>
              <w:rPr>
                <w:sz w:val="21"/>
              </w:rPr>
            </w:pPr>
            <w:r>
              <w:rPr>
                <w:spacing w:val="-2"/>
                <w:sz w:val="21"/>
              </w:rPr>
              <w:t>$31.70</w:t>
            </w:r>
          </w:p>
        </w:tc>
        <w:tc>
          <w:tcPr>
            <w:tcW w:w="1440" w:type="dxa"/>
            <w:tcBorders>
              <w:top w:val="nil"/>
              <w:bottom w:val="nil"/>
            </w:tcBorders>
          </w:tcPr>
          <w:p>
            <w:pPr>
              <w:pStyle w:val="TableParagraph"/>
              <w:spacing w:before="25"/>
              <w:ind w:left="5" w:right="3"/>
              <w:jc w:val="center"/>
              <w:rPr>
                <w:sz w:val="21"/>
              </w:rPr>
            </w:pPr>
            <w:r>
              <w:rPr>
                <w:spacing w:val="-2"/>
                <w:sz w:val="21"/>
              </w:rPr>
              <w:t>$31.70</w:t>
            </w:r>
          </w:p>
        </w:tc>
      </w:tr>
      <w:tr>
        <w:tblPrEx>
          <w:tblW w:w="0" w:type="auto"/>
          <w:jc w:val="left"/>
          <w:tblInd w:w="514" w:type="dxa"/>
          <w:tblLayout w:type="fixed"/>
          <w:tblCellMar>
            <w:top w:w="0" w:type="dxa"/>
            <w:left w:w="0" w:type="dxa"/>
            <w:bottom w:w="0" w:type="dxa"/>
            <w:right w:w="0" w:type="dxa"/>
          </w:tblCellMar>
          <w:tblLook w:val="01E0"/>
        </w:tblPrEx>
        <w:trPr>
          <w:trHeight w:val="449"/>
          <w:jc w:val="left"/>
        </w:trPr>
        <w:tc>
          <w:tcPr>
            <w:tcW w:w="3147" w:type="dxa"/>
            <w:tcBorders>
              <w:top w:val="nil"/>
              <w:bottom w:val="nil"/>
            </w:tcBorders>
          </w:tcPr>
          <w:p>
            <w:pPr>
              <w:pStyle w:val="TableParagraph"/>
              <w:spacing w:before="175"/>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5"/>
                <w:sz w:val="21"/>
              </w:rPr>
              <w:t xml:space="preserve"> </w:t>
            </w:r>
            <w:r>
              <w:rPr>
                <w:spacing w:val="-2"/>
                <w:sz w:val="21"/>
              </w:rPr>
              <w:t>Rebate</w:t>
            </w:r>
          </w:p>
        </w:tc>
        <w:tc>
          <w:tcPr>
            <w:tcW w:w="1169" w:type="dxa"/>
            <w:tcBorders>
              <w:top w:val="nil"/>
              <w:bottom w:val="nil"/>
            </w:tcBorders>
          </w:tcPr>
          <w:p>
            <w:pPr>
              <w:pStyle w:val="TableParagraph"/>
              <w:spacing w:before="175"/>
              <w:ind w:left="7" w:right="1"/>
              <w:jc w:val="center"/>
              <w:rPr>
                <w:sz w:val="21"/>
              </w:rPr>
            </w:pPr>
            <w:r>
              <w:rPr>
                <w:spacing w:val="-2"/>
                <w:sz w:val="21"/>
              </w:rPr>
              <w:t>$64.30</w:t>
            </w:r>
          </w:p>
        </w:tc>
        <w:tc>
          <w:tcPr>
            <w:tcW w:w="1352" w:type="dxa"/>
            <w:tcBorders>
              <w:top w:val="nil"/>
              <w:bottom w:val="nil"/>
            </w:tcBorders>
          </w:tcPr>
          <w:p>
            <w:pPr>
              <w:pStyle w:val="TableParagraph"/>
              <w:spacing w:before="175"/>
              <w:ind w:left="25" w:right="20"/>
              <w:jc w:val="center"/>
              <w:rPr>
                <w:sz w:val="21"/>
              </w:rPr>
            </w:pPr>
            <w:r>
              <w:rPr>
                <w:spacing w:val="-2"/>
                <w:sz w:val="21"/>
              </w:rPr>
              <w:t>$56.70</w:t>
            </w:r>
          </w:p>
        </w:tc>
        <w:tc>
          <w:tcPr>
            <w:tcW w:w="1169" w:type="dxa"/>
            <w:tcBorders>
              <w:top w:val="nil"/>
              <w:bottom w:val="nil"/>
            </w:tcBorders>
          </w:tcPr>
          <w:p>
            <w:pPr>
              <w:pStyle w:val="TableParagraph"/>
              <w:spacing w:before="175"/>
              <w:ind w:left="7" w:right="2"/>
              <w:jc w:val="center"/>
              <w:rPr>
                <w:sz w:val="21"/>
              </w:rPr>
            </w:pPr>
            <w:r>
              <w:rPr>
                <w:spacing w:val="-2"/>
                <w:sz w:val="21"/>
              </w:rPr>
              <w:t>$56.70</w:t>
            </w:r>
          </w:p>
        </w:tc>
        <w:tc>
          <w:tcPr>
            <w:tcW w:w="1352" w:type="dxa"/>
            <w:tcBorders>
              <w:top w:val="nil"/>
              <w:bottom w:val="nil"/>
            </w:tcBorders>
          </w:tcPr>
          <w:p>
            <w:pPr>
              <w:pStyle w:val="TableParagraph"/>
              <w:spacing w:before="175"/>
              <w:ind w:left="24" w:right="20"/>
              <w:jc w:val="center"/>
              <w:rPr>
                <w:sz w:val="21"/>
              </w:rPr>
            </w:pPr>
            <w:r>
              <w:rPr>
                <w:spacing w:val="-2"/>
                <w:sz w:val="21"/>
              </w:rPr>
              <w:t>$56.70</w:t>
            </w:r>
          </w:p>
        </w:tc>
        <w:tc>
          <w:tcPr>
            <w:tcW w:w="1440" w:type="dxa"/>
            <w:tcBorders>
              <w:top w:val="nil"/>
              <w:bottom w:val="nil"/>
            </w:tcBorders>
          </w:tcPr>
          <w:p>
            <w:pPr>
              <w:pStyle w:val="TableParagraph"/>
              <w:spacing w:before="175"/>
              <w:ind w:left="5" w:right="3"/>
              <w:jc w:val="center"/>
              <w:rPr>
                <w:sz w:val="21"/>
              </w:rPr>
            </w:pPr>
            <w:r>
              <w:rPr>
                <w:spacing w:val="-2"/>
                <w:sz w:val="21"/>
              </w:rPr>
              <w:t>$56.70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147"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5"/>
                <w:sz w:val="21"/>
              </w:rPr>
              <w:t xml:space="preserve"> </w:t>
            </w:r>
            <w:r>
              <w:rPr>
                <w:spacing w:val="-2"/>
                <w:sz w:val="21"/>
              </w:rPr>
              <w:t>Allocations</w:t>
            </w:r>
          </w:p>
        </w:tc>
        <w:tc>
          <w:tcPr>
            <w:tcW w:w="1169" w:type="dxa"/>
            <w:tcBorders>
              <w:top w:val="nil"/>
              <w:bottom w:val="nil"/>
            </w:tcBorders>
          </w:tcPr>
          <w:p>
            <w:pPr>
              <w:pStyle w:val="TableParagraph"/>
              <w:spacing w:before="25"/>
              <w:ind w:left="7" w:right="1"/>
              <w:jc w:val="center"/>
              <w:rPr>
                <w:sz w:val="21"/>
              </w:rPr>
            </w:pPr>
            <w:r>
              <w:rPr>
                <w:spacing w:val="-2"/>
                <w:sz w:val="21"/>
              </w:rPr>
              <w:t>$8.00</w:t>
            </w:r>
          </w:p>
        </w:tc>
        <w:tc>
          <w:tcPr>
            <w:tcW w:w="1352" w:type="dxa"/>
            <w:tcBorders>
              <w:top w:val="nil"/>
              <w:bottom w:val="nil"/>
            </w:tcBorders>
          </w:tcPr>
          <w:p>
            <w:pPr>
              <w:pStyle w:val="TableParagraph"/>
              <w:spacing w:before="25"/>
              <w:ind w:left="25" w:right="20"/>
              <w:jc w:val="center"/>
              <w:rPr>
                <w:sz w:val="21"/>
              </w:rPr>
            </w:pPr>
            <w:r>
              <w:rPr>
                <w:spacing w:val="-2"/>
                <w:sz w:val="21"/>
              </w:rPr>
              <w:t>$8.00</w:t>
            </w:r>
          </w:p>
        </w:tc>
        <w:tc>
          <w:tcPr>
            <w:tcW w:w="1169" w:type="dxa"/>
            <w:tcBorders>
              <w:top w:val="nil"/>
              <w:bottom w:val="nil"/>
            </w:tcBorders>
          </w:tcPr>
          <w:p>
            <w:pPr>
              <w:pStyle w:val="TableParagraph"/>
              <w:spacing w:before="25"/>
              <w:ind w:left="7" w:right="2"/>
              <w:jc w:val="center"/>
              <w:rPr>
                <w:b/>
                <w:i/>
                <w:sz w:val="21"/>
              </w:rPr>
            </w:pPr>
            <w:r>
              <w:rPr>
                <w:b/>
                <w:i/>
                <w:spacing w:val="-2"/>
                <w:sz w:val="21"/>
              </w:rPr>
              <w:t>$0.40</w:t>
            </w:r>
          </w:p>
        </w:tc>
        <w:tc>
          <w:tcPr>
            <w:tcW w:w="1352" w:type="dxa"/>
            <w:tcBorders>
              <w:top w:val="nil"/>
              <w:bottom w:val="nil"/>
            </w:tcBorders>
          </w:tcPr>
          <w:p>
            <w:pPr>
              <w:pStyle w:val="TableParagraph"/>
              <w:spacing w:before="25"/>
              <w:ind w:left="24" w:right="20"/>
              <w:jc w:val="center"/>
              <w:rPr>
                <w:b/>
                <w:i/>
                <w:sz w:val="21"/>
              </w:rPr>
            </w:pPr>
            <w:r>
              <w:rPr>
                <w:b/>
                <w:i/>
                <w:spacing w:val="-2"/>
                <w:sz w:val="21"/>
              </w:rPr>
              <w:t>$0.40</w:t>
            </w:r>
          </w:p>
        </w:tc>
        <w:tc>
          <w:tcPr>
            <w:tcW w:w="1440" w:type="dxa"/>
            <w:tcBorders>
              <w:top w:val="nil"/>
              <w:bottom w:val="nil"/>
            </w:tcBorders>
          </w:tcPr>
          <w:p>
            <w:pPr>
              <w:pStyle w:val="TableParagraph"/>
              <w:spacing w:before="25"/>
              <w:ind w:left="5" w:right="3"/>
              <w:jc w:val="center"/>
              <w:rPr>
                <w:b/>
                <w:i/>
                <w:sz w:val="21"/>
              </w:rPr>
            </w:pPr>
            <w:r>
              <w:rPr>
                <w:b/>
                <w:i/>
                <w:spacing w:val="-2"/>
                <w:sz w:val="21"/>
              </w:rPr>
              <w:t>$0.40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147"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169" w:type="dxa"/>
            <w:tcBorders>
              <w:top w:val="nil"/>
              <w:bottom w:val="nil"/>
            </w:tcBorders>
          </w:tcPr>
          <w:p>
            <w:pPr>
              <w:pStyle w:val="TableParagraph"/>
              <w:spacing w:before="25"/>
              <w:ind w:left="7" w:right="1"/>
              <w:jc w:val="center"/>
              <w:rPr>
                <w:sz w:val="21"/>
              </w:rPr>
            </w:pPr>
            <w:r>
              <w:rPr>
                <w:spacing w:val="-2"/>
                <w:sz w:val="21"/>
              </w:rPr>
              <w:t>$56.30</w:t>
            </w:r>
          </w:p>
        </w:tc>
        <w:tc>
          <w:tcPr>
            <w:tcW w:w="1352" w:type="dxa"/>
            <w:tcBorders>
              <w:top w:val="nil"/>
              <w:bottom w:val="nil"/>
            </w:tcBorders>
          </w:tcPr>
          <w:p>
            <w:pPr>
              <w:pStyle w:val="TableParagraph"/>
              <w:spacing w:before="25"/>
              <w:ind w:left="25" w:right="20"/>
              <w:jc w:val="center"/>
              <w:rPr>
                <w:sz w:val="21"/>
              </w:rPr>
            </w:pPr>
            <w:r>
              <w:rPr>
                <w:spacing w:val="-2"/>
                <w:sz w:val="21"/>
              </w:rPr>
              <w:t>$48.70</w:t>
            </w:r>
          </w:p>
        </w:tc>
        <w:tc>
          <w:tcPr>
            <w:tcW w:w="1169" w:type="dxa"/>
            <w:tcBorders>
              <w:top w:val="nil"/>
              <w:bottom w:val="nil"/>
            </w:tcBorders>
          </w:tcPr>
          <w:p>
            <w:pPr>
              <w:pStyle w:val="TableParagraph"/>
              <w:spacing w:before="25"/>
              <w:ind w:left="7" w:right="2"/>
              <w:jc w:val="center"/>
              <w:rPr>
                <w:sz w:val="21"/>
              </w:rPr>
            </w:pPr>
            <w:r>
              <w:rPr>
                <w:spacing w:val="-2"/>
                <w:sz w:val="21"/>
              </w:rPr>
              <w:t>$56.30</w:t>
            </w:r>
          </w:p>
        </w:tc>
        <w:tc>
          <w:tcPr>
            <w:tcW w:w="1352" w:type="dxa"/>
            <w:tcBorders>
              <w:top w:val="nil"/>
              <w:bottom w:val="nil"/>
            </w:tcBorders>
          </w:tcPr>
          <w:p>
            <w:pPr>
              <w:pStyle w:val="TableParagraph"/>
              <w:spacing w:before="25"/>
              <w:ind w:left="24" w:right="20"/>
              <w:jc w:val="center"/>
              <w:rPr>
                <w:sz w:val="21"/>
              </w:rPr>
            </w:pPr>
            <w:r>
              <w:rPr>
                <w:spacing w:val="-2"/>
                <w:sz w:val="21"/>
              </w:rPr>
              <w:t>$56.30</w:t>
            </w:r>
          </w:p>
        </w:tc>
        <w:tc>
          <w:tcPr>
            <w:tcW w:w="1440" w:type="dxa"/>
            <w:tcBorders>
              <w:top w:val="nil"/>
              <w:bottom w:val="nil"/>
            </w:tcBorders>
          </w:tcPr>
          <w:p>
            <w:pPr>
              <w:pStyle w:val="TableParagraph"/>
              <w:spacing w:before="25"/>
              <w:ind w:left="5" w:right="3"/>
              <w:jc w:val="center"/>
              <w:rPr>
                <w:sz w:val="21"/>
              </w:rPr>
            </w:pPr>
            <w:r>
              <w:rPr>
                <w:spacing w:val="-2"/>
                <w:sz w:val="21"/>
              </w:rPr>
              <w:t>$56.30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147"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169" w:type="dxa"/>
            <w:tcBorders>
              <w:top w:val="nil"/>
              <w:bottom w:val="nil"/>
            </w:tcBorders>
          </w:tcPr>
          <w:p>
            <w:pPr>
              <w:pStyle w:val="TableParagraph"/>
              <w:spacing w:before="175"/>
              <w:ind w:left="7" w:right="1"/>
              <w:jc w:val="center"/>
              <w:rPr>
                <w:sz w:val="21"/>
              </w:rPr>
            </w:pPr>
            <w:r>
              <w:rPr>
                <w:spacing w:val="-2"/>
                <w:sz w:val="21"/>
              </w:rPr>
              <w:t>$23.90</w:t>
            </w:r>
          </w:p>
        </w:tc>
        <w:tc>
          <w:tcPr>
            <w:tcW w:w="1352" w:type="dxa"/>
            <w:tcBorders>
              <w:top w:val="nil"/>
              <w:bottom w:val="nil"/>
            </w:tcBorders>
          </w:tcPr>
          <w:p>
            <w:pPr>
              <w:pStyle w:val="TableParagraph"/>
              <w:spacing w:before="175"/>
              <w:ind w:left="25" w:right="20"/>
              <w:jc w:val="center"/>
              <w:rPr>
                <w:sz w:val="21"/>
              </w:rPr>
            </w:pPr>
            <w:r>
              <w:rPr>
                <w:spacing w:val="-2"/>
                <w:sz w:val="21"/>
              </w:rPr>
              <w:t>$23.90</w:t>
            </w:r>
          </w:p>
        </w:tc>
        <w:tc>
          <w:tcPr>
            <w:tcW w:w="1169" w:type="dxa"/>
            <w:tcBorders>
              <w:top w:val="nil"/>
              <w:bottom w:val="nil"/>
            </w:tcBorders>
          </w:tcPr>
          <w:p>
            <w:pPr>
              <w:pStyle w:val="TableParagraph"/>
              <w:spacing w:before="175"/>
              <w:ind w:left="7" w:right="2"/>
              <w:jc w:val="center"/>
              <w:rPr>
                <w:sz w:val="21"/>
              </w:rPr>
            </w:pPr>
            <w:r>
              <w:rPr>
                <w:spacing w:val="-2"/>
                <w:sz w:val="21"/>
              </w:rPr>
              <w:t>$23.90</w:t>
            </w:r>
          </w:p>
        </w:tc>
        <w:tc>
          <w:tcPr>
            <w:tcW w:w="1352" w:type="dxa"/>
            <w:tcBorders>
              <w:top w:val="nil"/>
              <w:bottom w:val="nil"/>
            </w:tcBorders>
          </w:tcPr>
          <w:p>
            <w:pPr>
              <w:pStyle w:val="TableParagraph"/>
              <w:spacing w:before="175"/>
              <w:ind w:left="24" w:right="20"/>
              <w:jc w:val="center"/>
              <w:rPr>
                <w:sz w:val="21"/>
              </w:rPr>
            </w:pPr>
            <w:r>
              <w:rPr>
                <w:spacing w:val="-2"/>
                <w:sz w:val="21"/>
              </w:rPr>
              <w:t>$23.90</w:t>
            </w:r>
          </w:p>
        </w:tc>
        <w:tc>
          <w:tcPr>
            <w:tcW w:w="1440" w:type="dxa"/>
            <w:tcBorders>
              <w:top w:val="nil"/>
              <w:bottom w:val="nil"/>
            </w:tcBorders>
          </w:tcPr>
          <w:p>
            <w:pPr>
              <w:pStyle w:val="TableParagraph"/>
              <w:spacing w:before="175"/>
              <w:ind w:left="5" w:right="3"/>
              <w:jc w:val="center"/>
              <w:rPr>
                <w:sz w:val="21"/>
              </w:rPr>
            </w:pPr>
            <w:r>
              <w:rPr>
                <w:spacing w:val="-2"/>
                <w:sz w:val="21"/>
              </w:rPr>
              <w:t>$69.60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147"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169" w:type="dxa"/>
            <w:tcBorders>
              <w:top w:val="nil"/>
              <w:bottom w:val="nil"/>
            </w:tcBorders>
          </w:tcPr>
          <w:p>
            <w:pPr>
              <w:pStyle w:val="TableParagraph"/>
              <w:spacing w:before="25"/>
              <w:ind w:left="7" w:right="1"/>
              <w:jc w:val="center"/>
              <w:rPr>
                <w:sz w:val="21"/>
              </w:rPr>
            </w:pPr>
            <w:r>
              <w:rPr>
                <w:spacing w:val="-2"/>
                <w:sz w:val="21"/>
              </w:rPr>
              <w:t>$23.90</w:t>
            </w:r>
          </w:p>
        </w:tc>
        <w:tc>
          <w:tcPr>
            <w:tcW w:w="1352" w:type="dxa"/>
            <w:tcBorders>
              <w:top w:val="nil"/>
              <w:bottom w:val="nil"/>
            </w:tcBorders>
          </w:tcPr>
          <w:p>
            <w:pPr>
              <w:pStyle w:val="TableParagraph"/>
              <w:spacing w:before="25"/>
              <w:ind w:left="25" w:right="20"/>
              <w:jc w:val="center"/>
              <w:rPr>
                <w:sz w:val="21"/>
              </w:rPr>
            </w:pPr>
            <w:r>
              <w:rPr>
                <w:spacing w:val="-2"/>
                <w:sz w:val="21"/>
              </w:rPr>
              <w:t>$23.90</w:t>
            </w:r>
          </w:p>
        </w:tc>
        <w:tc>
          <w:tcPr>
            <w:tcW w:w="1169" w:type="dxa"/>
            <w:tcBorders>
              <w:top w:val="nil"/>
              <w:bottom w:val="nil"/>
            </w:tcBorders>
          </w:tcPr>
          <w:p>
            <w:pPr>
              <w:pStyle w:val="TableParagraph"/>
              <w:spacing w:before="25"/>
              <w:ind w:left="7" w:right="2"/>
              <w:jc w:val="center"/>
              <w:rPr>
                <w:sz w:val="21"/>
              </w:rPr>
            </w:pPr>
            <w:r>
              <w:rPr>
                <w:spacing w:val="-2"/>
                <w:sz w:val="21"/>
              </w:rPr>
              <w:t>$23.90</w:t>
            </w:r>
          </w:p>
        </w:tc>
        <w:tc>
          <w:tcPr>
            <w:tcW w:w="1352" w:type="dxa"/>
            <w:tcBorders>
              <w:top w:val="nil"/>
              <w:bottom w:val="nil"/>
            </w:tcBorders>
          </w:tcPr>
          <w:p>
            <w:pPr>
              <w:pStyle w:val="TableParagraph"/>
              <w:spacing w:before="25"/>
              <w:ind w:left="24" w:right="20"/>
              <w:jc w:val="center"/>
              <w:rPr>
                <w:sz w:val="21"/>
              </w:rPr>
            </w:pPr>
            <w:r>
              <w:rPr>
                <w:spacing w:val="-2"/>
                <w:sz w:val="21"/>
              </w:rPr>
              <w:t>$23.90</w:t>
            </w:r>
          </w:p>
        </w:tc>
        <w:tc>
          <w:tcPr>
            <w:tcW w:w="1440" w:type="dxa"/>
            <w:tcBorders>
              <w:top w:val="nil"/>
              <w:bottom w:val="nil"/>
            </w:tcBorders>
          </w:tcPr>
          <w:p>
            <w:pPr>
              <w:pStyle w:val="TableParagraph"/>
              <w:spacing w:before="25"/>
              <w:ind w:left="5" w:right="3"/>
              <w:jc w:val="center"/>
              <w:rPr>
                <w:sz w:val="21"/>
              </w:rPr>
            </w:pPr>
            <w:r>
              <w:rPr>
                <w:spacing w:val="-2"/>
                <w:sz w:val="21"/>
              </w:rPr>
              <w:t>$69.60</w:t>
            </w:r>
          </w:p>
        </w:tc>
      </w:tr>
      <w:tr>
        <w:tblPrEx>
          <w:tblW w:w="0" w:type="auto"/>
          <w:jc w:val="left"/>
          <w:tblInd w:w="514" w:type="dxa"/>
          <w:tblLayout w:type="fixed"/>
          <w:tblCellMar>
            <w:top w:w="0" w:type="dxa"/>
            <w:left w:w="0" w:type="dxa"/>
            <w:bottom w:w="0" w:type="dxa"/>
            <w:right w:w="0" w:type="dxa"/>
          </w:tblCellMar>
          <w:tblLook w:val="01E0"/>
        </w:tblPrEx>
        <w:trPr>
          <w:trHeight w:val="566"/>
          <w:jc w:val="left"/>
        </w:trPr>
        <w:tc>
          <w:tcPr>
            <w:tcW w:w="3147"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169" w:type="dxa"/>
            <w:tcBorders>
              <w:top w:val="nil"/>
            </w:tcBorders>
          </w:tcPr>
          <w:p>
            <w:pPr>
              <w:pStyle w:val="TableParagraph"/>
              <w:spacing w:before="25"/>
              <w:ind w:left="7" w:right="1"/>
              <w:jc w:val="center"/>
              <w:rPr>
                <w:sz w:val="21"/>
              </w:rPr>
            </w:pPr>
            <w:r>
              <w:rPr>
                <w:spacing w:val="-2"/>
                <w:sz w:val="21"/>
              </w:rPr>
              <w:t>$0.00</w:t>
            </w:r>
          </w:p>
        </w:tc>
        <w:tc>
          <w:tcPr>
            <w:tcW w:w="1352" w:type="dxa"/>
            <w:tcBorders>
              <w:top w:val="nil"/>
            </w:tcBorders>
          </w:tcPr>
          <w:p>
            <w:pPr>
              <w:pStyle w:val="TableParagraph"/>
              <w:spacing w:before="25"/>
              <w:ind w:left="25" w:right="20"/>
              <w:jc w:val="center"/>
              <w:rPr>
                <w:sz w:val="21"/>
              </w:rPr>
            </w:pPr>
            <w:r>
              <w:rPr>
                <w:spacing w:val="-2"/>
                <w:sz w:val="21"/>
              </w:rPr>
              <w:t>$0.00</w:t>
            </w:r>
          </w:p>
        </w:tc>
        <w:tc>
          <w:tcPr>
            <w:tcW w:w="1169" w:type="dxa"/>
            <w:tcBorders>
              <w:top w:val="nil"/>
            </w:tcBorders>
          </w:tcPr>
          <w:p>
            <w:pPr>
              <w:pStyle w:val="TableParagraph"/>
              <w:spacing w:before="25"/>
              <w:ind w:left="7" w:right="2"/>
              <w:jc w:val="center"/>
              <w:rPr>
                <w:sz w:val="21"/>
              </w:rPr>
            </w:pPr>
            <w:r>
              <w:rPr>
                <w:spacing w:val="-2"/>
                <w:sz w:val="21"/>
              </w:rPr>
              <w:t>$0.00</w:t>
            </w:r>
          </w:p>
        </w:tc>
        <w:tc>
          <w:tcPr>
            <w:tcW w:w="1352" w:type="dxa"/>
            <w:tcBorders>
              <w:top w:val="nil"/>
            </w:tcBorders>
          </w:tcPr>
          <w:p>
            <w:pPr>
              <w:pStyle w:val="TableParagraph"/>
              <w:spacing w:before="25"/>
              <w:ind w:left="24" w:right="20"/>
              <w:jc w:val="center"/>
              <w:rPr>
                <w:sz w:val="21"/>
              </w:rPr>
            </w:pPr>
            <w:r>
              <w:rPr>
                <w:spacing w:val="-2"/>
                <w:sz w:val="21"/>
              </w:rPr>
              <w:t>$0.00</w:t>
            </w:r>
          </w:p>
        </w:tc>
        <w:tc>
          <w:tcPr>
            <w:tcW w:w="1440" w:type="dxa"/>
            <w:tcBorders>
              <w:top w:val="nil"/>
            </w:tcBorders>
          </w:tcPr>
          <w:p>
            <w:pPr>
              <w:pStyle w:val="TableParagraph"/>
              <w:spacing w:before="25"/>
              <w:ind w:left="5" w:right="3"/>
              <w:jc w:val="center"/>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313"/>
          <w:jc w:val="left"/>
        </w:trPr>
        <w:tc>
          <w:tcPr>
            <w:tcW w:w="3147" w:type="dxa"/>
          </w:tcPr>
          <w:p>
            <w:pPr>
              <w:pStyle w:val="TableParagraph"/>
              <w:spacing w:before="72"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169" w:type="dxa"/>
          </w:tcPr>
          <w:p>
            <w:pPr>
              <w:pStyle w:val="TableParagraph"/>
              <w:spacing w:before="72" w:line="221" w:lineRule="exact"/>
              <w:ind w:left="7" w:right="1"/>
              <w:jc w:val="center"/>
              <w:rPr>
                <w:sz w:val="21"/>
              </w:rPr>
            </w:pPr>
            <w:r>
              <w:rPr>
                <w:spacing w:val="-2"/>
                <w:sz w:val="21"/>
              </w:rPr>
              <w:t>$88.00</w:t>
            </w:r>
          </w:p>
        </w:tc>
        <w:tc>
          <w:tcPr>
            <w:tcW w:w="1352" w:type="dxa"/>
          </w:tcPr>
          <w:p>
            <w:pPr>
              <w:pStyle w:val="TableParagraph"/>
              <w:spacing w:before="72" w:line="221" w:lineRule="exact"/>
              <w:ind w:left="25" w:right="20"/>
              <w:jc w:val="center"/>
              <w:rPr>
                <w:sz w:val="21"/>
              </w:rPr>
            </w:pPr>
            <w:r>
              <w:rPr>
                <w:spacing w:val="-2"/>
                <w:sz w:val="21"/>
              </w:rPr>
              <w:t>$80.40</w:t>
            </w:r>
          </w:p>
        </w:tc>
        <w:tc>
          <w:tcPr>
            <w:tcW w:w="1169" w:type="dxa"/>
          </w:tcPr>
          <w:p>
            <w:pPr>
              <w:pStyle w:val="TableParagraph"/>
              <w:spacing w:before="72" w:line="221" w:lineRule="exact"/>
              <w:ind w:left="7" w:right="2"/>
              <w:jc w:val="center"/>
              <w:rPr>
                <w:sz w:val="21"/>
              </w:rPr>
            </w:pPr>
            <w:r>
              <w:rPr>
                <w:spacing w:val="-2"/>
                <w:sz w:val="21"/>
              </w:rPr>
              <w:t>$80.40</w:t>
            </w:r>
          </w:p>
        </w:tc>
        <w:tc>
          <w:tcPr>
            <w:tcW w:w="1352" w:type="dxa"/>
          </w:tcPr>
          <w:p>
            <w:pPr>
              <w:pStyle w:val="TableParagraph"/>
              <w:spacing w:before="72" w:line="221" w:lineRule="exact"/>
              <w:ind w:left="24" w:right="20"/>
              <w:jc w:val="center"/>
              <w:rPr>
                <w:sz w:val="21"/>
              </w:rPr>
            </w:pPr>
            <w:r>
              <w:rPr>
                <w:spacing w:val="-2"/>
                <w:sz w:val="21"/>
              </w:rPr>
              <w:t>$88.00</w:t>
            </w:r>
          </w:p>
        </w:tc>
        <w:tc>
          <w:tcPr>
            <w:tcW w:w="1440" w:type="dxa"/>
          </w:tcPr>
          <w:p>
            <w:pPr>
              <w:pStyle w:val="TableParagraph"/>
              <w:spacing w:before="72" w:line="221" w:lineRule="exact"/>
              <w:ind w:left="5" w:right="3"/>
              <w:jc w:val="center"/>
              <w:rPr>
                <w:sz w:val="21"/>
              </w:rPr>
            </w:pPr>
            <w:r>
              <w:rPr>
                <w:spacing w:val="-2"/>
                <w:sz w:val="21"/>
              </w:rPr>
              <w:t>$88.00</w:t>
            </w:r>
          </w:p>
        </w:tc>
      </w:tr>
    </w:tbl>
    <w:p>
      <w:pPr>
        <w:pStyle w:val="BodyText"/>
        <w:spacing w:before="89"/>
        <w:ind w:left="0"/>
        <w:rPr>
          <w:rFonts w:ascii="Arial"/>
          <w:b/>
          <w:i/>
        </w:rPr>
      </w:pPr>
    </w:p>
    <w:p>
      <w:pPr>
        <w:pStyle w:val="BodyText"/>
      </w:pPr>
      <w:r>
        <w:t>In</w:t>
      </w:r>
      <w:r>
        <w:rPr>
          <w:spacing w:val="-3"/>
        </w:rPr>
        <w:t xml:space="preserve"> </w:t>
      </w:r>
      <w:r>
        <w:t>this</w:t>
      </w:r>
      <w:r>
        <w:rPr>
          <w:spacing w:val="-2"/>
        </w:rPr>
        <w:t xml:space="preserve"> </w:t>
      </w:r>
      <w:r>
        <w:t>example,</w:t>
      </w:r>
      <w:r>
        <w:rPr>
          <w:spacing w:val="-1"/>
        </w:rPr>
        <w:t xml:space="preserve"> </w:t>
      </w:r>
      <w:r>
        <w:t>the</w:t>
      </w:r>
      <w:r>
        <w:rPr>
          <w:spacing w:val="-1"/>
        </w:rPr>
        <w:t xml:space="preserve"> </w:t>
      </w:r>
      <w:r>
        <w:t>change</w:t>
      </w:r>
      <w:r>
        <w:rPr>
          <w:spacing w:val="-2"/>
        </w:rPr>
        <w:t xml:space="preserve"> </w:t>
      </w:r>
      <w:r>
        <w:t>in</w:t>
      </w:r>
      <w:r>
        <w:rPr>
          <w:spacing w:val="1"/>
        </w:rPr>
        <w:t xml:space="preserve"> </w:t>
      </w:r>
      <w:r>
        <w:t>MSB revenue</w:t>
      </w:r>
      <w:r>
        <w:rPr>
          <w:spacing w:val="-2"/>
        </w:rPr>
        <w:t xml:space="preserve"> </w:t>
      </w:r>
      <w:r>
        <w:t>requirement</w:t>
      </w:r>
      <w:r>
        <w:rPr>
          <w:spacing w:val="-1"/>
        </w:rPr>
        <w:t xml:space="preserve"> </w:t>
      </w:r>
      <w:r>
        <w:t>must be</w:t>
      </w:r>
      <w:r>
        <w:rPr>
          <w:spacing w:val="-2"/>
        </w:rPr>
        <w:t xml:space="preserve"> </w:t>
      </w:r>
      <w:r>
        <w:t>between</w:t>
      </w:r>
      <w:r>
        <w:rPr>
          <w:spacing w:val="1"/>
        </w:rPr>
        <w:t xml:space="preserve"> </w:t>
      </w:r>
      <w:r>
        <w:t>$0.00</w:t>
      </w:r>
      <w:r>
        <w:rPr>
          <w:spacing w:val="-1"/>
        </w:rPr>
        <w:t xml:space="preserve"> </w:t>
      </w:r>
      <w:r>
        <w:t xml:space="preserve">and </w:t>
      </w:r>
      <w:r>
        <w:rPr>
          <w:spacing w:val="-2"/>
        </w:rPr>
        <w:t>$7.60.</w:t>
      </w:r>
    </w:p>
    <w:p>
      <w:pPr>
        <w:pStyle w:val="BodyText"/>
        <w:spacing w:before="141"/>
        <w:ind w:right="1481"/>
      </w:pPr>
      <w:r>
        <w:rPr>
          <w:b/>
        </w:rPr>
        <w:t>Option</w:t>
      </w:r>
      <w:r>
        <w:rPr>
          <w:b/>
          <w:spacing w:val="-3"/>
        </w:rPr>
        <w:t xml:space="preserve"> </w:t>
      </w:r>
      <w:r>
        <w:rPr>
          <w:b/>
        </w:rPr>
        <w:t>1</w:t>
      </w:r>
      <w:r>
        <w:t>:</w:t>
      </w:r>
      <w:r>
        <w:rPr>
          <w:spacing w:val="-3"/>
        </w:rPr>
        <w:t xml:space="preserve"> </w:t>
      </w:r>
      <w:r>
        <w:t>The</w:t>
      </w:r>
      <w:r>
        <w:rPr>
          <w:spacing w:val="-4"/>
        </w:rPr>
        <w:t xml:space="preserve"> </w:t>
      </w:r>
      <w:r>
        <w:t>MAO</w:t>
      </w:r>
      <w:r>
        <w:rPr>
          <w:spacing w:val="-4"/>
        </w:rPr>
        <w:t xml:space="preserve"> </w:t>
      </w:r>
      <w:r>
        <w:t>is</w:t>
      </w:r>
      <w:r>
        <w:rPr>
          <w:spacing w:val="-4"/>
        </w:rPr>
        <w:t xml:space="preserve"> </w:t>
      </w:r>
      <w:r>
        <w:t>not</w:t>
      </w:r>
      <w:r>
        <w:rPr>
          <w:spacing w:val="-3"/>
        </w:rPr>
        <w:t xml:space="preserve"> </w:t>
      </w:r>
      <w:r>
        <w:t>required</w:t>
      </w:r>
      <w:r>
        <w:rPr>
          <w:spacing w:val="-3"/>
        </w:rPr>
        <w:t xml:space="preserve"> </w:t>
      </w:r>
      <w:r>
        <w:t>to</w:t>
      </w:r>
      <w:r>
        <w:rPr>
          <w:spacing w:val="-3"/>
        </w:rPr>
        <w:t xml:space="preserve"> </w:t>
      </w:r>
      <w:r>
        <w:t>reallocate</w:t>
      </w:r>
      <w:r>
        <w:rPr>
          <w:spacing w:val="-2"/>
        </w:rPr>
        <w:t xml:space="preserve"> </w:t>
      </w:r>
      <w:r>
        <w:t>rebates</w:t>
      </w:r>
      <w:r>
        <w:rPr>
          <w:spacing w:val="-4"/>
        </w:rPr>
        <w:t xml:space="preserve"> </w:t>
      </w:r>
      <w:r>
        <w:t>and</w:t>
      </w:r>
      <w:r>
        <w:rPr>
          <w:spacing w:val="-3"/>
        </w:rPr>
        <w:t xml:space="preserve"> </w:t>
      </w:r>
      <w:r>
        <w:t>may</w:t>
      </w:r>
      <w:r>
        <w:rPr>
          <w:spacing w:val="-2"/>
        </w:rPr>
        <w:t xml:space="preserve"> </w:t>
      </w:r>
      <w:r>
        <w:t>choose</w:t>
      </w:r>
      <w:r>
        <w:rPr>
          <w:spacing w:val="-4"/>
        </w:rPr>
        <w:t xml:space="preserve"> </w:t>
      </w:r>
      <w:r>
        <w:t>to</w:t>
      </w:r>
      <w:r>
        <w:rPr>
          <w:spacing w:val="-1"/>
        </w:rPr>
        <w:t xml:space="preserve"> </w:t>
      </w:r>
      <w:r>
        <w:t>leave</w:t>
      </w:r>
      <w:r>
        <w:rPr>
          <w:spacing w:val="-4"/>
        </w:rPr>
        <w:t xml:space="preserve"> </w:t>
      </w:r>
      <w:r>
        <w:t>the</w:t>
      </w:r>
      <w:r>
        <w:rPr>
          <w:spacing w:val="-1"/>
        </w:rPr>
        <w:t xml:space="preserve"> </w:t>
      </w:r>
      <w:r>
        <w:t>Part</w:t>
      </w:r>
      <w:r>
        <w:rPr>
          <w:spacing w:val="-3"/>
        </w:rPr>
        <w:t xml:space="preserve"> </w:t>
      </w:r>
      <w:r>
        <w:t>D basic premium at the post-Part D benchmark announcement basic premium of $48.70.</w:t>
      </w:r>
    </w:p>
    <w:p>
      <w:pPr>
        <w:pStyle w:val="BodyText"/>
        <w:spacing w:before="1"/>
      </w:pPr>
      <w:r>
        <w:t>Resubmission</w:t>
      </w:r>
      <w:r>
        <w:rPr>
          <w:spacing w:val="-1"/>
        </w:rPr>
        <w:t xml:space="preserve"> </w:t>
      </w:r>
      <w:r>
        <w:t>is</w:t>
      </w:r>
      <w:r>
        <w:rPr>
          <w:spacing w:val="-2"/>
        </w:rPr>
        <w:t xml:space="preserve"> </w:t>
      </w:r>
      <w:r>
        <w:t>not</w:t>
      </w:r>
      <w:r>
        <w:rPr>
          <w:spacing w:val="-1"/>
        </w:rPr>
        <w:t xml:space="preserve"> </w:t>
      </w:r>
      <w:r>
        <w:rPr>
          <w:spacing w:val="-2"/>
        </w:rPr>
        <w:t>necessary.</w:t>
      </w:r>
    </w:p>
    <w:p>
      <w:pPr>
        <w:pStyle w:val="BodyText"/>
        <w:spacing w:before="139"/>
        <w:ind w:right="1841"/>
      </w:pPr>
      <w:r>
        <w:rPr>
          <w:b/>
        </w:rPr>
        <w:t>Options</w:t>
      </w:r>
      <w:r>
        <w:rPr>
          <w:b/>
          <w:spacing w:val="-4"/>
        </w:rPr>
        <w:t xml:space="preserve"> </w:t>
      </w:r>
      <w:r>
        <w:rPr>
          <w:b/>
        </w:rPr>
        <w:t>2</w:t>
      </w:r>
      <w:r>
        <w:t>:</w:t>
      </w:r>
      <w:r>
        <w:rPr>
          <w:spacing w:val="-3"/>
        </w:rPr>
        <w:t xml:space="preserve"> </w:t>
      </w:r>
      <w:r>
        <w:t>The</w:t>
      </w:r>
      <w:r>
        <w:rPr>
          <w:spacing w:val="-4"/>
        </w:rPr>
        <w:t xml:space="preserve"> </w:t>
      </w:r>
      <w:r>
        <w:t>MAO</w:t>
      </w:r>
      <w:r>
        <w:rPr>
          <w:spacing w:val="-4"/>
        </w:rPr>
        <w:t xml:space="preserve"> </w:t>
      </w:r>
      <w:r>
        <w:t>may</w:t>
      </w:r>
      <w:r>
        <w:rPr>
          <w:spacing w:val="-3"/>
        </w:rPr>
        <w:t xml:space="preserve"> </w:t>
      </w:r>
      <w:r>
        <w:t>choose</w:t>
      </w:r>
      <w:r>
        <w:rPr>
          <w:spacing w:val="-4"/>
        </w:rPr>
        <w:t xml:space="preserve"> </w:t>
      </w:r>
      <w:r>
        <w:t>to</w:t>
      </w:r>
      <w:r>
        <w:rPr>
          <w:spacing w:val="-3"/>
        </w:rPr>
        <w:t xml:space="preserve"> </w:t>
      </w:r>
      <w:r>
        <w:t>return</w:t>
      </w:r>
      <w:r>
        <w:rPr>
          <w:spacing w:val="-3"/>
        </w:rPr>
        <w:t xml:space="preserve"> </w:t>
      </w:r>
      <w:r>
        <w:t>to</w:t>
      </w:r>
      <w:r>
        <w:rPr>
          <w:spacing w:val="-3"/>
        </w:rPr>
        <w:t xml:space="preserve"> </w:t>
      </w:r>
      <w:r>
        <w:t>target</w:t>
      </w:r>
      <w:r>
        <w:rPr>
          <w:spacing w:val="-1"/>
        </w:rPr>
        <w:t xml:space="preserve"> </w:t>
      </w:r>
      <w:r>
        <w:t>Part</w:t>
      </w:r>
      <w:r>
        <w:rPr>
          <w:spacing w:val="-3"/>
        </w:rPr>
        <w:t xml:space="preserve"> </w:t>
      </w:r>
      <w:r>
        <w:t>D</w:t>
      </w:r>
      <w:r>
        <w:rPr>
          <w:spacing w:val="-4"/>
        </w:rPr>
        <w:t xml:space="preserve"> </w:t>
      </w:r>
      <w:r>
        <w:t>basic</w:t>
      </w:r>
      <w:r>
        <w:rPr>
          <w:spacing w:val="-3"/>
        </w:rPr>
        <w:t xml:space="preserve"> </w:t>
      </w:r>
      <w:r>
        <w:t>premium</w:t>
      </w:r>
      <w:r>
        <w:rPr>
          <w:spacing w:val="-3"/>
        </w:rPr>
        <w:t xml:space="preserve"> </w:t>
      </w:r>
      <w:r>
        <w:t>of</w:t>
      </w:r>
      <w:r>
        <w:rPr>
          <w:spacing w:val="-3"/>
        </w:rPr>
        <w:t xml:space="preserve"> </w:t>
      </w:r>
      <w:r>
        <w:t>$56.30.</w:t>
      </w:r>
      <w:r>
        <w:rPr>
          <w:spacing w:val="-3"/>
        </w:rPr>
        <w:t xml:space="preserve"> </w:t>
      </w:r>
      <w:r>
        <w:t>The MAO must reallocate the excessive allocation of $7.60 by—</w:t>
      </w:r>
    </w:p>
    <w:p>
      <w:pPr>
        <w:pStyle w:val="BodyText"/>
        <w:spacing w:before="139"/>
        <w:ind w:left="1224" w:right="1601"/>
        <w:jc w:val="both"/>
      </w:pPr>
      <w:r>
        <w:rPr>
          <w:b/>
        </w:rPr>
        <w:t>2a</w:t>
      </w:r>
      <w:r>
        <w:t>:</w:t>
      </w:r>
      <w:r>
        <w:rPr>
          <w:spacing w:val="-3"/>
        </w:rPr>
        <w:t xml:space="preserve"> </w:t>
      </w:r>
      <w:r>
        <w:t>Making</w:t>
      </w:r>
      <w:r>
        <w:rPr>
          <w:spacing w:val="-3"/>
        </w:rPr>
        <w:t xml:space="preserve"> </w:t>
      </w:r>
      <w:r>
        <w:t>no</w:t>
      </w:r>
      <w:r>
        <w:rPr>
          <w:spacing w:val="-3"/>
        </w:rPr>
        <w:t xml:space="preserve"> </w:t>
      </w:r>
      <w:r>
        <w:t>changes</w:t>
      </w:r>
      <w:r>
        <w:rPr>
          <w:spacing w:val="-4"/>
        </w:rPr>
        <w:t xml:space="preserve"> </w:t>
      </w:r>
      <w:r>
        <w:t>to</w:t>
      </w:r>
      <w:r>
        <w:rPr>
          <w:spacing w:val="-3"/>
        </w:rPr>
        <w:t xml:space="preserve"> </w:t>
      </w:r>
      <w:r>
        <w:t>MSB</w:t>
      </w:r>
      <w:r>
        <w:rPr>
          <w:spacing w:val="-3"/>
        </w:rPr>
        <w:t xml:space="preserve"> </w:t>
      </w:r>
      <w:r>
        <w:t>revenue</w:t>
      </w:r>
      <w:r>
        <w:rPr>
          <w:spacing w:val="-4"/>
        </w:rPr>
        <w:t xml:space="preserve"> </w:t>
      </w:r>
      <w:r>
        <w:t>requirement</w:t>
      </w:r>
      <w:r>
        <w:rPr>
          <w:spacing w:val="-2"/>
        </w:rPr>
        <w:t xml:space="preserve"> </w:t>
      </w:r>
      <w:r>
        <w:t>and</w:t>
      </w:r>
      <w:r>
        <w:rPr>
          <w:spacing w:val="-3"/>
        </w:rPr>
        <w:t xml:space="preserve"> </w:t>
      </w:r>
      <w:r>
        <w:t>decreasing</w:t>
      </w:r>
      <w:r>
        <w:rPr>
          <w:spacing w:val="-3"/>
        </w:rPr>
        <w:t xml:space="preserve"> </w:t>
      </w:r>
      <w:r>
        <w:t>the</w:t>
      </w:r>
      <w:r>
        <w:rPr>
          <w:spacing w:val="-4"/>
        </w:rPr>
        <w:t xml:space="preserve"> </w:t>
      </w:r>
      <w:r>
        <w:t>MA</w:t>
      </w:r>
      <w:r>
        <w:rPr>
          <w:spacing w:val="-4"/>
        </w:rPr>
        <w:t xml:space="preserve"> </w:t>
      </w:r>
      <w:r>
        <w:t>or</w:t>
      </w:r>
      <w:r>
        <w:rPr>
          <w:spacing w:val="-3"/>
        </w:rPr>
        <w:t xml:space="preserve"> </w:t>
      </w:r>
      <w:r>
        <w:t>Part</w:t>
      </w:r>
      <w:r>
        <w:rPr>
          <w:spacing w:val="-3"/>
        </w:rPr>
        <w:t xml:space="preserve"> </w:t>
      </w:r>
      <w:r>
        <w:t>D supplemental premiums (or increasing the rebates allocated to the Part B premium) by increasing rebate allocations to MA, Part D supplemental, or Part B premiums; or</w:t>
      </w:r>
    </w:p>
    <w:p>
      <w:pPr>
        <w:pStyle w:val="BodyText"/>
        <w:spacing w:before="142"/>
        <w:ind w:left="1224" w:right="1481"/>
      </w:pPr>
      <w:r>
        <w:rPr>
          <w:b/>
        </w:rPr>
        <w:t>2b</w:t>
      </w:r>
      <w:r>
        <w:t>:</w:t>
      </w:r>
      <w:r>
        <w:rPr>
          <w:spacing w:val="-3"/>
        </w:rPr>
        <w:t xml:space="preserve"> </w:t>
      </w:r>
      <w:r>
        <w:t>Increasing</w:t>
      </w:r>
      <w:r>
        <w:rPr>
          <w:spacing w:val="-3"/>
        </w:rPr>
        <w:t xml:space="preserve"> </w:t>
      </w:r>
      <w:r>
        <w:t>MSB</w:t>
      </w:r>
      <w:r>
        <w:rPr>
          <w:spacing w:val="-3"/>
        </w:rPr>
        <w:t xml:space="preserve"> </w:t>
      </w:r>
      <w:r>
        <w:t>revenue</w:t>
      </w:r>
      <w:r>
        <w:rPr>
          <w:spacing w:val="-4"/>
        </w:rPr>
        <w:t xml:space="preserve"> </w:t>
      </w:r>
      <w:r>
        <w:t>requirement</w:t>
      </w:r>
      <w:r>
        <w:rPr>
          <w:spacing w:val="-2"/>
        </w:rPr>
        <w:t xml:space="preserve"> </w:t>
      </w:r>
      <w:r>
        <w:t>by</w:t>
      </w:r>
      <w:r>
        <w:rPr>
          <w:spacing w:val="-3"/>
        </w:rPr>
        <w:t xml:space="preserve"> </w:t>
      </w:r>
      <w:r>
        <w:t>less</w:t>
      </w:r>
      <w:r>
        <w:rPr>
          <w:spacing w:val="-4"/>
        </w:rPr>
        <w:t xml:space="preserve"> </w:t>
      </w:r>
      <w:r>
        <w:t>than</w:t>
      </w:r>
      <w:r>
        <w:rPr>
          <w:spacing w:val="-3"/>
        </w:rPr>
        <w:t xml:space="preserve"> </w:t>
      </w:r>
      <w:r>
        <w:t>or</w:t>
      </w:r>
      <w:r>
        <w:rPr>
          <w:spacing w:val="-5"/>
        </w:rPr>
        <w:t xml:space="preserve"> </w:t>
      </w:r>
      <w:r>
        <w:t>equal</w:t>
      </w:r>
      <w:r>
        <w:rPr>
          <w:spacing w:val="-3"/>
        </w:rPr>
        <w:t xml:space="preserve"> </w:t>
      </w:r>
      <w:r>
        <w:t>to</w:t>
      </w:r>
      <w:r>
        <w:rPr>
          <w:spacing w:val="-3"/>
        </w:rPr>
        <w:t xml:space="preserve"> </w:t>
      </w:r>
      <w:r>
        <w:t>$7.60,</w:t>
      </w:r>
      <w:r>
        <w:rPr>
          <w:spacing w:val="-3"/>
        </w:rPr>
        <w:t xml:space="preserve"> </w:t>
      </w:r>
      <w:r>
        <w:t>such</w:t>
      </w:r>
      <w:r>
        <w:rPr>
          <w:spacing w:val="-3"/>
        </w:rPr>
        <w:t xml:space="preserve"> </w:t>
      </w:r>
      <w:r>
        <w:t>that</w:t>
      </w:r>
      <w:r>
        <w:rPr>
          <w:spacing w:val="-3"/>
        </w:rPr>
        <w:t xml:space="preserve"> </w:t>
      </w:r>
      <w:r>
        <w:t>there is a partial or full return to the MA premium in initial June bid by increasing rebate allocations to MA, Part D supplemental, or Part B premiums.</w:t>
      </w:r>
    </w:p>
    <w:p>
      <w:pPr>
        <w:pStyle w:val="BodyText"/>
        <w:spacing w:before="140"/>
        <w:ind w:right="1481"/>
      </w:pPr>
      <w:r>
        <w:t>*</w:t>
      </w:r>
      <w:r>
        <w:rPr>
          <w:b/>
        </w:rPr>
        <w:t>Unacceptable</w:t>
      </w:r>
      <w:r>
        <w:rPr>
          <w:b/>
          <w:spacing w:val="-4"/>
        </w:rPr>
        <w:t xml:space="preserve"> </w:t>
      </w:r>
      <w:r>
        <w:rPr>
          <w:b/>
        </w:rPr>
        <w:t>Option</w:t>
      </w:r>
      <w:r>
        <w:t>:</w:t>
      </w:r>
      <w:r>
        <w:rPr>
          <w:spacing w:val="-3"/>
        </w:rPr>
        <w:t xml:space="preserve"> </w:t>
      </w:r>
      <w:r>
        <w:t>The</w:t>
      </w:r>
      <w:r>
        <w:rPr>
          <w:spacing w:val="-5"/>
        </w:rPr>
        <w:t xml:space="preserve"> </w:t>
      </w:r>
      <w:r>
        <w:t>MSB</w:t>
      </w:r>
      <w:r>
        <w:rPr>
          <w:spacing w:val="-3"/>
        </w:rPr>
        <w:t xml:space="preserve"> </w:t>
      </w:r>
      <w:r>
        <w:t>revenue</w:t>
      </w:r>
      <w:r>
        <w:rPr>
          <w:spacing w:val="-2"/>
        </w:rPr>
        <w:t xml:space="preserve"> </w:t>
      </w:r>
      <w:r>
        <w:t>requirement</w:t>
      </w:r>
      <w:r>
        <w:rPr>
          <w:spacing w:val="-3"/>
        </w:rPr>
        <w:t xml:space="preserve"> </w:t>
      </w:r>
      <w:r>
        <w:t>cannot</w:t>
      </w:r>
      <w:r>
        <w:rPr>
          <w:spacing w:val="-3"/>
        </w:rPr>
        <w:t xml:space="preserve"> </w:t>
      </w:r>
      <w:r>
        <w:t>increase</w:t>
      </w:r>
      <w:r>
        <w:rPr>
          <w:spacing w:val="-4"/>
        </w:rPr>
        <w:t xml:space="preserve"> </w:t>
      </w:r>
      <w:r>
        <w:t>more</w:t>
      </w:r>
      <w:r>
        <w:rPr>
          <w:spacing w:val="-4"/>
        </w:rPr>
        <w:t xml:space="preserve"> </w:t>
      </w:r>
      <w:r>
        <w:t>than</w:t>
      </w:r>
      <w:r>
        <w:rPr>
          <w:spacing w:val="-3"/>
        </w:rPr>
        <w:t xml:space="preserve"> </w:t>
      </w:r>
      <w:r>
        <w:t>the</w:t>
      </w:r>
      <w:r>
        <w:rPr>
          <w:spacing w:val="-4"/>
        </w:rPr>
        <w:t xml:space="preserve"> </w:t>
      </w:r>
      <w:r>
        <w:t>value</w:t>
      </w:r>
      <w:r>
        <w:rPr>
          <w:spacing w:val="-4"/>
        </w:rPr>
        <w:t xml:space="preserve"> </w:t>
      </w:r>
      <w:r>
        <w:t>of the rebates for allocation.</w:t>
      </w:r>
    </w:p>
    <w:p>
      <w:pPr>
        <w:pStyle w:val="BodyText"/>
        <w:spacing w:after="0"/>
        <w:sectPr>
          <w:pgSz w:w="12240" w:h="15840"/>
          <w:pgMar w:top="960" w:right="0" w:bottom="940" w:left="1080" w:header="727" w:footer="747"/>
          <w:cols w:space="720"/>
        </w:sectPr>
      </w:pPr>
    </w:p>
    <w:p>
      <w:pPr>
        <w:pStyle w:val="BodyText"/>
        <w:spacing w:before="191"/>
        <w:ind w:left="0"/>
      </w:pPr>
    </w:p>
    <w:p>
      <w:pPr>
        <w:pStyle w:val="Heading4"/>
      </w:pPr>
      <w:bookmarkStart w:id="372" w:name="Example 5: Excessive Rebates Allocated t"/>
      <w:bookmarkEnd w:id="372"/>
      <w:r>
        <w:rPr>
          <w:i/>
        </w:rPr>
        <w:t>Example</w:t>
      </w:r>
      <w:r>
        <w:rPr>
          <w:i/>
          <w:spacing w:val="-4"/>
        </w:rPr>
        <w:t xml:space="preserve"> </w:t>
      </w:r>
      <w:r>
        <w:rPr>
          <w:i/>
        </w:rPr>
        <w:t>5:</w:t>
      </w:r>
      <w:r>
        <w:rPr>
          <w:i/>
          <w:spacing w:val="-4"/>
        </w:rPr>
        <w:t xml:space="preserve"> </w:t>
      </w:r>
      <w:r>
        <w:rPr>
          <w:i/>
        </w:rPr>
        <w:t>Excessive</w:t>
      </w:r>
      <w:r>
        <w:rPr>
          <w:i/>
          <w:spacing w:val="-4"/>
        </w:rPr>
        <w:t xml:space="preserve"> </w:t>
      </w:r>
      <w:r>
        <w:rPr>
          <w:i/>
        </w:rPr>
        <w:t>Rebates</w:t>
      </w:r>
      <w:r>
        <w:rPr>
          <w:i/>
          <w:spacing w:val="-4"/>
        </w:rPr>
        <w:t xml:space="preserve"> </w:t>
      </w:r>
      <w:r>
        <w:rPr>
          <w:i/>
        </w:rPr>
        <w:t>Allocated</w:t>
      </w:r>
      <w:r>
        <w:rPr>
          <w:i/>
          <w:spacing w:val="-4"/>
        </w:rPr>
        <w:t xml:space="preserve"> </w:t>
      </w:r>
      <w:r>
        <w:rPr>
          <w:i/>
        </w:rPr>
        <w:t>to</w:t>
      </w:r>
      <w:r>
        <w:rPr>
          <w:i/>
          <w:spacing w:val="-4"/>
        </w:rPr>
        <w:t xml:space="preserve"> </w:t>
      </w:r>
      <w:r>
        <w:rPr>
          <w:i/>
        </w:rPr>
        <w:t>Part</w:t>
      </w:r>
      <w:r>
        <w:rPr>
          <w:i/>
          <w:spacing w:val="-4"/>
        </w:rPr>
        <w:t xml:space="preserve"> </w:t>
      </w:r>
      <w:r>
        <w:rPr>
          <w:i/>
        </w:rPr>
        <w:t>D</w:t>
      </w:r>
      <w:r>
        <w:rPr>
          <w:i/>
          <w:spacing w:val="-1"/>
        </w:rPr>
        <w:t xml:space="preserve"> </w:t>
      </w:r>
      <w:r>
        <w:rPr>
          <w:i/>
        </w:rPr>
        <w:t>Basic</w:t>
      </w:r>
      <w:r>
        <w:rPr>
          <w:i/>
          <w:spacing w:val="-2"/>
        </w:rPr>
        <w:t xml:space="preserve"> </w:t>
      </w:r>
      <w:r>
        <w:rPr>
          <w:i/>
        </w:rPr>
        <w:t>Premium,</w:t>
      </w:r>
      <w:r>
        <w:rPr>
          <w:i/>
          <w:spacing w:val="-3"/>
        </w:rPr>
        <w:t xml:space="preserve"> </w:t>
      </w:r>
      <w:r>
        <w:rPr>
          <w:i/>
        </w:rPr>
        <w:t>Reallocation</w:t>
      </w:r>
      <w:r>
        <w:t xml:space="preserve"> is Optional, and MAO cannot Achieve Target.</w:t>
      </w:r>
    </w:p>
    <w:p>
      <w:pPr>
        <w:pStyle w:val="BodyText"/>
        <w:spacing w:before="130"/>
        <w:ind w:left="0"/>
        <w:rPr>
          <w:rFonts w:ascii="Arial"/>
          <w:b/>
          <w:i/>
          <w:sz w:val="20"/>
        </w:rPr>
      </w:pPr>
    </w:p>
    <w:tbl>
      <w:tblPr>
        <w:tblStyle w:val="TableNormal"/>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36"/>
        <w:gridCol w:w="1351"/>
        <w:gridCol w:w="1529"/>
        <w:gridCol w:w="991"/>
        <w:gridCol w:w="1080"/>
        <w:gridCol w:w="1439"/>
      </w:tblGrid>
      <w:tr>
        <w:tblPrEx>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53"/>
          <w:jc w:val="left"/>
        </w:trPr>
        <w:tc>
          <w:tcPr>
            <w:tcW w:w="3236" w:type="dxa"/>
          </w:tcPr>
          <w:p>
            <w:pPr>
              <w:pStyle w:val="TableParagraph"/>
              <w:spacing w:before="66"/>
              <w:rPr>
                <w:rFonts w:ascii="Arial"/>
                <w:b/>
                <w:i/>
                <w:sz w:val="21"/>
              </w:rPr>
            </w:pPr>
          </w:p>
          <w:p>
            <w:pPr>
              <w:pStyle w:val="TableParagraph"/>
              <w:ind w:left="21" w:right="10"/>
              <w:jc w:val="center"/>
              <w:rPr>
                <w:b/>
                <w:sz w:val="21"/>
              </w:rPr>
            </w:pPr>
            <w:r>
              <w:rPr>
                <w:b/>
                <w:spacing w:val="-2"/>
                <w:sz w:val="21"/>
              </w:rPr>
              <w:t>Label</w:t>
            </w:r>
          </w:p>
        </w:tc>
        <w:tc>
          <w:tcPr>
            <w:tcW w:w="1351" w:type="dxa"/>
          </w:tcPr>
          <w:p>
            <w:pPr>
              <w:pStyle w:val="TableParagraph"/>
              <w:spacing w:before="185"/>
              <w:ind w:left="515" w:right="147" w:hanging="360"/>
              <w:rPr>
                <w:b/>
                <w:sz w:val="21"/>
              </w:rPr>
            </w:pPr>
            <w:r>
              <w:rPr>
                <w:b/>
                <w:sz w:val="21"/>
              </w:rPr>
              <w:t>Initial</w:t>
            </w:r>
            <w:r>
              <w:rPr>
                <w:b/>
                <w:spacing w:val="-14"/>
                <w:sz w:val="21"/>
              </w:rPr>
              <w:t xml:space="preserve"> </w:t>
            </w:r>
            <w:r>
              <w:rPr>
                <w:b/>
                <w:sz w:val="21"/>
              </w:rPr>
              <w:t xml:space="preserve">June </w:t>
            </w:r>
            <w:r>
              <w:rPr>
                <w:b/>
                <w:spacing w:val="-4"/>
                <w:sz w:val="21"/>
              </w:rPr>
              <w:t>Bid</w:t>
            </w:r>
          </w:p>
        </w:tc>
        <w:tc>
          <w:tcPr>
            <w:tcW w:w="1529" w:type="dxa"/>
          </w:tcPr>
          <w:p>
            <w:pPr>
              <w:pStyle w:val="TableParagraph"/>
              <w:spacing w:before="65"/>
              <w:ind w:left="122" w:right="116" w:hanging="3"/>
              <w:jc w:val="center"/>
              <w:rPr>
                <w:b/>
                <w:sz w:val="21"/>
              </w:rPr>
            </w:pPr>
            <w:r>
              <w:rPr>
                <w:b/>
                <w:sz w:val="21"/>
              </w:rPr>
              <w:t>After Release of</w:t>
            </w:r>
            <w:r>
              <w:rPr>
                <w:b/>
                <w:spacing w:val="-14"/>
                <w:sz w:val="21"/>
              </w:rPr>
              <w:t xml:space="preserve"> </w:t>
            </w:r>
            <w:r>
              <w:rPr>
                <w:b/>
                <w:sz w:val="21"/>
              </w:rPr>
              <w:t>Benchmark (Option 1)</w:t>
            </w:r>
          </w:p>
        </w:tc>
        <w:tc>
          <w:tcPr>
            <w:tcW w:w="991" w:type="dxa"/>
          </w:tcPr>
          <w:p>
            <w:pPr>
              <w:pStyle w:val="TableParagraph"/>
              <w:spacing w:before="185"/>
              <w:ind w:left="388" w:right="166" w:hanging="212"/>
              <w:rPr>
                <w:b/>
                <w:sz w:val="21"/>
              </w:rPr>
            </w:pPr>
            <w:r>
              <w:rPr>
                <w:b/>
                <w:spacing w:val="-2"/>
                <w:sz w:val="21"/>
              </w:rPr>
              <w:t xml:space="preserve">Option </w:t>
            </w:r>
            <w:r>
              <w:rPr>
                <w:b/>
                <w:spacing w:val="-6"/>
                <w:sz w:val="21"/>
              </w:rPr>
              <w:t>2a</w:t>
            </w:r>
          </w:p>
        </w:tc>
        <w:tc>
          <w:tcPr>
            <w:tcW w:w="1080" w:type="dxa"/>
          </w:tcPr>
          <w:p>
            <w:pPr>
              <w:pStyle w:val="TableParagraph"/>
              <w:spacing w:before="185"/>
              <w:ind w:left="427" w:right="211" w:hanging="207"/>
              <w:rPr>
                <w:b/>
                <w:sz w:val="21"/>
              </w:rPr>
            </w:pPr>
            <w:r>
              <w:rPr>
                <w:b/>
                <w:spacing w:val="-2"/>
                <w:sz w:val="21"/>
              </w:rPr>
              <w:t xml:space="preserve">Option </w:t>
            </w:r>
            <w:r>
              <w:rPr>
                <w:b/>
                <w:spacing w:val="-6"/>
                <w:sz w:val="21"/>
              </w:rPr>
              <w:t>2b</w:t>
            </w:r>
          </w:p>
        </w:tc>
        <w:tc>
          <w:tcPr>
            <w:tcW w:w="1439" w:type="dxa"/>
          </w:tcPr>
          <w:p>
            <w:pPr>
              <w:pStyle w:val="TableParagraph"/>
              <w:spacing w:before="185"/>
              <w:ind w:left="351" w:hanging="240"/>
              <w:rPr>
                <w:b/>
                <w:sz w:val="21"/>
              </w:rPr>
            </w:pPr>
            <w:r>
              <w:rPr>
                <w:b/>
                <w:spacing w:val="-2"/>
                <w:sz w:val="21"/>
              </w:rPr>
              <w:t>Unacceptable Option*</w:t>
            </w:r>
          </w:p>
        </w:tc>
      </w:tr>
      <w:tr>
        <w:tblPrEx>
          <w:tblW w:w="0" w:type="auto"/>
          <w:jc w:val="left"/>
          <w:tblInd w:w="514" w:type="dxa"/>
          <w:tblLayout w:type="fixed"/>
          <w:tblCellMar>
            <w:top w:w="0" w:type="dxa"/>
            <w:left w:w="0" w:type="dxa"/>
            <w:bottom w:w="0" w:type="dxa"/>
            <w:right w:w="0" w:type="dxa"/>
          </w:tblCellMar>
          <w:tblLook w:val="01E0"/>
        </w:tblPrEx>
        <w:trPr>
          <w:trHeight w:val="319"/>
          <w:jc w:val="left"/>
        </w:trPr>
        <w:tc>
          <w:tcPr>
            <w:tcW w:w="3236" w:type="dxa"/>
            <w:tcBorders>
              <w:bottom w:val="nil"/>
            </w:tcBorders>
          </w:tcPr>
          <w:p>
            <w:pPr>
              <w:pStyle w:val="TableParagraph"/>
              <w:spacing w:before="60" w:line="239" w:lineRule="exact"/>
              <w:ind w:left="107"/>
              <w:rPr>
                <w:b/>
                <w:sz w:val="21"/>
              </w:rPr>
            </w:pPr>
            <w:r>
              <w:rPr>
                <w:b/>
                <w:sz w:val="21"/>
              </w:rPr>
              <w:t>Rebates</w:t>
            </w:r>
            <w:r>
              <w:rPr>
                <w:b/>
                <w:spacing w:val="-5"/>
                <w:sz w:val="21"/>
              </w:rPr>
              <w:t xml:space="preserve"> </w:t>
            </w:r>
            <w:r>
              <w:rPr>
                <w:b/>
                <w:sz w:val="21"/>
              </w:rPr>
              <w:t>for</w:t>
            </w:r>
            <w:r>
              <w:rPr>
                <w:b/>
                <w:spacing w:val="-6"/>
                <w:sz w:val="21"/>
              </w:rPr>
              <w:t xml:space="preserve"> </w:t>
            </w:r>
            <w:r>
              <w:rPr>
                <w:b/>
                <w:spacing w:val="-2"/>
                <w:sz w:val="21"/>
              </w:rPr>
              <w:t>Allocation</w:t>
            </w:r>
          </w:p>
        </w:tc>
        <w:tc>
          <w:tcPr>
            <w:tcW w:w="1351" w:type="dxa"/>
            <w:tcBorders>
              <w:bottom w:val="nil"/>
            </w:tcBorders>
          </w:tcPr>
          <w:p>
            <w:pPr>
              <w:pStyle w:val="TableParagraph"/>
              <w:spacing w:before="60" w:line="239" w:lineRule="exact"/>
              <w:ind w:left="16" w:right="11"/>
              <w:jc w:val="center"/>
              <w:rPr>
                <w:sz w:val="21"/>
              </w:rPr>
            </w:pPr>
            <w:r>
              <w:rPr>
                <w:spacing w:val="-5"/>
                <w:sz w:val="21"/>
              </w:rPr>
              <w:t>N/A</w:t>
            </w:r>
          </w:p>
        </w:tc>
        <w:tc>
          <w:tcPr>
            <w:tcW w:w="1529" w:type="dxa"/>
            <w:tcBorders>
              <w:bottom w:val="nil"/>
            </w:tcBorders>
          </w:tcPr>
          <w:p>
            <w:pPr>
              <w:pStyle w:val="TableParagraph"/>
              <w:spacing w:before="60" w:line="239" w:lineRule="exact"/>
              <w:ind w:left="17" w:right="11"/>
              <w:jc w:val="center"/>
              <w:rPr>
                <w:sz w:val="21"/>
              </w:rPr>
            </w:pPr>
            <w:r>
              <w:rPr>
                <w:spacing w:val="-5"/>
                <w:sz w:val="21"/>
              </w:rPr>
              <w:t>N/A</w:t>
            </w:r>
          </w:p>
        </w:tc>
        <w:tc>
          <w:tcPr>
            <w:tcW w:w="991" w:type="dxa"/>
            <w:tcBorders>
              <w:bottom w:val="nil"/>
            </w:tcBorders>
          </w:tcPr>
          <w:p>
            <w:pPr>
              <w:pStyle w:val="TableParagraph"/>
              <w:spacing w:before="60" w:line="239" w:lineRule="exact"/>
              <w:ind w:left="19" w:right="12"/>
              <w:jc w:val="center"/>
              <w:rPr>
                <w:sz w:val="21"/>
              </w:rPr>
            </w:pPr>
            <w:r>
              <w:rPr>
                <w:spacing w:val="-2"/>
                <w:sz w:val="21"/>
              </w:rPr>
              <w:t>$5.00</w:t>
            </w:r>
          </w:p>
        </w:tc>
        <w:tc>
          <w:tcPr>
            <w:tcW w:w="1080" w:type="dxa"/>
            <w:tcBorders>
              <w:bottom w:val="nil"/>
            </w:tcBorders>
          </w:tcPr>
          <w:p>
            <w:pPr>
              <w:pStyle w:val="TableParagraph"/>
              <w:spacing w:before="60" w:line="239" w:lineRule="exact"/>
              <w:ind w:left="7" w:right="1"/>
              <w:jc w:val="center"/>
              <w:rPr>
                <w:sz w:val="21"/>
              </w:rPr>
            </w:pPr>
            <w:r>
              <w:rPr>
                <w:spacing w:val="-2"/>
                <w:sz w:val="21"/>
              </w:rPr>
              <w:t>$5.00</w:t>
            </w:r>
          </w:p>
        </w:tc>
        <w:tc>
          <w:tcPr>
            <w:tcW w:w="1439" w:type="dxa"/>
            <w:tcBorders>
              <w:bottom w:val="nil"/>
            </w:tcBorders>
          </w:tcPr>
          <w:p>
            <w:pPr>
              <w:pStyle w:val="TableParagraph"/>
              <w:spacing w:before="60" w:line="239" w:lineRule="exact"/>
              <w:ind w:left="10" w:right="3"/>
              <w:jc w:val="center"/>
              <w:rPr>
                <w:sz w:val="21"/>
              </w:rPr>
            </w:pPr>
            <w:r>
              <w:rPr>
                <w:spacing w:val="-2"/>
                <w:sz w:val="21"/>
              </w:rPr>
              <w:t>$5.00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236" w:type="dxa"/>
            <w:tcBorders>
              <w:top w:val="nil"/>
              <w:bottom w:val="nil"/>
            </w:tcBorders>
          </w:tcPr>
          <w:p>
            <w:pPr>
              <w:pStyle w:val="TableParagraph"/>
              <w:spacing w:before="9"/>
              <w:ind w:left="107"/>
              <w:rPr>
                <w:b/>
                <w:sz w:val="21"/>
              </w:rPr>
            </w:pPr>
            <w:r>
              <w:rPr>
                <w:b/>
                <w:sz w:val="21"/>
              </w:rPr>
              <w:t>Change</w:t>
            </w:r>
            <w:r>
              <w:rPr>
                <w:b/>
                <w:spacing w:val="-3"/>
                <w:sz w:val="21"/>
              </w:rPr>
              <w:t xml:space="preserve"> </w:t>
            </w:r>
            <w:r>
              <w:rPr>
                <w:b/>
                <w:sz w:val="21"/>
              </w:rPr>
              <w:t>in</w:t>
            </w:r>
            <w:r>
              <w:rPr>
                <w:b/>
                <w:spacing w:val="-5"/>
                <w:sz w:val="21"/>
              </w:rPr>
              <w:t xml:space="preserve"> </w:t>
            </w:r>
            <w:r>
              <w:rPr>
                <w:b/>
                <w:sz w:val="21"/>
              </w:rPr>
              <w:t>MSB</w:t>
            </w:r>
            <w:r>
              <w:rPr>
                <w:b/>
                <w:spacing w:val="-4"/>
                <w:sz w:val="21"/>
              </w:rPr>
              <w:t xml:space="preserve"> </w:t>
            </w:r>
            <w:r>
              <w:rPr>
                <w:b/>
                <w:sz w:val="21"/>
              </w:rPr>
              <w:t>Rev</w:t>
            </w:r>
            <w:r>
              <w:rPr>
                <w:b/>
                <w:spacing w:val="-5"/>
                <w:sz w:val="21"/>
              </w:rPr>
              <w:t xml:space="preserve"> Req</w:t>
            </w:r>
          </w:p>
        </w:tc>
        <w:tc>
          <w:tcPr>
            <w:tcW w:w="1351" w:type="dxa"/>
            <w:tcBorders>
              <w:top w:val="nil"/>
              <w:bottom w:val="nil"/>
            </w:tcBorders>
          </w:tcPr>
          <w:p>
            <w:pPr>
              <w:pStyle w:val="TableParagraph"/>
              <w:spacing w:before="41"/>
              <w:ind w:left="16" w:right="11"/>
              <w:jc w:val="center"/>
              <w:rPr>
                <w:sz w:val="21"/>
              </w:rPr>
            </w:pPr>
            <w:r>
              <w:rPr>
                <w:spacing w:val="-5"/>
                <w:sz w:val="21"/>
              </w:rPr>
              <w:t>N/A</w:t>
            </w:r>
          </w:p>
        </w:tc>
        <w:tc>
          <w:tcPr>
            <w:tcW w:w="1529" w:type="dxa"/>
            <w:tcBorders>
              <w:top w:val="nil"/>
              <w:bottom w:val="nil"/>
            </w:tcBorders>
          </w:tcPr>
          <w:p>
            <w:pPr>
              <w:pStyle w:val="TableParagraph"/>
              <w:spacing w:before="41"/>
              <w:ind w:left="17" w:right="11"/>
              <w:jc w:val="center"/>
              <w:rPr>
                <w:sz w:val="21"/>
              </w:rPr>
            </w:pPr>
            <w:r>
              <w:rPr>
                <w:spacing w:val="-5"/>
                <w:sz w:val="21"/>
              </w:rPr>
              <w:t>N/A</w:t>
            </w:r>
          </w:p>
        </w:tc>
        <w:tc>
          <w:tcPr>
            <w:tcW w:w="991" w:type="dxa"/>
            <w:tcBorders>
              <w:top w:val="nil"/>
              <w:bottom w:val="nil"/>
            </w:tcBorders>
          </w:tcPr>
          <w:p>
            <w:pPr>
              <w:pStyle w:val="TableParagraph"/>
              <w:spacing w:before="41"/>
              <w:ind w:left="19" w:right="12"/>
              <w:jc w:val="center"/>
              <w:rPr>
                <w:sz w:val="21"/>
              </w:rPr>
            </w:pPr>
            <w:r>
              <w:rPr>
                <w:spacing w:val="-2"/>
                <w:sz w:val="21"/>
              </w:rPr>
              <w:t>$0.00</w:t>
            </w:r>
          </w:p>
        </w:tc>
        <w:tc>
          <w:tcPr>
            <w:tcW w:w="1080" w:type="dxa"/>
            <w:tcBorders>
              <w:top w:val="nil"/>
              <w:bottom w:val="nil"/>
            </w:tcBorders>
          </w:tcPr>
          <w:p>
            <w:pPr>
              <w:pStyle w:val="TableParagraph"/>
              <w:spacing w:before="41"/>
              <w:ind w:left="7" w:right="1"/>
              <w:jc w:val="center"/>
              <w:rPr>
                <w:sz w:val="21"/>
              </w:rPr>
            </w:pPr>
            <w:r>
              <w:rPr>
                <w:spacing w:val="-2"/>
                <w:sz w:val="21"/>
              </w:rPr>
              <w:t>$5.00</w:t>
            </w:r>
          </w:p>
        </w:tc>
        <w:tc>
          <w:tcPr>
            <w:tcW w:w="1439" w:type="dxa"/>
            <w:tcBorders>
              <w:top w:val="nil"/>
              <w:bottom w:val="nil"/>
            </w:tcBorders>
          </w:tcPr>
          <w:p>
            <w:pPr>
              <w:pStyle w:val="TableParagraph"/>
              <w:spacing w:before="41"/>
              <w:ind w:left="10" w:right="3"/>
              <w:jc w:val="center"/>
              <w:rPr>
                <w:sz w:val="21"/>
              </w:rPr>
            </w:pPr>
            <w:r>
              <w:rPr>
                <w:spacing w:val="-2"/>
                <w:sz w:val="21"/>
              </w:rPr>
              <w:t>$14.00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236" w:type="dxa"/>
            <w:tcBorders>
              <w:top w:val="nil"/>
              <w:bottom w:val="nil"/>
            </w:tcBorders>
          </w:tcPr>
          <w:p>
            <w:pPr>
              <w:pStyle w:val="TableParagraph"/>
              <w:spacing w:before="159"/>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351" w:type="dxa"/>
            <w:tcBorders>
              <w:top w:val="nil"/>
              <w:bottom w:val="nil"/>
            </w:tcBorders>
          </w:tcPr>
          <w:p>
            <w:pPr>
              <w:pStyle w:val="TableParagraph"/>
              <w:spacing w:before="191" w:line="239" w:lineRule="exact"/>
              <w:ind w:left="16" w:right="7"/>
              <w:jc w:val="center"/>
              <w:rPr>
                <w:sz w:val="21"/>
              </w:rPr>
            </w:pPr>
            <w:r>
              <w:rPr>
                <w:spacing w:val="-2"/>
                <w:sz w:val="21"/>
              </w:rPr>
              <w:t>$141.39</w:t>
            </w:r>
          </w:p>
        </w:tc>
        <w:tc>
          <w:tcPr>
            <w:tcW w:w="1529" w:type="dxa"/>
            <w:tcBorders>
              <w:top w:val="nil"/>
              <w:bottom w:val="nil"/>
            </w:tcBorders>
          </w:tcPr>
          <w:p>
            <w:pPr>
              <w:pStyle w:val="TableParagraph"/>
              <w:spacing w:before="159"/>
              <w:ind w:left="17" w:right="12"/>
              <w:jc w:val="center"/>
              <w:rPr>
                <w:sz w:val="21"/>
              </w:rPr>
            </w:pPr>
            <w:r>
              <w:rPr>
                <w:spacing w:val="-2"/>
                <w:sz w:val="21"/>
              </w:rPr>
              <w:t>$141.39</w:t>
            </w:r>
          </w:p>
        </w:tc>
        <w:tc>
          <w:tcPr>
            <w:tcW w:w="991" w:type="dxa"/>
            <w:tcBorders>
              <w:top w:val="nil"/>
              <w:bottom w:val="nil"/>
            </w:tcBorders>
          </w:tcPr>
          <w:p>
            <w:pPr>
              <w:pStyle w:val="TableParagraph"/>
              <w:spacing w:before="159"/>
              <w:ind w:left="19" w:right="9"/>
              <w:jc w:val="center"/>
              <w:rPr>
                <w:sz w:val="21"/>
              </w:rPr>
            </w:pPr>
            <w:r>
              <w:rPr>
                <w:spacing w:val="-2"/>
                <w:sz w:val="21"/>
              </w:rPr>
              <w:t>$141.39</w:t>
            </w:r>
          </w:p>
        </w:tc>
        <w:tc>
          <w:tcPr>
            <w:tcW w:w="1080" w:type="dxa"/>
            <w:tcBorders>
              <w:top w:val="nil"/>
              <w:bottom w:val="nil"/>
            </w:tcBorders>
          </w:tcPr>
          <w:p>
            <w:pPr>
              <w:pStyle w:val="TableParagraph"/>
              <w:spacing w:before="191" w:line="239" w:lineRule="exact"/>
              <w:ind w:left="7"/>
              <w:jc w:val="center"/>
              <w:rPr>
                <w:b/>
                <w:i/>
                <w:sz w:val="21"/>
              </w:rPr>
            </w:pPr>
            <w:r>
              <w:rPr>
                <w:b/>
                <w:i/>
                <w:spacing w:val="-2"/>
                <w:sz w:val="21"/>
              </w:rPr>
              <w:t>$146.39</w:t>
            </w:r>
          </w:p>
        </w:tc>
        <w:tc>
          <w:tcPr>
            <w:tcW w:w="1439" w:type="dxa"/>
            <w:tcBorders>
              <w:top w:val="nil"/>
              <w:bottom w:val="nil"/>
            </w:tcBorders>
          </w:tcPr>
          <w:p>
            <w:pPr>
              <w:pStyle w:val="TableParagraph"/>
              <w:spacing w:before="191" w:line="239" w:lineRule="exact"/>
              <w:ind w:left="10"/>
              <w:jc w:val="center"/>
              <w:rPr>
                <w:b/>
                <w:i/>
                <w:sz w:val="21"/>
              </w:rPr>
            </w:pPr>
            <w:r>
              <w:rPr>
                <w:b/>
                <w:i/>
                <w:spacing w:val="-2"/>
                <w:sz w:val="21"/>
              </w:rPr>
              <w:t>$155.39</w:t>
            </w:r>
          </w:p>
        </w:tc>
      </w:tr>
      <w:tr>
        <w:tblPrEx>
          <w:tblW w:w="0" w:type="auto"/>
          <w:jc w:val="left"/>
          <w:tblInd w:w="514" w:type="dxa"/>
          <w:tblLayout w:type="fixed"/>
          <w:tblCellMar>
            <w:top w:w="0" w:type="dxa"/>
            <w:left w:w="0" w:type="dxa"/>
            <w:bottom w:w="0" w:type="dxa"/>
            <w:right w:w="0" w:type="dxa"/>
          </w:tblCellMar>
          <w:tblLook w:val="01E0"/>
        </w:tblPrEx>
        <w:trPr>
          <w:trHeight w:val="315"/>
          <w:jc w:val="left"/>
        </w:trPr>
        <w:tc>
          <w:tcPr>
            <w:tcW w:w="3236" w:type="dxa"/>
            <w:tcBorders>
              <w:top w:val="nil"/>
              <w:bottom w:val="nil"/>
            </w:tcBorders>
          </w:tcPr>
          <w:p>
            <w:pPr>
              <w:pStyle w:val="TableParagraph"/>
              <w:spacing w:before="41"/>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351" w:type="dxa"/>
            <w:tcBorders>
              <w:top w:val="nil"/>
              <w:bottom w:val="nil"/>
            </w:tcBorders>
          </w:tcPr>
          <w:p>
            <w:pPr>
              <w:pStyle w:val="TableParagraph"/>
              <w:spacing w:before="41"/>
              <w:ind w:left="16" w:right="7"/>
              <w:jc w:val="center"/>
              <w:rPr>
                <w:sz w:val="21"/>
              </w:rPr>
            </w:pPr>
            <w:r>
              <w:rPr>
                <w:spacing w:val="-2"/>
                <w:sz w:val="21"/>
              </w:rPr>
              <w:t>$130.78</w:t>
            </w:r>
          </w:p>
        </w:tc>
        <w:tc>
          <w:tcPr>
            <w:tcW w:w="1529" w:type="dxa"/>
            <w:tcBorders>
              <w:top w:val="nil"/>
              <w:bottom w:val="nil"/>
            </w:tcBorders>
          </w:tcPr>
          <w:p>
            <w:pPr>
              <w:pStyle w:val="TableParagraph"/>
              <w:spacing w:before="9"/>
              <w:ind w:left="17" w:right="12"/>
              <w:jc w:val="center"/>
              <w:rPr>
                <w:sz w:val="21"/>
              </w:rPr>
            </w:pPr>
            <w:r>
              <w:rPr>
                <w:spacing w:val="-2"/>
                <w:sz w:val="21"/>
              </w:rPr>
              <w:t>$130.78</w:t>
            </w:r>
          </w:p>
        </w:tc>
        <w:tc>
          <w:tcPr>
            <w:tcW w:w="991" w:type="dxa"/>
            <w:tcBorders>
              <w:top w:val="nil"/>
              <w:bottom w:val="nil"/>
            </w:tcBorders>
          </w:tcPr>
          <w:p>
            <w:pPr>
              <w:pStyle w:val="TableParagraph"/>
              <w:spacing w:before="41"/>
              <w:ind w:left="19" w:right="9"/>
              <w:jc w:val="center"/>
              <w:rPr>
                <w:b/>
                <w:i/>
                <w:sz w:val="21"/>
              </w:rPr>
            </w:pPr>
            <w:r>
              <w:rPr>
                <w:b/>
                <w:i/>
                <w:spacing w:val="-2"/>
                <w:sz w:val="21"/>
              </w:rPr>
              <w:t>$135.78</w:t>
            </w:r>
          </w:p>
        </w:tc>
        <w:tc>
          <w:tcPr>
            <w:tcW w:w="1080" w:type="dxa"/>
            <w:tcBorders>
              <w:top w:val="nil"/>
              <w:bottom w:val="nil"/>
            </w:tcBorders>
          </w:tcPr>
          <w:p>
            <w:pPr>
              <w:pStyle w:val="TableParagraph"/>
              <w:spacing w:before="41"/>
              <w:ind w:left="7"/>
              <w:jc w:val="center"/>
              <w:rPr>
                <w:b/>
                <w:i/>
                <w:sz w:val="21"/>
              </w:rPr>
            </w:pPr>
            <w:r>
              <w:rPr>
                <w:b/>
                <w:i/>
                <w:spacing w:val="-2"/>
                <w:sz w:val="21"/>
              </w:rPr>
              <w:t>$135.78</w:t>
            </w:r>
          </w:p>
        </w:tc>
        <w:tc>
          <w:tcPr>
            <w:tcW w:w="1439" w:type="dxa"/>
            <w:tcBorders>
              <w:top w:val="nil"/>
              <w:bottom w:val="nil"/>
            </w:tcBorders>
          </w:tcPr>
          <w:p>
            <w:pPr>
              <w:pStyle w:val="TableParagraph"/>
              <w:spacing w:before="41"/>
              <w:ind w:left="10"/>
              <w:jc w:val="center"/>
              <w:rPr>
                <w:b/>
                <w:i/>
                <w:sz w:val="21"/>
              </w:rPr>
            </w:pPr>
            <w:r>
              <w:rPr>
                <w:b/>
                <w:i/>
                <w:spacing w:val="-2"/>
                <w:sz w:val="21"/>
              </w:rPr>
              <w:t>$135.78</w:t>
            </w:r>
          </w:p>
        </w:tc>
      </w:tr>
      <w:tr>
        <w:tblPrEx>
          <w:tblW w:w="0" w:type="auto"/>
          <w:jc w:val="left"/>
          <w:tblInd w:w="514" w:type="dxa"/>
          <w:tblLayout w:type="fixed"/>
          <w:tblCellMar>
            <w:top w:w="0" w:type="dxa"/>
            <w:left w:w="0" w:type="dxa"/>
            <w:bottom w:w="0" w:type="dxa"/>
            <w:right w:w="0" w:type="dxa"/>
          </w:tblCellMar>
          <w:tblLook w:val="01E0"/>
        </w:tblPrEx>
        <w:trPr>
          <w:trHeight w:val="434"/>
          <w:jc w:val="left"/>
        </w:trPr>
        <w:tc>
          <w:tcPr>
            <w:tcW w:w="3236" w:type="dxa"/>
            <w:tcBorders>
              <w:top w:val="nil"/>
              <w:bottom w:val="nil"/>
            </w:tcBorders>
          </w:tcPr>
          <w:p>
            <w:pPr>
              <w:pStyle w:val="TableParagraph"/>
              <w:spacing w:before="25"/>
              <w:ind w:left="107"/>
              <w:rPr>
                <w:b/>
                <w:sz w:val="21"/>
              </w:rPr>
            </w:pPr>
            <w:r>
              <w:rPr>
                <w:b/>
                <w:sz w:val="21"/>
              </w:rPr>
              <w:t>MA</w:t>
            </w:r>
            <w:r>
              <w:rPr>
                <w:b/>
                <w:spacing w:val="-5"/>
                <w:sz w:val="21"/>
              </w:rPr>
              <w:t xml:space="preserve"> </w:t>
            </w:r>
            <w:r>
              <w:rPr>
                <w:b/>
                <w:spacing w:val="-2"/>
                <w:sz w:val="21"/>
              </w:rPr>
              <w:t>Premium</w:t>
            </w:r>
          </w:p>
        </w:tc>
        <w:tc>
          <w:tcPr>
            <w:tcW w:w="1351" w:type="dxa"/>
            <w:tcBorders>
              <w:top w:val="nil"/>
              <w:bottom w:val="nil"/>
            </w:tcBorders>
          </w:tcPr>
          <w:p>
            <w:pPr>
              <w:pStyle w:val="TableParagraph"/>
              <w:spacing w:before="25"/>
              <w:ind w:left="16" w:right="10"/>
              <w:jc w:val="center"/>
              <w:rPr>
                <w:sz w:val="21"/>
              </w:rPr>
            </w:pPr>
            <w:r>
              <w:rPr>
                <w:spacing w:val="-2"/>
                <w:sz w:val="21"/>
              </w:rPr>
              <w:t>$10.60</w:t>
            </w:r>
          </w:p>
        </w:tc>
        <w:tc>
          <w:tcPr>
            <w:tcW w:w="1529" w:type="dxa"/>
            <w:tcBorders>
              <w:top w:val="nil"/>
              <w:bottom w:val="nil"/>
            </w:tcBorders>
          </w:tcPr>
          <w:p>
            <w:pPr>
              <w:pStyle w:val="TableParagraph"/>
              <w:spacing w:before="25"/>
              <w:ind w:left="17" w:right="10"/>
              <w:jc w:val="center"/>
              <w:rPr>
                <w:sz w:val="21"/>
              </w:rPr>
            </w:pPr>
            <w:r>
              <w:rPr>
                <w:spacing w:val="-2"/>
                <w:sz w:val="21"/>
              </w:rPr>
              <w:t>$10.60</w:t>
            </w:r>
          </w:p>
        </w:tc>
        <w:tc>
          <w:tcPr>
            <w:tcW w:w="991" w:type="dxa"/>
            <w:tcBorders>
              <w:top w:val="nil"/>
              <w:bottom w:val="nil"/>
            </w:tcBorders>
          </w:tcPr>
          <w:p>
            <w:pPr>
              <w:pStyle w:val="TableParagraph"/>
              <w:spacing w:before="25"/>
              <w:ind w:left="19" w:right="12"/>
              <w:jc w:val="center"/>
              <w:rPr>
                <w:sz w:val="21"/>
              </w:rPr>
            </w:pPr>
            <w:r>
              <w:rPr>
                <w:spacing w:val="-2"/>
                <w:sz w:val="21"/>
              </w:rPr>
              <w:t>$5.60</w:t>
            </w:r>
          </w:p>
        </w:tc>
        <w:tc>
          <w:tcPr>
            <w:tcW w:w="1080" w:type="dxa"/>
            <w:tcBorders>
              <w:top w:val="nil"/>
              <w:bottom w:val="nil"/>
            </w:tcBorders>
          </w:tcPr>
          <w:p>
            <w:pPr>
              <w:pStyle w:val="TableParagraph"/>
              <w:spacing w:before="25"/>
              <w:ind w:left="7" w:right="2"/>
              <w:jc w:val="center"/>
              <w:rPr>
                <w:sz w:val="21"/>
              </w:rPr>
            </w:pPr>
            <w:r>
              <w:rPr>
                <w:spacing w:val="-2"/>
                <w:sz w:val="21"/>
              </w:rPr>
              <w:t>$10.60</w:t>
            </w:r>
          </w:p>
        </w:tc>
        <w:tc>
          <w:tcPr>
            <w:tcW w:w="1439" w:type="dxa"/>
            <w:tcBorders>
              <w:top w:val="nil"/>
              <w:bottom w:val="nil"/>
            </w:tcBorders>
          </w:tcPr>
          <w:p>
            <w:pPr>
              <w:pStyle w:val="TableParagraph"/>
              <w:spacing w:before="25"/>
              <w:ind w:left="10" w:right="3"/>
              <w:jc w:val="center"/>
              <w:rPr>
                <w:sz w:val="21"/>
              </w:rPr>
            </w:pPr>
            <w:r>
              <w:rPr>
                <w:spacing w:val="-2"/>
                <w:sz w:val="21"/>
              </w:rPr>
              <w:t>$19.60</w:t>
            </w:r>
          </w:p>
        </w:tc>
      </w:tr>
      <w:tr>
        <w:tblPrEx>
          <w:tblW w:w="0" w:type="auto"/>
          <w:jc w:val="left"/>
          <w:tblInd w:w="514" w:type="dxa"/>
          <w:tblLayout w:type="fixed"/>
          <w:tblCellMar>
            <w:top w:w="0" w:type="dxa"/>
            <w:left w:w="0" w:type="dxa"/>
            <w:bottom w:w="0" w:type="dxa"/>
            <w:right w:w="0" w:type="dxa"/>
          </w:tblCellMar>
          <w:tblLook w:val="01E0"/>
        </w:tblPrEx>
        <w:trPr>
          <w:trHeight w:val="465"/>
          <w:jc w:val="left"/>
        </w:trPr>
        <w:tc>
          <w:tcPr>
            <w:tcW w:w="3236" w:type="dxa"/>
            <w:tcBorders>
              <w:top w:val="nil"/>
              <w:bottom w:val="nil"/>
            </w:tcBorders>
          </w:tcPr>
          <w:p>
            <w:pPr>
              <w:pStyle w:val="TableParagraph"/>
              <w:spacing w:before="191"/>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5"/>
                <w:sz w:val="21"/>
              </w:rPr>
              <w:t xml:space="preserve"> </w:t>
            </w:r>
            <w:r>
              <w:rPr>
                <w:spacing w:val="-2"/>
                <w:sz w:val="21"/>
              </w:rPr>
              <w:t>Rebate</w:t>
            </w:r>
          </w:p>
        </w:tc>
        <w:tc>
          <w:tcPr>
            <w:tcW w:w="1351" w:type="dxa"/>
            <w:tcBorders>
              <w:top w:val="nil"/>
              <w:bottom w:val="nil"/>
            </w:tcBorders>
          </w:tcPr>
          <w:p>
            <w:pPr>
              <w:pStyle w:val="TableParagraph"/>
              <w:spacing w:before="191"/>
              <w:ind w:left="16" w:right="10"/>
              <w:jc w:val="center"/>
              <w:rPr>
                <w:sz w:val="21"/>
              </w:rPr>
            </w:pPr>
            <w:r>
              <w:rPr>
                <w:spacing w:val="-2"/>
                <w:sz w:val="21"/>
              </w:rPr>
              <w:t>$36.40</w:t>
            </w:r>
          </w:p>
        </w:tc>
        <w:tc>
          <w:tcPr>
            <w:tcW w:w="1529" w:type="dxa"/>
            <w:tcBorders>
              <w:top w:val="nil"/>
              <w:bottom w:val="nil"/>
            </w:tcBorders>
          </w:tcPr>
          <w:p>
            <w:pPr>
              <w:pStyle w:val="TableParagraph"/>
              <w:spacing w:before="159"/>
              <w:ind w:left="17" w:right="10"/>
              <w:jc w:val="center"/>
              <w:rPr>
                <w:sz w:val="21"/>
              </w:rPr>
            </w:pPr>
            <w:r>
              <w:rPr>
                <w:spacing w:val="-2"/>
                <w:sz w:val="21"/>
              </w:rPr>
              <w:t>$22.40</w:t>
            </w:r>
          </w:p>
        </w:tc>
        <w:tc>
          <w:tcPr>
            <w:tcW w:w="991" w:type="dxa"/>
            <w:tcBorders>
              <w:top w:val="nil"/>
              <w:bottom w:val="nil"/>
            </w:tcBorders>
          </w:tcPr>
          <w:p>
            <w:pPr>
              <w:pStyle w:val="TableParagraph"/>
              <w:spacing w:before="159"/>
              <w:ind w:left="19" w:right="12"/>
              <w:jc w:val="center"/>
              <w:rPr>
                <w:sz w:val="21"/>
              </w:rPr>
            </w:pPr>
            <w:r>
              <w:rPr>
                <w:spacing w:val="-2"/>
                <w:sz w:val="21"/>
              </w:rPr>
              <w:t>$22.40</w:t>
            </w:r>
          </w:p>
        </w:tc>
        <w:tc>
          <w:tcPr>
            <w:tcW w:w="1080" w:type="dxa"/>
            <w:tcBorders>
              <w:top w:val="nil"/>
              <w:bottom w:val="nil"/>
            </w:tcBorders>
          </w:tcPr>
          <w:p>
            <w:pPr>
              <w:pStyle w:val="TableParagraph"/>
              <w:spacing w:before="191"/>
              <w:ind w:left="7" w:right="2"/>
              <w:jc w:val="center"/>
              <w:rPr>
                <w:sz w:val="21"/>
              </w:rPr>
            </w:pPr>
            <w:r>
              <w:rPr>
                <w:spacing w:val="-2"/>
                <w:sz w:val="21"/>
              </w:rPr>
              <w:t>$22.40</w:t>
            </w:r>
          </w:p>
        </w:tc>
        <w:tc>
          <w:tcPr>
            <w:tcW w:w="1439" w:type="dxa"/>
            <w:tcBorders>
              <w:top w:val="nil"/>
              <w:bottom w:val="nil"/>
            </w:tcBorders>
          </w:tcPr>
          <w:p>
            <w:pPr>
              <w:pStyle w:val="TableParagraph"/>
              <w:spacing w:before="191"/>
              <w:ind w:left="10" w:right="3"/>
              <w:jc w:val="center"/>
              <w:rPr>
                <w:sz w:val="21"/>
              </w:rPr>
            </w:pPr>
            <w:r>
              <w:rPr>
                <w:spacing w:val="-2"/>
                <w:sz w:val="21"/>
              </w:rPr>
              <w:t>$22.40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236"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5"/>
                <w:sz w:val="21"/>
              </w:rPr>
              <w:t xml:space="preserve"> </w:t>
            </w:r>
            <w:r>
              <w:rPr>
                <w:spacing w:val="-2"/>
                <w:sz w:val="21"/>
              </w:rPr>
              <w:t>Allocations</w:t>
            </w:r>
          </w:p>
        </w:tc>
        <w:tc>
          <w:tcPr>
            <w:tcW w:w="1351" w:type="dxa"/>
            <w:tcBorders>
              <w:top w:val="nil"/>
              <w:bottom w:val="nil"/>
            </w:tcBorders>
          </w:tcPr>
          <w:p>
            <w:pPr>
              <w:pStyle w:val="TableParagraph"/>
              <w:spacing w:before="25"/>
              <w:ind w:left="16" w:right="10"/>
              <w:jc w:val="center"/>
              <w:rPr>
                <w:sz w:val="21"/>
              </w:rPr>
            </w:pPr>
            <w:r>
              <w:rPr>
                <w:spacing w:val="-2"/>
                <w:sz w:val="21"/>
              </w:rPr>
              <w:t>$5.00</w:t>
            </w:r>
          </w:p>
        </w:tc>
        <w:tc>
          <w:tcPr>
            <w:tcW w:w="1529" w:type="dxa"/>
            <w:tcBorders>
              <w:top w:val="nil"/>
              <w:bottom w:val="nil"/>
            </w:tcBorders>
          </w:tcPr>
          <w:p>
            <w:pPr>
              <w:pStyle w:val="TableParagraph"/>
              <w:spacing w:before="25"/>
              <w:ind w:left="17" w:right="10"/>
              <w:jc w:val="center"/>
              <w:rPr>
                <w:sz w:val="21"/>
              </w:rPr>
            </w:pPr>
            <w:r>
              <w:rPr>
                <w:spacing w:val="-2"/>
                <w:sz w:val="21"/>
              </w:rPr>
              <w:t>$5.00</w:t>
            </w:r>
          </w:p>
        </w:tc>
        <w:tc>
          <w:tcPr>
            <w:tcW w:w="991" w:type="dxa"/>
            <w:tcBorders>
              <w:top w:val="nil"/>
              <w:bottom w:val="nil"/>
            </w:tcBorders>
          </w:tcPr>
          <w:p>
            <w:pPr>
              <w:pStyle w:val="TableParagraph"/>
              <w:spacing w:before="25"/>
              <w:ind w:left="19" w:right="12"/>
              <w:jc w:val="center"/>
              <w:rPr>
                <w:b/>
                <w:i/>
                <w:sz w:val="21"/>
              </w:rPr>
            </w:pPr>
            <w:r>
              <w:rPr>
                <w:b/>
                <w:i/>
                <w:spacing w:val="-2"/>
                <w:sz w:val="21"/>
              </w:rPr>
              <w:t>$0.00</w:t>
            </w:r>
          </w:p>
        </w:tc>
        <w:tc>
          <w:tcPr>
            <w:tcW w:w="1080" w:type="dxa"/>
            <w:tcBorders>
              <w:top w:val="nil"/>
              <w:bottom w:val="nil"/>
            </w:tcBorders>
          </w:tcPr>
          <w:p>
            <w:pPr>
              <w:pStyle w:val="TableParagraph"/>
              <w:spacing w:before="25"/>
              <w:ind w:left="7" w:right="1"/>
              <w:jc w:val="center"/>
              <w:rPr>
                <w:b/>
                <w:i/>
                <w:sz w:val="21"/>
              </w:rPr>
            </w:pPr>
            <w:r>
              <w:rPr>
                <w:b/>
                <w:i/>
                <w:spacing w:val="-2"/>
                <w:sz w:val="21"/>
              </w:rPr>
              <w:t>$0.00</w:t>
            </w:r>
          </w:p>
        </w:tc>
        <w:tc>
          <w:tcPr>
            <w:tcW w:w="1439" w:type="dxa"/>
            <w:tcBorders>
              <w:top w:val="nil"/>
              <w:bottom w:val="nil"/>
            </w:tcBorders>
          </w:tcPr>
          <w:p>
            <w:pPr>
              <w:pStyle w:val="TableParagraph"/>
              <w:spacing w:before="25"/>
              <w:ind w:left="10" w:right="3"/>
              <w:jc w:val="center"/>
              <w:rPr>
                <w:b/>
                <w:i/>
                <w:sz w:val="21"/>
              </w:rPr>
            </w:pPr>
            <w:r>
              <w:rPr>
                <w:b/>
                <w:i/>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434"/>
          <w:jc w:val="left"/>
        </w:trPr>
        <w:tc>
          <w:tcPr>
            <w:tcW w:w="3236"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351" w:type="dxa"/>
            <w:tcBorders>
              <w:top w:val="nil"/>
              <w:bottom w:val="nil"/>
            </w:tcBorders>
          </w:tcPr>
          <w:p>
            <w:pPr>
              <w:pStyle w:val="TableParagraph"/>
              <w:spacing w:before="25"/>
              <w:ind w:left="16" w:right="10"/>
              <w:jc w:val="center"/>
              <w:rPr>
                <w:sz w:val="21"/>
              </w:rPr>
            </w:pPr>
            <w:r>
              <w:rPr>
                <w:spacing w:val="-2"/>
                <w:sz w:val="21"/>
              </w:rPr>
              <w:t>$31.40</w:t>
            </w:r>
          </w:p>
        </w:tc>
        <w:tc>
          <w:tcPr>
            <w:tcW w:w="1529" w:type="dxa"/>
            <w:tcBorders>
              <w:top w:val="nil"/>
              <w:bottom w:val="nil"/>
            </w:tcBorders>
          </w:tcPr>
          <w:p>
            <w:pPr>
              <w:pStyle w:val="TableParagraph"/>
              <w:spacing w:before="25"/>
              <w:ind w:left="17" w:right="10"/>
              <w:jc w:val="center"/>
              <w:rPr>
                <w:sz w:val="21"/>
              </w:rPr>
            </w:pPr>
            <w:r>
              <w:rPr>
                <w:spacing w:val="-2"/>
                <w:sz w:val="21"/>
              </w:rPr>
              <w:t>$17.40</w:t>
            </w:r>
          </w:p>
        </w:tc>
        <w:tc>
          <w:tcPr>
            <w:tcW w:w="991" w:type="dxa"/>
            <w:tcBorders>
              <w:top w:val="nil"/>
              <w:bottom w:val="nil"/>
            </w:tcBorders>
          </w:tcPr>
          <w:p>
            <w:pPr>
              <w:pStyle w:val="TableParagraph"/>
              <w:spacing w:before="25"/>
              <w:ind w:left="19" w:right="12"/>
              <w:jc w:val="center"/>
              <w:rPr>
                <w:sz w:val="21"/>
              </w:rPr>
            </w:pPr>
            <w:r>
              <w:rPr>
                <w:spacing w:val="-2"/>
                <w:sz w:val="21"/>
              </w:rPr>
              <w:t>$22.40</w:t>
            </w:r>
          </w:p>
        </w:tc>
        <w:tc>
          <w:tcPr>
            <w:tcW w:w="1080" w:type="dxa"/>
            <w:tcBorders>
              <w:top w:val="nil"/>
              <w:bottom w:val="nil"/>
            </w:tcBorders>
          </w:tcPr>
          <w:p>
            <w:pPr>
              <w:pStyle w:val="TableParagraph"/>
              <w:spacing w:before="25"/>
              <w:ind w:left="7" w:right="2"/>
              <w:jc w:val="center"/>
              <w:rPr>
                <w:sz w:val="21"/>
              </w:rPr>
            </w:pPr>
            <w:r>
              <w:rPr>
                <w:spacing w:val="-2"/>
                <w:sz w:val="21"/>
              </w:rPr>
              <w:t>$22.40</w:t>
            </w:r>
          </w:p>
        </w:tc>
        <w:tc>
          <w:tcPr>
            <w:tcW w:w="1439" w:type="dxa"/>
            <w:tcBorders>
              <w:top w:val="nil"/>
              <w:bottom w:val="nil"/>
            </w:tcBorders>
          </w:tcPr>
          <w:p>
            <w:pPr>
              <w:pStyle w:val="TableParagraph"/>
              <w:spacing w:before="25"/>
              <w:ind w:left="10" w:right="3"/>
              <w:jc w:val="center"/>
              <w:rPr>
                <w:sz w:val="21"/>
              </w:rPr>
            </w:pPr>
            <w:r>
              <w:rPr>
                <w:spacing w:val="-2"/>
                <w:sz w:val="21"/>
              </w:rPr>
              <w:t>$22.40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236" w:type="dxa"/>
            <w:tcBorders>
              <w:top w:val="nil"/>
              <w:bottom w:val="nil"/>
            </w:tcBorders>
          </w:tcPr>
          <w:p>
            <w:pPr>
              <w:pStyle w:val="TableParagraph"/>
              <w:spacing w:before="191" w:line="239" w:lineRule="exact"/>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351" w:type="dxa"/>
            <w:tcBorders>
              <w:top w:val="nil"/>
              <w:bottom w:val="nil"/>
            </w:tcBorders>
          </w:tcPr>
          <w:p>
            <w:pPr>
              <w:pStyle w:val="TableParagraph"/>
              <w:spacing w:before="191" w:line="239" w:lineRule="exact"/>
              <w:ind w:left="16" w:right="10"/>
              <w:jc w:val="center"/>
              <w:rPr>
                <w:sz w:val="21"/>
              </w:rPr>
            </w:pPr>
            <w:r>
              <w:rPr>
                <w:spacing w:val="-2"/>
                <w:sz w:val="21"/>
              </w:rPr>
              <w:t>$26.40</w:t>
            </w:r>
          </w:p>
        </w:tc>
        <w:tc>
          <w:tcPr>
            <w:tcW w:w="1529" w:type="dxa"/>
            <w:tcBorders>
              <w:top w:val="nil"/>
              <w:bottom w:val="nil"/>
            </w:tcBorders>
          </w:tcPr>
          <w:p>
            <w:pPr>
              <w:pStyle w:val="TableParagraph"/>
              <w:spacing w:before="191" w:line="239" w:lineRule="exact"/>
              <w:ind w:left="17" w:right="10"/>
              <w:jc w:val="center"/>
              <w:rPr>
                <w:sz w:val="21"/>
              </w:rPr>
            </w:pPr>
            <w:r>
              <w:rPr>
                <w:spacing w:val="-2"/>
                <w:sz w:val="21"/>
              </w:rPr>
              <w:t>$26.40</w:t>
            </w:r>
          </w:p>
        </w:tc>
        <w:tc>
          <w:tcPr>
            <w:tcW w:w="991" w:type="dxa"/>
            <w:tcBorders>
              <w:top w:val="nil"/>
              <w:bottom w:val="nil"/>
            </w:tcBorders>
          </w:tcPr>
          <w:p>
            <w:pPr>
              <w:pStyle w:val="TableParagraph"/>
              <w:spacing w:before="159"/>
              <w:ind w:left="19" w:right="12"/>
              <w:jc w:val="center"/>
              <w:rPr>
                <w:sz w:val="21"/>
              </w:rPr>
            </w:pPr>
            <w:r>
              <w:rPr>
                <w:spacing w:val="-2"/>
                <w:sz w:val="21"/>
              </w:rPr>
              <w:t>$26.40</w:t>
            </w:r>
          </w:p>
        </w:tc>
        <w:tc>
          <w:tcPr>
            <w:tcW w:w="1080" w:type="dxa"/>
            <w:tcBorders>
              <w:top w:val="nil"/>
              <w:bottom w:val="nil"/>
            </w:tcBorders>
          </w:tcPr>
          <w:p>
            <w:pPr>
              <w:pStyle w:val="TableParagraph"/>
              <w:spacing w:before="159"/>
              <w:ind w:left="7" w:right="2"/>
              <w:jc w:val="center"/>
              <w:rPr>
                <w:sz w:val="21"/>
              </w:rPr>
            </w:pPr>
            <w:r>
              <w:rPr>
                <w:spacing w:val="-2"/>
                <w:sz w:val="21"/>
              </w:rPr>
              <w:t>$26.40</w:t>
            </w:r>
          </w:p>
        </w:tc>
        <w:tc>
          <w:tcPr>
            <w:tcW w:w="1439" w:type="dxa"/>
            <w:tcBorders>
              <w:top w:val="nil"/>
              <w:bottom w:val="nil"/>
            </w:tcBorders>
          </w:tcPr>
          <w:p>
            <w:pPr>
              <w:pStyle w:val="TableParagraph"/>
              <w:spacing w:before="159"/>
              <w:ind w:left="10" w:right="3"/>
              <w:jc w:val="center"/>
              <w:rPr>
                <w:sz w:val="21"/>
              </w:rPr>
            </w:pPr>
            <w:r>
              <w:rPr>
                <w:spacing w:val="-2"/>
                <w:sz w:val="21"/>
              </w:rPr>
              <w:t>$26.40</w:t>
            </w:r>
          </w:p>
        </w:tc>
      </w:tr>
      <w:tr>
        <w:tblPrEx>
          <w:tblW w:w="0" w:type="auto"/>
          <w:jc w:val="left"/>
          <w:tblInd w:w="514" w:type="dxa"/>
          <w:tblLayout w:type="fixed"/>
          <w:tblCellMar>
            <w:top w:w="0" w:type="dxa"/>
            <w:left w:w="0" w:type="dxa"/>
            <w:bottom w:w="0" w:type="dxa"/>
            <w:right w:w="0" w:type="dxa"/>
          </w:tblCellMar>
          <w:tblLook w:val="01E0"/>
        </w:tblPrEx>
        <w:trPr>
          <w:trHeight w:val="315"/>
          <w:jc w:val="left"/>
        </w:trPr>
        <w:tc>
          <w:tcPr>
            <w:tcW w:w="3236" w:type="dxa"/>
            <w:tcBorders>
              <w:top w:val="nil"/>
              <w:bottom w:val="nil"/>
            </w:tcBorders>
          </w:tcPr>
          <w:p>
            <w:pPr>
              <w:pStyle w:val="TableParagraph"/>
              <w:spacing w:before="41"/>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351" w:type="dxa"/>
            <w:tcBorders>
              <w:top w:val="nil"/>
              <w:bottom w:val="nil"/>
            </w:tcBorders>
          </w:tcPr>
          <w:p>
            <w:pPr>
              <w:pStyle w:val="TableParagraph"/>
              <w:spacing w:before="41"/>
              <w:ind w:left="16" w:right="10"/>
              <w:jc w:val="center"/>
              <w:rPr>
                <w:sz w:val="21"/>
              </w:rPr>
            </w:pPr>
            <w:r>
              <w:rPr>
                <w:spacing w:val="-2"/>
                <w:sz w:val="21"/>
              </w:rPr>
              <w:t>$26.40</w:t>
            </w:r>
          </w:p>
        </w:tc>
        <w:tc>
          <w:tcPr>
            <w:tcW w:w="1529" w:type="dxa"/>
            <w:tcBorders>
              <w:top w:val="nil"/>
              <w:bottom w:val="nil"/>
            </w:tcBorders>
          </w:tcPr>
          <w:p>
            <w:pPr>
              <w:pStyle w:val="TableParagraph"/>
              <w:spacing w:before="41"/>
              <w:ind w:left="17" w:right="10"/>
              <w:jc w:val="center"/>
              <w:rPr>
                <w:sz w:val="21"/>
              </w:rPr>
            </w:pPr>
            <w:r>
              <w:rPr>
                <w:spacing w:val="-2"/>
                <w:sz w:val="21"/>
              </w:rPr>
              <w:t>$26.40</w:t>
            </w:r>
          </w:p>
        </w:tc>
        <w:tc>
          <w:tcPr>
            <w:tcW w:w="991" w:type="dxa"/>
            <w:tcBorders>
              <w:top w:val="nil"/>
              <w:bottom w:val="nil"/>
            </w:tcBorders>
          </w:tcPr>
          <w:p>
            <w:pPr>
              <w:pStyle w:val="TableParagraph"/>
              <w:spacing w:before="41"/>
              <w:ind w:left="19" w:right="12"/>
              <w:jc w:val="center"/>
              <w:rPr>
                <w:sz w:val="21"/>
              </w:rPr>
            </w:pPr>
            <w:r>
              <w:rPr>
                <w:spacing w:val="-2"/>
                <w:sz w:val="21"/>
              </w:rPr>
              <w:t>$26.40</w:t>
            </w:r>
          </w:p>
        </w:tc>
        <w:tc>
          <w:tcPr>
            <w:tcW w:w="1080" w:type="dxa"/>
            <w:tcBorders>
              <w:top w:val="nil"/>
              <w:bottom w:val="nil"/>
            </w:tcBorders>
          </w:tcPr>
          <w:p>
            <w:pPr>
              <w:pStyle w:val="TableParagraph"/>
              <w:spacing w:before="9"/>
              <w:ind w:left="7" w:right="2"/>
              <w:jc w:val="center"/>
              <w:rPr>
                <w:sz w:val="21"/>
              </w:rPr>
            </w:pPr>
            <w:r>
              <w:rPr>
                <w:spacing w:val="-2"/>
                <w:sz w:val="21"/>
              </w:rPr>
              <w:t>$26.40</w:t>
            </w:r>
          </w:p>
        </w:tc>
        <w:tc>
          <w:tcPr>
            <w:tcW w:w="1439" w:type="dxa"/>
            <w:tcBorders>
              <w:top w:val="nil"/>
              <w:bottom w:val="nil"/>
            </w:tcBorders>
          </w:tcPr>
          <w:p>
            <w:pPr>
              <w:pStyle w:val="TableParagraph"/>
              <w:spacing w:before="9"/>
              <w:ind w:left="10" w:right="3"/>
              <w:jc w:val="center"/>
              <w:rPr>
                <w:sz w:val="21"/>
              </w:rPr>
            </w:pPr>
            <w:r>
              <w:rPr>
                <w:spacing w:val="-2"/>
                <w:sz w:val="21"/>
              </w:rPr>
              <w:t>$26.40</w:t>
            </w:r>
          </w:p>
        </w:tc>
      </w:tr>
      <w:tr>
        <w:tblPrEx>
          <w:tblW w:w="0" w:type="auto"/>
          <w:jc w:val="left"/>
          <w:tblInd w:w="514" w:type="dxa"/>
          <w:tblLayout w:type="fixed"/>
          <w:tblCellMar>
            <w:top w:w="0" w:type="dxa"/>
            <w:left w:w="0" w:type="dxa"/>
            <w:bottom w:w="0" w:type="dxa"/>
            <w:right w:w="0" w:type="dxa"/>
          </w:tblCellMar>
          <w:tblLook w:val="01E0"/>
        </w:tblPrEx>
        <w:trPr>
          <w:trHeight w:val="566"/>
          <w:jc w:val="left"/>
        </w:trPr>
        <w:tc>
          <w:tcPr>
            <w:tcW w:w="3236"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351" w:type="dxa"/>
            <w:tcBorders>
              <w:top w:val="nil"/>
            </w:tcBorders>
          </w:tcPr>
          <w:p>
            <w:pPr>
              <w:pStyle w:val="TableParagraph"/>
              <w:spacing w:before="25"/>
              <w:ind w:left="16" w:right="10"/>
              <w:jc w:val="center"/>
              <w:rPr>
                <w:sz w:val="21"/>
              </w:rPr>
            </w:pPr>
            <w:r>
              <w:rPr>
                <w:spacing w:val="-2"/>
                <w:sz w:val="21"/>
              </w:rPr>
              <w:t>$0.00</w:t>
            </w:r>
          </w:p>
        </w:tc>
        <w:tc>
          <w:tcPr>
            <w:tcW w:w="1529" w:type="dxa"/>
            <w:tcBorders>
              <w:top w:val="nil"/>
            </w:tcBorders>
          </w:tcPr>
          <w:p>
            <w:pPr>
              <w:pStyle w:val="TableParagraph"/>
              <w:spacing w:before="25"/>
              <w:ind w:left="17" w:right="10"/>
              <w:jc w:val="center"/>
              <w:rPr>
                <w:sz w:val="21"/>
              </w:rPr>
            </w:pPr>
            <w:r>
              <w:rPr>
                <w:spacing w:val="-2"/>
                <w:sz w:val="21"/>
              </w:rPr>
              <w:t>$0.00</w:t>
            </w:r>
          </w:p>
        </w:tc>
        <w:tc>
          <w:tcPr>
            <w:tcW w:w="991" w:type="dxa"/>
            <w:tcBorders>
              <w:top w:val="nil"/>
            </w:tcBorders>
          </w:tcPr>
          <w:p>
            <w:pPr>
              <w:pStyle w:val="TableParagraph"/>
              <w:spacing w:before="25"/>
              <w:ind w:left="19" w:right="12"/>
              <w:jc w:val="center"/>
              <w:rPr>
                <w:sz w:val="21"/>
              </w:rPr>
            </w:pPr>
            <w:r>
              <w:rPr>
                <w:spacing w:val="-2"/>
                <w:sz w:val="21"/>
              </w:rPr>
              <w:t>$0.00</w:t>
            </w:r>
          </w:p>
        </w:tc>
        <w:tc>
          <w:tcPr>
            <w:tcW w:w="1080" w:type="dxa"/>
            <w:tcBorders>
              <w:top w:val="nil"/>
            </w:tcBorders>
          </w:tcPr>
          <w:p>
            <w:pPr>
              <w:pStyle w:val="TableParagraph"/>
              <w:spacing w:before="25"/>
              <w:ind w:left="7" w:right="1"/>
              <w:jc w:val="center"/>
              <w:rPr>
                <w:sz w:val="21"/>
              </w:rPr>
            </w:pPr>
            <w:r>
              <w:rPr>
                <w:spacing w:val="-2"/>
                <w:sz w:val="21"/>
              </w:rPr>
              <w:t>$0.00</w:t>
            </w:r>
          </w:p>
        </w:tc>
        <w:tc>
          <w:tcPr>
            <w:tcW w:w="1439" w:type="dxa"/>
            <w:tcBorders>
              <w:top w:val="nil"/>
            </w:tcBorders>
          </w:tcPr>
          <w:p>
            <w:pPr>
              <w:pStyle w:val="TableParagraph"/>
              <w:spacing w:before="25"/>
              <w:ind w:left="10" w:right="3"/>
              <w:jc w:val="center"/>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299"/>
          <w:jc w:val="left"/>
        </w:trPr>
        <w:tc>
          <w:tcPr>
            <w:tcW w:w="3236" w:type="dxa"/>
          </w:tcPr>
          <w:p>
            <w:pPr>
              <w:pStyle w:val="TableParagraph"/>
              <w:spacing w:before="58"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351" w:type="dxa"/>
          </w:tcPr>
          <w:p>
            <w:pPr>
              <w:pStyle w:val="TableParagraph"/>
              <w:spacing w:before="58" w:line="221" w:lineRule="exact"/>
              <w:ind w:left="16" w:right="10"/>
              <w:jc w:val="center"/>
              <w:rPr>
                <w:sz w:val="21"/>
              </w:rPr>
            </w:pPr>
            <w:r>
              <w:rPr>
                <w:spacing w:val="-2"/>
                <w:sz w:val="21"/>
              </w:rPr>
              <w:t>$42.00</w:t>
            </w:r>
          </w:p>
        </w:tc>
        <w:tc>
          <w:tcPr>
            <w:tcW w:w="1529" w:type="dxa"/>
          </w:tcPr>
          <w:p>
            <w:pPr>
              <w:pStyle w:val="TableParagraph"/>
              <w:spacing w:before="58" w:line="221" w:lineRule="exact"/>
              <w:ind w:left="17" w:right="10"/>
              <w:jc w:val="center"/>
              <w:rPr>
                <w:sz w:val="21"/>
              </w:rPr>
            </w:pPr>
            <w:r>
              <w:rPr>
                <w:spacing w:val="-2"/>
                <w:sz w:val="21"/>
              </w:rPr>
              <w:t>$28.00</w:t>
            </w:r>
          </w:p>
        </w:tc>
        <w:tc>
          <w:tcPr>
            <w:tcW w:w="991" w:type="dxa"/>
          </w:tcPr>
          <w:p>
            <w:pPr>
              <w:pStyle w:val="TableParagraph"/>
              <w:spacing w:before="58" w:line="221" w:lineRule="exact"/>
              <w:ind w:left="19" w:right="12"/>
              <w:jc w:val="center"/>
              <w:rPr>
                <w:sz w:val="21"/>
              </w:rPr>
            </w:pPr>
            <w:r>
              <w:rPr>
                <w:spacing w:val="-2"/>
                <w:sz w:val="21"/>
              </w:rPr>
              <w:t>$28.00</w:t>
            </w:r>
          </w:p>
        </w:tc>
        <w:tc>
          <w:tcPr>
            <w:tcW w:w="1080" w:type="dxa"/>
          </w:tcPr>
          <w:p>
            <w:pPr>
              <w:pStyle w:val="TableParagraph"/>
              <w:spacing w:before="58" w:line="221" w:lineRule="exact"/>
              <w:ind w:left="7" w:right="2"/>
              <w:jc w:val="center"/>
              <w:rPr>
                <w:sz w:val="21"/>
              </w:rPr>
            </w:pPr>
            <w:r>
              <w:rPr>
                <w:spacing w:val="-2"/>
                <w:sz w:val="21"/>
              </w:rPr>
              <w:t>$33.00</w:t>
            </w:r>
          </w:p>
        </w:tc>
        <w:tc>
          <w:tcPr>
            <w:tcW w:w="1439" w:type="dxa"/>
          </w:tcPr>
          <w:p>
            <w:pPr>
              <w:pStyle w:val="TableParagraph"/>
              <w:spacing w:before="58" w:line="221" w:lineRule="exact"/>
              <w:ind w:left="10" w:right="3"/>
              <w:jc w:val="center"/>
              <w:rPr>
                <w:sz w:val="21"/>
              </w:rPr>
            </w:pPr>
            <w:r>
              <w:rPr>
                <w:spacing w:val="-2"/>
                <w:sz w:val="21"/>
              </w:rPr>
              <w:t>$42.00</w:t>
            </w:r>
          </w:p>
        </w:tc>
      </w:tr>
    </w:tbl>
    <w:p>
      <w:pPr>
        <w:pStyle w:val="BodyText"/>
        <w:spacing w:before="89"/>
        <w:ind w:left="0"/>
        <w:rPr>
          <w:rFonts w:ascii="Arial"/>
          <w:b/>
          <w:i/>
        </w:rPr>
      </w:pPr>
    </w:p>
    <w:p>
      <w:pPr>
        <w:pStyle w:val="BodyText"/>
      </w:pPr>
      <w:r>
        <w:t>In</w:t>
      </w:r>
      <w:r>
        <w:rPr>
          <w:spacing w:val="-1"/>
        </w:rPr>
        <w:t xml:space="preserve"> </w:t>
      </w:r>
      <w:r>
        <w:t>this</w:t>
      </w:r>
      <w:r>
        <w:rPr>
          <w:spacing w:val="-2"/>
        </w:rPr>
        <w:t xml:space="preserve"> </w:t>
      </w:r>
      <w:r>
        <w:t>example,</w:t>
      </w:r>
      <w:r>
        <w:rPr>
          <w:spacing w:val="-1"/>
        </w:rPr>
        <w:t xml:space="preserve"> </w:t>
      </w:r>
      <w:r>
        <w:t>the</w:t>
      </w:r>
      <w:r>
        <w:rPr>
          <w:spacing w:val="-1"/>
        </w:rPr>
        <w:t xml:space="preserve"> </w:t>
      </w:r>
      <w:r>
        <w:t>change</w:t>
      </w:r>
      <w:r>
        <w:rPr>
          <w:spacing w:val="-2"/>
        </w:rPr>
        <w:t xml:space="preserve"> </w:t>
      </w:r>
      <w:r>
        <w:t>in</w:t>
      </w:r>
      <w:r>
        <w:rPr>
          <w:spacing w:val="-1"/>
        </w:rPr>
        <w:t xml:space="preserve"> </w:t>
      </w:r>
      <w:r>
        <w:t>MSB</w:t>
      </w:r>
      <w:r>
        <w:rPr>
          <w:spacing w:val="-1"/>
        </w:rPr>
        <w:t xml:space="preserve"> </w:t>
      </w:r>
      <w:r>
        <w:t>revenue</w:t>
      </w:r>
      <w:r>
        <w:rPr>
          <w:spacing w:val="-2"/>
        </w:rPr>
        <w:t xml:space="preserve"> </w:t>
      </w:r>
      <w:r>
        <w:t>requirement</w:t>
      </w:r>
      <w:r>
        <w:rPr>
          <w:spacing w:val="-1"/>
        </w:rPr>
        <w:t xml:space="preserve"> </w:t>
      </w:r>
      <w:r>
        <w:t>must</w:t>
      </w:r>
      <w:r>
        <w:rPr>
          <w:spacing w:val="-1"/>
        </w:rPr>
        <w:t xml:space="preserve"> </w:t>
      </w:r>
      <w:r>
        <w:t>be</w:t>
      </w:r>
      <w:r>
        <w:rPr>
          <w:spacing w:val="-1"/>
        </w:rPr>
        <w:t xml:space="preserve"> </w:t>
      </w:r>
      <w:r>
        <w:t>between</w:t>
      </w:r>
      <w:r>
        <w:rPr>
          <w:spacing w:val="1"/>
        </w:rPr>
        <w:t xml:space="preserve"> </w:t>
      </w:r>
      <w:r>
        <w:t>$0.00</w:t>
      </w:r>
      <w:r>
        <w:rPr>
          <w:spacing w:val="-1"/>
        </w:rPr>
        <w:t xml:space="preserve"> </w:t>
      </w:r>
      <w:r>
        <w:t>and</w:t>
      </w:r>
      <w:r>
        <w:rPr>
          <w:spacing w:val="-1"/>
        </w:rPr>
        <w:t xml:space="preserve"> </w:t>
      </w:r>
      <w:r>
        <w:rPr>
          <w:spacing w:val="-2"/>
        </w:rPr>
        <w:t>$5.00.</w:t>
      </w:r>
    </w:p>
    <w:p>
      <w:pPr>
        <w:pStyle w:val="BodyText"/>
        <w:spacing w:before="139"/>
        <w:ind w:right="1481"/>
      </w:pPr>
      <w:r>
        <w:rPr>
          <w:b/>
        </w:rPr>
        <w:t>Option</w:t>
      </w:r>
      <w:r>
        <w:rPr>
          <w:b/>
          <w:spacing w:val="-3"/>
        </w:rPr>
        <w:t xml:space="preserve"> </w:t>
      </w:r>
      <w:r>
        <w:rPr>
          <w:b/>
        </w:rPr>
        <w:t>1</w:t>
      </w:r>
      <w:r>
        <w:t>:</w:t>
      </w:r>
      <w:r>
        <w:rPr>
          <w:spacing w:val="-3"/>
        </w:rPr>
        <w:t xml:space="preserve"> </w:t>
      </w:r>
      <w:r>
        <w:t>The</w:t>
      </w:r>
      <w:r>
        <w:rPr>
          <w:spacing w:val="-4"/>
        </w:rPr>
        <w:t xml:space="preserve"> </w:t>
      </w:r>
      <w:r>
        <w:t>MAO</w:t>
      </w:r>
      <w:r>
        <w:rPr>
          <w:spacing w:val="-4"/>
        </w:rPr>
        <w:t xml:space="preserve"> </w:t>
      </w:r>
      <w:r>
        <w:t>is</w:t>
      </w:r>
      <w:r>
        <w:rPr>
          <w:spacing w:val="-4"/>
        </w:rPr>
        <w:t xml:space="preserve"> </w:t>
      </w:r>
      <w:r>
        <w:t>not</w:t>
      </w:r>
      <w:r>
        <w:rPr>
          <w:spacing w:val="-3"/>
        </w:rPr>
        <w:t xml:space="preserve"> </w:t>
      </w:r>
      <w:r>
        <w:t>required</w:t>
      </w:r>
      <w:r>
        <w:rPr>
          <w:spacing w:val="-3"/>
        </w:rPr>
        <w:t xml:space="preserve"> </w:t>
      </w:r>
      <w:r>
        <w:t>to</w:t>
      </w:r>
      <w:r>
        <w:rPr>
          <w:spacing w:val="-3"/>
        </w:rPr>
        <w:t xml:space="preserve"> </w:t>
      </w:r>
      <w:r>
        <w:t>reallocate</w:t>
      </w:r>
      <w:r>
        <w:rPr>
          <w:spacing w:val="-2"/>
        </w:rPr>
        <w:t xml:space="preserve"> </w:t>
      </w:r>
      <w:r>
        <w:t>rebates</w:t>
      </w:r>
      <w:r>
        <w:rPr>
          <w:spacing w:val="-4"/>
        </w:rPr>
        <w:t xml:space="preserve"> </w:t>
      </w:r>
      <w:r>
        <w:t>and</w:t>
      </w:r>
      <w:r>
        <w:rPr>
          <w:spacing w:val="-3"/>
        </w:rPr>
        <w:t xml:space="preserve"> </w:t>
      </w:r>
      <w:r>
        <w:t>may</w:t>
      </w:r>
      <w:r>
        <w:rPr>
          <w:spacing w:val="-2"/>
        </w:rPr>
        <w:t xml:space="preserve"> </w:t>
      </w:r>
      <w:r>
        <w:t>choose</w:t>
      </w:r>
      <w:r>
        <w:rPr>
          <w:spacing w:val="-4"/>
        </w:rPr>
        <w:t xml:space="preserve"> </w:t>
      </w:r>
      <w:r>
        <w:t>to</w:t>
      </w:r>
      <w:r>
        <w:rPr>
          <w:spacing w:val="-1"/>
        </w:rPr>
        <w:t xml:space="preserve"> </w:t>
      </w:r>
      <w:r>
        <w:t>leave</w:t>
      </w:r>
      <w:r>
        <w:rPr>
          <w:spacing w:val="-4"/>
        </w:rPr>
        <w:t xml:space="preserve"> </w:t>
      </w:r>
      <w:r>
        <w:t>the</w:t>
      </w:r>
      <w:r>
        <w:rPr>
          <w:spacing w:val="-3"/>
        </w:rPr>
        <w:t xml:space="preserve"> </w:t>
      </w:r>
      <w:r>
        <w:t>Part</w:t>
      </w:r>
      <w:r>
        <w:rPr>
          <w:spacing w:val="-3"/>
        </w:rPr>
        <w:t xml:space="preserve"> </w:t>
      </w:r>
      <w:r>
        <w:t>D basic premium at the post-Part D benchmark announcement basic premium of $28.00.</w:t>
      </w:r>
    </w:p>
    <w:p>
      <w:pPr>
        <w:pStyle w:val="BodyText"/>
      </w:pPr>
      <w:r>
        <w:t>Resubmission</w:t>
      </w:r>
      <w:r>
        <w:rPr>
          <w:spacing w:val="-1"/>
        </w:rPr>
        <w:t xml:space="preserve"> </w:t>
      </w:r>
      <w:r>
        <w:t>is</w:t>
      </w:r>
      <w:r>
        <w:rPr>
          <w:spacing w:val="-2"/>
        </w:rPr>
        <w:t xml:space="preserve"> </w:t>
      </w:r>
      <w:r>
        <w:t>not</w:t>
      </w:r>
      <w:r>
        <w:rPr>
          <w:spacing w:val="-1"/>
        </w:rPr>
        <w:t xml:space="preserve"> </w:t>
      </w:r>
      <w:r>
        <w:rPr>
          <w:spacing w:val="-2"/>
        </w:rPr>
        <w:t>necessary.</w:t>
      </w:r>
    </w:p>
    <w:p>
      <w:pPr>
        <w:pStyle w:val="BodyText"/>
        <w:spacing w:before="142"/>
        <w:ind w:right="1481"/>
      </w:pPr>
      <w:r>
        <w:rPr>
          <w:b/>
        </w:rPr>
        <w:t>Options</w:t>
      </w:r>
      <w:r>
        <w:rPr>
          <w:b/>
          <w:spacing w:val="-4"/>
        </w:rPr>
        <w:t xml:space="preserve"> </w:t>
      </w:r>
      <w:r>
        <w:rPr>
          <w:b/>
        </w:rPr>
        <w:t>2</w:t>
      </w:r>
      <w:r>
        <w:t>:</w:t>
      </w:r>
      <w:r>
        <w:rPr>
          <w:spacing w:val="-3"/>
        </w:rPr>
        <w:t xml:space="preserve"> </w:t>
      </w:r>
      <w:r>
        <w:t>The</w:t>
      </w:r>
      <w:r>
        <w:rPr>
          <w:spacing w:val="-4"/>
        </w:rPr>
        <w:t xml:space="preserve"> </w:t>
      </w:r>
      <w:r>
        <w:t>MAO</w:t>
      </w:r>
      <w:r>
        <w:rPr>
          <w:spacing w:val="-4"/>
        </w:rPr>
        <w:t xml:space="preserve"> </w:t>
      </w:r>
      <w:r>
        <w:t>may</w:t>
      </w:r>
      <w:r>
        <w:rPr>
          <w:spacing w:val="-3"/>
        </w:rPr>
        <w:t xml:space="preserve"> </w:t>
      </w:r>
      <w:r>
        <w:t>choose</w:t>
      </w:r>
      <w:r>
        <w:rPr>
          <w:spacing w:val="-4"/>
        </w:rPr>
        <w:t xml:space="preserve"> </w:t>
      </w:r>
      <w:r>
        <w:t>to</w:t>
      </w:r>
      <w:r>
        <w:rPr>
          <w:spacing w:val="-3"/>
        </w:rPr>
        <w:t xml:space="preserve"> </w:t>
      </w:r>
      <w:r>
        <w:t>partially</w:t>
      </w:r>
      <w:r>
        <w:rPr>
          <w:spacing w:val="-3"/>
        </w:rPr>
        <w:t xml:space="preserve"> </w:t>
      </w:r>
      <w:r>
        <w:t>return</w:t>
      </w:r>
      <w:r>
        <w:rPr>
          <w:spacing w:val="-3"/>
        </w:rPr>
        <w:t xml:space="preserve"> </w:t>
      </w:r>
      <w:r>
        <w:t>to</w:t>
      </w:r>
      <w:r>
        <w:rPr>
          <w:spacing w:val="-3"/>
        </w:rPr>
        <w:t xml:space="preserve"> </w:t>
      </w:r>
      <w:r>
        <w:t>target</w:t>
      </w:r>
      <w:r>
        <w:rPr>
          <w:spacing w:val="-3"/>
        </w:rPr>
        <w:t xml:space="preserve"> </w:t>
      </w:r>
      <w:r>
        <w:t>Part</w:t>
      </w:r>
      <w:r>
        <w:rPr>
          <w:spacing w:val="-3"/>
        </w:rPr>
        <w:t xml:space="preserve"> </w:t>
      </w:r>
      <w:r>
        <w:t>D</w:t>
      </w:r>
      <w:r>
        <w:rPr>
          <w:spacing w:val="-4"/>
        </w:rPr>
        <w:t xml:space="preserve"> </w:t>
      </w:r>
      <w:r>
        <w:t>basic</w:t>
      </w:r>
      <w:r>
        <w:rPr>
          <w:spacing w:val="-2"/>
        </w:rPr>
        <w:t xml:space="preserve"> </w:t>
      </w:r>
      <w:r>
        <w:t>premium.</w:t>
      </w:r>
      <w:r>
        <w:rPr>
          <w:spacing w:val="-3"/>
        </w:rPr>
        <w:t xml:space="preserve"> </w:t>
      </w:r>
      <w:r>
        <w:t>The</w:t>
      </w:r>
      <w:r>
        <w:rPr>
          <w:spacing w:val="-4"/>
        </w:rPr>
        <w:t xml:space="preserve"> </w:t>
      </w:r>
      <w:r>
        <w:t>MAO must reallocate the excessive allocation of $5.00 by—</w:t>
      </w:r>
    </w:p>
    <w:p>
      <w:pPr>
        <w:pStyle w:val="BodyText"/>
        <w:spacing w:before="139"/>
        <w:ind w:left="1224" w:right="1604"/>
        <w:jc w:val="both"/>
      </w:pPr>
      <w:r>
        <w:rPr>
          <w:b/>
        </w:rPr>
        <w:t>2a</w:t>
      </w:r>
      <w:r>
        <w:t>:</w:t>
      </w:r>
      <w:r>
        <w:rPr>
          <w:spacing w:val="-3"/>
        </w:rPr>
        <w:t xml:space="preserve"> </w:t>
      </w:r>
      <w:r>
        <w:t>Making</w:t>
      </w:r>
      <w:r>
        <w:rPr>
          <w:spacing w:val="-3"/>
        </w:rPr>
        <w:t xml:space="preserve"> </w:t>
      </w:r>
      <w:r>
        <w:t>no</w:t>
      </w:r>
      <w:r>
        <w:rPr>
          <w:spacing w:val="-3"/>
        </w:rPr>
        <w:t xml:space="preserve"> </w:t>
      </w:r>
      <w:r>
        <w:t>changes</w:t>
      </w:r>
      <w:r>
        <w:rPr>
          <w:spacing w:val="-4"/>
        </w:rPr>
        <w:t xml:space="preserve"> </w:t>
      </w:r>
      <w:r>
        <w:t>to</w:t>
      </w:r>
      <w:r>
        <w:rPr>
          <w:spacing w:val="-3"/>
        </w:rPr>
        <w:t xml:space="preserve"> </w:t>
      </w:r>
      <w:r>
        <w:t>MSB</w:t>
      </w:r>
      <w:r>
        <w:rPr>
          <w:spacing w:val="-3"/>
        </w:rPr>
        <w:t xml:space="preserve"> </w:t>
      </w:r>
      <w:r>
        <w:t>revenue</w:t>
      </w:r>
      <w:r>
        <w:rPr>
          <w:spacing w:val="-4"/>
        </w:rPr>
        <w:t xml:space="preserve"> </w:t>
      </w:r>
      <w:r>
        <w:t>requirement</w:t>
      </w:r>
      <w:r>
        <w:rPr>
          <w:spacing w:val="-3"/>
        </w:rPr>
        <w:t xml:space="preserve"> </w:t>
      </w:r>
      <w:r>
        <w:t>and</w:t>
      </w:r>
      <w:r>
        <w:rPr>
          <w:spacing w:val="-3"/>
        </w:rPr>
        <w:t xml:space="preserve"> </w:t>
      </w:r>
      <w:r>
        <w:t>decreasing</w:t>
      </w:r>
      <w:r>
        <w:rPr>
          <w:spacing w:val="-3"/>
        </w:rPr>
        <w:t xml:space="preserve"> </w:t>
      </w:r>
      <w:r>
        <w:t>the</w:t>
      </w:r>
      <w:r>
        <w:rPr>
          <w:spacing w:val="-4"/>
        </w:rPr>
        <w:t xml:space="preserve"> </w:t>
      </w:r>
      <w:r>
        <w:t>MA</w:t>
      </w:r>
      <w:r>
        <w:rPr>
          <w:spacing w:val="-4"/>
        </w:rPr>
        <w:t xml:space="preserve"> </w:t>
      </w:r>
      <w:r>
        <w:t>or</w:t>
      </w:r>
      <w:r>
        <w:rPr>
          <w:spacing w:val="-5"/>
        </w:rPr>
        <w:t xml:space="preserve"> </w:t>
      </w:r>
      <w:r>
        <w:t>Part</w:t>
      </w:r>
      <w:r>
        <w:rPr>
          <w:spacing w:val="-3"/>
        </w:rPr>
        <w:t xml:space="preserve"> </w:t>
      </w:r>
      <w:r>
        <w:t>D supplemental premiums (or increasing the rebates allocated to the Part B premium) by increasing rebate allocations to MA, Part D supplemental, or Part B premiums; or</w:t>
      </w:r>
    </w:p>
    <w:p>
      <w:pPr>
        <w:pStyle w:val="BodyText"/>
        <w:spacing w:before="140"/>
        <w:ind w:left="1224" w:right="1481"/>
      </w:pPr>
      <w:r>
        <w:rPr>
          <w:b/>
        </w:rPr>
        <w:t>2b</w:t>
      </w:r>
      <w:r>
        <w:t>:</w:t>
      </w:r>
      <w:r>
        <w:rPr>
          <w:spacing w:val="-3"/>
        </w:rPr>
        <w:t xml:space="preserve"> </w:t>
      </w:r>
      <w:r>
        <w:t>Increasing</w:t>
      </w:r>
      <w:r>
        <w:rPr>
          <w:spacing w:val="-3"/>
        </w:rPr>
        <w:t xml:space="preserve"> </w:t>
      </w:r>
      <w:r>
        <w:t>MSB</w:t>
      </w:r>
      <w:r>
        <w:rPr>
          <w:spacing w:val="-3"/>
        </w:rPr>
        <w:t xml:space="preserve"> </w:t>
      </w:r>
      <w:r>
        <w:t>revenue</w:t>
      </w:r>
      <w:r>
        <w:rPr>
          <w:spacing w:val="-4"/>
        </w:rPr>
        <w:t xml:space="preserve"> </w:t>
      </w:r>
      <w:r>
        <w:t>requirement</w:t>
      </w:r>
      <w:r>
        <w:rPr>
          <w:spacing w:val="-3"/>
        </w:rPr>
        <w:t xml:space="preserve"> </w:t>
      </w:r>
      <w:r>
        <w:t>by</w:t>
      </w:r>
      <w:r>
        <w:rPr>
          <w:spacing w:val="-3"/>
        </w:rPr>
        <w:t xml:space="preserve"> </w:t>
      </w:r>
      <w:r>
        <w:t>less</w:t>
      </w:r>
      <w:r>
        <w:rPr>
          <w:spacing w:val="-4"/>
        </w:rPr>
        <w:t xml:space="preserve"> </w:t>
      </w:r>
      <w:r>
        <w:t>than</w:t>
      </w:r>
      <w:r>
        <w:rPr>
          <w:spacing w:val="-3"/>
        </w:rPr>
        <w:t xml:space="preserve"> </w:t>
      </w:r>
      <w:r>
        <w:t>or</w:t>
      </w:r>
      <w:r>
        <w:rPr>
          <w:spacing w:val="-5"/>
        </w:rPr>
        <w:t xml:space="preserve"> </w:t>
      </w:r>
      <w:r>
        <w:t>equal</w:t>
      </w:r>
      <w:r>
        <w:rPr>
          <w:spacing w:val="-3"/>
        </w:rPr>
        <w:t xml:space="preserve"> </w:t>
      </w:r>
      <w:r>
        <w:t>to</w:t>
      </w:r>
      <w:r>
        <w:rPr>
          <w:spacing w:val="-3"/>
        </w:rPr>
        <w:t xml:space="preserve"> </w:t>
      </w:r>
      <w:r>
        <w:t>$5.00,</w:t>
      </w:r>
      <w:r>
        <w:rPr>
          <w:spacing w:val="-3"/>
        </w:rPr>
        <w:t xml:space="preserve"> </w:t>
      </w:r>
      <w:r>
        <w:t>such</w:t>
      </w:r>
      <w:r>
        <w:rPr>
          <w:spacing w:val="-3"/>
        </w:rPr>
        <w:t xml:space="preserve"> </w:t>
      </w:r>
      <w:r>
        <w:t>that</w:t>
      </w:r>
      <w:r>
        <w:rPr>
          <w:spacing w:val="-3"/>
        </w:rPr>
        <w:t xml:space="preserve"> </w:t>
      </w:r>
      <w:r>
        <w:t>there is a partial or full return to the MA premium in initial June bid by increasing rebate allocations to MA, Part D supplemental, or Part B premiums.</w:t>
      </w:r>
    </w:p>
    <w:p>
      <w:pPr>
        <w:pStyle w:val="BodyText"/>
        <w:spacing w:before="139"/>
        <w:ind w:right="1481"/>
      </w:pPr>
      <w:r>
        <w:rPr>
          <w:b/>
        </w:rPr>
        <w:t>*Unacceptable</w:t>
      </w:r>
      <w:r>
        <w:rPr>
          <w:b/>
          <w:spacing w:val="-4"/>
        </w:rPr>
        <w:t xml:space="preserve"> </w:t>
      </w:r>
      <w:r>
        <w:rPr>
          <w:b/>
        </w:rPr>
        <w:t>Option</w:t>
      </w:r>
      <w:r>
        <w:t>:</w:t>
      </w:r>
      <w:r>
        <w:rPr>
          <w:spacing w:val="-3"/>
        </w:rPr>
        <w:t xml:space="preserve"> </w:t>
      </w:r>
      <w:r>
        <w:t>The</w:t>
      </w:r>
      <w:r>
        <w:rPr>
          <w:spacing w:val="-4"/>
        </w:rPr>
        <w:t xml:space="preserve"> </w:t>
      </w:r>
      <w:r>
        <w:t>MSB</w:t>
      </w:r>
      <w:r>
        <w:rPr>
          <w:spacing w:val="-3"/>
        </w:rPr>
        <w:t xml:space="preserve"> </w:t>
      </w:r>
      <w:r>
        <w:t>revenue</w:t>
      </w:r>
      <w:r>
        <w:rPr>
          <w:spacing w:val="-2"/>
        </w:rPr>
        <w:t xml:space="preserve"> </w:t>
      </w:r>
      <w:r>
        <w:t>requirement</w:t>
      </w:r>
      <w:r>
        <w:rPr>
          <w:spacing w:val="-3"/>
        </w:rPr>
        <w:t xml:space="preserve"> </w:t>
      </w:r>
      <w:r>
        <w:t>cannot</w:t>
      </w:r>
      <w:r>
        <w:rPr>
          <w:spacing w:val="-3"/>
        </w:rPr>
        <w:t xml:space="preserve"> </w:t>
      </w:r>
      <w:r>
        <w:t>increase</w:t>
      </w:r>
      <w:r>
        <w:rPr>
          <w:spacing w:val="-4"/>
        </w:rPr>
        <w:t xml:space="preserve"> </w:t>
      </w:r>
      <w:r>
        <w:t>more</w:t>
      </w:r>
      <w:r>
        <w:rPr>
          <w:spacing w:val="-5"/>
        </w:rPr>
        <w:t xml:space="preserve"> </w:t>
      </w:r>
      <w:r>
        <w:t>than</w:t>
      </w:r>
      <w:r>
        <w:rPr>
          <w:spacing w:val="-3"/>
        </w:rPr>
        <w:t xml:space="preserve"> </w:t>
      </w:r>
      <w:r>
        <w:t>the</w:t>
      </w:r>
      <w:r>
        <w:rPr>
          <w:spacing w:val="-4"/>
        </w:rPr>
        <w:t xml:space="preserve"> </w:t>
      </w:r>
      <w:r>
        <w:t>value</w:t>
      </w:r>
      <w:r>
        <w:rPr>
          <w:spacing w:val="-4"/>
        </w:rPr>
        <w:t xml:space="preserve"> </w:t>
      </w:r>
      <w:r>
        <w:t>of the rebate dollars for allocation.</w:t>
      </w:r>
    </w:p>
    <w:p>
      <w:pPr>
        <w:pStyle w:val="BodyText"/>
        <w:spacing w:after="0"/>
        <w:sectPr>
          <w:pgSz w:w="12240" w:h="15840"/>
          <w:pgMar w:top="960" w:right="0" w:bottom="940" w:left="1080" w:header="727" w:footer="747"/>
          <w:cols w:space="720"/>
        </w:sectPr>
      </w:pPr>
    </w:p>
    <w:p>
      <w:pPr>
        <w:pStyle w:val="BodyText"/>
        <w:spacing w:before="191"/>
        <w:ind w:left="0"/>
      </w:pPr>
    </w:p>
    <w:p>
      <w:pPr>
        <w:pStyle w:val="Heading4"/>
        <w:ind w:right="1443"/>
      </w:pPr>
      <w:bookmarkStart w:id="373" w:name="Example 6: Insufficient Rebates Allocate"/>
      <w:bookmarkEnd w:id="373"/>
      <w:r>
        <w:rPr>
          <w:i/>
        </w:rPr>
        <w:t>Example</w:t>
      </w:r>
      <w:r>
        <w:rPr>
          <w:i/>
          <w:spacing w:val="-2"/>
        </w:rPr>
        <w:t xml:space="preserve"> </w:t>
      </w:r>
      <w:r>
        <w:rPr>
          <w:i/>
        </w:rPr>
        <w:t>6:</w:t>
      </w:r>
      <w:r>
        <w:rPr>
          <w:i/>
          <w:spacing w:val="-4"/>
        </w:rPr>
        <w:t xml:space="preserve"> </w:t>
      </w:r>
      <w:r>
        <w:rPr>
          <w:i/>
        </w:rPr>
        <w:t>Insufficient</w:t>
      </w:r>
      <w:r>
        <w:rPr>
          <w:i/>
          <w:spacing w:val="-5"/>
        </w:rPr>
        <w:t xml:space="preserve"> </w:t>
      </w:r>
      <w:r>
        <w:rPr>
          <w:i/>
        </w:rPr>
        <w:t>Rebates</w:t>
      </w:r>
      <w:r>
        <w:rPr>
          <w:i/>
          <w:spacing w:val="-4"/>
        </w:rPr>
        <w:t xml:space="preserve"> </w:t>
      </w:r>
      <w:r>
        <w:rPr>
          <w:i/>
        </w:rPr>
        <w:t>Allocated</w:t>
      </w:r>
      <w:r>
        <w:rPr>
          <w:i/>
          <w:spacing w:val="-6"/>
        </w:rPr>
        <w:t xml:space="preserve"> </w:t>
      </w:r>
      <w:r>
        <w:rPr>
          <w:i/>
        </w:rPr>
        <w:t>to</w:t>
      </w:r>
      <w:r>
        <w:rPr>
          <w:i/>
          <w:spacing w:val="-2"/>
        </w:rPr>
        <w:t xml:space="preserve"> </w:t>
      </w:r>
      <w:r>
        <w:rPr>
          <w:i/>
        </w:rPr>
        <w:t>Part</w:t>
      </w:r>
      <w:r>
        <w:rPr>
          <w:i/>
          <w:spacing w:val="-4"/>
        </w:rPr>
        <w:t xml:space="preserve"> </w:t>
      </w:r>
      <w:r>
        <w:rPr>
          <w:i/>
        </w:rPr>
        <w:t>D</w:t>
      </w:r>
      <w:r>
        <w:rPr>
          <w:i/>
          <w:spacing w:val="-4"/>
        </w:rPr>
        <w:t xml:space="preserve"> </w:t>
      </w:r>
      <w:r>
        <w:rPr>
          <w:i/>
        </w:rPr>
        <w:t>Basic</w:t>
      </w:r>
      <w:r>
        <w:rPr>
          <w:i/>
          <w:spacing w:val="-4"/>
        </w:rPr>
        <w:t xml:space="preserve"> </w:t>
      </w:r>
      <w:r>
        <w:rPr>
          <w:i/>
        </w:rPr>
        <w:t>Premium,</w:t>
      </w:r>
      <w:r>
        <w:rPr>
          <w:i/>
          <w:spacing w:val="-3"/>
        </w:rPr>
        <w:t xml:space="preserve"> </w:t>
      </w:r>
      <w:r>
        <w:rPr>
          <w:i/>
        </w:rPr>
        <w:t>Reallocation</w:t>
      </w:r>
      <w:r>
        <w:t xml:space="preserve"> is Optional, and MAO can Achieve Target.</w:t>
      </w:r>
    </w:p>
    <w:p>
      <w:pPr>
        <w:pStyle w:val="BodyText"/>
        <w:spacing w:before="125"/>
        <w:ind w:left="0"/>
        <w:rPr>
          <w:rFonts w:ascii="Arial"/>
          <w:b/>
          <w:i/>
          <w:sz w:val="20"/>
        </w:rPr>
      </w:pPr>
    </w:p>
    <w:tbl>
      <w:tblPr>
        <w:tblStyle w:val="TableNormal"/>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36"/>
        <w:gridCol w:w="1351"/>
        <w:gridCol w:w="1529"/>
        <w:gridCol w:w="991"/>
        <w:gridCol w:w="1080"/>
        <w:gridCol w:w="1439"/>
      </w:tblGrid>
      <w:tr>
        <w:tblPrEx>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70"/>
          <w:jc w:val="left"/>
        </w:trPr>
        <w:tc>
          <w:tcPr>
            <w:tcW w:w="3236" w:type="dxa"/>
          </w:tcPr>
          <w:p>
            <w:pPr>
              <w:pStyle w:val="TableParagraph"/>
              <w:spacing w:before="78"/>
              <w:rPr>
                <w:rFonts w:ascii="Arial"/>
                <w:b/>
                <w:i/>
                <w:sz w:val="21"/>
              </w:rPr>
            </w:pPr>
          </w:p>
          <w:p>
            <w:pPr>
              <w:pStyle w:val="TableParagraph"/>
              <w:ind w:left="21"/>
              <w:jc w:val="center"/>
              <w:rPr>
                <w:b/>
                <w:sz w:val="21"/>
              </w:rPr>
            </w:pPr>
            <w:r>
              <w:rPr>
                <w:b/>
                <w:spacing w:val="-2"/>
                <w:sz w:val="21"/>
              </w:rPr>
              <w:t>Label</w:t>
            </w:r>
          </w:p>
        </w:tc>
        <w:tc>
          <w:tcPr>
            <w:tcW w:w="1351" w:type="dxa"/>
          </w:tcPr>
          <w:p>
            <w:pPr>
              <w:pStyle w:val="TableParagraph"/>
              <w:spacing w:before="199"/>
              <w:ind w:left="520" w:right="142" w:hanging="360"/>
              <w:rPr>
                <w:b/>
                <w:sz w:val="21"/>
              </w:rPr>
            </w:pPr>
            <w:r>
              <w:rPr>
                <w:b/>
                <w:sz w:val="21"/>
              </w:rPr>
              <w:t>Initial</w:t>
            </w:r>
            <w:r>
              <w:rPr>
                <w:b/>
                <w:spacing w:val="-14"/>
                <w:sz w:val="21"/>
              </w:rPr>
              <w:t xml:space="preserve"> </w:t>
            </w:r>
            <w:r>
              <w:rPr>
                <w:b/>
                <w:sz w:val="21"/>
              </w:rPr>
              <w:t xml:space="preserve">June </w:t>
            </w:r>
            <w:r>
              <w:rPr>
                <w:b/>
                <w:spacing w:val="-4"/>
                <w:sz w:val="21"/>
              </w:rPr>
              <w:t>Bid</w:t>
            </w:r>
          </w:p>
        </w:tc>
        <w:tc>
          <w:tcPr>
            <w:tcW w:w="1529" w:type="dxa"/>
          </w:tcPr>
          <w:p>
            <w:pPr>
              <w:pStyle w:val="TableParagraph"/>
              <w:spacing w:before="77"/>
              <w:ind w:left="126" w:right="111" w:hanging="3"/>
              <w:jc w:val="center"/>
              <w:rPr>
                <w:b/>
                <w:sz w:val="21"/>
              </w:rPr>
            </w:pPr>
            <w:r>
              <w:rPr>
                <w:b/>
                <w:sz w:val="21"/>
              </w:rPr>
              <w:t>After Release of</w:t>
            </w:r>
            <w:r>
              <w:rPr>
                <w:b/>
                <w:spacing w:val="-14"/>
                <w:sz w:val="21"/>
              </w:rPr>
              <w:t xml:space="preserve"> </w:t>
            </w:r>
            <w:r>
              <w:rPr>
                <w:b/>
                <w:sz w:val="21"/>
              </w:rPr>
              <w:t>Benchmark (Option 1)</w:t>
            </w:r>
          </w:p>
        </w:tc>
        <w:tc>
          <w:tcPr>
            <w:tcW w:w="991" w:type="dxa"/>
          </w:tcPr>
          <w:p>
            <w:pPr>
              <w:pStyle w:val="TableParagraph"/>
              <w:spacing w:before="199"/>
              <w:ind w:left="393" w:right="161" w:hanging="212"/>
              <w:rPr>
                <w:b/>
                <w:sz w:val="21"/>
              </w:rPr>
            </w:pPr>
            <w:r>
              <w:rPr>
                <w:b/>
                <w:spacing w:val="-2"/>
                <w:sz w:val="21"/>
              </w:rPr>
              <w:t xml:space="preserve">Option </w:t>
            </w:r>
            <w:r>
              <w:rPr>
                <w:b/>
                <w:spacing w:val="-6"/>
                <w:sz w:val="21"/>
              </w:rPr>
              <w:t>2a</w:t>
            </w:r>
          </w:p>
        </w:tc>
        <w:tc>
          <w:tcPr>
            <w:tcW w:w="1080" w:type="dxa"/>
            <w:tcBorders>
              <w:right w:val="single" w:sz="8" w:space="0" w:color="000000"/>
            </w:tcBorders>
          </w:tcPr>
          <w:p>
            <w:pPr>
              <w:pStyle w:val="TableParagraph"/>
              <w:spacing w:before="199"/>
              <w:ind w:left="432" w:right="201" w:hanging="207"/>
              <w:rPr>
                <w:b/>
                <w:sz w:val="21"/>
              </w:rPr>
            </w:pPr>
            <w:r>
              <w:rPr>
                <w:b/>
                <w:spacing w:val="-2"/>
                <w:sz w:val="21"/>
              </w:rPr>
              <w:t xml:space="preserve">Option </w:t>
            </w:r>
            <w:r>
              <w:rPr>
                <w:b/>
                <w:spacing w:val="-6"/>
                <w:sz w:val="21"/>
              </w:rPr>
              <w:t>2b</w:t>
            </w:r>
          </w:p>
        </w:tc>
        <w:tc>
          <w:tcPr>
            <w:tcW w:w="1439" w:type="dxa"/>
            <w:tcBorders>
              <w:top w:val="single" w:sz="8" w:space="0" w:color="000000"/>
              <w:left w:val="single" w:sz="8" w:space="0" w:color="000000"/>
              <w:bottom w:val="single" w:sz="8" w:space="0" w:color="000000"/>
              <w:right w:val="single" w:sz="8" w:space="0" w:color="000000"/>
            </w:tcBorders>
          </w:tcPr>
          <w:p>
            <w:pPr>
              <w:pStyle w:val="TableParagraph"/>
              <w:spacing w:before="199"/>
              <w:ind w:left="350" w:hanging="240"/>
              <w:rPr>
                <w:b/>
                <w:sz w:val="21"/>
              </w:rPr>
            </w:pPr>
            <w:r>
              <w:rPr>
                <w:b/>
                <w:spacing w:val="-2"/>
                <w:sz w:val="21"/>
              </w:rPr>
              <w:t>Unacceptable Option*</w:t>
            </w:r>
          </w:p>
        </w:tc>
      </w:tr>
      <w:tr>
        <w:tblPrEx>
          <w:tblW w:w="0" w:type="auto"/>
          <w:jc w:val="left"/>
          <w:tblInd w:w="509" w:type="dxa"/>
          <w:tblLayout w:type="fixed"/>
          <w:tblCellMar>
            <w:top w:w="0" w:type="dxa"/>
            <w:left w:w="0" w:type="dxa"/>
            <w:bottom w:w="0" w:type="dxa"/>
            <w:right w:w="0" w:type="dxa"/>
          </w:tblCellMar>
          <w:tblLook w:val="01E0"/>
        </w:tblPrEx>
        <w:trPr>
          <w:trHeight w:val="308"/>
          <w:jc w:val="left"/>
        </w:trPr>
        <w:tc>
          <w:tcPr>
            <w:tcW w:w="3236" w:type="dxa"/>
            <w:tcBorders>
              <w:bottom w:val="nil"/>
            </w:tcBorders>
          </w:tcPr>
          <w:p>
            <w:pPr>
              <w:pStyle w:val="TableParagraph"/>
              <w:spacing w:before="62" w:line="226" w:lineRule="exact"/>
              <w:ind w:left="112"/>
              <w:rPr>
                <w:b/>
                <w:sz w:val="21"/>
              </w:rPr>
            </w:pPr>
            <w:r>
              <w:rPr>
                <w:b/>
                <w:sz w:val="21"/>
              </w:rPr>
              <w:t>Rebates</w:t>
            </w:r>
            <w:r>
              <w:rPr>
                <w:b/>
                <w:spacing w:val="-5"/>
                <w:sz w:val="21"/>
              </w:rPr>
              <w:t xml:space="preserve"> </w:t>
            </w:r>
            <w:r>
              <w:rPr>
                <w:b/>
                <w:sz w:val="21"/>
              </w:rPr>
              <w:t>for</w:t>
            </w:r>
            <w:r>
              <w:rPr>
                <w:b/>
                <w:spacing w:val="-6"/>
                <w:sz w:val="21"/>
              </w:rPr>
              <w:t xml:space="preserve"> </w:t>
            </w:r>
            <w:r>
              <w:rPr>
                <w:b/>
                <w:spacing w:val="-2"/>
                <w:sz w:val="21"/>
              </w:rPr>
              <w:t>Allocation</w:t>
            </w:r>
          </w:p>
        </w:tc>
        <w:tc>
          <w:tcPr>
            <w:tcW w:w="1351" w:type="dxa"/>
            <w:tcBorders>
              <w:bottom w:val="nil"/>
            </w:tcBorders>
          </w:tcPr>
          <w:p>
            <w:pPr>
              <w:pStyle w:val="TableParagraph"/>
              <w:spacing w:before="34"/>
              <w:ind w:left="16" w:right="1"/>
              <w:jc w:val="center"/>
              <w:rPr>
                <w:sz w:val="21"/>
              </w:rPr>
            </w:pPr>
            <w:r>
              <w:rPr>
                <w:spacing w:val="-5"/>
                <w:sz w:val="21"/>
              </w:rPr>
              <w:t>N/A</w:t>
            </w:r>
          </w:p>
        </w:tc>
        <w:tc>
          <w:tcPr>
            <w:tcW w:w="1529" w:type="dxa"/>
            <w:tcBorders>
              <w:bottom w:val="nil"/>
            </w:tcBorders>
          </w:tcPr>
          <w:p>
            <w:pPr>
              <w:pStyle w:val="TableParagraph"/>
              <w:spacing w:before="34"/>
              <w:ind w:left="17" w:right="3"/>
              <w:jc w:val="center"/>
              <w:rPr>
                <w:sz w:val="21"/>
              </w:rPr>
            </w:pPr>
            <w:r>
              <w:rPr>
                <w:spacing w:val="-2"/>
                <w:sz w:val="21"/>
              </w:rPr>
              <w:t>−$1.00</w:t>
            </w:r>
          </w:p>
        </w:tc>
        <w:tc>
          <w:tcPr>
            <w:tcW w:w="991" w:type="dxa"/>
            <w:tcBorders>
              <w:bottom w:val="nil"/>
            </w:tcBorders>
          </w:tcPr>
          <w:p>
            <w:pPr>
              <w:pStyle w:val="TableParagraph"/>
              <w:spacing w:before="34"/>
              <w:ind w:left="19"/>
              <w:jc w:val="center"/>
              <w:rPr>
                <w:sz w:val="21"/>
              </w:rPr>
            </w:pPr>
            <w:r>
              <w:rPr>
                <w:spacing w:val="-2"/>
                <w:sz w:val="21"/>
              </w:rPr>
              <w:t>−$1.00</w:t>
            </w:r>
          </w:p>
        </w:tc>
        <w:tc>
          <w:tcPr>
            <w:tcW w:w="1080" w:type="dxa"/>
            <w:tcBorders>
              <w:bottom w:val="nil"/>
              <w:right w:val="single" w:sz="8" w:space="0" w:color="000000"/>
            </w:tcBorders>
          </w:tcPr>
          <w:p>
            <w:pPr>
              <w:pStyle w:val="TableParagraph"/>
              <w:spacing w:before="34"/>
              <w:ind w:left="23"/>
              <w:jc w:val="center"/>
              <w:rPr>
                <w:sz w:val="21"/>
              </w:rPr>
            </w:pPr>
            <w:r>
              <w:rPr>
                <w:spacing w:val="-2"/>
                <w:sz w:val="21"/>
              </w:rPr>
              <w:t>−$1.00</w:t>
            </w:r>
          </w:p>
        </w:tc>
        <w:tc>
          <w:tcPr>
            <w:tcW w:w="1439" w:type="dxa"/>
            <w:tcBorders>
              <w:top w:val="single" w:sz="8" w:space="0" w:color="000000"/>
              <w:left w:val="single" w:sz="8" w:space="0" w:color="000000"/>
              <w:bottom w:val="nil"/>
              <w:right w:val="single" w:sz="8" w:space="0" w:color="000000"/>
            </w:tcBorders>
          </w:tcPr>
          <w:p>
            <w:pPr>
              <w:pStyle w:val="TableParagraph"/>
              <w:spacing w:before="34"/>
              <w:ind w:left="19"/>
              <w:jc w:val="center"/>
              <w:rPr>
                <w:sz w:val="21"/>
              </w:rPr>
            </w:pPr>
            <w:r>
              <w:rPr>
                <w:spacing w:val="-2"/>
                <w:sz w:val="21"/>
              </w:rPr>
              <w:t>−$1.00</w:t>
            </w:r>
          </w:p>
        </w:tc>
      </w:tr>
      <w:tr>
        <w:tblPrEx>
          <w:tblW w:w="0" w:type="auto"/>
          <w:jc w:val="left"/>
          <w:tblInd w:w="509" w:type="dxa"/>
          <w:tblLayout w:type="fixed"/>
          <w:tblCellMar>
            <w:top w:w="0" w:type="dxa"/>
            <w:left w:w="0" w:type="dxa"/>
            <w:bottom w:w="0" w:type="dxa"/>
            <w:right w:w="0" w:type="dxa"/>
          </w:tblCellMar>
          <w:tblLook w:val="01E0"/>
        </w:tblPrEx>
        <w:trPr>
          <w:trHeight w:val="450"/>
          <w:jc w:val="left"/>
        </w:trPr>
        <w:tc>
          <w:tcPr>
            <w:tcW w:w="3236" w:type="dxa"/>
            <w:tcBorders>
              <w:top w:val="nil"/>
              <w:bottom w:val="nil"/>
            </w:tcBorders>
          </w:tcPr>
          <w:p>
            <w:pPr>
              <w:pStyle w:val="TableParagraph"/>
              <w:spacing w:line="238" w:lineRule="exact"/>
              <w:ind w:left="112"/>
              <w:rPr>
                <w:sz w:val="21"/>
              </w:rPr>
            </w:pPr>
            <w:r>
              <w:rPr>
                <w:sz w:val="21"/>
              </w:rPr>
              <w:t>Change</w:t>
            </w:r>
            <w:r>
              <w:rPr>
                <w:spacing w:val="-3"/>
                <w:sz w:val="21"/>
              </w:rPr>
              <w:t xml:space="preserve"> </w:t>
            </w:r>
            <w:r>
              <w:rPr>
                <w:sz w:val="21"/>
              </w:rPr>
              <w:t>in</w:t>
            </w:r>
            <w:r>
              <w:rPr>
                <w:spacing w:val="-2"/>
                <w:sz w:val="21"/>
              </w:rPr>
              <w:t xml:space="preserve"> </w:t>
            </w:r>
            <w:r>
              <w:rPr>
                <w:sz w:val="21"/>
              </w:rPr>
              <w:t>MSB</w:t>
            </w:r>
            <w:r>
              <w:rPr>
                <w:spacing w:val="-4"/>
                <w:sz w:val="21"/>
              </w:rPr>
              <w:t xml:space="preserve"> </w:t>
            </w:r>
            <w:r>
              <w:rPr>
                <w:sz w:val="21"/>
              </w:rPr>
              <w:t>Rev</w:t>
            </w:r>
            <w:r>
              <w:rPr>
                <w:spacing w:val="-5"/>
                <w:sz w:val="21"/>
              </w:rPr>
              <w:t xml:space="preserve"> Req</w:t>
            </w:r>
          </w:p>
        </w:tc>
        <w:tc>
          <w:tcPr>
            <w:tcW w:w="1351" w:type="dxa"/>
            <w:tcBorders>
              <w:top w:val="nil"/>
              <w:bottom w:val="nil"/>
            </w:tcBorders>
          </w:tcPr>
          <w:p>
            <w:pPr>
              <w:pStyle w:val="TableParagraph"/>
              <w:spacing w:before="54"/>
              <w:ind w:left="16" w:right="1"/>
              <w:jc w:val="center"/>
              <w:rPr>
                <w:sz w:val="21"/>
              </w:rPr>
            </w:pPr>
            <w:r>
              <w:rPr>
                <w:spacing w:val="-5"/>
                <w:sz w:val="21"/>
              </w:rPr>
              <w:t>N/A</w:t>
            </w:r>
          </w:p>
        </w:tc>
        <w:tc>
          <w:tcPr>
            <w:tcW w:w="1529" w:type="dxa"/>
            <w:tcBorders>
              <w:top w:val="nil"/>
              <w:bottom w:val="nil"/>
            </w:tcBorders>
          </w:tcPr>
          <w:p>
            <w:pPr>
              <w:pStyle w:val="TableParagraph"/>
              <w:spacing w:before="54"/>
              <w:ind w:left="17" w:right="2"/>
              <w:jc w:val="center"/>
              <w:rPr>
                <w:sz w:val="21"/>
              </w:rPr>
            </w:pPr>
            <w:r>
              <w:rPr>
                <w:spacing w:val="-5"/>
                <w:sz w:val="21"/>
              </w:rPr>
              <w:t>N/A</w:t>
            </w:r>
          </w:p>
        </w:tc>
        <w:tc>
          <w:tcPr>
            <w:tcW w:w="991" w:type="dxa"/>
            <w:tcBorders>
              <w:top w:val="nil"/>
              <w:bottom w:val="nil"/>
            </w:tcBorders>
          </w:tcPr>
          <w:p>
            <w:pPr>
              <w:pStyle w:val="TableParagraph"/>
              <w:spacing w:before="54"/>
              <w:ind w:left="19" w:right="2"/>
              <w:jc w:val="center"/>
              <w:rPr>
                <w:sz w:val="21"/>
              </w:rPr>
            </w:pPr>
            <w:r>
              <w:rPr>
                <w:spacing w:val="-2"/>
                <w:sz w:val="21"/>
              </w:rPr>
              <w:t>$0.00</w:t>
            </w:r>
          </w:p>
        </w:tc>
        <w:tc>
          <w:tcPr>
            <w:tcW w:w="1080" w:type="dxa"/>
            <w:tcBorders>
              <w:top w:val="nil"/>
              <w:bottom w:val="nil"/>
              <w:right w:val="single" w:sz="8" w:space="0" w:color="000000"/>
            </w:tcBorders>
          </w:tcPr>
          <w:p>
            <w:pPr>
              <w:pStyle w:val="TableParagraph"/>
              <w:spacing w:before="54"/>
              <w:ind w:left="23"/>
              <w:jc w:val="center"/>
              <w:rPr>
                <w:sz w:val="21"/>
              </w:rPr>
            </w:pPr>
            <w:r>
              <w:rPr>
                <w:spacing w:val="-2"/>
                <w:sz w:val="21"/>
              </w:rPr>
              <w:t>−$1.00</w:t>
            </w:r>
          </w:p>
        </w:tc>
        <w:tc>
          <w:tcPr>
            <w:tcW w:w="1439" w:type="dxa"/>
            <w:tcBorders>
              <w:top w:val="nil"/>
              <w:left w:val="single" w:sz="8" w:space="0" w:color="000000"/>
              <w:bottom w:val="nil"/>
              <w:right w:val="single" w:sz="8" w:space="0" w:color="000000"/>
            </w:tcBorders>
          </w:tcPr>
          <w:p>
            <w:pPr>
              <w:pStyle w:val="TableParagraph"/>
              <w:spacing w:before="54"/>
              <w:ind w:left="19"/>
              <w:jc w:val="center"/>
              <w:rPr>
                <w:sz w:val="21"/>
              </w:rPr>
            </w:pPr>
            <w:r>
              <w:rPr>
                <w:spacing w:val="-2"/>
                <w:sz w:val="21"/>
              </w:rPr>
              <w:t>−$1.50</w:t>
            </w:r>
          </w:p>
        </w:tc>
      </w:tr>
      <w:tr>
        <w:tblPrEx>
          <w:tblW w:w="0" w:type="auto"/>
          <w:jc w:val="left"/>
          <w:tblInd w:w="509" w:type="dxa"/>
          <w:tblLayout w:type="fixed"/>
          <w:tblCellMar>
            <w:top w:w="0" w:type="dxa"/>
            <w:left w:w="0" w:type="dxa"/>
            <w:bottom w:w="0" w:type="dxa"/>
            <w:right w:w="0" w:type="dxa"/>
          </w:tblCellMar>
          <w:tblLook w:val="01E0"/>
        </w:tblPrEx>
        <w:trPr>
          <w:trHeight w:val="464"/>
          <w:jc w:val="left"/>
        </w:trPr>
        <w:tc>
          <w:tcPr>
            <w:tcW w:w="3236" w:type="dxa"/>
            <w:tcBorders>
              <w:top w:val="nil"/>
              <w:bottom w:val="nil"/>
            </w:tcBorders>
          </w:tcPr>
          <w:p>
            <w:pPr>
              <w:pStyle w:val="TableParagraph"/>
              <w:spacing w:before="146"/>
              <w:ind w:left="112"/>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351" w:type="dxa"/>
            <w:tcBorders>
              <w:top w:val="nil"/>
              <w:bottom w:val="nil"/>
            </w:tcBorders>
          </w:tcPr>
          <w:p>
            <w:pPr>
              <w:pStyle w:val="TableParagraph"/>
              <w:spacing w:before="204" w:line="240" w:lineRule="exact"/>
              <w:ind w:left="16"/>
              <w:jc w:val="center"/>
              <w:rPr>
                <w:sz w:val="21"/>
              </w:rPr>
            </w:pPr>
            <w:r>
              <w:rPr>
                <w:spacing w:val="-2"/>
                <w:sz w:val="21"/>
              </w:rPr>
              <w:t>$58.80</w:t>
            </w:r>
          </w:p>
        </w:tc>
        <w:tc>
          <w:tcPr>
            <w:tcW w:w="1529" w:type="dxa"/>
            <w:tcBorders>
              <w:top w:val="nil"/>
              <w:bottom w:val="nil"/>
            </w:tcBorders>
          </w:tcPr>
          <w:p>
            <w:pPr>
              <w:pStyle w:val="TableParagraph"/>
              <w:spacing w:before="175"/>
              <w:ind w:left="17"/>
              <w:jc w:val="center"/>
              <w:rPr>
                <w:sz w:val="21"/>
              </w:rPr>
            </w:pPr>
            <w:r>
              <w:rPr>
                <w:spacing w:val="-2"/>
                <w:sz w:val="21"/>
              </w:rPr>
              <w:t>$58.80</w:t>
            </w:r>
          </w:p>
        </w:tc>
        <w:tc>
          <w:tcPr>
            <w:tcW w:w="991" w:type="dxa"/>
            <w:tcBorders>
              <w:top w:val="nil"/>
              <w:bottom w:val="nil"/>
            </w:tcBorders>
          </w:tcPr>
          <w:p>
            <w:pPr>
              <w:pStyle w:val="TableParagraph"/>
              <w:spacing w:before="175"/>
              <w:ind w:left="19" w:right="2"/>
              <w:jc w:val="center"/>
              <w:rPr>
                <w:sz w:val="21"/>
              </w:rPr>
            </w:pPr>
            <w:r>
              <w:rPr>
                <w:spacing w:val="-2"/>
                <w:sz w:val="21"/>
              </w:rPr>
              <w:t>$58.80</w:t>
            </w:r>
          </w:p>
        </w:tc>
        <w:tc>
          <w:tcPr>
            <w:tcW w:w="1080" w:type="dxa"/>
            <w:tcBorders>
              <w:top w:val="nil"/>
              <w:bottom w:val="nil"/>
              <w:right w:val="single" w:sz="8" w:space="0" w:color="000000"/>
            </w:tcBorders>
          </w:tcPr>
          <w:p>
            <w:pPr>
              <w:pStyle w:val="TableParagraph"/>
              <w:spacing w:before="204" w:line="240" w:lineRule="exact"/>
              <w:ind w:left="23" w:right="3"/>
              <w:jc w:val="center"/>
              <w:rPr>
                <w:b/>
                <w:i/>
                <w:sz w:val="21"/>
              </w:rPr>
            </w:pPr>
            <w:r>
              <w:rPr>
                <w:b/>
                <w:i/>
                <w:spacing w:val="-2"/>
                <w:sz w:val="21"/>
              </w:rPr>
              <w:t>$57.80</w:t>
            </w:r>
          </w:p>
        </w:tc>
        <w:tc>
          <w:tcPr>
            <w:tcW w:w="1439" w:type="dxa"/>
            <w:tcBorders>
              <w:top w:val="nil"/>
              <w:left w:val="single" w:sz="8" w:space="0" w:color="000000"/>
              <w:bottom w:val="nil"/>
              <w:right w:val="single" w:sz="8" w:space="0" w:color="000000"/>
            </w:tcBorders>
          </w:tcPr>
          <w:p>
            <w:pPr>
              <w:pStyle w:val="TableParagraph"/>
              <w:spacing w:before="204" w:line="240" w:lineRule="exact"/>
              <w:ind w:left="19" w:right="2"/>
              <w:jc w:val="center"/>
              <w:rPr>
                <w:b/>
                <w:i/>
                <w:sz w:val="21"/>
              </w:rPr>
            </w:pPr>
            <w:r>
              <w:rPr>
                <w:b/>
                <w:i/>
                <w:spacing w:val="-2"/>
                <w:sz w:val="21"/>
              </w:rPr>
              <w:t>$57.30</w:t>
            </w:r>
          </w:p>
        </w:tc>
      </w:tr>
      <w:tr>
        <w:tblPrEx>
          <w:tblW w:w="0" w:type="auto"/>
          <w:jc w:val="left"/>
          <w:tblInd w:w="509" w:type="dxa"/>
          <w:tblLayout w:type="fixed"/>
          <w:tblCellMar>
            <w:top w:w="0" w:type="dxa"/>
            <w:left w:w="0" w:type="dxa"/>
            <w:bottom w:w="0" w:type="dxa"/>
            <w:right w:w="0" w:type="dxa"/>
          </w:tblCellMar>
          <w:tblLook w:val="01E0"/>
        </w:tblPrEx>
        <w:trPr>
          <w:trHeight w:val="314"/>
          <w:jc w:val="left"/>
        </w:trPr>
        <w:tc>
          <w:tcPr>
            <w:tcW w:w="3236" w:type="dxa"/>
            <w:tcBorders>
              <w:top w:val="nil"/>
              <w:bottom w:val="nil"/>
            </w:tcBorders>
          </w:tcPr>
          <w:p>
            <w:pPr>
              <w:pStyle w:val="TableParagraph"/>
              <w:spacing w:before="39"/>
              <w:ind w:left="112"/>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351" w:type="dxa"/>
            <w:tcBorders>
              <w:top w:val="nil"/>
              <w:bottom w:val="nil"/>
            </w:tcBorders>
          </w:tcPr>
          <w:p>
            <w:pPr>
              <w:pStyle w:val="TableParagraph"/>
              <w:spacing w:before="39"/>
              <w:ind w:left="16"/>
              <w:jc w:val="center"/>
              <w:rPr>
                <w:sz w:val="21"/>
              </w:rPr>
            </w:pPr>
            <w:r>
              <w:rPr>
                <w:spacing w:val="-2"/>
                <w:sz w:val="21"/>
              </w:rPr>
              <w:t>$58.80</w:t>
            </w:r>
          </w:p>
        </w:tc>
        <w:tc>
          <w:tcPr>
            <w:tcW w:w="1529" w:type="dxa"/>
            <w:tcBorders>
              <w:top w:val="nil"/>
              <w:bottom w:val="nil"/>
            </w:tcBorders>
          </w:tcPr>
          <w:p>
            <w:pPr>
              <w:pStyle w:val="TableParagraph"/>
              <w:spacing w:before="11"/>
              <w:ind w:left="17"/>
              <w:jc w:val="center"/>
              <w:rPr>
                <w:sz w:val="21"/>
              </w:rPr>
            </w:pPr>
            <w:r>
              <w:rPr>
                <w:spacing w:val="-2"/>
                <w:sz w:val="21"/>
              </w:rPr>
              <w:t>$58.80</w:t>
            </w:r>
          </w:p>
        </w:tc>
        <w:tc>
          <w:tcPr>
            <w:tcW w:w="991" w:type="dxa"/>
            <w:tcBorders>
              <w:top w:val="nil"/>
              <w:bottom w:val="nil"/>
            </w:tcBorders>
          </w:tcPr>
          <w:p>
            <w:pPr>
              <w:pStyle w:val="TableParagraph"/>
              <w:spacing w:before="39"/>
              <w:ind w:left="19" w:right="2"/>
              <w:jc w:val="center"/>
              <w:rPr>
                <w:b/>
                <w:i/>
                <w:sz w:val="21"/>
              </w:rPr>
            </w:pPr>
            <w:r>
              <w:rPr>
                <w:b/>
                <w:i/>
                <w:spacing w:val="-2"/>
                <w:sz w:val="21"/>
              </w:rPr>
              <w:t>$57.80</w:t>
            </w:r>
          </w:p>
        </w:tc>
        <w:tc>
          <w:tcPr>
            <w:tcW w:w="1080" w:type="dxa"/>
            <w:tcBorders>
              <w:top w:val="nil"/>
              <w:bottom w:val="nil"/>
              <w:right w:val="single" w:sz="8" w:space="0" w:color="000000"/>
            </w:tcBorders>
          </w:tcPr>
          <w:p>
            <w:pPr>
              <w:pStyle w:val="TableParagraph"/>
              <w:spacing w:before="39"/>
              <w:ind w:left="23" w:right="3"/>
              <w:jc w:val="center"/>
              <w:rPr>
                <w:b/>
                <w:i/>
                <w:sz w:val="21"/>
              </w:rPr>
            </w:pPr>
            <w:r>
              <w:rPr>
                <w:b/>
                <w:i/>
                <w:spacing w:val="-2"/>
                <w:sz w:val="21"/>
              </w:rPr>
              <w:t>$57.80</w:t>
            </w:r>
          </w:p>
        </w:tc>
        <w:tc>
          <w:tcPr>
            <w:tcW w:w="1439" w:type="dxa"/>
            <w:tcBorders>
              <w:top w:val="nil"/>
              <w:left w:val="single" w:sz="8" w:space="0" w:color="000000"/>
              <w:bottom w:val="nil"/>
              <w:right w:val="single" w:sz="8" w:space="0" w:color="000000"/>
            </w:tcBorders>
          </w:tcPr>
          <w:p>
            <w:pPr>
              <w:pStyle w:val="TableParagraph"/>
              <w:spacing w:before="39"/>
              <w:ind w:left="19" w:right="2"/>
              <w:jc w:val="center"/>
              <w:rPr>
                <w:b/>
                <w:i/>
                <w:sz w:val="21"/>
              </w:rPr>
            </w:pPr>
            <w:r>
              <w:rPr>
                <w:b/>
                <w:i/>
                <w:spacing w:val="-2"/>
                <w:sz w:val="21"/>
              </w:rPr>
              <w:t>$57.30</w:t>
            </w:r>
          </w:p>
        </w:tc>
      </w:tr>
      <w:tr>
        <w:tblPrEx>
          <w:tblW w:w="0" w:type="auto"/>
          <w:jc w:val="left"/>
          <w:tblInd w:w="509" w:type="dxa"/>
          <w:tblLayout w:type="fixed"/>
          <w:tblCellMar>
            <w:top w:w="0" w:type="dxa"/>
            <w:left w:w="0" w:type="dxa"/>
            <w:bottom w:w="0" w:type="dxa"/>
            <w:right w:w="0" w:type="dxa"/>
          </w:tblCellMar>
          <w:tblLook w:val="01E0"/>
        </w:tblPrEx>
        <w:trPr>
          <w:trHeight w:val="450"/>
          <w:jc w:val="left"/>
        </w:trPr>
        <w:tc>
          <w:tcPr>
            <w:tcW w:w="3236" w:type="dxa"/>
            <w:tcBorders>
              <w:top w:val="nil"/>
              <w:bottom w:val="nil"/>
            </w:tcBorders>
          </w:tcPr>
          <w:p>
            <w:pPr>
              <w:pStyle w:val="TableParagraph"/>
              <w:spacing w:before="25"/>
              <w:ind w:left="112"/>
              <w:rPr>
                <w:b/>
                <w:sz w:val="21"/>
              </w:rPr>
            </w:pPr>
            <w:r>
              <w:rPr>
                <w:b/>
                <w:sz w:val="21"/>
              </w:rPr>
              <w:t>MA</w:t>
            </w:r>
            <w:r>
              <w:rPr>
                <w:b/>
                <w:spacing w:val="-5"/>
                <w:sz w:val="21"/>
              </w:rPr>
              <w:t xml:space="preserve"> </w:t>
            </w:r>
            <w:r>
              <w:rPr>
                <w:b/>
                <w:spacing w:val="-2"/>
                <w:sz w:val="21"/>
              </w:rPr>
              <w:t>Premium</w:t>
            </w:r>
          </w:p>
        </w:tc>
        <w:tc>
          <w:tcPr>
            <w:tcW w:w="1351" w:type="dxa"/>
            <w:tcBorders>
              <w:top w:val="nil"/>
              <w:bottom w:val="nil"/>
            </w:tcBorders>
          </w:tcPr>
          <w:p>
            <w:pPr>
              <w:pStyle w:val="TableParagraph"/>
              <w:spacing w:before="25"/>
              <w:ind w:left="16"/>
              <w:jc w:val="center"/>
              <w:rPr>
                <w:sz w:val="21"/>
              </w:rPr>
            </w:pPr>
            <w:r>
              <w:rPr>
                <w:spacing w:val="-2"/>
                <w:sz w:val="21"/>
              </w:rPr>
              <w:t>$0.00</w:t>
            </w:r>
          </w:p>
        </w:tc>
        <w:tc>
          <w:tcPr>
            <w:tcW w:w="1529" w:type="dxa"/>
            <w:tcBorders>
              <w:top w:val="nil"/>
              <w:bottom w:val="nil"/>
            </w:tcBorders>
          </w:tcPr>
          <w:p>
            <w:pPr>
              <w:pStyle w:val="TableParagraph"/>
              <w:spacing w:before="25"/>
              <w:ind w:left="17"/>
              <w:jc w:val="center"/>
              <w:rPr>
                <w:sz w:val="21"/>
              </w:rPr>
            </w:pPr>
            <w:r>
              <w:rPr>
                <w:spacing w:val="-2"/>
                <w:sz w:val="21"/>
              </w:rPr>
              <w:t>$0.00</w:t>
            </w:r>
          </w:p>
        </w:tc>
        <w:tc>
          <w:tcPr>
            <w:tcW w:w="991" w:type="dxa"/>
            <w:tcBorders>
              <w:top w:val="nil"/>
              <w:bottom w:val="nil"/>
            </w:tcBorders>
          </w:tcPr>
          <w:p>
            <w:pPr>
              <w:pStyle w:val="TableParagraph"/>
              <w:spacing w:before="25"/>
              <w:ind w:left="19" w:right="2"/>
              <w:jc w:val="center"/>
              <w:rPr>
                <w:sz w:val="21"/>
              </w:rPr>
            </w:pPr>
            <w:r>
              <w:rPr>
                <w:spacing w:val="-2"/>
                <w:sz w:val="21"/>
              </w:rPr>
              <w:t>$1.00</w:t>
            </w:r>
          </w:p>
        </w:tc>
        <w:tc>
          <w:tcPr>
            <w:tcW w:w="1080" w:type="dxa"/>
            <w:tcBorders>
              <w:top w:val="nil"/>
              <w:bottom w:val="nil"/>
              <w:right w:val="single" w:sz="8" w:space="0" w:color="000000"/>
            </w:tcBorders>
          </w:tcPr>
          <w:p>
            <w:pPr>
              <w:pStyle w:val="TableParagraph"/>
              <w:spacing w:before="25"/>
              <w:ind w:left="23" w:right="2"/>
              <w:jc w:val="center"/>
              <w:rPr>
                <w:sz w:val="21"/>
              </w:rPr>
            </w:pPr>
            <w:r>
              <w:rPr>
                <w:spacing w:val="-2"/>
                <w:sz w:val="21"/>
              </w:rPr>
              <w:t>$0.00</w:t>
            </w:r>
          </w:p>
        </w:tc>
        <w:tc>
          <w:tcPr>
            <w:tcW w:w="1439" w:type="dxa"/>
            <w:tcBorders>
              <w:top w:val="nil"/>
              <w:left w:val="single" w:sz="8" w:space="0" w:color="000000"/>
              <w:bottom w:val="nil"/>
              <w:right w:val="single" w:sz="8" w:space="0" w:color="000000"/>
            </w:tcBorders>
          </w:tcPr>
          <w:p>
            <w:pPr>
              <w:pStyle w:val="TableParagraph"/>
              <w:spacing w:before="25"/>
              <w:ind w:left="19" w:right="2"/>
              <w:jc w:val="center"/>
              <w:rPr>
                <w:sz w:val="21"/>
              </w:rPr>
            </w:pPr>
            <w:r>
              <w:rPr>
                <w:spacing w:val="-2"/>
                <w:sz w:val="21"/>
              </w:rPr>
              <w:t>$0.00</w:t>
            </w:r>
          </w:p>
        </w:tc>
      </w:tr>
      <w:tr>
        <w:tblPrEx>
          <w:tblW w:w="0" w:type="auto"/>
          <w:jc w:val="left"/>
          <w:tblInd w:w="509" w:type="dxa"/>
          <w:tblLayout w:type="fixed"/>
          <w:tblCellMar>
            <w:top w:w="0" w:type="dxa"/>
            <w:left w:w="0" w:type="dxa"/>
            <w:bottom w:w="0" w:type="dxa"/>
            <w:right w:w="0" w:type="dxa"/>
          </w:tblCellMar>
          <w:tblLook w:val="01E0"/>
        </w:tblPrEx>
        <w:trPr>
          <w:trHeight w:val="450"/>
          <w:jc w:val="left"/>
        </w:trPr>
        <w:tc>
          <w:tcPr>
            <w:tcW w:w="3236" w:type="dxa"/>
            <w:tcBorders>
              <w:top w:val="nil"/>
              <w:bottom w:val="nil"/>
            </w:tcBorders>
          </w:tcPr>
          <w:p>
            <w:pPr>
              <w:pStyle w:val="TableParagraph"/>
              <w:spacing w:before="175"/>
              <w:ind w:left="112"/>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5"/>
                <w:sz w:val="21"/>
              </w:rPr>
              <w:t xml:space="preserve"> </w:t>
            </w:r>
            <w:r>
              <w:rPr>
                <w:spacing w:val="-2"/>
                <w:sz w:val="21"/>
              </w:rPr>
              <w:t>Rebate</w:t>
            </w:r>
          </w:p>
        </w:tc>
        <w:tc>
          <w:tcPr>
            <w:tcW w:w="1351" w:type="dxa"/>
            <w:tcBorders>
              <w:top w:val="nil"/>
              <w:bottom w:val="nil"/>
            </w:tcBorders>
          </w:tcPr>
          <w:p>
            <w:pPr>
              <w:pStyle w:val="TableParagraph"/>
              <w:spacing w:before="175"/>
              <w:ind w:left="16"/>
              <w:jc w:val="center"/>
              <w:rPr>
                <w:sz w:val="21"/>
              </w:rPr>
            </w:pPr>
            <w:r>
              <w:rPr>
                <w:spacing w:val="-2"/>
                <w:sz w:val="21"/>
              </w:rPr>
              <w:t>$57.80</w:t>
            </w:r>
          </w:p>
        </w:tc>
        <w:tc>
          <w:tcPr>
            <w:tcW w:w="1529" w:type="dxa"/>
            <w:tcBorders>
              <w:top w:val="nil"/>
              <w:bottom w:val="nil"/>
            </w:tcBorders>
          </w:tcPr>
          <w:p>
            <w:pPr>
              <w:pStyle w:val="TableParagraph"/>
              <w:spacing w:before="175"/>
              <w:ind w:left="17"/>
              <w:jc w:val="center"/>
              <w:rPr>
                <w:sz w:val="21"/>
              </w:rPr>
            </w:pPr>
            <w:r>
              <w:rPr>
                <w:spacing w:val="-2"/>
                <w:sz w:val="21"/>
              </w:rPr>
              <w:t>$58.80</w:t>
            </w:r>
          </w:p>
        </w:tc>
        <w:tc>
          <w:tcPr>
            <w:tcW w:w="991" w:type="dxa"/>
            <w:tcBorders>
              <w:top w:val="nil"/>
              <w:bottom w:val="nil"/>
            </w:tcBorders>
          </w:tcPr>
          <w:p>
            <w:pPr>
              <w:pStyle w:val="TableParagraph"/>
              <w:spacing w:before="175"/>
              <w:ind w:left="19" w:right="2"/>
              <w:jc w:val="center"/>
              <w:rPr>
                <w:sz w:val="21"/>
              </w:rPr>
            </w:pPr>
            <w:r>
              <w:rPr>
                <w:spacing w:val="-2"/>
                <w:sz w:val="21"/>
              </w:rPr>
              <w:t>$58.80</w:t>
            </w:r>
          </w:p>
        </w:tc>
        <w:tc>
          <w:tcPr>
            <w:tcW w:w="1080" w:type="dxa"/>
            <w:tcBorders>
              <w:top w:val="nil"/>
              <w:bottom w:val="nil"/>
              <w:right w:val="single" w:sz="8" w:space="0" w:color="000000"/>
            </w:tcBorders>
          </w:tcPr>
          <w:p>
            <w:pPr>
              <w:pStyle w:val="TableParagraph"/>
              <w:spacing w:before="175"/>
              <w:ind w:left="23" w:right="3"/>
              <w:jc w:val="center"/>
              <w:rPr>
                <w:sz w:val="21"/>
              </w:rPr>
            </w:pPr>
            <w:r>
              <w:rPr>
                <w:spacing w:val="-2"/>
                <w:sz w:val="21"/>
              </w:rPr>
              <w:t>$58.80</w:t>
            </w:r>
          </w:p>
        </w:tc>
        <w:tc>
          <w:tcPr>
            <w:tcW w:w="1439" w:type="dxa"/>
            <w:tcBorders>
              <w:top w:val="nil"/>
              <w:left w:val="single" w:sz="8" w:space="0" w:color="000000"/>
              <w:bottom w:val="nil"/>
              <w:right w:val="single" w:sz="8" w:space="0" w:color="000000"/>
            </w:tcBorders>
          </w:tcPr>
          <w:p>
            <w:pPr>
              <w:pStyle w:val="TableParagraph"/>
              <w:spacing w:before="175"/>
              <w:ind w:left="19" w:right="2"/>
              <w:jc w:val="center"/>
              <w:rPr>
                <w:sz w:val="21"/>
              </w:rPr>
            </w:pPr>
            <w:r>
              <w:rPr>
                <w:spacing w:val="-2"/>
                <w:sz w:val="21"/>
              </w:rPr>
              <w:t>$58.80</w:t>
            </w:r>
          </w:p>
        </w:tc>
      </w:tr>
      <w:tr>
        <w:tblPrEx>
          <w:tblW w:w="0" w:type="auto"/>
          <w:jc w:val="left"/>
          <w:tblInd w:w="509" w:type="dxa"/>
          <w:tblLayout w:type="fixed"/>
          <w:tblCellMar>
            <w:top w:w="0" w:type="dxa"/>
            <w:left w:w="0" w:type="dxa"/>
            <w:bottom w:w="0" w:type="dxa"/>
            <w:right w:w="0" w:type="dxa"/>
          </w:tblCellMar>
          <w:tblLook w:val="01E0"/>
        </w:tblPrEx>
        <w:trPr>
          <w:trHeight w:val="300"/>
          <w:jc w:val="left"/>
        </w:trPr>
        <w:tc>
          <w:tcPr>
            <w:tcW w:w="3236" w:type="dxa"/>
            <w:tcBorders>
              <w:top w:val="nil"/>
              <w:bottom w:val="nil"/>
            </w:tcBorders>
          </w:tcPr>
          <w:p>
            <w:pPr>
              <w:pStyle w:val="TableParagraph"/>
              <w:spacing w:before="25"/>
              <w:ind w:left="112"/>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5"/>
                <w:sz w:val="21"/>
              </w:rPr>
              <w:t xml:space="preserve"> </w:t>
            </w:r>
            <w:r>
              <w:rPr>
                <w:spacing w:val="-2"/>
                <w:sz w:val="21"/>
              </w:rPr>
              <w:t>Allocations</w:t>
            </w:r>
          </w:p>
        </w:tc>
        <w:tc>
          <w:tcPr>
            <w:tcW w:w="1351" w:type="dxa"/>
            <w:tcBorders>
              <w:top w:val="nil"/>
              <w:bottom w:val="nil"/>
            </w:tcBorders>
          </w:tcPr>
          <w:p>
            <w:pPr>
              <w:pStyle w:val="TableParagraph"/>
              <w:spacing w:before="25"/>
              <w:ind w:left="16"/>
              <w:jc w:val="center"/>
              <w:rPr>
                <w:sz w:val="21"/>
              </w:rPr>
            </w:pPr>
            <w:r>
              <w:rPr>
                <w:spacing w:val="-2"/>
                <w:sz w:val="21"/>
              </w:rPr>
              <w:t>$37.80</w:t>
            </w:r>
          </w:p>
        </w:tc>
        <w:tc>
          <w:tcPr>
            <w:tcW w:w="1529" w:type="dxa"/>
            <w:tcBorders>
              <w:top w:val="nil"/>
              <w:bottom w:val="nil"/>
            </w:tcBorders>
          </w:tcPr>
          <w:p>
            <w:pPr>
              <w:pStyle w:val="TableParagraph"/>
              <w:spacing w:before="25"/>
              <w:ind w:left="17"/>
              <w:jc w:val="center"/>
              <w:rPr>
                <w:sz w:val="21"/>
              </w:rPr>
            </w:pPr>
            <w:r>
              <w:rPr>
                <w:spacing w:val="-2"/>
                <w:sz w:val="21"/>
              </w:rPr>
              <w:t>$37.80</w:t>
            </w:r>
          </w:p>
        </w:tc>
        <w:tc>
          <w:tcPr>
            <w:tcW w:w="991" w:type="dxa"/>
            <w:tcBorders>
              <w:top w:val="nil"/>
              <w:bottom w:val="nil"/>
            </w:tcBorders>
          </w:tcPr>
          <w:p>
            <w:pPr>
              <w:pStyle w:val="TableParagraph"/>
              <w:spacing w:before="25"/>
              <w:ind w:left="19" w:right="2"/>
              <w:jc w:val="center"/>
              <w:rPr>
                <w:b/>
                <w:i/>
                <w:sz w:val="21"/>
              </w:rPr>
            </w:pPr>
            <w:r>
              <w:rPr>
                <w:b/>
                <w:i/>
                <w:spacing w:val="-2"/>
                <w:sz w:val="21"/>
              </w:rPr>
              <w:t>$38.80</w:t>
            </w:r>
          </w:p>
        </w:tc>
        <w:tc>
          <w:tcPr>
            <w:tcW w:w="1080" w:type="dxa"/>
            <w:tcBorders>
              <w:top w:val="nil"/>
              <w:bottom w:val="nil"/>
              <w:right w:val="single" w:sz="8" w:space="0" w:color="000000"/>
            </w:tcBorders>
          </w:tcPr>
          <w:p>
            <w:pPr>
              <w:pStyle w:val="TableParagraph"/>
              <w:spacing w:before="25"/>
              <w:ind w:left="23" w:right="3"/>
              <w:jc w:val="center"/>
              <w:rPr>
                <w:b/>
                <w:i/>
                <w:sz w:val="21"/>
              </w:rPr>
            </w:pPr>
            <w:r>
              <w:rPr>
                <w:b/>
                <w:i/>
                <w:spacing w:val="-2"/>
                <w:sz w:val="21"/>
              </w:rPr>
              <w:t>$38.80</w:t>
            </w:r>
          </w:p>
        </w:tc>
        <w:tc>
          <w:tcPr>
            <w:tcW w:w="1439" w:type="dxa"/>
            <w:tcBorders>
              <w:top w:val="nil"/>
              <w:left w:val="single" w:sz="8" w:space="0" w:color="000000"/>
              <w:bottom w:val="nil"/>
              <w:right w:val="single" w:sz="8" w:space="0" w:color="000000"/>
            </w:tcBorders>
          </w:tcPr>
          <w:p>
            <w:pPr>
              <w:pStyle w:val="TableParagraph"/>
              <w:spacing w:before="25"/>
              <w:ind w:left="19" w:right="2"/>
              <w:jc w:val="center"/>
              <w:rPr>
                <w:b/>
                <w:i/>
                <w:sz w:val="21"/>
              </w:rPr>
            </w:pPr>
            <w:r>
              <w:rPr>
                <w:b/>
                <w:i/>
                <w:spacing w:val="-2"/>
                <w:sz w:val="21"/>
              </w:rPr>
              <w:t>$38.80</w:t>
            </w:r>
          </w:p>
        </w:tc>
      </w:tr>
      <w:tr>
        <w:tblPrEx>
          <w:tblW w:w="0" w:type="auto"/>
          <w:jc w:val="left"/>
          <w:tblInd w:w="509" w:type="dxa"/>
          <w:tblLayout w:type="fixed"/>
          <w:tblCellMar>
            <w:top w:w="0" w:type="dxa"/>
            <w:left w:w="0" w:type="dxa"/>
            <w:bottom w:w="0" w:type="dxa"/>
            <w:right w:w="0" w:type="dxa"/>
          </w:tblCellMar>
          <w:tblLook w:val="01E0"/>
        </w:tblPrEx>
        <w:trPr>
          <w:trHeight w:val="450"/>
          <w:jc w:val="left"/>
        </w:trPr>
        <w:tc>
          <w:tcPr>
            <w:tcW w:w="3236" w:type="dxa"/>
            <w:tcBorders>
              <w:top w:val="nil"/>
              <w:bottom w:val="nil"/>
            </w:tcBorders>
          </w:tcPr>
          <w:p>
            <w:pPr>
              <w:pStyle w:val="TableParagraph"/>
              <w:spacing w:before="25"/>
              <w:ind w:left="112"/>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351" w:type="dxa"/>
            <w:tcBorders>
              <w:top w:val="nil"/>
              <w:bottom w:val="nil"/>
            </w:tcBorders>
          </w:tcPr>
          <w:p>
            <w:pPr>
              <w:pStyle w:val="TableParagraph"/>
              <w:spacing w:before="25"/>
              <w:ind w:left="16"/>
              <w:jc w:val="center"/>
              <w:rPr>
                <w:sz w:val="21"/>
              </w:rPr>
            </w:pPr>
            <w:r>
              <w:rPr>
                <w:spacing w:val="-2"/>
                <w:sz w:val="21"/>
              </w:rPr>
              <w:t>$20.00</w:t>
            </w:r>
          </w:p>
        </w:tc>
        <w:tc>
          <w:tcPr>
            <w:tcW w:w="1529" w:type="dxa"/>
            <w:tcBorders>
              <w:top w:val="nil"/>
              <w:bottom w:val="nil"/>
            </w:tcBorders>
          </w:tcPr>
          <w:p>
            <w:pPr>
              <w:pStyle w:val="TableParagraph"/>
              <w:spacing w:before="25"/>
              <w:ind w:left="17"/>
              <w:jc w:val="center"/>
              <w:rPr>
                <w:sz w:val="21"/>
              </w:rPr>
            </w:pPr>
            <w:r>
              <w:rPr>
                <w:spacing w:val="-2"/>
                <w:sz w:val="21"/>
              </w:rPr>
              <w:t>$21.00</w:t>
            </w:r>
          </w:p>
        </w:tc>
        <w:tc>
          <w:tcPr>
            <w:tcW w:w="991" w:type="dxa"/>
            <w:tcBorders>
              <w:top w:val="nil"/>
              <w:bottom w:val="nil"/>
            </w:tcBorders>
          </w:tcPr>
          <w:p>
            <w:pPr>
              <w:pStyle w:val="TableParagraph"/>
              <w:spacing w:before="25"/>
              <w:ind w:left="19" w:right="2"/>
              <w:jc w:val="center"/>
              <w:rPr>
                <w:sz w:val="21"/>
              </w:rPr>
            </w:pPr>
            <w:r>
              <w:rPr>
                <w:spacing w:val="-2"/>
                <w:sz w:val="21"/>
              </w:rPr>
              <w:t>$20.00</w:t>
            </w:r>
          </w:p>
        </w:tc>
        <w:tc>
          <w:tcPr>
            <w:tcW w:w="1080" w:type="dxa"/>
            <w:tcBorders>
              <w:top w:val="nil"/>
              <w:bottom w:val="nil"/>
              <w:right w:val="single" w:sz="8" w:space="0" w:color="000000"/>
            </w:tcBorders>
          </w:tcPr>
          <w:p>
            <w:pPr>
              <w:pStyle w:val="TableParagraph"/>
              <w:spacing w:before="25"/>
              <w:ind w:left="23" w:right="3"/>
              <w:jc w:val="center"/>
              <w:rPr>
                <w:sz w:val="21"/>
              </w:rPr>
            </w:pPr>
            <w:r>
              <w:rPr>
                <w:spacing w:val="-2"/>
                <w:sz w:val="21"/>
              </w:rPr>
              <w:t>$20.00</w:t>
            </w:r>
          </w:p>
        </w:tc>
        <w:tc>
          <w:tcPr>
            <w:tcW w:w="1439" w:type="dxa"/>
            <w:tcBorders>
              <w:top w:val="nil"/>
              <w:left w:val="single" w:sz="8" w:space="0" w:color="000000"/>
              <w:bottom w:val="nil"/>
              <w:right w:val="single" w:sz="8" w:space="0" w:color="000000"/>
            </w:tcBorders>
          </w:tcPr>
          <w:p>
            <w:pPr>
              <w:pStyle w:val="TableParagraph"/>
              <w:spacing w:before="25"/>
              <w:ind w:left="19" w:right="2"/>
              <w:jc w:val="center"/>
              <w:rPr>
                <w:sz w:val="21"/>
              </w:rPr>
            </w:pPr>
            <w:r>
              <w:rPr>
                <w:spacing w:val="-2"/>
                <w:sz w:val="21"/>
              </w:rPr>
              <w:t>$20.00</w:t>
            </w:r>
          </w:p>
        </w:tc>
      </w:tr>
      <w:tr>
        <w:tblPrEx>
          <w:tblW w:w="0" w:type="auto"/>
          <w:jc w:val="left"/>
          <w:tblInd w:w="509" w:type="dxa"/>
          <w:tblLayout w:type="fixed"/>
          <w:tblCellMar>
            <w:top w:w="0" w:type="dxa"/>
            <w:left w:w="0" w:type="dxa"/>
            <w:bottom w:w="0" w:type="dxa"/>
            <w:right w:w="0" w:type="dxa"/>
          </w:tblCellMar>
          <w:tblLook w:val="01E0"/>
        </w:tblPrEx>
        <w:trPr>
          <w:trHeight w:val="450"/>
          <w:jc w:val="left"/>
        </w:trPr>
        <w:tc>
          <w:tcPr>
            <w:tcW w:w="3236" w:type="dxa"/>
            <w:tcBorders>
              <w:top w:val="nil"/>
              <w:bottom w:val="nil"/>
            </w:tcBorders>
          </w:tcPr>
          <w:p>
            <w:pPr>
              <w:pStyle w:val="TableParagraph"/>
              <w:spacing w:before="175"/>
              <w:ind w:left="112"/>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351" w:type="dxa"/>
            <w:tcBorders>
              <w:top w:val="nil"/>
              <w:bottom w:val="nil"/>
            </w:tcBorders>
          </w:tcPr>
          <w:p>
            <w:pPr>
              <w:pStyle w:val="TableParagraph"/>
              <w:spacing w:before="175"/>
              <w:ind w:left="16"/>
              <w:jc w:val="center"/>
              <w:rPr>
                <w:sz w:val="21"/>
              </w:rPr>
            </w:pPr>
            <w:r>
              <w:rPr>
                <w:spacing w:val="-2"/>
                <w:sz w:val="21"/>
              </w:rPr>
              <w:t>$19.40</w:t>
            </w:r>
          </w:p>
        </w:tc>
        <w:tc>
          <w:tcPr>
            <w:tcW w:w="1529" w:type="dxa"/>
            <w:tcBorders>
              <w:top w:val="nil"/>
              <w:bottom w:val="nil"/>
            </w:tcBorders>
          </w:tcPr>
          <w:p>
            <w:pPr>
              <w:pStyle w:val="TableParagraph"/>
              <w:spacing w:before="175"/>
              <w:ind w:left="17"/>
              <w:jc w:val="center"/>
              <w:rPr>
                <w:sz w:val="21"/>
              </w:rPr>
            </w:pPr>
            <w:r>
              <w:rPr>
                <w:spacing w:val="-2"/>
                <w:sz w:val="21"/>
              </w:rPr>
              <w:t>$19.40</w:t>
            </w:r>
          </w:p>
        </w:tc>
        <w:tc>
          <w:tcPr>
            <w:tcW w:w="991" w:type="dxa"/>
            <w:tcBorders>
              <w:top w:val="nil"/>
              <w:bottom w:val="nil"/>
            </w:tcBorders>
          </w:tcPr>
          <w:p>
            <w:pPr>
              <w:pStyle w:val="TableParagraph"/>
              <w:spacing w:before="175"/>
              <w:ind w:left="19" w:right="2"/>
              <w:jc w:val="center"/>
              <w:rPr>
                <w:sz w:val="21"/>
              </w:rPr>
            </w:pPr>
            <w:r>
              <w:rPr>
                <w:spacing w:val="-2"/>
                <w:sz w:val="21"/>
              </w:rPr>
              <w:t>$19.40</w:t>
            </w:r>
          </w:p>
        </w:tc>
        <w:tc>
          <w:tcPr>
            <w:tcW w:w="1080" w:type="dxa"/>
            <w:tcBorders>
              <w:top w:val="nil"/>
              <w:bottom w:val="nil"/>
              <w:right w:val="single" w:sz="8" w:space="0" w:color="000000"/>
            </w:tcBorders>
          </w:tcPr>
          <w:p>
            <w:pPr>
              <w:pStyle w:val="TableParagraph"/>
              <w:spacing w:before="175"/>
              <w:ind w:left="23" w:right="3"/>
              <w:jc w:val="center"/>
              <w:rPr>
                <w:sz w:val="21"/>
              </w:rPr>
            </w:pPr>
            <w:r>
              <w:rPr>
                <w:spacing w:val="-2"/>
                <w:sz w:val="21"/>
              </w:rPr>
              <w:t>$19.40</w:t>
            </w:r>
          </w:p>
        </w:tc>
        <w:tc>
          <w:tcPr>
            <w:tcW w:w="1439" w:type="dxa"/>
            <w:tcBorders>
              <w:top w:val="nil"/>
              <w:left w:val="single" w:sz="8" w:space="0" w:color="000000"/>
              <w:bottom w:val="nil"/>
              <w:right w:val="single" w:sz="8" w:space="0" w:color="000000"/>
            </w:tcBorders>
          </w:tcPr>
          <w:p>
            <w:pPr>
              <w:pStyle w:val="TableParagraph"/>
              <w:spacing w:before="175"/>
              <w:ind w:left="19" w:right="2"/>
              <w:jc w:val="center"/>
              <w:rPr>
                <w:sz w:val="21"/>
              </w:rPr>
            </w:pPr>
            <w:r>
              <w:rPr>
                <w:spacing w:val="-2"/>
                <w:sz w:val="21"/>
              </w:rPr>
              <w:t>$19.40</w:t>
            </w:r>
          </w:p>
        </w:tc>
      </w:tr>
      <w:tr>
        <w:tblPrEx>
          <w:tblW w:w="0" w:type="auto"/>
          <w:jc w:val="left"/>
          <w:tblInd w:w="509" w:type="dxa"/>
          <w:tblLayout w:type="fixed"/>
          <w:tblCellMar>
            <w:top w:w="0" w:type="dxa"/>
            <w:left w:w="0" w:type="dxa"/>
            <w:bottom w:w="0" w:type="dxa"/>
            <w:right w:w="0" w:type="dxa"/>
          </w:tblCellMar>
          <w:tblLook w:val="01E0"/>
        </w:tblPrEx>
        <w:trPr>
          <w:trHeight w:val="300"/>
          <w:jc w:val="left"/>
        </w:trPr>
        <w:tc>
          <w:tcPr>
            <w:tcW w:w="3236" w:type="dxa"/>
            <w:tcBorders>
              <w:top w:val="nil"/>
              <w:bottom w:val="nil"/>
            </w:tcBorders>
          </w:tcPr>
          <w:p>
            <w:pPr>
              <w:pStyle w:val="TableParagraph"/>
              <w:spacing w:before="25"/>
              <w:ind w:left="112"/>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351" w:type="dxa"/>
            <w:tcBorders>
              <w:top w:val="nil"/>
              <w:bottom w:val="nil"/>
            </w:tcBorders>
          </w:tcPr>
          <w:p>
            <w:pPr>
              <w:pStyle w:val="TableParagraph"/>
              <w:spacing w:before="25"/>
              <w:ind w:left="16"/>
              <w:jc w:val="center"/>
              <w:rPr>
                <w:sz w:val="21"/>
              </w:rPr>
            </w:pPr>
            <w:r>
              <w:rPr>
                <w:spacing w:val="-2"/>
                <w:sz w:val="21"/>
              </w:rPr>
              <w:t>$19.40</w:t>
            </w:r>
          </w:p>
        </w:tc>
        <w:tc>
          <w:tcPr>
            <w:tcW w:w="1529" w:type="dxa"/>
            <w:tcBorders>
              <w:top w:val="nil"/>
              <w:bottom w:val="nil"/>
            </w:tcBorders>
          </w:tcPr>
          <w:p>
            <w:pPr>
              <w:pStyle w:val="TableParagraph"/>
              <w:spacing w:before="25"/>
              <w:ind w:left="17"/>
              <w:jc w:val="center"/>
              <w:rPr>
                <w:sz w:val="21"/>
              </w:rPr>
            </w:pPr>
            <w:r>
              <w:rPr>
                <w:spacing w:val="-2"/>
                <w:sz w:val="21"/>
              </w:rPr>
              <w:t>$19.40</w:t>
            </w:r>
          </w:p>
        </w:tc>
        <w:tc>
          <w:tcPr>
            <w:tcW w:w="991" w:type="dxa"/>
            <w:tcBorders>
              <w:top w:val="nil"/>
              <w:bottom w:val="nil"/>
            </w:tcBorders>
          </w:tcPr>
          <w:p>
            <w:pPr>
              <w:pStyle w:val="TableParagraph"/>
              <w:spacing w:before="25"/>
              <w:ind w:left="19" w:right="2"/>
              <w:jc w:val="center"/>
              <w:rPr>
                <w:sz w:val="21"/>
              </w:rPr>
            </w:pPr>
            <w:r>
              <w:rPr>
                <w:spacing w:val="-2"/>
                <w:sz w:val="21"/>
              </w:rPr>
              <w:t>$19.40</w:t>
            </w:r>
          </w:p>
        </w:tc>
        <w:tc>
          <w:tcPr>
            <w:tcW w:w="1080" w:type="dxa"/>
            <w:tcBorders>
              <w:top w:val="nil"/>
              <w:bottom w:val="nil"/>
              <w:right w:val="single" w:sz="8" w:space="0" w:color="000000"/>
            </w:tcBorders>
          </w:tcPr>
          <w:p>
            <w:pPr>
              <w:pStyle w:val="TableParagraph"/>
              <w:spacing w:before="25"/>
              <w:ind w:left="23" w:right="3"/>
              <w:jc w:val="center"/>
              <w:rPr>
                <w:sz w:val="21"/>
              </w:rPr>
            </w:pPr>
            <w:r>
              <w:rPr>
                <w:spacing w:val="-2"/>
                <w:sz w:val="21"/>
              </w:rPr>
              <w:t>$19.40</w:t>
            </w:r>
          </w:p>
        </w:tc>
        <w:tc>
          <w:tcPr>
            <w:tcW w:w="1439" w:type="dxa"/>
            <w:tcBorders>
              <w:top w:val="nil"/>
              <w:left w:val="single" w:sz="8" w:space="0" w:color="000000"/>
              <w:bottom w:val="nil"/>
              <w:right w:val="single" w:sz="8" w:space="0" w:color="000000"/>
            </w:tcBorders>
          </w:tcPr>
          <w:p>
            <w:pPr>
              <w:pStyle w:val="TableParagraph"/>
              <w:spacing w:before="25"/>
              <w:ind w:left="19" w:right="2"/>
              <w:jc w:val="center"/>
              <w:rPr>
                <w:sz w:val="21"/>
              </w:rPr>
            </w:pPr>
            <w:r>
              <w:rPr>
                <w:spacing w:val="-2"/>
                <w:sz w:val="21"/>
              </w:rPr>
              <w:t>$19.40</w:t>
            </w:r>
          </w:p>
        </w:tc>
      </w:tr>
      <w:tr>
        <w:tblPrEx>
          <w:tblW w:w="0" w:type="auto"/>
          <w:jc w:val="left"/>
          <w:tblInd w:w="509" w:type="dxa"/>
          <w:tblLayout w:type="fixed"/>
          <w:tblCellMar>
            <w:top w:w="0" w:type="dxa"/>
            <w:left w:w="0" w:type="dxa"/>
            <w:bottom w:w="0" w:type="dxa"/>
            <w:right w:w="0" w:type="dxa"/>
          </w:tblCellMar>
          <w:tblLook w:val="01E0"/>
        </w:tblPrEx>
        <w:trPr>
          <w:trHeight w:val="566"/>
          <w:jc w:val="left"/>
        </w:trPr>
        <w:tc>
          <w:tcPr>
            <w:tcW w:w="3236" w:type="dxa"/>
            <w:tcBorders>
              <w:top w:val="nil"/>
            </w:tcBorders>
          </w:tcPr>
          <w:p>
            <w:pPr>
              <w:pStyle w:val="TableParagraph"/>
              <w:spacing w:before="25"/>
              <w:ind w:left="112"/>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351" w:type="dxa"/>
            <w:tcBorders>
              <w:top w:val="nil"/>
            </w:tcBorders>
          </w:tcPr>
          <w:p>
            <w:pPr>
              <w:pStyle w:val="TableParagraph"/>
              <w:spacing w:before="25"/>
              <w:ind w:left="16"/>
              <w:jc w:val="center"/>
              <w:rPr>
                <w:sz w:val="21"/>
              </w:rPr>
            </w:pPr>
            <w:r>
              <w:rPr>
                <w:spacing w:val="-2"/>
                <w:sz w:val="21"/>
              </w:rPr>
              <w:t>$0.00</w:t>
            </w:r>
          </w:p>
        </w:tc>
        <w:tc>
          <w:tcPr>
            <w:tcW w:w="1529" w:type="dxa"/>
            <w:tcBorders>
              <w:top w:val="nil"/>
            </w:tcBorders>
          </w:tcPr>
          <w:p>
            <w:pPr>
              <w:pStyle w:val="TableParagraph"/>
              <w:spacing w:before="25"/>
              <w:ind w:left="17"/>
              <w:jc w:val="center"/>
              <w:rPr>
                <w:sz w:val="21"/>
              </w:rPr>
            </w:pPr>
            <w:r>
              <w:rPr>
                <w:spacing w:val="-2"/>
                <w:sz w:val="21"/>
              </w:rPr>
              <w:t>$0.00</w:t>
            </w:r>
          </w:p>
        </w:tc>
        <w:tc>
          <w:tcPr>
            <w:tcW w:w="991" w:type="dxa"/>
            <w:tcBorders>
              <w:top w:val="nil"/>
            </w:tcBorders>
          </w:tcPr>
          <w:p>
            <w:pPr>
              <w:pStyle w:val="TableParagraph"/>
              <w:spacing w:before="25"/>
              <w:ind w:left="19" w:right="2"/>
              <w:jc w:val="center"/>
              <w:rPr>
                <w:sz w:val="21"/>
              </w:rPr>
            </w:pPr>
            <w:r>
              <w:rPr>
                <w:spacing w:val="-2"/>
                <w:sz w:val="21"/>
              </w:rPr>
              <w:t>$0.00</w:t>
            </w:r>
          </w:p>
        </w:tc>
        <w:tc>
          <w:tcPr>
            <w:tcW w:w="1080" w:type="dxa"/>
            <w:tcBorders>
              <w:top w:val="nil"/>
              <w:right w:val="single" w:sz="8" w:space="0" w:color="000000"/>
            </w:tcBorders>
          </w:tcPr>
          <w:p>
            <w:pPr>
              <w:pStyle w:val="TableParagraph"/>
              <w:spacing w:before="25"/>
              <w:ind w:left="23" w:right="2"/>
              <w:jc w:val="center"/>
              <w:rPr>
                <w:sz w:val="21"/>
              </w:rPr>
            </w:pPr>
            <w:r>
              <w:rPr>
                <w:spacing w:val="-2"/>
                <w:sz w:val="21"/>
              </w:rPr>
              <w:t>$0.00</w:t>
            </w:r>
          </w:p>
        </w:tc>
        <w:tc>
          <w:tcPr>
            <w:tcW w:w="1439" w:type="dxa"/>
            <w:tcBorders>
              <w:top w:val="nil"/>
              <w:left w:val="single" w:sz="8" w:space="0" w:color="000000"/>
              <w:right w:val="single" w:sz="8" w:space="0" w:color="000000"/>
            </w:tcBorders>
          </w:tcPr>
          <w:p>
            <w:pPr>
              <w:pStyle w:val="TableParagraph"/>
              <w:spacing w:before="25"/>
              <w:ind w:left="19" w:right="2"/>
              <w:jc w:val="center"/>
              <w:rPr>
                <w:sz w:val="21"/>
              </w:rPr>
            </w:pPr>
            <w:r>
              <w:rPr>
                <w:spacing w:val="-2"/>
                <w:sz w:val="21"/>
              </w:rPr>
              <w:t>$0.00</w:t>
            </w:r>
          </w:p>
        </w:tc>
      </w:tr>
      <w:tr>
        <w:tblPrEx>
          <w:tblW w:w="0" w:type="auto"/>
          <w:jc w:val="left"/>
          <w:tblInd w:w="509" w:type="dxa"/>
          <w:tblLayout w:type="fixed"/>
          <w:tblCellMar>
            <w:top w:w="0" w:type="dxa"/>
            <w:left w:w="0" w:type="dxa"/>
            <w:bottom w:w="0" w:type="dxa"/>
            <w:right w:w="0" w:type="dxa"/>
          </w:tblCellMar>
          <w:tblLook w:val="01E0"/>
        </w:tblPrEx>
        <w:trPr>
          <w:trHeight w:val="311"/>
          <w:jc w:val="left"/>
        </w:trPr>
        <w:tc>
          <w:tcPr>
            <w:tcW w:w="3236" w:type="dxa"/>
          </w:tcPr>
          <w:p>
            <w:pPr>
              <w:pStyle w:val="TableParagraph"/>
              <w:spacing w:before="75" w:line="216" w:lineRule="exact"/>
              <w:ind w:left="112"/>
              <w:rPr>
                <w:b/>
                <w:sz w:val="21"/>
              </w:rPr>
            </w:pPr>
            <w:r>
              <w:rPr>
                <w:b/>
                <w:sz w:val="21"/>
              </w:rPr>
              <w:t>Total</w:t>
            </w:r>
            <w:r>
              <w:rPr>
                <w:b/>
                <w:spacing w:val="-3"/>
                <w:sz w:val="21"/>
              </w:rPr>
              <w:t xml:space="preserve"> </w:t>
            </w:r>
            <w:r>
              <w:rPr>
                <w:b/>
                <w:sz w:val="21"/>
              </w:rPr>
              <w:t>Plan</w:t>
            </w:r>
            <w:r>
              <w:rPr>
                <w:b/>
                <w:spacing w:val="-2"/>
                <w:sz w:val="21"/>
              </w:rPr>
              <w:t xml:space="preserve"> Premium</w:t>
            </w:r>
          </w:p>
        </w:tc>
        <w:tc>
          <w:tcPr>
            <w:tcW w:w="1351" w:type="dxa"/>
          </w:tcPr>
          <w:p>
            <w:pPr>
              <w:pStyle w:val="TableParagraph"/>
              <w:spacing w:before="75" w:line="216" w:lineRule="exact"/>
              <w:ind w:left="16"/>
              <w:jc w:val="center"/>
              <w:rPr>
                <w:sz w:val="21"/>
              </w:rPr>
            </w:pPr>
            <w:r>
              <w:rPr>
                <w:spacing w:val="-2"/>
                <w:sz w:val="21"/>
              </w:rPr>
              <w:t>$20.00</w:t>
            </w:r>
          </w:p>
        </w:tc>
        <w:tc>
          <w:tcPr>
            <w:tcW w:w="1529" w:type="dxa"/>
          </w:tcPr>
          <w:p>
            <w:pPr>
              <w:pStyle w:val="TableParagraph"/>
              <w:spacing w:before="75" w:line="216" w:lineRule="exact"/>
              <w:ind w:left="17"/>
              <w:jc w:val="center"/>
              <w:rPr>
                <w:sz w:val="21"/>
              </w:rPr>
            </w:pPr>
            <w:r>
              <w:rPr>
                <w:spacing w:val="-2"/>
                <w:sz w:val="21"/>
              </w:rPr>
              <w:t>$21.00</w:t>
            </w:r>
          </w:p>
        </w:tc>
        <w:tc>
          <w:tcPr>
            <w:tcW w:w="991" w:type="dxa"/>
          </w:tcPr>
          <w:p>
            <w:pPr>
              <w:pStyle w:val="TableParagraph"/>
              <w:spacing w:before="75" w:line="216" w:lineRule="exact"/>
              <w:ind w:left="19" w:right="2"/>
              <w:jc w:val="center"/>
              <w:rPr>
                <w:sz w:val="21"/>
              </w:rPr>
            </w:pPr>
            <w:r>
              <w:rPr>
                <w:spacing w:val="-2"/>
                <w:sz w:val="21"/>
              </w:rPr>
              <w:t>$21.00</w:t>
            </w:r>
          </w:p>
        </w:tc>
        <w:tc>
          <w:tcPr>
            <w:tcW w:w="1080" w:type="dxa"/>
            <w:tcBorders>
              <w:right w:val="single" w:sz="8" w:space="0" w:color="000000"/>
            </w:tcBorders>
          </w:tcPr>
          <w:p>
            <w:pPr>
              <w:pStyle w:val="TableParagraph"/>
              <w:spacing w:before="75" w:line="216" w:lineRule="exact"/>
              <w:ind w:left="23" w:right="3"/>
              <w:jc w:val="center"/>
              <w:rPr>
                <w:sz w:val="21"/>
              </w:rPr>
            </w:pPr>
            <w:r>
              <w:rPr>
                <w:spacing w:val="-2"/>
                <w:sz w:val="21"/>
              </w:rPr>
              <w:t>$20.00</w:t>
            </w:r>
          </w:p>
        </w:tc>
        <w:tc>
          <w:tcPr>
            <w:tcW w:w="1439" w:type="dxa"/>
            <w:tcBorders>
              <w:left w:val="single" w:sz="8" w:space="0" w:color="000000"/>
              <w:bottom w:val="single" w:sz="8" w:space="0" w:color="000000"/>
              <w:right w:val="single" w:sz="8" w:space="0" w:color="000000"/>
            </w:tcBorders>
          </w:tcPr>
          <w:p>
            <w:pPr>
              <w:pStyle w:val="TableParagraph"/>
              <w:spacing w:before="75" w:line="216" w:lineRule="exact"/>
              <w:ind w:left="19" w:right="2"/>
              <w:jc w:val="center"/>
              <w:rPr>
                <w:sz w:val="21"/>
              </w:rPr>
            </w:pPr>
            <w:r>
              <w:rPr>
                <w:spacing w:val="-2"/>
                <w:sz w:val="21"/>
              </w:rPr>
              <w:t>$20.00</w:t>
            </w:r>
          </w:p>
        </w:tc>
      </w:tr>
    </w:tbl>
    <w:p>
      <w:pPr>
        <w:pStyle w:val="BodyText"/>
        <w:spacing w:before="91"/>
        <w:ind w:left="0"/>
        <w:rPr>
          <w:rFonts w:ascii="Arial"/>
          <w:b/>
          <w:i/>
        </w:rPr>
      </w:pPr>
    </w:p>
    <w:p>
      <w:pPr>
        <w:pStyle w:val="BodyText"/>
      </w:pPr>
      <w:r>
        <w:t>In</w:t>
      </w:r>
      <w:r>
        <w:rPr>
          <w:spacing w:val="-3"/>
        </w:rPr>
        <w:t xml:space="preserve"> </w:t>
      </w:r>
      <w:r>
        <w:t>this</w:t>
      </w:r>
      <w:r>
        <w:rPr>
          <w:spacing w:val="-2"/>
        </w:rPr>
        <w:t xml:space="preserve"> </w:t>
      </w:r>
      <w:r>
        <w:t>example,</w:t>
      </w:r>
      <w:r>
        <w:rPr>
          <w:spacing w:val="-1"/>
        </w:rPr>
        <w:t xml:space="preserve"> </w:t>
      </w:r>
      <w:r>
        <w:t>the</w:t>
      </w:r>
      <w:r>
        <w:rPr>
          <w:spacing w:val="-1"/>
        </w:rPr>
        <w:t xml:space="preserve"> </w:t>
      </w:r>
      <w:r>
        <w:t>change</w:t>
      </w:r>
      <w:r>
        <w:rPr>
          <w:spacing w:val="-2"/>
        </w:rPr>
        <w:t xml:space="preserve"> </w:t>
      </w:r>
      <w:r>
        <w:t>in</w:t>
      </w:r>
      <w:r>
        <w:rPr>
          <w:spacing w:val="1"/>
        </w:rPr>
        <w:t xml:space="preserve"> </w:t>
      </w:r>
      <w:r>
        <w:t>MSB revenue</w:t>
      </w:r>
      <w:r>
        <w:rPr>
          <w:spacing w:val="-2"/>
        </w:rPr>
        <w:t xml:space="preserve"> </w:t>
      </w:r>
      <w:r>
        <w:t>requirement</w:t>
      </w:r>
      <w:r>
        <w:rPr>
          <w:spacing w:val="-1"/>
        </w:rPr>
        <w:t xml:space="preserve"> </w:t>
      </w:r>
      <w:r>
        <w:t>must be</w:t>
      </w:r>
      <w:r>
        <w:rPr>
          <w:spacing w:val="-2"/>
        </w:rPr>
        <w:t xml:space="preserve"> </w:t>
      </w:r>
      <w:r>
        <w:t>between</w:t>
      </w:r>
      <w:r>
        <w:rPr>
          <w:spacing w:val="1"/>
        </w:rPr>
        <w:t xml:space="preserve"> </w:t>
      </w:r>
      <w:r>
        <w:rPr>
          <w:sz w:val="21"/>
        </w:rPr>
        <w:t>−</w:t>
      </w:r>
      <w:r>
        <w:t>$1.00</w:t>
      </w:r>
      <w:r>
        <w:rPr>
          <w:spacing w:val="-1"/>
        </w:rPr>
        <w:t xml:space="preserve"> </w:t>
      </w:r>
      <w:r>
        <w:t xml:space="preserve">and </w:t>
      </w:r>
      <w:r>
        <w:rPr>
          <w:spacing w:val="-2"/>
        </w:rPr>
        <w:t>$0.00.</w:t>
      </w:r>
    </w:p>
    <w:p>
      <w:pPr>
        <w:pStyle w:val="BodyText"/>
        <w:spacing w:before="139"/>
        <w:ind w:right="1481"/>
      </w:pPr>
      <w:r>
        <w:rPr>
          <w:b/>
        </w:rPr>
        <w:t>Option</w:t>
      </w:r>
      <w:r>
        <w:rPr>
          <w:b/>
          <w:spacing w:val="-3"/>
        </w:rPr>
        <w:t xml:space="preserve"> </w:t>
      </w:r>
      <w:r>
        <w:rPr>
          <w:b/>
        </w:rPr>
        <w:t>1</w:t>
      </w:r>
      <w:r>
        <w:t>:</w:t>
      </w:r>
      <w:r>
        <w:rPr>
          <w:spacing w:val="-3"/>
        </w:rPr>
        <w:t xml:space="preserve"> </w:t>
      </w:r>
      <w:r>
        <w:t>The</w:t>
      </w:r>
      <w:r>
        <w:rPr>
          <w:spacing w:val="-4"/>
        </w:rPr>
        <w:t xml:space="preserve"> </w:t>
      </w:r>
      <w:r>
        <w:t>MAO</w:t>
      </w:r>
      <w:r>
        <w:rPr>
          <w:spacing w:val="-4"/>
        </w:rPr>
        <w:t xml:space="preserve"> </w:t>
      </w:r>
      <w:r>
        <w:t>is</w:t>
      </w:r>
      <w:r>
        <w:rPr>
          <w:spacing w:val="-4"/>
        </w:rPr>
        <w:t xml:space="preserve"> </w:t>
      </w:r>
      <w:r>
        <w:t>not</w:t>
      </w:r>
      <w:r>
        <w:rPr>
          <w:spacing w:val="-3"/>
        </w:rPr>
        <w:t xml:space="preserve"> </w:t>
      </w:r>
      <w:r>
        <w:t>required</w:t>
      </w:r>
      <w:r>
        <w:rPr>
          <w:spacing w:val="-3"/>
        </w:rPr>
        <w:t xml:space="preserve"> </w:t>
      </w:r>
      <w:r>
        <w:t>to</w:t>
      </w:r>
      <w:r>
        <w:rPr>
          <w:spacing w:val="-3"/>
        </w:rPr>
        <w:t xml:space="preserve"> </w:t>
      </w:r>
      <w:r>
        <w:t>reallocate</w:t>
      </w:r>
      <w:r>
        <w:rPr>
          <w:spacing w:val="-2"/>
        </w:rPr>
        <w:t xml:space="preserve"> </w:t>
      </w:r>
      <w:r>
        <w:t>rebates</w:t>
      </w:r>
      <w:r>
        <w:rPr>
          <w:spacing w:val="-4"/>
        </w:rPr>
        <w:t xml:space="preserve"> </w:t>
      </w:r>
      <w:r>
        <w:t>and</w:t>
      </w:r>
      <w:r>
        <w:rPr>
          <w:spacing w:val="-3"/>
        </w:rPr>
        <w:t xml:space="preserve"> </w:t>
      </w:r>
      <w:r>
        <w:t>may</w:t>
      </w:r>
      <w:r>
        <w:rPr>
          <w:spacing w:val="-2"/>
        </w:rPr>
        <w:t xml:space="preserve"> </w:t>
      </w:r>
      <w:r>
        <w:t>choose</w:t>
      </w:r>
      <w:r>
        <w:rPr>
          <w:spacing w:val="-4"/>
        </w:rPr>
        <w:t xml:space="preserve"> </w:t>
      </w:r>
      <w:r>
        <w:t>to</w:t>
      </w:r>
      <w:r>
        <w:rPr>
          <w:spacing w:val="-1"/>
        </w:rPr>
        <w:t xml:space="preserve"> </w:t>
      </w:r>
      <w:r>
        <w:t>leave</w:t>
      </w:r>
      <w:r>
        <w:rPr>
          <w:spacing w:val="-4"/>
        </w:rPr>
        <w:t xml:space="preserve"> </w:t>
      </w:r>
      <w:r>
        <w:t>the</w:t>
      </w:r>
      <w:r>
        <w:rPr>
          <w:spacing w:val="-1"/>
        </w:rPr>
        <w:t xml:space="preserve"> </w:t>
      </w:r>
      <w:r>
        <w:t>Part</w:t>
      </w:r>
      <w:r>
        <w:rPr>
          <w:spacing w:val="-3"/>
        </w:rPr>
        <w:t xml:space="preserve"> </w:t>
      </w:r>
      <w:r>
        <w:t>D basic premium at the post-Part D benchmark announcement basic premium of $21.00.</w:t>
      </w:r>
    </w:p>
    <w:p>
      <w:pPr>
        <w:pStyle w:val="BodyText"/>
      </w:pPr>
      <w:r>
        <w:t>Resubmission</w:t>
      </w:r>
      <w:r>
        <w:rPr>
          <w:spacing w:val="-1"/>
        </w:rPr>
        <w:t xml:space="preserve"> </w:t>
      </w:r>
      <w:r>
        <w:t>is</w:t>
      </w:r>
      <w:r>
        <w:rPr>
          <w:spacing w:val="-2"/>
        </w:rPr>
        <w:t xml:space="preserve"> </w:t>
      </w:r>
      <w:r>
        <w:t>not</w:t>
      </w:r>
      <w:r>
        <w:rPr>
          <w:spacing w:val="-1"/>
        </w:rPr>
        <w:t xml:space="preserve"> </w:t>
      </w:r>
      <w:r>
        <w:rPr>
          <w:spacing w:val="-2"/>
        </w:rPr>
        <w:t>necessary.</w:t>
      </w:r>
    </w:p>
    <w:p>
      <w:pPr>
        <w:pStyle w:val="BodyText"/>
        <w:spacing w:before="142"/>
        <w:ind w:right="1443"/>
      </w:pPr>
      <w:r>
        <w:rPr>
          <w:b/>
        </w:rPr>
        <w:t>Option</w:t>
      </w:r>
      <w:r>
        <w:rPr>
          <w:b/>
          <w:spacing w:val="-2"/>
        </w:rPr>
        <w:t xml:space="preserve"> </w:t>
      </w:r>
      <w:r>
        <w:rPr>
          <w:b/>
        </w:rPr>
        <w:t>2</w:t>
      </w:r>
      <w:r>
        <w:t>:</w:t>
      </w:r>
      <w:r>
        <w:rPr>
          <w:spacing w:val="-2"/>
        </w:rPr>
        <w:t xml:space="preserve"> </w:t>
      </w:r>
      <w:r>
        <w:t>The</w:t>
      </w:r>
      <w:r>
        <w:rPr>
          <w:spacing w:val="-3"/>
        </w:rPr>
        <w:t xml:space="preserve"> </w:t>
      </w:r>
      <w:r>
        <w:t>MAO</w:t>
      </w:r>
      <w:r>
        <w:rPr>
          <w:spacing w:val="-3"/>
        </w:rPr>
        <w:t xml:space="preserve"> </w:t>
      </w:r>
      <w:r>
        <w:t>may</w:t>
      </w:r>
      <w:r>
        <w:rPr>
          <w:spacing w:val="-2"/>
        </w:rPr>
        <w:t xml:space="preserve"> </w:t>
      </w:r>
      <w:r>
        <w:t>choose</w:t>
      </w:r>
      <w:r>
        <w:rPr>
          <w:spacing w:val="-3"/>
        </w:rPr>
        <w:t xml:space="preserve"> </w:t>
      </w:r>
      <w:r>
        <w:t>to</w:t>
      </w:r>
      <w:r>
        <w:rPr>
          <w:spacing w:val="-2"/>
        </w:rPr>
        <w:t xml:space="preserve"> </w:t>
      </w:r>
      <w:r>
        <w:t>return</w:t>
      </w:r>
      <w:r>
        <w:rPr>
          <w:spacing w:val="-2"/>
        </w:rPr>
        <w:t xml:space="preserve"> </w:t>
      </w:r>
      <w:r>
        <w:t>to</w:t>
      </w:r>
      <w:r>
        <w:rPr>
          <w:spacing w:val="-2"/>
        </w:rPr>
        <w:t xml:space="preserve"> </w:t>
      </w:r>
      <w:r>
        <w:t>target</w:t>
      </w:r>
      <w:r>
        <w:rPr>
          <w:spacing w:val="-1"/>
        </w:rPr>
        <w:t xml:space="preserve"> </w:t>
      </w:r>
      <w:r>
        <w:t>Part</w:t>
      </w:r>
      <w:r>
        <w:rPr>
          <w:spacing w:val="-2"/>
        </w:rPr>
        <w:t xml:space="preserve"> </w:t>
      </w:r>
      <w:r>
        <w:t>D</w:t>
      </w:r>
      <w:r>
        <w:rPr>
          <w:spacing w:val="-3"/>
        </w:rPr>
        <w:t xml:space="preserve"> </w:t>
      </w:r>
      <w:r>
        <w:t>basic</w:t>
      </w:r>
      <w:r>
        <w:rPr>
          <w:spacing w:val="-2"/>
        </w:rPr>
        <w:t xml:space="preserve"> </w:t>
      </w:r>
      <w:r>
        <w:t>premium</w:t>
      </w:r>
      <w:r>
        <w:rPr>
          <w:spacing w:val="-2"/>
        </w:rPr>
        <w:t xml:space="preserve"> </w:t>
      </w:r>
      <w:r>
        <w:t>of</w:t>
      </w:r>
      <w:r>
        <w:rPr>
          <w:spacing w:val="-2"/>
        </w:rPr>
        <w:t xml:space="preserve"> </w:t>
      </w:r>
      <w:r>
        <w:t>$20.00.</w:t>
      </w:r>
      <w:r>
        <w:rPr>
          <w:spacing w:val="-2"/>
        </w:rPr>
        <w:t xml:space="preserve"> </w:t>
      </w:r>
      <w:r>
        <w:t>The</w:t>
      </w:r>
      <w:r>
        <w:rPr>
          <w:spacing w:val="-4"/>
        </w:rPr>
        <w:t xml:space="preserve"> </w:t>
      </w:r>
      <w:r>
        <w:t>MAO must obtain rebates for the insufficient allocation of $1 by—</w:t>
      </w:r>
    </w:p>
    <w:p>
      <w:pPr>
        <w:pStyle w:val="BodyText"/>
        <w:spacing w:before="139"/>
        <w:ind w:left="1224" w:right="1572"/>
        <w:jc w:val="both"/>
      </w:pPr>
      <w:r>
        <w:rPr>
          <w:b/>
        </w:rPr>
        <w:t>2a</w:t>
      </w:r>
      <w:r>
        <w:t>: Making no changes to MSB revenue requirement and increasing the MA or Part D Supplemental</w:t>
      </w:r>
      <w:r>
        <w:rPr>
          <w:spacing w:val="-4"/>
        </w:rPr>
        <w:t xml:space="preserve"> </w:t>
      </w:r>
      <w:r>
        <w:t>premiums</w:t>
      </w:r>
      <w:r>
        <w:rPr>
          <w:spacing w:val="-4"/>
        </w:rPr>
        <w:t xml:space="preserve"> </w:t>
      </w:r>
      <w:r>
        <w:t>(or</w:t>
      </w:r>
      <w:r>
        <w:rPr>
          <w:spacing w:val="-4"/>
        </w:rPr>
        <w:t xml:space="preserve"> </w:t>
      </w:r>
      <w:r>
        <w:t>decreasing</w:t>
      </w:r>
      <w:r>
        <w:rPr>
          <w:spacing w:val="-4"/>
        </w:rPr>
        <w:t xml:space="preserve"> </w:t>
      </w:r>
      <w:r>
        <w:t>the</w:t>
      </w:r>
      <w:r>
        <w:rPr>
          <w:spacing w:val="-3"/>
        </w:rPr>
        <w:t xml:space="preserve"> </w:t>
      </w:r>
      <w:r>
        <w:t>rebates</w:t>
      </w:r>
      <w:r>
        <w:rPr>
          <w:spacing w:val="-4"/>
        </w:rPr>
        <w:t xml:space="preserve"> </w:t>
      </w:r>
      <w:r>
        <w:t>allocated</w:t>
      </w:r>
      <w:r>
        <w:rPr>
          <w:spacing w:val="-4"/>
        </w:rPr>
        <w:t xml:space="preserve"> </w:t>
      </w:r>
      <w:r>
        <w:t>to</w:t>
      </w:r>
      <w:r>
        <w:rPr>
          <w:spacing w:val="-4"/>
        </w:rPr>
        <w:t xml:space="preserve"> </w:t>
      </w:r>
      <w:r>
        <w:t>the</w:t>
      </w:r>
      <w:r>
        <w:rPr>
          <w:spacing w:val="-2"/>
        </w:rPr>
        <w:t xml:space="preserve"> </w:t>
      </w:r>
      <w:r>
        <w:t>Part</w:t>
      </w:r>
      <w:r>
        <w:rPr>
          <w:spacing w:val="-4"/>
        </w:rPr>
        <w:t xml:space="preserve"> </w:t>
      </w:r>
      <w:r>
        <w:t>B</w:t>
      </w:r>
      <w:r>
        <w:rPr>
          <w:spacing w:val="-1"/>
        </w:rPr>
        <w:t xml:space="preserve"> </w:t>
      </w:r>
      <w:r>
        <w:t>premium)</w:t>
      </w:r>
      <w:r>
        <w:rPr>
          <w:spacing w:val="-4"/>
        </w:rPr>
        <w:t xml:space="preserve"> </w:t>
      </w:r>
      <w:r>
        <w:t>by decreasing rebate allocations to MA, Part D supplemental, or Part B premiums.</w:t>
      </w:r>
    </w:p>
    <w:p>
      <w:pPr>
        <w:pStyle w:val="BodyText"/>
        <w:spacing w:before="140"/>
        <w:ind w:left="1224" w:right="1481"/>
      </w:pPr>
      <w:r>
        <w:rPr>
          <w:b/>
        </w:rPr>
        <w:t>2b</w:t>
      </w:r>
      <w:r>
        <w:t>:</w:t>
      </w:r>
      <w:r>
        <w:rPr>
          <w:spacing w:val="-3"/>
        </w:rPr>
        <w:t xml:space="preserve"> </w:t>
      </w:r>
      <w:r>
        <w:t>Decreasing</w:t>
      </w:r>
      <w:r>
        <w:rPr>
          <w:spacing w:val="-2"/>
        </w:rPr>
        <w:t xml:space="preserve"> </w:t>
      </w:r>
      <w:r>
        <w:t>MSB</w:t>
      </w:r>
      <w:r>
        <w:rPr>
          <w:spacing w:val="-3"/>
        </w:rPr>
        <w:t xml:space="preserve"> </w:t>
      </w:r>
      <w:r>
        <w:t>revenue</w:t>
      </w:r>
      <w:r>
        <w:rPr>
          <w:spacing w:val="-4"/>
        </w:rPr>
        <w:t xml:space="preserve"> </w:t>
      </w:r>
      <w:r>
        <w:t>requirement</w:t>
      </w:r>
      <w:r>
        <w:rPr>
          <w:spacing w:val="-2"/>
        </w:rPr>
        <w:t xml:space="preserve"> </w:t>
      </w:r>
      <w:r>
        <w:t>by</w:t>
      </w:r>
      <w:r>
        <w:rPr>
          <w:spacing w:val="-3"/>
        </w:rPr>
        <w:t xml:space="preserve"> </w:t>
      </w:r>
      <w:r>
        <w:t>no</w:t>
      </w:r>
      <w:r>
        <w:rPr>
          <w:spacing w:val="-1"/>
        </w:rPr>
        <w:t xml:space="preserve"> </w:t>
      </w:r>
      <w:r>
        <w:t>more</w:t>
      </w:r>
      <w:r>
        <w:rPr>
          <w:spacing w:val="-5"/>
        </w:rPr>
        <w:t xml:space="preserve"> </w:t>
      </w:r>
      <w:r>
        <w:t>than</w:t>
      </w:r>
      <w:r>
        <w:rPr>
          <w:spacing w:val="-3"/>
        </w:rPr>
        <w:t xml:space="preserve"> </w:t>
      </w:r>
      <w:r>
        <w:t>$1.00,</w:t>
      </w:r>
      <w:r>
        <w:rPr>
          <w:spacing w:val="-3"/>
        </w:rPr>
        <w:t xml:space="preserve"> </w:t>
      </w:r>
      <w:r>
        <w:t>such</w:t>
      </w:r>
      <w:r>
        <w:rPr>
          <w:spacing w:val="-3"/>
        </w:rPr>
        <w:t xml:space="preserve"> </w:t>
      </w:r>
      <w:r>
        <w:t>that</w:t>
      </w:r>
      <w:r>
        <w:rPr>
          <w:spacing w:val="-3"/>
        </w:rPr>
        <w:t xml:space="preserve"> </w:t>
      </w:r>
      <w:r>
        <w:t>there</w:t>
      </w:r>
      <w:r>
        <w:rPr>
          <w:spacing w:val="-5"/>
        </w:rPr>
        <w:t xml:space="preserve"> </w:t>
      </w:r>
      <w:r>
        <w:t>is</w:t>
      </w:r>
      <w:r>
        <w:rPr>
          <w:spacing w:val="-4"/>
        </w:rPr>
        <w:t xml:space="preserve"> </w:t>
      </w:r>
      <w:r>
        <w:t>a partial or full return to the MA premium in initial June bid by decreasing rebate allocations to MA, Part D supplemental, or Part B premiums.</w:t>
      </w:r>
    </w:p>
    <w:p>
      <w:pPr>
        <w:pStyle w:val="BodyText"/>
        <w:spacing w:before="139"/>
        <w:ind w:right="1481"/>
      </w:pPr>
      <w:r>
        <w:t>*</w:t>
      </w:r>
      <w:r>
        <w:rPr>
          <w:b/>
        </w:rPr>
        <w:t>Unacceptable</w:t>
      </w:r>
      <w:r>
        <w:rPr>
          <w:b/>
          <w:spacing w:val="-4"/>
        </w:rPr>
        <w:t xml:space="preserve"> </w:t>
      </w:r>
      <w:r>
        <w:rPr>
          <w:b/>
        </w:rPr>
        <w:t>Option</w:t>
      </w:r>
      <w:r>
        <w:t>:</w:t>
      </w:r>
      <w:r>
        <w:rPr>
          <w:spacing w:val="-3"/>
        </w:rPr>
        <w:t xml:space="preserve"> </w:t>
      </w:r>
      <w:r>
        <w:t>The</w:t>
      </w:r>
      <w:r>
        <w:rPr>
          <w:spacing w:val="-5"/>
        </w:rPr>
        <w:t xml:space="preserve"> </w:t>
      </w:r>
      <w:r>
        <w:t>MSB</w:t>
      </w:r>
      <w:r>
        <w:rPr>
          <w:spacing w:val="-3"/>
        </w:rPr>
        <w:t xml:space="preserve"> </w:t>
      </w:r>
      <w:r>
        <w:t>revenue</w:t>
      </w:r>
      <w:r>
        <w:rPr>
          <w:spacing w:val="-3"/>
        </w:rPr>
        <w:t xml:space="preserve"> </w:t>
      </w:r>
      <w:r>
        <w:t>requirement</w:t>
      </w:r>
      <w:r>
        <w:rPr>
          <w:spacing w:val="-3"/>
        </w:rPr>
        <w:t xml:space="preserve"> </w:t>
      </w:r>
      <w:r>
        <w:t>cannot</w:t>
      </w:r>
      <w:r>
        <w:rPr>
          <w:spacing w:val="-3"/>
        </w:rPr>
        <w:t xml:space="preserve"> </w:t>
      </w:r>
      <w:r>
        <w:t>decrease</w:t>
      </w:r>
      <w:r>
        <w:rPr>
          <w:spacing w:val="-4"/>
        </w:rPr>
        <w:t xml:space="preserve"> </w:t>
      </w:r>
      <w:r>
        <w:t>by</w:t>
      </w:r>
      <w:r>
        <w:rPr>
          <w:spacing w:val="-3"/>
        </w:rPr>
        <w:t xml:space="preserve"> </w:t>
      </w:r>
      <w:r>
        <w:t>more</w:t>
      </w:r>
      <w:r>
        <w:rPr>
          <w:spacing w:val="-5"/>
        </w:rPr>
        <w:t xml:space="preserve"> </w:t>
      </w:r>
      <w:r>
        <w:t>than</w:t>
      </w:r>
      <w:r>
        <w:rPr>
          <w:spacing w:val="-3"/>
        </w:rPr>
        <w:t xml:space="preserve"> </w:t>
      </w:r>
      <w:r>
        <w:t>the absolute value of the rebates for allocation.</w:t>
      </w:r>
    </w:p>
    <w:p>
      <w:pPr>
        <w:pStyle w:val="BodyText"/>
        <w:spacing w:after="0"/>
        <w:sectPr>
          <w:pgSz w:w="12240" w:h="15840"/>
          <w:pgMar w:top="960" w:right="0" w:bottom="940" w:left="1080" w:header="727" w:footer="747"/>
          <w:cols w:space="720"/>
        </w:sectPr>
      </w:pPr>
    </w:p>
    <w:p>
      <w:pPr>
        <w:pStyle w:val="BodyText"/>
        <w:spacing w:before="225"/>
        <w:ind w:left="0"/>
        <w:rPr>
          <w:sz w:val="21"/>
        </w:rPr>
      </w:pPr>
    </w:p>
    <w:p>
      <w:pPr>
        <w:pStyle w:val="ListParagraph"/>
        <w:numPr>
          <w:ilvl w:val="1"/>
          <w:numId w:val="26"/>
        </w:numPr>
        <w:tabs>
          <w:tab w:val="left" w:pos="863"/>
        </w:tabs>
        <w:spacing w:before="0" w:after="0" w:line="240" w:lineRule="auto"/>
        <w:ind w:left="863" w:right="0" w:hanging="359"/>
        <w:jc w:val="left"/>
        <w:rPr>
          <w:rFonts w:ascii="Arial"/>
          <w:b/>
          <w:sz w:val="21"/>
        </w:rPr>
      </w:pPr>
      <w:bookmarkStart w:id="374" w:name="D. Non-RPPO Examples When Target is the "/>
      <w:bookmarkEnd w:id="374"/>
      <w:r>
        <w:rPr>
          <w:rFonts w:ascii="Arial"/>
          <w:b/>
          <w:sz w:val="21"/>
        </w:rPr>
        <w:t>Non-RPPO</w:t>
      </w:r>
      <w:r>
        <w:rPr>
          <w:rFonts w:ascii="Arial"/>
          <w:b/>
          <w:spacing w:val="-10"/>
          <w:sz w:val="21"/>
        </w:rPr>
        <w:t xml:space="preserve"> </w:t>
      </w:r>
      <w:r>
        <w:rPr>
          <w:rFonts w:ascii="Arial"/>
          <w:b/>
          <w:sz w:val="21"/>
        </w:rPr>
        <w:t>Examples</w:t>
      </w:r>
      <w:r>
        <w:rPr>
          <w:rFonts w:ascii="Arial"/>
          <w:b/>
          <w:spacing w:val="-7"/>
          <w:sz w:val="21"/>
        </w:rPr>
        <w:t xml:space="preserve"> </w:t>
      </w:r>
      <w:r>
        <w:rPr>
          <w:rFonts w:ascii="Arial"/>
          <w:b/>
          <w:sz w:val="21"/>
        </w:rPr>
        <w:t>When</w:t>
      </w:r>
      <w:r>
        <w:rPr>
          <w:rFonts w:ascii="Arial"/>
          <w:b/>
          <w:spacing w:val="-8"/>
          <w:sz w:val="21"/>
        </w:rPr>
        <w:t xml:space="preserve"> </w:t>
      </w:r>
      <w:r>
        <w:rPr>
          <w:rFonts w:ascii="Arial"/>
          <w:b/>
          <w:sz w:val="21"/>
        </w:rPr>
        <w:t>Target</w:t>
      </w:r>
      <w:r>
        <w:rPr>
          <w:rFonts w:ascii="Arial"/>
          <w:b/>
          <w:spacing w:val="-7"/>
          <w:sz w:val="21"/>
        </w:rPr>
        <w:t xml:space="preserve"> </w:t>
      </w:r>
      <w:r>
        <w:rPr>
          <w:rFonts w:ascii="Arial"/>
          <w:b/>
          <w:sz w:val="21"/>
        </w:rPr>
        <w:t>is</w:t>
      </w:r>
      <w:r>
        <w:rPr>
          <w:rFonts w:ascii="Arial"/>
          <w:b/>
          <w:spacing w:val="-7"/>
          <w:sz w:val="21"/>
        </w:rPr>
        <w:t xml:space="preserve"> </w:t>
      </w:r>
      <w:r>
        <w:rPr>
          <w:rFonts w:ascii="Arial"/>
          <w:b/>
          <w:sz w:val="21"/>
        </w:rPr>
        <w:t>the</w:t>
      </w:r>
      <w:r>
        <w:rPr>
          <w:rFonts w:ascii="Arial"/>
          <w:b/>
          <w:spacing w:val="-7"/>
          <w:sz w:val="21"/>
        </w:rPr>
        <w:t xml:space="preserve"> </w:t>
      </w:r>
      <w:r>
        <w:rPr>
          <w:rFonts w:ascii="Arial"/>
          <w:b/>
          <w:sz w:val="21"/>
        </w:rPr>
        <w:t>Low-Income</w:t>
      </w:r>
      <w:r>
        <w:rPr>
          <w:rFonts w:ascii="Arial"/>
          <w:b/>
          <w:spacing w:val="-9"/>
          <w:sz w:val="21"/>
        </w:rPr>
        <w:t xml:space="preserve"> </w:t>
      </w:r>
      <w:r>
        <w:rPr>
          <w:rFonts w:ascii="Arial"/>
          <w:b/>
          <w:sz w:val="21"/>
        </w:rPr>
        <w:t>Premium</w:t>
      </w:r>
      <w:r>
        <w:rPr>
          <w:rFonts w:ascii="Arial"/>
          <w:b/>
          <w:spacing w:val="-7"/>
          <w:sz w:val="21"/>
        </w:rPr>
        <w:t xml:space="preserve"> </w:t>
      </w:r>
      <w:r>
        <w:rPr>
          <w:rFonts w:ascii="Arial"/>
          <w:b/>
          <w:sz w:val="21"/>
        </w:rPr>
        <w:t>Subsidy</w:t>
      </w:r>
      <w:r>
        <w:rPr>
          <w:rFonts w:ascii="Arial"/>
          <w:b/>
          <w:spacing w:val="-9"/>
          <w:sz w:val="21"/>
        </w:rPr>
        <w:t xml:space="preserve"> </w:t>
      </w:r>
      <w:r>
        <w:rPr>
          <w:rFonts w:ascii="Arial"/>
          <w:b/>
          <w:sz w:val="21"/>
        </w:rPr>
        <w:t>Amount</w:t>
      </w:r>
      <w:r>
        <w:rPr>
          <w:rFonts w:ascii="Arial"/>
          <w:b/>
          <w:spacing w:val="-6"/>
          <w:sz w:val="21"/>
        </w:rPr>
        <w:t xml:space="preserve"> </w:t>
      </w:r>
      <w:r>
        <w:rPr>
          <w:rFonts w:ascii="Arial"/>
          <w:b/>
          <w:spacing w:val="-2"/>
          <w:sz w:val="21"/>
        </w:rPr>
        <w:t>(LIPSA)</w:t>
      </w:r>
    </w:p>
    <w:p>
      <w:pPr>
        <w:pStyle w:val="BodyText"/>
        <w:spacing w:before="120"/>
        <w:ind w:right="1619"/>
      </w:pPr>
      <w:r>
        <w:t>In</w:t>
      </w:r>
      <w:r>
        <w:rPr>
          <w:spacing w:val="-3"/>
        </w:rPr>
        <w:t xml:space="preserve"> </w:t>
      </w:r>
      <w:r>
        <w:t>the</w:t>
      </w:r>
      <w:r>
        <w:rPr>
          <w:spacing w:val="-2"/>
        </w:rPr>
        <w:t xml:space="preserve"> </w:t>
      </w:r>
      <w:r>
        <w:t>following</w:t>
      </w:r>
      <w:r>
        <w:rPr>
          <w:spacing w:val="-3"/>
        </w:rPr>
        <w:t xml:space="preserve"> </w:t>
      </w:r>
      <w:r>
        <w:t>examples,</w:t>
      </w:r>
      <w:r>
        <w:rPr>
          <w:spacing w:val="-3"/>
        </w:rPr>
        <w:t xml:space="preserve"> </w:t>
      </w:r>
      <w:r>
        <w:t>the</w:t>
      </w:r>
      <w:r>
        <w:rPr>
          <w:spacing w:val="-3"/>
        </w:rPr>
        <w:t xml:space="preserve"> </w:t>
      </w:r>
      <w:r>
        <w:t>bold</w:t>
      </w:r>
      <w:r>
        <w:rPr>
          <w:spacing w:val="-3"/>
        </w:rPr>
        <w:t xml:space="preserve"> </w:t>
      </w:r>
      <w:r>
        <w:t>and</w:t>
      </w:r>
      <w:r>
        <w:rPr>
          <w:spacing w:val="-3"/>
        </w:rPr>
        <w:t xml:space="preserve"> </w:t>
      </w:r>
      <w:r>
        <w:t>italicized</w:t>
      </w:r>
      <w:r>
        <w:rPr>
          <w:spacing w:val="-1"/>
        </w:rPr>
        <w:t xml:space="preserve"> </w:t>
      </w:r>
      <w:r>
        <w:t>numbers</w:t>
      </w:r>
      <w:r>
        <w:rPr>
          <w:spacing w:val="-4"/>
        </w:rPr>
        <w:t xml:space="preserve"> </w:t>
      </w:r>
      <w:r>
        <w:t>represent</w:t>
      </w:r>
      <w:r>
        <w:rPr>
          <w:spacing w:val="-3"/>
        </w:rPr>
        <w:t xml:space="preserve"> </w:t>
      </w:r>
      <w:r>
        <w:t>a</w:t>
      </w:r>
      <w:r>
        <w:rPr>
          <w:spacing w:val="-2"/>
        </w:rPr>
        <w:t xml:space="preserve"> </w:t>
      </w:r>
      <w:r>
        <w:t>change</w:t>
      </w:r>
      <w:r>
        <w:rPr>
          <w:spacing w:val="-4"/>
        </w:rPr>
        <w:t xml:space="preserve"> </w:t>
      </w:r>
      <w:r>
        <w:t>to</w:t>
      </w:r>
      <w:r>
        <w:rPr>
          <w:spacing w:val="-3"/>
        </w:rPr>
        <w:t xml:space="preserve"> </w:t>
      </w:r>
      <w:r>
        <w:t>an</w:t>
      </w:r>
      <w:r>
        <w:rPr>
          <w:spacing w:val="-3"/>
        </w:rPr>
        <w:t xml:space="preserve"> </w:t>
      </w:r>
      <w:r>
        <w:t>input</w:t>
      </w:r>
      <w:r>
        <w:rPr>
          <w:spacing w:val="-3"/>
        </w:rPr>
        <w:t xml:space="preserve"> </w:t>
      </w:r>
      <w:r>
        <w:t>cell in the BPT.</w:t>
      </w:r>
    </w:p>
    <w:p>
      <w:pPr>
        <w:pStyle w:val="BodyText"/>
        <w:spacing w:before="4"/>
        <w:ind w:left="0"/>
      </w:pPr>
    </w:p>
    <w:p>
      <w:pPr>
        <w:pStyle w:val="Heading4"/>
      </w:pPr>
      <w:bookmarkStart w:id="375" w:name="Example 7: Excessive Rebates Allocated t"/>
      <w:bookmarkEnd w:id="375"/>
      <w:r>
        <w:rPr>
          <w:i/>
        </w:rPr>
        <w:t>Example</w:t>
      </w:r>
      <w:r>
        <w:rPr>
          <w:i/>
          <w:spacing w:val="-2"/>
        </w:rPr>
        <w:t xml:space="preserve"> </w:t>
      </w:r>
      <w:r>
        <w:rPr>
          <w:i/>
        </w:rPr>
        <w:t>7:</w:t>
      </w:r>
      <w:r>
        <w:rPr>
          <w:i/>
          <w:spacing w:val="-4"/>
        </w:rPr>
        <w:t xml:space="preserve"> </w:t>
      </w:r>
      <w:r>
        <w:rPr>
          <w:i/>
        </w:rPr>
        <w:t>Excessive</w:t>
      </w:r>
      <w:r>
        <w:rPr>
          <w:i/>
          <w:spacing w:val="-4"/>
        </w:rPr>
        <w:t xml:space="preserve"> </w:t>
      </w:r>
      <w:r>
        <w:rPr>
          <w:i/>
        </w:rPr>
        <w:t>Rebates</w:t>
      </w:r>
      <w:r>
        <w:rPr>
          <w:i/>
          <w:spacing w:val="-4"/>
        </w:rPr>
        <w:t xml:space="preserve"> </w:t>
      </w:r>
      <w:r>
        <w:rPr>
          <w:i/>
        </w:rPr>
        <w:t>Allocated</w:t>
      </w:r>
      <w:r>
        <w:rPr>
          <w:i/>
          <w:spacing w:val="-4"/>
        </w:rPr>
        <w:t xml:space="preserve"> </w:t>
      </w:r>
      <w:r>
        <w:rPr>
          <w:i/>
        </w:rPr>
        <w:t>to</w:t>
      </w:r>
      <w:r>
        <w:rPr>
          <w:i/>
          <w:spacing w:val="-1"/>
        </w:rPr>
        <w:t xml:space="preserve"> </w:t>
      </w:r>
      <w:r>
        <w:rPr>
          <w:i/>
        </w:rPr>
        <w:t>Part</w:t>
      </w:r>
      <w:r>
        <w:rPr>
          <w:i/>
          <w:spacing w:val="-4"/>
        </w:rPr>
        <w:t xml:space="preserve"> </w:t>
      </w:r>
      <w:r>
        <w:rPr>
          <w:i/>
        </w:rPr>
        <w:t>D</w:t>
      </w:r>
      <w:r>
        <w:rPr>
          <w:i/>
          <w:spacing w:val="-4"/>
        </w:rPr>
        <w:t xml:space="preserve"> </w:t>
      </w:r>
      <w:r>
        <w:rPr>
          <w:i/>
        </w:rPr>
        <w:t>Basic</w:t>
      </w:r>
      <w:r>
        <w:rPr>
          <w:i/>
          <w:spacing w:val="-3"/>
        </w:rPr>
        <w:t xml:space="preserve"> </w:t>
      </w:r>
      <w:r>
        <w:rPr>
          <w:i/>
        </w:rPr>
        <w:t>Premium,</w:t>
      </w:r>
      <w:r>
        <w:rPr>
          <w:i/>
          <w:spacing w:val="-3"/>
        </w:rPr>
        <w:t xml:space="preserve"> </w:t>
      </w:r>
      <w:r>
        <w:rPr>
          <w:i/>
        </w:rPr>
        <w:t>Reallocation</w:t>
      </w:r>
      <w:r>
        <w:t xml:space="preserve"> is Optional, and MAO can Achieve LIPSA.</w:t>
      </w:r>
    </w:p>
    <w:p>
      <w:pPr>
        <w:pStyle w:val="BodyText"/>
        <w:spacing w:before="130"/>
        <w:ind w:left="0"/>
        <w:rPr>
          <w:rFonts w:ascii="Arial"/>
          <w:b/>
          <w:i/>
          <w:sz w:val="20"/>
        </w:rPr>
      </w:pPr>
    </w:p>
    <w:tbl>
      <w:tblPr>
        <w:tblStyle w:val="TableNormal"/>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6"/>
        <w:gridCol w:w="1711"/>
        <w:gridCol w:w="1349"/>
        <w:gridCol w:w="991"/>
        <w:gridCol w:w="1080"/>
        <w:gridCol w:w="1439"/>
      </w:tblGrid>
      <w:tr>
        <w:tblPrEx>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66"/>
          <w:jc w:val="left"/>
        </w:trPr>
        <w:tc>
          <w:tcPr>
            <w:tcW w:w="3056" w:type="dxa"/>
          </w:tcPr>
          <w:p>
            <w:pPr>
              <w:pStyle w:val="TableParagraph"/>
              <w:spacing w:before="121"/>
              <w:rPr>
                <w:rFonts w:ascii="Arial"/>
                <w:b/>
                <w:i/>
                <w:sz w:val="21"/>
              </w:rPr>
            </w:pPr>
          </w:p>
          <w:p>
            <w:pPr>
              <w:pStyle w:val="TableParagraph"/>
              <w:ind w:left="9"/>
              <w:jc w:val="center"/>
              <w:rPr>
                <w:b/>
                <w:sz w:val="21"/>
              </w:rPr>
            </w:pPr>
            <w:r>
              <w:rPr>
                <w:b/>
                <w:spacing w:val="-2"/>
                <w:sz w:val="21"/>
              </w:rPr>
              <w:t>Label</w:t>
            </w:r>
          </w:p>
        </w:tc>
        <w:tc>
          <w:tcPr>
            <w:tcW w:w="1711" w:type="dxa"/>
          </w:tcPr>
          <w:p>
            <w:pPr>
              <w:pStyle w:val="TableParagraph"/>
              <w:spacing w:before="121"/>
              <w:rPr>
                <w:rFonts w:ascii="Arial"/>
                <w:b/>
                <w:i/>
                <w:sz w:val="21"/>
              </w:rPr>
            </w:pPr>
          </w:p>
          <w:p>
            <w:pPr>
              <w:pStyle w:val="TableParagraph"/>
              <w:ind w:left="10" w:right="1"/>
              <w:jc w:val="center"/>
              <w:rPr>
                <w:b/>
                <w:sz w:val="21"/>
              </w:rPr>
            </w:pPr>
            <w:r>
              <w:rPr>
                <w:b/>
                <w:sz w:val="21"/>
              </w:rPr>
              <w:t>Initial</w:t>
            </w:r>
            <w:r>
              <w:rPr>
                <w:b/>
                <w:spacing w:val="-4"/>
                <w:sz w:val="21"/>
              </w:rPr>
              <w:t xml:space="preserve"> </w:t>
            </w:r>
            <w:r>
              <w:rPr>
                <w:b/>
                <w:sz w:val="21"/>
              </w:rPr>
              <w:t>June</w:t>
            </w:r>
            <w:r>
              <w:rPr>
                <w:b/>
                <w:spacing w:val="-2"/>
                <w:sz w:val="21"/>
              </w:rPr>
              <w:t xml:space="preserve"> </w:t>
            </w:r>
            <w:r>
              <w:rPr>
                <w:b/>
                <w:spacing w:val="-5"/>
                <w:sz w:val="21"/>
              </w:rPr>
              <w:t>Bid</w:t>
            </w:r>
          </w:p>
        </w:tc>
        <w:tc>
          <w:tcPr>
            <w:tcW w:w="1349" w:type="dxa"/>
          </w:tcPr>
          <w:p>
            <w:pPr>
              <w:pStyle w:val="TableParagraph"/>
              <w:ind w:left="146" w:right="137" w:hanging="2"/>
              <w:jc w:val="center"/>
              <w:rPr>
                <w:b/>
                <w:sz w:val="21"/>
              </w:rPr>
            </w:pPr>
            <w:r>
              <w:rPr>
                <w:b/>
                <w:spacing w:val="-2"/>
                <w:sz w:val="21"/>
              </w:rPr>
              <w:t xml:space="preserve">After </w:t>
            </w:r>
            <w:r>
              <w:rPr>
                <w:b/>
                <w:sz w:val="21"/>
              </w:rPr>
              <w:t xml:space="preserve">Release of </w:t>
            </w:r>
            <w:r>
              <w:rPr>
                <w:b/>
                <w:spacing w:val="-2"/>
                <w:sz w:val="21"/>
              </w:rPr>
              <w:t>Benchmark</w:t>
            </w:r>
          </w:p>
          <w:p>
            <w:pPr>
              <w:pStyle w:val="TableParagraph"/>
              <w:spacing w:before="1" w:line="221" w:lineRule="exact"/>
              <w:ind w:left="7" w:right="4"/>
              <w:jc w:val="center"/>
              <w:rPr>
                <w:b/>
                <w:sz w:val="21"/>
              </w:rPr>
            </w:pPr>
            <w:r>
              <w:rPr>
                <w:b/>
                <w:sz w:val="21"/>
              </w:rPr>
              <w:t>(Option</w:t>
            </w:r>
            <w:r>
              <w:rPr>
                <w:b/>
                <w:spacing w:val="-6"/>
                <w:sz w:val="21"/>
              </w:rPr>
              <w:t xml:space="preserve"> </w:t>
            </w:r>
            <w:r>
              <w:rPr>
                <w:b/>
                <w:spacing w:val="-5"/>
                <w:sz w:val="21"/>
              </w:rPr>
              <w:t>1)</w:t>
            </w:r>
          </w:p>
        </w:tc>
        <w:tc>
          <w:tcPr>
            <w:tcW w:w="991" w:type="dxa"/>
          </w:tcPr>
          <w:p>
            <w:pPr>
              <w:pStyle w:val="TableParagraph"/>
              <w:spacing w:before="1"/>
              <w:rPr>
                <w:rFonts w:ascii="Arial"/>
                <w:b/>
                <w:i/>
                <w:sz w:val="21"/>
              </w:rPr>
            </w:pPr>
          </w:p>
          <w:p>
            <w:pPr>
              <w:pStyle w:val="TableParagraph"/>
              <w:ind w:left="383" w:right="166" w:hanging="207"/>
              <w:rPr>
                <w:b/>
                <w:sz w:val="21"/>
              </w:rPr>
            </w:pPr>
            <w:r>
              <w:rPr>
                <w:b/>
                <w:spacing w:val="-2"/>
                <w:sz w:val="21"/>
              </w:rPr>
              <w:t xml:space="preserve">Option </w:t>
            </w:r>
            <w:r>
              <w:rPr>
                <w:b/>
                <w:spacing w:val="-6"/>
                <w:sz w:val="21"/>
              </w:rPr>
              <w:t>2b</w:t>
            </w:r>
          </w:p>
        </w:tc>
        <w:tc>
          <w:tcPr>
            <w:tcW w:w="1080" w:type="dxa"/>
          </w:tcPr>
          <w:p>
            <w:pPr>
              <w:pStyle w:val="TableParagraph"/>
              <w:spacing w:before="1"/>
              <w:rPr>
                <w:rFonts w:ascii="Arial"/>
                <w:b/>
                <w:i/>
                <w:sz w:val="21"/>
              </w:rPr>
            </w:pPr>
          </w:p>
          <w:p>
            <w:pPr>
              <w:pStyle w:val="TableParagraph"/>
              <w:ind w:left="427" w:right="211" w:hanging="207"/>
              <w:rPr>
                <w:b/>
                <w:sz w:val="21"/>
              </w:rPr>
            </w:pPr>
            <w:r>
              <w:rPr>
                <w:b/>
                <w:spacing w:val="-2"/>
                <w:sz w:val="21"/>
              </w:rPr>
              <w:t xml:space="preserve">Option </w:t>
            </w:r>
            <w:r>
              <w:rPr>
                <w:b/>
                <w:spacing w:val="-6"/>
                <w:sz w:val="21"/>
              </w:rPr>
              <w:t>3b</w:t>
            </w:r>
          </w:p>
        </w:tc>
        <w:tc>
          <w:tcPr>
            <w:tcW w:w="1439" w:type="dxa"/>
          </w:tcPr>
          <w:p>
            <w:pPr>
              <w:pStyle w:val="TableParagraph"/>
              <w:spacing w:before="1"/>
              <w:rPr>
                <w:rFonts w:ascii="Arial"/>
                <w:b/>
                <w:i/>
                <w:sz w:val="21"/>
              </w:rPr>
            </w:pPr>
          </w:p>
          <w:p>
            <w:pPr>
              <w:pStyle w:val="TableParagraph"/>
              <w:ind w:left="351" w:hanging="240"/>
              <w:rPr>
                <w:b/>
                <w:sz w:val="21"/>
              </w:rPr>
            </w:pPr>
            <w:r>
              <w:rPr>
                <w:b/>
                <w:spacing w:val="-2"/>
                <w:sz w:val="21"/>
              </w:rPr>
              <w:t>Unacceptable Option*</w:t>
            </w:r>
          </w:p>
        </w:tc>
      </w:tr>
      <w:tr>
        <w:tblPrEx>
          <w:tblW w:w="0" w:type="auto"/>
          <w:jc w:val="left"/>
          <w:tblInd w:w="514" w:type="dxa"/>
          <w:tblLayout w:type="fixed"/>
          <w:tblCellMar>
            <w:top w:w="0" w:type="dxa"/>
            <w:left w:w="0" w:type="dxa"/>
            <w:bottom w:w="0" w:type="dxa"/>
            <w:right w:w="0" w:type="dxa"/>
          </w:tblCellMar>
          <w:tblLook w:val="01E0"/>
        </w:tblPrEx>
        <w:trPr>
          <w:trHeight w:val="318"/>
          <w:jc w:val="left"/>
        </w:trPr>
        <w:tc>
          <w:tcPr>
            <w:tcW w:w="3056" w:type="dxa"/>
            <w:tcBorders>
              <w:bottom w:val="nil"/>
            </w:tcBorders>
          </w:tcPr>
          <w:p>
            <w:pPr>
              <w:pStyle w:val="TableParagraph"/>
              <w:spacing w:before="29"/>
              <w:ind w:left="107"/>
              <w:rPr>
                <w:b/>
                <w:sz w:val="21"/>
              </w:rPr>
            </w:pPr>
            <w:r>
              <w:rPr>
                <w:b/>
                <w:spacing w:val="-2"/>
                <w:sz w:val="21"/>
              </w:rPr>
              <w:t>LIPSA</w:t>
            </w:r>
          </w:p>
        </w:tc>
        <w:tc>
          <w:tcPr>
            <w:tcW w:w="1711" w:type="dxa"/>
            <w:tcBorders>
              <w:bottom w:val="nil"/>
            </w:tcBorders>
          </w:tcPr>
          <w:p>
            <w:pPr>
              <w:pStyle w:val="TableParagraph"/>
              <w:spacing w:before="29"/>
              <w:ind w:left="10"/>
              <w:jc w:val="center"/>
              <w:rPr>
                <w:sz w:val="21"/>
              </w:rPr>
            </w:pPr>
            <w:r>
              <w:rPr>
                <w:sz w:val="21"/>
              </w:rPr>
              <w:t xml:space="preserve">$43.40 </w:t>
            </w:r>
            <w:r>
              <w:rPr>
                <w:spacing w:val="-2"/>
                <w:sz w:val="21"/>
              </w:rPr>
              <w:t>(estimate)</w:t>
            </w:r>
          </w:p>
        </w:tc>
        <w:tc>
          <w:tcPr>
            <w:tcW w:w="1349" w:type="dxa"/>
            <w:tcBorders>
              <w:bottom w:val="nil"/>
            </w:tcBorders>
          </w:tcPr>
          <w:p>
            <w:pPr>
              <w:pStyle w:val="TableParagraph"/>
              <w:spacing w:before="29"/>
              <w:ind w:left="7" w:right="2"/>
              <w:jc w:val="center"/>
              <w:rPr>
                <w:sz w:val="21"/>
              </w:rPr>
            </w:pPr>
            <w:r>
              <w:rPr>
                <w:spacing w:val="-2"/>
                <w:sz w:val="21"/>
              </w:rPr>
              <w:t>$41.40</w:t>
            </w:r>
          </w:p>
        </w:tc>
        <w:tc>
          <w:tcPr>
            <w:tcW w:w="991" w:type="dxa"/>
            <w:tcBorders>
              <w:bottom w:val="nil"/>
            </w:tcBorders>
          </w:tcPr>
          <w:p>
            <w:pPr>
              <w:pStyle w:val="TableParagraph"/>
              <w:spacing w:before="29"/>
              <w:ind w:left="19" w:right="12"/>
              <w:jc w:val="center"/>
              <w:rPr>
                <w:sz w:val="21"/>
              </w:rPr>
            </w:pPr>
            <w:r>
              <w:rPr>
                <w:spacing w:val="-2"/>
                <w:sz w:val="21"/>
              </w:rPr>
              <w:t>$41.40</w:t>
            </w:r>
          </w:p>
        </w:tc>
        <w:tc>
          <w:tcPr>
            <w:tcW w:w="1080" w:type="dxa"/>
            <w:tcBorders>
              <w:bottom w:val="nil"/>
            </w:tcBorders>
          </w:tcPr>
          <w:p>
            <w:pPr>
              <w:pStyle w:val="TableParagraph"/>
              <w:spacing w:before="29"/>
              <w:ind w:left="7" w:right="2"/>
              <w:jc w:val="center"/>
              <w:rPr>
                <w:sz w:val="21"/>
              </w:rPr>
            </w:pPr>
            <w:r>
              <w:rPr>
                <w:spacing w:val="-2"/>
                <w:sz w:val="21"/>
              </w:rPr>
              <w:t>$41.40</w:t>
            </w:r>
          </w:p>
        </w:tc>
        <w:tc>
          <w:tcPr>
            <w:tcW w:w="1439" w:type="dxa"/>
            <w:tcBorders>
              <w:bottom w:val="nil"/>
            </w:tcBorders>
          </w:tcPr>
          <w:p>
            <w:pPr>
              <w:pStyle w:val="TableParagraph"/>
              <w:spacing w:before="29"/>
              <w:ind w:left="10" w:right="3"/>
              <w:jc w:val="center"/>
              <w:rPr>
                <w:sz w:val="21"/>
              </w:rPr>
            </w:pPr>
            <w:r>
              <w:rPr>
                <w:spacing w:val="-2"/>
                <w:sz w:val="21"/>
              </w:rPr>
              <w:t>$41.40</w:t>
            </w:r>
          </w:p>
        </w:tc>
      </w:tr>
      <w:tr>
        <w:tblPrEx>
          <w:tblW w:w="0" w:type="auto"/>
          <w:jc w:val="left"/>
          <w:tblInd w:w="514" w:type="dxa"/>
          <w:tblLayout w:type="fixed"/>
          <w:tblCellMar>
            <w:top w:w="0" w:type="dxa"/>
            <w:left w:w="0" w:type="dxa"/>
            <w:bottom w:w="0" w:type="dxa"/>
            <w:right w:w="0" w:type="dxa"/>
          </w:tblCellMar>
          <w:tblLook w:val="01E0"/>
        </w:tblPrEx>
        <w:trPr>
          <w:trHeight w:val="314"/>
          <w:jc w:val="left"/>
        </w:trPr>
        <w:tc>
          <w:tcPr>
            <w:tcW w:w="3056" w:type="dxa"/>
            <w:tcBorders>
              <w:top w:val="nil"/>
              <w:bottom w:val="nil"/>
            </w:tcBorders>
          </w:tcPr>
          <w:p>
            <w:pPr>
              <w:pStyle w:val="TableParagraph"/>
              <w:spacing w:before="40"/>
              <w:ind w:left="107"/>
              <w:rPr>
                <w:b/>
                <w:sz w:val="21"/>
              </w:rPr>
            </w:pPr>
            <w:r>
              <w:rPr>
                <w:b/>
                <w:sz w:val="21"/>
              </w:rPr>
              <w:t>Rebates</w:t>
            </w:r>
            <w:r>
              <w:rPr>
                <w:b/>
                <w:spacing w:val="-5"/>
                <w:sz w:val="21"/>
              </w:rPr>
              <w:t xml:space="preserve"> </w:t>
            </w:r>
            <w:r>
              <w:rPr>
                <w:b/>
                <w:sz w:val="21"/>
              </w:rPr>
              <w:t>for</w:t>
            </w:r>
            <w:r>
              <w:rPr>
                <w:b/>
                <w:spacing w:val="-6"/>
                <w:sz w:val="21"/>
              </w:rPr>
              <w:t xml:space="preserve"> </w:t>
            </w:r>
            <w:r>
              <w:rPr>
                <w:b/>
                <w:spacing w:val="-2"/>
                <w:sz w:val="21"/>
              </w:rPr>
              <w:t>Allocation</w:t>
            </w:r>
          </w:p>
        </w:tc>
        <w:tc>
          <w:tcPr>
            <w:tcW w:w="1711" w:type="dxa"/>
            <w:tcBorders>
              <w:top w:val="nil"/>
              <w:bottom w:val="nil"/>
            </w:tcBorders>
          </w:tcPr>
          <w:p>
            <w:pPr>
              <w:pStyle w:val="TableParagraph"/>
              <w:spacing w:before="40"/>
              <w:ind w:left="10" w:right="5"/>
              <w:jc w:val="center"/>
              <w:rPr>
                <w:sz w:val="21"/>
              </w:rPr>
            </w:pPr>
            <w:r>
              <w:rPr>
                <w:spacing w:val="-5"/>
                <w:sz w:val="21"/>
              </w:rPr>
              <w:t>N/A</w:t>
            </w:r>
          </w:p>
        </w:tc>
        <w:tc>
          <w:tcPr>
            <w:tcW w:w="1349" w:type="dxa"/>
            <w:tcBorders>
              <w:top w:val="nil"/>
              <w:bottom w:val="nil"/>
            </w:tcBorders>
          </w:tcPr>
          <w:p>
            <w:pPr>
              <w:pStyle w:val="TableParagraph"/>
              <w:spacing w:before="40"/>
              <w:ind w:left="7" w:right="2"/>
              <w:jc w:val="center"/>
              <w:rPr>
                <w:sz w:val="21"/>
              </w:rPr>
            </w:pPr>
            <w:r>
              <w:rPr>
                <w:spacing w:val="-2"/>
                <w:sz w:val="21"/>
              </w:rPr>
              <w:t>$7.20</w:t>
            </w:r>
          </w:p>
        </w:tc>
        <w:tc>
          <w:tcPr>
            <w:tcW w:w="991" w:type="dxa"/>
            <w:tcBorders>
              <w:top w:val="nil"/>
              <w:bottom w:val="nil"/>
            </w:tcBorders>
          </w:tcPr>
          <w:p>
            <w:pPr>
              <w:pStyle w:val="TableParagraph"/>
              <w:spacing w:before="40"/>
              <w:ind w:left="19" w:right="12"/>
              <w:jc w:val="center"/>
              <w:rPr>
                <w:sz w:val="21"/>
              </w:rPr>
            </w:pPr>
            <w:r>
              <w:rPr>
                <w:spacing w:val="-2"/>
                <w:sz w:val="21"/>
              </w:rPr>
              <w:t>$7.20</w:t>
            </w:r>
          </w:p>
        </w:tc>
        <w:tc>
          <w:tcPr>
            <w:tcW w:w="1080" w:type="dxa"/>
            <w:tcBorders>
              <w:top w:val="nil"/>
              <w:bottom w:val="nil"/>
            </w:tcBorders>
          </w:tcPr>
          <w:p>
            <w:pPr>
              <w:pStyle w:val="TableParagraph"/>
              <w:spacing w:before="40"/>
              <w:ind w:left="7" w:right="1"/>
              <w:jc w:val="center"/>
              <w:rPr>
                <w:sz w:val="21"/>
              </w:rPr>
            </w:pPr>
            <w:r>
              <w:rPr>
                <w:spacing w:val="-2"/>
                <w:sz w:val="21"/>
              </w:rPr>
              <w:t>$6.80</w:t>
            </w:r>
          </w:p>
        </w:tc>
        <w:tc>
          <w:tcPr>
            <w:tcW w:w="1439" w:type="dxa"/>
            <w:tcBorders>
              <w:top w:val="nil"/>
              <w:bottom w:val="nil"/>
            </w:tcBorders>
          </w:tcPr>
          <w:p>
            <w:pPr>
              <w:pStyle w:val="TableParagraph"/>
              <w:spacing w:before="40"/>
              <w:ind w:left="10" w:right="3"/>
              <w:jc w:val="center"/>
              <w:rPr>
                <w:sz w:val="21"/>
              </w:rPr>
            </w:pPr>
            <w:r>
              <w:rPr>
                <w:spacing w:val="-2"/>
                <w:sz w:val="21"/>
              </w:rPr>
              <w:t>$7.20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56" w:type="dxa"/>
            <w:tcBorders>
              <w:top w:val="nil"/>
              <w:bottom w:val="nil"/>
            </w:tcBorders>
          </w:tcPr>
          <w:p>
            <w:pPr>
              <w:pStyle w:val="TableParagraph"/>
              <w:spacing w:before="25"/>
              <w:ind w:left="107"/>
              <w:rPr>
                <w:b/>
                <w:sz w:val="21"/>
              </w:rPr>
            </w:pPr>
            <w:r>
              <w:rPr>
                <w:b/>
                <w:sz w:val="21"/>
              </w:rPr>
              <w:t>Change</w:t>
            </w:r>
            <w:r>
              <w:rPr>
                <w:b/>
                <w:spacing w:val="-3"/>
                <w:sz w:val="21"/>
              </w:rPr>
              <w:t xml:space="preserve"> </w:t>
            </w:r>
            <w:r>
              <w:rPr>
                <w:b/>
                <w:sz w:val="21"/>
              </w:rPr>
              <w:t>in</w:t>
            </w:r>
            <w:r>
              <w:rPr>
                <w:b/>
                <w:spacing w:val="-5"/>
                <w:sz w:val="21"/>
              </w:rPr>
              <w:t xml:space="preserve"> </w:t>
            </w:r>
            <w:r>
              <w:rPr>
                <w:b/>
                <w:sz w:val="21"/>
              </w:rPr>
              <w:t>MSB</w:t>
            </w:r>
            <w:r>
              <w:rPr>
                <w:b/>
                <w:spacing w:val="-4"/>
                <w:sz w:val="21"/>
              </w:rPr>
              <w:t xml:space="preserve"> </w:t>
            </w:r>
            <w:r>
              <w:rPr>
                <w:b/>
                <w:sz w:val="21"/>
              </w:rPr>
              <w:t>Rev</w:t>
            </w:r>
            <w:r>
              <w:rPr>
                <w:b/>
                <w:spacing w:val="-5"/>
                <w:sz w:val="21"/>
              </w:rPr>
              <w:t xml:space="preserve"> Req</w:t>
            </w:r>
          </w:p>
        </w:tc>
        <w:tc>
          <w:tcPr>
            <w:tcW w:w="1711" w:type="dxa"/>
            <w:tcBorders>
              <w:top w:val="nil"/>
              <w:bottom w:val="nil"/>
            </w:tcBorders>
          </w:tcPr>
          <w:p>
            <w:pPr>
              <w:pStyle w:val="TableParagraph"/>
              <w:spacing w:before="25"/>
              <w:ind w:left="10" w:right="5"/>
              <w:jc w:val="center"/>
              <w:rPr>
                <w:sz w:val="21"/>
              </w:rPr>
            </w:pPr>
            <w:r>
              <w:rPr>
                <w:spacing w:val="-5"/>
                <w:sz w:val="21"/>
              </w:rPr>
              <w:t>N/A</w:t>
            </w:r>
          </w:p>
        </w:tc>
        <w:tc>
          <w:tcPr>
            <w:tcW w:w="1349" w:type="dxa"/>
            <w:tcBorders>
              <w:top w:val="nil"/>
              <w:bottom w:val="nil"/>
            </w:tcBorders>
          </w:tcPr>
          <w:p>
            <w:pPr>
              <w:pStyle w:val="TableParagraph"/>
              <w:spacing w:before="25"/>
              <w:ind w:left="7" w:right="4"/>
              <w:jc w:val="center"/>
              <w:rPr>
                <w:sz w:val="21"/>
              </w:rPr>
            </w:pPr>
            <w:r>
              <w:rPr>
                <w:spacing w:val="-5"/>
                <w:sz w:val="21"/>
              </w:rPr>
              <w:t>N/A</w:t>
            </w:r>
          </w:p>
        </w:tc>
        <w:tc>
          <w:tcPr>
            <w:tcW w:w="991" w:type="dxa"/>
            <w:tcBorders>
              <w:top w:val="nil"/>
              <w:bottom w:val="nil"/>
            </w:tcBorders>
          </w:tcPr>
          <w:p>
            <w:pPr>
              <w:pStyle w:val="TableParagraph"/>
              <w:spacing w:before="25"/>
              <w:ind w:left="19" w:right="12"/>
              <w:jc w:val="center"/>
              <w:rPr>
                <w:sz w:val="21"/>
              </w:rPr>
            </w:pPr>
            <w:r>
              <w:rPr>
                <w:spacing w:val="-2"/>
                <w:sz w:val="21"/>
              </w:rPr>
              <w:t>$7.20</w:t>
            </w:r>
          </w:p>
        </w:tc>
        <w:tc>
          <w:tcPr>
            <w:tcW w:w="1080" w:type="dxa"/>
            <w:tcBorders>
              <w:top w:val="nil"/>
              <w:bottom w:val="nil"/>
            </w:tcBorders>
          </w:tcPr>
          <w:p>
            <w:pPr>
              <w:pStyle w:val="TableParagraph"/>
              <w:spacing w:before="25"/>
              <w:ind w:left="7" w:right="1"/>
              <w:jc w:val="center"/>
              <w:rPr>
                <w:sz w:val="21"/>
              </w:rPr>
            </w:pPr>
            <w:r>
              <w:rPr>
                <w:spacing w:val="-2"/>
                <w:sz w:val="21"/>
              </w:rPr>
              <w:t>$6.80</w:t>
            </w:r>
          </w:p>
        </w:tc>
        <w:tc>
          <w:tcPr>
            <w:tcW w:w="1439" w:type="dxa"/>
            <w:tcBorders>
              <w:top w:val="nil"/>
              <w:bottom w:val="nil"/>
            </w:tcBorders>
          </w:tcPr>
          <w:p>
            <w:pPr>
              <w:pStyle w:val="TableParagraph"/>
              <w:spacing w:before="25"/>
              <w:ind w:left="10" w:right="3"/>
              <w:jc w:val="center"/>
              <w:rPr>
                <w:sz w:val="21"/>
              </w:rPr>
            </w:pPr>
            <w:r>
              <w:rPr>
                <w:spacing w:val="-2"/>
                <w:sz w:val="21"/>
              </w:rPr>
              <w:t>$8.40</w:t>
            </w:r>
          </w:p>
        </w:tc>
      </w:tr>
      <w:tr>
        <w:tblPrEx>
          <w:tblW w:w="0" w:type="auto"/>
          <w:jc w:val="left"/>
          <w:tblInd w:w="514" w:type="dxa"/>
          <w:tblLayout w:type="fixed"/>
          <w:tblCellMar>
            <w:top w:w="0" w:type="dxa"/>
            <w:left w:w="0" w:type="dxa"/>
            <w:bottom w:w="0" w:type="dxa"/>
            <w:right w:w="0" w:type="dxa"/>
          </w:tblCellMar>
          <w:tblLook w:val="01E0"/>
        </w:tblPrEx>
        <w:trPr>
          <w:trHeight w:val="449"/>
          <w:jc w:val="left"/>
        </w:trPr>
        <w:tc>
          <w:tcPr>
            <w:tcW w:w="3056" w:type="dxa"/>
            <w:tcBorders>
              <w:top w:val="nil"/>
              <w:bottom w:val="nil"/>
            </w:tcBorders>
          </w:tcPr>
          <w:p>
            <w:pPr>
              <w:pStyle w:val="TableParagraph"/>
              <w:spacing w:before="175"/>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711" w:type="dxa"/>
            <w:tcBorders>
              <w:top w:val="nil"/>
              <w:bottom w:val="nil"/>
            </w:tcBorders>
          </w:tcPr>
          <w:p>
            <w:pPr>
              <w:pStyle w:val="TableParagraph"/>
              <w:spacing w:before="175"/>
              <w:ind w:left="10" w:right="1"/>
              <w:jc w:val="center"/>
              <w:rPr>
                <w:sz w:val="21"/>
              </w:rPr>
            </w:pPr>
            <w:r>
              <w:rPr>
                <w:spacing w:val="-2"/>
                <w:sz w:val="21"/>
              </w:rPr>
              <w:t>$155.70</w:t>
            </w:r>
          </w:p>
        </w:tc>
        <w:tc>
          <w:tcPr>
            <w:tcW w:w="1349" w:type="dxa"/>
            <w:tcBorders>
              <w:top w:val="nil"/>
              <w:bottom w:val="nil"/>
            </w:tcBorders>
          </w:tcPr>
          <w:p>
            <w:pPr>
              <w:pStyle w:val="TableParagraph"/>
              <w:spacing w:before="175"/>
              <w:ind w:left="7"/>
              <w:jc w:val="center"/>
              <w:rPr>
                <w:sz w:val="21"/>
              </w:rPr>
            </w:pPr>
            <w:r>
              <w:rPr>
                <w:spacing w:val="-2"/>
                <w:sz w:val="21"/>
              </w:rPr>
              <w:t>$155.70</w:t>
            </w:r>
          </w:p>
        </w:tc>
        <w:tc>
          <w:tcPr>
            <w:tcW w:w="991" w:type="dxa"/>
            <w:tcBorders>
              <w:top w:val="nil"/>
              <w:bottom w:val="nil"/>
            </w:tcBorders>
          </w:tcPr>
          <w:p>
            <w:pPr>
              <w:pStyle w:val="TableParagraph"/>
              <w:spacing w:before="175"/>
              <w:ind w:left="19" w:right="9"/>
              <w:jc w:val="center"/>
              <w:rPr>
                <w:b/>
                <w:i/>
                <w:sz w:val="21"/>
              </w:rPr>
            </w:pPr>
            <w:r>
              <w:rPr>
                <w:b/>
                <w:i/>
                <w:spacing w:val="-2"/>
                <w:sz w:val="21"/>
              </w:rPr>
              <w:t>$162.90</w:t>
            </w:r>
          </w:p>
        </w:tc>
        <w:tc>
          <w:tcPr>
            <w:tcW w:w="1080" w:type="dxa"/>
            <w:tcBorders>
              <w:top w:val="nil"/>
              <w:bottom w:val="nil"/>
            </w:tcBorders>
          </w:tcPr>
          <w:p>
            <w:pPr>
              <w:pStyle w:val="TableParagraph"/>
              <w:spacing w:before="175"/>
              <w:ind w:left="7"/>
              <w:jc w:val="center"/>
              <w:rPr>
                <w:b/>
                <w:i/>
                <w:sz w:val="21"/>
              </w:rPr>
            </w:pPr>
            <w:r>
              <w:rPr>
                <w:b/>
                <w:i/>
                <w:spacing w:val="-2"/>
                <w:sz w:val="21"/>
              </w:rPr>
              <w:t>$162.50</w:t>
            </w:r>
          </w:p>
        </w:tc>
        <w:tc>
          <w:tcPr>
            <w:tcW w:w="1439" w:type="dxa"/>
            <w:tcBorders>
              <w:top w:val="nil"/>
              <w:bottom w:val="nil"/>
            </w:tcBorders>
          </w:tcPr>
          <w:p>
            <w:pPr>
              <w:pStyle w:val="TableParagraph"/>
              <w:spacing w:before="175"/>
              <w:ind w:left="10"/>
              <w:jc w:val="center"/>
              <w:rPr>
                <w:b/>
                <w:i/>
                <w:sz w:val="21"/>
              </w:rPr>
            </w:pPr>
            <w:r>
              <w:rPr>
                <w:b/>
                <w:i/>
                <w:spacing w:val="-2"/>
                <w:sz w:val="21"/>
              </w:rPr>
              <w:t>$164.10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56" w:type="dxa"/>
            <w:tcBorders>
              <w:top w:val="nil"/>
              <w:bottom w:val="nil"/>
            </w:tcBorders>
          </w:tcPr>
          <w:p>
            <w:pPr>
              <w:pStyle w:val="TableParagraph"/>
              <w:spacing w:before="25"/>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711" w:type="dxa"/>
            <w:tcBorders>
              <w:top w:val="nil"/>
              <w:bottom w:val="nil"/>
            </w:tcBorders>
          </w:tcPr>
          <w:p>
            <w:pPr>
              <w:pStyle w:val="TableParagraph"/>
              <w:spacing w:before="25"/>
              <w:ind w:left="10" w:right="1"/>
              <w:jc w:val="center"/>
              <w:rPr>
                <w:sz w:val="21"/>
              </w:rPr>
            </w:pPr>
            <w:r>
              <w:rPr>
                <w:spacing w:val="-2"/>
                <w:sz w:val="21"/>
              </w:rPr>
              <w:t>$155.70</w:t>
            </w:r>
          </w:p>
        </w:tc>
        <w:tc>
          <w:tcPr>
            <w:tcW w:w="1349" w:type="dxa"/>
            <w:tcBorders>
              <w:top w:val="nil"/>
              <w:bottom w:val="nil"/>
            </w:tcBorders>
          </w:tcPr>
          <w:p>
            <w:pPr>
              <w:pStyle w:val="TableParagraph"/>
              <w:spacing w:before="25"/>
              <w:ind w:left="7"/>
              <w:jc w:val="center"/>
              <w:rPr>
                <w:sz w:val="21"/>
              </w:rPr>
            </w:pPr>
            <w:r>
              <w:rPr>
                <w:spacing w:val="-2"/>
                <w:sz w:val="21"/>
              </w:rPr>
              <w:t>$155.70</w:t>
            </w:r>
          </w:p>
        </w:tc>
        <w:tc>
          <w:tcPr>
            <w:tcW w:w="991" w:type="dxa"/>
            <w:tcBorders>
              <w:top w:val="nil"/>
              <w:bottom w:val="nil"/>
            </w:tcBorders>
          </w:tcPr>
          <w:p>
            <w:pPr>
              <w:pStyle w:val="TableParagraph"/>
              <w:spacing w:before="25"/>
              <w:ind w:left="19" w:right="9"/>
              <w:jc w:val="center"/>
              <w:rPr>
                <w:b/>
                <w:i/>
                <w:sz w:val="21"/>
              </w:rPr>
            </w:pPr>
            <w:r>
              <w:rPr>
                <w:b/>
                <w:i/>
                <w:spacing w:val="-2"/>
                <w:sz w:val="21"/>
              </w:rPr>
              <w:t>$162.90</w:t>
            </w:r>
          </w:p>
        </w:tc>
        <w:tc>
          <w:tcPr>
            <w:tcW w:w="1080" w:type="dxa"/>
            <w:tcBorders>
              <w:top w:val="nil"/>
              <w:bottom w:val="nil"/>
            </w:tcBorders>
          </w:tcPr>
          <w:p>
            <w:pPr>
              <w:pStyle w:val="TableParagraph"/>
              <w:spacing w:before="25"/>
              <w:ind w:left="7"/>
              <w:jc w:val="center"/>
              <w:rPr>
                <w:b/>
                <w:i/>
                <w:sz w:val="21"/>
              </w:rPr>
            </w:pPr>
            <w:r>
              <w:rPr>
                <w:b/>
                <w:i/>
                <w:spacing w:val="-2"/>
                <w:sz w:val="21"/>
              </w:rPr>
              <w:t>$162.50</w:t>
            </w:r>
          </w:p>
        </w:tc>
        <w:tc>
          <w:tcPr>
            <w:tcW w:w="1439" w:type="dxa"/>
            <w:tcBorders>
              <w:top w:val="nil"/>
              <w:bottom w:val="nil"/>
            </w:tcBorders>
          </w:tcPr>
          <w:p>
            <w:pPr>
              <w:pStyle w:val="TableParagraph"/>
              <w:spacing w:before="25"/>
              <w:ind w:left="10"/>
              <w:jc w:val="center"/>
              <w:rPr>
                <w:b/>
                <w:i/>
                <w:sz w:val="21"/>
              </w:rPr>
            </w:pPr>
            <w:r>
              <w:rPr>
                <w:b/>
                <w:i/>
                <w:spacing w:val="-2"/>
                <w:sz w:val="21"/>
              </w:rPr>
              <w:t>$164.10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56" w:type="dxa"/>
            <w:tcBorders>
              <w:top w:val="nil"/>
              <w:bottom w:val="nil"/>
            </w:tcBorders>
          </w:tcPr>
          <w:p>
            <w:pPr>
              <w:pStyle w:val="TableParagraph"/>
              <w:spacing w:before="25"/>
              <w:ind w:left="107"/>
              <w:rPr>
                <w:b/>
                <w:sz w:val="21"/>
              </w:rPr>
            </w:pPr>
            <w:r>
              <w:rPr>
                <w:b/>
                <w:sz w:val="21"/>
              </w:rPr>
              <w:t>MA</w:t>
            </w:r>
            <w:r>
              <w:rPr>
                <w:b/>
                <w:spacing w:val="-5"/>
                <w:sz w:val="21"/>
              </w:rPr>
              <w:t xml:space="preserve"> </w:t>
            </w:r>
            <w:r>
              <w:rPr>
                <w:b/>
                <w:spacing w:val="-2"/>
                <w:sz w:val="21"/>
              </w:rPr>
              <w:t>Premium</w:t>
            </w:r>
          </w:p>
        </w:tc>
        <w:tc>
          <w:tcPr>
            <w:tcW w:w="1711" w:type="dxa"/>
            <w:tcBorders>
              <w:top w:val="nil"/>
              <w:bottom w:val="nil"/>
            </w:tcBorders>
          </w:tcPr>
          <w:p>
            <w:pPr>
              <w:pStyle w:val="TableParagraph"/>
              <w:spacing w:before="25"/>
              <w:ind w:left="10" w:right="4"/>
              <w:jc w:val="center"/>
              <w:rPr>
                <w:sz w:val="21"/>
              </w:rPr>
            </w:pPr>
            <w:r>
              <w:rPr>
                <w:spacing w:val="-2"/>
                <w:sz w:val="21"/>
              </w:rPr>
              <w:t>$0.00</w:t>
            </w:r>
          </w:p>
        </w:tc>
        <w:tc>
          <w:tcPr>
            <w:tcW w:w="1349" w:type="dxa"/>
            <w:tcBorders>
              <w:top w:val="nil"/>
              <w:bottom w:val="nil"/>
            </w:tcBorders>
          </w:tcPr>
          <w:p>
            <w:pPr>
              <w:pStyle w:val="TableParagraph"/>
              <w:spacing w:before="25"/>
              <w:ind w:left="7" w:right="2"/>
              <w:jc w:val="center"/>
              <w:rPr>
                <w:sz w:val="21"/>
              </w:rPr>
            </w:pPr>
            <w:r>
              <w:rPr>
                <w:spacing w:val="-2"/>
                <w:sz w:val="21"/>
              </w:rPr>
              <w:t>$0.00</w:t>
            </w:r>
          </w:p>
        </w:tc>
        <w:tc>
          <w:tcPr>
            <w:tcW w:w="991" w:type="dxa"/>
            <w:tcBorders>
              <w:top w:val="nil"/>
              <w:bottom w:val="nil"/>
            </w:tcBorders>
          </w:tcPr>
          <w:p>
            <w:pPr>
              <w:pStyle w:val="TableParagraph"/>
              <w:spacing w:before="25"/>
              <w:ind w:left="19" w:right="12"/>
              <w:jc w:val="center"/>
              <w:rPr>
                <w:sz w:val="21"/>
              </w:rPr>
            </w:pPr>
            <w:r>
              <w:rPr>
                <w:spacing w:val="-2"/>
                <w:sz w:val="21"/>
              </w:rPr>
              <w:t>$0.00</w:t>
            </w:r>
          </w:p>
        </w:tc>
        <w:tc>
          <w:tcPr>
            <w:tcW w:w="1080" w:type="dxa"/>
            <w:tcBorders>
              <w:top w:val="nil"/>
              <w:bottom w:val="nil"/>
            </w:tcBorders>
          </w:tcPr>
          <w:p>
            <w:pPr>
              <w:pStyle w:val="TableParagraph"/>
              <w:spacing w:before="25"/>
              <w:ind w:left="7" w:right="1"/>
              <w:jc w:val="center"/>
              <w:rPr>
                <w:sz w:val="21"/>
              </w:rPr>
            </w:pPr>
            <w:r>
              <w:rPr>
                <w:spacing w:val="-2"/>
                <w:sz w:val="21"/>
              </w:rPr>
              <w:t>$0.00</w:t>
            </w:r>
          </w:p>
        </w:tc>
        <w:tc>
          <w:tcPr>
            <w:tcW w:w="1439" w:type="dxa"/>
            <w:tcBorders>
              <w:top w:val="nil"/>
              <w:bottom w:val="nil"/>
            </w:tcBorders>
          </w:tcPr>
          <w:p>
            <w:pPr>
              <w:pStyle w:val="TableParagraph"/>
              <w:spacing w:before="25"/>
              <w:ind w:left="10" w:right="3"/>
              <w:jc w:val="center"/>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56" w:type="dxa"/>
            <w:tcBorders>
              <w:top w:val="nil"/>
              <w:bottom w:val="nil"/>
            </w:tcBorders>
          </w:tcPr>
          <w:p>
            <w:pPr>
              <w:pStyle w:val="TableParagraph"/>
              <w:spacing w:before="175"/>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5"/>
                <w:sz w:val="21"/>
              </w:rPr>
              <w:t xml:space="preserve"> </w:t>
            </w:r>
            <w:r>
              <w:rPr>
                <w:spacing w:val="-2"/>
                <w:sz w:val="21"/>
              </w:rPr>
              <w:t>Rebate</w:t>
            </w:r>
          </w:p>
        </w:tc>
        <w:tc>
          <w:tcPr>
            <w:tcW w:w="1711" w:type="dxa"/>
            <w:tcBorders>
              <w:top w:val="nil"/>
              <w:bottom w:val="nil"/>
            </w:tcBorders>
          </w:tcPr>
          <w:p>
            <w:pPr>
              <w:pStyle w:val="TableParagraph"/>
              <w:spacing w:before="175"/>
              <w:ind w:left="10" w:right="4"/>
              <w:jc w:val="center"/>
              <w:rPr>
                <w:sz w:val="21"/>
              </w:rPr>
            </w:pPr>
            <w:r>
              <w:rPr>
                <w:spacing w:val="-2"/>
                <w:sz w:val="21"/>
              </w:rPr>
              <w:t>$73.00</w:t>
            </w:r>
          </w:p>
        </w:tc>
        <w:tc>
          <w:tcPr>
            <w:tcW w:w="1349" w:type="dxa"/>
            <w:tcBorders>
              <w:top w:val="nil"/>
              <w:bottom w:val="nil"/>
            </w:tcBorders>
          </w:tcPr>
          <w:p>
            <w:pPr>
              <w:pStyle w:val="TableParagraph"/>
              <w:spacing w:before="175"/>
              <w:ind w:left="7" w:right="2"/>
              <w:jc w:val="center"/>
              <w:rPr>
                <w:sz w:val="21"/>
              </w:rPr>
            </w:pPr>
            <w:r>
              <w:rPr>
                <w:spacing w:val="-2"/>
                <w:sz w:val="21"/>
              </w:rPr>
              <w:t>$63.80</w:t>
            </w:r>
          </w:p>
        </w:tc>
        <w:tc>
          <w:tcPr>
            <w:tcW w:w="991" w:type="dxa"/>
            <w:tcBorders>
              <w:top w:val="nil"/>
              <w:bottom w:val="nil"/>
            </w:tcBorders>
          </w:tcPr>
          <w:p>
            <w:pPr>
              <w:pStyle w:val="TableParagraph"/>
              <w:spacing w:before="175"/>
              <w:ind w:left="19" w:right="12"/>
              <w:jc w:val="center"/>
              <w:rPr>
                <w:sz w:val="21"/>
              </w:rPr>
            </w:pPr>
            <w:r>
              <w:rPr>
                <w:spacing w:val="-2"/>
                <w:sz w:val="21"/>
              </w:rPr>
              <w:t>$63.80</w:t>
            </w:r>
          </w:p>
        </w:tc>
        <w:tc>
          <w:tcPr>
            <w:tcW w:w="1080" w:type="dxa"/>
            <w:tcBorders>
              <w:top w:val="nil"/>
              <w:bottom w:val="nil"/>
            </w:tcBorders>
          </w:tcPr>
          <w:p>
            <w:pPr>
              <w:pStyle w:val="TableParagraph"/>
              <w:spacing w:before="175"/>
              <w:ind w:left="7" w:right="2"/>
              <w:jc w:val="center"/>
              <w:rPr>
                <w:sz w:val="21"/>
              </w:rPr>
            </w:pPr>
            <w:r>
              <w:rPr>
                <w:spacing w:val="-2"/>
                <w:sz w:val="21"/>
              </w:rPr>
              <w:t>$63.80</w:t>
            </w:r>
          </w:p>
        </w:tc>
        <w:tc>
          <w:tcPr>
            <w:tcW w:w="1439" w:type="dxa"/>
            <w:tcBorders>
              <w:top w:val="nil"/>
              <w:bottom w:val="nil"/>
            </w:tcBorders>
          </w:tcPr>
          <w:p>
            <w:pPr>
              <w:pStyle w:val="TableParagraph"/>
              <w:spacing w:before="175"/>
              <w:ind w:left="10" w:right="3"/>
              <w:jc w:val="center"/>
              <w:rPr>
                <w:sz w:val="21"/>
              </w:rPr>
            </w:pPr>
            <w:r>
              <w:rPr>
                <w:spacing w:val="-2"/>
                <w:sz w:val="21"/>
              </w:rPr>
              <w:t>$63.80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56"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5"/>
                <w:sz w:val="21"/>
              </w:rPr>
              <w:t xml:space="preserve"> </w:t>
            </w:r>
            <w:r>
              <w:rPr>
                <w:spacing w:val="-2"/>
                <w:sz w:val="21"/>
              </w:rPr>
              <w:t>Allocations</w:t>
            </w:r>
          </w:p>
        </w:tc>
        <w:tc>
          <w:tcPr>
            <w:tcW w:w="1711" w:type="dxa"/>
            <w:tcBorders>
              <w:top w:val="nil"/>
              <w:bottom w:val="nil"/>
            </w:tcBorders>
          </w:tcPr>
          <w:p>
            <w:pPr>
              <w:pStyle w:val="TableParagraph"/>
              <w:spacing w:before="25"/>
              <w:ind w:left="10" w:right="4"/>
              <w:jc w:val="center"/>
              <w:rPr>
                <w:sz w:val="21"/>
              </w:rPr>
            </w:pPr>
            <w:r>
              <w:rPr>
                <w:spacing w:val="-2"/>
                <w:sz w:val="21"/>
              </w:rPr>
              <w:t>$29.60</w:t>
            </w:r>
          </w:p>
        </w:tc>
        <w:tc>
          <w:tcPr>
            <w:tcW w:w="1349" w:type="dxa"/>
            <w:tcBorders>
              <w:top w:val="nil"/>
              <w:bottom w:val="nil"/>
            </w:tcBorders>
          </w:tcPr>
          <w:p>
            <w:pPr>
              <w:pStyle w:val="TableParagraph"/>
              <w:spacing w:before="25"/>
              <w:ind w:left="7" w:right="2"/>
              <w:jc w:val="center"/>
              <w:rPr>
                <w:sz w:val="21"/>
              </w:rPr>
            </w:pPr>
            <w:r>
              <w:rPr>
                <w:spacing w:val="-2"/>
                <w:sz w:val="21"/>
              </w:rPr>
              <w:t>$29.60</w:t>
            </w:r>
          </w:p>
        </w:tc>
        <w:tc>
          <w:tcPr>
            <w:tcW w:w="991" w:type="dxa"/>
            <w:tcBorders>
              <w:top w:val="nil"/>
              <w:bottom w:val="nil"/>
            </w:tcBorders>
          </w:tcPr>
          <w:p>
            <w:pPr>
              <w:pStyle w:val="TableParagraph"/>
              <w:spacing w:before="25"/>
              <w:ind w:left="19" w:right="12"/>
              <w:jc w:val="center"/>
              <w:rPr>
                <w:b/>
                <w:i/>
                <w:sz w:val="21"/>
              </w:rPr>
            </w:pPr>
            <w:r>
              <w:rPr>
                <w:b/>
                <w:i/>
                <w:spacing w:val="-2"/>
                <w:sz w:val="21"/>
              </w:rPr>
              <w:t>$22.40</w:t>
            </w:r>
          </w:p>
        </w:tc>
        <w:tc>
          <w:tcPr>
            <w:tcW w:w="1080" w:type="dxa"/>
            <w:tcBorders>
              <w:top w:val="nil"/>
              <w:bottom w:val="nil"/>
            </w:tcBorders>
          </w:tcPr>
          <w:p>
            <w:pPr>
              <w:pStyle w:val="TableParagraph"/>
              <w:spacing w:before="25"/>
              <w:ind w:left="7" w:right="2"/>
              <w:jc w:val="center"/>
              <w:rPr>
                <w:b/>
                <w:i/>
                <w:sz w:val="21"/>
              </w:rPr>
            </w:pPr>
            <w:r>
              <w:rPr>
                <w:b/>
                <w:i/>
                <w:spacing w:val="-2"/>
                <w:sz w:val="21"/>
              </w:rPr>
              <w:t>$22.80</w:t>
            </w:r>
          </w:p>
        </w:tc>
        <w:tc>
          <w:tcPr>
            <w:tcW w:w="1439" w:type="dxa"/>
            <w:tcBorders>
              <w:top w:val="nil"/>
              <w:bottom w:val="nil"/>
            </w:tcBorders>
          </w:tcPr>
          <w:p>
            <w:pPr>
              <w:pStyle w:val="TableParagraph"/>
              <w:spacing w:before="25"/>
              <w:ind w:left="10" w:right="3"/>
              <w:jc w:val="center"/>
              <w:rPr>
                <w:b/>
                <w:i/>
                <w:sz w:val="21"/>
              </w:rPr>
            </w:pPr>
            <w:r>
              <w:rPr>
                <w:b/>
                <w:i/>
                <w:spacing w:val="-2"/>
                <w:sz w:val="21"/>
              </w:rPr>
              <w:t>$22.40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56"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711" w:type="dxa"/>
            <w:tcBorders>
              <w:top w:val="nil"/>
              <w:bottom w:val="nil"/>
            </w:tcBorders>
          </w:tcPr>
          <w:p>
            <w:pPr>
              <w:pStyle w:val="TableParagraph"/>
              <w:spacing w:before="25"/>
              <w:ind w:left="10" w:right="4"/>
              <w:jc w:val="center"/>
              <w:rPr>
                <w:sz w:val="21"/>
              </w:rPr>
            </w:pPr>
            <w:r>
              <w:rPr>
                <w:spacing w:val="-2"/>
                <w:sz w:val="21"/>
              </w:rPr>
              <w:t>$43.40</w:t>
            </w:r>
          </w:p>
        </w:tc>
        <w:tc>
          <w:tcPr>
            <w:tcW w:w="1349" w:type="dxa"/>
            <w:tcBorders>
              <w:top w:val="nil"/>
              <w:bottom w:val="nil"/>
            </w:tcBorders>
          </w:tcPr>
          <w:p>
            <w:pPr>
              <w:pStyle w:val="TableParagraph"/>
              <w:spacing w:before="25"/>
              <w:ind w:left="7" w:right="2"/>
              <w:jc w:val="center"/>
              <w:rPr>
                <w:sz w:val="21"/>
              </w:rPr>
            </w:pPr>
            <w:r>
              <w:rPr>
                <w:spacing w:val="-2"/>
                <w:sz w:val="21"/>
              </w:rPr>
              <w:t>$34.20</w:t>
            </w:r>
          </w:p>
        </w:tc>
        <w:tc>
          <w:tcPr>
            <w:tcW w:w="991" w:type="dxa"/>
            <w:tcBorders>
              <w:top w:val="nil"/>
              <w:bottom w:val="nil"/>
            </w:tcBorders>
          </w:tcPr>
          <w:p>
            <w:pPr>
              <w:pStyle w:val="TableParagraph"/>
              <w:spacing w:before="25"/>
              <w:ind w:left="19" w:right="12"/>
              <w:jc w:val="center"/>
              <w:rPr>
                <w:sz w:val="21"/>
              </w:rPr>
            </w:pPr>
            <w:r>
              <w:rPr>
                <w:spacing w:val="-2"/>
                <w:sz w:val="21"/>
              </w:rPr>
              <w:t>$41.40</w:t>
            </w:r>
          </w:p>
        </w:tc>
        <w:tc>
          <w:tcPr>
            <w:tcW w:w="1080" w:type="dxa"/>
            <w:tcBorders>
              <w:top w:val="nil"/>
              <w:bottom w:val="nil"/>
            </w:tcBorders>
          </w:tcPr>
          <w:p>
            <w:pPr>
              <w:pStyle w:val="TableParagraph"/>
              <w:spacing w:before="25"/>
              <w:ind w:left="7" w:right="2"/>
              <w:jc w:val="center"/>
              <w:rPr>
                <w:sz w:val="21"/>
              </w:rPr>
            </w:pPr>
            <w:r>
              <w:rPr>
                <w:spacing w:val="-2"/>
                <w:sz w:val="21"/>
              </w:rPr>
              <w:t>$41.00</w:t>
            </w:r>
          </w:p>
        </w:tc>
        <w:tc>
          <w:tcPr>
            <w:tcW w:w="1439" w:type="dxa"/>
            <w:tcBorders>
              <w:top w:val="nil"/>
              <w:bottom w:val="nil"/>
            </w:tcBorders>
          </w:tcPr>
          <w:p>
            <w:pPr>
              <w:pStyle w:val="TableParagraph"/>
              <w:spacing w:before="25"/>
              <w:ind w:left="10" w:right="3"/>
              <w:jc w:val="center"/>
              <w:rPr>
                <w:sz w:val="21"/>
              </w:rPr>
            </w:pPr>
            <w:r>
              <w:rPr>
                <w:spacing w:val="-2"/>
                <w:sz w:val="21"/>
              </w:rPr>
              <w:t>$41.40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56"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711" w:type="dxa"/>
            <w:tcBorders>
              <w:top w:val="nil"/>
              <w:bottom w:val="nil"/>
            </w:tcBorders>
          </w:tcPr>
          <w:p>
            <w:pPr>
              <w:pStyle w:val="TableParagraph"/>
              <w:spacing w:before="175"/>
              <w:ind w:left="10" w:right="4"/>
              <w:jc w:val="center"/>
              <w:rPr>
                <w:sz w:val="21"/>
              </w:rPr>
            </w:pPr>
            <w:r>
              <w:rPr>
                <w:spacing w:val="-2"/>
                <w:sz w:val="21"/>
              </w:rPr>
              <w:t>$13.20</w:t>
            </w:r>
          </w:p>
        </w:tc>
        <w:tc>
          <w:tcPr>
            <w:tcW w:w="1349" w:type="dxa"/>
            <w:tcBorders>
              <w:top w:val="nil"/>
              <w:bottom w:val="nil"/>
            </w:tcBorders>
          </w:tcPr>
          <w:p>
            <w:pPr>
              <w:pStyle w:val="TableParagraph"/>
              <w:spacing w:before="175"/>
              <w:ind w:left="7" w:right="2"/>
              <w:jc w:val="center"/>
              <w:rPr>
                <w:sz w:val="21"/>
              </w:rPr>
            </w:pPr>
            <w:r>
              <w:rPr>
                <w:spacing w:val="-2"/>
                <w:sz w:val="21"/>
              </w:rPr>
              <w:t>$13.20</w:t>
            </w:r>
          </w:p>
        </w:tc>
        <w:tc>
          <w:tcPr>
            <w:tcW w:w="991" w:type="dxa"/>
            <w:tcBorders>
              <w:top w:val="nil"/>
              <w:bottom w:val="nil"/>
            </w:tcBorders>
          </w:tcPr>
          <w:p>
            <w:pPr>
              <w:pStyle w:val="TableParagraph"/>
              <w:spacing w:before="175"/>
              <w:ind w:left="19" w:right="12"/>
              <w:jc w:val="center"/>
              <w:rPr>
                <w:sz w:val="21"/>
              </w:rPr>
            </w:pPr>
            <w:r>
              <w:rPr>
                <w:spacing w:val="-2"/>
                <w:sz w:val="21"/>
              </w:rPr>
              <w:t>$13.20</w:t>
            </w:r>
          </w:p>
        </w:tc>
        <w:tc>
          <w:tcPr>
            <w:tcW w:w="1080" w:type="dxa"/>
            <w:tcBorders>
              <w:top w:val="nil"/>
              <w:bottom w:val="nil"/>
            </w:tcBorders>
          </w:tcPr>
          <w:p>
            <w:pPr>
              <w:pStyle w:val="TableParagraph"/>
              <w:spacing w:before="175"/>
              <w:ind w:left="7" w:right="2"/>
              <w:jc w:val="center"/>
              <w:rPr>
                <w:sz w:val="21"/>
              </w:rPr>
            </w:pPr>
            <w:r>
              <w:rPr>
                <w:spacing w:val="-2"/>
                <w:sz w:val="21"/>
              </w:rPr>
              <w:t>$13.20</w:t>
            </w:r>
          </w:p>
        </w:tc>
        <w:tc>
          <w:tcPr>
            <w:tcW w:w="1439" w:type="dxa"/>
            <w:tcBorders>
              <w:top w:val="nil"/>
              <w:bottom w:val="nil"/>
            </w:tcBorders>
          </w:tcPr>
          <w:p>
            <w:pPr>
              <w:pStyle w:val="TableParagraph"/>
              <w:spacing w:before="175"/>
              <w:ind w:left="10" w:right="3"/>
              <w:jc w:val="center"/>
              <w:rPr>
                <w:sz w:val="21"/>
              </w:rPr>
            </w:pPr>
            <w:r>
              <w:rPr>
                <w:spacing w:val="-2"/>
                <w:sz w:val="21"/>
              </w:rPr>
              <w:t>$13.20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56"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711" w:type="dxa"/>
            <w:tcBorders>
              <w:top w:val="nil"/>
              <w:bottom w:val="nil"/>
            </w:tcBorders>
          </w:tcPr>
          <w:p>
            <w:pPr>
              <w:pStyle w:val="TableParagraph"/>
              <w:spacing w:before="25"/>
              <w:ind w:left="10" w:right="4"/>
              <w:jc w:val="center"/>
              <w:rPr>
                <w:sz w:val="21"/>
              </w:rPr>
            </w:pPr>
            <w:r>
              <w:rPr>
                <w:spacing w:val="-2"/>
                <w:sz w:val="21"/>
              </w:rPr>
              <w:t>$13.20</w:t>
            </w:r>
          </w:p>
        </w:tc>
        <w:tc>
          <w:tcPr>
            <w:tcW w:w="1349" w:type="dxa"/>
            <w:tcBorders>
              <w:top w:val="nil"/>
              <w:bottom w:val="nil"/>
            </w:tcBorders>
          </w:tcPr>
          <w:p>
            <w:pPr>
              <w:pStyle w:val="TableParagraph"/>
              <w:spacing w:before="25"/>
              <w:ind w:left="7" w:right="2"/>
              <w:jc w:val="center"/>
              <w:rPr>
                <w:sz w:val="21"/>
              </w:rPr>
            </w:pPr>
            <w:r>
              <w:rPr>
                <w:spacing w:val="-2"/>
                <w:sz w:val="21"/>
              </w:rPr>
              <w:t>$13.20</w:t>
            </w:r>
          </w:p>
        </w:tc>
        <w:tc>
          <w:tcPr>
            <w:tcW w:w="991" w:type="dxa"/>
            <w:tcBorders>
              <w:top w:val="nil"/>
              <w:bottom w:val="nil"/>
            </w:tcBorders>
          </w:tcPr>
          <w:p>
            <w:pPr>
              <w:pStyle w:val="TableParagraph"/>
              <w:spacing w:before="25"/>
              <w:ind w:left="19" w:right="12"/>
              <w:jc w:val="center"/>
              <w:rPr>
                <w:sz w:val="21"/>
              </w:rPr>
            </w:pPr>
            <w:r>
              <w:rPr>
                <w:spacing w:val="-2"/>
                <w:sz w:val="21"/>
              </w:rPr>
              <w:t>$13.20</w:t>
            </w:r>
          </w:p>
        </w:tc>
        <w:tc>
          <w:tcPr>
            <w:tcW w:w="1080" w:type="dxa"/>
            <w:tcBorders>
              <w:top w:val="nil"/>
              <w:bottom w:val="nil"/>
            </w:tcBorders>
          </w:tcPr>
          <w:p>
            <w:pPr>
              <w:pStyle w:val="TableParagraph"/>
              <w:spacing w:before="25"/>
              <w:ind w:left="7" w:right="2"/>
              <w:jc w:val="center"/>
              <w:rPr>
                <w:sz w:val="21"/>
              </w:rPr>
            </w:pPr>
            <w:r>
              <w:rPr>
                <w:spacing w:val="-2"/>
                <w:sz w:val="21"/>
              </w:rPr>
              <w:t>$13.20</w:t>
            </w:r>
          </w:p>
        </w:tc>
        <w:tc>
          <w:tcPr>
            <w:tcW w:w="1439" w:type="dxa"/>
            <w:tcBorders>
              <w:top w:val="nil"/>
              <w:bottom w:val="nil"/>
            </w:tcBorders>
          </w:tcPr>
          <w:p>
            <w:pPr>
              <w:pStyle w:val="TableParagraph"/>
              <w:spacing w:before="25"/>
              <w:ind w:left="10" w:right="3"/>
              <w:jc w:val="center"/>
              <w:rPr>
                <w:sz w:val="21"/>
              </w:rPr>
            </w:pPr>
            <w:r>
              <w:rPr>
                <w:spacing w:val="-2"/>
                <w:sz w:val="21"/>
              </w:rPr>
              <w:t>$13.20</w:t>
            </w:r>
          </w:p>
        </w:tc>
      </w:tr>
      <w:tr>
        <w:tblPrEx>
          <w:tblW w:w="0" w:type="auto"/>
          <w:jc w:val="left"/>
          <w:tblInd w:w="514" w:type="dxa"/>
          <w:tblLayout w:type="fixed"/>
          <w:tblCellMar>
            <w:top w:w="0" w:type="dxa"/>
            <w:left w:w="0" w:type="dxa"/>
            <w:bottom w:w="0" w:type="dxa"/>
            <w:right w:w="0" w:type="dxa"/>
          </w:tblCellMar>
          <w:tblLook w:val="01E0"/>
        </w:tblPrEx>
        <w:trPr>
          <w:trHeight w:val="566"/>
          <w:jc w:val="left"/>
        </w:trPr>
        <w:tc>
          <w:tcPr>
            <w:tcW w:w="3056"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711" w:type="dxa"/>
            <w:tcBorders>
              <w:top w:val="nil"/>
            </w:tcBorders>
          </w:tcPr>
          <w:p>
            <w:pPr>
              <w:pStyle w:val="TableParagraph"/>
              <w:spacing w:before="25"/>
              <w:ind w:left="10" w:right="4"/>
              <w:jc w:val="center"/>
              <w:rPr>
                <w:sz w:val="21"/>
              </w:rPr>
            </w:pPr>
            <w:r>
              <w:rPr>
                <w:spacing w:val="-2"/>
                <w:sz w:val="21"/>
              </w:rPr>
              <w:t>$0.00</w:t>
            </w:r>
          </w:p>
        </w:tc>
        <w:tc>
          <w:tcPr>
            <w:tcW w:w="1349" w:type="dxa"/>
            <w:tcBorders>
              <w:top w:val="nil"/>
            </w:tcBorders>
          </w:tcPr>
          <w:p>
            <w:pPr>
              <w:pStyle w:val="TableParagraph"/>
              <w:spacing w:before="25"/>
              <w:ind w:left="7" w:right="2"/>
              <w:jc w:val="center"/>
              <w:rPr>
                <w:sz w:val="21"/>
              </w:rPr>
            </w:pPr>
            <w:r>
              <w:rPr>
                <w:spacing w:val="-2"/>
                <w:sz w:val="21"/>
              </w:rPr>
              <w:t>$0.00</w:t>
            </w:r>
          </w:p>
        </w:tc>
        <w:tc>
          <w:tcPr>
            <w:tcW w:w="991" w:type="dxa"/>
            <w:tcBorders>
              <w:top w:val="nil"/>
            </w:tcBorders>
          </w:tcPr>
          <w:p>
            <w:pPr>
              <w:pStyle w:val="TableParagraph"/>
              <w:spacing w:before="25"/>
              <w:ind w:left="19" w:right="12"/>
              <w:jc w:val="center"/>
              <w:rPr>
                <w:sz w:val="21"/>
              </w:rPr>
            </w:pPr>
            <w:r>
              <w:rPr>
                <w:spacing w:val="-2"/>
                <w:sz w:val="21"/>
              </w:rPr>
              <w:t>$0.00</w:t>
            </w:r>
          </w:p>
        </w:tc>
        <w:tc>
          <w:tcPr>
            <w:tcW w:w="1080" w:type="dxa"/>
            <w:tcBorders>
              <w:top w:val="nil"/>
            </w:tcBorders>
          </w:tcPr>
          <w:p>
            <w:pPr>
              <w:pStyle w:val="TableParagraph"/>
              <w:spacing w:before="25"/>
              <w:ind w:left="7" w:right="1"/>
              <w:jc w:val="center"/>
              <w:rPr>
                <w:sz w:val="21"/>
              </w:rPr>
            </w:pPr>
            <w:r>
              <w:rPr>
                <w:spacing w:val="-2"/>
                <w:sz w:val="21"/>
              </w:rPr>
              <w:t>$0.00</w:t>
            </w:r>
          </w:p>
        </w:tc>
        <w:tc>
          <w:tcPr>
            <w:tcW w:w="1439" w:type="dxa"/>
            <w:tcBorders>
              <w:top w:val="nil"/>
            </w:tcBorders>
          </w:tcPr>
          <w:p>
            <w:pPr>
              <w:pStyle w:val="TableParagraph"/>
              <w:spacing w:before="25"/>
              <w:ind w:left="10" w:right="3"/>
              <w:jc w:val="center"/>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316"/>
          <w:jc w:val="left"/>
        </w:trPr>
        <w:tc>
          <w:tcPr>
            <w:tcW w:w="3056" w:type="dxa"/>
          </w:tcPr>
          <w:p>
            <w:pPr>
              <w:pStyle w:val="TableParagraph"/>
              <w:spacing w:before="72" w:line="224"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711" w:type="dxa"/>
          </w:tcPr>
          <w:p>
            <w:pPr>
              <w:pStyle w:val="TableParagraph"/>
              <w:spacing w:before="72" w:line="224" w:lineRule="exact"/>
              <w:ind w:left="10" w:right="4"/>
              <w:jc w:val="center"/>
              <w:rPr>
                <w:sz w:val="21"/>
              </w:rPr>
            </w:pPr>
            <w:r>
              <w:rPr>
                <w:spacing w:val="-2"/>
                <w:sz w:val="21"/>
              </w:rPr>
              <w:t>$43.40</w:t>
            </w:r>
          </w:p>
        </w:tc>
        <w:tc>
          <w:tcPr>
            <w:tcW w:w="1349" w:type="dxa"/>
          </w:tcPr>
          <w:p>
            <w:pPr>
              <w:pStyle w:val="TableParagraph"/>
              <w:spacing w:before="72" w:line="224" w:lineRule="exact"/>
              <w:ind w:left="7" w:right="2"/>
              <w:jc w:val="center"/>
              <w:rPr>
                <w:sz w:val="21"/>
              </w:rPr>
            </w:pPr>
            <w:r>
              <w:rPr>
                <w:spacing w:val="-2"/>
                <w:sz w:val="21"/>
              </w:rPr>
              <w:t>$34.20</w:t>
            </w:r>
          </w:p>
        </w:tc>
        <w:tc>
          <w:tcPr>
            <w:tcW w:w="991" w:type="dxa"/>
          </w:tcPr>
          <w:p>
            <w:pPr>
              <w:pStyle w:val="TableParagraph"/>
              <w:spacing w:before="72" w:line="224" w:lineRule="exact"/>
              <w:ind w:left="19" w:right="12"/>
              <w:jc w:val="center"/>
              <w:rPr>
                <w:sz w:val="21"/>
              </w:rPr>
            </w:pPr>
            <w:r>
              <w:rPr>
                <w:spacing w:val="-2"/>
                <w:sz w:val="21"/>
              </w:rPr>
              <w:t>$41.40</w:t>
            </w:r>
          </w:p>
        </w:tc>
        <w:tc>
          <w:tcPr>
            <w:tcW w:w="1080" w:type="dxa"/>
          </w:tcPr>
          <w:p>
            <w:pPr>
              <w:pStyle w:val="TableParagraph"/>
              <w:spacing w:before="72" w:line="224" w:lineRule="exact"/>
              <w:ind w:left="7" w:right="2"/>
              <w:jc w:val="center"/>
              <w:rPr>
                <w:sz w:val="21"/>
              </w:rPr>
            </w:pPr>
            <w:r>
              <w:rPr>
                <w:spacing w:val="-2"/>
                <w:sz w:val="21"/>
              </w:rPr>
              <w:t>$41.00</w:t>
            </w:r>
          </w:p>
        </w:tc>
        <w:tc>
          <w:tcPr>
            <w:tcW w:w="1439" w:type="dxa"/>
          </w:tcPr>
          <w:p>
            <w:pPr>
              <w:pStyle w:val="TableParagraph"/>
              <w:spacing w:before="72" w:line="224" w:lineRule="exact"/>
              <w:ind w:left="10" w:right="3"/>
              <w:jc w:val="center"/>
              <w:rPr>
                <w:sz w:val="21"/>
              </w:rPr>
            </w:pPr>
            <w:r>
              <w:rPr>
                <w:spacing w:val="-2"/>
                <w:sz w:val="21"/>
              </w:rPr>
              <w:t>$41.40</w:t>
            </w:r>
          </w:p>
        </w:tc>
      </w:tr>
    </w:tbl>
    <w:p>
      <w:pPr>
        <w:pStyle w:val="BodyText"/>
        <w:spacing w:before="87"/>
        <w:ind w:left="0"/>
        <w:rPr>
          <w:rFonts w:ascii="Arial"/>
          <w:b/>
          <w:i/>
        </w:rPr>
      </w:pPr>
    </w:p>
    <w:p>
      <w:pPr>
        <w:pStyle w:val="BodyText"/>
      </w:pPr>
      <w:r>
        <w:t>In</w:t>
      </w:r>
      <w:r>
        <w:rPr>
          <w:spacing w:val="-3"/>
        </w:rPr>
        <w:t xml:space="preserve"> </w:t>
      </w:r>
      <w:r>
        <w:t>this</w:t>
      </w:r>
      <w:r>
        <w:rPr>
          <w:spacing w:val="-2"/>
        </w:rPr>
        <w:t xml:space="preserve"> </w:t>
      </w:r>
      <w:r>
        <w:t>example,</w:t>
      </w:r>
      <w:r>
        <w:rPr>
          <w:spacing w:val="-1"/>
        </w:rPr>
        <w:t xml:space="preserve"> </w:t>
      </w:r>
      <w:r>
        <w:t>the</w:t>
      </w:r>
      <w:r>
        <w:rPr>
          <w:spacing w:val="-1"/>
        </w:rPr>
        <w:t xml:space="preserve"> </w:t>
      </w:r>
      <w:r>
        <w:t>change</w:t>
      </w:r>
      <w:r>
        <w:rPr>
          <w:spacing w:val="-2"/>
        </w:rPr>
        <w:t xml:space="preserve"> </w:t>
      </w:r>
      <w:r>
        <w:t>in</w:t>
      </w:r>
      <w:r>
        <w:rPr>
          <w:spacing w:val="1"/>
        </w:rPr>
        <w:t xml:space="preserve"> </w:t>
      </w:r>
      <w:r>
        <w:t>MSB revenue</w:t>
      </w:r>
      <w:r>
        <w:rPr>
          <w:spacing w:val="-2"/>
        </w:rPr>
        <w:t xml:space="preserve"> </w:t>
      </w:r>
      <w:r>
        <w:t>requirement</w:t>
      </w:r>
      <w:r>
        <w:rPr>
          <w:spacing w:val="-1"/>
        </w:rPr>
        <w:t xml:space="preserve"> </w:t>
      </w:r>
      <w:r>
        <w:t>must be</w:t>
      </w:r>
      <w:r>
        <w:rPr>
          <w:spacing w:val="-2"/>
        </w:rPr>
        <w:t xml:space="preserve"> </w:t>
      </w:r>
      <w:r>
        <w:t>between</w:t>
      </w:r>
      <w:r>
        <w:rPr>
          <w:spacing w:val="1"/>
        </w:rPr>
        <w:t xml:space="preserve"> </w:t>
      </w:r>
      <w:r>
        <w:t>$0.00</w:t>
      </w:r>
      <w:r>
        <w:rPr>
          <w:spacing w:val="-1"/>
        </w:rPr>
        <w:t xml:space="preserve"> </w:t>
      </w:r>
      <w:r>
        <w:t xml:space="preserve">and </w:t>
      </w:r>
      <w:r>
        <w:rPr>
          <w:spacing w:val="-2"/>
        </w:rPr>
        <w:t>$7.20.</w:t>
      </w:r>
    </w:p>
    <w:p>
      <w:pPr>
        <w:pStyle w:val="BodyText"/>
        <w:spacing w:before="139"/>
        <w:ind w:right="1481"/>
      </w:pPr>
      <w:r>
        <w:rPr>
          <w:b/>
        </w:rPr>
        <w:t>Option</w:t>
      </w:r>
      <w:r>
        <w:rPr>
          <w:b/>
          <w:spacing w:val="-3"/>
        </w:rPr>
        <w:t xml:space="preserve"> </w:t>
      </w:r>
      <w:r>
        <w:rPr>
          <w:b/>
        </w:rPr>
        <w:t>1</w:t>
      </w:r>
      <w:r>
        <w:t>:</w:t>
      </w:r>
      <w:r>
        <w:rPr>
          <w:spacing w:val="-3"/>
        </w:rPr>
        <w:t xml:space="preserve"> </w:t>
      </w:r>
      <w:r>
        <w:t>The</w:t>
      </w:r>
      <w:r>
        <w:rPr>
          <w:spacing w:val="-4"/>
        </w:rPr>
        <w:t xml:space="preserve"> </w:t>
      </w:r>
      <w:r>
        <w:t>MAO</w:t>
      </w:r>
      <w:r>
        <w:rPr>
          <w:spacing w:val="-4"/>
        </w:rPr>
        <w:t xml:space="preserve"> </w:t>
      </w:r>
      <w:r>
        <w:t>is</w:t>
      </w:r>
      <w:r>
        <w:rPr>
          <w:spacing w:val="-4"/>
        </w:rPr>
        <w:t xml:space="preserve"> </w:t>
      </w:r>
      <w:r>
        <w:t>not</w:t>
      </w:r>
      <w:r>
        <w:rPr>
          <w:spacing w:val="-3"/>
        </w:rPr>
        <w:t xml:space="preserve"> </w:t>
      </w:r>
      <w:r>
        <w:t>required</w:t>
      </w:r>
      <w:r>
        <w:rPr>
          <w:spacing w:val="-3"/>
        </w:rPr>
        <w:t xml:space="preserve"> </w:t>
      </w:r>
      <w:r>
        <w:t>to</w:t>
      </w:r>
      <w:r>
        <w:rPr>
          <w:spacing w:val="-3"/>
        </w:rPr>
        <w:t xml:space="preserve"> </w:t>
      </w:r>
      <w:r>
        <w:t>reallocate</w:t>
      </w:r>
      <w:r>
        <w:rPr>
          <w:spacing w:val="-2"/>
        </w:rPr>
        <w:t xml:space="preserve"> </w:t>
      </w:r>
      <w:r>
        <w:t>rebates</w:t>
      </w:r>
      <w:r>
        <w:rPr>
          <w:spacing w:val="-4"/>
        </w:rPr>
        <w:t xml:space="preserve"> </w:t>
      </w:r>
      <w:r>
        <w:t>and</w:t>
      </w:r>
      <w:r>
        <w:rPr>
          <w:spacing w:val="-3"/>
        </w:rPr>
        <w:t xml:space="preserve"> </w:t>
      </w:r>
      <w:r>
        <w:t>may</w:t>
      </w:r>
      <w:r>
        <w:rPr>
          <w:spacing w:val="-2"/>
        </w:rPr>
        <w:t xml:space="preserve"> </w:t>
      </w:r>
      <w:r>
        <w:t>choose</w:t>
      </w:r>
      <w:r>
        <w:rPr>
          <w:spacing w:val="-4"/>
        </w:rPr>
        <w:t xml:space="preserve"> </w:t>
      </w:r>
      <w:r>
        <w:t>to</w:t>
      </w:r>
      <w:r>
        <w:rPr>
          <w:spacing w:val="-1"/>
        </w:rPr>
        <w:t xml:space="preserve"> </w:t>
      </w:r>
      <w:r>
        <w:t>leave</w:t>
      </w:r>
      <w:r>
        <w:rPr>
          <w:spacing w:val="-4"/>
        </w:rPr>
        <w:t xml:space="preserve"> </w:t>
      </w:r>
      <w:r>
        <w:t>the</w:t>
      </w:r>
      <w:r>
        <w:rPr>
          <w:spacing w:val="-1"/>
        </w:rPr>
        <w:t xml:space="preserve"> </w:t>
      </w:r>
      <w:r>
        <w:t>Part</w:t>
      </w:r>
      <w:r>
        <w:rPr>
          <w:spacing w:val="-3"/>
        </w:rPr>
        <w:t xml:space="preserve"> </w:t>
      </w:r>
      <w:r>
        <w:t>D basic premium at the post-Part D benchmark announcement basic premium of $34.20.</w:t>
      </w:r>
    </w:p>
    <w:p>
      <w:pPr>
        <w:pStyle w:val="BodyText"/>
        <w:spacing w:before="1"/>
        <w:ind w:right="1481"/>
      </w:pPr>
      <w:r>
        <w:t>Resubmission</w:t>
      </w:r>
      <w:r>
        <w:rPr>
          <w:spacing w:val="-3"/>
        </w:rPr>
        <w:t xml:space="preserve"> </w:t>
      </w:r>
      <w:r>
        <w:t>is</w:t>
      </w:r>
      <w:r>
        <w:rPr>
          <w:spacing w:val="-4"/>
        </w:rPr>
        <w:t xml:space="preserve"> </w:t>
      </w:r>
      <w:r>
        <w:t>not</w:t>
      </w:r>
      <w:r>
        <w:rPr>
          <w:spacing w:val="-3"/>
        </w:rPr>
        <w:t xml:space="preserve"> </w:t>
      </w:r>
      <w:r>
        <w:t>necessary.</w:t>
      </w:r>
      <w:r>
        <w:rPr>
          <w:spacing w:val="-3"/>
        </w:rPr>
        <w:t xml:space="preserve"> </w:t>
      </w:r>
      <w:r>
        <w:t>The</w:t>
      </w:r>
      <w:r>
        <w:rPr>
          <w:spacing w:val="-5"/>
        </w:rPr>
        <w:t xml:space="preserve"> </w:t>
      </w:r>
      <w:r>
        <w:t>MAO</w:t>
      </w:r>
      <w:r>
        <w:rPr>
          <w:spacing w:val="-2"/>
        </w:rPr>
        <w:t xml:space="preserve"> </w:t>
      </w:r>
      <w:r>
        <w:t>will</w:t>
      </w:r>
      <w:r>
        <w:rPr>
          <w:spacing w:val="-3"/>
        </w:rPr>
        <w:t xml:space="preserve"> </w:t>
      </w:r>
      <w:r>
        <w:t>forgo</w:t>
      </w:r>
      <w:r>
        <w:rPr>
          <w:spacing w:val="-3"/>
        </w:rPr>
        <w:t xml:space="preserve"> </w:t>
      </w:r>
      <w:r>
        <w:t>receiving</w:t>
      </w:r>
      <w:r>
        <w:rPr>
          <w:spacing w:val="-3"/>
        </w:rPr>
        <w:t xml:space="preserve"> </w:t>
      </w:r>
      <w:r>
        <w:t>$7.20</w:t>
      </w:r>
      <w:r>
        <w:rPr>
          <w:spacing w:val="-3"/>
        </w:rPr>
        <w:t xml:space="preserve"> </w:t>
      </w:r>
      <w:r>
        <w:t>PMPM</w:t>
      </w:r>
      <w:r>
        <w:rPr>
          <w:spacing w:val="-4"/>
        </w:rPr>
        <w:t xml:space="preserve"> </w:t>
      </w:r>
      <w:r>
        <w:t>of</w:t>
      </w:r>
      <w:r>
        <w:rPr>
          <w:spacing w:val="-3"/>
        </w:rPr>
        <w:t xml:space="preserve"> </w:t>
      </w:r>
      <w:r>
        <w:t>CMS</w:t>
      </w:r>
      <w:r>
        <w:rPr>
          <w:spacing w:val="-2"/>
        </w:rPr>
        <w:t xml:space="preserve"> </w:t>
      </w:r>
      <w:r>
        <w:t>subsidy for each low-income beneficiary.</w:t>
      </w:r>
    </w:p>
    <w:p>
      <w:pPr>
        <w:pStyle w:val="BodyText"/>
        <w:spacing w:before="139"/>
        <w:ind w:right="1481"/>
      </w:pPr>
      <w:r>
        <w:rPr>
          <w:b/>
        </w:rPr>
        <w:t>Option</w:t>
      </w:r>
      <w:r>
        <w:rPr>
          <w:b/>
          <w:spacing w:val="-3"/>
        </w:rPr>
        <w:t xml:space="preserve"> </w:t>
      </w:r>
      <w:r>
        <w:rPr>
          <w:b/>
        </w:rPr>
        <w:t>2</w:t>
      </w:r>
      <w:r>
        <w:t>:</w:t>
      </w:r>
      <w:r>
        <w:rPr>
          <w:spacing w:val="-3"/>
        </w:rPr>
        <w:t xml:space="preserve"> </w:t>
      </w:r>
      <w:r>
        <w:t>The</w:t>
      </w:r>
      <w:r>
        <w:rPr>
          <w:spacing w:val="-4"/>
        </w:rPr>
        <w:t xml:space="preserve"> </w:t>
      </w:r>
      <w:r>
        <w:t>MAO</w:t>
      </w:r>
      <w:r>
        <w:rPr>
          <w:spacing w:val="-4"/>
        </w:rPr>
        <w:t xml:space="preserve"> </w:t>
      </w:r>
      <w:r>
        <w:t>may</w:t>
      </w:r>
      <w:r>
        <w:rPr>
          <w:spacing w:val="-3"/>
        </w:rPr>
        <w:t xml:space="preserve"> </w:t>
      </w:r>
      <w:r>
        <w:t>choose</w:t>
      </w:r>
      <w:r>
        <w:rPr>
          <w:spacing w:val="-4"/>
        </w:rPr>
        <w:t xml:space="preserve"> </w:t>
      </w:r>
      <w:r>
        <w:t>to</w:t>
      </w:r>
      <w:r>
        <w:rPr>
          <w:spacing w:val="-3"/>
        </w:rPr>
        <w:t xml:space="preserve"> </w:t>
      </w:r>
      <w:r>
        <w:t>have</w:t>
      </w:r>
      <w:r>
        <w:rPr>
          <w:spacing w:val="-4"/>
        </w:rPr>
        <w:t xml:space="preserve"> </w:t>
      </w:r>
      <w:r>
        <w:t>Part</w:t>
      </w:r>
      <w:r>
        <w:rPr>
          <w:spacing w:val="-3"/>
        </w:rPr>
        <w:t xml:space="preserve"> </w:t>
      </w:r>
      <w:r>
        <w:t>D</w:t>
      </w:r>
      <w:r>
        <w:rPr>
          <w:spacing w:val="-2"/>
        </w:rPr>
        <w:t xml:space="preserve"> </w:t>
      </w:r>
      <w:r>
        <w:t>basic</w:t>
      </w:r>
      <w:r>
        <w:rPr>
          <w:spacing w:val="-3"/>
        </w:rPr>
        <w:t xml:space="preserve"> </w:t>
      </w:r>
      <w:r>
        <w:t>premium</w:t>
      </w:r>
      <w:r>
        <w:rPr>
          <w:spacing w:val="-3"/>
        </w:rPr>
        <w:t xml:space="preserve"> </w:t>
      </w:r>
      <w:r>
        <w:t>equal</w:t>
      </w:r>
      <w:r>
        <w:rPr>
          <w:spacing w:val="-3"/>
        </w:rPr>
        <w:t xml:space="preserve"> </w:t>
      </w:r>
      <w:r>
        <w:t>LIPSA</w:t>
      </w:r>
      <w:r>
        <w:rPr>
          <w:spacing w:val="-4"/>
        </w:rPr>
        <w:t xml:space="preserve"> </w:t>
      </w:r>
      <w:r>
        <w:t>benchmark.</w:t>
      </w:r>
      <w:r>
        <w:rPr>
          <w:spacing w:val="-3"/>
        </w:rPr>
        <w:t xml:space="preserve"> </w:t>
      </w:r>
      <w:r>
        <w:t>The MAO must reallocate the excessive allocation of $7.20 by either—</w:t>
      </w:r>
    </w:p>
    <w:p>
      <w:pPr>
        <w:spacing w:before="142"/>
        <w:ind w:left="1224" w:right="0" w:firstLine="0"/>
        <w:jc w:val="left"/>
        <w:rPr>
          <w:sz w:val="24"/>
        </w:rPr>
      </w:pPr>
      <w:r>
        <w:rPr>
          <w:b/>
          <w:sz w:val="24"/>
        </w:rPr>
        <w:t>2a</w:t>
      </w:r>
      <w:r>
        <w:rPr>
          <w:b/>
          <w:spacing w:val="-5"/>
          <w:sz w:val="24"/>
        </w:rPr>
        <w:t xml:space="preserve"> </w:t>
      </w:r>
      <w:r>
        <w:rPr>
          <w:b/>
          <w:sz w:val="24"/>
        </w:rPr>
        <w:t>(Option</w:t>
      </w:r>
      <w:r>
        <w:rPr>
          <w:b/>
          <w:spacing w:val="-2"/>
          <w:sz w:val="24"/>
        </w:rPr>
        <w:t xml:space="preserve"> </w:t>
      </w:r>
      <w:r>
        <w:rPr>
          <w:b/>
          <w:sz w:val="24"/>
        </w:rPr>
        <w:t>not</w:t>
      </w:r>
      <w:r>
        <w:rPr>
          <w:b/>
          <w:spacing w:val="-2"/>
          <w:sz w:val="24"/>
        </w:rPr>
        <w:t xml:space="preserve"> </w:t>
      </w:r>
      <w:r>
        <w:rPr>
          <w:b/>
          <w:sz w:val="24"/>
        </w:rPr>
        <w:t>shown</w:t>
      </w:r>
      <w:r>
        <w:rPr>
          <w:b/>
          <w:spacing w:val="-2"/>
          <w:sz w:val="24"/>
        </w:rPr>
        <w:t xml:space="preserve"> </w:t>
      </w:r>
      <w:r>
        <w:rPr>
          <w:b/>
          <w:sz w:val="24"/>
        </w:rPr>
        <w:t>above)</w:t>
      </w:r>
      <w:r>
        <w:rPr>
          <w:sz w:val="24"/>
        </w:rPr>
        <w:t>:</w:t>
      </w:r>
      <w:r>
        <w:rPr>
          <w:spacing w:val="-2"/>
          <w:sz w:val="24"/>
        </w:rPr>
        <w:t xml:space="preserve"> </w:t>
      </w:r>
      <w:r>
        <w:rPr>
          <w:sz w:val="24"/>
        </w:rPr>
        <w:t>In</w:t>
      </w:r>
      <w:r>
        <w:rPr>
          <w:spacing w:val="-2"/>
          <w:sz w:val="24"/>
        </w:rPr>
        <w:t xml:space="preserve"> </w:t>
      </w:r>
      <w:r>
        <w:rPr>
          <w:sz w:val="24"/>
        </w:rPr>
        <w:t>this</w:t>
      </w:r>
      <w:r>
        <w:rPr>
          <w:spacing w:val="-3"/>
          <w:sz w:val="24"/>
        </w:rPr>
        <w:t xml:space="preserve"> </w:t>
      </w:r>
      <w:r>
        <w:rPr>
          <w:sz w:val="24"/>
        </w:rPr>
        <w:t>example,</w:t>
      </w:r>
      <w:r>
        <w:rPr>
          <w:spacing w:val="-2"/>
          <w:sz w:val="24"/>
        </w:rPr>
        <w:t xml:space="preserve"> </w:t>
      </w:r>
      <w:r>
        <w:rPr>
          <w:sz w:val="24"/>
        </w:rPr>
        <w:t>reallocating</w:t>
      </w:r>
      <w:r>
        <w:rPr>
          <w:spacing w:val="-2"/>
          <w:sz w:val="24"/>
        </w:rPr>
        <w:t xml:space="preserve"> </w:t>
      </w:r>
      <w:r>
        <w:rPr>
          <w:sz w:val="24"/>
        </w:rPr>
        <w:t>the</w:t>
      </w:r>
      <w:r>
        <w:rPr>
          <w:spacing w:val="-2"/>
          <w:sz w:val="24"/>
        </w:rPr>
        <w:t xml:space="preserve"> </w:t>
      </w:r>
      <w:r>
        <w:rPr>
          <w:sz w:val="24"/>
        </w:rPr>
        <w:t>excessive</w:t>
      </w:r>
      <w:r>
        <w:rPr>
          <w:spacing w:val="-1"/>
          <w:sz w:val="24"/>
        </w:rPr>
        <w:t xml:space="preserve"> </w:t>
      </w:r>
      <w:r>
        <w:rPr>
          <w:sz w:val="24"/>
        </w:rPr>
        <w:t>allocation</w:t>
      </w:r>
      <w:r>
        <w:rPr>
          <w:spacing w:val="-2"/>
          <w:sz w:val="24"/>
        </w:rPr>
        <w:t xml:space="preserve"> </w:t>
      </w:r>
      <w:r>
        <w:rPr>
          <w:spacing w:val="-5"/>
          <w:sz w:val="24"/>
        </w:rPr>
        <w:t>of</w:t>
      </w:r>
    </w:p>
    <w:p>
      <w:pPr>
        <w:pStyle w:val="BodyText"/>
        <w:ind w:left="1224"/>
      </w:pPr>
      <w:r>
        <w:t>$7.20</w:t>
      </w:r>
      <w:r>
        <w:rPr>
          <w:spacing w:val="-3"/>
        </w:rPr>
        <w:t xml:space="preserve"> </w:t>
      </w:r>
      <w:r>
        <w:t>entirely</w:t>
      </w:r>
      <w:r>
        <w:rPr>
          <w:spacing w:val="-1"/>
        </w:rPr>
        <w:t xml:space="preserve"> </w:t>
      </w:r>
      <w:r>
        <w:t>to the</w:t>
      </w:r>
      <w:r>
        <w:rPr>
          <w:spacing w:val="-1"/>
        </w:rPr>
        <w:t xml:space="preserve"> </w:t>
      </w:r>
      <w:r>
        <w:t>Part</w:t>
      </w:r>
      <w:r>
        <w:rPr>
          <w:spacing w:val="1"/>
        </w:rPr>
        <w:t xml:space="preserve"> </w:t>
      </w:r>
      <w:r>
        <w:t>B</w:t>
      </w:r>
      <w:r>
        <w:rPr>
          <w:spacing w:val="-1"/>
        </w:rPr>
        <w:t xml:space="preserve"> </w:t>
      </w:r>
      <w:r>
        <w:t>premium (in</w:t>
      </w:r>
      <w:r>
        <w:rPr>
          <w:spacing w:val="-1"/>
        </w:rPr>
        <w:t xml:space="preserve"> </w:t>
      </w:r>
      <w:r>
        <w:t>the</w:t>
      </w:r>
      <w:r>
        <w:rPr>
          <w:spacing w:val="-2"/>
        </w:rPr>
        <w:t xml:space="preserve"> </w:t>
      </w:r>
      <w:r>
        <w:t>circumstances</w:t>
      </w:r>
      <w:r>
        <w:rPr>
          <w:spacing w:val="-1"/>
        </w:rPr>
        <w:t xml:space="preserve"> </w:t>
      </w:r>
      <w:r>
        <w:t>where</w:t>
      </w:r>
      <w:r>
        <w:rPr>
          <w:spacing w:val="-3"/>
        </w:rPr>
        <w:t xml:space="preserve"> </w:t>
      </w:r>
      <w:r>
        <w:t>there</w:t>
      </w:r>
      <w:r>
        <w:rPr>
          <w:spacing w:val="-1"/>
        </w:rPr>
        <w:t xml:space="preserve"> </w:t>
      </w:r>
      <w:r>
        <w:t>is</w:t>
      </w:r>
      <w:r>
        <w:rPr>
          <w:spacing w:val="-2"/>
        </w:rPr>
        <w:t xml:space="preserve"> </w:t>
      </w:r>
      <w:r>
        <w:t>a MA</w:t>
      </w:r>
      <w:r>
        <w:rPr>
          <w:spacing w:val="-1"/>
        </w:rPr>
        <w:t xml:space="preserve"> </w:t>
      </w:r>
      <w:r>
        <w:rPr>
          <w:spacing w:val="-5"/>
        </w:rPr>
        <w:t>or</w:t>
      </w:r>
    </w:p>
    <w:p>
      <w:pPr>
        <w:pStyle w:val="BodyText"/>
        <w:ind w:left="1224" w:right="1443"/>
      </w:pPr>
      <w:r>
        <w:t>Part</w:t>
      </w:r>
      <w:r>
        <w:rPr>
          <w:spacing w:val="-3"/>
        </w:rPr>
        <w:t xml:space="preserve"> </w:t>
      </w:r>
      <w:r>
        <w:t>D</w:t>
      </w:r>
      <w:r>
        <w:rPr>
          <w:spacing w:val="-4"/>
        </w:rPr>
        <w:t xml:space="preserve"> </w:t>
      </w:r>
      <w:r>
        <w:t>supplemental</w:t>
      </w:r>
      <w:r>
        <w:rPr>
          <w:spacing w:val="-3"/>
        </w:rPr>
        <w:t xml:space="preserve"> </w:t>
      </w:r>
      <w:r>
        <w:t>premium</w:t>
      </w:r>
      <w:r>
        <w:rPr>
          <w:spacing w:val="-3"/>
        </w:rPr>
        <w:t xml:space="preserve"> </w:t>
      </w:r>
      <w:r>
        <w:t>pre-rebate</w:t>
      </w:r>
      <w:r>
        <w:rPr>
          <w:spacing w:val="-4"/>
        </w:rPr>
        <w:t xml:space="preserve"> </w:t>
      </w:r>
      <w:r>
        <w:t>reallocation,</w:t>
      </w:r>
      <w:r>
        <w:rPr>
          <w:spacing w:val="-3"/>
        </w:rPr>
        <w:t xml:space="preserve"> </w:t>
      </w:r>
      <w:r>
        <w:t>the</w:t>
      </w:r>
      <w:r>
        <w:rPr>
          <w:spacing w:val="-3"/>
        </w:rPr>
        <w:t xml:space="preserve"> </w:t>
      </w:r>
      <w:r>
        <w:t>MAO</w:t>
      </w:r>
      <w:r>
        <w:rPr>
          <w:spacing w:val="-5"/>
        </w:rPr>
        <w:t xml:space="preserve"> </w:t>
      </w:r>
      <w:r>
        <w:t>may</w:t>
      </w:r>
      <w:r>
        <w:rPr>
          <w:spacing w:val="-3"/>
        </w:rPr>
        <w:t xml:space="preserve"> </w:t>
      </w:r>
      <w:r>
        <w:t>choose</w:t>
      </w:r>
      <w:r>
        <w:rPr>
          <w:spacing w:val="-4"/>
        </w:rPr>
        <w:t xml:space="preserve"> </w:t>
      </w:r>
      <w:r>
        <w:t>to</w:t>
      </w:r>
      <w:r>
        <w:rPr>
          <w:spacing w:val="-3"/>
        </w:rPr>
        <w:t xml:space="preserve"> </w:t>
      </w:r>
      <w:r>
        <w:t>make</w:t>
      </w:r>
      <w:r>
        <w:rPr>
          <w:spacing w:val="-2"/>
        </w:rPr>
        <w:t xml:space="preserve"> </w:t>
      </w:r>
      <w:r>
        <w:t>no changes to MSB revenue requirement and decrease the MA or Part D supplemental premiums); or</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left="1224" w:right="1574"/>
        <w:jc w:val="both"/>
      </w:pPr>
      <w:r>
        <w:rPr>
          <w:b/>
        </w:rPr>
        <w:t>2b</w:t>
      </w:r>
      <w:r>
        <w:rPr>
          <w:b/>
          <w:spacing w:val="-1"/>
        </w:rPr>
        <w:t xml:space="preserve"> </w:t>
      </w:r>
      <w:r>
        <w:rPr>
          <w:b/>
        </w:rPr>
        <w:t>(Option</w:t>
      </w:r>
      <w:r>
        <w:rPr>
          <w:b/>
          <w:spacing w:val="-1"/>
        </w:rPr>
        <w:t xml:space="preserve"> </w:t>
      </w:r>
      <w:r>
        <w:rPr>
          <w:b/>
        </w:rPr>
        <w:t>shown</w:t>
      </w:r>
      <w:r>
        <w:rPr>
          <w:b/>
          <w:spacing w:val="-1"/>
        </w:rPr>
        <w:t xml:space="preserve"> </w:t>
      </w:r>
      <w:r>
        <w:rPr>
          <w:b/>
        </w:rPr>
        <w:t>above)</w:t>
      </w:r>
      <w:r>
        <w:t>: Increasing MSB</w:t>
      </w:r>
      <w:r>
        <w:rPr>
          <w:spacing w:val="-1"/>
        </w:rPr>
        <w:t xml:space="preserve"> </w:t>
      </w:r>
      <w:r>
        <w:t>revenue</w:t>
      </w:r>
      <w:r>
        <w:rPr>
          <w:spacing w:val="-2"/>
        </w:rPr>
        <w:t xml:space="preserve"> </w:t>
      </w:r>
      <w:r>
        <w:t>requirement by</w:t>
      </w:r>
      <w:r>
        <w:rPr>
          <w:spacing w:val="-1"/>
        </w:rPr>
        <w:t xml:space="preserve"> </w:t>
      </w:r>
      <w:r>
        <w:t>less</w:t>
      </w:r>
      <w:r>
        <w:rPr>
          <w:spacing w:val="-2"/>
        </w:rPr>
        <w:t xml:space="preserve"> </w:t>
      </w:r>
      <w:r>
        <w:t>than</w:t>
      </w:r>
      <w:r>
        <w:rPr>
          <w:spacing w:val="-1"/>
        </w:rPr>
        <w:t xml:space="preserve"> </w:t>
      </w:r>
      <w:r>
        <w:t>or</w:t>
      </w:r>
      <w:r>
        <w:rPr>
          <w:spacing w:val="-3"/>
        </w:rPr>
        <w:t xml:space="preserve"> </w:t>
      </w:r>
      <w:r>
        <w:t>equal to</w:t>
      </w:r>
      <w:r>
        <w:rPr>
          <w:spacing w:val="-2"/>
        </w:rPr>
        <w:t xml:space="preserve"> </w:t>
      </w:r>
      <w:r>
        <w:t>$7.20,</w:t>
      </w:r>
      <w:r>
        <w:rPr>
          <w:spacing w:val="-2"/>
        </w:rPr>
        <w:t xml:space="preserve"> </w:t>
      </w:r>
      <w:r>
        <w:t>such</w:t>
      </w:r>
      <w:r>
        <w:rPr>
          <w:spacing w:val="-2"/>
        </w:rPr>
        <w:t xml:space="preserve"> </w:t>
      </w:r>
      <w:r>
        <w:t>that</w:t>
      </w:r>
      <w:r>
        <w:rPr>
          <w:spacing w:val="-2"/>
        </w:rPr>
        <w:t xml:space="preserve"> </w:t>
      </w:r>
      <w:r>
        <w:t>there</w:t>
      </w:r>
      <w:r>
        <w:rPr>
          <w:spacing w:val="-3"/>
        </w:rPr>
        <w:t xml:space="preserve"> </w:t>
      </w:r>
      <w:r>
        <w:t>is</w:t>
      </w:r>
      <w:r>
        <w:rPr>
          <w:spacing w:val="-3"/>
        </w:rPr>
        <w:t xml:space="preserve"> </w:t>
      </w:r>
      <w:r>
        <w:t>a</w:t>
      </w:r>
      <w:r>
        <w:rPr>
          <w:spacing w:val="-3"/>
        </w:rPr>
        <w:t xml:space="preserve"> </w:t>
      </w:r>
      <w:r>
        <w:t>partial</w:t>
      </w:r>
      <w:r>
        <w:rPr>
          <w:spacing w:val="-2"/>
        </w:rPr>
        <w:t xml:space="preserve"> </w:t>
      </w:r>
      <w:r>
        <w:t>or</w:t>
      </w:r>
      <w:r>
        <w:rPr>
          <w:spacing w:val="-2"/>
        </w:rPr>
        <w:t xml:space="preserve"> </w:t>
      </w:r>
      <w:r>
        <w:t>full</w:t>
      </w:r>
      <w:r>
        <w:rPr>
          <w:spacing w:val="-2"/>
        </w:rPr>
        <w:t xml:space="preserve"> </w:t>
      </w:r>
      <w:r>
        <w:t>return</w:t>
      </w:r>
      <w:r>
        <w:rPr>
          <w:spacing w:val="-2"/>
        </w:rPr>
        <w:t xml:space="preserve"> </w:t>
      </w:r>
      <w:r>
        <w:t>to</w:t>
      </w:r>
      <w:r>
        <w:rPr>
          <w:spacing w:val="-2"/>
        </w:rPr>
        <w:t xml:space="preserve"> </w:t>
      </w:r>
      <w:r>
        <w:t>the</w:t>
      </w:r>
      <w:r>
        <w:rPr>
          <w:spacing w:val="-2"/>
        </w:rPr>
        <w:t xml:space="preserve"> </w:t>
      </w:r>
      <w:r>
        <w:t>MA</w:t>
      </w:r>
      <w:r>
        <w:rPr>
          <w:spacing w:val="-3"/>
        </w:rPr>
        <w:t xml:space="preserve"> </w:t>
      </w:r>
      <w:r>
        <w:t>premium</w:t>
      </w:r>
      <w:r>
        <w:rPr>
          <w:spacing w:val="-2"/>
        </w:rPr>
        <w:t xml:space="preserve"> </w:t>
      </w:r>
      <w:r>
        <w:t>in</w:t>
      </w:r>
      <w:r>
        <w:rPr>
          <w:spacing w:val="-2"/>
        </w:rPr>
        <w:t xml:space="preserve"> </w:t>
      </w:r>
      <w:r>
        <w:t>initial</w:t>
      </w:r>
      <w:r>
        <w:rPr>
          <w:spacing w:val="-2"/>
        </w:rPr>
        <w:t xml:space="preserve"> </w:t>
      </w:r>
      <w:r>
        <w:t>June</w:t>
      </w:r>
      <w:r>
        <w:rPr>
          <w:spacing w:val="-2"/>
        </w:rPr>
        <w:t xml:space="preserve"> </w:t>
      </w:r>
      <w:r>
        <w:t>bid by increasing rebate allocations to MA, Part D supplemental, or Part B premiums.</w:t>
      </w:r>
    </w:p>
    <w:p>
      <w:pPr>
        <w:pStyle w:val="BodyText"/>
        <w:spacing w:before="139"/>
        <w:ind w:right="1510"/>
      </w:pPr>
      <w:r>
        <w:rPr>
          <w:b/>
        </w:rPr>
        <w:t>Option 3</w:t>
      </w:r>
      <w:r>
        <w:t>: The MAO may choose to have Part D basic premium equal LIPSA benchmark rounded down to the nearest dollar</w:t>
      </w:r>
      <w:r>
        <w:rPr>
          <w:spacing w:val="-1"/>
        </w:rPr>
        <w:t xml:space="preserve"> </w:t>
      </w:r>
      <w:r>
        <w:t>and forgo receiving $0.40 PMPM of CMS subsidy for each low-income</w:t>
      </w:r>
      <w:r>
        <w:rPr>
          <w:spacing w:val="-5"/>
        </w:rPr>
        <w:t xml:space="preserve"> </w:t>
      </w:r>
      <w:r>
        <w:t>beneficiary.</w:t>
      </w:r>
      <w:r>
        <w:rPr>
          <w:spacing w:val="1"/>
        </w:rPr>
        <w:t xml:space="preserve"> </w:t>
      </w:r>
      <w:r>
        <w:t>The</w:t>
      </w:r>
      <w:r>
        <w:rPr>
          <w:spacing w:val="-3"/>
        </w:rPr>
        <w:t xml:space="preserve"> </w:t>
      </w:r>
      <w:r>
        <w:t>MAO</w:t>
      </w:r>
      <w:r>
        <w:rPr>
          <w:spacing w:val="-3"/>
        </w:rPr>
        <w:t xml:space="preserve"> </w:t>
      </w:r>
      <w:r>
        <w:t>must reallocate</w:t>
      </w:r>
      <w:r>
        <w:rPr>
          <w:spacing w:val="-2"/>
        </w:rPr>
        <w:t xml:space="preserve"> </w:t>
      </w:r>
      <w:r>
        <w:t>the</w:t>
      </w:r>
      <w:r>
        <w:rPr>
          <w:spacing w:val="-2"/>
        </w:rPr>
        <w:t xml:space="preserve"> </w:t>
      </w:r>
      <w:r>
        <w:t>excessive</w:t>
      </w:r>
      <w:r>
        <w:rPr>
          <w:spacing w:val="-2"/>
        </w:rPr>
        <w:t xml:space="preserve"> </w:t>
      </w:r>
      <w:r>
        <w:t>allocation</w:t>
      </w:r>
      <w:r>
        <w:rPr>
          <w:spacing w:val="1"/>
        </w:rPr>
        <w:t xml:space="preserve"> </w:t>
      </w:r>
      <w:r>
        <w:t>of</w:t>
      </w:r>
      <w:r>
        <w:rPr>
          <w:spacing w:val="-2"/>
        </w:rPr>
        <w:t xml:space="preserve"> </w:t>
      </w:r>
      <w:r>
        <w:t>$6.80</w:t>
      </w:r>
      <w:r>
        <w:rPr>
          <w:spacing w:val="-1"/>
        </w:rPr>
        <w:t xml:space="preserve"> </w:t>
      </w:r>
      <w:r>
        <w:t>by</w:t>
      </w:r>
      <w:r>
        <w:rPr>
          <w:spacing w:val="-1"/>
        </w:rPr>
        <w:t xml:space="preserve"> </w:t>
      </w:r>
      <w:r>
        <w:rPr>
          <w:spacing w:val="-2"/>
        </w:rPr>
        <w:t>either–</w:t>
      </w:r>
    </w:p>
    <w:p>
      <w:pPr>
        <w:spacing w:before="142"/>
        <w:ind w:left="1224" w:right="0" w:firstLine="0"/>
        <w:jc w:val="left"/>
        <w:rPr>
          <w:sz w:val="24"/>
        </w:rPr>
      </w:pPr>
      <w:r>
        <w:rPr>
          <w:b/>
          <w:sz w:val="24"/>
        </w:rPr>
        <w:t>3a</w:t>
      </w:r>
      <w:r>
        <w:rPr>
          <w:b/>
          <w:spacing w:val="-5"/>
          <w:sz w:val="24"/>
        </w:rPr>
        <w:t xml:space="preserve"> </w:t>
      </w:r>
      <w:r>
        <w:rPr>
          <w:b/>
          <w:sz w:val="24"/>
        </w:rPr>
        <w:t>(Option</w:t>
      </w:r>
      <w:r>
        <w:rPr>
          <w:b/>
          <w:spacing w:val="-2"/>
          <w:sz w:val="24"/>
        </w:rPr>
        <w:t xml:space="preserve"> </w:t>
      </w:r>
      <w:r>
        <w:rPr>
          <w:b/>
          <w:sz w:val="24"/>
        </w:rPr>
        <w:t>not</w:t>
      </w:r>
      <w:r>
        <w:rPr>
          <w:b/>
          <w:spacing w:val="-2"/>
          <w:sz w:val="24"/>
        </w:rPr>
        <w:t xml:space="preserve"> </w:t>
      </w:r>
      <w:r>
        <w:rPr>
          <w:b/>
          <w:sz w:val="24"/>
        </w:rPr>
        <w:t>shown</w:t>
      </w:r>
      <w:r>
        <w:rPr>
          <w:b/>
          <w:spacing w:val="-2"/>
          <w:sz w:val="24"/>
        </w:rPr>
        <w:t xml:space="preserve"> </w:t>
      </w:r>
      <w:r>
        <w:rPr>
          <w:b/>
          <w:sz w:val="24"/>
        </w:rPr>
        <w:t>above)</w:t>
      </w:r>
      <w:r>
        <w:rPr>
          <w:sz w:val="24"/>
        </w:rPr>
        <w:t>:</w:t>
      </w:r>
      <w:r>
        <w:rPr>
          <w:spacing w:val="-2"/>
          <w:sz w:val="24"/>
        </w:rPr>
        <w:t xml:space="preserve"> </w:t>
      </w:r>
      <w:r>
        <w:rPr>
          <w:sz w:val="24"/>
        </w:rPr>
        <w:t>In</w:t>
      </w:r>
      <w:r>
        <w:rPr>
          <w:spacing w:val="-2"/>
          <w:sz w:val="24"/>
        </w:rPr>
        <w:t xml:space="preserve"> </w:t>
      </w:r>
      <w:r>
        <w:rPr>
          <w:sz w:val="24"/>
        </w:rPr>
        <w:t>this</w:t>
      </w:r>
      <w:r>
        <w:rPr>
          <w:spacing w:val="-3"/>
          <w:sz w:val="24"/>
        </w:rPr>
        <w:t xml:space="preserve"> </w:t>
      </w:r>
      <w:r>
        <w:rPr>
          <w:sz w:val="24"/>
        </w:rPr>
        <w:t>example,</w:t>
      </w:r>
      <w:r>
        <w:rPr>
          <w:spacing w:val="-2"/>
          <w:sz w:val="24"/>
        </w:rPr>
        <w:t xml:space="preserve"> </w:t>
      </w:r>
      <w:r>
        <w:rPr>
          <w:sz w:val="24"/>
        </w:rPr>
        <w:t>reallocating</w:t>
      </w:r>
      <w:r>
        <w:rPr>
          <w:spacing w:val="-2"/>
          <w:sz w:val="24"/>
        </w:rPr>
        <w:t xml:space="preserve"> </w:t>
      </w:r>
      <w:r>
        <w:rPr>
          <w:sz w:val="24"/>
        </w:rPr>
        <w:t>the</w:t>
      </w:r>
      <w:r>
        <w:rPr>
          <w:spacing w:val="-2"/>
          <w:sz w:val="24"/>
        </w:rPr>
        <w:t xml:space="preserve"> </w:t>
      </w:r>
      <w:r>
        <w:rPr>
          <w:sz w:val="24"/>
        </w:rPr>
        <w:t>excessive</w:t>
      </w:r>
      <w:r>
        <w:rPr>
          <w:spacing w:val="-1"/>
          <w:sz w:val="24"/>
        </w:rPr>
        <w:t xml:space="preserve"> </w:t>
      </w:r>
      <w:r>
        <w:rPr>
          <w:sz w:val="24"/>
        </w:rPr>
        <w:t>allocation</w:t>
      </w:r>
      <w:r>
        <w:rPr>
          <w:spacing w:val="-2"/>
          <w:sz w:val="24"/>
        </w:rPr>
        <w:t xml:space="preserve"> </w:t>
      </w:r>
      <w:r>
        <w:rPr>
          <w:spacing w:val="-5"/>
          <w:sz w:val="24"/>
        </w:rPr>
        <w:t>of</w:t>
      </w:r>
    </w:p>
    <w:p>
      <w:pPr>
        <w:pStyle w:val="BodyText"/>
        <w:ind w:left="1224"/>
      </w:pPr>
      <w:r>
        <w:t>$6.80</w:t>
      </w:r>
      <w:r>
        <w:rPr>
          <w:spacing w:val="-3"/>
        </w:rPr>
        <w:t xml:space="preserve"> </w:t>
      </w:r>
      <w:r>
        <w:t>entirely</w:t>
      </w:r>
      <w:r>
        <w:rPr>
          <w:spacing w:val="-1"/>
        </w:rPr>
        <w:t xml:space="preserve"> </w:t>
      </w:r>
      <w:r>
        <w:t>to the</w:t>
      </w:r>
      <w:r>
        <w:rPr>
          <w:spacing w:val="-1"/>
        </w:rPr>
        <w:t xml:space="preserve"> </w:t>
      </w:r>
      <w:r>
        <w:t>Part</w:t>
      </w:r>
      <w:r>
        <w:rPr>
          <w:spacing w:val="1"/>
        </w:rPr>
        <w:t xml:space="preserve"> </w:t>
      </w:r>
      <w:r>
        <w:t>B</w:t>
      </w:r>
      <w:r>
        <w:rPr>
          <w:spacing w:val="-1"/>
        </w:rPr>
        <w:t xml:space="preserve"> </w:t>
      </w:r>
      <w:r>
        <w:t>premium (in</w:t>
      </w:r>
      <w:r>
        <w:rPr>
          <w:spacing w:val="-1"/>
        </w:rPr>
        <w:t xml:space="preserve"> </w:t>
      </w:r>
      <w:r>
        <w:t>the</w:t>
      </w:r>
      <w:r>
        <w:rPr>
          <w:spacing w:val="-2"/>
        </w:rPr>
        <w:t xml:space="preserve"> </w:t>
      </w:r>
      <w:r>
        <w:t>circumstances</w:t>
      </w:r>
      <w:r>
        <w:rPr>
          <w:spacing w:val="-1"/>
        </w:rPr>
        <w:t xml:space="preserve"> </w:t>
      </w:r>
      <w:r>
        <w:t>where</w:t>
      </w:r>
      <w:r>
        <w:rPr>
          <w:spacing w:val="-3"/>
        </w:rPr>
        <w:t xml:space="preserve"> </w:t>
      </w:r>
      <w:r>
        <w:t>there</w:t>
      </w:r>
      <w:r>
        <w:rPr>
          <w:spacing w:val="-1"/>
        </w:rPr>
        <w:t xml:space="preserve"> </w:t>
      </w:r>
      <w:r>
        <w:t>is</w:t>
      </w:r>
      <w:r>
        <w:rPr>
          <w:spacing w:val="-2"/>
        </w:rPr>
        <w:t xml:space="preserve"> </w:t>
      </w:r>
      <w:r>
        <w:t>a MA</w:t>
      </w:r>
      <w:r>
        <w:rPr>
          <w:spacing w:val="-1"/>
        </w:rPr>
        <w:t xml:space="preserve"> </w:t>
      </w:r>
      <w:r>
        <w:rPr>
          <w:spacing w:val="-5"/>
        </w:rPr>
        <w:t>or</w:t>
      </w:r>
    </w:p>
    <w:p>
      <w:pPr>
        <w:pStyle w:val="BodyText"/>
        <w:ind w:left="1224" w:right="1443"/>
      </w:pPr>
      <w:r>
        <w:t>Part</w:t>
      </w:r>
      <w:r>
        <w:rPr>
          <w:spacing w:val="-3"/>
        </w:rPr>
        <w:t xml:space="preserve"> </w:t>
      </w:r>
      <w:r>
        <w:t>D</w:t>
      </w:r>
      <w:r>
        <w:rPr>
          <w:spacing w:val="-4"/>
        </w:rPr>
        <w:t xml:space="preserve"> </w:t>
      </w:r>
      <w:r>
        <w:t>supplemental</w:t>
      </w:r>
      <w:r>
        <w:rPr>
          <w:spacing w:val="-3"/>
        </w:rPr>
        <w:t xml:space="preserve"> </w:t>
      </w:r>
      <w:r>
        <w:t>premium</w:t>
      </w:r>
      <w:r>
        <w:rPr>
          <w:spacing w:val="-3"/>
        </w:rPr>
        <w:t xml:space="preserve"> </w:t>
      </w:r>
      <w:r>
        <w:t>pre-rebate</w:t>
      </w:r>
      <w:r>
        <w:rPr>
          <w:spacing w:val="-4"/>
        </w:rPr>
        <w:t xml:space="preserve"> </w:t>
      </w:r>
      <w:r>
        <w:t>reallocation,</w:t>
      </w:r>
      <w:r>
        <w:rPr>
          <w:spacing w:val="-3"/>
        </w:rPr>
        <w:t xml:space="preserve"> </w:t>
      </w:r>
      <w:r>
        <w:t>the</w:t>
      </w:r>
      <w:r>
        <w:rPr>
          <w:spacing w:val="-3"/>
        </w:rPr>
        <w:t xml:space="preserve"> </w:t>
      </w:r>
      <w:r>
        <w:t>MAO</w:t>
      </w:r>
      <w:r>
        <w:rPr>
          <w:spacing w:val="-5"/>
        </w:rPr>
        <w:t xml:space="preserve"> </w:t>
      </w:r>
      <w:r>
        <w:t>may</w:t>
      </w:r>
      <w:r>
        <w:rPr>
          <w:spacing w:val="-3"/>
        </w:rPr>
        <w:t xml:space="preserve"> </w:t>
      </w:r>
      <w:r>
        <w:t>choose</w:t>
      </w:r>
      <w:r>
        <w:rPr>
          <w:spacing w:val="-4"/>
        </w:rPr>
        <w:t xml:space="preserve"> </w:t>
      </w:r>
      <w:r>
        <w:t>to</w:t>
      </w:r>
      <w:r>
        <w:rPr>
          <w:spacing w:val="-3"/>
        </w:rPr>
        <w:t xml:space="preserve"> </w:t>
      </w:r>
      <w:r>
        <w:t>make</w:t>
      </w:r>
      <w:r>
        <w:rPr>
          <w:spacing w:val="-2"/>
        </w:rPr>
        <w:t xml:space="preserve"> </w:t>
      </w:r>
      <w:r>
        <w:t>no changes to MSB revenue requirement and decrease the MA or Part D supplemental premiums); or</w:t>
      </w:r>
    </w:p>
    <w:p>
      <w:pPr>
        <w:pStyle w:val="BodyText"/>
        <w:spacing w:before="140"/>
        <w:ind w:left="1224" w:right="1574"/>
        <w:jc w:val="both"/>
      </w:pPr>
      <w:r>
        <w:rPr>
          <w:b/>
        </w:rPr>
        <w:t>3b</w:t>
      </w:r>
      <w:r>
        <w:rPr>
          <w:b/>
          <w:spacing w:val="-1"/>
        </w:rPr>
        <w:t xml:space="preserve"> </w:t>
      </w:r>
      <w:r>
        <w:rPr>
          <w:b/>
        </w:rPr>
        <w:t>(Option</w:t>
      </w:r>
      <w:r>
        <w:rPr>
          <w:b/>
          <w:spacing w:val="-1"/>
        </w:rPr>
        <w:t xml:space="preserve"> </w:t>
      </w:r>
      <w:r>
        <w:rPr>
          <w:b/>
        </w:rPr>
        <w:t>shown</w:t>
      </w:r>
      <w:r>
        <w:rPr>
          <w:b/>
          <w:spacing w:val="-1"/>
        </w:rPr>
        <w:t xml:space="preserve"> </w:t>
      </w:r>
      <w:r>
        <w:rPr>
          <w:b/>
        </w:rPr>
        <w:t>above)</w:t>
      </w:r>
      <w:r>
        <w:t>: Increasing MSB</w:t>
      </w:r>
      <w:r>
        <w:rPr>
          <w:spacing w:val="-1"/>
        </w:rPr>
        <w:t xml:space="preserve"> </w:t>
      </w:r>
      <w:r>
        <w:t>revenue</w:t>
      </w:r>
      <w:r>
        <w:rPr>
          <w:spacing w:val="-2"/>
        </w:rPr>
        <w:t xml:space="preserve"> </w:t>
      </w:r>
      <w:r>
        <w:t>requirement by</w:t>
      </w:r>
      <w:r>
        <w:rPr>
          <w:spacing w:val="-1"/>
        </w:rPr>
        <w:t xml:space="preserve"> </w:t>
      </w:r>
      <w:r>
        <w:t>less</w:t>
      </w:r>
      <w:r>
        <w:rPr>
          <w:spacing w:val="-2"/>
        </w:rPr>
        <w:t xml:space="preserve"> </w:t>
      </w:r>
      <w:r>
        <w:t>than</w:t>
      </w:r>
      <w:r>
        <w:rPr>
          <w:spacing w:val="-1"/>
        </w:rPr>
        <w:t xml:space="preserve"> </w:t>
      </w:r>
      <w:r>
        <w:t>or</w:t>
      </w:r>
      <w:r>
        <w:rPr>
          <w:spacing w:val="-3"/>
        </w:rPr>
        <w:t xml:space="preserve"> </w:t>
      </w:r>
      <w:r>
        <w:t>equal to</w:t>
      </w:r>
      <w:r>
        <w:rPr>
          <w:spacing w:val="-2"/>
        </w:rPr>
        <w:t xml:space="preserve"> </w:t>
      </w:r>
      <w:r>
        <w:t>$6.80,</w:t>
      </w:r>
      <w:r>
        <w:rPr>
          <w:spacing w:val="-2"/>
        </w:rPr>
        <w:t xml:space="preserve"> </w:t>
      </w:r>
      <w:r>
        <w:t>such</w:t>
      </w:r>
      <w:r>
        <w:rPr>
          <w:spacing w:val="-2"/>
        </w:rPr>
        <w:t xml:space="preserve"> </w:t>
      </w:r>
      <w:r>
        <w:t>that</w:t>
      </w:r>
      <w:r>
        <w:rPr>
          <w:spacing w:val="-2"/>
        </w:rPr>
        <w:t xml:space="preserve"> </w:t>
      </w:r>
      <w:r>
        <w:t>there</w:t>
      </w:r>
      <w:r>
        <w:rPr>
          <w:spacing w:val="-3"/>
        </w:rPr>
        <w:t xml:space="preserve"> </w:t>
      </w:r>
      <w:r>
        <w:t>is</w:t>
      </w:r>
      <w:r>
        <w:rPr>
          <w:spacing w:val="-3"/>
        </w:rPr>
        <w:t xml:space="preserve"> </w:t>
      </w:r>
      <w:r>
        <w:t>a</w:t>
      </w:r>
      <w:r>
        <w:rPr>
          <w:spacing w:val="-3"/>
        </w:rPr>
        <w:t xml:space="preserve"> </w:t>
      </w:r>
      <w:r>
        <w:t>partial</w:t>
      </w:r>
      <w:r>
        <w:rPr>
          <w:spacing w:val="-2"/>
        </w:rPr>
        <w:t xml:space="preserve"> </w:t>
      </w:r>
      <w:r>
        <w:t>or</w:t>
      </w:r>
      <w:r>
        <w:rPr>
          <w:spacing w:val="-2"/>
        </w:rPr>
        <w:t xml:space="preserve"> </w:t>
      </w:r>
      <w:r>
        <w:t>full</w:t>
      </w:r>
      <w:r>
        <w:rPr>
          <w:spacing w:val="-2"/>
        </w:rPr>
        <w:t xml:space="preserve"> </w:t>
      </w:r>
      <w:r>
        <w:t>return</w:t>
      </w:r>
      <w:r>
        <w:rPr>
          <w:spacing w:val="-2"/>
        </w:rPr>
        <w:t xml:space="preserve"> </w:t>
      </w:r>
      <w:r>
        <w:t>to</w:t>
      </w:r>
      <w:r>
        <w:rPr>
          <w:spacing w:val="-2"/>
        </w:rPr>
        <w:t xml:space="preserve"> </w:t>
      </w:r>
      <w:r>
        <w:t>the</w:t>
      </w:r>
      <w:r>
        <w:rPr>
          <w:spacing w:val="-2"/>
        </w:rPr>
        <w:t xml:space="preserve"> </w:t>
      </w:r>
      <w:r>
        <w:t>MA</w:t>
      </w:r>
      <w:r>
        <w:rPr>
          <w:spacing w:val="-3"/>
        </w:rPr>
        <w:t xml:space="preserve"> </w:t>
      </w:r>
      <w:r>
        <w:t>premium</w:t>
      </w:r>
      <w:r>
        <w:rPr>
          <w:spacing w:val="-2"/>
        </w:rPr>
        <w:t xml:space="preserve"> </w:t>
      </w:r>
      <w:r>
        <w:t>in</w:t>
      </w:r>
      <w:r>
        <w:rPr>
          <w:spacing w:val="-2"/>
        </w:rPr>
        <w:t xml:space="preserve"> </w:t>
      </w:r>
      <w:r>
        <w:t>initial</w:t>
      </w:r>
      <w:r>
        <w:rPr>
          <w:spacing w:val="-2"/>
        </w:rPr>
        <w:t xml:space="preserve"> </w:t>
      </w:r>
      <w:r>
        <w:t>June</w:t>
      </w:r>
      <w:r>
        <w:rPr>
          <w:spacing w:val="-2"/>
        </w:rPr>
        <w:t xml:space="preserve"> </w:t>
      </w:r>
      <w:r>
        <w:t>bid by increasing rebate allocations to MA, Part D supplemental, or Part B premiums.</w:t>
      </w:r>
    </w:p>
    <w:p>
      <w:pPr>
        <w:pStyle w:val="BodyText"/>
        <w:spacing w:before="139"/>
        <w:ind w:right="1481"/>
      </w:pPr>
      <w:r>
        <w:t>*</w:t>
      </w:r>
      <w:r>
        <w:rPr>
          <w:b/>
        </w:rPr>
        <w:t>Unacceptable</w:t>
      </w:r>
      <w:r>
        <w:rPr>
          <w:b/>
          <w:spacing w:val="-4"/>
        </w:rPr>
        <w:t xml:space="preserve"> </w:t>
      </w:r>
      <w:r>
        <w:rPr>
          <w:b/>
        </w:rPr>
        <w:t>Option</w:t>
      </w:r>
      <w:r>
        <w:t>:</w:t>
      </w:r>
      <w:r>
        <w:rPr>
          <w:spacing w:val="-3"/>
        </w:rPr>
        <w:t xml:space="preserve"> </w:t>
      </w:r>
      <w:r>
        <w:t>The</w:t>
      </w:r>
      <w:r>
        <w:rPr>
          <w:spacing w:val="-4"/>
        </w:rPr>
        <w:t xml:space="preserve"> </w:t>
      </w:r>
      <w:r>
        <w:t>MSB</w:t>
      </w:r>
      <w:r>
        <w:rPr>
          <w:spacing w:val="-3"/>
        </w:rPr>
        <w:t xml:space="preserve"> </w:t>
      </w:r>
      <w:r>
        <w:t>revenue</w:t>
      </w:r>
      <w:r>
        <w:rPr>
          <w:spacing w:val="-2"/>
        </w:rPr>
        <w:t xml:space="preserve"> </w:t>
      </w:r>
      <w:r>
        <w:t>requirement</w:t>
      </w:r>
      <w:r>
        <w:rPr>
          <w:spacing w:val="-2"/>
        </w:rPr>
        <w:t xml:space="preserve"> </w:t>
      </w:r>
      <w:r>
        <w:t>cannot</w:t>
      </w:r>
      <w:r>
        <w:rPr>
          <w:spacing w:val="-3"/>
        </w:rPr>
        <w:t xml:space="preserve"> </w:t>
      </w:r>
      <w:r>
        <w:t>increase</w:t>
      </w:r>
      <w:r>
        <w:rPr>
          <w:spacing w:val="-4"/>
        </w:rPr>
        <w:t xml:space="preserve"> </w:t>
      </w:r>
      <w:r>
        <w:t>more</w:t>
      </w:r>
      <w:r>
        <w:rPr>
          <w:spacing w:val="-4"/>
        </w:rPr>
        <w:t xml:space="preserve"> </w:t>
      </w:r>
      <w:r>
        <w:t>than</w:t>
      </w:r>
      <w:r>
        <w:rPr>
          <w:spacing w:val="-3"/>
        </w:rPr>
        <w:t xml:space="preserve"> </w:t>
      </w:r>
      <w:r>
        <w:t>the</w:t>
      </w:r>
      <w:r>
        <w:rPr>
          <w:spacing w:val="-4"/>
        </w:rPr>
        <w:t xml:space="preserve"> </w:t>
      </w:r>
      <w:r>
        <w:t>value</w:t>
      </w:r>
      <w:r>
        <w:rPr>
          <w:spacing w:val="-4"/>
        </w:rPr>
        <w:t xml:space="preserve"> </w:t>
      </w:r>
      <w:r>
        <w:t>of the rebates for allocation.</w:t>
      </w:r>
    </w:p>
    <w:p>
      <w:pPr>
        <w:pStyle w:val="BodyText"/>
        <w:spacing w:before="6"/>
        <w:ind w:left="0"/>
      </w:pPr>
    </w:p>
    <w:p>
      <w:pPr>
        <w:pStyle w:val="Heading4"/>
      </w:pPr>
      <w:bookmarkStart w:id="376" w:name="Example 8: Excessive Rebates Allocated t"/>
      <w:bookmarkEnd w:id="376"/>
      <w:r>
        <w:rPr>
          <w:i/>
        </w:rPr>
        <w:t>Example</w:t>
      </w:r>
      <w:r>
        <w:rPr>
          <w:i/>
          <w:spacing w:val="-2"/>
        </w:rPr>
        <w:t xml:space="preserve"> </w:t>
      </w:r>
      <w:r>
        <w:rPr>
          <w:i/>
        </w:rPr>
        <w:t>8:</w:t>
      </w:r>
      <w:r>
        <w:rPr>
          <w:i/>
          <w:spacing w:val="-4"/>
        </w:rPr>
        <w:t xml:space="preserve"> </w:t>
      </w:r>
      <w:r>
        <w:rPr>
          <w:i/>
        </w:rPr>
        <w:t>Excessive</w:t>
      </w:r>
      <w:r>
        <w:rPr>
          <w:i/>
          <w:spacing w:val="-4"/>
        </w:rPr>
        <w:t xml:space="preserve"> </w:t>
      </w:r>
      <w:r>
        <w:rPr>
          <w:i/>
        </w:rPr>
        <w:t>Rebates</w:t>
      </w:r>
      <w:r>
        <w:rPr>
          <w:i/>
          <w:spacing w:val="-4"/>
        </w:rPr>
        <w:t xml:space="preserve"> </w:t>
      </w:r>
      <w:r>
        <w:rPr>
          <w:i/>
        </w:rPr>
        <w:t>Allocated</w:t>
      </w:r>
      <w:r>
        <w:rPr>
          <w:i/>
          <w:spacing w:val="-4"/>
        </w:rPr>
        <w:t xml:space="preserve"> </w:t>
      </w:r>
      <w:r>
        <w:rPr>
          <w:i/>
        </w:rPr>
        <w:t>to</w:t>
      </w:r>
      <w:r>
        <w:rPr>
          <w:i/>
          <w:spacing w:val="-1"/>
        </w:rPr>
        <w:t xml:space="preserve"> </w:t>
      </w:r>
      <w:r>
        <w:rPr>
          <w:i/>
        </w:rPr>
        <w:t>Part</w:t>
      </w:r>
      <w:r>
        <w:rPr>
          <w:i/>
          <w:spacing w:val="-4"/>
        </w:rPr>
        <w:t xml:space="preserve"> </w:t>
      </w:r>
      <w:r>
        <w:rPr>
          <w:i/>
        </w:rPr>
        <w:t>D</w:t>
      </w:r>
      <w:r>
        <w:rPr>
          <w:i/>
          <w:spacing w:val="-4"/>
        </w:rPr>
        <w:t xml:space="preserve"> </w:t>
      </w:r>
      <w:r>
        <w:rPr>
          <w:i/>
        </w:rPr>
        <w:t>Basic</w:t>
      </w:r>
      <w:r>
        <w:rPr>
          <w:i/>
          <w:spacing w:val="-3"/>
        </w:rPr>
        <w:t xml:space="preserve"> </w:t>
      </w:r>
      <w:r>
        <w:rPr>
          <w:i/>
        </w:rPr>
        <w:t>Premium,</w:t>
      </w:r>
      <w:r>
        <w:rPr>
          <w:i/>
          <w:spacing w:val="-3"/>
        </w:rPr>
        <w:t xml:space="preserve"> </w:t>
      </w:r>
      <w:r>
        <w:rPr>
          <w:i/>
        </w:rPr>
        <w:t>Reallocation</w:t>
      </w:r>
      <w:r>
        <w:t xml:space="preserve"> is Optional, and MAO cannot Achieve LIPSA.</w:t>
      </w:r>
    </w:p>
    <w:p>
      <w:pPr>
        <w:pStyle w:val="BodyText"/>
        <w:spacing w:before="130"/>
        <w:ind w:left="0"/>
        <w:rPr>
          <w:rFonts w:ascii="Arial"/>
          <w:b/>
          <w:i/>
          <w:sz w:val="20"/>
        </w:rPr>
      </w:pPr>
    </w:p>
    <w:tbl>
      <w:tblPr>
        <w:tblStyle w:val="TableNormal"/>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7"/>
        <w:gridCol w:w="1800"/>
        <w:gridCol w:w="1620"/>
        <w:gridCol w:w="1169"/>
        <w:gridCol w:w="1615"/>
      </w:tblGrid>
      <w:tr>
        <w:tblPrEx>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68"/>
          <w:jc w:val="left"/>
        </w:trPr>
        <w:tc>
          <w:tcPr>
            <w:tcW w:w="3147" w:type="dxa"/>
          </w:tcPr>
          <w:p>
            <w:pPr>
              <w:pStyle w:val="TableParagraph"/>
              <w:spacing w:before="73"/>
              <w:rPr>
                <w:rFonts w:ascii="Arial"/>
                <w:b/>
                <w:i/>
                <w:sz w:val="21"/>
              </w:rPr>
            </w:pPr>
          </w:p>
          <w:p>
            <w:pPr>
              <w:pStyle w:val="TableParagraph"/>
              <w:ind w:left="9"/>
              <w:jc w:val="center"/>
              <w:rPr>
                <w:b/>
                <w:sz w:val="21"/>
              </w:rPr>
            </w:pPr>
            <w:r>
              <w:rPr>
                <w:b/>
                <w:spacing w:val="-2"/>
                <w:sz w:val="21"/>
              </w:rPr>
              <w:t>Label</w:t>
            </w:r>
          </w:p>
        </w:tc>
        <w:tc>
          <w:tcPr>
            <w:tcW w:w="1800" w:type="dxa"/>
          </w:tcPr>
          <w:p>
            <w:pPr>
              <w:pStyle w:val="TableParagraph"/>
              <w:spacing w:before="73"/>
              <w:rPr>
                <w:rFonts w:ascii="Arial"/>
                <w:b/>
                <w:i/>
                <w:sz w:val="21"/>
              </w:rPr>
            </w:pPr>
          </w:p>
          <w:p>
            <w:pPr>
              <w:pStyle w:val="TableParagraph"/>
              <w:ind w:left="8" w:right="1"/>
              <w:jc w:val="center"/>
              <w:rPr>
                <w:b/>
                <w:sz w:val="21"/>
              </w:rPr>
            </w:pPr>
            <w:r>
              <w:rPr>
                <w:b/>
                <w:sz w:val="21"/>
              </w:rPr>
              <w:t>Initial</w:t>
            </w:r>
            <w:r>
              <w:rPr>
                <w:b/>
                <w:spacing w:val="-4"/>
                <w:sz w:val="21"/>
              </w:rPr>
              <w:t xml:space="preserve"> </w:t>
            </w:r>
            <w:r>
              <w:rPr>
                <w:b/>
                <w:sz w:val="21"/>
              </w:rPr>
              <w:t>June</w:t>
            </w:r>
            <w:r>
              <w:rPr>
                <w:b/>
                <w:spacing w:val="-2"/>
                <w:sz w:val="21"/>
              </w:rPr>
              <w:t xml:space="preserve"> </w:t>
            </w:r>
            <w:r>
              <w:rPr>
                <w:b/>
                <w:spacing w:val="-5"/>
                <w:sz w:val="21"/>
              </w:rPr>
              <w:t>Bid</w:t>
            </w:r>
          </w:p>
        </w:tc>
        <w:tc>
          <w:tcPr>
            <w:tcW w:w="1620" w:type="dxa"/>
          </w:tcPr>
          <w:p>
            <w:pPr>
              <w:pStyle w:val="TableParagraph"/>
              <w:spacing w:before="72"/>
              <w:ind w:left="168" w:right="161" w:hanging="3"/>
              <w:jc w:val="center"/>
              <w:rPr>
                <w:b/>
                <w:sz w:val="21"/>
              </w:rPr>
            </w:pPr>
            <w:r>
              <w:rPr>
                <w:b/>
                <w:sz w:val="21"/>
              </w:rPr>
              <w:t>After Release of</w:t>
            </w:r>
            <w:r>
              <w:rPr>
                <w:b/>
                <w:spacing w:val="-14"/>
                <w:sz w:val="21"/>
              </w:rPr>
              <w:t xml:space="preserve"> </w:t>
            </w:r>
            <w:r>
              <w:rPr>
                <w:b/>
                <w:sz w:val="21"/>
              </w:rPr>
              <w:t>Benchmark (Option 1)</w:t>
            </w:r>
          </w:p>
        </w:tc>
        <w:tc>
          <w:tcPr>
            <w:tcW w:w="1169" w:type="dxa"/>
          </w:tcPr>
          <w:p>
            <w:pPr>
              <w:pStyle w:val="TableParagraph"/>
              <w:spacing w:before="73"/>
              <w:rPr>
                <w:rFonts w:ascii="Arial"/>
                <w:b/>
                <w:i/>
                <w:sz w:val="21"/>
              </w:rPr>
            </w:pPr>
          </w:p>
          <w:p>
            <w:pPr>
              <w:pStyle w:val="TableParagraph"/>
              <w:ind w:left="7"/>
              <w:jc w:val="center"/>
              <w:rPr>
                <w:b/>
                <w:sz w:val="21"/>
              </w:rPr>
            </w:pPr>
            <w:r>
              <w:rPr>
                <w:b/>
                <w:sz w:val="21"/>
              </w:rPr>
              <w:t>Option</w:t>
            </w:r>
            <w:r>
              <w:rPr>
                <w:b/>
                <w:spacing w:val="-5"/>
                <w:sz w:val="21"/>
              </w:rPr>
              <w:t xml:space="preserve"> 2b</w:t>
            </w:r>
          </w:p>
        </w:tc>
        <w:tc>
          <w:tcPr>
            <w:tcW w:w="1615" w:type="dxa"/>
          </w:tcPr>
          <w:p>
            <w:pPr>
              <w:pStyle w:val="TableParagraph"/>
              <w:spacing w:before="192"/>
              <w:ind w:left="439" w:hanging="240"/>
              <w:rPr>
                <w:b/>
                <w:sz w:val="21"/>
              </w:rPr>
            </w:pPr>
            <w:r>
              <w:rPr>
                <w:b/>
                <w:spacing w:val="-2"/>
                <w:sz w:val="21"/>
              </w:rPr>
              <w:t>Unacceptable Option*</w:t>
            </w:r>
          </w:p>
        </w:tc>
      </w:tr>
      <w:tr>
        <w:tblPrEx>
          <w:tblW w:w="0" w:type="auto"/>
          <w:jc w:val="left"/>
          <w:tblInd w:w="514" w:type="dxa"/>
          <w:tblLayout w:type="fixed"/>
          <w:tblCellMar>
            <w:top w:w="0" w:type="dxa"/>
            <w:left w:w="0" w:type="dxa"/>
            <w:bottom w:w="0" w:type="dxa"/>
            <w:right w:w="0" w:type="dxa"/>
          </w:tblCellMar>
          <w:tblLook w:val="01E0"/>
        </w:tblPrEx>
        <w:trPr>
          <w:trHeight w:val="319"/>
          <w:jc w:val="left"/>
        </w:trPr>
        <w:tc>
          <w:tcPr>
            <w:tcW w:w="3147" w:type="dxa"/>
            <w:tcBorders>
              <w:bottom w:val="nil"/>
            </w:tcBorders>
          </w:tcPr>
          <w:p>
            <w:pPr>
              <w:pStyle w:val="TableParagraph"/>
              <w:spacing w:before="29"/>
              <w:ind w:left="107"/>
              <w:rPr>
                <w:b/>
                <w:sz w:val="21"/>
              </w:rPr>
            </w:pPr>
            <w:r>
              <w:rPr>
                <w:b/>
                <w:spacing w:val="-2"/>
                <w:sz w:val="21"/>
              </w:rPr>
              <w:t>LIPSA</w:t>
            </w:r>
          </w:p>
        </w:tc>
        <w:tc>
          <w:tcPr>
            <w:tcW w:w="1800" w:type="dxa"/>
            <w:tcBorders>
              <w:bottom w:val="nil"/>
            </w:tcBorders>
          </w:tcPr>
          <w:p>
            <w:pPr>
              <w:pStyle w:val="TableParagraph"/>
              <w:spacing w:before="29"/>
              <w:ind w:left="8"/>
              <w:jc w:val="center"/>
              <w:rPr>
                <w:sz w:val="21"/>
              </w:rPr>
            </w:pPr>
            <w:r>
              <w:rPr>
                <w:sz w:val="21"/>
              </w:rPr>
              <w:t xml:space="preserve">$46.50 </w:t>
            </w:r>
            <w:r>
              <w:rPr>
                <w:spacing w:val="-2"/>
                <w:sz w:val="21"/>
              </w:rPr>
              <w:t>(estimate)</w:t>
            </w:r>
          </w:p>
        </w:tc>
        <w:tc>
          <w:tcPr>
            <w:tcW w:w="1620" w:type="dxa"/>
            <w:tcBorders>
              <w:bottom w:val="nil"/>
            </w:tcBorders>
          </w:tcPr>
          <w:p>
            <w:pPr>
              <w:pStyle w:val="TableParagraph"/>
              <w:spacing w:before="29"/>
              <w:ind w:left="7"/>
              <w:jc w:val="center"/>
              <w:rPr>
                <w:sz w:val="21"/>
              </w:rPr>
            </w:pPr>
            <w:r>
              <w:rPr>
                <w:spacing w:val="-2"/>
                <w:sz w:val="21"/>
              </w:rPr>
              <w:t>$42.20</w:t>
            </w:r>
          </w:p>
        </w:tc>
        <w:tc>
          <w:tcPr>
            <w:tcW w:w="1169" w:type="dxa"/>
            <w:tcBorders>
              <w:bottom w:val="nil"/>
            </w:tcBorders>
          </w:tcPr>
          <w:p>
            <w:pPr>
              <w:pStyle w:val="TableParagraph"/>
              <w:spacing w:before="29"/>
              <w:ind w:left="7"/>
              <w:jc w:val="center"/>
              <w:rPr>
                <w:sz w:val="21"/>
              </w:rPr>
            </w:pPr>
            <w:r>
              <w:rPr>
                <w:spacing w:val="-2"/>
                <w:sz w:val="21"/>
              </w:rPr>
              <w:t>$42.20</w:t>
            </w:r>
          </w:p>
        </w:tc>
        <w:tc>
          <w:tcPr>
            <w:tcW w:w="1615" w:type="dxa"/>
            <w:tcBorders>
              <w:bottom w:val="nil"/>
            </w:tcBorders>
          </w:tcPr>
          <w:p>
            <w:pPr>
              <w:pStyle w:val="TableParagraph"/>
              <w:spacing w:before="29"/>
              <w:ind w:right="503"/>
              <w:jc w:val="right"/>
              <w:rPr>
                <w:sz w:val="21"/>
              </w:rPr>
            </w:pPr>
            <w:r>
              <w:rPr>
                <w:spacing w:val="-2"/>
                <w:sz w:val="21"/>
              </w:rPr>
              <w:t>$42.20</w:t>
            </w:r>
          </w:p>
        </w:tc>
      </w:tr>
      <w:tr>
        <w:tblPrEx>
          <w:tblW w:w="0" w:type="auto"/>
          <w:jc w:val="left"/>
          <w:tblInd w:w="514" w:type="dxa"/>
          <w:tblLayout w:type="fixed"/>
          <w:tblCellMar>
            <w:top w:w="0" w:type="dxa"/>
            <w:left w:w="0" w:type="dxa"/>
            <w:bottom w:w="0" w:type="dxa"/>
            <w:right w:w="0" w:type="dxa"/>
          </w:tblCellMar>
          <w:tblLook w:val="01E0"/>
        </w:tblPrEx>
        <w:trPr>
          <w:trHeight w:val="315"/>
          <w:jc w:val="left"/>
        </w:trPr>
        <w:tc>
          <w:tcPr>
            <w:tcW w:w="3147" w:type="dxa"/>
            <w:tcBorders>
              <w:top w:val="nil"/>
              <w:bottom w:val="nil"/>
            </w:tcBorders>
          </w:tcPr>
          <w:p>
            <w:pPr>
              <w:pStyle w:val="TableParagraph"/>
              <w:spacing w:before="41"/>
              <w:ind w:left="107"/>
              <w:rPr>
                <w:b/>
                <w:sz w:val="21"/>
              </w:rPr>
            </w:pPr>
            <w:r>
              <w:rPr>
                <w:b/>
                <w:sz w:val="21"/>
              </w:rPr>
              <w:t>Rebates</w:t>
            </w:r>
            <w:r>
              <w:rPr>
                <w:b/>
                <w:spacing w:val="-5"/>
                <w:sz w:val="21"/>
              </w:rPr>
              <w:t xml:space="preserve"> </w:t>
            </w:r>
            <w:r>
              <w:rPr>
                <w:b/>
                <w:sz w:val="21"/>
              </w:rPr>
              <w:t>for</w:t>
            </w:r>
            <w:r>
              <w:rPr>
                <w:b/>
                <w:spacing w:val="-6"/>
                <w:sz w:val="21"/>
              </w:rPr>
              <w:t xml:space="preserve"> </w:t>
            </w:r>
            <w:r>
              <w:rPr>
                <w:b/>
                <w:spacing w:val="-2"/>
                <w:sz w:val="21"/>
              </w:rPr>
              <w:t>Allocation</w:t>
            </w:r>
          </w:p>
        </w:tc>
        <w:tc>
          <w:tcPr>
            <w:tcW w:w="1800" w:type="dxa"/>
            <w:tcBorders>
              <w:top w:val="nil"/>
              <w:bottom w:val="nil"/>
            </w:tcBorders>
          </w:tcPr>
          <w:p>
            <w:pPr>
              <w:pStyle w:val="TableParagraph"/>
              <w:spacing w:before="41"/>
              <w:ind w:left="8" w:right="5"/>
              <w:jc w:val="center"/>
              <w:rPr>
                <w:sz w:val="21"/>
              </w:rPr>
            </w:pPr>
            <w:r>
              <w:rPr>
                <w:spacing w:val="-5"/>
                <w:sz w:val="21"/>
              </w:rPr>
              <w:t>N/A</w:t>
            </w:r>
          </w:p>
        </w:tc>
        <w:tc>
          <w:tcPr>
            <w:tcW w:w="1620" w:type="dxa"/>
            <w:tcBorders>
              <w:top w:val="nil"/>
              <w:bottom w:val="nil"/>
            </w:tcBorders>
          </w:tcPr>
          <w:p>
            <w:pPr>
              <w:pStyle w:val="TableParagraph"/>
              <w:spacing w:before="41"/>
              <w:ind w:left="7"/>
              <w:jc w:val="center"/>
              <w:rPr>
                <w:sz w:val="21"/>
              </w:rPr>
            </w:pPr>
            <w:r>
              <w:rPr>
                <w:spacing w:val="-2"/>
                <w:sz w:val="21"/>
              </w:rPr>
              <w:t>$5.10</w:t>
            </w:r>
          </w:p>
        </w:tc>
        <w:tc>
          <w:tcPr>
            <w:tcW w:w="1169" w:type="dxa"/>
            <w:tcBorders>
              <w:top w:val="nil"/>
              <w:bottom w:val="nil"/>
            </w:tcBorders>
          </w:tcPr>
          <w:p>
            <w:pPr>
              <w:pStyle w:val="TableParagraph"/>
              <w:spacing w:before="41"/>
              <w:ind w:left="7"/>
              <w:jc w:val="center"/>
              <w:rPr>
                <w:sz w:val="21"/>
              </w:rPr>
            </w:pPr>
            <w:r>
              <w:rPr>
                <w:spacing w:val="-2"/>
                <w:sz w:val="21"/>
              </w:rPr>
              <w:t>$5.10</w:t>
            </w:r>
          </w:p>
        </w:tc>
        <w:tc>
          <w:tcPr>
            <w:tcW w:w="1615" w:type="dxa"/>
            <w:tcBorders>
              <w:top w:val="nil"/>
              <w:bottom w:val="nil"/>
            </w:tcBorders>
          </w:tcPr>
          <w:p>
            <w:pPr>
              <w:pStyle w:val="TableParagraph"/>
              <w:spacing w:before="41"/>
              <w:ind w:right="556"/>
              <w:jc w:val="right"/>
              <w:rPr>
                <w:sz w:val="21"/>
              </w:rPr>
            </w:pPr>
            <w:r>
              <w:rPr>
                <w:spacing w:val="-2"/>
                <w:sz w:val="21"/>
              </w:rPr>
              <w:t>$5.10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147" w:type="dxa"/>
            <w:tcBorders>
              <w:top w:val="nil"/>
              <w:bottom w:val="nil"/>
            </w:tcBorders>
          </w:tcPr>
          <w:p>
            <w:pPr>
              <w:pStyle w:val="TableParagraph"/>
              <w:spacing w:before="25"/>
              <w:ind w:left="107"/>
              <w:rPr>
                <w:b/>
                <w:sz w:val="21"/>
              </w:rPr>
            </w:pPr>
            <w:r>
              <w:rPr>
                <w:b/>
                <w:sz w:val="21"/>
              </w:rPr>
              <w:t>Change</w:t>
            </w:r>
            <w:r>
              <w:rPr>
                <w:b/>
                <w:spacing w:val="-3"/>
                <w:sz w:val="21"/>
              </w:rPr>
              <w:t xml:space="preserve"> </w:t>
            </w:r>
            <w:r>
              <w:rPr>
                <w:b/>
                <w:sz w:val="21"/>
              </w:rPr>
              <w:t>in</w:t>
            </w:r>
            <w:r>
              <w:rPr>
                <w:b/>
                <w:spacing w:val="-5"/>
                <w:sz w:val="21"/>
              </w:rPr>
              <w:t xml:space="preserve"> </w:t>
            </w:r>
            <w:r>
              <w:rPr>
                <w:b/>
                <w:sz w:val="21"/>
              </w:rPr>
              <w:t>MSB</w:t>
            </w:r>
            <w:r>
              <w:rPr>
                <w:b/>
                <w:spacing w:val="-4"/>
                <w:sz w:val="21"/>
              </w:rPr>
              <w:t xml:space="preserve"> </w:t>
            </w:r>
            <w:r>
              <w:rPr>
                <w:b/>
                <w:sz w:val="21"/>
              </w:rPr>
              <w:t>Rev</w:t>
            </w:r>
            <w:r>
              <w:rPr>
                <w:b/>
                <w:spacing w:val="-5"/>
                <w:sz w:val="21"/>
              </w:rPr>
              <w:t xml:space="preserve"> Req</w:t>
            </w:r>
          </w:p>
        </w:tc>
        <w:tc>
          <w:tcPr>
            <w:tcW w:w="1800" w:type="dxa"/>
            <w:tcBorders>
              <w:top w:val="nil"/>
              <w:bottom w:val="nil"/>
            </w:tcBorders>
          </w:tcPr>
          <w:p>
            <w:pPr>
              <w:pStyle w:val="TableParagraph"/>
              <w:spacing w:before="25"/>
              <w:ind w:left="8" w:right="5"/>
              <w:jc w:val="center"/>
              <w:rPr>
                <w:sz w:val="21"/>
              </w:rPr>
            </w:pPr>
            <w:r>
              <w:rPr>
                <w:spacing w:val="-5"/>
                <w:sz w:val="21"/>
              </w:rPr>
              <w:t>N/A</w:t>
            </w:r>
          </w:p>
        </w:tc>
        <w:tc>
          <w:tcPr>
            <w:tcW w:w="1620" w:type="dxa"/>
            <w:tcBorders>
              <w:top w:val="nil"/>
              <w:bottom w:val="nil"/>
            </w:tcBorders>
          </w:tcPr>
          <w:p>
            <w:pPr>
              <w:pStyle w:val="TableParagraph"/>
              <w:spacing w:before="25"/>
              <w:ind w:left="7" w:right="1"/>
              <w:jc w:val="center"/>
              <w:rPr>
                <w:sz w:val="21"/>
              </w:rPr>
            </w:pPr>
            <w:r>
              <w:rPr>
                <w:spacing w:val="-5"/>
                <w:sz w:val="21"/>
              </w:rPr>
              <w:t>N/A</w:t>
            </w:r>
          </w:p>
        </w:tc>
        <w:tc>
          <w:tcPr>
            <w:tcW w:w="1169" w:type="dxa"/>
            <w:tcBorders>
              <w:top w:val="nil"/>
              <w:bottom w:val="nil"/>
            </w:tcBorders>
          </w:tcPr>
          <w:p>
            <w:pPr>
              <w:pStyle w:val="TableParagraph"/>
              <w:spacing w:before="25"/>
              <w:ind w:left="7"/>
              <w:jc w:val="center"/>
              <w:rPr>
                <w:sz w:val="21"/>
              </w:rPr>
            </w:pPr>
            <w:r>
              <w:rPr>
                <w:spacing w:val="-2"/>
                <w:sz w:val="21"/>
              </w:rPr>
              <w:t>$5.10</w:t>
            </w:r>
          </w:p>
        </w:tc>
        <w:tc>
          <w:tcPr>
            <w:tcW w:w="1615" w:type="dxa"/>
            <w:tcBorders>
              <w:top w:val="nil"/>
              <w:bottom w:val="nil"/>
            </w:tcBorders>
          </w:tcPr>
          <w:p>
            <w:pPr>
              <w:pStyle w:val="TableParagraph"/>
              <w:spacing w:before="25"/>
              <w:ind w:right="556"/>
              <w:jc w:val="right"/>
              <w:rPr>
                <w:sz w:val="21"/>
              </w:rPr>
            </w:pPr>
            <w:r>
              <w:rPr>
                <w:spacing w:val="-2"/>
                <w:sz w:val="21"/>
              </w:rPr>
              <w:t>$7.00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147" w:type="dxa"/>
            <w:tcBorders>
              <w:top w:val="nil"/>
              <w:bottom w:val="nil"/>
            </w:tcBorders>
          </w:tcPr>
          <w:p>
            <w:pPr>
              <w:pStyle w:val="TableParagraph"/>
              <w:spacing w:before="175"/>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800" w:type="dxa"/>
            <w:tcBorders>
              <w:top w:val="nil"/>
              <w:bottom w:val="nil"/>
            </w:tcBorders>
          </w:tcPr>
          <w:p>
            <w:pPr>
              <w:pStyle w:val="TableParagraph"/>
              <w:spacing w:before="175"/>
              <w:ind w:left="8" w:right="1"/>
              <w:jc w:val="center"/>
              <w:rPr>
                <w:sz w:val="21"/>
              </w:rPr>
            </w:pPr>
            <w:r>
              <w:rPr>
                <w:spacing w:val="-2"/>
                <w:sz w:val="21"/>
              </w:rPr>
              <w:t>$128.00</w:t>
            </w:r>
          </w:p>
        </w:tc>
        <w:tc>
          <w:tcPr>
            <w:tcW w:w="1620" w:type="dxa"/>
            <w:tcBorders>
              <w:top w:val="nil"/>
              <w:bottom w:val="nil"/>
            </w:tcBorders>
          </w:tcPr>
          <w:p>
            <w:pPr>
              <w:pStyle w:val="TableParagraph"/>
              <w:spacing w:before="175"/>
              <w:ind w:left="7" w:right="2"/>
              <w:jc w:val="center"/>
              <w:rPr>
                <w:sz w:val="21"/>
              </w:rPr>
            </w:pPr>
            <w:r>
              <w:rPr>
                <w:spacing w:val="-2"/>
                <w:sz w:val="21"/>
              </w:rPr>
              <w:t>$128.00</w:t>
            </w:r>
          </w:p>
        </w:tc>
        <w:tc>
          <w:tcPr>
            <w:tcW w:w="1169" w:type="dxa"/>
            <w:tcBorders>
              <w:top w:val="nil"/>
              <w:bottom w:val="nil"/>
            </w:tcBorders>
          </w:tcPr>
          <w:p>
            <w:pPr>
              <w:pStyle w:val="TableParagraph"/>
              <w:spacing w:before="175"/>
              <w:ind w:left="7" w:right="2"/>
              <w:jc w:val="center"/>
              <w:rPr>
                <w:b/>
                <w:i/>
                <w:sz w:val="21"/>
              </w:rPr>
            </w:pPr>
            <w:r>
              <w:rPr>
                <w:b/>
                <w:i/>
                <w:spacing w:val="-2"/>
                <w:sz w:val="21"/>
              </w:rPr>
              <w:t>$133.10</w:t>
            </w:r>
          </w:p>
        </w:tc>
        <w:tc>
          <w:tcPr>
            <w:tcW w:w="1615" w:type="dxa"/>
            <w:tcBorders>
              <w:top w:val="nil"/>
              <w:bottom w:val="nil"/>
            </w:tcBorders>
          </w:tcPr>
          <w:p>
            <w:pPr>
              <w:pStyle w:val="TableParagraph"/>
              <w:spacing w:before="175"/>
              <w:ind w:right="452"/>
              <w:jc w:val="right"/>
              <w:rPr>
                <w:b/>
                <w:i/>
                <w:sz w:val="21"/>
              </w:rPr>
            </w:pPr>
            <w:r>
              <w:rPr>
                <w:b/>
                <w:i/>
                <w:spacing w:val="-2"/>
                <w:sz w:val="21"/>
              </w:rPr>
              <w:t>$135.00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147" w:type="dxa"/>
            <w:tcBorders>
              <w:top w:val="nil"/>
              <w:bottom w:val="nil"/>
            </w:tcBorders>
          </w:tcPr>
          <w:p>
            <w:pPr>
              <w:pStyle w:val="TableParagraph"/>
              <w:spacing w:before="25"/>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800" w:type="dxa"/>
            <w:tcBorders>
              <w:top w:val="nil"/>
              <w:bottom w:val="nil"/>
            </w:tcBorders>
          </w:tcPr>
          <w:p>
            <w:pPr>
              <w:pStyle w:val="TableParagraph"/>
              <w:spacing w:before="25"/>
              <w:ind w:left="8" w:right="1"/>
              <w:jc w:val="center"/>
              <w:rPr>
                <w:sz w:val="21"/>
              </w:rPr>
            </w:pPr>
            <w:r>
              <w:rPr>
                <w:spacing w:val="-2"/>
                <w:sz w:val="21"/>
              </w:rPr>
              <w:t>$128.00</w:t>
            </w:r>
          </w:p>
        </w:tc>
        <w:tc>
          <w:tcPr>
            <w:tcW w:w="1620" w:type="dxa"/>
            <w:tcBorders>
              <w:top w:val="nil"/>
              <w:bottom w:val="nil"/>
            </w:tcBorders>
          </w:tcPr>
          <w:p>
            <w:pPr>
              <w:pStyle w:val="TableParagraph"/>
              <w:spacing w:before="25"/>
              <w:ind w:left="7" w:right="2"/>
              <w:jc w:val="center"/>
              <w:rPr>
                <w:sz w:val="21"/>
              </w:rPr>
            </w:pPr>
            <w:r>
              <w:rPr>
                <w:spacing w:val="-2"/>
                <w:sz w:val="21"/>
              </w:rPr>
              <w:t>$128.00</w:t>
            </w:r>
          </w:p>
        </w:tc>
        <w:tc>
          <w:tcPr>
            <w:tcW w:w="1169" w:type="dxa"/>
            <w:tcBorders>
              <w:top w:val="nil"/>
              <w:bottom w:val="nil"/>
            </w:tcBorders>
          </w:tcPr>
          <w:p>
            <w:pPr>
              <w:pStyle w:val="TableParagraph"/>
              <w:spacing w:before="25"/>
              <w:ind w:left="7" w:right="2"/>
              <w:jc w:val="center"/>
              <w:rPr>
                <w:b/>
                <w:i/>
                <w:sz w:val="21"/>
              </w:rPr>
            </w:pPr>
            <w:r>
              <w:rPr>
                <w:b/>
                <w:i/>
                <w:spacing w:val="-2"/>
                <w:sz w:val="21"/>
              </w:rPr>
              <w:t>$133.10</w:t>
            </w:r>
          </w:p>
        </w:tc>
        <w:tc>
          <w:tcPr>
            <w:tcW w:w="1615" w:type="dxa"/>
            <w:tcBorders>
              <w:top w:val="nil"/>
              <w:bottom w:val="nil"/>
            </w:tcBorders>
          </w:tcPr>
          <w:p>
            <w:pPr>
              <w:pStyle w:val="TableParagraph"/>
              <w:spacing w:before="25"/>
              <w:ind w:right="452"/>
              <w:jc w:val="right"/>
              <w:rPr>
                <w:b/>
                <w:i/>
                <w:sz w:val="21"/>
              </w:rPr>
            </w:pPr>
            <w:r>
              <w:rPr>
                <w:b/>
                <w:i/>
                <w:spacing w:val="-2"/>
                <w:sz w:val="21"/>
              </w:rPr>
              <w:t>$135.00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147" w:type="dxa"/>
            <w:tcBorders>
              <w:top w:val="nil"/>
              <w:bottom w:val="nil"/>
            </w:tcBorders>
          </w:tcPr>
          <w:p>
            <w:pPr>
              <w:pStyle w:val="TableParagraph"/>
              <w:spacing w:before="25"/>
              <w:ind w:left="107"/>
              <w:rPr>
                <w:b/>
                <w:sz w:val="21"/>
              </w:rPr>
            </w:pPr>
            <w:r>
              <w:rPr>
                <w:b/>
                <w:sz w:val="21"/>
              </w:rPr>
              <w:t>MA</w:t>
            </w:r>
            <w:r>
              <w:rPr>
                <w:b/>
                <w:spacing w:val="-5"/>
                <w:sz w:val="21"/>
              </w:rPr>
              <w:t xml:space="preserve"> </w:t>
            </w:r>
            <w:r>
              <w:rPr>
                <w:b/>
                <w:spacing w:val="-2"/>
                <w:sz w:val="21"/>
              </w:rPr>
              <w:t>Premium</w:t>
            </w:r>
          </w:p>
        </w:tc>
        <w:tc>
          <w:tcPr>
            <w:tcW w:w="1800" w:type="dxa"/>
            <w:tcBorders>
              <w:top w:val="nil"/>
              <w:bottom w:val="nil"/>
            </w:tcBorders>
          </w:tcPr>
          <w:p>
            <w:pPr>
              <w:pStyle w:val="TableParagraph"/>
              <w:spacing w:before="25"/>
              <w:ind w:left="8" w:right="4"/>
              <w:jc w:val="center"/>
              <w:rPr>
                <w:sz w:val="21"/>
              </w:rPr>
            </w:pPr>
            <w:r>
              <w:rPr>
                <w:spacing w:val="-2"/>
                <w:sz w:val="21"/>
              </w:rPr>
              <w:t>$0.00</w:t>
            </w:r>
          </w:p>
        </w:tc>
        <w:tc>
          <w:tcPr>
            <w:tcW w:w="1620" w:type="dxa"/>
            <w:tcBorders>
              <w:top w:val="nil"/>
              <w:bottom w:val="nil"/>
            </w:tcBorders>
          </w:tcPr>
          <w:p>
            <w:pPr>
              <w:pStyle w:val="TableParagraph"/>
              <w:spacing w:before="25"/>
              <w:ind w:left="7"/>
              <w:jc w:val="center"/>
              <w:rPr>
                <w:sz w:val="21"/>
              </w:rPr>
            </w:pPr>
            <w:r>
              <w:rPr>
                <w:spacing w:val="-2"/>
                <w:sz w:val="21"/>
              </w:rPr>
              <w:t>$0.00</w:t>
            </w:r>
          </w:p>
        </w:tc>
        <w:tc>
          <w:tcPr>
            <w:tcW w:w="1169" w:type="dxa"/>
            <w:tcBorders>
              <w:top w:val="nil"/>
              <w:bottom w:val="nil"/>
            </w:tcBorders>
          </w:tcPr>
          <w:p>
            <w:pPr>
              <w:pStyle w:val="TableParagraph"/>
              <w:spacing w:before="25"/>
              <w:ind w:left="7"/>
              <w:jc w:val="center"/>
              <w:rPr>
                <w:sz w:val="21"/>
              </w:rPr>
            </w:pPr>
            <w:r>
              <w:rPr>
                <w:spacing w:val="-2"/>
                <w:sz w:val="21"/>
              </w:rPr>
              <w:t>$0.00</w:t>
            </w:r>
          </w:p>
        </w:tc>
        <w:tc>
          <w:tcPr>
            <w:tcW w:w="1615" w:type="dxa"/>
            <w:tcBorders>
              <w:top w:val="nil"/>
              <w:bottom w:val="nil"/>
            </w:tcBorders>
          </w:tcPr>
          <w:p>
            <w:pPr>
              <w:pStyle w:val="TableParagraph"/>
              <w:spacing w:before="25"/>
              <w:ind w:right="556"/>
              <w:jc w:val="right"/>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147" w:type="dxa"/>
            <w:tcBorders>
              <w:top w:val="nil"/>
              <w:bottom w:val="nil"/>
            </w:tcBorders>
          </w:tcPr>
          <w:p>
            <w:pPr>
              <w:pStyle w:val="TableParagraph"/>
              <w:spacing w:before="175"/>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5"/>
                <w:sz w:val="21"/>
              </w:rPr>
              <w:t xml:space="preserve"> </w:t>
            </w:r>
            <w:r>
              <w:rPr>
                <w:spacing w:val="-2"/>
                <w:sz w:val="21"/>
              </w:rPr>
              <w:t>Rebate</w:t>
            </w:r>
          </w:p>
        </w:tc>
        <w:tc>
          <w:tcPr>
            <w:tcW w:w="1800" w:type="dxa"/>
            <w:tcBorders>
              <w:top w:val="nil"/>
              <w:bottom w:val="nil"/>
            </w:tcBorders>
          </w:tcPr>
          <w:p>
            <w:pPr>
              <w:pStyle w:val="TableParagraph"/>
              <w:spacing w:before="175"/>
              <w:ind w:left="8" w:right="4"/>
              <w:jc w:val="center"/>
              <w:rPr>
                <w:sz w:val="21"/>
              </w:rPr>
            </w:pPr>
            <w:r>
              <w:rPr>
                <w:spacing w:val="-2"/>
                <w:sz w:val="21"/>
              </w:rPr>
              <w:t>$51.60</w:t>
            </w:r>
          </w:p>
        </w:tc>
        <w:tc>
          <w:tcPr>
            <w:tcW w:w="1620" w:type="dxa"/>
            <w:tcBorders>
              <w:top w:val="nil"/>
              <w:bottom w:val="nil"/>
            </w:tcBorders>
          </w:tcPr>
          <w:p>
            <w:pPr>
              <w:pStyle w:val="TableParagraph"/>
              <w:spacing w:before="175"/>
              <w:ind w:left="7"/>
              <w:jc w:val="center"/>
              <w:rPr>
                <w:sz w:val="21"/>
              </w:rPr>
            </w:pPr>
            <w:r>
              <w:rPr>
                <w:spacing w:val="-2"/>
                <w:sz w:val="21"/>
              </w:rPr>
              <w:t>$40.70</w:t>
            </w:r>
          </w:p>
        </w:tc>
        <w:tc>
          <w:tcPr>
            <w:tcW w:w="1169" w:type="dxa"/>
            <w:tcBorders>
              <w:top w:val="nil"/>
              <w:bottom w:val="nil"/>
            </w:tcBorders>
          </w:tcPr>
          <w:p>
            <w:pPr>
              <w:pStyle w:val="TableParagraph"/>
              <w:spacing w:before="175"/>
              <w:ind w:left="7"/>
              <w:jc w:val="center"/>
              <w:rPr>
                <w:sz w:val="21"/>
              </w:rPr>
            </w:pPr>
            <w:r>
              <w:rPr>
                <w:spacing w:val="-2"/>
                <w:sz w:val="21"/>
              </w:rPr>
              <w:t>$40.70</w:t>
            </w:r>
          </w:p>
        </w:tc>
        <w:tc>
          <w:tcPr>
            <w:tcW w:w="1615" w:type="dxa"/>
            <w:tcBorders>
              <w:top w:val="nil"/>
              <w:bottom w:val="nil"/>
            </w:tcBorders>
          </w:tcPr>
          <w:p>
            <w:pPr>
              <w:pStyle w:val="TableParagraph"/>
              <w:spacing w:before="175"/>
              <w:ind w:right="503"/>
              <w:jc w:val="right"/>
              <w:rPr>
                <w:sz w:val="21"/>
              </w:rPr>
            </w:pPr>
            <w:r>
              <w:rPr>
                <w:spacing w:val="-2"/>
                <w:sz w:val="21"/>
              </w:rPr>
              <w:t>$40.70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147"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5"/>
                <w:sz w:val="21"/>
              </w:rPr>
              <w:t xml:space="preserve"> </w:t>
            </w:r>
            <w:r>
              <w:rPr>
                <w:spacing w:val="-2"/>
                <w:sz w:val="21"/>
              </w:rPr>
              <w:t>Allocations</w:t>
            </w:r>
          </w:p>
        </w:tc>
        <w:tc>
          <w:tcPr>
            <w:tcW w:w="1800" w:type="dxa"/>
            <w:tcBorders>
              <w:top w:val="nil"/>
              <w:bottom w:val="nil"/>
            </w:tcBorders>
          </w:tcPr>
          <w:p>
            <w:pPr>
              <w:pStyle w:val="TableParagraph"/>
              <w:spacing w:before="25"/>
              <w:ind w:left="8" w:right="4"/>
              <w:jc w:val="center"/>
              <w:rPr>
                <w:sz w:val="21"/>
              </w:rPr>
            </w:pPr>
            <w:r>
              <w:rPr>
                <w:spacing w:val="-2"/>
                <w:sz w:val="21"/>
              </w:rPr>
              <w:t>$5.10</w:t>
            </w:r>
          </w:p>
        </w:tc>
        <w:tc>
          <w:tcPr>
            <w:tcW w:w="1620" w:type="dxa"/>
            <w:tcBorders>
              <w:top w:val="nil"/>
              <w:bottom w:val="nil"/>
            </w:tcBorders>
          </w:tcPr>
          <w:p>
            <w:pPr>
              <w:pStyle w:val="TableParagraph"/>
              <w:spacing w:before="25"/>
              <w:ind w:left="7"/>
              <w:jc w:val="center"/>
              <w:rPr>
                <w:sz w:val="21"/>
              </w:rPr>
            </w:pPr>
            <w:r>
              <w:rPr>
                <w:spacing w:val="-2"/>
                <w:sz w:val="21"/>
              </w:rPr>
              <w:t>$5.10</w:t>
            </w:r>
          </w:p>
        </w:tc>
        <w:tc>
          <w:tcPr>
            <w:tcW w:w="1169" w:type="dxa"/>
            <w:tcBorders>
              <w:top w:val="nil"/>
              <w:bottom w:val="nil"/>
            </w:tcBorders>
          </w:tcPr>
          <w:p>
            <w:pPr>
              <w:pStyle w:val="TableParagraph"/>
              <w:spacing w:before="25"/>
              <w:ind w:left="7"/>
              <w:jc w:val="center"/>
              <w:rPr>
                <w:b/>
                <w:i/>
                <w:sz w:val="21"/>
              </w:rPr>
            </w:pPr>
            <w:r>
              <w:rPr>
                <w:b/>
                <w:i/>
                <w:spacing w:val="-2"/>
                <w:sz w:val="21"/>
              </w:rPr>
              <w:t>$0.00</w:t>
            </w:r>
          </w:p>
        </w:tc>
        <w:tc>
          <w:tcPr>
            <w:tcW w:w="1615" w:type="dxa"/>
            <w:tcBorders>
              <w:top w:val="nil"/>
              <w:bottom w:val="nil"/>
            </w:tcBorders>
          </w:tcPr>
          <w:p>
            <w:pPr>
              <w:pStyle w:val="TableParagraph"/>
              <w:spacing w:before="25"/>
              <w:ind w:right="556"/>
              <w:jc w:val="right"/>
              <w:rPr>
                <w:b/>
                <w:i/>
                <w:sz w:val="21"/>
              </w:rPr>
            </w:pPr>
            <w:r>
              <w:rPr>
                <w:b/>
                <w:i/>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147"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800" w:type="dxa"/>
            <w:tcBorders>
              <w:top w:val="nil"/>
              <w:bottom w:val="nil"/>
            </w:tcBorders>
          </w:tcPr>
          <w:p>
            <w:pPr>
              <w:pStyle w:val="TableParagraph"/>
              <w:spacing w:before="25"/>
              <w:ind w:left="8" w:right="4"/>
              <w:jc w:val="center"/>
              <w:rPr>
                <w:sz w:val="21"/>
              </w:rPr>
            </w:pPr>
            <w:r>
              <w:rPr>
                <w:spacing w:val="-2"/>
                <w:sz w:val="21"/>
              </w:rPr>
              <w:t>$46.50</w:t>
            </w:r>
          </w:p>
        </w:tc>
        <w:tc>
          <w:tcPr>
            <w:tcW w:w="1620" w:type="dxa"/>
            <w:tcBorders>
              <w:top w:val="nil"/>
              <w:bottom w:val="nil"/>
            </w:tcBorders>
          </w:tcPr>
          <w:p>
            <w:pPr>
              <w:pStyle w:val="TableParagraph"/>
              <w:spacing w:before="25"/>
              <w:ind w:left="7"/>
              <w:jc w:val="center"/>
              <w:rPr>
                <w:sz w:val="21"/>
              </w:rPr>
            </w:pPr>
            <w:r>
              <w:rPr>
                <w:spacing w:val="-2"/>
                <w:sz w:val="21"/>
              </w:rPr>
              <w:t>$35.60</w:t>
            </w:r>
          </w:p>
        </w:tc>
        <w:tc>
          <w:tcPr>
            <w:tcW w:w="1169" w:type="dxa"/>
            <w:tcBorders>
              <w:top w:val="nil"/>
              <w:bottom w:val="nil"/>
            </w:tcBorders>
          </w:tcPr>
          <w:p>
            <w:pPr>
              <w:pStyle w:val="TableParagraph"/>
              <w:spacing w:before="25"/>
              <w:ind w:left="7"/>
              <w:jc w:val="center"/>
              <w:rPr>
                <w:sz w:val="21"/>
              </w:rPr>
            </w:pPr>
            <w:r>
              <w:rPr>
                <w:spacing w:val="-2"/>
                <w:sz w:val="21"/>
              </w:rPr>
              <w:t>$40.70</w:t>
            </w:r>
          </w:p>
        </w:tc>
        <w:tc>
          <w:tcPr>
            <w:tcW w:w="1615" w:type="dxa"/>
            <w:tcBorders>
              <w:top w:val="nil"/>
              <w:bottom w:val="nil"/>
            </w:tcBorders>
          </w:tcPr>
          <w:p>
            <w:pPr>
              <w:pStyle w:val="TableParagraph"/>
              <w:spacing w:before="25"/>
              <w:ind w:right="503"/>
              <w:jc w:val="right"/>
              <w:rPr>
                <w:sz w:val="21"/>
              </w:rPr>
            </w:pPr>
            <w:r>
              <w:rPr>
                <w:spacing w:val="-2"/>
                <w:sz w:val="21"/>
              </w:rPr>
              <w:t>$40.70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147"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800" w:type="dxa"/>
            <w:tcBorders>
              <w:top w:val="nil"/>
              <w:bottom w:val="nil"/>
            </w:tcBorders>
          </w:tcPr>
          <w:p>
            <w:pPr>
              <w:pStyle w:val="TableParagraph"/>
              <w:spacing w:before="175"/>
              <w:ind w:left="8" w:right="4"/>
              <w:jc w:val="center"/>
              <w:rPr>
                <w:sz w:val="21"/>
              </w:rPr>
            </w:pPr>
            <w:r>
              <w:rPr>
                <w:spacing w:val="-2"/>
                <w:sz w:val="21"/>
              </w:rPr>
              <w:t>$0.00</w:t>
            </w:r>
          </w:p>
        </w:tc>
        <w:tc>
          <w:tcPr>
            <w:tcW w:w="1620" w:type="dxa"/>
            <w:tcBorders>
              <w:top w:val="nil"/>
              <w:bottom w:val="nil"/>
            </w:tcBorders>
          </w:tcPr>
          <w:p>
            <w:pPr>
              <w:pStyle w:val="TableParagraph"/>
              <w:spacing w:before="175"/>
              <w:ind w:left="7"/>
              <w:jc w:val="center"/>
              <w:rPr>
                <w:sz w:val="21"/>
              </w:rPr>
            </w:pPr>
            <w:r>
              <w:rPr>
                <w:spacing w:val="-2"/>
                <w:sz w:val="21"/>
              </w:rPr>
              <w:t>$0.00</w:t>
            </w:r>
          </w:p>
        </w:tc>
        <w:tc>
          <w:tcPr>
            <w:tcW w:w="1169" w:type="dxa"/>
            <w:tcBorders>
              <w:top w:val="nil"/>
              <w:bottom w:val="nil"/>
            </w:tcBorders>
          </w:tcPr>
          <w:p>
            <w:pPr>
              <w:pStyle w:val="TableParagraph"/>
              <w:spacing w:before="175"/>
              <w:ind w:left="7"/>
              <w:jc w:val="center"/>
              <w:rPr>
                <w:sz w:val="21"/>
              </w:rPr>
            </w:pPr>
            <w:r>
              <w:rPr>
                <w:spacing w:val="-2"/>
                <w:sz w:val="21"/>
              </w:rPr>
              <w:t>$0.00</w:t>
            </w:r>
          </w:p>
        </w:tc>
        <w:tc>
          <w:tcPr>
            <w:tcW w:w="1615" w:type="dxa"/>
            <w:tcBorders>
              <w:top w:val="nil"/>
              <w:bottom w:val="nil"/>
            </w:tcBorders>
          </w:tcPr>
          <w:p>
            <w:pPr>
              <w:pStyle w:val="TableParagraph"/>
              <w:spacing w:before="175"/>
              <w:ind w:right="556"/>
              <w:jc w:val="right"/>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147"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800" w:type="dxa"/>
            <w:tcBorders>
              <w:top w:val="nil"/>
              <w:bottom w:val="nil"/>
            </w:tcBorders>
          </w:tcPr>
          <w:p>
            <w:pPr>
              <w:pStyle w:val="TableParagraph"/>
              <w:spacing w:before="25"/>
              <w:ind w:left="8" w:right="4"/>
              <w:jc w:val="center"/>
              <w:rPr>
                <w:sz w:val="21"/>
              </w:rPr>
            </w:pPr>
            <w:r>
              <w:rPr>
                <w:spacing w:val="-2"/>
                <w:sz w:val="21"/>
              </w:rPr>
              <w:t>$0.00</w:t>
            </w:r>
          </w:p>
        </w:tc>
        <w:tc>
          <w:tcPr>
            <w:tcW w:w="1620" w:type="dxa"/>
            <w:tcBorders>
              <w:top w:val="nil"/>
              <w:bottom w:val="nil"/>
            </w:tcBorders>
          </w:tcPr>
          <w:p>
            <w:pPr>
              <w:pStyle w:val="TableParagraph"/>
              <w:spacing w:before="25"/>
              <w:ind w:left="7"/>
              <w:jc w:val="center"/>
              <w:rPr>
                <w:sz w:val="21"/>
              </w:rPr>
            </w:pPr>
            <w:r>
              <w:rPr>
                <w:spacing w:val="-2"/>
                <w:sz w:val="21"/>
              </w:rPr>
              <w:t>$0.00</w:t>
            </w:r>
          </w:p>
        </w:tc>
        <w:tc>
          <w:tcPr>
            <w:tcW w:w="1169" w:type="dxa"/>
            <w:tcBorders>
              <w:top w:val="nil"/>
              <w:bottom w:val="nil"/>
            </w:tcBorders>
          </w:tcPr>
          <w:p>
            <w:pPr>
              <w:pStyle w:val="TableParagraph"/>
              <w:spacing w:before="25"/>
              <w:ind w:left="7"/>
              <w:jc w:val="center"/>
              <w:rPr>
                <w:sz w:val="21"/>
              </w:rPr>
            </w:pPr>
            <w:r>
              <w:rPr>
                <w:spacing w:val="-2"/>
                <w:sz w:val="21"/>
              </w:rPr>
              <w:t>$0.00</w:t>
            </w:r>
          </w:p>
        </w:tc>
        <w:tc>
          <w:tcPr>
            <w:tcW w:w="1615" w:type="dxa"/>
            <w:tcBorders>
              <w:top w:val="nil"/>
              <w:bottom w:val="nil"/>
            </w:tcBorders>
          </w:tcPr>
          <w:p>
            <w:pPr>
              <w:pStyle w:val="TableParagraph"/>
              <w:spacing w:before="25"/>
              <w:ind w:right="556"/>
              <w:jc w:val="right"/>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566"/>
          <w:jc w:val="left"/>
        </w:trPr>
        <w:tc>
          <w:tcPr>
            <w:tcW w:w="3147"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800" w:type="dxa"/>
            <w:tcBorders>
              <w:top w:val="nil"/>
            </w:tcBorders>
          </w:tcPr>
          <w:p>
            <w:pPr>
              <w:pStyle w:val="TableParagraph"/>
              <w:spacing w:before="25"/>
              <w:ind w:left="8" w:right="4"/>
              <w:jc w:val="center"/>
              <w:rPr>
                <w:sz w:val="21"/>
              </w:rPr>
            </w:pPr>
            <w:r>
              <w:rPr>
                <w:spacing w:val="-2"/>
                <w:sz w:val="21"/>
              </w:rPr>
              <w:t>$0.00</w:t>
            </w:r>
          </w:p>
        </w:tc>
        <w:tc>
          <w:tcPr>
            <w:tcW w:w="1620" w:type="dxa"/>
            <w:tcBorders>
              <w:top w:val="nil"/>
            </w:tcBorders>
          </w:tcPr>
          <w:p>
            <w:pPr>
              <w:pStyle w:val="TableParagraph"/>
              <w:spacing w:before="25"/>
              <w:ind w:left="7"/>
              <w:jc w:val="center"/>
              <w:rPr>
                <w:sz w:val="21"/>
              </w:rPr>
            </w:pPr>
            <w:r>
              <w:rPr>
                <w:spacing w:val="-2"/>
                <w:sz w:val="21"/>
              </w:rPr>
              <w:t>$0.00</w:t>
            </w:r>
          </w:p>
        </w:tc>
        <w:tc>
          <w:tcPr>
            <w:tcW w:w="1169" w:type="dxa"/>
            <w:tcBorders>
              <w:top w:val="nil"/>
            </w:tcBorders>
          </w:tcPr>
          <w:p>
            <w:pPr>
              <w:pStyle w:val="TableParagraph"/>
              <w:spacing w:before="25"/>
              <w:ind w:left="7"/>
              <w:jc w:val="center"/>
              <w:rPr>
                <w:sz w:val="21"/>
              </w:rPr>
            </w:pPr>
            <w:r>
              <w:rPr>
                <w:spacing w:val="-2"/>
                <w:sz w:val="21"/>
              </w:rPr>
              <w:t>$0.00</w:t>
            </w:r>
          </w:p>
        </w:tc>
        <w:tc>
          <w:tcPr>
            <w:tcW w:w="1615" w:type="dxa"/>
            <w:tcBorders>
              <w:top w:val="nil"/>
            </w:tcBorders>
          </w:tcPr>
          <w:p>
            <w:pPr>
              <w:pStyle w:val="TableParagraph"/>
              <w:spacing w:before="25"/>
              <w:ind w:right="556"/>
              <w:jc w:val="right"/>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314"/>
          <w:jc w:val="left"/>
        </w:trPr>
        <w:tc>
          <w:tcPr>
            <w:tcW w:w="3147" w:type="dxa"/>
          </w:tcPr>
          <w:p>
            <w:pPr>
              <w:pStyle w:val="TableParagraph"/>
              <w:spacing w:before="72"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800" w:type="dxa"/>
          </w:tcPr>
          <w:p>
            <w:pPr>
              <w:pStyle w:val="TableParagraph"/>
              <w:spacing w:before="72" w:line="221" w:lineRule="exact"/>
              <w:ind w:left="8" w:right="4"/>
              <w:jc w:val="center"/>
              <w:rPr>
                <w:sz w:val="21"/>
              </w:rPr>
            </w:pPr>
            <w:r>
              <w:rPr>
                <w:spacing w:val="-2"/>
                <w:sz w:val="21"/>
              </w:rPr>
              <w:t>$46.50</w:t>
            </w:r>
          </w:p>
        </w:tc>
        <w:tc>
          <w:tcPr>
            <w:tcW w:w="1620" w:type="dxa"/>
          </w:tcPr>
          <w:p>
            <w:pPr>
              <w:pStyle w:val="TableParagraph"/>
              <w:spacing w:before="72" w:line="221" w:lineRule="exact"/>
              <w:ind w:left="7"/>
              <w:jc w:val="center"/>
              <w:rPr>
                <w:sz w:val="21"/>
              </w:rPr>
            </w:pPr>
            <w:r>
              <w:rPr>
                <w:spacing w:val="-2"/>
                <w:sz w:val="21"/>
              </w:rPr>
              <w:t>$35.60</w:t>
            </w:r>
          </w:p>
        </w:tc>
        <w:tc>
          <w:tcPr>
            <w:tcW w:w="1169" w:type="dxa"/>
          </w:tcPr>
          <w:p>
            <w:pPr>
              <w:pStyle w:val="TableParagraph"/>
              <w:spacing w:before="72" w:line="221" w:lineRule="exact"/>
              <w:ind w:left="7"/>
              <w:jc w:val="center"/>
              <w:rPr>
                <w:sz w:val="21"/>
              </w:rPr>
            </w:pPr>
            <w:r>
              <w:rPr>
                <w:spacing w:val="-2"/>
                <w:sz w:val="21"/>
              </w:rPr>
              <w:t>$40.70</w:t>
            </w:r>
          </w:p>
        </w:tc>
        <w:tc>
          <w:tcPr>
            <w:tcW w:w="1615" w:type="dxa"/>
          </w:tcPr>
          <w:p>
            <w:pPr>
              <w:pStyle w:val="TableParagraph"/>
              <w:spacing w:before="72" w:line="221" w:lineRule="exact"/>
              <w:ind w:right="503"/>
              <w:jc w:val="right"/>
              <w:rPr>
                <w:sz w:val="21"/>
              </w:rPr>
            </w:pPr>
            <w:r>
              <w:rPr>
                <w:spacing w:val="-2"/>
                <w:sz w:val="21"/>
              </w:rPr>
              <w:t>$40.70</w:t>
            </w:r>
          </w:p>
        </w:tc>
      </w:tr>
    </w:tbl>
    <w:p>
      <w:pPr>
        <w:pStyle w:val="BodyText"/>
        <w:spacing w:before="86"/>
        <w:ind w:left="0"/>
        <w:rPr>
          <w:rFonts w:ascii="Arial"/>
          <w:b/>
          <w:i/>
        </w:rPr>
      </w:pPr>
    </w:p>
    <w:p>
      <w:pPr>
        <w:pStyle w:val="BodyText"/>
      </w:pPr>
      <w:r>
        <w:t>In</w:t>
      </w:r>
      <w:r>
        <w:rPr>
          <w:spacing w:val="-3"/>
        </w:rPr>
        <w:t xml:space="preserve"> </w:t>
      </w:r>
      <w:r>
        <w:t>this</w:t>
      </w:r>
      <w:r>
        <w:rPr>
          <w:spacing w:val="-2"/>
        </w:rPr>
        <w:t xml:space="preserve"> </w:t>
      </w:r>
      <w:r>
        <w:t>example,</w:t>
      </w:r>
      <w:r>
        <w:rPr>
          <w:spacing w:val="-1"/>
        </w:rPr>
        <w:t xml:space="preserve"> </w:t>
      </w:r>
      <w:r>
        <w:t>the</w:t>
      </w:r>
      <w:r>
        <w:rPr>
          <w:spacing w:val="-1"/>
        </w:rPr>
        <w:t xml:space="preserve"> </w:t>
      </w:r>
      <w:r>
        <w:t>change</w:t>
      </w:r>
      <w:r>
        <w:rPr>
          <w:spacing w:val="-2"/>
        </w:rPr>
        <w:t xml:space="preserve"> </w:t>
      </w:r>
      <w:r>
        <w:t>in</w:t>
      </w:r>
      <w:r>
        <w:rPr>
          <w:spacing w:val="1"/>
        </w:rPr>
        <w:t xml:space="preserve"> </w:t>
      </w:r>
      <w:r>
        <w:t>MSB revenue</w:t>
      </w:r>
      <w:r>
        <w:rPr>
          <w:spacing w:val="-2"/>
        </w:rPr>
        <w:t xml:space="preserve"> </w:t>
      </w:r>
      <w:r>
        <w:t>requirement</w:t>
      </w:r>
      <w:r>
        <w:rPr>
          <w:spacing w:val="-1"/>
        </w:rPr>
        <w:t xml:space="preserve"> </w:t>
      </w:r>
      <w:r>
        <w:t>must be</w:t>
      </w:r>
      <w:r>
        <w:rPr>
          <w:spacing w:val="-2"/>
        </w:rPr>
        <w:t xml:space="preserve"> </w:t>
      </w:r>
      <w:r>
        <w:t>between</w:t>
      </w:r>
      <w:r>
        <w:rPr>
          <w:spacing w:val="1"/>
        </w:rPr>
        <w:t xml:space="preserve"> </w:t>
      </w:r>
      <w:r>
        <w:t>$0.00</w:t>
      </w:r>
      <w:r>
        <w:rPr>
          <w:spacing w:val="-1"/>
        </w:rPr>
        <w:t xml:space="preserve"> </w:t>
      </w:r>
      <w:r>
        <w:t xml:space="preserve">and </w:t>
      </w:r>
      <w:r>
        <w:rPr>
          <w:spacing w:val="-2"/>
        </w:rPr>
        <w:t>$5.10.</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right="1481"/>
      </w:pPr>
      <w:r>
        <w:rPr>
          <w:b/>
        </w:rPr>
        <w:t>Option</w:t>
      </w:r>
      <w:r>
        <w:rPr>
          <w:b/>
          <w:spacing w:val="-3"/>
        </w:rPr>
        <w:t xml:space="preserve"> </w:t>
      </w:r>
      <w:r>
        <w:rPr>
          <w:b/>
        </w:rPr>
        <w:t>1</w:t>
      </w:r>
      <w:r>
        <w:t>:</w:t>
      </w:r>
      <w:r>
        <w:rPr>
          <w:spacing w:val="-3"/>
        </w:rPr>
        <w:t xml:space="preserve"> </w:t>
      </w:r>
      <w:r>
        <w:t>The</w:t>
      </w:r>
      <w:r>
        <w:rPr>
          <w:spacing w:val="-4"/>
        </w:rPr>
        <w:t xml:space="preserve"> </w:t>
      </w:r>
      <w:r>
        <w:t>MAO</w:t>
      </w:r>
      <w:r>
        <w:rPr>
          <w:spacing w:val="-4"/>
        </w:rPr>
        <w:t xml:space="preserve"> </w:t>
      </w:r>
      <w:r>
        <w:t>is</w:t>
      </w:r>
      <w:r>
        <w:rPr>
          <w:spacing w:val="-4"/>
        </w:rPr>
        <w:t xml:space="preserve"> </w:t>
      </w:r>
      <w:r>
        <w:t>not</w:t>
      </w:r>
      <w:r>
        <w:rPr>
          <w:spacing w:val="-3"/>
        </w:rPr>
        <w:t xml:space="preserve"> </w:t>
      </w:r>
      <w:r>
        <w:t>required</w:t>
      </w:r>
      <w:r>
        <w:rPr>
          <w:spacing w:val="-3"/>
        </w:rPr>
        <w:t xml:space="preserve"> </w:t>
      </w:r>
      <w:r>
        <w:t>to</w:t>
      </w:r>
      <w:r>
        <w:rPr>
          <w:spacing w:val="-3"/>
        </w:rPr>
        <w:t xml:space="preserve"> </w:t>
      </w:r>
      <w:r>
        <w:t>reallocate</w:t>
      </w:r>
      <w:r>
        <w:rPr>
          <w:spacing w:val="-2"/>
        </w:rPr>
        <w:t xml:space="preserve"> </w:t>
      </w:r>
      <w:r>
        <w:t>rebates</w:t>
      </w:r>
      <w:r>
        <w:rPr>
          <w:spacing w:val="-4"/>
        </w:rPr>
        <w:t xml:space="preserve"> </w:t>
      </w:r>
      <w:r>
        <w:t>and</w:t>
      </w:r>
      <w:r>
        <w:rPr>
          <w:spacing w:val="-3"/>
        </w:rPr>
        <w:t xml:space="preserve"> </w:t>
      </w:r>
      <w:r>
        <w:t>may</w:t>
      </w:r>
      <w:r>
        <w:rPr>
          <w:spacing w:val="-2"/>
        </w:rPr>
        <w:t xml:space="preserve"> </w:t>
      </w:r>
      <w:r>
        <w:t>choose</w:t>
      </w:r>
      <w:r>
        <w:rPr>
          <w:spacing w:val="-4"/>
        </w:rPr>
        <w:t xml:space="preserve"> </w:t>
      </w:r>
      <w:r>
        <w:t>to</w:t>
      </w:r>
      <w:r>
        <w:rPr>
          <w:spacing w:val="-1"/>
        </w:rPr>
        <w:t xml:space="preserve"> </w:t>
      </w:r>
      <w:r>
        <w:t>leave</w:t>
      </w:r>
      <w:r>
        <w:rPr>
          <w:spacing w:val="-4"/>
        </w:rPr>
        <w:t xml:space="preserve"> </w:t>
      </w:r>
      <w:r>
        <w:t>the</w:t>
      </w:r>
      <w:r>
        <w:rPr>
          <w:spacing w:val="-1"/>
        </w:rPr>
        <w:t xml:space="preserve"> </w:t>
      </w:r>
      <w:r>
        <w:t>Part</w:t>
      </w:r>
      <w:r>
        <w:rPr>
          <w:spacing w:val="-3"/>
        </w:rPr>
        <w:t xml:space="preserve"> </w:t>
      </w:r>
      <w:r>
        <w:t>D basic premium at the post-Part D benchmark announcement basic premium of $35.60.</w:t>
      </w:r>
    </w:p>
    <w:p>
      <w:pPr>
        <w:pStyle w:val="BodyText"/>
        <w:ind w:right="1481"/>
      </w:pPr>
      <w:r>
        <w:t>Resubmission</w:t>
      </w:r>
      <w:r>
        <w:rPr>
          <w:spacing w:val="-3"/>
        </w:rPr>
        <w:t xml:space="preserve"> </w:t>
      </w:r>
      <w:r>
        <w:t>is</w:t>
      </w:r>
      <w:r>
        <w:rPr>
          <w:spacing w:val="-4"/>
        </w:rPr>
        <w:t xml:space="preserve"> </w:t>
      </w:r>
      <w:r>
        <w:t>not</w:t>
      </w:r>
      <w:r>
        <w:rPr>
          <w:spacing w:val="-3"/>
        </w:rPr>
        <w:t xml:space="preserve"> </w:t>
      </w:r>
      <w:r>
        <w:t>necessary.</w:t>
      </w:r>
      <w:r>
        <w:rPr>
          <w:spacing w:val="-3"/>
        </w:rPr>
        <w:t xml:space="preserve"> </w:t>
      </w:r>
      <w:r>
        <w:t>The</w:t>
      </w:r>
      <w:r>
        <w:rPr>
          <w:spacing w:val="-5"/>
        </w:rPr>
        <w:t xml:space="preserve"> </w:t>
      </w:r>
      <w:r>
        <w:t>MAO</w:t>
      </w:r>
      <w:r>
        <w:rPr>
          <w:spacing w:val="-2"/>
        </w:rPr>
        <w:t xml:space="preserve"> </w:t>
      </w:r>
      <w:r>
        <w:t>will</w:t>
      </w:r>
      <w:r>
        <w:rPr>
          <w:spacing w:val="-3"/>
        </w:rPr>
        <w:t xml:space="preserve"> </w:t>
      </w:r>
      <w:r>
        <w:t>forgo</w:t>
      </w:r>
      <w:r>
        <w:rPr>
          <w:spacing w:val="-3"/>
        </w:rPr>
        <w:t xml:space="preserve"> </w:t>
      </w:r>
      <w:r>
        <w:t>receiving</w:t>
      </w:r>
      <w:r>
        <w:rPr>
          <w:spacing w:val="-3"/>
        </w:rPr>
        <w:t xml:space="preserve"> </w:t>
      </w:r>
      <w:r>
        <w:t>$5.10</w:t>
      </w:r>
      <w:r>
        <w:rPr>
          <w:spacing w:val="-3"/>
        </w:rPr>
        <w:t xml:space="preserve"> </w:t>
      </w:r>
      <w:r>
        <w:t>PMPM</w:t>
      </w:r>
      <w:r>
        <w:rPr>
          <w:spacing w:val="-4"/>
        </w:rPr>
        <w:t xml:space="preserve"> </w:t>
      </w:r>
      <w:r>
        <w:t>of</w:t>
      </w:r>
      <w:r>
        <w:rPr>
          <w:spacing w:val="-3"/>
        </w:rPr>
        <w:t xml:space="preserve"> </w:t>
      </w:r>
      <w:r>
        <w:t>CMS</w:t>
      </w:r>
      <w:r>
        <w:rPr>
          <w:spacing w:val="-2"/>
        </w:rPr>
        <w:t xml:space="preserve"> </w:t>
      </w:r>
      <w:r>
        <w:t>subsidy for each low-income beneficiary.</w:t>
      </w:r>
    </w:p>
    <w:p>
      <w:pPr>
        <w:pStyle w:val="BodyText"/>
        <w:spacing w:before="139"/>
        <w:ind w:right="1481"/>
      </w:pPr>
      <w:r>
        <w:rPr>
          <w:b/>
        </w:rPr>
        <w:t>Option 2</w:t>
      </w:r>
      <w:r>
        <w:t>: The MAO may choose to have the Part D basic premium partially return to LIPSA benchmark. The MAO cannot receive the full subsidy and will have a $1.50 PMPM deficit of subsidy</w:t>
      </w:r>
      <w:r>
        <w:rPr>
          <w:spacing w:val="-4"/>
        </w:rPr>
        <w:t xml:space="preserve"> </w:t>
      </w:r>
      <w:r>
        <w:t>for</w:t>
      </w:r>
      <w:r>
        <w:rPr>
          <w:spacing w:val="-4"/>
        </w:rPr>
        <w:t xml:space="preserve"> </w:t>
      </w:r>
      <w:r>
        <w:t>each</w:t>
      </w:r>
      <w:r>
        <w:rPr>
          <w:spacing w:val="-4"/>
        </w:rPr>
        <w:t xml:space="preserve"> </w:t>
      </w:r>
      <w:r>
        <w:t>low-income</w:t>
      </w:r>
      <w:r>
        <w:rPr>
          <w:spacing w:val="-4"/>
        </w:rPr>
        <w:t xml:space="preserve"> </w:t>
      </w:r>
      <w:r>
        <w:t>beneficiary.</w:t>
      </w:r>
      <w:r>
        <w:rPr>
          <w:spacing w:val="-4"/>
        </w:rPr>
        <w:t xml:space="preserve"> </w:t>
      </w:r>
      <w:r>
        <w:t>The</w:t>
      </w:r>
      <w:r>
        <w:rPr>
          <w:spacing w:val="-5"/>
        </w:rPr>
        <w:t xml:space="preserve"> </w:t>
      </w:r>
      <w:r>
        <w:t>MAO</w:t>
      </w:r>
      <w:r>
        <w:rPr>
          <w:spacing w:val="-5"/>
        </w:rPr>
        <w:t xml:space="preserve"> </w:t>
      </w:r>
      <w:r>
        <w:t>must</w:t>
      </w:r>
      <w:r>
        <w:rPr>
          <w:spacing w:val="-3"/>
        </w:rPr>
        <w:t xml:space="preserve"> </w:t>
      </w:r>
      <w:r>
        <w:t>reallocate</w:t>
      </w:r>
      <w:r>
        <w:rPr>
          <w:spacing w:val="-5"/>
        </w:rPr>
        <w:t xml:space="preserve"> </w:t>
      </w:r>
      <w:r>
        <w:t>the</w:t>
      </w:r>
      <w:r>
        <w:rPr>
          <w:spacing w:val="-4"/>
        </w:rPr>
        <w:t xml:space="preserve"> </w:t>
      </w:r>
      <w:r>
        <w:t>excessive</w:t>
      </w:r>
      <w:r>
        <w:rPr>
          <w:spacing w:val="-5"/>
        </w:rPr>
        <w:t xml:space="preserve"> </w:t>
      </w:r>
      <w:r>
        <w:t>allocation</w:t>
      </w:r>
      <w:r>
        <w:rPr>
          <w:spacing w:val="-4"/>
        </w:rPr>
        <w:t xml:space="preserve"> </w:t>
      </w:r>
      <w:r>
        <w:t>of</w:t>
      </w:r>
    </w:p>
    <w:p>
      <w:pPr>
        <w:pStyle w:val="BodyText"/>
      </w:pPr>
      <w:r>
        <w:t>$5.10</w:t>
      </w:r>
      <w:r>
        <w:rPr>
          <w:spacing w:val="-2"/>
        </w:rPr>
        <w:t xml:space="preserve"> </w:t>
      </w:r>
      <w:r>
        <w:t xml:space="preserve">by </w:t>
      </w:r>
      <w:r>
        <w:rPr>
          <w:spacing w:val="-2"/>
        </w:rPr>
        <w:t>either–</w:t>
      </w:r>
    </w:p>
    <w:p>
      <w:pPr>
        <w:spacing w:before="142"/>
        <w:ind w:left="1224" w:right="0" w:firstLine="0"/>
        <w:jc w:val="left"/>
        <w:rPr>
          <w:sz w:val="24"/>
        </w:rPr>
      </w:pPr>
      <w:r>
        <w:rPr>
          <w:b/>
          <w:sz w:val="24"/>
        </w:rPr>
        <w:t>2a</w:t>
      </w:r>
      <w:r>
        <w:rPr>
          <w:b/>
          <w:spacing w:val="-5"/>
          <w:sz w:val="24"/>
        </w:rPr>
        <w:t xml:space="preserve"> </w:t>
      </w:r>
      <w:r>
        <w:rPr>
          <w:b/>
          <w:sz w:val="24"/>
        </w:rPr>
        <w:t>(Option</w:t>
      </w:r>
      <w:r>
        <w:rPr>
          <w:b/>
          <w:spacing w:val="-2"/>
          <w:sz w:val="24"/>
        </w:rPr>
        <w:t xml:space="preserve"> </w:t>
      </w:r>
      <w:r>
        <w:rPr>
          <w:b/>
          <w:sz w:val="24"/>
        </w:rPr>
        <w:t>not</w:t>
      </w:r>
      <w:r>
        <w:rPr>
          <w:b/>
          <w:spacing w:val="-2"/>
          <w:sz w:val="24"/>
        </w:rPr>
        <w:t xml:space="preserve"> </w:t>
      </w:r>
      <w:r>
        <w:rPr>
          <w:b/>
          <w:sz w:val="24"/>
        </w:rPr>
        <w:t>shown</w:t>
      </w:r>
      <w:r>
        <w:rPr>
          <w:b/>
          <w:spacing w:val="-2"/>
          <w:sz w:val="24"/>
        </w:rPr>
        <w:t xml:space="preserve"> </w:t>
      </w:r>
      <w:r>
        <w:rPr>
          <w:b/>
          <w:sz w:val="24"/>
        </w:rPr>
        <w:t>above)</w:t>
      </w:r>
      <w:r>
        <w:rPr>
          <w:sz w:val="24"/>
        </w:rPr>
        <w:t>:</w:t>
      </w:r>
      <w:r>
        <w:rPr>
          <w:spacing w:val="-2"/>
          <w:sz w:val="24"/>
        </w:rPr>
        <w:t xml:space="preserve"> </w:t>
      </w:r>
      <w:r>
        <w:rPr>
          <w:sz w:val="24"/>
        </w:rPr>
        <w:t>In</w:t>
      </w:r>
      <w:r>
        <w:rPr>
          <w:spacing w:val="-2"/>
          <w:sz w:val="24"/>
        </w:rPr>
        <w:t xml:space="preserve"> </w:t>
      </w:r>
      <w:r>
        <w:rPr>
          <w:sz w:val="24"/>
        </w:rPr>
        <w:t>this</w:t>
      </w:r>
      <w:r>
        <w:rPr>
          <w:spacing w:val="-3"/>
          <w:sz w:val="24"/>
        </w:rPr>
        <w:t xml:space="preserve"> </w:t>
      </w:r>
      <w:r>
        <w:rPr>
          <w:sz w:val="24"/>
        </w:rPr>
        <w:t>example,</w:t>
      </w:r>
      <w:r>
        <w:rPr>
          <w:spacing w:val="-2"/>
          <w:sz w:val="24"/>
        </w:rPr>
        <w:t xml:space="preserve"> </w:t>
      </w:r>
      <w:r>
        <w:rPr>
          <w:sz w:val="24"/>
        </w:rPr>
        <w:t>reallocating</w:t>
      </w:r>
      <w:r>
        <w:rPr>
          <w:spacing w:val="-2"/>
          <w:sz w:val="24"/>
        </w:rPr>
        <w:t xml:space="preserve"> </w:t>
      </w:r>
      <w:r>
        <w:rPr>
          <w:sz w:val="24"/>
        </w:rPr>
        <w:t>the</w:t>
      </w:r>
      <w:r>
        <w:rPr>
          <w:spacing w:val="-2"/>
          <w:sz w:val="24"/>
        </w:rPr>
        <w:t xml:space="preserve"> </w:t>
      </w:r>
      <w:r>
        <w:rPr>
          <w:sz w:val="24"/>
        </w:rPr>
        <w:t>excessive</w:t>
      </w:r>
      <w:r>
        <w:rPr>
          <w:spacing w:val="-1"/>
          <w:sz w:val="24"/>
        </w:rPr>
        <w:t xml:space="preserve"> </w:t>
      </w:r>
      <w:r>
        <w:rPr>
          <w:sz w:val="24"/>
        </w:rPr>
        <w:t>allocation</w:t>
      </w:r>
      <w:r>
        <w:rPr>
          <w:spacing w:val="-2"/>
          <w:sz w:val="24"/>
        </w:rPr>
        <w:t xml:space="preserve"> </w:t>
      </w:r>
      <w:r>
        <w:rPr>
          <w:spacing w:val="-5"/>
          <w:sz w:val="24"/>
        </w:rPr>
        <w:t>of</w:t>
      </w:r>
    </w:p>
    <w:p>
      <w:pPr>
        <w:pStyle w:val="BodyText"/>
        <w:ind w:left="1224"/>
      </w:pPr>
      <w:r>
        <w:t>$5.10</w:t>
      </w:r>
      <w:r>
        <w:rPr>
          <w:spacing w:val="-3"/>
        </w:rPr>
        <w:t xml:space="preserve"> </w:t>
      </w:r>
      <w:r>
        <w:t>entirely</w:t>
      </w:r>
      <w:r>
        <w:rPr>
          <w:spacing w:val="-1"/>
        </w:rPr>
        <w:t xml:space="preserve"> </w:t>
      </w:r>
      <w:r>
        <w:t>to the</w:t>
      </w:r>
      <w:r>
        <w:rPr>
          <w:spacing w:val="-1"/>
        </w:rPr>
        <w:t xml:space="preserve"> </w:t>
      </w:r>
      <w:r>
        <w:t>Part</w:t>
      </w:r>
      <w:r>
        <w:rPr>
          <w:spacing w:val="1"/>
        </w:rPr>
        <w:t xml:space="preserve"> </w:t>
      </w:r>
      <w:r>
        <w:t>B</w:t>
      </w:r>
      <w:r>
        <w:rPr>
          <w:spacing w:val="-1"/>
        </w:rPr>
        <w:t xml:space="preserve"> </w:t>
      </w:r>
      <w:r>
        <w:t>premium (in</w:t>
      </w:r>
      <w:r>
        <w:rPr>
          <w:spacing w:val="-1"/>
        </w:rPr>
        <w:t xml:space="preserve"> </w:t>
      </w:r>
      <w:r>
        <w:t>the</w:t>
      </w:r>
      <w:r>
        <w:rPr>
          <w:spacing w:val="-2"/>
        </w:rPr>
        <w:t xml:space="preserve"> </w:t>
      </w:r>
      <w:r>
        <w:t>circumstances</w:t>
      </w:r>
      <w:r>
        <w:rPr>
          <w:spacing w:val="-1"/>
        </w:rPr>
        <w:t xml:space="preserve"> </w:t>
      </w:r>
      <w:r>
        <w:t>where</w:t>
      </w:r>
      <w:r>
        <w:rPr>
          <w:spacing w:val="-3"/>
        </w:rPr>
        <w:t xml:space="preserve"> </w:t>
      </w:r>
      <w:r>
        <w:t>there</w:t>
      </w:r>
      <w:r>
        <w:rPr>
          <w:spacing w:val="-1"/>
        </w:rPr>
        <w:t xml:space="preserve"> </w:t>
      </w:r>
      <w:r>
        <w:t>is</w:t>
      </w:r>
      <w:r>
        <w:rPr>
          <w:spacing w:val="-2"/>
        </w:rPr>
        <w:t xml:space="preserve"> </w:t>
      </w:r>
      <w:r>
        <w:t>a MA</w:t>
      </w:r>
      <w:r>
        <w:rPr>
          <w:spacing w:val="-1"/>
        </w:rPr>
        <w:t xml:space="preserve"> </w:t>
      </w:r>
      <w:r>
        <w:rPr>
          <w:spacing w:val="-5"/>
        </w:rPr>
        <w:t>or</w:t>
      </w:r>
    </w:p>
    <w:p>
      <w:pPr>
        <w:pStyle w:val="BodyText"/>
        <w:ind w:left="1224" w:right="1443"/>
      </w:pPr>
      <w:r>
        <w:t>Part</w:t>
      </w:r>
      <w:r>
        <w:rPr>
          <w:spacing w:val="-3"/>
        </w:rPr>
        <w:t xml:space="preserve"> </w:t>
      </w:r>
      <w:r>
        <w:t>D</w:t>
      </w:r>
      <w:r>
        <w:rPr>
          <w:spacing w:val="-4"/>
        </w:rPr>
        <w:t xml:space="preserve"> </w:t>
      </w:r>
      <w:r>
        <w:t>supplemental</w:t>
      </w:r>
      <w:r>
        <w:rPr>
          <w:spacing w:val="-3"/>
        </w:rPr>
        <w:t xml:space="preserve"> </w:t>
      </w:r>
      <w:r>
        <w:t>premium</w:t>
      </w:r>
      <w:r>
        <w:rPr>
          <w:spacing w:val="-3"/>
        </w:rPr>
        <w:t xml:space="preserve"> </w:t>
      </w:r>
      <w:r>
        <w:t>pre-rebate</w:t>
      </w:r>
      <w:r>
        <w:rPr>
          <w:spacing w:val="-4"/>
        </w:rPr>
        <w:t xml:space="preserve"> </w:t>
      </w:r>
      <w:r>
        <w:t>reallocation,</w:t>
      </w:r>
      <w:r>
        <w:rPr>
          <w:spacing w:val="-3"/>
        </w:rPr>
        <w:t xml:space="preserve"> </w:t>
      </w:r>
      <w:r>
        <w:t>the</w:t>
      </w:r>
      <w:r>
        <w:rPr>
          <w:spacing w:val="-3"/>
        </w:rPr>
        <w:t xml:space="preserve"> </w:t>
      </w:r>
      <w:r>
        <w:t>MAO</w:t>
      </w:r>
      <w:r>
        <w:rPr>
          <w:spacing w:val="-5"/>
        </w:rPr>
        <w:t xml:space="preserve"> </w:t>
      </w:r>
      <w:r>
        <w:t>may</w:t>
      </w:r>
      <w:r>
        <w:rPr>
          <w:spacing w:val="-3"/>
        </w:rPr>
        <w:t xml:space="preserve"> </w:t>
      </w:r>
      <w:r>
        <w:t>choose</w:t>
      </w:r>
      <w:r>
        <w:rPr>
          <w:spacing w:val="-4"/>
        </w:rPr>
        <w:t xml:space="preserve"> </w:t>
      </w:r>
      <w:r>
        <w:t>to</w:t>
      </w:r>
      <w:r>
        <w:rPr>
          <w:spacing w:val="-3"/>
        </w:rPr>
        <w:t xml:space="preserve"> </w:t>
      </w:r>
      <w:r>
        <w:t>make</w:t>
      </w:r>
      <w:r>
        <w:rPr>
          <w:spacing w:val="-2"/>
        </w:rPr>
        <w:t xml:space="preserve"> </w:t>
      </w:r>
      <w:r>
        <w:t>no changes to MSB revenue requirement and decrease the MA or Part D supplemental premiums); or</w:t>
      </w:r>
    </w:p>
    <w:p>
      <w:pPr>
        <w:pStyle w:val="BodyText"/>
        <w:spacing w:before="140"/>
        <w:ind w:left="1224" w:right="1574"/>
        <w:jc w:val="both"/>
      </w:pPr>
      <w:r>
        <w:rPr>
          <w:b/>
        </w:rPr>
        <w:t>2b</w:t>
      </w:r>
      <w:r>
        <w:rPr>
          <w:b/>
          <w:spacing w:val="-1"/>
        </w:rPr>
        <w:t xml:space="preserve"> </w:t>
      </w:r>
      <w:r>
        <w:rPr>
          <w:b/>
        </w:rPr>
        <w:t>(Option</w:t>
      </w:r>
      <w:r>
        <w:rPr>
          <w:b/>
          <w:spacing w:val="-1"/>
        </w:rPr>
        <w:t xml:space="preserve"> </w:t>
      </w:r>
      <w:r>
        <w:rPr>
          <w:b/>
        </w:rPr>
        <w:t>shown</w:t>
      </w:r>
      <w:r>
        <w:rPr>
          <w:b/>
          <w:spacing w:val="-1"/>
        </w:rPr>
        <w:t xml:space="preserve"> </w:t>
      </w:r>
      <w:r>
        <w:rPr>
          <w:b/>
        </w:rPr>
        <w:t>above)</w:t>
      </w:r>
      <w:r>
        <w:t>: Increasing MSB</w:t>
      </w:r>
      <w:r>
        <w:rPr>
          <w:spacing w:val="-1"/>
        </w:rPr>
        <w:t xml:space="preserve"> </w:t>
      </w:r>
      <w:r>
        <w:t>revenue</w:t>
      </w:r>
      <w:r>
        <w:rPr>
          <w:spacing w:val="-2"/>
        </w:rPr>
        <w:t xml:space="preserve"> </w:t>
      </w:r>
      <w:r>
        <w:t>requirement by</w:t>
      </w:r>
      <w:r>
        <w:rPr>
          <w:spacing w:val="-1"/>
        </w:rPr>
        <w:t xml:space="preserve"> </w:t>
      </w:r>
      <w:r>
        <w:t>less</w:t>
      </w:r>
      <w:r>
        <w:rPr>
          <w:spacing w:val="-2"/>
        </w:rPr>
        <w:t xml:space="preserve"> </w:t>
      </w:r>
      <w:r>
        <w:t>than</w:t>
      </w:r>
      <w:r>
        <w:rPr>
          <w:spacing w:val="-1"/>
        </w:rPr>
        <w:t xml:space="preserve"> </w:t>
      </w:r>
      <w:r>
        <w:t>or</w:t>
      </w:r>
      <w:r>
        <w:rPr>
          <w:spacing w:val="-3"/>
        </w:rPr>
        <w:t xml:space="preserve"> </w:t>
      </w:r>
      <w:r>
        <w:t>equal to</w:t>
      </w:r>
      <w:r>
        <w:rPr>
          <w:spacing w:val="-2"/>
        </w:rPr>
        <w:t xml:space="preserve"> </w:t>
      </w:r>
      <w:r>
        <w:t>$5.10,</w:t>
      </w:r>
      <w:r>
        <w:rPr>
          <w:spacing w:val="-2"/>
        </w:rPr>
        <w:t xml:space="preserve"> </w:t>
      </w:r>
      <w:r>
        <w:t>such</w:t>
      </w:r>
      <w:r>
        <w:rPr>
          <w:spacing w:val="-2"/>
        </w:rPr>
        <w:t xml:space="preserve"> </w:t>
      </w:r>
      <w:r>
        <w:t>that</w:t>
      </w:r>
      <w:r>
        <w:rPr>
          <w:spacing w:val="-2"/>
        </w:rPr>
        <w:t xml:space="preserve"> </w:t>
      </w:r>
      <w:r>
        <w:t>there</w:t>
      </w:r>
      <w:r>
        <w:rPr>
          <w:spacing w:val="-3"/>
        </w:rPr>
        <w:t xml:space="preserve"> </w:t>
      </w:r>
      <w:r>
        <w:t>is</w:t>
      </w:r>
      <w:r>
        <w:rPr>
          <w:spacing w:val="-3"/>
        </w:rPr>
        <w:t xml:space="preserve"> </w:t>
      </w:r>
      <w:r>
        <w:t>a</w:t>
      </w:r>
      <w:r>
        <w:rPr>
          <w:spacing w:val="-3"/>
        </w:rPr>
        <w:t xml:space="preserve"> </w:t>
      </w:r>
      <w:r>
        <w:t>partial</w:t>
      </w:r>
      <w:r>
        <w:rPr>
          <w:spacing w:val="-2"/>
        </w:rPr>
        <w:t xml:space="preserve"> </w:t>
      </w:r>
      <w:r>
        <w:t>or</w:t>
      </w:r>
      <w:r>
        <w:rPr>
          <w:spacing w:val="-2"/>
        </w:rPr>
        <w:t xml:space="preserve"> </w:t>
      </w:r>
      <w:r>
        <w:t>full</w:t>
      </w:r>
      <w:r>
        <w:rPr>
          <w:spacing w:val="-2"/>
        </w:rPr>
        <w:t xml:space="preserve"> </w:t>
      </w:r>
      <w:r>
        <w:t>return</w:t>
      </w:r>
      <w:r>
        <w:rPr>
          <w:spacing w:val="-2"/>
        </w:rPr>
        <w:t xml:space="preserve"> </w:t>
      </w:r>
      <w:r>
        <w:t>to</w:t>
      </w:r>
      <w:r>
        <w:rPr>
          <w:spacing w:val="-2"/>
        </w:rPr>
        <w:t xml:space="preserve"> </w:t>
      </w:r>
      <w:r>
        <w:t>the</w:t>
      </w:r>
      <w:r>
        <w:rPr>
          <w:spacing w:val="-2"/>
        </w:rPr>
        <w:t xml:space="preserve"> </w:t>
      </w:r>
      <w:r>
        <w:t>MA</w:t>
      </w:r>
      <w:r>
        <w:rPr>
          <w:spacing w:val="-3"/>
        </w:rPr>
        <w:t xml:space="preserve"> </w:t>
      </w:r>
      <w:r>
        <w:t>premium</w:t>
      </w:r>
      <w:r>
        <w:rPr>
          <w:spacing w:val="-2"/>
        </w:rPr>
        <w:t xml:space="preserve"> </w:t>
      </w:r>
      <w:r>
        <w:t>in</w:t>
      </w:r>
      <w:r>
        <w:rPr>
          <w:spacing w:val="-2"/>
        </w:rPr>
        <w:t xml:space="preserve"> </w:t>
      </w:r>
      <w:r>
        <w:t>initial</w:t>
      </w:r>
      <w:r>
        <w:rPr>
          <w:spacing w:val="-2"/>
        </w:rPr>
        <w:t xml:space="preserve"> </w:t>
      </w:r>
      <w:r>
        <w:t>June</w:t>
      </w:r>
      <w:r>
        <w:rPr>
          <w:spacing w:val="-2"/>
        </w:rPr>
        <w:t xml:space="preserve"> </w:t>
      </w:r>
      <w:r>
        <w:t>bid by increasing rebate allocations to MA, Part D supplemental, or Part B premiums.</w:t>
      </w:r>
    </w:p>
    <w:p>
      <w:pPr>
        <w:pStyle w:val="BodyText"/>
        <w:spacing w:before="139"/>
        <w:ind w:right="1481"/>
      </w:pPr>
      <w:r>
        <w:t>*</w:t>
      </w:r>
      <w:r>
        <w:rPr>
          <w:b/>
        </w:rPr>
        <w:t>Unacceptable</w:t>
      </w:r>
      <w:r>
        <w:rPr>
          <w:b/>
          <w:spacing w:val="-4"/>
        </w:rPr>
        <w:t xml:space="preserve"> </w:t>
      </w:r>
      <w:r>
        <w:rPr>
          <w:b/>
        </w:rPr>
        <w:t>Option</w:t>
      </w:r>
      <w:r>
        <w:t>:</w:t>
      </w:r>
      <w:r>
        <w:rPr>
          <w:spacing w:val="-3"/>
        </w:rPr>
        <w:t xml:space="preserve"> </w:t>
      </w:r>
      <w:r>
        <w:t>The</w:t>
      </w:r>
      <w:r>
        <w:rPr>
          <w:spacing w:val="-4"/>
        </w:rPr>
        <w:t xml:space="preserve"> </w:t>
      </w:r>
      <w:r>
        <w:t>MSB</w:t>
      </w:r>
      <w:r>
        <w:rPr>
          <w:spacing w:val="-3"/>
        </w:rPr>
        <w:t xml:space="preserve"> </w:t>
      </w:r>
      <w:r>
        <w:t>revenue</w:t>
      </w:r>
      <w:r>
        <w:rPr>
          <w:spacing w:val="-2"/>
        </w:rPr>
        <w:t xml:space="preserve"> </w:t>
      </w:r>
      <w:r>
        <w:t>requirement</w:t>
      </w:r>
      <w:r>
        <w:rPr>
          <w:spacing w:val="-3"/>
        </w:rPr>
        <w:t xml:space="preserve"> </w:t>
      </w:r>
      <w:r>
        <w:t>cannot</w:t>
      </w:r>
      <w:r>
        <w:rPr>
          <w:spacing w:val="-3"/>
        </w:rPr>
        <w:t xml:space="preserve"> </w:t>
      </w:r>
      <w:r>
        <w:t>increase</w:t>
      </w:r>
      <w:r>
        <w:rPr>
          <w:spacing w:val="-4"/>
        </w:rPr>
        <w:t xml:space="preserve"> </w:t>
      </w:r>
      <w:r>
        <w:t>more</w:t>
      </w:r>
      <w:r>
        <w:rPr>
          <w:spacing w:val="-4"/>
        </w:rPr>
        <w:t xml:space="preserve"> </w:t>
      </w:r>
      <w:r>
        <w:t>than</w:t>
      </w:r>
      <w:r>
        <w:rPr>
          <w:spacing w:val="-3"/>
        </w:rPr>
        <w:t xml:space="preserve"> </w:t>
      </w:r>
      <w:r>
        <w:t>the</w:t>
      </w:r>
      <w:r>
        <w:rPr>
          <w:spacing w:val="-4"/>
        </w:rPr>
        <w:t xml:space="preserve"> </w:t>
      </w:r>
      <w:r>
        <w:t>value</w:t>
      </w:r>
      <w:r>
        <w:rPr>
          <w:spacing w:val="-4"/>
        </w:rPr>
        <w:t xml:space="preserve"> </w:t>
      </w:r>
      <w:r>
        <w:t>of the rebates for allocation.</w:t>
      </w:r>
    </w:p>
    <w:p>
      <w:pPr>
        <w:pStyle w:val="BodyText"/>
        <w:spacing w:after="0"/>
        <w:sectPr>
          <w:pgSz w:w="12240" w:h="15840"/>
          <w:pgMar w:top="960" w:right="0" w:bottom="940" w:left="1080" w:header="727" w:footer="747"/>
          <w:cols w:space="720"/>
        </w:sectPr>
      </w:pPr>
    </w:p>
    <w:p>
      <w:pPr>
        <w:pStyle w:val="BodyText"/>
        <w:spacing w:before="191"/>
        <w:ind w:left="0"/>
      </w:pPr>
    </w:p>
    <w:p>
      <w:pPr>
        <w:pStyle w:val="Heading4"/>
        <w:ind w:right="1443"/>
      </w:pPr>
      <w:bookmarkStart w:id="377" w:name="Example 9: Insufficient Rebates Allocate"/>
      <w:bookmarkEnd w:id="377"/>
      <w:r>
        <w:rPr>
          <w:i/>
        </w:rPr>
        <w:t>Example</w:t>
      </w:r>
      <w:r>
        <w:rPr>
          <w:i/>
          <w:spacing w:val="-2"/>
        </w:rPr>
        <w:t xml:space="preserve"> </w:t>
      </w:r>
      <w:r>
        <w:rPr>
          <w:i/>
        </w:rPr>
        <w:t>9:</w:t>
      </w:r>
      <w:r>
        <w:rPr>
          <w:i/>
          <w:spacing w:val="-4"/>
        </w:rPr>
        <w:t xml:space="preserve"> </w:t>
      </w:r>
      <w:r>
        <w:rPr>
          <w:i/>
        </w:rPr>
        <w:t>Insufficient</w:t>
      </w:r>
      <w:r>
        <w:rPr>
          <w:i/>
          <w:spacing w:val="-5"/>
        </w:rPr>
        <w:t xml:space="preserve"> </w:t>
      </w:r>
      <w:r>
        <w:rPr>
          <w:i/>
        </w:rPr>
        <w:t>Rebates</w:t>
      </w:r>
      <w:r>
        <w:rPr>
          <w:i/>
          <w:spacing w:val="-4"/>
        </w:rPr>
        <w:t xml:space="preserve"> </w:t>
      </w:r>
      <w:r>
        <w:rPr>
          <w:i/>
        </w:rPr>
        <w:t>Allocated</w:t>
      </w:r>
      <w:r>
        <w:rPr>
          <w:i/>
          <w:spacing w:val="-6"/>
        </w:rPr>
        <w:t xml:space="preserve"> </w:t>
      </w:r>
      <w:r>
        <w:rPr>
          <w:i/>
        </w:rPr>
        <w:t>to</w:t>
      </w:r>
      <w:r>
        <w:rPr>
          <w:i/>
          <w:spacing w:val="-2"/>
        </w:rPr>
        <w:t xml:space="preserve"> </w:t>
      </w:r>
      <w:r>
        <w:rPr>
          <w:i/>
        </w:rPr>
        <w:t>Part</w:t>
      </w:r>
      <w:r>
        <w:rPr>
          <w:i/>
          <w:spacing w:val="-4"/>
        </w:rPr>
        <w:t xml:space="preserve"> </w:t>
      </w:r>
      <w:r>
        <w:rPr>
          <w:i/>
        </w:rPr>
        <w:t>D</w:t>
      </w:r>
      <w:r>
        <w:rPr>
          <w:i/>
          <w:spacing w:val="-4"/>
        </w:rPr>
        <w:t xml:space="preserve"> </w:t>
      </w:r>
      <w:r>
        <w:rPr>
          <w:i/>
        </w:rPr>
        <w:t>Basic</w:t>
      </w:r>
      <w:r>
        <w:rPr>
          <w:i/>
          <w:spacing w:val="-4"/>
        </w:rPr>
        <w:t xml:space="preserve"> </w:t>
      </w:r>
      <w:r>
        <w:rPr>
          <w:i/>
        </w:rPr>
        <w:t>Premium,</w:t>
      </w:r>
      <w:r>
        <w:rPr>
          <w:i/>
          <w:spacing w:val="-3"/>
        </w:rPr>
        <w:t xml:space="preserve"> </w:t>
      </w:r>
      <w:r>
        <w:rPr>
          <w:i/>
        </w:rPr>
        <w:t>Reallocation</w:t>
      </w:r>
      <w:r>
        <w:t xml:space="preserve"> is Optional, and MAO can Achieve LIPSA.</w:t>
      </w:r>
    </w:p>
    <w:p>
      <w:pPr>
        <w:pStyle w:val="BodyText"/>
        <w:spacing w:before="130"/>
        <w:ind w:left="0"/>
        <w:rPr>
          <w:rFonts w:ascii="Arial"/>
          <w:b/>
          <w:i/>
          <w:sz w:val="20"/>
        </w:rPr>
      </w:pPr>
    </w:p>
    <w:tbl>
      <w:tblPr>
        <w:tblStyle w:val="TableNormal"/>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6"/>
        <w:gridCol w:w="1711"/>
        <w:gridCol w:w="1349"/>
        <w:gridCol w:w="991"/>
        <w:gridCol w:w="924"/>
        <w:gridCol w:w="1504"/>
      </w:tblGrid>
      <w:tr>
        <w:tblPrEx>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66"/>
          <w:jc w:val="left"/>
        </w:trPr>
        <w:tc>
          <w:tcPr>
            <w:tcW w:w="3056" w:type="dxa"/>
          </w:tcPr>
          <w:p>
            <w:pPr>
              <w:pStyle w:val="TableParagraph"/>
              <w:spacing w:before="121"/>
              <w:rPr>
                <w:rFonts w:ascii="Arial"/>
                <w:b/>
                <w:i/>
                <w:sz w:val="21"/>
              </w:rPr>
            </w:pPr>
          </w:p>
          <w:p>
            <w:pPr>
              <w:pStyle w:val="TableParagraph"/>
              <w:ind w:left="9"/>
              <w:jc w:val="center"/>
              <w:rPr>
                <w:b/>
                <w:sz w:val="21"/>
              </w:rPr>
            </w:pPr>
            <w:r>
              <w:rPr>
                <w:b/>
                <w:spacing w:val="-2"/>
                <w:sz w:val="21"/>
              </w:rPr>
              <w:t>Label</w:t>
            </w:r>
          </w:p>
        </w:tc>
        <w:tc>
          <w:tcPr>
            <w:tcW w:w="1711" w:type="dxa"/>
          </w:tcPr>
          <w:p>
            <w:pPr>
              <w:pStyle w:val="TableParagraph"/>
              <w:spacing w:before="121"/>
              <w:rPr>
                <w:rFonts w:ascii="Arial"/>
                <w:b/>
                <w:i/>
                <w:sz w:val="21"/>
              </w:rPr>
            </w:pPr>
          </w:p>
          <w:p>
            <w:pPr>
              <w:pStyle w:val="TableParagraph"/>
              <w:ind w:left="10" w:right="1"/>
              <w:jc w:val="center"/>
              <w:rPr>
                <w:b/>
                <w:sz w:val="21"/>
              </w:rPr>
            </w:pPr>
            <w:r>
              <w:rPr>
                <w:b/>
                <w:sz w:val="21"/>
              </w:rPr>
              <w:t>Initial</w:t>
            </w:r>
            <w:r>
              <w:rPr>
                <w:b/>
                <w:spacing w:val="-4"/>
                <w:sz w:val="21"/>
              </w:rPr>
              <w:t xml:space="preserve"> </w:t>
            </w:r>
            <w:r>
              <w:rPr>
                <w:b/>
                <w:sz w:val="21"/>
              </w:rPr>
              <w:t>June</w:t>
            </w:r>
            <w:r>
              <w:rPr>
                <w:b/>
                <w:spacing w:val="-2"/>
                <w:sz w:val="21"/>
              </w:rPr>
              <w:t xml:space="preserve"> </w:t>
            </w:r>
            <w:r>
              <w:rPr>
                <w:b/>
                <w:spacing w:val="-5"/>
                <w:sz w:val="21"/>
              </w:rPr>
              <w:t>Bid</w:t>
            </w:r>
          </w:p>
        </w:tc>
        <w:tc>
          <w:tcPr>
            <w:tcW w:w="1349" w:type="dxa"/>
          </w:tcPr>
          <w:p>
            <w:pPr>
              <w:pStyle w:val="TableParagraph"/>
              <w:ind w:left="146" w:right="137" w:hanging="2"/>
              <w:jc w:val="center"/>
              <w:rPr>
                <w:b/>
                <w:sz w:val="21"/>
              </w:rPr>
            </w:pPr>
            <w:r>
              <w:rPr>
                <w:b/>
                <w:spacing w:val="-2"/>
                <w:sz w:val="21"/>
              </w:rPr>
              <w:t xml:space="preserve">After </w:t>
            </w:r>
            <w:r>
              <w:rPr>
                <w:b/>
                <w:sz w:val="21"/>
              </w:rPr>
              <w:t xml:space="preserve">Release of </w:t>
            </w:r>
            <w:r>
              <w:rPr>
                <w:b/>
                <w:spacing w:val="-2"/>
                <w:sz w:val="21"/>
              </w:rPr>
              <w:t>Benchmark</w:t>
            </w:r>
          </w:p>
          <w:p>
            <w:pPr>
              <w:pStyle w:val="TableParagraph"/>
              <w:spacing w:before="1" w:line="221" w:lineRule="exact"/>
              <w:ind w:left="7" w:right="4"/>
              <w:jc w:val="center"/>
              <w:rPr>
                <w:b/>
                <w:sz w:val="21"/>
              </w:rPr>
            </w:pPr>
            <w:r>
              <w:rPr>
                <w:b/>
                <w:sz w:val="21"/>
              </w:rPr>
              <w:t>(Option</w:t>
            </w:r>
            <w:r>
              <w:rPr>
                <w:b/>
                <w:spacing w:val="-6"/>
                <w:sz w:val="21"/>
              </w:rPr>
              <w:t xml:space="preserve"> </w:t>
            </w:r>
            <w:r>
              <w:rPr>
                <w:b/>
                <w:spacing w:val="-5"/>
                <w:sz w:val="21"/>
              </w:rPr>
              <w:t>1)</w:t>
            </w:r>
          </w:p>
        </w:tc>
        <w:tc>
          <w:tcPr>
            <w:tcW w:w="991" w:type="dxa"/>
          </w:tcPr>
          <w:p>
            <w:pPr>
              <w:pStyle w:val="TableParagraph"/>
              <w:spacing w:before="240"/>
              <w:ind w:left="388" w:right="166" w:hanging="212"/>
              <w:rPr>
                <w:b/>
                <w:sz w:val="21"/>
              </w:rPr>
            </w:pPr>
            <w:r>
              <w:rPr>
                <w:b/>
                <w:spacing w:val="-2"/>
                <w:sz w:val="21"/>
              </w:rPr>
              <w:t xml:space="preserve">Option </w:t>
            </w:r>
            <w:r>
              <w:rPr>
                <w:b/>
                <w:spacing w:val="-6"/>
                <w:sz w:val="21"/>
              </w:rPr>
              <w:t>2a</w:t>
            </w:r>
          </w:p>
        </w:tc>
        <w:tc>
          <w:tcPr>
            <w:tcW w:w="924" w:type="dxa"/>
          </w:tcPr>
          <w:p>
            <w:pPr>
              <w:pStyle w:val="TableParagraph"/>
              <w:spacing w:before="240"/>
              <w:ind w:left="348" w:right="132" w:hanging="205"/>
              <w:rPr>
                <w:b/>
                <w:sz w:val="21"/>
              </w:rPr>
            </w:pPr>
            <w:r>
              <w:rPr>
                <w:b/>
                <w:spacing w:val="-2"/>
                <w:sz w:val="21"/>
              </w:rPr>
              <w:t xml:space="preserve">Option </w:t>
            </w:r>
            <w:r>
              <w:rPr>
                <w:b/>
                <w:spacing w:val="-6"/>
                <w:sz w:val="21"/>
              </w:rPr>
              <w:t>2b</w:t>
            </w:r>
          </w:p>
        </w:tc>
        <w:tc>
          <w:tcPr>
            <w:tcW w:w="1504" w:type="dxa"/>
          </w:tcPr>
          <w:p>
            <w:pPr>
              <w:pStyle w:val="TableParagraph"/>
              <w:spacing w:before="240"/>
              <w:ind w:left="384" w:hanging="240"/>
              <w:rPr>
                <w:b/>
                <w:sz w:val="21"/>
              </w:rPr>
            </w:pPr>
            <w:r>
              <w:rPr>
                <w:b/>
                <w:spacing w:val="-2"/>
                <w:sz w:val="21"/>
              </w:rPr>
              <w:t>Unacceptable Option*</w:t>
            </w:r>
          </w:p>
        </w:tc>
      </w:tr>
      <w:tr>
        <w:tblPrEx>
          <w:tblW w:w="0" w:type="auto"/>
          <w:jc w:val="left"/>
          <w:tblInd w:w="514" w:type="dxa"/>
          <w:tblLayout w:type="fixed"/>
          <w:tblCellMar>
            <w:top w:w="0" w:type="dxa"/>
            <w:left w:w="0" w:type="dxa"/>
            <w:bottom w:w="0" w:type="dxa"/>
            <w:right w:w="0" w:type="dxa"/>
          </w:tblCellMar>
          <w:tblLook w:val="01E0"/>
        </w:tblPrEx>
        <w:trPr>
          <w:trHeight w:val="318"/>
          <w:jc w:val="left"/>
        </w:trPr>
        <w:tc>
          <w:tcPr>
            <w:tcW w:w="3056" w:type="dxa"/>
            <w:tcBorders>
              <w:bottom w:val="nil"/>
            </w:tcBorders>
          </w:tcPr>
          <w:p>
            <w:pPr>
              <w:pStyle w:val="TableParagraph"/>
              <w:spacing w:before="29"/>
              <w:ind w:left="107"/>
              <w:rPr>
                <w:b/>
                <w:sz w:val="21"/>
              </w:rPr>
            </w:pPr>
            <w:r>
              <w:rPr>
                <w:b/>
                <w:spacing w:val="-2"/>
                <w:sz w:val="21"/>
              </w:rPr>
              <w:t>LIPSA</w:t>
            </w:r>
          </w:p>
        </w:tc>
        <w:tc>
          <w:tcPr>
            <w:tcW w:w="1711" w:type="dxa"/>
            <w:tcBorders>
              <w:bottom w:val="nil"/>
            </w:tcBorders>
          </w:tcPr>
          <w:p>
            <w:pPr>
              <w:pStyle w:val="TableParagraph"/>
              <w:spacing w:before="29"/>
              <w:ind w:left="10"/>
              <w:jc w:val="center"/>
              <w:rPr>
                <w:sz w:val="21"/>
              </w:rPr>
            </w:pPr>
            <w:r>
              <w:rPr>
                <w:sz w:val="21"/>
              </w:rPr>
              <w:t xml:space="preserve">$47.00 </w:t>
            </w:r>
            <w:r>
              <w:rPr>
                <w:spacing w:val="-2"/>
                <w:sz w:val="21"/>
              </w:rPr>
              <w:t>(estimate)</w:t>
            </w:r>
          </w:p>
        </w:tc>
        <w:tc>
          <w:tcPr>
            <w:tcW w:w="1349" w:type="dxa"/>
            <w:tcBorders>
              <w:bottom w:val="nil"/>
            </w:tcBorders>
          </w:tcPr>
          <w:p>
            <w:pPr>
              <w:pStyle w:val="TableParagraph"/>
              <w:spacing w:before="29"/>
              <w:ind w:left="7" w:right="2"/>
              <w:jc w:val="center"/>
              <w:rPr>
                <w:sz w:val="21"/>
              </w:rPr>
            </w:pPr>
            <w:r>
              <w:rPr>
                <w:spacing w:val="-2"/>
                <w:sz w:val="21"/>
              </w:rPr>
              <w:t>$41.00</w:t>
            </w:r>
          </w:p>
        </w:tc>
        <w:tc>
          <w:tcPr>
            <w:tcW w:w="991" w:type="dxa"/>
            <w:tcBorders>
              <w:bottom w:val="nil"/>
            </w:tcBorders>
          </w:tcPr>
          <w:p>
            <w:pPr>
              <w:pStyle w:val="TableParagraph"/>
              <w:spacing w:before="29"/>
              <w:ind w:left="19" w:right="12"/>
              <w:jc w:val="center"/>
              <w:rPr>
                <w:sz w:val="21"/>
              </w:rPr>
            </w:pPr>
            <w:r>
              <w:rPr>
                <w:spacing w:val="-2"/>
                <w:sz w:val="21"/>
              </w:rPr>
              <w:t>$41.00</w:t>
            </w:r>
          </w:p>
        </w:tc>
        <w:tc>
          <w:tcPr>
            <w:tcW w:w="924" w:type="dxa"/>
            <w:tcBorders>
              <w:bottom w:val="nil"/>
            </w:tcBorders>
          </w:tcPr>
          <w:p>
            <w:pPr>
              <w:pStyle w:val="TableParagraph"/>
              <w:spacing w:before="29"/>
              <w:ind w:left="7"/>
              <w:jc w:val="center"/>
              <w:rPr>
                <w:sz w:val="21"/>
              </w:rPr>
            </w:pPr>
            <w:r>
              <w:rPr>
                <w:spacing w:val="-2"/>
                <w:sz w:val="21"/>
              </w:rPr>
              <w:t>$41.00</w:t>
            </w:r>
          </w:p>
        </w:tc>
        <w:tc>
          <w:tcPr>
            <w:tcW w:w="1504" w:type="dxa"/>
            <w:tcBorders>
              <w:bottom w:val="nil"/>
            </w:tcBorders>
          </w:tcPr>
          <w:p>
            <w:pPr>
              <w:pStyle w:val="TableParagraph"/>
              <w:spacing w:before="29"/>
              <w:ind w:left="14"/>
              <w:jc w:val="center"/>
              <w:rPr>
                <w:sz w:val="21"/>
              </w:rPr>
            </w:pPr>
            <w:r>
              <w:rPr>
                <w:spacing w:val="-2"/>
                <w:sz w:val="21"/>
              </w:rPr>
              <w:t>$41.00</w:t>
            </w:r>
          </w:p>
        </w:tc>
      </w:tr>
      <w:tr>
        <w:tblPrEx>
          <w:tblW w:w="0" w:type="auto"/>
          <w:jc w:val="left"/>
          <w:tblInd w:w="514" w:type="dxa"/>
          <w:tblLayout w:type="fixed"/>
          <w:tblCellMar>
            <w:top w:w="0" w:type="dxa"/>
            <w:left w:w="0" w:type="dxa"/>
            <w:bottom w:w="0" w:type="dxa"/>
            <w:right w:w="0" w:type="dxa"/>
          </w:tblCellMar>
          <w:tblLook w:val="01E0"/>
        </w:tblPrEx>
        <w:trPr>
          <w:trHeight w:val="314"/>
          <w:jc w:val="left"/>
        </w:trPr>
        <w:tc>
          <w:tcPr>
            <w:tcW w:w="3056" w:type="dxa"/>
            <w:tcBorders>
              <w:top w:val="nil"/>
              <w:bottom w:val="nil"/>
            </w:tcBorders>
          </w:tcPr>
          <w:p>
            <w:pPr>
              <w:pStyle w:val="TableParagraph"/>
              <w:spacing w:before="39"/>
              <w:ind w:left="107"/>
              <w:rPr>
                <w:b/>
                <w:sz w:val="21"/>
              </w:rPr>
            </w:pPr>
            <w:r>
              <w:rPr>
                <w:b/>
                <w:sz w:val="21"/>
              </w:rPr>
              <w:t>Rebates</w:t>
            </w:r>
            <w:r>
              <w:rPr>
                <w:b/>
                <w:spacing w:val="-5"/>
                <w:sz w:val="21"/>
              </w:rPr>
              <w:t xml:space="preserve"> </w:t>
            </w:r>
            <w:r>
              <w:rPr>
                <w:b/>
                <w:sz w:val="21"/>
              </w:rPr>
              <w:t>for</w:t>
            </w:r>
            <w:r>
              <w:rPr>
                <w:b/>
                <w:spacing w:val="-6"/>
                <w:sz w:val="21"/>
              </w:rPr>
              <w:t xml:space="preserve"> </w:t>
            </w:r>
            <w:r>
              <w:rPr>
                <w:b/>
                <w:spacing w:val="-2"/>
                <w:sz w:val="21"/>
              </w:rPr>
              <w:t>Allocation</w:t>
            </w:r>
          </w:p>
        </w:tc>
        <w:tc>
          <w:tcPr>
            <w:tcW w:w="1711" w:type="dxa"/>
            <w:tcBorders>
              <w:top w:val="nil"/>
              <w:bottom w:val="nil"/>
            </w:tcBorders>
          </w:tcPr>
          <w:p>
            <w:pPr>
              <w:pStyle w:val="TableParagraph"/>
              <w:spacing w:before="39"/>
              <w:ind w:left="10" w:right="5"/>
              <w:jc w:val="center"/>
              <w:rPr>
                <w:sz w:val="21"/>
              </w:rPr>
            </w:pPr>
            <w:r>
              <w:rPr>
                <w:spacing w:val="-5"/>
                <w:sz w:val="21"/>
              </w:rPr>
              <w:t>N/A</w:t>
            </w:r>
          </w:p>
        </w:tc>
        <w:tc>
          <w:tcPr>
            <w:tcW w:w="1349" w:type="dxa"/>
            <w:tcBorders>
              <w:top w:val="nil"/>
              <w:bottom w:val="nil"/>
            </w:tcBorders>
          </w:tcPr>
          <w:p>
            <w:pPr>
              <w:pStyle w:val="TableParagraph"/>
              <w:spacing w:before="39"/>
              <w:ind w:left="7"/>
              <w:jc w:val="center"/>
              <w:rPr>
                <w:sz w:val="21"/>
              </w:rPr>
            </w:pPr>
            <w:r>
              <w:rPr>
                <w:spacing w:val="-2"/>
                <w:sz w:val="21"/>
              </w:rPr>
              <w:t>−$4.50</w:t>
            </w:r>
          </w:p>
        </w:tc>
        <w:tc>
          <w:tcPr>
            <w:tcW w:w="991" w:type="dxa"/>
            <w:tcBorders>
              <w:top w:val="nil"/>
              <w:bottom w:val="nil"/>
            </w:tcBorders>
          </w:tcPr>
          <w:p>
            <w:pPr>
              <w:pStyle w:val="TableParagraph"/>
              <w:spacing w:before="39"/>
              <w:ind w:left="19" w:right="9"/>
              <w:jc w:val="center"/>
              <w:rPr>
                <w:sz w:val="21"/>
              </w:rPr>
            </w:pPr>
            <w:r>
              <w:rPr>
                <w:spacing w:val="-2"/>
                <w:sz w:val="21"/>
              </w:rPr>
              <w:t>−$4.50</w:t>
            </w:r>
          </w:p>
        </w:tc>
        <w:tc>
          <w:tcPr>
            <w:tcW w:w="924" w:type="dxa"/>
            <w:tcBorders>
              <w:top w:val="nil"/>
              <w:bottom w:val="nil"/>
            </w:tcBorders>
          </w:tcPr>
          <w:p>
            <w:pPr>
              <w:pStyle w:val="TableParagraph"/>
              <w:spacing w:before="39"/>
              <w:ind w:left="7" w:right="2"/>
              <w:jc w:val="center"/>
              <w:rPr>
                <w:sz w:val="21"/>
              </w:rPr>
            </w:pPr>
            <w:r>
              <w:rPr>
                <w:spacing w:val="-2"/>
                <w:sz w:val="21"/>
              </w:rPr>
              <w:t>−$4.50</w:t>
            </w:r>
          </w:p>
        </w:tc>
        <w:tc>
          <w:tcPr>
            <w:tcW w:w="1504" w:type="dxa"/>
            <w:tcBorders>
              <w:top w:val="nil"/>
              <w:bottom w:val="nil"/>
            </w:tcBorders>
          </w:tcPr>
          <w:p>
            <w:pPr>
              <w:pStyle w:val="TableParagraph"/>
              <w:spacing w:before="39"/>
              <w:ind w:left="14" w:right="2"/>
              <w:jc w:val="center"/>
              <w:rPr>
                <w:sz w:val="21"/>
              </w:rPr>
            </w:pPr>
            <w:r>
              <w:rPr>
                <w:spacing w:val="-2"/>
                <w:sz w:val="21"/>
              </w:rPr>
              <w:t>−$4.50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56" w:type="dxa"/>
            <w:tcBorders>
              <w:top w:val="nil"/>
              <w:bottom w:val="nil"/>
            </w:tcBorders>
          </w:tcPr>
          <w:p>
            <w:pPr>
              <w:pStyle w:val="TableParagraph"/>
              <w:spacing w:before="25"/>
              <w:ind w:left="107"/>
              <w:rPr>
                <w:b/>
                <w:sz w:val="21"/>
              </w:rPr>
            </w:pPr>
            <w:r>
              <w:rPr>
                <w:b/>
                <w:sz w:val="21"/>
              </w:rPr>
              <w:t>Change</w:t>
            </w:r>
            <w:r>
              <w:rPr>
                <w:b/>
                <w:spacing w:val="-3"/>
                <w:sz w:val="21"/>
              </w:rPr>
              <w:t xml:space="preserve"> </w:t>
            </w:r>
            <w:r>
              <w:rPr>
                <w:b/>
                <w:sz w:val="21"/>
              </w:rPr>
              <w:t>in</w:t>
            </w:r>
            <w:r>
              <w:rPr>
                <w:b/>
                <w:spacing w:val="-5"/>
                <w:sz w:val="21"/>
              </w:rPr>
              <w:t xml:space="preserve"> </w:t>
            </w:r>
            <w:r>
              <w:rPr>
                <w:b/>
                <w:sz w:val="21"/>
              </w:rPr>
              <w:t>MSB</w:t>
            </w:r>
            <w:r>
              <w:rPr>
                <w:b/>
                <w:spacing w:val="-4"/>
                <w:sz w:val="21"/>
              </w:rPr>
              <w:t xml:space="preserve"> </w:t>
            </w:r>
            <w:r>
              <w:rPr>
                <w:b/>
                <w:sz w:val="21"/>
              </w:rPr>
              <w:t>Rev</w:t>
            </w:r>
            <w:r>
              <w:rPr>
                <w:b/>
                <w:spacing w:val="-5"/>
                <w:sz w:val="21"/>
              </w:rPr>
              <w:t xml:space="preserve"> Req</w:t>
            </w:r>
          </w:p>
        </w:tc>
        <w:tc>
          <w:tcPr>
            <w:tcW w:w="1711" w:type="dxa"/>
            <w:tcBorders>
              <w:top w:val="nil"/>
              <w:bottom w:val="nil"/>
            </w:tcBorders>
          </w:tcPr>
          <w:p>
            <w:pPr>
              <w:pStyle w:val="TableParagraph"/>
              <w:spacing w:before="25"/>
              <w:ind w:left="10" w:right="5"/>
              <w:jc w:val="center"/>
              <w:rPr>
                <w:sz w:val="21"/>
              </w:rPr>
            </w:pPr>
            <w:r>
              <w:rPr>
                <w:spacing w:val="-5"/>
                <w:sz w:val="21"/>
              </w:rPr>
              <w:t>N/A</w:t>
            </w:r>
          </w:p>
        </w:tc>
        <w:tc>
          <w:tcPr>
            <w:tcW w:w="1349" w:type="dxa"/>
            <w:tcBorders>
              <w:top w:val="nil"/>
              <w:bottom w:val="nil"/>
            </w:tcBorders>
          </w:tcPr>
          <w:p>
            <w:pPr>
              <w:pStyle w:val="TableParagraph"/>
              <w:spacing w:before="25"/>
              <w:ind w:left="7" w:right="4"/>
              <w:jc w:val="center"/>
              <w:rPr>
                <w:sz w:val="21"/>
              </w:rPr>
            </w:pPr>
            <w:r>
              <w:rPr>
                <w:spacing w:val="-5"/>
                <w:sz w:val="21"/>
              </w:rPr>
              <w:t>N/A</w:t>
            </w:r>
          </w:p>
        </w:tc>
        <w:tc>
          <w:tcPr>
            <w:tcW w:w="991" w:type="dxa"/>
            <w:tcBorders>
              <w:top w:val="nil"/>
              <w:bottom w:val="nil"/>
            </w:tcBorders>
          </w:tcPr>
          <w:p>
            <w:pPr>
              <w:pStyle w:val="TableParagraph"/>
              <w:spacing w:before="25"/>
              <w:ind w:left="19" w:right="12"/>
              <w:jc w:val="center"/>
              <w:rPr>
                <w:sz w:val="21"/>
              </w:rPr>
            </w:pPr>
            <w:r>
              <w:rPr>
                <w:spacing w:val="-2"/>
                <w:sz w:val="21"/>
              </w:rPr>
              <w:t>$0.00</w:t>
            </w:r>
          </w:p>
        </w:tc>
        <w:tc>
          <w:tcPr>
            <w:tcW w:w="924" w:type="dxa"/>
            <w:tcBorders>
              <w:top w:val="nil"/>
              <w:bottom w:val="nil"/>
            </w:tcBorders>
          </w:tcPr>
          <w:p>
            <w:pPr>
              <w:pStyle w:val="TableParagraph"/>
              <w:spacing w:before="25"/>
              <w:ind w:left="7" w:right="2"/>
              <w:jc w:val="center"/>
              <w:rPr>
                <w:sz w:val="21"/>
              </w:rPr>
            </w:pPr>
            <w:r>
              <w:rPr>
                <w:spacing w:val="-2"/>
                <w:sz w:val="21"/>
              </w:rPr>
              <w:t>−$4.50</w:t>
            </w:r>
          </w:p>
        </w:tc>
        <w:tc>
          <w:tcPr>
            <w:tcW w:w="1504" w:type="dxa"/>
            <w:tcBorders>
              <w:top w:val="nil"/>
              <w:bottom w:val="nil"/>
            </w:tcBorders>
          </w:tcPr>
          <w:p>
            <w:pPr>
              <w:pStyle w:val="TableParagraph"/>
              <w:spacing w:before="25"/>
              <w:ind w:left="14" w:right="2"/>
              <w:jc w:val="center"/>
              <w:rPr>
                <w:sz w:val="21"/>
              </w:rPr>
            </w:pPr>
            <w:r>
              <w:rPr>
                <w:spacing w:val="-2"/>
                <w:sz w:val="21"/>
              </w:rPr>
              <w:t>−$4.70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56" w:type="dxa"/>
            <w:tcBorders>
              <w:top w:val="nil"/>
              <w:bottom w:val="nil"/>
            </w:tcBorders>
          </w:tcPr>
          <w:p>
            <w:pPr>
              <w:pStyle w:val="TableParagraph"/>
              <w:spacing w:before="175"/>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711" w:type="dxa"/>
            <w:tcBorders>
              <w:top w:val="nil"/>
              <w:bottom w:val="nil"/>
            </w:tcBorders>
          </w:tcPr>
          <w:p>
            <w:pPr>
              <w:pStyle w:val="TableParagraph"/>
              <w:spacing w:before="175"/>
              <w:ind w:left="10" w:right="4"/>
              <w:jc w:val="center"/>
              <w:rPr>
                <w:sz w:val="21"/>
              </w:rPr>
            </w:pPr>
            <w:r>
              <w:rPr>
                <w:spacing w:val="-2"/>
                <w:sz w:val="21"/>
              </w:rPr>
              <w:t>$85.10</w:t>
            </w:r>
          </w:p>
        </w:tc>
        <w:tc>
          <w:tcPr>
            <w:tcW w:w="1349" w:type="dxa"/>
            <w:tcBorders>
              <w:top w:val="nil"/>
              <w:bottom w:val="nil"/>
            </w:tcBorders>
          </w:tcPr>
          <w:p>
            <w:pPr>
              <w:pStyle w:val="TableParagraph"/>
              <w:spacing w:before="175"/>
              <w:ind w:left="7" w:right="2"/>
              <w:jc w:val="center"/>
              <w:rPr>
                <w:sz w:val="21"/>
              </w:rPr>
            </w:pPr>
            <w:r>
              <w:rPr>
                <w:spacing w:val="-2"/>
                <w:sz w:val="21"/>
              </w:rPr>
              <w:t>$85.10</w:t>
            </w:r>
          </w:p>
        </w:tc>
        <w:tc>
          <w:tcPr>
            <w:tcW w:w="991" w:type="dxa"/>
            <w:tcBorders>
              <w:top w:val="nil"/>
              <w:bottom w:val="nil"/>
            </w:tcBorders>
          </w:tcPr>
          <w:p>
            <w:pPr>
              <w:pStyle w:val="TableParagraph"/>
              <w:spacing w:before="175"/>
              <w:ind w:left="19" w:right="12"/>
              <w:jc w:val="center"/>
              <w:rPr>
                <w:sz w:val="21"/>
              </w:rPr>
            </w:pPr>
            <w:r>
              <w:rPr>
                <w:spacing w:val="-2"/>
                <w:sz w:val="21"/>
              </w:rPr>
              <w:t>$85.10</w:t>
            </w:r>
          </w:p>
        </w:tc>
        <w:tc>
          <w:tcPr>
            <w:tcW w:w="924" w:type="dxa"/>
            <w:tcBorders>
              <w:top w:val="nil"/>
              <w:bottom w:val="nil"/>
            </w:tcBorders>
          </w:tcPr>
          <w:p>
            <w:pPr>
              <w:pStyle w:val="TableParagraph"/>
              <w:spacing w:before="175"/>
              <w:ind w:left="7"/>
              <w:jc w:val="center"/>
              <w:rPr>
                <w:b/>
                <w:i/>
                <w:sz w:val="21"/>
              </w:rPr>
            </w:pPr>
            <w:r>
              <w:rPr>
                <w:b/>
                <w:i/>
                <w:spacing w:val="-2"/>
                <w:sz w:val="21"/>
              </w:rPr>
              <w:t>$80.60</w:t>
            </w:r>
          </w:p>
        </w:tc>
        <w:tc>
          <w:tcPr>
            <w:tcW w:w="1504" w:type="dxa"/>
            <w:tcBorders>
              <w:top w:val="nil"/>
              <w:bottom w:val="nil"/>
            </w:tcBorders>
          </w:tcPr>
          <w:p>
            <w:pPr>
              <w:pStyle w:val="TableParagraph"/>
              <w:spacing w:before="175"/>
              <w:ind w:left="14"/>
              <w:jc w:val="center"/>
              <w:rPr>
                <w:b/>
                <w:i/>
                <w:sz w:val="21"/>
              </w:rPr>
            </w:pPr>
            <w:r>
              <w:rPr>
                <w:b/>
                <w:i/>
                <w:spacing w:val="-2"/>
                <w:sz w:val="21"/>
              </w:rPr>
              <w:t>$80.40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56" w:type="dxa"/>
            <w:tcBorders>
              <w:top w:val="nil"/>
              <w:bottom w:val="nil"/>
            </w:tcBorders>
          </w:tcPr>
          <w:p>
            <w:pPr>
              <w:pStyle w:val="TableParagraph"/>
              <w:spacing w:before="25"/>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711" w:type="dxa"/>
            <w:tcBorders>
              <w:top w:val="nil"/>
              <w:bottom w:val="nil"/>
            </w:tcBorders>
          </w:tcPr>
          <w:p>
            <w:pPr>
              <w:pStyle w:val="TableParagraph"/>
              <w:spacing w:before="25"/>
              <w:ind w:left="10" w:right="4"/>
              <w:jc w:val="center"/>
              <w:rPr>
                <w:sz w:val="21"/>
              </w:rPr>
            </w:pPr>
            <w:r>
              <w:rPr>
                <w:spacing w:val="-2"/>
                <w:sz w:val="21"/>
              </w:rPr>
              <w:t>$85.10</w:t>
            </w:r>
          </w:p>
        </w:tc>
        <w:tc>
          <w:tcPr>
            <w:tcW w:w="1349" w:type="dxa"/>
            <w:tcBorders>
              <w:top w:val="nil"/>
              <w:bottom w:val="nil"/>
            </w:tcBorders>
          </w:tcPr>
          <w:p>
            <w:pPr>
              <w:pStyle w:val="TableParagraph"/>
              <w:spacing w:before="25"/>
              <w:ind w:left="7" w:right="2"/>
              <w:jc w:val="center"/>
              <w:rPr>
                <w:sz w:val="21"/>
              </w:rPr>
            </w:pPr>
            <w:r>
              <w:rPr>
                <w:spacing w:val="-2"/>
                <w:sz w:val="21"/>
              </w:rPr>
              <w:t>$85.10</w:t>
            </w:r>
          </w:p>
        </w:tc>
        <w:tc>
          <w:tcPr>
            <w:tcW w:w="991" w:type="dxa"/>
            <w:tcBorders>
              <w:top w:val="nil"/>
              <w:bottom w:val="nil"/>
            </w:tcBorders>
          </w:tcPr>
          <w:p>
            <w:pPr>
              <w:pStyle w:val="TableParagraph"/>
              <w:spacing w:before="25"/>
              <w:ind w:left="19" w:right="12"/>
              <w:jc w:val="center"/>
              <w:rPr>
                <w:b/>
                <w:i/>
                <w:sz w:val="21"/>
              </w:rPr>
            </w:pPr>
            <w:r>
              <w:rPr>
                <w:b/>
                <w:i/>
                <w:spacing w:val="-2"/>
                <w:sz w:val="21"/>
              </w:rPr>
              <w:t>$80.60</w:t>
            </w:r>
          </w:p>
        </w:tc>
        <w:tc>
          <w:tcPr>
            <w:tcW w:w="924" w:type="dxa"/>
            <w:tcBorders>
              <w:top w:val="nil"/>
              <w:bottom w:val="nil"/>
            </w:tcBorders>
          </w:tcPr>
          <w:p>
            <w:pPr>
              <w:pStyle w:val="TableParagraph"/>
              <w:spacing w:before="25"/>
              <w:ind w:left="7"/>
              <w:jc w:val="center"/>
              <w:rPr>
                <w:b/>
                <w:i/>
                <w:sz w:val="21"/>
              </w:rPr>
            </w:pPr>
            <w:r>
              <w:rPr>
                <w:b/>
                <w:i/>
                <w:spacing w:val="-2"/>
                <w:sz w:val="21"/>
              </w:rPr>
              <w:t>$80.60</w:t>
            </w:r>
          </w:p>
        </w:tc>
        <w:tc>
          <w:tcPr>
            <w:tcW w:w="1504" w:type="dxa"/>
            <w:tcBorders>
              <w:top w:val="nil"/>
              <w:bottom w:val="nil"/>
            </w:tcBorders>
          </w:tcPr>
          <w:p>
            <w:pPr>
              <w:pStyle w:val="TableParagraph"/>
              <w:spacing w:before="25"/>
              <w:ind w:left="14"/>
              <w:jc w:val="center"/>
              <w:rPr>
                <w:b/>
                <w:i/>
                <w:sz w:val="21"/>
              </w:rPr>
            </w:pPr>
            <w:r>
              <w:rPr>
                <w:b/>
                <w:i/>
                <w:spacing w:val="-2"/>
                <w:sz w:val="21"/>
              </w:rPr>
              <w:t>$80.40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56" w:type="dxa"/>
            <w:tcBorders>
              <w:top w:val="nil"/>
              <w:bottom w:val="nil"/>
            </w:tcBorders>
          </w:tcPr>
          <w:p>
            <w:pPr>
              <w:pStyle w:val="TableParagraph"/>
              <w:spacing w:before="25"/>
              <w:ind w:left="107"/>
              <w:rPr>
                <w:b/>
                <w:sz w:val="21"/>
              </w:rPr>
            </w:pPr>
            <w:r>
              <w:rPr>
                <w:b/>
                <w:sz w:val="21"/>
              </w:rPr>
              <w:t>MA</w:t>
            </w:r>
            <w:r>
              <w:rPr>
                <w:b/>
                <w:spacing w:val="-5"/>
                <w:sz w:val="21"/>
              </w:rPr>
              <w:t xml:space="preserve"> </w:t>
            </w:r>
            <w:r>
              <w:rPr>
                <w:b/>
                <w:spacing w:val="-2"/>
                <w:sz w:val="21"/>
              </w:rPr>
              <w:t>Premium</w:t>
            </w:r>
          </w:p>
        </w:tc>
        <w:tc>
          <w:tcPr>
            <w:tcW w:w="1711" w:type="dxa"/>
            <w:tcBorders>
              <w:top w:val="nil"/>
              <w:bottom w:val="nil"/>
            </w:tcBorders>
          </w:tcPr>
          <w:p>
            <w:pPr>
              <w:pStyle w:val="TableParagraph"/>
              <w:spacing w:before="25"/>
              <w:ind w:left="10" w:right="4"/>
              <w:jc w:val="center"/>
              <w:rPr>
                <w:sz w:val="21"/>
              </w:rPr>
            </w:pPr>
            <w:r>
              <w:rPr>
                <w:spacing w:val="-2"/>
                <w:sz w:val="21"/>
              </w:rPr>
              <w:t>$0.00</w:t>
            </w:r>
          </w:p>
        </w:tc>
        <w:tc>
          <w:tcPr>
            <w:tcW w:w="1349" w:type="dxa"/>
            <w:tcBorders>
              <w:top w:val="nil"/>
              <w:bottom w:val="nil"/>
            </w:tcBorders>
          </w:tcPr>
          <w:p>
            <w:pPr>
              <w:pStyle w:val="TableParagraph"/>
              <w:spacing w:before="25"/>
              <w:ind w:left="7" w:right="2"/>
              <w:jc w:val="center"/>
              <w:rPr>
                <w:sz w:val="21"/>
              </w:rPr>
            </w:pPr>
            <w:r>
              <w:rPr>
                <w:spacing w:val="-2"/>
                <w:sz w:val="21"/>
              </w:rPr>
              <w:t>$0.00</w:t>
            </w:r>
          </w:p>
        </w:tc>
        <w:tc>
          <w:tcPr>
            <w:tcW w:w="991" w:type="dxa"/>
            <w:tcBorders>
              <w:top w:val="nil"/>
              <w:bottom w:val="nil"/>
            </w:tcBorders>
          </w:tcPr>
          <w:p>
            <w:pPr>
              <w:pStyle w:val="TableParagraph"/>
              <w:spacing w:before="25"/>
              <w:ind w:left="19" w:right="12"/>
              <w:jc w:val="center"/>
              <w:rPr>
                <w:sz w:val="21"/>
              </w:rPr>
            </w:pPr>
            <w:r>
              <w:rPr>
                <w:spacing w:val="-2"/>
                <w:sz w:val="21"/>
              </w:rPr>
              <w:t>$4.50</w:t>
            </w:r>
          </w:p>
        </w:tc>
        <w:tc>
          <w:tcPr>
            <w:tcW w:w="924" w:type="dxa"/>
            <w:tcBorders>
              <w:top w:val="nil"/>
              <w:bottom w:val="nil"/>
            </w:tcBorders>
          </w:tcPr>
          <w:p>
            <w:pPr>
              <w:pStyle w:val="TableParagraph"/>
              <w:spacing w:before="25"/>
              <w:ind w:left="7"/>
              <w:jc w:val="center"/>
              <w:rPr>
                <w:sz w:val="21"/>
              </w:rPr>
            </w:pPr>
            <w:r>
              <w:rPr>
                <w:spacing w:val="-2"/>
                <w:sz w:val="21"/>
              </w:rPr>
              <w:t>$0.00</w:t>
            </w:r>
          </w:p>
        </w:tc>
        <w:tc>
          <w:tcPr>
            <w:tcW w:w="1504" w:type="dxa"/>
            <w:tcBorders>
              <w:top w:val="nil"/>
              <w:bottom w:val="nil"/>
            </w:tcBorders>
          </w:tcPr>
          <w:p>
            <w:pPr>
              <w:pStyle w:val="TableParagraph"/>
              <w:spacing w:before="25"/>
              <w:ind w:left="14"/>
              <w:jc w:val="center"/>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449"/>
          <w:jc w:val="left"/>
        </w:trPr>
        <w:tc>
          <w:tcPr>
            <w:tcW w:w="3056" w:type="dxa"/>
            <w:tcBorders>
              <w:top w:val="nil"/>
              <w:bottom w:val="nil"/>
            </w:tcBorders>
          </w:tcPr>
          <w:p>
            <w:pPr>
              <w:pStyle w:val="TableParagraph"/>
              <w:spacing w:before="175"/>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5"/>
                <w:sz w:val="21"/>
              </w:rPr>
              <w:t xml:space="preserve"> </w:t>
            </w:r>
            <w:r>
              <w:rPr>
                <w:spacing w:val="-2"/>
                <w:sz w:val="21"/>
              </w:rPr>
              <w:t>Rebate</w:t>
            </w:r>
          </w:p>
        </w:tc>
        <w:tc>
          <w:tcPr>
            <w:tcW w:w="1711" w:type="dxa"/>
            <w:tcBorders>
              <w:top w:val="nil"/>
              <w:bottom w:val="nil"/>
            </w:tcBorders>
          </w:tcPr>
          <w:p>
            <w:pPr>
              <w:pStyle w:val="TableParagraph"/>
              <w:spacing w:before="175"/>
              <w:ind w:left="10" w:right="4"/>
              <w:jc w:val="center"/>
              <w:rPr>
                <w:sz w:val="21"/>
              </w:rPr>
            </w:pPr>
            <w:r>
              <w:rPr>
                <w:spacing w:val="-2"/>
                <w:sz w:val="21"/>
              </w:rPr>
              <w:t>$65.80</w:t>
            </w:r>
          </w:p>
        </w:tc>
        <w:tc>
          <w:tcPr>
            <w:tcW w:w="1349" w:type="dxa"/>
            <w:tcBorders>
              <w:top w:val="nil"/>
              <w:bottom w:val="nil"/>
            </w:tcBorders>
          </w:tcPr>
          <w:p>
            <w:pPr>
              <w:pStyle w:val="TableParagraph"/>
              <w:spacing w:before="175"/>
              <w:ind w:left="7" w:right="2"/>
              <w:jc w:val="center"/>
              <w:rPr>
                <w:sz w:val="21"/>
              </w:rPr>
            </w:pPr>
            <w:r>
              <w:rPr>
                <w:spacing w:val="-2"/>
                <w:sz w:val="21"/>
              </w:rPr>
              <w:t>$64.30</w:t>
            </w:r>
          </w:p>
        </w:tc>
        <w:tc>
          <w:tcPr>
            <w:tcW w:w="991" w:type="dxa"/>
            <w:tcBorders>
              <w:top w:val="nil"/>
              <w:bottom w:val="nil"/>
            </w:tcBorders>
          </w:tcPr>
          <w:p>
            <w:pPr>
              <w:pStyle w:val="TableParagraph"/>
              <w:spacing w:before="175"/>
              <w:ind w:left="19" w:right="12"/>
              <w:jc w:val="center"/>
              <w:rPr>
                <w:sz w:val="21"/>
              </w:rPr>
            </w:pPr>
            <w:r>
              <w:rPr>
                <w:spacing w:val="-2"/>
                <w:sz w:val="21"/>
              </w:rPr>
              <w:t>$64.30</w:t>
            </w:r>
          </w:p>
        </w:tc>
        <w:tc>
          <w:tcPr>
            <w:tcW w:w="924" w:type="dxa"/>
            <w:tcBorders>
              <w:top w:val="nil"/>
              <w:bottom w:val="nil"/>
            </w:tcBorders>
          </w:tcPr>
          <w:p>
            <w:pPr>
              <w:pStyle w:val="TableParagraph"/>
              <w:spacing w:before="175"/>
              <w:ind w:left="7"/>
              <w:jc w:val="center"/>
              <w:rPr>
                <w:sz w:val="21"/>
              </w:rPr>
            </w:pPr>
            <w:r>
              <w:rPr>
                <w:spacing w:val="-2"/>
                <w:sz w:val="21"/>
              </w:rPr>
              <w:t>$64.30</w:t>
            </w:r>
          </w:p>
        </w:tc>
        <w:tc>
          <w:tcPr>
            <w:tcW w:w="1504" w:type="dxa"/>
            <w:tcBorders>
              <w:top w:val="nil"/>
              <w:bottom w:val="nil"/>
            </w:tcBorders>
          </w:tcPr>
          <w:p>
            <w:pPr>
              <w:pStyle w:val="TableParagraph"/>
              <w:spacing w:before="175"/>
              <w:ind w:left="14"/>
              <w:jc w:val="center"/>
              <w:rPr>
                <w:sz w:val="21"/>
              </w:rPr>
            </w:pPr>
            <w:r>
              <w:rPr>
                <w:spacing w:val="-2"/>
                <w:sz w:val="21"/>
              </w:rPr>
              <w:t>$64.30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56"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5"/>
                <w:sz w:val="21"/>
              </w:rPr>
              <w:t xml:space="preserve"> </w:t>
            </w:r>
            <w:r>
              <w:rPr>
                <w:spacing w:val="-2"/>
                <w:sz w:val="21"/>
              </w:rPr>
              <w:t>Allocations</w:t>
            </w:r>
          </w:p>
        </w:tc>
        <w:tc>
          <w:tcPr>
            <w:tcW w:w="1711" w:type="dxa"/>
            <w:tcBorders>
              <w:top w:val="nil"/>
              <w:bottom w:val="nil"/>
            </w:tcBorders>
          </w:tcPr>
          <w:p>
            <w:pPr>
              <w:pStyle w:val="TableParagraph"/>
              <w:spacing w:before="25"/>
              <w:ind w:left="10" w:right="4"/>
              <w:jc w:val="center"/>
              <w:rPr>
                <w:sz w:val="21"/>
              </w:rPr>
            </w:pPr>
            <w:r>
              <w:rPr>
                <w:spacing w:val="-2"/>
                <w:sz w:val="21"/>
              </w:rPr>
              <w:t>$18.80</w:t>
            </w:r>
          </w:p>
        </w:tc>
        <w:tc>
          <w:tcPr>
            <w:tcW w:w="1349" w:type="dxa"/>
            <w:tcBorders>
              <w:top w:val="nil"/>
              <w:bottom w:val="nil"/>
            </w:tcBorders>
          </w:tcPr>
          <w:p>
            <w:pPr>
              <w:pStyle w:val="TableParagraph"/>
              <w:spacing w:before="25"/>
              <w:ind w:left="7" w:right="2"/>
              <w:jc w:val="center"/>
              <w:rPr>
                <w:sz w:val="21"/>
              </w:rPr>
            </w:pPr>
            <w:r>
              <w:rPr>
                <w:spacing w:val="-2"/>
                <w:sz w:val="21"/>
              </w:rPr>
              <w:t>$18.80</w:t>
            </w:r>
          </w:p>
        </w:tc>
        <w:tc>
          <w:tcPr>
            <w:tcW w:w="991" w:type="dxa"/>
            <w:tcBorders>
              <w:top w:val="nil"/>
              <w:bottom w:val="nil"/>
            </w:tcBorders>
          </w:tcPr>
          <w:p>
            <w:pPr>
              <w:pStyle w:val="TableParagraph"/>
              <w:spacing w:before="25"/>
              <w:ind w:left="19" w:right="12"/>
              <w:jc w:val="center"/>
              <w:rPr>
                <w:b/>
                <w:i/>
                <w:sz w:val="21"/>
              </w:rPr>
            </w:pPr>
            <w:r>
              <w:rPr>
                <w:b/>
                <w:i/>
                <w:spacing w:val="-2"/>
                <w:sz w:val="21"/>
              </w:rPr>
              <w:t>$23.30</w:t>
            </w:r>
          </w:p>
        </w:tc>
        <w:tc>
          <w:tcPr>
            <w:tcW w:w="924" w:type="dxa"/>
            <w:tcBorders>
              <w:top w:val="nil"/>
              <w:bottom w:val="nil"/>
            </w:tcBorders>
          </w:tcPr>
          <w:p>
            <w:pPr>
              <w:pStyle w:val="TableParagraph"/>
              <w:spacing w:before="25"/>
              <w:ind w:left="7"/>
              <w:jc w:val="center"/>
              <w:rPr>
                <w:b/>
                <w:i/>
                <w:sz w:val="21"/>
              </w:rPr>
            </w:pPr>
            <w:r>
              <w:rPr>
                <w:b/>
                <w:i/>
                <w:spacing w:val="-2"/>
                <w:sz w:val="21"/>
              </w:rPr>
              <w:t>$23.30</w:t>
            </w:r>
          </w:p>
        </w:tc>
        <w:tc>
          <w:tcPr>
            <w:tcW w:w="1504" w:type="dxa"/>
            <w:tcBorders>
              <w:top w:val="nil"/>
              <w:bottom w:val="nil"/>
            </w:tcBorders>
          </w:tcPr>
          <w:p>
            <w:pPr>
              <w:pStyle w:val="TableParagraph"/>
              <w:spacing w:before="25"/>
              <w:ind w:left="14"/>
              <w:jc w:val="center"/>
              <w:rPr>
                <w:b/>
                <w:i/>
                <w:sz w:val="21"/>
              </w:rPr>
            </w:pPr>
            <w:r>
              <w:rPr>
                <w:b/>
                <w:i/>
                <w:spacing w:val="-2"/>
                <w:sz w:val="21"/>
              </w:rPr>
              <w:t>$23.30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56"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711" w:type="dxa"/>
            <w:tcBorders>
              <w:top w:val="nil"/>
              <w:bottom w:val="nil"/>
            </w:tcBorders>
          </w:tcPr>
          <w:p>
            <w:pPr>
              <w:pStyle w:val="TableParagraph"/>
              <w:spacing w:before="25"/>
              <w:ind w:left="10" w:right="4"/>
              <w:jc w:val="center"/>
              <w:rPr>
                <w:sz w:val="21"/>
              </w:rPr>
            </w:pPr>
            <w:r>
              <w:rPr>
                <w:spacing w:val="-2"/>
                <w:sz w:val="21"/>
              </w:rPr>
              <w:t>$47.00</w:t>
            </w:r>
          </w:p>
        </w:tc>
        <w:tc>
          <w:tcPr>
            <w:tcW w:w="1349" w:type="dxa"/>
            <w:tcBorders>
              <w:top w:val="nil"/>
              <w:bottom w:val="nil"/>
            </w:tcBorders>
          </w:tcPr>
          <w:p>
            <w:pPr>
              <w:pStyle w:val="TableParagraph"/>
              <w:spacing w:before="25"/>
              <w:ind w:left="7" w:right="2"/>
              <w:jc w:val="center"/>
              <w:rPr>
                <w:sz w:val="21"/>
              </w:rPr>
            </w:pPr>
            <w:r>
              <w:rPr>
                <w:spacing w:val="-2"/>
                <w:sz w:val="21"/>
              </w:rPr>
              <w:t>$45.50</w:t>
            </w:r>
          </w:p>
        </w:tc>
        <w:tc>
          <w:tcPr>
            <w:tcW w:w="991" w:type="dxa"/>
            <w:tcBorders>
              <w:top w:val="nil"/>
              <w:bottom w:val="nil"/>
            </w:tcBorders>
          </w:tcPr>
          <w:p>
            <w:pPr>
              <w:pStyle w:val="TableParagraph"/>
              <w:spacing w:before="25"/>
              <w:ind w:left="19" w:right="12"/>
              <w:jc w:val="center"/>
              <w:rPr>
                <w:sz w:val="21"/>
              </w:rPr>
            </w:pPr>
            <w:r>
              <w:rPr>
                <w:spacing w:val="-2"/>
                <w:sz w:val="21"/>
              </w:rPr>
              <w:t>$41.00</w:t>
            </w:r>
          </w:p>
        </w:tc>
        <w:tc>
          <w:tcPr>
            <w:tcW w:w="924" w:type="dxa"/>
            <w:tcBorders>
              <w:top w:val="nil"/>
              <w:bottom w:val="nil"/>
            </w:tcBorders>
          </w:tcPr>
          <w:p>
            <w:pPr>
              <w:pStyle w:val="TableParagraph"/>
              <w:spacing w:before="25"/>
              <w:ind w:left="7"/>
              <w:jc w:val="center"/>
              <w:rPr>
                <w:sz w:val="21"/>
              </w:rPr>
            </w:pPr>
            <w:r>
              <w:rPr>
                <w:spacing w:val="-2"/>
                <w:sz w:val="21"/>
              </w:rPr>
              <w:t>$41.00</w:t>
            </w:r>
          </w:p>
        </w:tc>
        <w:tc>
          <w:tcPr>
            <w:tcW w:w="1504" w:type="dxa"/>
            <w:tcBorders>
              <w:top w:val="nil"/>
              <w:bottom w:val="nil"/>
            </w:tcBorders>
          </w:tcPr>
          <w:p>
            <w:pPr>
              <w:pStyle w:val="TableParagraph"/>
              <w:spacing w:before="25"/>
              <w:ind w:left="14"/>
              <w:jc w:val="center"/>
              <w:rPr>
                <w:sz w:val="21"/>
              </w:rPr>
            </w:pPr>
            <w:r>
              <w:rPr>
                <w:spacing w:val="-2"/>
                <w:sz w:val="21"/>
              </w:rPr>
              <w:t>$41.00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56"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711" w:type="dxa"/>
            <w:tcBorders>
              <w:top w:val="nil"/>
              <w:bottom w:val="nil"/>
            </w:tcBorders>
          </w:tcPr>
          <w:p>
            <w:pPr>
              <w:pStyle w:val="TableParagraph"/>
              <w:spacing w:before="175"/>
              <w:ind w:left="10" w:right="4"/>
              <w:jc w:val="center"/>
              <w:rPr>
                <w:sz w:val="21"/>
              </w:rPr>
            </w:pPr>
            <w:r>
              <w:rPr>
                <w:spacing w:val="-2"/>
                <w:sz w:val="21"/>
              </w:rPr>
              <w:t>$9.90</w:t>
            </w:r>
          </w:p>
        </w:tc>
        <w:tc>
          <w:tcPr>
            <w:tcW w:w="1349" w:type="dxa"/>
            <w:tcBorders>
              <w:top w:val="nil"/>
              <w:bottom w:val="nil"/>
            </w:tcBorders>
          </w:tcPr>
          <w:p>
            <w:pPr>
              <w:pStyle w:val="TableParagraph"/>
              <w:spacing w:before="175"/>
              <w:ind w:left="7" w:right="2"/>
              <w:jc w:val="center"/>
              <w:rPr>
                <w:sz w:val="21"/>
              </w:rPr>
            </w:pPr>
            <w:r>
              <w:rPr>
                <w:spacing w:val="-2"/>
                <w:sz w:val="21"/>
              </w:rPr>
              <w:t>$9.90</w:t>
            </w:r>
          </w:p>
        </w:tc>
        <w:tc>
          <w:tcPr>
            <w:tcW w:w="991" w:type="dxa"/>
            <w:tcBorders>
              <w:top w:val="nil"/>
              <w:bottom w:val="nil"/>
            </w:tcBorders>
          </w:tcPr>
          <w:p>
            <w:pPr>
              <w:pStyle w:val="TableParagraph"/>
              <w:spacing w:before="175"/>
              <w:ind w:left="19" w:right="12"/>
              <w:jc w:val="center"/>
              <w:rPr>
                <w:sz w:val="21"/>
              </w:rPr>
            </w:pPr>
            <w:r>
              <w:rPr>
                <w:spacing w:val="-2"/>
                <w:sz w:val="21"/>
              </w:rPr>
              <w:t>$9.90</w:t>
            </w:r>
          </w:p>
        </w:tc>
        <w:tc>
          <w:tcPr>
            <w:tcW w:w="924" w:type="dxa"/>
            <w:tcBorders>
              <w:top w:val="nil"/>
              <w:bottom w:val="nil"/>
            </w:tcBorders>
          </w:tcPr>
          <w:p>
            <w:pPr>
              <w:pStyle w:val="TableParagraph"/>
              <w:spacing w:before="175"/>
              <w:ind w:left="7"/>
              <w:jc w:val="center"/>
              <w:rPr>
                <w:sz w:val="21"/>
              </w:rPr>
            </w:pPr>
            <w:r>
              <w:rPr>
                <w:spacing w:val="-2"/>
                <w:sz w:val="21"/>
              </w:rPr>
              <w:t>$9.90</w:t>
            </w:r>
          </w:p>
        </w:tc>
        <w:tc>
          <w:tcPr>
            <w:tcW w:w="1504" w:type="dxa"/>
            <w:tcBorders>
              <w:top w:val="nil"/>
              <w:bottom w:val="nil"/>
            </w:tcBorders>
          </w:tcPr>
          <w:p>
            <w:pPr>
              <w:pStyle w:val="TableParagraph"/>
              <w:spacing w:before="175"/>
              <w:ind w:left="14"/>
              <w:jc w:val="center"/>
              <w:rPr>
                <w:sz w:val="21"/>
              </w:rPr>
            </w:pPr>
            <w:r>
              <w:rPr>
                <w:spacing w:val="-2"/>
                <w:sz w:val="21"/>
              </w:rPr>
              <w:t>$9.90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56"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711" w:type="dxa"/>
            <w:tcBorders>
              <w:top w:val="nil"/>
              <w:bottom w:val="nil"/>
            </w:tcBorders>
          </w:tcPr>
          <w:p>
            <w:pPr>
              <w:pStyle w:val="TableParagraph"/>
              <w:spacing w:before="25"/>
              <w:ind w:left="10" w:right="4"/>
              <w:jc w:val="center"/>
              <w:rPr>
                <w:sz w:val="21"/>
              </w:rPr>
            </w:pPr>
            <w:r>
              <w:rPr>
                <w:spacing w:val="-2"/>
                <w:sz w:val="21"/>
              </w:rPr>
              <w:t>$9.90</w:t>
            </w:r>
          </w:p>
        </w:tc>
        <w:tc>
          <w:tcPr>
            <w:tcW w:w="1349" w:type="dxa"/>
            <w:tcBorders>
              <w:top w:val="nil"/>
              <w:bottom w:val="nil"/>
            </w:tcBorders>
          </w:tcPr>
          <w:p>
            <w:pPr>
              <w:pStyle w:val="TableParagraph"/>
              <w:spacing w:before="25"/>
              <w:ind w:left="7" w:right="2"/>
              <w:jc w:val="center"/>
              <w:rPr>
                <w:sz w:val="21"/>
              </w:rPr>
            </w:pPr>
            <w:r>
              <w:rPr>
                <w:spacing w:val="-2"/>
                <w:sz w:val="21"/>
              </w:rPr>
              <w:t>$9.90</w:t>
            </w:r>
          </w:p>
        </w:tc>
        <w:tc>
          <w:tcPr>
            <w:tcW w:w="991" w:type="dxa"/>
            <w:tcBorders>
              <w:top w:val="nil"/>
              <w:bottom w:val="nil"/>
            </w:tcBorders>
          </w:tcPr>
          <w:p>
            <w:pPr>
              <w:pStyle w:val="TableParagraph"/>
              <w:spacing w:before="25"/>
              <w:ind w:left="19" w:right="12"/>
              <w:jc w:val="center"/>
              <w:rPr>
                <w:sz w:val="21"/>
              </w:rPr>
            </w:pPr>
            <w:r>
              <w:rPr>
                <w:spacing w:val="-2"/>
                <w:sz w:val="21"/>
              </w:rPr>
              <w:t>$9.90</w:t>
            </w:r>
          </w:p>
        </w:tc>
        <w:tc>
          <w:tcPr>
            <w:tcW w:w="924" w:type="dxa"/>
            <w:tcBorders>
              <w:top w:val="nil"/>
              <w:bottom w:val="nil"/>
            </w:tcBorders>
          </w:tcPr>
          <w:p>
            <w:pPr>
              <w:pStyle w:val="TableParagraph"/>
              <w:spacing w:before="25"/>
              <w:ind w:left="7"/>
              <w:jc w:val="center"/>
              <w:rPr>
                <w:sz w:val="21"/>
              </w:rPr>
            </w:pPr>
            <w:r>
              <w:rPr>
                <w:spacing w:val="-2"/>
                <w:sz w:val="21"/>
              </w:rPr>
              <w:t>$9.90</w:t>
            </w:r>
          </w:p>
        </w:tc>
        <w:tc>
          <w:tcPr>
            <w:tcW w:w="1504" w:type="dxa"/>
            <w:tcBorders>
              <w:top w:val="nil"/>
              <w:bottom w:val="nil"/>
            </w:tcBorders>
          </w:tcPr>
          <w:p>
            <w:pPr>
              <w:pStyle w:val="TableParagraph"/>
              <w:spacing w:before="25"/>
              <w:ind w:left="14"/>
              <w:jc w:val="center"/>
              <w:rPr>
                <w:sz w:val="21"/>
              </w:rPr>
            </w:pPr>
            <w:r>
              <w:rPr>
                <w:spacing w:val="-2"/>
                <w:sz w:val="21"/>
              </w:rPr>
              <w:t>$9.90</w:t>
            </w:r>
          </w:p>
        </w:tc>
      </w:tr>
      <w:tr>
        <w:tblPrEx>
          <w:tblW w:w="0" w:type="auto"/>
          <w:jc w:val="left"/>
          <w:tblInd w:w="514" w:type="dxa"/>
          <w:tblLayout w:type="fixed"/>
          <w:tblCellMar>
            <w:top w:w="0" w:type="dxa"/>
            <w:left w:w="0" w:type="dxa"/>
            <w:bottom w:w="0" w:type="dxa"/>
            <w:right w:w="0" w:type="dxa"/>
          </w:tblCellMar>
          <w:tblLook w:val="01E0"/>
        </w:tblPrEx>
        <w:trPr>
          <w:trHeight w:val="566"/>
          <w:jc w:val="left"/>
        </w:trPr>
        <w:tc>
          <w:tcPr>
            <w:tcW w:w="3056"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711" w:type="dxa"/>
            <w:tcBorders>
              <w:top w:val="nil"/>
            </w:tcBorders>
          </w:tcPr>
          <w:p>
            <w:pPr>
              <w:pStyle w:val="TableParagraph"/>
              <w:spacing w:before="25"/>
              <w:ind w:left="10" w:right="4"/>
              <w:jc w:val="center"/>
              <w:rPr>
                <w:sz w:val="21"/>
              </w:rPr>
            </w:pPr>
            <w:r>
              <w:rPr>
                <w:spacing w:val="-2"/>
                <w:sz w:val="21"/>
              </w:rPr>
              <w:t>$0.00</w:t>
            </w:r>
          </w:p>
        </w:tc>
        <w:tc>
          <w:tcPr>
            <w:tcW w:w="1349" w:type="dxa"/>
            <w:tcBorders>
              <w:top w:val="nil"/>
            </w:tcBorders>
          </w:tcPr>
          <w:p>
            <w:pPr>
              <w:pStyle w:val="TableParagraph"/>
              <w:spacing w:before="25"/>
              <w:ind w:left="7" w:right="2"/>
              <w:jc w:val="center"/>
              <w:rPr>
                <w:sz w:val="21"/>
              </w:rPr>
            </w:pPr>
            <w:r>
              <w:rPr>
                <w:spacing w:val="-2"/>
                <w:sz w:val="21"/>
              </w:rPr>
              <w:t>$0.00</w:t>
            </w:r>
          </w:p>
        </w:tc>
        <w:tc>
          <w:tcPr>
            <w:tcW w:w="991" w:type="dxa"/>
            <w:tcBorders>
              <w:top w:val="nil"/>
            </w:tcBorders>
          </w:tcPr>
          <w:p>
            <w:pPr>
              <w:pStyle w:val="TableParagraph"/>
              <w:spacing w:before="25"/>
              <w:ind w:left="19" w:right="12"/>
              <w:jc w:val="center"/>
              <w:rPr>
                <w:sz w:val="21"/>
              </w:rPr>
            </w:pPr>
            <w:r>
              <w:rPr>
                <w:spacing w:val="-2"/>
                <w:sz w:val="21"/>
              </w:rPr>
              <w:t>$0.00</w:t>
            </w:r>
          </w:p>
        </w:tc>
        <w:tc>
          <w:tcPr>
            <w:tcW w:w="924" w:type="dxa"/>
            <w:tcBorders>
              <w:top w:val="nil"/>
            </w:tcBorders>
          </w:tcPr>
          <w:p>
            <w:pPr>
              <w:pStyle w:val="TableParagraph"/>
              <w:spacing w:before="25"/>
              <w:ind w:left="7"/>
              <w:jc w:val="center"/>
              <w:rPr>
                <w:sz w:val="21"/>
              </w:rPr>
            </w:pPr>
            <w:r>
              <w:rPr>
                <w:spacing w:val="-2"/>
                <w:sz w:val="21"/>
              </w:rPr>
              <w:t>$0.00</w:t>
            </w:r>
          </w:p>
        </w:tc>
        <w:tc>
          <w:tcPr>
            <w:tcW w:w="1504" w:type="dxa"/>
            <w:tcBorders>
              <w:top w:val="nil"/>
            </w:tcBorders>
          </w:tcPr>
          <w:p>
            <w:pPr>
              <w:pStyle w:val="TableParagraph"/>
              <w:spacing w:before="25"/>
              <w:ind w:left="14"/>
              <w:jc w:val="center"/>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314"/>
          <w:jc w:val="left"/>
        </w:trPr>
        <w:tc>
          <w:tcPr>
            <w:tcW w:w="3056" w:type="dxa"/>
          </w:tcPr>
          <w:p>
            <w:pPr>
              <w:pStyle w:val="TableParagraph"/>
              <w:spacing w:before="73"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711" w:type="dxa"/>
          </w:tcPr>
          <w:p>
            <w:pPr>
              <w:pStyle w:val="TableParagraph"/>
              <w:spacing w:before="73" w:line="221" w:lineRule="exact"/>
              <w:ind w:left="10" w:right="4"/>
              <w:jc w:val="center"/>
              <w:rPr>
                <w:sz w:val="21"/>
              </w:rPr>
            </w:pPr>
            <w:r>
              <w:rPr>
                <w:spacing w:val="-2"/>
                <w:sz w:val="21"/>
              </w:rPr>
              <w:t>$47.00</w:t>
            </w:r>
          </w:p>
        </w:tc>
        <w:tc>
          <w:tcPr>
            <w:tcW w:w="1349" w:type="dxa"/>
          </w:tcPr>
          <w:p>
            <w:pPr>
              <w:pStyle w:val="TableParagraph"/>
              <w:spacing w:before="73" w:line="221" w:lineRule="exact"/>
              <w:ind w:left="7" w:right="2"/>
              <w:jc w:val="center"/>
              <w:rPr>
                <w:sz w:val="21"/>
              </w:rPr>
            </w:pPr>
            <w:r>
              <w:rPr>
                <w:spacing w:val="-2"/>
                <w:sz w:val="21"/>
              </w:rPr>
              <w:t>$45.50</w:t>
            </w:r>
          </w:p>
        </w:tc>
        <w:tc>
          <w:tcPr>
            <w:tcW w:w="991" w:type="dxa"/>
          </w:tcPr>
          <w:p>
            <w:pPr>
              <w:pStyle w:val="TableParagraph"/>
              <w:spacing w:before="73" w:line="221" w:lineRule="exact"/>
              <w:ind w:left="19" w:right="12"/>
              <w:jc w:val="center"/>
              <w:rPr>
                <w:sz w:val="21"/>
              </w:rPr>
            </w:pPr>
            <w:r>
              <w:rPr>
                <w:spacing w:val="-2"/>
                <w:sz w:val="21"/>
              </w:rPr>
              <w:t>$45.50</w:t>
            </w:r>
          </w:p>
        </w:tc>
        <w:tc>
          <w:tcPr>
            <w:tcW w:w="924" w:type="dxa"/>
          </w:tcPr>
          <w:p>
            <w:pPr>
              <w:pStyle w:val="TableParagraph"/>
              <w:spacing w:before="73" w:line="221" w:lineRule="exact"/>
              <w:ind w:left="7"/>
              <w:jc w:val="center"/>
              <w:rPr>
                <w:sz w:val="21"/>
              </w:rPr>
            </w:pPr>
            <w:r>
              <w:rPr>
                <w:spacing w:val="-2"/>
                <w:sz w:val="21"/>
              </w:rPr>
              <w:t>$41.00</w:t>
            </w:r>
          </w:p>
        </w:tc>
        <w:tc>
          <w:tcPr>
            <w:tcW w:w="1504" w:type="dxa"/>
          </w:tcPr>
          <w:p>
            <w:pPr>
              <w:pStyle w:val="TableParagraph"/>
              <w:spacing w:before="73" w:line="221" w:lineRule="exact"/>
              <w:ind w:left="14"/>
              <w:jc w:val="center"/>
              <w:rPr>
                <w:sz w:val="21"/>
              </w:rPr>
            </w:pPr>
            <w:r>
              <w:rPr>
                <w:spacing w:val="-2"/>
                <w:sz w:val="21"/>
              </w:rPr>
              <w:t>$41.00</w:t>
            </w:r>
          </w:p>
        </w:tc>
      </w:tr>
    </w:tbl>
    <w:p>
      <w:pPr>
        <w:pStyle w:val="BodyText"/>
        <w:spacing w:before="87"/>
        <w:ind w:left="0"/>
        <w:rPr>
          <w:rFonts w:ascii="Arial"/>
          <w:b/>
          <w:i/>
        </w:rPr>
      </w:pPr>
    </w:p>
    <w:p>
      <w:pPr>
        <w:pStyle w:val="BodyText"/>
      </w:pPr>
      <w:r>
        <w:t>In</w:t>
      </w:r>
      <w:r>
        <w:rPr>
          <w:spacing w:val="-3"/>
        </w:rPr>
        <w:t xml:space="preserve"> </w:t>
      </w:r>
      <w:r>
        <w:t>this</w:t>
      </w:r>
      <w:r>
        <w:rPr>
          <w:spacing w:val="-2"/>
        </w:rPr>
        <w:t xml:space="preserve"> </w:t>
      </w:r>
      <w:r>
        <w:t>example,</w:t>
      </w:r>
      <w:r>
        <w:rPr>
          <w:spacing w:val="-1"/>
        </w:rPr>
        <w:t xml:space="preserve"> </w:t>
      </w:r>
      <w:r>
        <w:t>the</w:t>
      </w:r>
      <w:r>
        <w:rPr>
          <w:spacing w:val="-1"/>
        </w:rPr>
        <w:t xml:space="preserve"> </w:t>
      </w:r>
      <w:r>
        <w:t>change</w:t>
      </w:r>
      <w:r>
        <w:rPr>
          <w:spacing w:val="-2"/>
        </w:rPr>
        <w:t xml:space="preserve"> </w:t>
      </w:r>
      <w:r>
        <w:t>in</w:t>
      </w:r>
      <w:r>
        <w:rPr>
          <w:spacing w:val="1"/>
        </w:rPr>
        <w:t xml:space="preserve"> </w:t>
      </w:r>
      <w:r>
        <w:t>MSB revenue</w:t>
      </w:r>
      <w:r>
        <w:rPr>
          <w:spacing w:val="-2"/>
        </w:rPr>
        <w:t xml:space="preserve"> </w:t>
      </w:r>
      <w:r>
        <w:t>requirement</w:t>
      </w:r>
      <w:r>
        <w:rPr>
          <w:spacing w:val="-1"/>
        </w:rPr>
        <w:t xml:space="preserve"> </w:t>
      </w:r>
      <w:r>
        <w:t>must be</w:t>
      </w:r>
      <w:r>
        <w:rPr>
          <w:spacing w:val="-2"/>
        </w:rPr>
        <w:t xml:space="preserve"> </w:t>
      </w:r>
      <w:r>
        <w:t>between</w:t>
      </w:r>
      <w:r>
        <w:rPr>
          <w:spacing w:val="1"/>
        </w:rPr>
        <w:t xml:space="preserve"> </w:t>
      </w:r>
      <w:r>
        <w:rPr>
          <w:sz w:val="21"/>
        </w:rPr>
        <w:t>−</w:t>
      </w:r>
      <w:r>
        <w:t>$4.50</w:t>
      </w:r>
      <w:r>
        <w:rPr>
          <w:spacing w:val="-1"/>
        </w:rPr>
        <w:t xml:space="preserve"> </w:t>
      </w:r>
      <w:r>
        <w:t xml:space="preserve">and </w:t>
      </w:r>
      <w:r>
        <w:rPr>
          <w:spacing w:val="-2"/>
        </w:rPr>
        <w:t>$0.00.</w:t>
      </w:r>
    </w:p>
    <w:p>
      <w:pPr>
        <w:pStyle w:val="BodyText"/>
        <w:spacing w:before="141"/>
        <w:ind w:right="1481"/>
      </w:pPr>
      <w:r>
        <w:rPr>
          <w:b/>
        </w:rPr>
        <w:t>Option</w:t>
      </w:r>
      <w:r>
        <w:rPr>
          <w:b/>
          <w:spacing w:val="-3"/>
        </w:rPr>
        <w:t xml:space="preserve"> </w:t>
      </w:r>
      <w:r>
        <w:rPr>
          <w:b/>
        </w:rPr>
        <w:t>1</w:t>
      </w:r>
      <w:r>
        <w:t>:</w:t>
      </w:r>
      <w:r>
        <w:rPr>
          <w:spacing w:val="-3"/>
        </w:rPr>
        <w:t xml:space="preserve"> </w:t>
      </w:r>
      <w:r>
        <w:t>The</w:t>
      </w:r>
      <w:r>
        <w:rPr>
          <w:spacing w:val="-4"/>
        </w:rPr>
        <w:t xml:space="preserve"> </w:t>
      </w:r>
      <w:r>
        <w:t>MAO</w:t>
      </w:r>
      <w:r>
        <w:rPr>
          <w:spacing w:val="-4"/>
        </w:rPr>
        <w:t xml:space="preserve"> </w:t>
      </w:r>
      <w:r>
        <w:t>is</w:t>
      </w:r>
      <w:r>
        <w:rPr>
          <w:spacing w:val="-4"/>
        </w:rPr>
        <w:t xml:space="preserve"> </w:t>
      </w:r>
      <w:r>
        <w:t>not</w:t>
      </w:r>
      <w:r>
        <w:rPr>
          <w:spacing w:val="-3"/>
        </w:rPr>
        <w:t xml:space="preserve"> </w:t>
      </w:r>
      <w:r>
        <w:t>required</w:t>
      </w:r>
      <w:r>
        <w:rPr>
          <w:spacing w:val="-3"/>
        </w:rPr>
        <w:t xml:space="preserve"> </w:t>
      </w:r>
      <w:r>
        <w:t>to</w:t>
      </w:r>
      <w:r>
        <w:rPr>
          <w:spacing w:val="-3"/>
        </w:rPr>
        <w:t xml:space="preserve"> </w:t>
      </w:r>
      <w:r>
        <w:t>reallocate</w:t>
      </w:r>
      <w:r>
        <w:rPr>
          <w:spacing w:val="-2"/>
        </w:rPr>
        <w:t xml:space="preserve"> </w:t>
      </w:r>
      <w:r>
        <w:t>rebates</w:t>
      </w:r>
      <w:r>
        <w:rPr>
          <w:spacing w:val="-4"/>
        </w:rPr>
        <w:t xml:space="preserve"> </w:t>
      </w:r>
      <w:r>
        <w:t>and</w:t>
      </w:r>
      <w:r>
        <w:rPr>
          <w:spacing w:val="-3"/>
        </w:rPr>
        <w:t xml:space="preserve"> </w:t>
      </w:r>
      <w:r>
        <w:t>may</w:t>
      </w:r>
      <w:r>
        <w:rPr>
          <w:spacing w:val="-2"/>
        </w:rPr>
        <w:t xml:space="preserve"> </w:t>
      </w:r>
      <w:r>
        <w:t>choose</w:t>
      </w:r>
      <w:r>
        <w:rPr>
          <w:spacing w:val="-4"/>
        </w:rPr>
        <w:t xml:space="preserve"> </w:t>
      </w:r>
      <w:r>
        <w:t>to</w:t>
      </w:r>
      <w:r>
        <w:rPr>
          <w:spacing w:val="-1"/>
        </w:rPr>
        <w:t xml:space="preserve"> </w:t>
      </w:r>
      <w:r>
        <w:t>leave</w:t>
      </w:r>
      <w:r>
        <w:rPr>
          <w:spacing w:val="-4"/>
        </w:rPr>
        <w:t xml:space="preserve"> </w:t>
      </w:r>
      <w:r>
        <w:t>the</w:t>
      </w:r>
      <w:r>
        <w:rPr>
          <w:spacing w:val="-1"/>
        </w:rPr>
        <w:t xml:space="preserve"> </w:t>
      </w:r>
      <w:r>
        <w:t>Part</w:t>
      </w:r>
      <w:r>
        <w:rPr>
          <w:spacing w:val="-3"/>
        </w:rPr>
        <w:t xml:space="preserve"> </w:t>
      </w:r>
      <w:r>
        <w:t>D basic premium at the post-Part D benchmark announcement basic premium of $45.50.</w:t>
      </w:r>
    </w:p>
    <w:p>
      <w:pPr>
        <w:pStyle w:val="BodyText"/>
        <w:spacing w:before="1"/>
        <w:ind w:right="1841"/>
      </w:pPr>
      <w:r>
        <w:t>Resubmission</w:t>
      </w:r>
      <w:r>
        <w:rPr>
          <w:spacing w:val="-1"/>
        </w:rPr>
        <w:t xml:space="preserve"> </w:t>
      </w:r>
      <w:r>
        <w:t>is</w:t>
      </w:r>
      <w:r>
        <w:rPr>
          <w:spacing w:val="-2"/>
        </w:rPr>
        <w:t xml:space="preserve"> </w:t>
      </w:r>
      <w:r>
        <w:t>not</w:t>
      </w:r>
      <w:r>
        <w:rPr>
          <w:spacing w:val="-1"/>
        </w:rPr>
        <w:t xml:space="preserve"> </w:t>
      </w:r>
      <w:r>
        <w:t>necessary.</w:t>
      </w:r>
      <w:r>
        <w:rPr>
          <w:spacing w:val="-1"/>
        </w:rPr>
        <w:t xml:space="preserve"> </w:t>
      </w:r>
      <w:r>
        <w:t>The</w:t>
      </w:r>
      <w:r>
        <w:rPr>
          <w:spacing w:val="-3"/>
        </w:rPr>
        <w:t xml:space="preserve"> </w:t>
      </w:r>
      <w:r>
        <w:t>low-income</w:t>
      </w:r>
      <w:r>
        <w:rPr>
          <w:spacing w:val="-1"/>
        </w:rPr>
        <w:t xml:space="preserve"> </w:t>
      </w:r>
      <w:r>
        <w:t>beneficiaries</w:t>
      </w:r>
      <w:r>
        <w:rPr>
          <w:spacing w:val="-2"/>
        </w:rPr>
        <w:t xml:space="preserve"> </w:t>
      </w:r>
      <w:r>
        <w:t>will pay</w:t>
      </w:r>
      <w:r>
        <w:rPr>
          <w:spacing w:val="-1"/>
        </w:rPr>
        <w:t xml:space="preserve"> </w:t>
      </w:r>
      <w:r>
        <w:t>the $4.50</w:t>
      </w:r>
      <w:r>
        <w:rPr>
          <w:spacing w:val="-1"/>
        </w:rPr>
        <w:t xml:space="preserve"> </w:t>
      </w:r>
      <w:r>
        <w:t>PMPM, which</w:t>
      </w:r>
      <w:r>
        <w:rPr>
          <w:spacing w:val="-3"/>
        </w:rPr>
        <w:t xml:space="preserve"> </w:t>
      </w:r>
      <w:r>
        <w:t>is</w:t>
      </w:r>
      <w:r>
        <w:rPr>
          <w:spacing w:val="-1"/>
        </w:rPr>
        <w:t xml:space="preserve"> </w:t>
      </w:r>
      <w:r>
        <w:t>the</w:t>
      </w:r>
      <w:r>
        <w:rPr>
          <w:spacing w:val="-2"/>
        </w:rPr>
        <w:t xml:space="preserve"> </w:t>
      </w:r>
      <w:r>
        <w:t>amount that</w:t>
      </w:r>
      <w:r>
        <w:rPr>
          <w:spacing w:val="-1"/>
        </w:rPr>
        <w:t xml:space="preserve"> </w:t>
      </w:r>
      <w:r>
        <w:t>the Part</w:t>
      </w:r>
      <w:r>
        <w:rPr>
          <w:spacing w:val="-1"/>
        </w:rPr>
        <w:t xml:space="preserve"> </w:t>
      </w:r>
      <w:r>
        <w:t>D</w:t>
      </w:r>
      <w:r>
        <w:rPr>
          <w:spacing w:val="-1"/>
        </w:rPr>
        <w:t xml:space="preserve"> </w:t>
      </w:r>
      <w:r>
        <w:t>basic</w:t>
      </w:r>
      <w:r>
        <w:rPr>
          <w:spacing w:val="-1"/>
        </w:rPr>
        <w:t xml:space="preserve"> </w:t>
      </w:r>
      <w:r>
        <w:t>premium is</w:t>
      </w:r>
      <w:r>
        <w:rPr>
          <w:spacing w:val="-2"/>
        </w:rPr>
        <w:t xml:space="preserve"> </w:t>
      </w:r>
      <w:r>
        <w:t>in excess</w:t>
      </w:r>
      <w:r>
        <w:rPr>
          <w:spacing w:val="-2"/>
        </w:rPr>
        <w:t xml:space="preserve"> </w:t>
      </w:r>
      <w:r>
        <w:t>of the</w:t>
      </w:r>
      <w:r>
        <w:rPr>
          <w:spacing w:val="-1"/>
        </w:rPr>
        <w:t xml:space="preserve"> </w:t>
      </w:r>
      <w:r>
        <w:t>LIPSA</w:t>
      </w:r>
      <w:r>
        <w:rPr>
          <w:spacing w:val="-1"/>
        </w:rPr>
        <w:t xml:space="preserve"> </w:t>
      </w:r>
      <w:r>
        <w:rPr>
          <w:spacing w:val="-2"/>
        </w:rPr>
        <w:t>benchmark.</w:t>
      </w:r>
    </w:p>
    <w:p>
      <w:pPr>
        <w:pStyle w:val="BodyText"/>
        <w:spacing w:before="139"/>
        <w:ind w:right="1481"/>
      </w:pPr>
      <w:r>
        <w:rPr>
          <w:b/>
        </w:rPr>
        <w:t>Option</w:t>
      </w:r>
      <w:r>
        <w:rPr>
          <w:b/>
          <w:spacing w:val="-3"/>
        </w:rPr>
        <w:t xml:space="preserve"> </w:t>
      </w:r>
      <w:r>
        <w:rPr>
          <w:b/>
        </w:rPr>
        <w:t>2</w:t>
      </w:r>
      <w:r>
        <w:t>:</w:t>
      </w:r>
      <w:r>
        <w:rPr>
          <w:spacing w:val="-3"/>
        </w:rPr>
        <w:t xml:space="preserve"> </w:t>
      </w:r>
      <w:r>
        <w:t>The</w:t>
      </w:r>
      <w:r>
        <w:rPr>
          <w:spacing w:val="-4"/>
        </w:rPr>
        <w:t xml:space="preserve"> </w:t>
      </w:r>
      <w:r>
        <w:t>MAO</w:t>
      </w:r>
      <w:r>
        <w:rPr>
          <w:spacing w:val="-4"/>
        </w:rPr>
        <w:t xml:space="preserve"> </w:t>
      </w:r>
      <w:r>
        <w:t>may</w:t>
      </w:r>
      <w:r>
        <w:rPr>
          <w:spacing w:val="-3"/>
        </w:rPr>
        <w:t xml:space="preserve"> </w:t>
      </w:r>
      <w:r>
        <w:t>choose</w:t>
      </w:r>
      <w:r>
        <w:rPr>
          <w:spacing w:val="-4"/>
        </w:rPr>
        <w:t xml:space="preserve"> </w:t>
      </w:r>
      <w:r>
        <w:t>to</w:t>
      </w:r>
      <w:r>
        <w:rPr>
          <w:spacing w:val="-3"/>
        </w:rPr>
        <w:t xml:space="preserve"> </w:t>
      </w:r>
      <w:r>
        <w:t>have</w:t>
      </w:r>
      <w:r>
        <w:rPr>
          <w:spacing w:val="-4"/>
        </w:rPr>
        <w:t xml:space="preserve"> </w:t>
      </w:r>
      <w:r>
        <w:t>Part</w:t>
      </w:r>
      <w:r>
        <w:rPr>
          <w:spacing w:val="-3"/>
        </w:rPr>
        <w:t xml:space="preserve"> </w:t>
      </w:r>
      <w:r>
        <w:t>D</w:t>
      </w:r>
      <w:r>
        <w:rPr>
          <w:spacing w:val="-2"/>
        </w:rPr>
        <w:t xml:space="preserve"> </w:t>
      </w:r>
      <w:r>
        <w:t>basic</w:t>
      </w:r>
      <w:r>
        <w:rPr>
          <w:spacing w:val="-3"/>
        </w:rPr>
        <w:t xml:space="preserve"> </w:t>
      </w:r>
      <w:r>
        <w:t>premium</w:t>
      </w:r>
      <w:r>
        <w:rPr>
          <w:spacing w:val="-3"/>
        </w:rPr>
        <w:t xml:space="preserve"> </w:t>
      </w:r>
      <w:r>
        <w:t>equal</w:t>
      </w:r>
      <w:r>
        <w:rPr>
          <w:spacing w:val="-3"/>
        </w:rPr>
        <w:t xml:space="preserve"> </w:t>
      </w:r>
      <w:r>
        <w:t>LIPSA</w:t>
      </w:r>
      <w:r>
        <w:rPr>
          <w:spacing w:val="-4"/>
        </w:rPr>
        <w:t xml:space="preserve"> </w:t>
      </w:r>
      <w:r>
        <w:t>benchmark.</w:t>
      </w:r>
      <w:r>
        <w:rPr>
          <w:spacing w:val="-3"/>
        </w:rPr>
        <w:t xml:space="preserve"> </w:t>
      </w:r>
      <w:r>
        <w:t>The MAO must reallocate the insufficient allocation of $4.50 by—</w:t>
      </w:r>
    </w:p>
    <w:p>
      <w:pPr>
        <w:pStyle w:val="BodyText"/>
        <w:spacing w:before="139"/>
        <w:ind w:left="1224" w:right="1572"/>
        <w:jc w:val="both"/>
      </w:pPr>
      <w:r>
        <w:rPr>
          <w:b/>
        </w:rPr>
        <w:t>2a</w:t>
      </w:r>
      <w:r>
        <w:t>: Making no changes to MSB revenue requirement and increasing the MA or Part D Supplemental</w:t>
      </w:r>
      <w:r>
        <w:rPr>
          <w:spacing w:val="-4"/>
        </w:rPr>
        <w:t xml:space="preserve"> </w:t>
      </w:r>
      <w:r>
        <w:t>premiums</w:t>
      </w:r>
      <w:r>
        <w:rPr>
          <w:spacing w:val="-4"/>
        </w:rPr>
        <w:t xml:space="preserve"> </w:t>
      </w:r>
      <w:r>
        <w:t>(or</w:t>
      </w:r>
      <w:r>
        <w:rPr>
          <w:spacing w:val="-4"/>
        </w:rPr>
        <w:t xml:space="preserve"> </w:t>
      </w:r>
      <w:r>
        <w:t>decreasing</w:t>
      </w:r>
      <w:r>
        <w:rPr>
          <w:spacing w:val="-4"/>
        </w:rPr>
        <w:t xml:space="preserve"> </w:t>
      </w:r>
      <w:r>
        <w:t>the</w:t>
      </w:r>
      <w:r>
        <w:rPr>
          <w:spacing w:val="-3"/>
        </w:rPr>
        <w:t xml:space="preserve"> </w:t>
      </w:r>
      <w:r>
        <w:t>rebates</w:t>
      </w:r>
      <w:r>
        <w:rPr>
          <w:spacing w:val="-4"/>
        </w:rPr>
        <w:t xml:space="preserve"> </w:t>
      </w:r>
      <w:r>
        <w:t>allocated</w:t>
      </w:r>
      <w:r>
        <w:rPr>
          <w:spacing w:val="-4"/>
        </w:rPr>
        <w:t xml:space="preserve"> </w:t>
      </w:r>
      <w:r>
        <w:t>to</w:t>
      </w:r>
      <w:r>
        <w:rPr>
          <w:spacing w:val="-4"/>
        </w:rPr>
        <w:t xml:space="preserve"> </w:t>
      </w:r>
      <w:r>
        <w:t>the</w:t>
      </w:r>
      <w:r>
        <w:rPr>
          <w:spacing w:val="-2"/>
        </w:rPr>
        <w:t xml:space="preserve"> </w:t>
      </w:r>
      <w:r>
        <w:t>Part</w:t>
      </w:r>
      <w:r>
        <w:rPr>
          <w:spacing w:val="-4"/>
        </w:rPr>
        <w:t xml:space="preserve"> </w:t>
      </w:r>
      <w:r>
        <w:t>B</w:t>
      </w:r>
      <w:r>
        <w:rPr>
          <w:spacing w:val="-1"/>
        </w:rPr>
        <w:t xml:space="preserve"> </w:t>
      </w:r>
      <w:r>
        <w:t>premium)</w:t>
      </w:r>
      <w:r>
        <w:rPr>
          <w:spacing w:val="-4"/>
        </w:rPr>
        <w:t xml:space="preserve"> </w:t>
      </w:r>
      <w:r>
        <w:t>by decreasing rebate allocations to MA, Part D supplemental, or Part B premiums.</w:t>
      </w:r>
    </w:p>
    <w:p>
      <w:pPr>
        <w:pStyle w:val="BodyText"/>
        <w:spacing w:before="142"/>
        <w:ind w:left="1224" w:right="1481"/>
      </w:pPr>
      <w:r>
        <w:rPr>
          <w:b/>
        </w:rPr>
        <w:t>2b</w:t>
      </w:r>
      <w:r>
        <w:t>:</w:t>
      </w:r>
      <w:r>
        <w:rPr>
          <w:spacing w:val="-3"/>
        </w:rPr>
        <w:t xml:space="preserve"> </w:t>
      </w:r>
      <w:r>
        <w:t>Decreasing</w:t>
      </w:r>
      <w:r>
        <w:rPr>
          <w:spacing w:val="-2"/>
        </w:rPr>
        <w:t xml:space="preserve"> </w:t>
      </w:r>
      <w:r>
        <w:t>MSB</w:t>
      </w:r>
      <w:r>
        <w:rPr>
          <w:spacing w:val="-3"/>
        </w:rPr>
        <w:t xml:space="preserve"> </w:t>
      </w:r>
      <w:r>
        <w:t>revenue</w:t>
      </w:r>
      <w:r>
        <w:rPr>
          <w:spacing w:val="-4"/>
        </w:rPr>
        <w:t xml:space="preserve"> </w:t>
      </w:r>
      <w:r>
        <w:t>requirement</w:t>
      </w:r>
      <w:r>
        <w:rPr>
          <w:spacing w:val="-2"/>
        </w:rPr>
        <w:t xml:space="preserve"> </w:t>
      </w:r>
      <w:r>
        <w:t>by</w:t>
      </w:r>
      <w:r>
        <w:rPr>
          <w:spacing w:val="-3"/>
        </w:rPr>
        <w:t xml:space="preserve"> </w:t>
      </w:r>
      <w:r>
        <w:t>no</w:t>
      </w:r>
      <w:r>
        <w:rPr>
          <w:spacing w:val="-1"/>
        </w:rPr>
        <w:t xml:space="preserve"> </w:t>
      </w:r>
      <w:r>
        <w:t>more</w:t>
      </w:r>
      <w:r>
        <w:rPr>
          <w:spacing w:val="-5"/>
        </w:rPr>
        <w:t xml:space="preserve"> </w:t>
      </w:r>
      <w:r>
        <w:t>than</w:t>
      </w:r>
      <w:r>
        <w:rPr>
          <w:spacing w:val="-3"/>
        </w:rPr>
        <w:t xml:space="preserve"> </w:t>
      </w:r>
      <w:r>
        <w:t>$4.50,</w:t>
      </w:r>
      <w:r>
        <w:rPr>
          <w:spacing w:val="-3"/>
        </w:rPr>
        <w:t xml:space="preserve"> </w:t>
      </w:r>
      <w:r>
        <w:t>such</w:t>
      </w:r>
      <w:r>
        <w:rPr>
          <w:spacing w:val="-3"/>
        </w:rPr>
        <w:t xml:space="preserve"> </w:t>
      </w:r>
      <w:r>
        <w:t>that</w:t>
      </w:r>
      <w:r>
        <w:rPr>
          <w:spacing w:val="-3"/>
        </w:rPr>
        <w:t xml:space="preserve"> </w:t>
      </w:r>
      <w:r>
        <w:t>there</w:t>
      </w:r>
      <w:r>
        <w:rPr>
          <w:spacing w:val="-5"/>
        </w:rPr>
        <w:t xml:space="preserve"> </w:t>
      </w:r>
      <w:r>
        <w:t>is</w:t>
      </w:r>
      <w:r>
        <w:rPr>
          <w:spacing w:val="-4"/>
        </w:rPr>
        <w:t xml:space="preserve"> </w:t>
      </w:r>
      <w:r>
        <w:t>a partial or full return to the MA premium in initial June bid by decreasing rebate allocations to MA, Part D supplemental, or Part B premiums.</w:t>
      </w:r>
    </w:p>
    <w:p>
      <w:pPr>
        <w:pStyle w:val="BodyText"/>
        <w:spacing w:before="140"/>
        <w:ind w:right="1481"/>
      </w:pPr>
      <w:r>
        <w:t>*</w:t>
      </w:r>
      <w:r>
        <w:rPr>
          <w:b/>
        </w:rPr>
        <w:t>Unacceptable</w:t>
      </w:r>
      <w:r>
        <w:rPr>
          <w:b/>
          <w:spacing w:val="-5"/>
        </w:rPr>
        <w:t xml:space="preserve"> </w:t>
      </w:r>
      <w:r>
        <w:rPr>
          <w:b/>
        </w:rPr>
        <w:t>Option</w:t>
      </w:r>
      <w:r>
        <w:t>:</w:t>
      </w:r>
      <w:r>
        <w:rPr>
          <w:spacing w:val="-4"/>
        </w:rPr>
        <w:t xml:space="preserve"> </w:t>
      </w:r>
      <w:r>
        <w:t>The</w:t>
      </w:r>
      <w:r>
        <w:rPr>
          <w:spacing w:val="-5"/>
        </w:rPr>
        <w:t xml:space="preserve"> </w:t>
      </w:r>
      <w:r>
        <w:t>MSB</w:t>
      </w:r>
      <w:r>
        <w:rPr>
          <w:spacing w:val="-4"/>
        </w:rPr>
        <w:t xml:space="preserve"> </w:t>
      </w:r>
      <w:r>
        <w:t>revenue</w:t>
      </w:r>
      <w:r>
        <w:rPr>
          <w:spacing w:val="-3"/>
        </w:rPr>
        <w:t xml:space="preserve"> </w:t>
      </w:r>
      <w:r>
        <w:t>requirement</w:t>
      </w:r>
      <w:r>
        <w:rPr>
          <w:spacing w:val="-4"/>
        </w:rPr>
        <w:t xml:space="preserve"> </w:t>
      </w:r>
      <w:r>
        <w:t>cannot</w:t>
      </w:r>
      <w:r>
        <w:rPr>
          <w:spacing w:val="-4"/>
        </w:rPr>
        <w:t xml:space="preserve"> </w:t>
      </w:r>
      <w:r>
        <w:t>decrease</w:t>
      </w:r>
      <w:r>
        <w:rPr>
          <w:spacing w:val="-5"/>
        </w:rPr>
        <w:t xml:space="preserve"> </w:t>
      </w:r>
      <w:r>
        <w:t>by</w:t>
      </w:r>
      <w:r>
        <w:rPr>
          <w:spacing w:val="-4"/>
        </w:rPr>
        <w:t xml:space="preserve"> </w:t>
      </w:r>
      <w:r>
        <w:t>more</w:t>
      </w:r>
      <w:r>
        <w:rPr>
          <w:spacing w:val="-5"/>
        </w:rPr>
        <w:t xml:space="preserve"> </w:t>
      </w:r>
      <w:r>
        <w:t>than</w:t>
      </w:r>
      <w:r>
        <w:rPr>
          <w:spacing w:val="-4"/>
        </w:rPr>
        <w:t xml:space="preserve"> </w:t>
      </w:r>
      <w:r>
        <w:t>the absolute value of the rebates for allocation.</w:t>
      </w:r>
    </w:p>
    <w:p>
      <w:pPr>
        <w:pStyle w:val="BodyText"/>
        <w:spacing w:after="0"/>
        <w:sectPr>
          <w:pgSz w:w="12240" w:h="15840"/>
          <w:pgMar w:top="960" w:right="0" w:bottom="940" w:left="1080" w:header="727" w:footer="747"/>
          <w:cols w:space="720"/>
        </w:sectPr>
      </w:pPr>
    </w:p>
    <w:p>
      <w:pPr>
        <w:pStyle w:val="BodyText"/>
        <w:spacing w:before="225"/>
        <w:ind w:left="0"/>
        <w:rPr>
          <w:sz w:val="21"/>
        </w:rPr>
      </w:pPr>
    </w:p>
    <w:p>
      <w:pPr>
        <w:pStyle w:val="ListParagraph"/>
        <w:numPr>
          <w:ilvl w:val="1"/>
          <w:numId w:val="26"/>
        </w:numPr>
        <w:tabs>
          <w:tab w:val="left" w:pos="862"/>
        </w:tabs>
        <w:spacing w:before="0" w:after="0" w:line="240" w:lineRule="auto"/>
        <w:ind w:left="862" w:right="0" w:hanging="358"/>
        <w:jc w:val="left"/>
        <w:rPr>
          <w:rFonts w:ascii="Arial"/>
          <w:b/>
          <w:sz w:val="21"/>
        </w:rPr>
      </w:pPr>
      <w:bookmarkStart w:id="378" w:name="E. Examples When Reallocating Rebates fo"/>
      <w:bookmarkEnd w:id="378"/>
      <w:r>
        <w:rPr>
          <w:rFonts w:ascii="Arial"/>
          <w:b/>
          <w:sz w:val="21"/>
        </w:rPr>
        <w:t>Examples</w:t>
      </w:r>
      <w:r>
        <w:rPr>
          <w:rFonts w:ascii="Arial"/>
          <w:b/>
          <w:spacing w:val="-8"/>
          <w:sz w:val="21"/>
        </w:rPr>
        <w:t xml:space="preserve"> </w:t>
      </w:r>
      <w:r>
        <w:rPr>
          <w:rFonts w:ascii="Arial"/>
          <w:b/>
          <w:sz w:val="21"/>
        </w:rPr>
        <w:t>When</w:t>
      </w:r>
      <w:r>
        <w:rPr>
          <w:rFonts w:ascii="Arial"/>
          <w:b/>
          <w:spacing w:val="-7"/>
          <w:sz w:val="21"/>
        </w:rPr>
        <w:t xml:space="preserve"> </w:t>
      </w:r>
      <w:r>
        <w:rPr>
          <w:rFonts w:ascii="Arial"/>
          <w:b/>
          <w:sz w:val="21"/>
        </w:rPr>
        <w:t>Reallocating</w:t>
      </w:r>
      <w:r>
        <w:rPr>
          <w:rFonts w:ascii="Arial"/>
          <w:b/>
          <w:spacing w:val="-7"/>
          <w:sz w:val="21"/>
        </w:rPr>
        <w:t xml:space="preserve"> </w:t>
      </w:r>
      <w:r>
        <w:rPr>
          <w:rFonts w:ascii="Arial"/>
          <w:b/>
          <w:sz w:val="21"/>
        </w:rPr>
        <w:t>Rebates</w:t>
      </w:r>
      <w:r>
        <w:rPr>
          <w:rFonts w:ascii="Arial"/>
          <w:b/>
          <w:spacing w:val="-7"/>
          <w:sz w:val="21"/>
        </w:rPr>
        <w:t xml:space="preserve"> </w:t>
      </w:r>
      <w:r>
        <w:rPr>
          <w:rFonts w:ascii="Arial"/>
          <w:b/>
          <w:sz w:val="21"/>
        </w:rPr>
        <w:t>for</w:t>
      </w:r>
      <w:r>
        <w:rPr>
          <w:rFonts w:ascii="Arial"/>
          <w:b/>
          <w:spacing w:val="-10"/>
          <w:sz w:val="21"/>
        </w:rPr>
        <w:t xml:space="preserve"> </w:t>
      </w:r>
      <w:r>
        <w:rPr>
          <w:rFonts w:ascii="Arial"/>
          <w:b/>
          <w:spacing w:val="-4"/>
          <w:sz w:val="21"/>
        </w:rPr>
        <w:t>RPPO</w:t>
      </w:r>
    </w:p>
    <w:p>
      <w:pPr>
        <w:pStyle w:val="BodyText"/>
        <w:spacing w:before="120"/>
        <w:ind w:right="1619"/>
      </w:pPr>
      <w:r>
        <w:t>In</w:t>
      </w:r>
      <w:r>
        <w:rPr>
          <w:spacing w:val="-3"/>
        </w:rPr>
        <w:t xml:space="preserve"> </w:t>
      </w:r>
      <w:r>
        <w:t>the</w:t>
      </w:r>
      <w:r>
        <w:rPr>
          <w:spacing w:val="-2"/>
        </w:rPr>
        <w:t xml:space="preserve"> </w:t>
      </w:r>
      <w:r>
        <w:t>following</w:t>
      </w:r>
      <w:r>
        <w:rPr>
          <w:spacing w:val="-3"/>
        </w:rPr>
        <w:t xml:space="preserve"> </w:t>
      </w:r>
      <w:r>
        <w:t>examples,</w:t>
      </w:r>
      <w:r>
        <w:rPr>
          <w:spacing w:val="-3"/>
        </w:rPr>
        <w:t xml:space="preserve"> </w:t>
      </w:r>
      <w:r>
        <w:t>the</w:t>
      </w:r>
      <w:r>
        <w:rPr>
          <w:spacing w:val="-3"/>
        </w:rPr>
        <w:t xml:space="preserve"> </w:t>
      </w:r>
      <w:r>
        <w:t>bold</w:t>
      </w:r>
      <w:r>
        <w:rPr>
          <w:spacing w:val="-3"/>
        </w:rPr>
        <w:t xml:space="preserve"> </w:t>
      </w:r>
      <w:r>
        <w:t>and</w:t>
      </w:r>
      <w:r>
        <w:rPr>
          <w:spacing w:val="-3"/>
        </w:rPr>
        <w:t xml:space="preserve"> </w:t>
      </w:r>
      <w:r>
        <w:t>italicized</w:t>
      </w:r>
      <w:r>
        <w:rPr>
          <w:spacing w:val="-1"/>
        </w:rPr>
        <w:t xml:space="preserve"> </w:t>
      </w:r>
      <w:r>
        <w:t>numbers</w:t>
      </w:r>
      <w:r>
        <w:rPr>
          <w:spacing w:val="-4"/>
        </w:rPr>
        <w:t xml:space="preserve"> </w:t>
      </w:r>
      <w:r>
        <w:t>represent</w:t>
      </w:r>
      <w:r>
        <w:rPr>
          <w:spacing w:val="-3"/>
        </w:rPr>
        <w:t xml:space="preserve"> </w:t>
      </w:r>
      <w:r>
        <w:t>a</w:t>
      </w:r>
      <w:r>
        <w:rPr>
          <w:spacing w:val="-2"/>
        </w:rPr>
        <w:t xml:space="preserve"> </w:t>
      </w:r>
      <w:r>
        <w:t>change</w:t>
      </w:r>
      <w:r>
        <w:rPr>
          <w:spacing w:val="-4"/>
        </w:rPr>
        <w:t xml:space="preserve"> </w:t>
      </w:r>
      <w:r>
        <w:t>to</w:t>
      </w:r>
      <w:r>
        <w:rPr>
          <w:spacing w:val="-3"/>
        </w:rPr>
        <w:t xml:space="preserve"> </w:t>
      </w:r>
      <w:r>
        <w:t>an</w:t>
      </w:r>
      <w:r>
        <w:rPr>
          <w:spacing w:val="-3"/>
        </w:rPr>
        <w:t xml:space="preserve"> </w:t>
      </w:r>
      <w:r>
        <w:t>input</w:t>
      </w:r>
      <w:r>
        <w:rPr>
          <w:spacing w:val="-3"/>
        </w:rPr>
        <w:t xml:space="preserve"> </w:t>
      </w:r>
      <w:r>
        <w:t>cell in the BPT.</w:t>
      </w:r>
    </w:p>
    <w:p>
      <w:pPr>
        <w:pStyle w:val="BodyText"/>
        <w:spacing w:before="4"/>
        <w:ind w:left="0"/>
      </w:pPr>
    </w:p>
    <w:p>
      <w:pPr>
        <w:pStyle w:val="Heading4"/>
      </w:pPr>
      <w:bookmarkStart w:id="379" w:name="Example 10: Insufficient Rebates Allocat"/>
      <w:bookmarkEnd w:id="379"/>
      <w:r>
        <w:rPr>
          <w:i/>
        </w:rPr>
        <w:t>Example</w:t>
      </w:r>
      <w:r>
        <w:rPr>
          <w:i/>
          <w:spacing w:val="-4"/>
        </w:rPr>
        <w:t xml:space="preserve"> </w:t>
      </w:r>
      <w:r>
        <w:rPr>
          <w:i/>
        </w:rPr>
        <w:t>10:</w:t>
      </w:r>
      <w:r>
        <w:rPr>
          <w:i/>
          <w:spacing w:val="-5"/>
        </w:rPr>
        <w:t xml:space="preserve"> </w:t>
      </w:r>
      <w:r>
        <w:rPr>
          <w:i/>
        </w:rPr>
        <w:t>Insufficient</w:t>
      </w:r>
      <w:r>
        <w:rPr>
          <w:i/>
          <w:spacing w:val="-6"/>
        </w:rPr>
        <w:t xml:space="preserve"> </w:t>
      </w:r>
      <w:r>
        <w:rPr>
          <w:i/>
        </w:rPr>
        <w:t>Rebates</w:t>
      </w:r>
      <w:r>
        <w:rPr>
          <w:i/>
          <w:spacing w:val="-5"/>
        </w:rPr>
        <w:t xml:space="preserve"> </w:t>
      </w:r>
      <w:r>
        <w:rPr>
          <w:i/>
        </w:rPr>
        <w:t>Allocated</w:t>
      </w:r>
      <w:r>
        <w:rPr>
          <w:i/>
          <w:spacing w:val="-5"/>
        </w:rPr>
        <w:t xml:space="preserve"> </w:t>
      </w:r>
      <w:r>
        <w:rPr>
          <w:i/>
        </w:rPr>
        <w:t>for</w:t>
      </w:r>
      <w:r>
        <w:rPr>
          <w:i/>
          <w:spacing w:val="-5"/>
        </w:rPr>
        <w:t xml:space="preserve"> </w:t>
      </w:r>
      <w:r>
        <w:rPr>
          <w:i/>
        </w:rPr>
        <w:t>RPPO</w:t>
      </w:r>
      <w:r>
        <w:rPr>
          <w:i/>
          <w:spacing w:val="-2"/>
        </w:rPr>
        <w:t xml:space="preserve"> </w:t>
      </w:r>
      <w:r>
        <w:rPr>
          <w:i/>
        </w:rPr>
        <w:t>Benchmark</w:t>
      </w:r>
      <w:r>
        <w:rPr>
          <w:i/>
          <w:spacing w:val="-4"/>
        </w:rPr>
        <w:t xml:space="preserve"> </w:t>
      </w:r>
      <w:r>
        <w:rPr>
          <w:i/>
        </w:rPr>
        <w:t>and</w:t>
      </w:r>
      <w:r>
        <w:t xml:space="preserve"> Reallocation for Part D Basic Premium is Not Permitted.</w:t>
      </w:r>
    </w:p>
    <w:p>
      <w:pPr>
        <w:pStyle w:val="BodyText"/>
        <w:spacing w:before="130"/>
        <w:ind w:left="0"/>
        <w:rPr>
          <w:rFonts w:ascii="Arial"/>
          <w:b/>
          <w:i/>
          <w:sz w:val="20"/>
        </w:rPr>
      </w:pPr>
    </w:p>
    <w:tbl>
      <w:tblPr>
        <w:tblStyle w:val="TableNormal"/>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0"/>
        <w:gridCol w:w="1085"/>
        <w:gridCol w:w="1323"/>
        <w:gridCol w:w="1001"/>
        <w:gridCol w:w="1069"/>
        <w:gridCol w:w="1592"/>
      </w:tblGrid>
      <w:tr>
        <w:tblPrEx>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24"/>
          <w:jc w:val="left"/>
        </w:trPr>
        <w:tc>
          <w:tcPr>
            <w:tcW w:w="3140" w:type="dxa"/>
          </w:tcPr>
          <w:p>
            <w:pPr>
              <w:pStyle w:val="TableParagraph"/>
              <w:spacing w:before="1"/>
              <w:rPr>
                <w:rFonts w:ascii="Arial"/>
                <w:b/>
                <w:i/>
                <w:sz w:val="21"/>
              </w:rPr>
            </w:pPr>
          </w:p>
          <w:p>
            <w:pPr>
              <w:pStyle w:val="TableParagraph"/>
              <w:ind w:left="11"/>
              <w:jc w:val="center"/>
              <w:rPr>
                <w:b/>
                <w:sz w:val="21"/>
              </w:rPr>
            </w:pPr>
            <w:r>
              <w:rPr>
                <w:b/>
                <w:spacing w:val="-2"/>
                <w:sz w:val="21"/>
              </w:rPr>
              <w:t>Label</w:t>
            </w:r>
          </w:p>
        </w:tc>
        <w:tc>
          <w:tcPr>
            <w:tcW w:w="1085" w:type="dxa"/>
          </w:tcPr>
          <w:p>
            <w:pPr>
              <w:pStyle w:val="TableParagraph"/>
              <w:spacing w:before="120"/>
              <w:ind w:left="143" w:right="126" w:firstLine="124"/>
              <w:rPr>
                <w:b/>
                <w:sz w:val="21"/>
              </w:rPr>
            </w:pPr>
            <w:r>
              <w:rPr>
                <w:b/>
                <w:spacing w:val="-2"/>
                <w:sz w:val="21"/>
              </w:rPr>
              <w:t xml:space="preserve">Initial </w:t>
            </w:r>
            <w:r>
              <w:rPr>
                <w:b/>
                <w:sz w:val="21"/>
              </w:rPr>
              <w:t>June</w:t>
            </w:r>
            <w:r>
              <w:rPr>
                <w:b/>
                <w:spacing w:val="-14"/>
                <w:sz w:val="21"/>
              </w:rPr>
              <w:t xml:space="preserve"> </w:t>
            </w:r>
            <w:r>
              <w:rPr>
                <w:b/>
                <w:sz w:val="21"/>
              </w:rPr>
              <w:t>Bid</w:t>
            </w:r>
          </w:p>
        </w:tc>
        <w:tc>
          <w:tcPr>
            <w:tcW w:w="1323" w:type="dxa"/>
          </w:tcPr>
          <w:p>
            <w:pPr>
              <w:pStyle w:val="TableParagraph"/>
              <w:ind w:left="208" w:firstLine="211"/>
              <w:rPr>
                <w:b/>
                <w:sz w:val="21"/>
              </w:rPr>
            </w:pPr>
            <w:r>
              <w:rPr>
                <w:b/>
                <w:spacing w:val="-4"/>
                <w:sz w:val="21"/>
              </w:rPr>
              <w:t>After</w:t>
            </w:r>
          </w:p>
          <w:p>
            <w:pPr>
              <w:pStyle w:val="TableParagraph"/>
              <w:spacing w:line="240" w:lineRule="exact"/>
              <w:ind w:left="133" w:firstLine="74"/>
              <w:rPr>
                <w:b/>
                <w:sz w:val="21"/>
              </w:rPr>
            </w:pPr>
            <w:r>
              <w:rPr>
                <w:b/>
                <w:sz w:val="21"/>
              </w:rPr>
              <w:t xml:space="preserve">Release of </w:t>
            </w:r>
            <w:r>
              <w:rPr>
                <w:b/>
                <w:spacing w:val="-2"/>
                <w:sz w:val="21"/>
              </w:rPr>
              <w:t>Benchmark</w:t>
            </w:r>
          </w:p>
        </w:tc>
        <w:tc>
          <w:tcPr>
            <w:tcW w:w="1001" w:type="dxa"/>
          </w:tcPr>
          <w:p>
            <w:pPr>
              <w:pStyle w:val="TableParagraph"/>
              <w:spacing w:before="120"/>
              <w:ind w:left="392" w:right="169" w:hanging="209"/>
              <w:rPr>
                <w:b/>
                <w:sz w:val="21"/>
              </w:rPr>
            </w:pPr>
            <w:r>
              <w:rPr>
                <w:b/>
                <w:spacing w:val="-2"/>
                <w:sz w:val="21"/>
              </w:rPr>
              <w:t xml:space="preserve">Option </w:t>
            </w:r>
            <w:r>
              <w:rPr>
                <w:b/>
                <w:spacing w:val="-6"/>
                <w:sz w:val="21"/>
              </w:rPr>
              <w:t>1a</w:t>
            </w:r>
          </w:p>
        </w:tc>
        <w:tc>
          <w:tcPr>
            <w:tcW w:w="1069" w:type="dxa"/>
          </w:tcPr>
          <w:p>
            <w:pPr>
              <w:pStyle w:val="TableParagraph"/>
              <w:spacing w:before="120"/>
              <w:ind w:left="421" w:right="203" w:hanging="204"/>
              <w:rPr>
                <w:b/>
                <w:sz w:val="21"/>
              </w:rPr>
            </w:pPr>
            <w:r>
              <w:rPr>
                <w:b/>
                <w:spacing w:val="-2"/>
                <w:sz w:val="21"/>
              </w:rPr>
              <w:t xml:space="preserve">Option </w:t>
            </w:r>
            <w:r>
              <w:rPr>
                <w:b/>
                <w:spacing w:val="-6"/>
                <w:sz w:val="21"/>
              </w:rPr>
              <w:t>1b</w:t>
            </w:r>
          </w:p>
        </w:tc>
        <w:tc>
          <w:tcPr>
            <w:tcW w:w="1592" w:type="dxa"/>
          </w:tcPr>
          <w:p>
            <w:pPr>
              <w:pStyle w:val="TableParagraph"/>
              <w:spacing w:before="120"/>
              <w:ind w:left="425" w:hanging="240"/>
              <w:rPr>
                <w:b/>
                <w:sz w:val="21"/>
              </w:rPr>
            </w:pPr>
            <w:r>
              <w:rPr>
                <w:b/>
                <w:spacing w:val="-2"/>
                <w:sz w:val="21"/>
              </w:rPr>
              <w:t>Unacceptable Option*</w:t>
            </w:r>
          </w:p>
        </w:tc>
      </w:tr>
      <w:tr>
        <w:tblPrEx>
          <w:tblW w:w="0" w:type="auto"/>
          <w:jc w:val="left"/>
          <w:tblInd w:w="514" w:type="dxa"/>
          <w:tblLayout w:type="fixed"/>
          <w:tblCellMar>
            <w:top w:w="0" w:type="dxa"/>
            <w:left w:w="0" w:type="dxa"/>
            <w:bottom w:w="0" w:type="dxa"/>
            <w:right w:w="0" w:type="dxa"/>
          </w:tblCellMar>
          <w:tblLook w:val="01E0"/>
        </w:tblPrEx>
        <w:trPr>
          <w:trHeight w:val="332"/>
          <w:jc w:val="left"/>
        </w:trPr>
        <w:tc>
          <w:tcPr>
            <w:tcW w:w="3140" w:type="dxa"/>
            <w:tcBorders>
              <w:bottom w:val="nil"/>
            </w:tcBorders>
          </w:tcPr>
          <w:p>
            <w:pPr>
              <w:pStyle w:val="TableParagraph"/>
              <w:spacing w:before="58"/>
              <w:ind w:left="107"/>
              <w:rPr>
                <w:b/>
                <w:sz w:val="21"/>
              </w:rPr>
            </w:pPr>
            <w:r>
              <w:rPr>
                <w:b/>
                <w:sz w:val="21"/>
              </w:rPr>
              <w:t>Rebates</w:t>
            </w:r>
            <w:r>
              <w:rPr>
                <w:b/>
                <w:spacing w:val="-5"/>
                <w:sz w:val="21"/>
              </w:rPr>
              <w:t xml:space="preserve"> </w:t>
            </w:r>
            <w:r>
              <w:rPr>
                <w:b/>
                <w:sz w:val="21"/>
              </w:rPr>
              <w:t>for</w:t>
            </w:r>
            <w:r>
              <w:rPr>
                <w:b/>
                <w:spacing w:val="-6"/>
                <w:sz w:val="21"/>
              </w:rPr>
              <w:t xml:space="preserve"> </w:t>
            </w:r>
            <w:r>
              <w:rPr>
                <w:b/>
                <w:spacing w:val="-2"/>
                <w:sz w:val="21"/>
              </w:rPr>
              <w:t>Allocation</w:t>
            </w:r>
          </w:p>
        </w:tc>
        <w:tc>
          <w:tcPr>
            <w:tcW w:w="1085" w:type="dxa"/>
            <w:tcBorders>
              <w:bottom w:val="nil"/>
            </w:tcBorders>
          </w:tcPr>
          <w:p>
            <w:pPr>
              <w:pStyle w:val="TableParagraph"/>
              <w:rPr>
                <w:sz w:val="22"/>
              </w:rPr>
            </w:pPr>
          </w:p>
        </w:tc>
        <w:tc>
          <w:tcPr>
            <w:tcW w:w="1323" w:type="dxa"/>
            <w:tcBorders>
              <w:bottom w:val="nil"/>
            </w:tcBorders>
          </w:tcPr>
          <w:p>
            <w:pPr>
              <w:pStyle w:val="TableParagraph"/>
              <w:rPr>
                <w:sz w:val="22"/>
              </w:rPr>
            </w:pPr>
          </w:p>
        </w:tc>
        <w:tc>
          <w:tcPr>
            <w:tcW w:w="1001" w:type="dxa"/>
            <w:tcBorders>
              <w:bottom w:val="nil"/>
            </w:tcBorders>
          </w:tcPr>
          <w:p>
            <w:pPr>
              <w:pStyle w:val="TableParagraph"/>
              <w:rPr>
                <w:sz w:val="22"/>
              </w:rPr>
            </w:pPr>
          </w:p>
        </w:tc>
        <w:tc>
          <w:tcPr>
            <w:tcW w:w="1069" w:type="dxa"/>
            <w:tcBorders>
              <w:bottom w:val="nil"/>
            </w:tcBorders>
          </w:tcPr>
          <w:p>
            <w:pPr>
              <w:pStyle w:val="TableParagraph"/>
              <w:rPr>
                <w:sz w:val="22"/>
              </w:rPr>
            </w:pPr>
          </w:p>
        </w:tc>
        <w:tc>
          <w:tcPr>
            <w:tcW w:w="1592" w:type="dxa"/>
            <w:tcBorders>
              <w:bottom w:val="nil"/>
            </w:tcBorders>
          </w:tcPr>
          <w:p>
            <w:pPr>
              <w:pStyle w:val="TableParagraph"/>
              <w:rPr>
                <w:sz w:val="22"/>
              </w:rPr>
            </w:pPr>
          </w:p>
        </w:tc>
      </w:tr>
      <w:tr>
        <w:tblPrEx>
          <w:tblW w:w="0" w:type="auto"/>
          <w:jc w:val="left"/>
          <w:tblInd w:w="514" w:type="dxa"/>
          <w:tblLayout w:type="fixed"/>
          <w:tblCellMar>
            <w:top w:w="0" w:type="dxa"/>
            <w:left w:w="0" w:type="dxa"/>
            <w:bottom w:w="0" w:type="dxa"/>
            <w:right w:w="0" w:type="dxa"/>
          </w:tblCellMar>
          <w:tblLook w:val="01E0"/>
        </w:tblPrEx>
        <w:trPr>
          <w:trHeight w:val="285"/>
          <w:jc w:val="left"/>
        </w:trPr>
        <w:tc>
          <w:tcPr>
            <w:tcW w:w="3140" w:type="dxa"/>
            <w:tcBorders>
              <w:top w:val="nil"/>
              <w:bottom w:val="nil"/>
            </w:tcBorders>
          </w:tcPr>
          <w:p>
            <w:pPr>
              <w:pStyle w:val="TableParagraph"/>
              <w:spacing w:before="25" w:line="241" w:lineRule="exact"/>
              <w:ind w:left="261"/>
              <w:rPr>
                <w:b/>
                <w:sz w:val="21"/>
              </w:rPr>
            </w:pPr>
            <w:r>
              <w:rPr>
                <w:b/>
                <w:spacing w:val="-4"/>
                <w:sz w:val="21"/>
              </w:rPr>
              <w:t>RPPO</w:t>
            </w:r>
          </w:p>
        </w:tc>
        <w:tc>
          <w:tcPr>
            <w:tcW w:w="1085" w:type="dxa"/>
            <w:tcBorders>
              <w:top w:val="nil"/>
              <w:bottom w:val="nil"/>
            </w:tcBorders>
          </w:tcPr>
          <w:p>
            <w:pPr>
              <w:pStyle w:val="TableParagraph"/>
              <w:spacing w:before="25" w:line="241" w:lineRule="exact"/>
              <w:ind w:left="13" w:right="1"/>
              <w:jc w:val="center"/>
              <w:rPr>
                <w:sz w:val="21"/>
              </w:rPr>
            </w:pPr>
            <w:r>
              <w:rPr>
                <w:spacing w:val="-5"/>
                <w:sz w:val="21"/>
              </w:rPr>
              <w:t>N/A</w:t>
            </w:r>
          </w:p>
        </w:tc>
        <w:tc>
          <w:tcPr>
            <w:tcW w:w="1323" w:type="dxa"/>
            <w:tcBorders>
              <w:top w:val="nil"/>
              <w:bottom w:val="nil"/>
            </w:tcBorders>
          </w:tcPr>
          <w:p>
            <w:pPr>
              <w:pStyle w:val="TableParagraph"/>
              <w:spacing w:before="25" w:line="241" w:lineRule="exact"/>
              <w:ind w:left="10" w:right="2"/>
              <w:jc w:val="center"/>
              <w:rPr>
                <w:sz w:val="21"/>
              </w:rPr>
            </w:pPr>
            <w:r>
              <w:rPr>
                <w:spacing w:val="-2"/>
                <w:sz w:val="21"/>
              </w:rPr>
              <w:t>−$6.70</w:t>
            </w:r>
          </w:p>
        </w:tc>
        <w:tc>
          <w:tcPr>
            <w:tcW w:w="1001" w:type="dxa"/>
            <w:tcBorders>
              <w:top w:val="nil"/>
              <w:bottom w:val="nil"/>
            </w:tcBorders>
          </w:tcPr>
          <w:p>
            <w:pPr>
              <w:pStyle w:val="TableParagraph"/>
              <w:spacing w:before="25" w:line="241" w:lineRule="exact"/>
              <w:ind w:left="10" w:right="2"/>
              <w:jc w:val="center"/>
              <w:rPr>
                <w:sz w:val="21"/>
              </w:rPr>
            </w:pPr>
            <w:r>
              <w:rPr>
                <w:spacing w:val="-2"/>
                <w:sz w:val="21"/>
              </w:rPr>
              <w:t>−$6.70</w:t>
            </w:r>
          </w:p>
        </w:tc>
        <w:tc>
          <w:tcPr>
            <w:tcW w:w="1069" w:type="dxa"/>
            <w:tcBorders>
              <w:top w:val="nil"/>
              <w:bottom w:val="nil"/>
            </w:tcBorders>
          </w:tcPr>
          <w:p>
            <w:pPr>
              <w:pStyle w:val="TableParagraph"/>
              <w:spacing w:before="25" w:line="241" w:lineRule="exact"/>
              <w:ind w:left="9" w:right="3"/>
              <w:jc w:val="center"/>
              <w:rPr>
                <w:sz w:val="21"/>
              </w:rPr>
            </w:pPr>
            <w:r>
              <w:rPr>
                <w:spacing w:val="-2"/>
                <w:sz w:val="21"/>
              </w:rPr>
              <w:t>−$6.70</w:t>
            </w:r>
          </w:p>
        </w:tc>
        <w:tc>
          <w:tcPr>
            <w:tcW w:w="1592" w:type="dxa"/>
            <w:tcBorders>
              <w:top w:val="nil"/>
              <w:bottom w:val="nil"/>
            </w:tcBorders>
          </w:tcPr>
          <w:p>
            <w:pPr>
              <w:pStyle w:val="TableParagraph"/>
              <w:spacing w:before="25" w:line="241" w:lineRule="exact"/>
              <w:ind w:left="6"/>
              <w:jc w:val="center"/>
              <w:rPr>
                <w:sz w:val="21"/>
              </w:rPr>
            </w:pPr>
            <w:r>
              <w:rPr>
                <w:spacing w:val="-2"/>
                <w:sz w:val="21"/>
              </w:rPr>
              <w:t>−$6.70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140" w:type="dxa"/>
            <w:tcBorders>
              <w:top w:val="nil"/>
              <w:bottom w:val="nil"/>
            </w:tcBorders>
          </w:tcPr>
          <w:p>
            <w:pPr>
              <w:pStyle w:val="TableParagraph"/>
              <w:spacing w:before="40" w:line="240" w:lineRule="exact"/>
              <w:ind w:left="261"/>
              <w:rPr>
                <w:b/>
                <w:sz w:val="21"/>
              </w:rPr>
            </w:pPr>
            <w:r>
              <w:rPr>
                <w:b/>
                <w:sz w:val="21"/>
              </w:rPr>
              <w:t>Part</w:t>
            </w:r>
            <w:r>
              <w:rPr>
                <w:b/>
                <w:spacing w:val="-3"/>
                <w:sz w:val="21"/>
              </w:rPr>
              <w:t xml:space="preserve"> </w:t>
            </w:r>
            <w:r>
              <w:rPr>
                <w:b/>
                <w:spacing w:val="-10"/>
                <w:sz w:val="21"/>
              </w:rPr>
              <w:t>D</w:t>
            </w:r>
          </w:p>
        </w:tc>
        <w:tc>
          <w:tcPr>
            <w:tcW w:w="1085" w:type="dxa"/>
            <w:tcBorders>
              <w:top w:val="nil"/>
              <w:bottom w:val="nil"/>
            </w:tcBorders>
          </w:tcPr>
          <w:p>
            <w:pPr>
              <w:pStyle w:val="TableParagraph"/>
              <w:spacing w:before="40" w:line="240" w:lineRule="exact"/>
              <w:ind w:left="13" w:right="1"/>
              <w:jc w:val="center"/>
              <w:rPr>
                <w:sz w:val="21"/>
              </w:rPr>
            </w:pPr>
            <w:r>
              <w:rPr>
                <w:spacing w:val="-5"/>
                <w:sz w:val="21"/>
              </w:rPr>
              <w:t>N/A</w:t>
            </w:r>
          </w:p>
        </w:tc>
        <w:tc>
          <w:tcPr>
            <w:tcW w:w="1323" w:type="dxa"/>
            <w:tcBorders>
              <w:top w:val="nil"/>
              <w:bottom w:val="nil"/>
            </w:tcBorders>
          </w:tcPr>
          <w:p>
            <w:pPr>
              <w:pStyle w:val="TableParagraph"/>
              <w:spacing w:before="40" w:line="240" w:lineRule="exact"/>
              <w:ind w:left="10" w:right="1"/>
              <w:jc w:val="center"/>
              <w:rPr>
                <w:sz w:val="21"/>
              </w:rPr>
            </w:pPr>
            <w:r>
              <w:rPr>
                <w:spacing w:val="-5"/>
                <w:sz w:val="21"/>
              </w:rPr>
              <w:t>N/A</w:t>
            </w:r>
          </w:p>
        </w:tc>
        <w:tc>
          <w:tcPr>
            <w:tcW w:w="1001" w:type="dxa"/>
            <w:tcBorders>
              <w:top w:val="nil"/>
              <w:bottom w:val="nil"/>
            </w:tcBorders>
          </w:tcPr>
          <w:p>
            <w:pPr>
              <w:pStyle w:val="TableParagraph"/>
              <w:spacing w:before="11"/>
              <w:ind w:left="10" w:right="1"/>
              <w:jc w:val="center"/>
              <w:rPr>
                <w:sz w:val="21"/>
              </w:rPr>
            </w:pPr>
            <w:r>
              <w:rPr>
                <w:spacing w:val="-5"/>
                <w:sz w:val="21"/>
              </w:rPr>
              <w:t>N/A</w:t>
            </w:r>
          </w:p>
        </w:tc>
        <w:tc>
          <w:tcPr>
            <w:tcW w:w="1069" w:type="dxa"/>
            <w:tcBorders>
              <w:top w:val="nil"/>
              <w:bottom w:val="nil"/>
            </w:tcBorders>
          </w:tcPr>
          <w:p>
            <w:pPr>
              <w:pStyle w:val="TableParagraph"/>
              <w:spacing w:before="11"/>
              <w:ind w:left="9" w:right="2"/>
              <w:jc w:val="center"/>
              <w:rPr>
                <w:sz w:val="21"/>
              </w:rPr>
            </w:pPr>
            <w:r>
              <w:rPr>
                <w:spacing w:val="-5"/>
                <w:sz w:val="21"/>
              </w:rPr>
              <w:t>N/A</w:t>
            </w:r>
          </w:p>
        </w:tc>
        <w:tc>
          <w:tcPr>
            <w:tcW w:w="1592" w:type="dxa"/>
            <w:tcBorders>
              <w:top w:val="nil"/>
              <w:bottom w:val="nil"/>
            </w:tcBorders>
          </w:tcPr>
          <w:p>
            <w:pPr>
              <w:pStyle w:val="TableParagraph"/>
              <w:spacing w:before="40" w:line="240" w:lineRule="exact"/>
              <w:ind w:left="6" w:right="4"/>
              <w:jc w:val="center"/>
              <w:rPr>
                <w:sz w:val="21"/>
              </w:rPr>
            </w:pPr>
            <w:r>
              <w:rPr>
                <w:spacing w:val="-5"/>
                <w:sz w:val="21"/>
              </w:rPr>
              <w:t>N/A</w:t>
            </w:r>
          </w:p>
        </w:tc>
      </w:tr>
      <w:tr>
        <w:tblPrEx>
          <w:tblW w:w="0" w:type="auto"/>
          <w:jc w:val="left"/>
          <w:tblInd w:w="514" w:type="dxa"/>
          <w:tblLayout w:type="fixed"/>
          <w:tblCellMar>
            <w:top w:w="0" w:type="dxa"/>
            <w:left w:w="0" w:type="dxa"/>
            <w:bottom w:w="0" w:type="dxa"/>
            <w:right w:w="0" w:type="dxa"/>
          </w:tblCellMar>
          <w:tblLook w:val="01E0"/>
        </w:tblPrEx>
        <w:trPr>
          <w:trHeight w:val="464"/>
          <w:jc w:val="left"/>
        </w:trPr>
        <w:tc>
          <w:tcPr>
            <w:tcW w:w="3140" w:type="dxa"/>
            <w:tcBorders>
              <w:top w:val="nil"/>
              <w:bottom w:val="nil"/>
            </w:tcBorders>
          </w:tcPr>
          <w:p>
            <w:pPr>
              <w:pStyle w:val="TableParagraph"/>
              <w:spacing w:before="39"/>
              <w:ind w:left="107"/>
              <w:rPr>
                <w:b/>
                <w:sz w:val="21"/>
              </w:rPr>
            </w:pPr>
            <w:r>
              <w:rPr>
                <w:b/>
                <w:sz w:val="21"/>
              </w:rPr>
              <w:t>Change</w:t>
            </w:r>
            <w:r>
              <w:rPr>
                <w:b/>
                <w:spacing w:val="-3"/>
                <w:sz w:val="21"/>
              </w:rPr>
              <w:t xml:space="preserve"> </w:t>
            </w:r>
            <w:r>
              <w:rPr>
                <w:b/>
                <w:sz w:val="21"/>
              </w:rPr>
              <w:t>in</w:t>
            </w:r>
            <w:r>
              <w:rPr>
                <w:b/>
                <w:spacing w:val="-5"/>
                <w:sz w:val="21"/>
              </w:rPr>
              <w:t xml:space="preserve"> </w:t>
            </w:r>
            <w:r>
              <w:rPr>
                <w:b/>
                <w:sz w:val="21"/>
              </w:rPr>
              <w:t>MSB</w:t>
            </w:r>
            <w:r>
              <w:rPr>
                <w:b/>
                <w:spacing w:val="-4"/>
                <w:sz w:val="21"/>
              </w:rPr>
              <w:t xml:space="preserve"> </w:t>
            </w:r>
            <w:r>
              <w:rPr>
                <w:b/>
                <w:sz w:val="21"/>
              </w:rPr>
              <w:t>Rev</w:t>
            </w:r>
            <w:r>
              <w:rPr>
                <w:b/>
                <w:spacing w:val="-5"/>
                <w:sz w:val="21"/>
              </w:rPr>
              <w:t xml:space="preserve"> Req</w:t>
            </w:r>
          </w:p>
        </w:tc>
        <w:tc>
          <w:tcPr>
            <w:tcW w:w="1085" w:type="dxa"/>
            <w:tcBorders>
              <w:top w:val="nil"/>
              <w:bottom w:val="nil"/>
            </w:tcBorders>
          </w:tcPr>
          <w:p>
            <w:pPr>
              <w:pStyle w:val="TableParagraph"/>
              <w:spacing w:before="39"/>
              <w:ind w:left="13" w:right="1"/>
              <w:jc w:val="center"/>
              <w:rPr>
                <w:sz w:val="21"/>
              </w:rPr>
            </w:pPr>
            <w:r>
              <w:rPr>
                <w:spacing w:val="-5"/>
                <w:sz w:val="21"/>
              </w:rPr>
              <w:t>N/A</w:t>
            </w:r>
          </w:p>
        </w:tc>
        <w:tc>
          <w:tcPr>
            <w:tcW w:w="1323" w:type="dxa"/>
            <w:tcBorders>
              <w:top w:val="nil"/>
              <w:bottom w:val="nil"/>
            </w:tcBorders>
          </w:tcPr>
          <w:p>
            <w:pPr>
              <w:pStyle w:val="TableParagraph"/>
              <w:spacing w:before="39"/>
              <w:ind w:left="10" w:right="1"/>
              <w:jc w:val="center"/>
              <w:rPr>
                <w:sz w:val="21"/>
              </w:rPr>
            </w:pPr>
            <w:r>
              <w:rPr>
                <w:spacing w:val="-5"/>
                <w:sz w:val="21"/>
              </w:rPr>
              <w:t>N/A</w:t>
            </w:r>
          </w:p>
        </w:tc>
        <w:tc>
          <w:tcPr>
            <w:tcW w:w="1001" w:type="dxa"/>
            <w:tcBorders>
              <w:top w:val="nil"/>
              <w:bottom w:val="nil"/>
            </w:tcBorders>
          </w:tcPr>
          <w:p>
            <w:pPr>
              <w:pStyle w:val="TableParagraph"/>
              <w:spacing w:before="11"/>
              <w:ind w:left="10"/>
              <w:jc w:val="center"/>
              <w:rPr>
                <w:sz w:val="21"/>
              </w:rPr>
            </w:pPr>
            <w:r>
              <w:rPr>
                <w:spacing w:val="-2"/>
                <w:sz w:val="21"/>
              </w:rPr>
              <w:t>$0.00</w:t>
            </w:r>
          </w:p>
        </w:tc>
        <w:tc>
          <w:tcPr>
            <w:tcW w:w="1069" w:type="dxa"/>
            <w:tcBorders>
              <w:top w:val="nil"/>
              <w:bottom w:val="nil"/>
            </w:tcBorders>
          </w:tcPr>
          <w:p>
            <w:pPr>
              <w:pStyle w:val="TableParagraph"/>
              <w:spacing w:before="11"/>
              <w:ind w:left="9" w:right="3"/>
              <w:jc w:val="center"/>
              <w:rPr>
                <w:sz w:val="21"/>
              </w:rPr>
            </w:pPr>
            <w:r>
              <w:rPr>
                <w:spacing w:val="-2"/>
                <w:sz w:val="21"/>
              </w:rPr>
              <w:t>−$6.70</w:t>
            </w:r>
          </w:p>
        </w:tc>
        <w:tc>
          <w:tcPr>
            <w:tcW w:w="1592" w:type="dxa"/>
            <w:tcBorders>
              <w:top w:val="nil"/>
              <w:bottom w:val="nil"/>
            </w:tcBorders>
          </w:tcPr>
          <w:p>
            <w:pPr>
              <w:pStyle w:val="TableParagraph"/>
              <w:spacing w:before="39"/>
              <w:ind w:left="6"/>
              <w:jc w:val="center"/>
              <w:rPr>
                <w:sz w:val="21"/>
              </w:rPr>
            </w:pPr>
            <w:r>
              <w:rPr>
                <w:spacing w:val="-2"/>
                <w:sz w:val="21"/>
              </w:rPr>
              <w:t>−$7.20</w:t>
            </w:r>
          </w:p>
        </w:tc>
      </w:tr>
      <w:tr>
        <w:tblPrEx>
          <w:tblW w:w="0" w:type="auto"/>
          <w:jc w:val="left"/>
          <w:tblInd w:w="514" w:type="dxa"/>
          <w:tblLayout w:type="fixed"/>
          <w:tblCellMar>
            <w:top w:w="0" w:type="dxa"/>
            <w:left w:w="0" w:type="dxa"/>
            <w:bottom w:w="0" w:type="dxa"/>
            <w:right w:w="0" w:type="dxa"/>
          </w:tblCellMar>
          <w:tblLook w:val="01E0"/>
        </w:tblPrEx>
        <w:trPr>
          <w:trHeight w:val="449"/>
          <w:jc w:val="left"/>
        </w:trPr>
        <w:tc>
          <w:tcPr>
            <w:tcW w:w="3140" w:type="dxa"/>
            <w:tcBorders>
              <w:top w:val="nil"/>
              <w:bottom w:val="nil"/>
            </w:tcBorders>
          </w:tcPr>
          <w:p>
            <w:pPr>
              <w:pStyle w:val="TableParagraph"/>
              <w:spacing w:before="175"/>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085" w:type="dxa"/>
            <w:tcBorders>
              <w:top w:val="nil"/>
              <w:bottom w:val="nil"/>
            </w:tcBorders>
          </w:tcPr>
          <w:p>
            <w:pPr>
              <w:pStyle w:val="TableParagraph"/>
              <w:spacing w:before="175"/>
              <w:ind w:left="13" w:right="2"/>
              <w:jc w:val="center"/>
              <w:rPr>
                <w:sz w:val="21"/>
              </w:rPr>
            </w:pPr>
            <w:r>
              <w:rPr>
                <w:spacing w:val="-2"/>
                <w:sz w:val="21"/>
              </w:rPr>
              <w:t>$102.70</w:t>
            </w:r>
          </w:p>
        </w:tc>
        <w:tc>
          <w:tcPr>
            <w:tcW w:w="1323" w:type="dxa"/>
            <w:tcBorders>
              <w:top w:val="nil"/>
              <w:bottom w:val="nil"/>
            </w:tcBorders>
          </w:tcPr>
          <w:p>
            <w:pPr>
              <w:pStyle w:val="TableParagraph"/>
              <w:spacing w:before="175"/>
              <w:ind w:left="10" w:right="2"/>
              <w:jc w:val="center"/>
              <w:rPr>
                <w:sz w:val="21"/>
              </w:rPr>
            </w:pPr>
            <w:r>
              <w:rPr>
                <w:spacing w:val="-2"/>
                <w:sz w:val="21"/>
              </w:rPr>
              <w:t>$102.70</w:t>
            </w:r>
          </w:p>
        </w:tc>
        <w:tc>
          <w:tcPr>
            <w:tcW w:w="1001" w:type="dxa"/>
            <w:tcBorders>
              <w:top w:val="nil"/>
              <w:bottom w:val="nil"/>
            </w:tcBorders>
          </w:tcPr>
          <w:p>
            <w:pPr>
              <w:pStyle w:val="TableParagraph"/>
              <w:spacing w:before="175"/>
              <w:ind w:left="10" w:right="2"/>
              <w:jc w:val="center"/>
              <w:rPr>
                <w:sz w:val="21"/>
              </w:rPr>
            </w:pPr>
            <w:r>
              <w:rPr>
                <w:spacing w:val="-2"/>
                <w:sz w:val="21"/>
              </w:rPr>
              <w:t>$102.70</w:t>
            </w:r>
          </w:p>
        </w:tc>
        <w:tc>
          <w:tcPr>
            <w:tcW w:w="1069" w:type="dxa"/>
            <w:tcBorders>
              <w:top w:val="nil"/>
              <w:bottom w:val="nil"/>
            </w:tcBorders>
          </w:tcPr>
          <w:p>
            <w:pPr>
              <w:pStyle w:val="TableParagraph"/>
              <w:spacing w:before="175"/>
              <w:ind w:left="9"/>
              <w:jc w:val="center"/>
              <w:rPr>
                <w:b/>
                <w:i/>
                <w:sz w:val="21"/>
              </w:rPr>
            </w:pPr>
            <w:r>
              <w:rPr>
                <w:b/>
                <w:i/>
                <w:spacing w:val="-2"/>
                <w:sz w:val="21"/>
              </w:rPr>
              <w:t>$96.00</w:t>
            </w:r>
          </w:p>
        </w:tc>
        <w:tc>
          <w:tcPr>
            <w:tcW w:w="1592" w:type="dxa"/>
            <w:tcBorders>
              <w:top w:val="nil"/>
              <w:bottom w:val="nil"/>
            </w:tcBorders>
          </w:tcPr>
          <w:p>
            <w:pPr>
              <w:pStyle w:val="TableParagraph"/>
              <w:spacing w:before="175"/>
              <w:ind w:left="6" w:right="3"/>
              <w:jc w:val="center"/>
              <w:rPr>
                <w:b/>
                <w:i/>
                <w:sz w:val="21"/>
              </w:rPr>
            </w:pPr>
            <w:r>
              <w:rPr>
                <w:b/>
                <w:i/>
                <w:spacing w:val="-2"/>
                <w:sz w:val="21"/>
              </w:rPr>
              <w:t>$95.50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140" w:type="dxa"/>
            <w:tcBorders>
              <w:top w:val="nil"/>
              <w:bottom w:val="nil"/>
            </w:tcBorders>
          </w:tcPr>
          <w:p>
            <w:pPr>
              <w:pStyle w:val="TableParagraph"/>
              <w:spacing w:before="25"/>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085" w:type="dxa"/>
            <w:tcBorders>
              <w:top w:val="nil"/>
              <w:bottom w:val="nil"/>
            </w:tcBorders>
          </w:tcPr>
          <w:p>
            <w:pPr>
              <w:pStyle w:val="TableParagraph"/>
              <w:spacing w:before="25"/>
              <w:ind w:left="13"/>
              <w:jc w:val="center"/>
              <w:rPr>
                <w:sz w:val="21"/>
              </w:rPr>
            </w:pPr>
            <w:r>
              <w:rPr>
                <w:spacing w:val="-2"/>
                <w:sz w:val="21"/>
              </w:rPr>
              <w:t>$97.30</w:t>
            </w:r>
          </w:p>
        </w:tc>
        <w:tc>
          <w:tcPr>
            <w:tcW w:w="1323" w:type="dxa"/>
            <w:tcBorders>
              <w:top w:val="nil"/>
              <w:bottom w:val="nil"/>
            </w:tcBorders>
          </w:tcPr>
          <w:p>
            <w:pPr>
              <w:pStyle w:val="TableParagraph"/>
              <w:spacing w:before="25"/>
              <w:ind w:left="10"/>
              <w:jc w:val="center"/>
              <w:rPr>
                <w:sz w:val="21"/>
              </w:rPr>
            </w:pPr>
            <w:r>
              <w:rPr>
                <w:spacing w:val="-2"/>
                <w:sz w:val="21"/>
              </w:rPr>
              <w:t>$97.30</w:t>
            </w:r>
          </w:p>
        </w:tc>
        <w:tc>
          <w:tcPr>
            <w:tcW w:w="1001" w:type="dxa"/>
            <w:tcBorders>
              <w:top w:val="nil"/>
              <w:bottom w:val="nil"/>
            </w:tcBorders>
          </w:tcPr>
          <w:p>
            <w:pPr>
              <w:pStyle w:val="TableParagraph"/>
              <w:spacing w:before="25"/>
              <w:ind w:left="10"/>
              <w:jc w:val="center"/>
              <w:rPr>
                <w:b/>
                <w:i/>
                <w:sz w:val="21"/>
              </w:rPr>
            </w:pPr>
            <w:r>
              <w:rPr>
                <w:b/>
                <w:i/>
                <w:spacing w:val="-2"/>
                <w:sz w:val="21"/>
              </w:rPr>
              <w:t>$90.60</w:t>
            </w:r>
          </w:p>
        </w:tc>
        <w:tc>
          <w:tcPr>
            <w:tcW w:w="1069" w:type="dxa"/>
            <w:tcBorders>
              <w:top w:val="nil"/>
              <w:bottom w:val="nil"/>
            </w:tcBorders>
          </w:tcPr>
          <w:p>
            <w:pPr>
              <w:pStyle w:val="TableParagraph"/>
              <w:spacing w:before="25"/>
              <w:ind w:left="9"/>
              <w:jc w:val="center"/>
              <w:rPr>
                <w:b/>
                <w:i/>
                <w:sz w:val="21"/>
              </w:rPr>
            </w:pPr>
            <w:r>
              <w:rPr>
                <w:b/>
                <w:i/>
                <w:spacing w:val="-2"/>
                <w:sz w:val="21"/>
              </w:rPr>
              <w:t>$90.60</w:t>
            </w:r>
          </w:p>
        </w:tc>
        <w:tc>
          <w:tcPr>
            <w:tcW w:w="1592" w:type="dxa"/>
            <w:tcBorders>
              <w:top w:val="nil"/>
              <w:bottom w:val="nil"/>
            </w:tcBorders>
          </w:tcPr>
          <w:p>
            <w:pPr>
              <w:pStyle w:val="TableParagraph"/>
              <w:spacing w:before="25"/>
              <w:ind w:left="6" w:right="3"/>
              <w:jc w:val="center"/>
              <w:rPr>
                <w:b/>
                <w:i/>
                <w:sz w:val="21"/>
              </w:rPr>
            </w:pPr>
            <w:r>
              <w:rPr>
                <w:b/>
                <w:i/>
                <w:spacing w:val="-2"/>
                <w:sz w:val="21"/>
              </w:rPr>
              <w:t>$90.10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140" w:type="dxa"/>
            <w:tcBorders>
              <w:top w:val="nil"/>
              <w:bottom w:val="nil"/>
            </w:tcBorders>
          </w:tcPr>
          <w:p>
            <w:pPr>
              <w:pStyle w:val="TableParagraph"/>
              <w:spacing w:before="25"/>
              <w:ind w:left="107"/>
              <w:rPr>
                <w:b/>
                <w:sz w:val="21"/>
              </w:rPr>
            </w:pPr>
            <w:r>
              <w:rPr>
                <w:b/>
                <w:sz w:val="21"/>
              </w:rPr>
              <w:t>MA</w:t>
            </w:r>
            <w:r>
              <w:rPr>
                <w:b/>
                <w:spacing w:val="-5"/>
                <w:sz w:val="21"/>
              </w:rPr>
              <w:t xml:space="preserve"> </w:t>
            </w:r>
            <w:r>
              <w:rPr>
                <w:b/>
                <w:spacing w:val="-2"/>
                <w:sz w:val="21"/>
              </w:rPr>
              <w:t>Premium</w:t>
            </w:r>
          </w:p>
        </w:tc>
        <w:tc>
          <w:tcPr>
            <w:tcW w:w="1085" w:type="dxa"/>
            <w:tcBorders>
              <w:top w:val="nil"/>
              <w:bottom w:val="nil"/>
            </w:tcBorders>
          </w:tcPr>
          <w:p>
            <w:pPr>
              <w:pStyle w:val="TableParagraph"/>
              <w:spacing w:before="25"/>
              <w:ind w:left="13"/>
              <w:jc w:val="center"/>
              <w:rPr>
                <w:sz w:val="21"/>
              </w:rPr>
            </w:pPr>
            <w:r>
              <w:rPr>
                <w:spacing w:val="-2"/>
                <w:sz w:val="21"/>
              </w:rPr>
              <w:t>$5.40</w:t>
            </w:r>
          </w:p>
        </w:tc>
        <w:tc>
          <w:tcPr>
            <w:tcW w:w="1323" w:type="dxa"/>
            <w:tcBorders>
              <w:top w:val="nil"/>
              <w:bottom w:val="nil"/>
            </w:tcBorders>
          </w:tcPr>
          <w:p>
            <w:pPr>
              <w:pStyle w:val="TableParagraph"/>
              <w:spacing w:before="25"/>
              <w:ind w:left="10"/>
              <w:jc w:val="center"/>
              <w:rPr>
                <w:sz w:val="21"/>
              </w:rPr>
            </w:pPr>
            <w:r>
              <w:rPr>
                <w:spacing w:val="-2"/>
                <w:sz w:val="21"/>
              </w:rPr>
              <w:t>$5.40</w:t>
            </w:r>
          </w:p>
        </w:tc>
        <w:tc>
          <w:tcPr>
            <w:tcW w:w="1001" w:type="dxa"/>
            <w:tcBorders>
              <w:top w:val="nil"/>
              <w:bottom w:val="nil"/>
            </w:tcBorders>
          </w:tcPr>
          <w:p>
            <w:pPr>
              <w:pStyle w:val="TableParagraph"/>
              <w:spacing w:before="25"/>
              <w:ind w:left="10"/>
              <w:jc w:val="center"/>
              <w:rPr>
                <w:sz w:val="21"/>
              </w:rPr>
            </w:pPr>
            <w:r>
              <w:rPr>
                <w:spacing w:val="-2"/>
                <w:sz w:val="21"/>
              </w:rPr>
              <w:t>$12.10</w:t>
            </w:r>
          </w:p>
        </w:tc>
        <w:tc>
          <w:tcPr>
            <w:tcW w:w="1069" w:type="dxa"/>
            <w:tcBorders>
              <w:top w:val="nil"/>
              <w:bottom w:val="nil"/>
            </w:tcBorders>
          </w:tcPr>
          <w:p>
            <w:pPr>
              <w:pStyle w:val="TableParagraph"/>
              <w:spacing w:before="25"/>
              <w:ind w:left="9"/>
              <w:jc w:val="center"/>
              <w:rPr>
                <w:sz w:val="21"/>
              </w:rPr>
            </w:pPr>
            <w:r>
              <w:rPr>
                <w:spacing w:val="-2"/>
                <w:sz w:val="21"/>
              </w:rPr>
              <w:t>$5.40</w:t>
            </w:r>
          </w:p>
        </w:tc>
        <w:tc>
          <w:tcPr>
            <w:tcW w:w="1592" w:type="dxa"/>
            <w:tcBorders>
              <w:top w:val="nil"/>
              <w:bottom w:val="nil"/>
            </w:tcBorders>
          </w:tcPr>
          <w:p>
            <w:pPr>
              <w:pStyle w:val="TableParagraph"/>
              <w:spacing w:before="25"/>
              <w:ind w:left="6" w:right="3"/>
              <w:jc w:val="center"/>
              <w:rPr>
                <w:sz w:val="21"/>
              </w:rPr>
            </w:pPr>
            <w:r>
              <w:rPr>
                <w:spacing w:val="-2"/>
                <w:sz w:val="21"/>
              </w:rPr>
              <w:t>$5.40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140" w:type="dxa"/>
            <w:tcBorders>
              <w:top w:val="nil"/>
              <w:bottom w:val="nil"/>
            </w:tcBorders>
          </w:tcPr>
          <w:p>
            <w:pPr>
              <w:pStyle w:val="TableParagraph"/>
              <w:spacing w:before="175"/>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5"/>
                <w:sz w:val="21"/>
              </w:rPr>
              <w:t xml:space="preserve"> </w:t>
            </w:r>
            <w:r>
              <w:rPr>
                <w:spacing w:val="-2"/>
                <w:sz w:val="21"/>
              </w:rPr>
              <w:t>Rebate</w:t>
            </w:r>
          </w:p>
        </w:tc>
        <w:tc>
          <w:tcPr>
            <w:tcW w:w="1085" w:type="dxa"/>
            <w:tcBorders>
              <w:top w:val="nil"/>
              <w:bottom w:val="nil"/>
            </w:tcBorders>
          </w:tcPr>
          <w:p>
            <w:pPr>
              <w:pStyle w:val="TableParagraph"/>
              <w:spacing w:before="175"/>
              <w:ind w:left="13"/>
              <w:jc w:val="center"/>
              <w:rPr>
                <w:sz w:val="21"/>
              </w:rPr>
            </w:pPr>
            <w:r>
              <w:rPr>
                <w:spacing w:val="-2"/>
                <w:sz w:val="21"/>
              </w:rPr>
              <w:t>$32.60</w:t>
            </w:r>
          </w:p>
        </w:tc>
        <w:tc>
          <w:tcPr>
            <w:tcW w:w="1323" w:type="dxa"/>
            <w:tcBorders>
              <w:top w:val="nil"/>
              <w:bottom w:val="nil"/>
            </w:tcBorders>
          </w:tcPr>
          <w:p>
            <w:pPr>
              <w:pStyle w:val="TableParagraph"/>
              <w:spacing w:before="175"/>
              <w:ind w:left="10"/>
              <w:jc w:val="center"/>
              <w:rPr>
                <w:sz w:val="21"/>
              </w:rPr>
            </w:pPr>
            <w:r>
              <w:rPr>
                <w:spacing w:val="-2"/>
                <w:sz w:val="21"/>
              </w:rPr>
              <w:t>$21.60</w:t>
            </w:r>
          </w:p>
        </w:tc>
        <w:tc>
          <w:tcPr>
            <w:tcW w:w="1001" w:type="dxa"/>
            <w:tcBorders>
              <w:top w:val="nil"/>
              <w:bottom w:val="nil"/>
            </w:tcBorders>
          </w:tcPr>
          <w:p>
            <w:pPr>
              <w:pStyle w:val="TableParagraph"/>
              <w:spacing w:before="175"/>
              <w:ind w:left="10"/>
              <w:jc w:val="center"/>
              <w:rPr>
                <w:sz w:val="21"/>
              </w:rPr>
            </w:pPr>
            <w:r>
              <w:rPr>
                <w:spacing w:val="-2"/>
                <w:sz w:val="21"/>
              </w:rPr>
              <w:t>$21.60</w:t>
            </w:r>
          </w:p>
        </w:tc>
        <w:tc>
          <w:tcPr>
            <w:tcW w:w="1069" w:type="dxa"/>
            <w:tcBorders>
              <w:top w:val="nil"/>
              <w:bottom w:val="nil"/>
            </w:tcBorders>
          </w:tcPr>
          <w:p>
            <w:pPr>
              <w:pStyle w:val="TableParagraph"/>
              <w:spacing w:before="175"/>
              <w:ind w:left="9"/>
              <w:jc w:val="center"/>
              <w:rPr>
                <w:sz w:val="21"/>
              </w:rPr>
            </w:pPr>
            <w:r>
              <w:rPr>
                <w:spacing w:val="-2"/>
                <w:sz w:val="21"/>
              </w:rPr>
              <w:t>$21.60</w:t>
            </w:r>
          </w:p>
        </w:tc>
        <w:tc>
          <w:tcPr>
            <w:tcW w:w="1592" w:type="dxa"/>
            <w:tcBorders>
              <w:top w:val="nil"/>
              <w:bottom w:val="nil"/>
            </w:tcBorders>
          </w:tcPr>
          <w:p>
            <w:pPr>
              <w:pStyle w:val="TableParagraph"/>
              <w:spacing w:before="175"/>
              <w:ind w:left="6" w:right="3"/>
              <w:jc w:val="center"/>
              <w:rPr>
                <w:sz w:val="21"/>
              </w:rPr>
            </w:pPr>
            <w:r>
              <w:rPr>
                <w:spacing w:val="-2"/>
                <w:sz w:val="21"/>
              </w:rPr>
              <w:t>$21.60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140"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5"/>
                <w:sz w:val="21"/>
              </w:rPr>
              <w:t xml:space="preserve"> </w:t>
            </w:r>
            <w:r>
              <w:rPr>
                <w:spacing w:val="-2"/>
                <w:sz w:val="21"/>
              </w:rPr>
              <w:t>Allocations</w:t>
            </w:r>
          </w:p>
        </w:tc>
        <w:tc>
          <w:tcPr>
            <w:tcW w:w="1085" w:type="dxa"/>
            <w:tcBorders>
              <w:top w:val="nil"/>
              <w:bottom w:val="nil"/>
            </w:tcBorders>
          </w:tcPr>
          <w:p>
            <w:pPr>
              <w:pStyle w:val="TableParagraph"/>
              <w:spacing w:before="25"/>
              <w:ind w:left="13"/>
              <w:jc w:val="center"/>
              <w:rPr>
                <w:sz w:val="21"/>
              </w:rPr>
            </w:pPr>
            <w:r>
              <w:rPr>
                <w:spacing w:val="-2"/>
                <w:sz w:val="21"/>
              </w:rPr>
              <w:t>$0.00</w:t>
            </w:r>
          </w:p>
        </w:tc>
        <w:tc>
          <w:tcPr>
            <w:tcW w:w="1323" w:type="dxa"/>
            <w:tcBorders>
              <w:top w:val="nil"/>
              <w:bottom w:val="nil"/>
            </w:tcBorders>
          </w:tcPr>
          <w:p>
            <w:pPr>
              <w:pStyle w:val="TableParagraph"/>
              <w:spacing w:before="25"/>
              <w:ind w:left="10"/>
              <w:jc w:val="center"/>
              <w:rPr>
                <w:sz w:val="21"/>
              </w:rPr>
            </w:pPr>
            <w:r>
              <w:rPr>
                <w:spacing w:val="-2"/>
                <w:sz w:val="21"/>
              </w:rPr>
              <w:t>$0.00</w:t>
            </w:r>
          </w:p>
        </w:tc>
        <w:tc>
          <w:tcPr>
            <w:tcW w:w="1001" w:type="dxa"/>
            <w:tcBorders>
              <w:top w:val="nil"/>
              <w:bottom w:val="nil"/>
            </w:tcBorders>
          </w:tcPr>
          <w:p>
            <w:pPr>
              <w:pStyle w:val="TableParagraph"/>
              <w:spacing w:before="25"/>
              <w:ind w:left="10"/>
              <w:jc w:val="center"/>
              <w:rPr>
                <w:sz w:val="21"/>
              </w:rPr>
            </w:pPr>
            <w:r>
              <w:rPr>
                <w:spacing w:val="-2"/>
                <w:sz w:val="21"/>
              </w:rPr>
              <w:t>$0.00</w:t>
            </w:r>
          </w:p>
        </w:tc>
        <w:tc>
          <w:tcPr>
            <w:tcW w:w="1069" w:type="dxa"/>
            <w:tcBorders>
              <w:top w:val="nil"/>
              <w:bottom w:val="nil"/>
            </w:tcBorders>
          </w:tcPr>
          <w:p>
            <w:pPr>
              <w:pStyle w:val="TableParagraph"/>
              <w:spacing w:before="25"/>
              <w:ind w:left="9"/>
              <w:jc w:val="center"/>
              <w:rPr>
                <w:sz w:val="21"/>
              </w:rPr>
            </w:pPr>
            <w:r>
              <w:rPr>
                <w:spacing w:val="-2"/>
                <w:sz w:val="21"/>
              </w:rPr>
              <w:t>$0.00</w:t>
            </w:r>
          </w:p>
        </w:tc>
        <w:tc>
          <w:tcPr>
            <w:tcW w:w="1592" w:type="dxa"/>
            <w:tcBorders>
              <w:top w:val="nil"/>
              <w:bottom w:val="nil"/>
            </w:tcBorders>
          </w:tcPr>
          <w:p>
            <w:pPr>
              <w:pStyle w:val="TableParagraph"/>
              <w:spacing w:before="25"/>
              <w:ind w:left="6" w:right="3"/>
              <w:jc w:val="center"/>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140"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085" w:type="dxa"/>
            <w:tcBorders>
              <w:top w:val="nil"/>
              <w:bottom w:val="nil"/>
            </w:tcBorders>
          </w:tcPr>
          <w:p>
            <w:pPr>
              <w:pStyle w:val="TableParagraph"/>
              <w:spacing w:before="25"/>
              <w:ind w:left="13"/>
              <w:jc w:val="center"/>
              <w:rPr>
                <w:sz w:val="21"/>
              </w:rPr>
            </w:pPr>
            <w:r>
              <w:rPr>
                <w:spacing w:val="-2"/>
                <w:sz w:val="21"/>
              </w:rPr>
              <w:t>$32.60</w:t>
            </w:r>
          </w:p>
        </w:tc>
        <w:tc>
          <w:tcPr>
            <w:tcW w:w="1323" w:type="dxa"/>
            <w:tcBorders>
              <w:top w:val="nil"/>
              <w:bottom w:val="nil"/>
            </w:tcBorders>
          </w:tcPr>
          <w:p>
            <w:pPr>
              <w:pStyle w:val="TableParagraph"/>
              <w:spacing w:before="25"/>
              <w:ind w:left="10"/>
              <w:jc w:val="center"/>
              <w:rPr>
                <w:sz w:val="21"/>
              </w:rPr>
            </w:pPr>
            <w:r>
              <w:rPr>
                <w:spacing w:val="-2"/>
                <w:sz w:val="21"/>
              </w:rPr>
              <w:t>$21.60</w:t>
            </w:r>
          </w:p>
        </w:tc>
        <w:tc>
          <w:tcPr>
            <w:tcW w:w="1001" w:type="dxa"/>
            <w:tcBorders>
              <w:top w:val="nil"/>
              <w:bottom w:val="nil"/>
            </w:tcBorders>
          </w:tcPr>
          <w:p>
            <w:pPr>
              <w:pStyle w:val="TableParagraph"/>
              <w:spacing w:before="25"/>
              <w:ind w:left="10"/>
              <w:jc w:val="center"/>
              <w:rPr>
                <w:sz w:val="21"/>
              </w:rPr>
            </w:pPr>
            <w:r>
              <w:rPr>
                <w:spacing w:val="-2"/>
                <w:sz w:val="21"/>
              </w:rPr>
              <w:t>$21.60</w:t>
            </w:r>
          </w:p>
        </w:tc>
        <w:tc>
          <w:tcPr>
            <w:tcW w:w="1069" w:type="dxa"/>
            <w:tcBorders>
              <w:top w:val="nil"/>
              <w:bottom w:val="nil"/>
            </w:tcBorders>
          </w:tcPr>
          <w:p>
            <w:pPr>
              <w:pStyle w:val="TableParagraph"/>
              <w:spacing w:before="25"/>
              <w:ind w:left="9"/>
              <w:jc w:val="center"/>
              <w:rPr>
                <w:sz w:val="21"/>
              </w:rPr>
            </w:pPr>
            <w:r>
              <w:rPr>
                <w:spacing w:val="-2"/>
                <w:sz w:val="21"/>
              </w:rPr>
              <w:t>$21.60</w:t>
            </w:r>
          </w:p>
        </w:tc>
        <w:tc>
          <w:tcPr>
            <w:tcW w:w="1592" w:type="dxa"/>
            <w:tcBorders>
              <w:top w:val="nil"/>
              <w:bottom w:val="nil"/>
            </w:tcBorders>
          </w:tcPr>
          <w:p>
            <w:pPr>
              <w:pStyle w:val="TableParagraph"/>
              <w:spacing w:before="25"/>
              <w:ind w:left="6" w:right="3"/>
              <w:jc w:val="center"/>
              <w:rPr>
                <w:sz w:val="21"/>
              </w:rPr>
            </w:pPr>
            <w:r>
              <w:rPr>
                <w:spacing w:val="-2"/>
                <w:sz w:val="21"/>
              </w:rPr>
              <w:t>$21.60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140"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085" w:type="dxa"/>
            <w:tcBorders>
              <w:top w:val="nil"/>
              <w:bottom w:val="nil"/>
            </w:tcBorders>
          </w:tcPr>
          <w:p>
            <w:pPr>
              <w:pStyle w:val="TableParagraph"/>
              <w:spacing w:before="175"/>
              <w:ind w:left="13"/>
              <w:jc w:val="center"/>
              <w:rPr>
                <w:sz w:val="21"/>
              </w:rPr>
            </w:pPr>
            <w:r>
              <w:rPr>
                <w:spacing w:val="-2"/>
                <w:sz w:val="21"/>
              </w:rPr>
              <w:t>$37.10</w:t>
            </w:r>
          </w:p>
        </w:tc>
        <w:tc>
          <w:tcPr>
            <w:tcW w:w="1323" w:type="dxa"/>
            <w:tcBorders>
              <w:top w:val="nil"/>
              <w:bottom w:val="nil"/>
            </w:tcBorders>
          </w:tcPr>
          <w:p>
            <w:pPr>
              <w:pStyle w:val="TableParagraph"/>
              <w:spacing w:before="175"/>
              <w:ind w:left="10"/>
              <w:jc w:val="center"/>
              <w:rPr>
                <w:sz w:val="21"/>
              </w:rPr>
            </w:pPr>
            <w:r>
              <w:rPr>
                <w:spacing w:val="-2"/>
                <w:sz w:val="21"/>
              </w:rPr>
              <w:t>$37.10</w:t>
            </w:r>
          </w:p>
        </w:tc>
        <w:tc>
          <w:tcPr>
            <w:tcW w:w="1001" w:type="dxa"/>
            <w:tcBorders>
              <w:top w:val="nil"/>
              <w:bottom w:val="nil"/>
            </w:tcBorders>
          </w:tcPr>
          <w:p>
            <w:pPr>
              <w:pStyle w:val="TableParagraph"/>
              <w:spacing w:before="175"/>
              <w:ind w:left="10"/>
              <w:jc w:val="center"/>
              <w:rPr>
                <w:sz w:val="21"/>
              </w:rPr>
            </w:pPr>
            <w:r>
              <w:rPr>
                <w:spacing w:val="-2"/>
                <w:sz w:val="21"/>
              </w:rPr>
              <w:t>$37.10</w:t>
            </w:r>
          </w:p>
        </w:tc>
        <w:tc>
          <w:tcPr>
            <w:tcW w:w="1069" w:type="dxa"/>
            <w:tcBorders>
              <w:top w:val="nil"/>
              <w:bottom w:val="nil"/>
            </w:tcBorders>
          </w:tcPr>
          <w:p>
            <w:pPr>
              <w:pStyle w:val="TableParagraph"/>
              <w:spacing w:before="175"/>
              <w:ind w:left="9"/>
              <w:jc w:val="center"/>
              <w:rPr>
                <w:sz w:val="21"/>
              </w:rPr>
            </w:pPr>
            <w:r>
              <w:rPr>
                <w:spacing w:val="-2"/>
                <w:sz w:val="21"/>
              </w:rPr>
              <w:t>$37.10</w:t>
            </w:r>
          </w:p>
        </w:tc>
        <w:tc>
          <w:tcPr>
            <w:tcW w:w="1592" w:type="dxa"/>
            <w:tcBorders>
              <w:top w:val="nil"/>
              <w:bottom w:val="nil"/>
            </w:tcBorders>
          </w:tcPr>
          <w:p>
            <w:pPr>
              <w:pStyle w:val="TableParagraph"/>
              <w:spacing w:before="175"/>
              <w:ind w:left="6" w:right="3"/>
              <w:jc w:val="center"/>
              <w:rPr>
                <w:sz w:val="21"/>
              </w:rPr>
            </w:pPr>
            <w:r>
              <w:rPr>
                <w:spacing w:val="-2"/>
                <w:sz w:val="21"/>
              </w:rPr>
              <w:t>$37.10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140"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085" w:type="dxa"/>
            <w:tcBorders>
              <w:top w:val="nil"/>
              <w:bottom w:val="nil"/>
            </w:tcBorders>
          </w:tcPr>
          <w:p>
            <w:pPr>
              <w:pStyle w:val="TableParagraph"/>
              <w:spacing w:before="25"/>
              <w:ind w:left="13"/>
              <w:jc w:val="center"/>
              <w:rPr>
                <w:sz w:val="21"/>
              </w:rPr>
            </w:pPr>
            <w:r>
              <w:rPr>
                <w:spacing w:val="-2"/>
                <w:sz w:val="21"/>
              </w:rPr>
              <w:t>$37.10</w:t>
            </w:r>
          </w:p>
        </w:tc>
        <w:tc>
          <w:tcPr>
            <w:tcW w:w="1323" w:type="dxa"/>
            <w:tcBorders>
              <w:top w:val="nil"/>
              <w:bottom w:val="nil"/>
            </w:tcBorders>
          </w:tcPr>
          <w:p>
            <w:pPr>
              <w:pStyle w:val="TableParagraph"/>
              <w:spacing w:before="25"/>
              <w:ind w:left="10"/>
              <w:jc w:val="center"/>
              <w:rPr>
                <w:sz w:val="21"/>
              </w:rPr>
            </w:pPr>
            <w:r>
              <w:rPr>
                <w:spacing w:val="-2"/>
                <w:sz w:val="21"/>
              </w:rPr>
              <w:t>$37.10</w:t>
            </w:r>
          </w:p>
        </w:tc>
        <w:tc>
          <w:tcPr>
            <w:tcW w:w="1001" w:type="dxa"/>
            <w:tcBorders>
              <w:top w:val="nil"/>
              <w:bottom w:val="nil"/>
            </w:tcBorders>
          </w:tcPr>
          <w:p>
            <w:pPr>
              <w:pStyle w:val="TableParagraph"/>
              <w:spacing w:before="25"/>
              <w:ind w:left="10"/>
              <w:jc w:val="center"/>
              <w:rPr>
                <w:sz w:val="21"/>
              </w:rPr>
            </w:pPr>
            <w:r>
              <w:rPr>
                <w:spacing w:val="-2"/>
                <w:sz w:val="21"/>
              </w:rPr>
              <w:t>$37.10</w:t>
            </w:r>
          </w:p>
        </w:tc>
        <w:tc>
          <w:tcPr>
            <w:tcW w:w="1069" w:type="dxa"/>
            <w:tcBorders>
              <w:top w:val="nil"/>
              <w:bottom w:val="nil"/>
            </w:tcBorders>
          </w:tcPr>
          <w:p>
            <w:pPr>
              <w:pStyle w:val="TableParagraph"/>
              <w:spacing w:before="25"/>
              <w:ind w:left="9"/>
              <w:jc w:val="center"/>
              <w:rPr>
                <w:sz w:val="21"/>
              </w:rPr>
            </w:pPr>
            <w:r>
              <w:rPr>
                <w:spacing w:val="-2"/>
                <w:sz w:val="21"/>
              </w:rPr>
              <w:t>$37.10</w:t>
            </w:r>
          </w:p>
        </w:tc>
        <w:tc>
          <w:tcPr>
            <w:tcW w:w="1592" w:type="dxa"/>
            <w:tcBorders>
              <w:top w:val="nil"/>
              <w:bottom w:val="nil"/>
            </w:tcBorders>
          </w:tcPr>
          <w:p>
            <w:pPr>
              <w:pStyle w:val="TableParagraph"/>
              <w:spacing w:before="25"/>
              <w:ind w:left="6" w:right="3"/>
              <w:jc w:val="center"/>
              <w:rPr>
                <w:sz w:val="21"/>
              </w:rPr>
            </w:pPr>
            <w:r>
              <w:rPr>
                <w:spacing w:val="-2"/>
                <w:sz w:val="21"/>
              </w:rPr>
              <w:t>$37.10</w:t>
            </w:r>
          </w:p>
        </w:tc>
      </w:tr>
      <w:tr>
        <w:tblPrEx>
          <w:tblW w:w="0" w:type="auto"/>
          <w:jc w:val="left"/>
          <w:tblInd w:w="514" w:type="dxa"/>
          <w:tblLayout w:type="fixed"/>
          <w:tblCellMar>
            <w:top w:w="0" w:type="dxa"/>
            <w:left w:w="0" w:type="dxa"/>
            <w:bottom w:w="0" w:type="dxa"/>
            <w:right w:w="0" w:type="dxa"/>
          </w:tblCellMar>
          <w:tblLook w:val="01E0"/>
        </w:tblPrEx>
        <w:trPr>
          <w:trHeight w:val="583"/>
          <w:jc w:val="left"/>
        </w:trPr>
        <w:tc>
          <w:tcPr>
            <w:tcW w:w="3140"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085" w:type="dxa"/>
            <w:tcBorders>
              <w:top w:val="nil"/>
            </w:tcBorders>
          </w:tcPr>
          <w:p>
            <w:pPr>
              <w:pStyle w:val="TableParagraph"/>
              <w:spacing w:before="25"/>
              <w:ind w:left="13"/>
              <w:jc w:val="center"/>
              <w:rPr>
                <w:sz w:val="21"/>
              </w:rPr>
            </w:pPr>
            <w:r>
              <w:rPr>
                <w:spacing w:val="-2"/>
                <w:sz w:val="21"/>
              </w:rPr>
              <w:t>$0.00</w:t>
            </w:r>
          </w:p>
        </w:tc>
        <w:tc>
          <w:tcPr>
            <w:tcW w:w="1323" w:type="dxa"/>
            <w:tcBorders>
              <w:top w:val="nil"/>
            </w:tcBorders>
          </w:tcPr>
          <w:p>
            <w:pPr>
              <w:pStyle w:val="TableParagraph"/>
              <w:spacing w:before="25"/>
              <w:ind w:left="10"/>
              <w:jc w:val="center"/>
              <w:rPr>
                <w:sz w:val="21"/>
              </w:rPr>
            </w:pPr>
            <w:r>
              <w:rPr>
                <w:spacing w:val="-2"/>
                <w:sz w:val="21"/>
              </w:rPr>
              <w:t>$0.00</w:t>
            </w:r>
          </w:p>
        </w:tc>
        <w:tc>
          <w:tcPr>
            <w:tcW w:w="1001" w:type="dxa"/>
            <w:tcBorders>
              <w:top w:val="nil"/>
            </w:tcBorders>
          </w:tcPr>
          <w:p>
            <w:pPr>
              <w:pStyle w:val="TableParagraph"/>
              <w:spacing w:before="25"/>
              <w:ind w:left="10"/>
              <w:jc w:val="center"/>
              <w:rPr>
                <w:sz w:val="21"/>
              </w:rPr>
            </w:pPr>
            <w:r>
              <w:rPr>
                <w:spacing w:val="-2"/>
                <w:sz w:val="21"/>
              </w:rPr>
              <w:t>$0.00</w:t>
            </w:r>
          </w:p>
        </w:tc>
        <w:tc>
          <w:tcPr>
            <w:tcW w:w="1069" w:type="dxa"/>
            <w:tcBorders>
              <w:top w:val="nil"/>
            </w:tcBorders>
          </w:tcPr>
          <w:p>
            <w:pPr>
              <w:pStyle w:val="TableParagraph"/>
              <w:spacing w:before="25"/>
              <w:ind w:left="9"/>
              <w:jc w:val="center"/>
              <w:rPr>
                <w:sz w:val="21"/>
              </w:rPr>
            </w:pPr>
            <w:r>
              <w:rPr>
                <w:spacing w:val="-2"/>
                <w:sz w:val="21"/>
              </w:rPr>
              <w:t>$0.00</w:t>
            </w:r>
          </w:p>
        </w:tc>
        <w:tc>
          <w:tcPr>
            <w:tcW w:w="1592" w:type="dxa"/>
            <w:tcBorders>
              <w:top w:val="nil"/>
            </w:tcBorders>
          </w:tcPr>
          <w:p>
            <w:pPr>
              <w:pStyle w:val="TableParagraph"/>
              <w:spacing w:before="25"/>
              <w:ind w:left="6" w:right="3"/>
              <w:jc w:val="center"/>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313"/>
          <w:jc w:val="left"/>
        </w:trPr>
        <w:tc>
          <w:tcPr>
            <w:tcW w:w="3140" w:type="dxa"/>
          </w:tcPr>
          <w:p>
            <w:pPr>
              <w:pStyle w:val="TableParagraph"/>
              <w:spacing w:before="72"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085" w:type="dxa"/>
          </w:tcPr>
          <w:p>
            <w:pPr>
              <w:pStyle w:val="TableParagraph"/>
              <w:spacing w:before="72" w:line="221" w:lineRule="exact"/>
              <w:ind w:left="13"/>
              <w:jc w:val="center"/>
              <w:rPr>
                <w:sz w:val="21"/>
              </w:rPr>
            </w:pPr>
            <w:r>
              <w:rPr>
                <w:spacing w:val="-2"/>
                <w:sz w:val="21"/>
              </w:rPr>
              <w:t>$38.00</w:t>
            </w:r>
          </w:p>
        </w:tc>
        <w:tc>
          <w:tcPr>
            <w:tcW w:w="1323" w:type="dxa"/>
          </w:tcPr>
          <w:p>
            <w:pPr>
              <w:pStyle w:val="TableParagraph"/>
              <w:spacing w:before="72" w:line="221" w:lineRule="exact"/>
              <w:ind w:left="10"/>
              <w:jc w:val="center"/>
              <w:rPr>
                <w:sz w:val="21"/>
              </w:rPr>
            </w:pPr>
            <w:r>
              <w:rPr>
                <w:spacing w:val="-2"/>
                <w:sz w:val="21"/>
              </w:rPr>
              <w:t>$27.00</w:t>
            </w:r>
          </w:p>
        </w:tc>
        <w:tc>
          <w:tcPr>
            <w:tcW w:w="1001" w:type="dxa"/>
          </w:tcPr>
          <w:p>
            <w:pPr>
              <w:pStyle w:val="TableParagraph"/>
              <w:spacing w:before="72" w:line="221" w:lineRule="exact"/>
              <w:ind w:left="10"/>
              <w:jc w:val="center"/>
              <w:rPr>
                <w:sz w:val="21"/>
              </w:rPr>
            </w:pPr>
            <w:r>
              <w:rPr>
                <w:spacing w:val="-2"/>
                <w:sz w:val="21"/>
              </w:rPr>
              <w:t>$33.70</w:t>
            </w:r>
          </w:p>
        </w:tc>
        <w:tc>
          <w:tcPr>
            <w:tcW w:w="1069" w:type="dxa"/>
          </w:tcPr>
          <w:p>
            <w:pPr>
              <w:pStyle w:val="TableParagraph"/>
              <w:spacing w:before="72" w:line="221" w:lineRule="exact"/>
              <w:ind w:left="9"/>
              <w:jc w:val="center"/>
              <w:rPr>
                <w:sz w:val="21"/>
              </w:rPr>
            </w:pPr>
            <w:r>
              <w:rPr>
                <w:spacing w:val="-2"/>
                <w:sz w:val="21"/>
              </w:rPr>
              <w:t>$27.00</w:t>
            </w:r>
          </w:p>
        </w:tc>
        <w:tc>
          <w:tcPr>
            <w:tcW w:w="1592" w:type="dxa"/>
          </w:tcPr>
          <w:p>
            <w:pPr>
              <w:pStyle w:val="TableParagraph"/>
              <w:spacing w:before="72" w:line="221" w:lineRule="exact"/>
              <w:ind w:left="6" w:right="3"/>
              <w:jc w:val="center"/>
              <w:rPr>
                <w:sz w:val="21"/>
              </w:rPr>
            </w:pPr>
            <w:r>
              <w:rPr>
                <w:spacing w:val="-2"/>
                <w:sz w:val="21"/>
              </w:rPr>
              <w:t>$27.00</w:t>
            </w:r>
          </w:p>
        </w:tc>
      </w:tr>
    </w:tbl>
    <w:p>
      <w:pPr>
        <w:pStyle w:val="BodyText"/>
        <w:spacing w:before="88"/>
        <w:ind w:left="0"/>
        <w:rPr>
          <w:rFonts w:ascii="Arial"/>
          <w:b/>
          <w:i/>
        </w:rPr>
      </w:pPr>
    </w:p>
    <w:p>
      <w:pPr>
        <w:pStyle w:val="BodyText"/>
      </w:pPr>
      <w:r>
        <w:t>In</w:t>
      </w:r>
      <w:r>
        <w:rPr>
          <w:spacing w:val="-1"/>
        </w:rPr>
        <w:t xml:space="preserve"> </w:t>
      </w:r>
      <w:r>
        <w:t>this</w:t>
      </w:r>
      <w:r>
        <w:rPr>
          <w:spacing w:val="-2"/>
        </w:rPr>
        <w:t xml:space="preserve"> </w:t>
      </w:r>
      <w:r>
        <w:t>example,</w:t>
      </w:r>
      <w:r>
        <w:rPr>
          <w:spacing w:val="-1"/>
        </w:rPr>
        <w:t xml:space="preserve"> </w:t>
      </w:r>
      <w:r>
        <w:t>the</w:t>
      </w:r>
      <w:r>
        <w:rPr>
          <w:spacing w:val="-1"/>
        </w:rPr>
        <w:t xml:space="preserve"> </w:t>
      </w:r>
      <w:r>
        <w:t>change</w:t>
      </w:r>
      <w:r>
        <w:rPr>
          <w:spacing w:val="-1"/>
        </w:rPr>
        <w:t xml:space="preserve"> </w:t>
      </w:r>
      <w:r>
        <w:t>in</w:t>
      </w:r>
      <w:r>
        <w:rPr>
          <w:spacing w:val="-1"/>
        </w:rPr>
        <w:t xml:space="preserve"> </w:t>
      </w:r>
      <w:r>
        <w:t>MSB</w:t>
      </w:r>
      <w:r>
        <w:rPr>
          <w:spacing w:val="-1"/>
        </w:rPr>
        <w:t xml:space="preserve"> </w:t>
      </w:r>
      <w:r>
        <w:t>revenue requirement</w:t>
      </w:r>
      <w:r>
        <w:rPr>
          <w:spacing w:val="-1"/>
        </w:rPr>
        <w:t xml:space="preserve"> </w:t>
      </w:r>
      <w:r>
        <w:t>must</w:t>
      </w:r>
      <w:r>
        <w:rPr>
          <w:spacing w:val="1"/>
        </w:rPr>
        <w:t xml:space="preserve"> </w:t>
      </w:r>
      <w:r>
        <w:t>be</w:t>
      </w:r>
      <w:r>
        <w:rPr>
          <w:spacing w:val="-2"/>
        </w:rPr>
        <w:t xml:space="preserve"> </w:t>
      </w:r>
      <w:r>
        <w:t>between</w:t>
      </w:r>
      <w:r>
        <w:rPr>
          <w:spacing w:val="1"/>
        </w:rPr>
        <w:t xml:space="preserve"> </w:t>
      </w:r>
      <w:r>
        <w:rPr>
          <w:sz w:val="21"/>
        </w:rPr>
        <w:t>−</w:t>
      </w:r>
      <w:r>
        <w:t>$6.70</w:t>
      </w:r>
      <w:r>
        <w:rPr>
          <w:spacing w:val="-1"/>
        </w:rPr>
        <w:t xml:space="preserve"> </w:t>
      </w:r>
      <w:r>
        <w:t xml:space="preserve">and </w:t>
      </w:r>
      <w:r>
        <w:rPr>
          <w:spacing w:val="-2"/>
        </w:rPr>
        <w:t>$0.00.</w:t>
      </w:r>
    </w:p>
    <w:p>
      <w:pPr>
        <w:pStyle w:val="BodyText"/>
        <w:spacing w:before="142"/>
        <w:ind w:right="1481"/>
      </w:pPr>
      <w:r>
        <w:t>Rebate</w:t>
      </w:r>
      <w:r>
        <w:rPr>
          <w:spacing w:val="-2"/>
        </w:rPr>
        <w:t xml:space="preserve"> </w:t>
      </w:r>
      <w:r>
        <w:t>reallocation</w:t>
      </w:r>
      <w:r>
        <w:rPr>
          <w:spacing w:val="-2"/>
        </w:rPr>
        <w:t xml:space="preserve"> </w:t>
      </w:r>
      <w:r>
        <w:t>for</w:t>
      </w:r>
      <w:r>
        <w:rPr>
          <w:spacing w:val="-2"/>
        </w:rPr>
        <w:t xml:space="preserve"> </w:t>
      </w:r>
      <w:r>
        <w:t>the</w:t>
      </w:r>
      <w:r>
        <w:rPr>
          <w:spacing w:val="-2"/>
        </w:rPr>
        <w:t xml:space="preserve"> </w:t>
      </w:r>
      <w:r>
        <w:t>Part</w:t>
      </w:r>
      <w:r>
        <w:rPr>
          <w:spacing w:val="-2"/>
        </w:rPr>
        <w:t xml:space="preserve"> </w:t>
      </w:r>
      <w:r>
        <w:t>D</w:t>
      </w:r>
      <w:r>
        <w:rPr>
          <w:spacing w:val="-3"/>
        </w:rPr>
        <w:t xml:space="preserve"> </w:t>
      </w:r>
      <w:r>
        <w:t>basic</w:t>
      </w:r>
      <w:r>
        <w:rPr>
          <w:spacing w:val="-2"/>
        </w:rPr>
        <w:t xml:space="preserve"> </w:t>
      </w:r>
      <w:r>
        <w:t>premium</w:t>
      </w:r>
      <w:r>
        <w:rPr>
          <w:spacing w:val="-2"/>
        </w:rPr>
        <w:t xml:space="preserve"> </w:t>
      </w:r>
      <w:r>
        <w:t>is</w:t>
      </w:r>
      <w:r>
        <w:rPr>
          <w:spacing w:val="-3"/>
        </w:rPr>
        <w:t xml:space="preserve"> </w:t>
      </w:r>
      <w:r>
        <w:t>not</w:t>
      </w:r>
      <w:r>
        <w:rPr>
          <w:spacing w:val="-2"/>
        </w:rPr>
        <w:t xml:space="preserve"> </w:t>
      </w:r>
      <w:r>
        <w:t>permitted</w:t>
      </w:r>
      <w:r>
        <w:rPr>
          <w:spacing w:val="-2"/>
        </w:rPr>
        <w:t xml:space="preserve"> </w:t>
      </w:r>
      <w:r>
        <w:t>if</w:t>
      </w:r>
      <w:r>
        <w:rPr>
          <w:spacing w:val="-2"/>
        </w:rPr>
        <w:t xml:space="preserve"> </w:t>
      </w:r>
      <w:r>
        <w:t>both</w:t>
      </w:r>
      <w:r>
        <w:rPr>
          <w:spacing w:val="-2"/>
        </w:rPr>
        <w:t xml:space="preserve"> </w:t>
      </w:r>
      <w:r>
        <w:t>(i)</w:t>
      </w:r>
      <w:r>
        <w:rPr>
          <w:spacing w:val="-3"/>
        </w:rPr>
        <w:t xml:space="preserve"> </w:t>
      </w:r>
      <w:r>
        <w:t>the</w:t>
      </w:r>
      <w:r>
        <w:rPr>
          <w:spacing w:val="-2"/>
        </w:rPr>
        <w:t xml:space="preserve"> </w:t>
      </w:r>
      <w:r>
        <w:t>initial</w:t>
      </w:r>
      <w:r>
        <w:rPr>
          <w:spacing w:val="-2"/>
        </w:rPr>
        <w:t xml:space="preserve"> </w:t>
      </w:r>
      <w:r>
        <w:t>June</w:t>
      </w:r>
      <w:r>
        <w:rPr>
          <w:spacing w:val="-3"/>
        </w:rPr>
        <w:t xml:space="preserve"> </w:t>
      </w:r>
      <w:r>
        <w:t xml:space="preserve">bid has $0.00 basic premium rebate allocations; and (ii) after reflecting announced Part D benchmarks, the basic premium prior rebate is less than the initial June bid Part D basic </w:t>
      </w:r>
      <w:r>
        <w:rPr>
          <w:spacing w:val="-2"/>
        </w:rPr>
        <w:t>premium.</w:t>
      </w:r>
    </w:p>
    <w:p>
      <w:pPr>
        <w:pStyle w:val="BodyText"/>
        <w:spacing w:before="140"/>
        <w:ind w:right="1481"/>
      </w:pPr>
      <w:r>
        <w:rPr>
          <w:b/>
        </w:rPr>
        <w:t>Option 1</w:t>
      </w:r>
      <w:r>
        <w:t xml:space="preserve">: Rebate reallocation is required for the insufficient allocation of </w:t>
      </w:r>
      <w:r>
        <w:rPr>
          <w:sz w:val="21"/>
        </w:rPr>
        <w:t>−</w:t>
      </w:r>
      <w:r>
        <w:t>$6.70 after reflecting</w:t>
      </w:r>
      <w:r>
        <w:rPr>
          <w:spacing w:val="-4"/>
        </w:rPr>
        <w:t xml:space="preserve"> </w:t>
      </w:r>
      <w:r>
        <w:t>announced</w:t>
      </w:r>
      <w:r>
        <w:rPr>
          <w:spacing w:val="-4"/>
        </w:rPr>
        <w:t xml:space="preserve"> </w:t>
      </w:r>
      <w:r>
        <w:t>RPPO</w:t>
      </w:r>
      <w:r>
        <w:rPr>
          <w:spacing w:val="-5"/>
        </w:rPr>
        <w:t xml:space="preserve"> </w:t>
      </w:r>
      <w:r>
        <w:t>benchmark.</w:t>
      </w:r>
      <w:r>
        <w:rPr>
          <w:spacing w:val="-4"/>
        </w:rPr>
        <w:t xml:space="preserve"> </w:t>
      </w:r>
      <w:r>
        <w:t>The</w:t>
      </w:r>
      <w:r>
        <w:rPr>
          <w:spacing w:val="-5"/>
        </w:rPr>
        <w:t xml:space="preserve"> </w:t>
      </w:r>
      <w:r>
        <w:t>MAO</w:t>
      </w:r>
      <w:r>
        <w:rPr>
          <w:spacing w:val="-5"/>
        </w:rPr>
        <w:t xml:space="preserve"> </w:t>
      </w:r>
      <w:r>
        <w:t>must</w:t>
      </w:r>
      <w:r>
        <w:rPr>
          <w:spacing w:val="-4"/>
        </w:rPr>
        <w:t xml:space="preserve"> </w:t>
      </w:r>
      <w:r>
        <w:t>obtain</w:t>
      </w:r>
      <w:r>
        <w:rPr>
          <w:spacing w:val="-4"/>
        </w:rPr>
        <w:t xml:space="preserve"> </w:t>
      </w:r>
      <w:r>
        <w:t>rebates</w:t>
      </w:r>
      <w:r>
        <w:rPr>
          <w:spacing w:val="-5"/>
        </w:rPr>
        <w:t xml:space="preserve"> </w:t>
      </w:r>
      <w:r>
        <w:t>for</w:t>
      </w:r>
      <w:r>
        <w:rPr>
          <w:spacing w:val="-3"/>
        </w:rPr>
        <w:t xml:space="preserve"> </w:t>
      </w:r>
      <w:r>
        <w:t>the</w:t>
      </w:r>
      <w:r>
        <w:rPr>
          <w:spacing w:val="-4"/>
        </w:rPr>
        <w:t xml:space="preserve"> </w:t>
      </w:r>
      <w:r>
        <w:t xml:space="preserve">insufficient allocation of </w:t>
      </w:r>
      <w:r>
        <w:rPr>
          <w:sz w:val="21"/>
        </w:rPr>
        <w:t>−</w:t>
      </w:r>
      <w:r>
        <w:t>$6.70 by—</w:t>
      </w:r>
    </w:p>
    <w:p>
      <w:pPr>
        <w:pStyle w:val="BodyText"/>
        <w:spacing w:before="139"/>
        <w:ind w:left="1224" w:right="1572"/>
        <w:jc w:val="both"/>
      </w:pPr>
      <w:r>
        <w:rPr>
          <w:b/>
        </w:rPr>
        <w:t>1a</w:t>
      </w:r>
      <w:r>
        <w:t>: Making no changes to MSB revenue requirement and increasing the MA or Part D Supplemental</w:t>
      </w:r>
      <w:r>
        <w:rPr>
          <w:spacing w:val="-4"/>
        </w:rPr>
        <w:t xml:space="preserve"> </w:t>
      </w:r>
      <w:r>
        <w:t>premiums</w:t>
      </w:r>
      <w:r>
        <w:rPr>
          <w:spacing w:val="-4"/>
        </w:rPr>
        <w:t xml:space="preserve"> </w:t>
      </w:r>
      <w:r>
        <w:t>(or</w:t>
      </w:r>
      <w:r>
        <w:rPr>
          <w:spacing w:val="-4"/>
        </w:rPr>
        <w:t xml:space="preserve"> </w:t>
      </w:r>
      <w:r>
        <w:t>decreasing</w:t>
      </w:r>
      <w:r>
        <w:rPr>
          <w:spacing w:val="-4"/>
        </w:rPr>
        <w:t xml:space="preserve"> </w:t>
      </w:r>
      <w:r>
        <w:t>the</w:t>
      </w:r>
      <w:r>
        <w:rPr>
          <w:spacing w:val="-3"/>
        </w:rPr>
        <w:t xml:space="preserve"> </w:t>
      </w:r>
      <w:r>
        <w:t>rebates</w:t>
      </w:r>
      <w:r>
        <w:rPr>
          <w:spacing w:val="-4"/>
        </w:rPr>
        <w:t xml:space="preserve"> </w:t>
      </w:r>
      <w:r>
        <w:t>allocated</w:t>
      </w:r>
      <w:r>
        <w:rPr>
          <w:spacing w:val="-4"/>
        </w:rPr>
        <w:t xml:space="preserve"> </w:t>
      </w:r>
      <w:r>
        <w:t>to</w:t>
      </w:r>
      <w:r>
        <w:rPr>
          <w:spacing w:val="-4"/>
        </w:rPr>
        <w:t xml:space="preserve"> </w:t>
      </w:r>
      <w:r>
        <w:t>the</w:t>
      </w:r>
      <w:r>
        <w:rPr>
          <w:spacing w:val="-2"/>
        </w:rPr>
        <w:t xml:space="preserve"> </w:t>
      </w:r>
      <w:r>
        <w:t>Part</w:t>
      </w:r>
      <w:r>
        <w:rPr>
          <w:spacing w:val="-4"/>
        </w:rPr>
        <w:t xml:space="preserve"> </w:t>
      </w:r>
      <w:r>
        <w:t>B</w:t>
      </w:r>
      <w:r>
        <w:rPr>
          <w:spacing w:val="-1"/>
        </w:rPr>
        <w:t xml:space="preserve"> </w:t>
      </w:r>
      <w:r>
        <w:t>premium)</w:t>
      </w:r>
      <w:r>
        <w:rPr>
          <w:spacing w:val="-4"/>
        </w:rPr>
        <w:t xml:space="preserve"> </w:t>
      </w:r>
      <w:r>
        <w:t>by decreasing rebate allocations to MA, Part D supplemental, or Part B premiums.</w:t>
      </w:r>
    </w:p>
    <w:p>
      <w:pPr>
        <w:pStyle w:val="BodyText"/>
        <w:spacing w:after="0"/>
        <w:jc w:val="both"/>
        <w:sectPr>
          <w:pgSz w:w="12240" w:h="15840"/>
          <w:pgMar w:top="960" w:right="0" w:bottom="940" w:left="1080" w:header="727" w:footer="747"/>
          <w:cols w:space="720"/>
        </w:sectPr>
      </w:pPr>
    </w:p>
    <w:p>
      <w:pPr>
        <w:pStyle w:val="BodyText"/>
        <w:spacing w:before="190"/>
        <w:ind w:left="0"/>
      </w:pPr>
    </w:p>
    <w:p>
      <w:pPr>
        <w:pStyle w:val="BodyText"/>
        <w:ind w:left="1224" w:right="1481"/>
      </w:pPr>
      <w:r>
        <w:rPr>
          <w:b/>
        </w:rPr>
        <w:t>1b</w:t>
      </w:r>
      <w:r>
        <w:t>:</w:t>
      </w:r>
      <w:r>
        <w:rPr>
          <w:spacing w:val="-3"/>
        </w:rPr>
        <w:t xml:space="preserve"> </w:t>
      </w:r>
      <w:r>
        <w:t>Decreasing</w:t>
      </w:r>
      <w:r>
        <w:rPr>
          <w:spacing w:val="-3"/>
        </w:rPr>
        <w:t xml:space="preserve"> </w:t>
      </w:r>
      <w:r>
        <w:t>MSB</w:t>
      </w:r>
      <w:r>
        <w:rPr>
          <w:spacing w:val="-3"/>
        </w:rPr>
        <w:t xml:space="preserve"> </w:t>
      </w:r>
      <w:r>
        <w:t>revenue</w:t>
      </w:r>
      <w:r>
        <w:rPr>
          <w:spacing w:val="-3"/>
        </w:rPr>
        <w:t xml:space="preserve"> </w:t>
      </w:r>
      <w:r>
        <w:t>requirement</w:t>
      </w:r>
      <w:r>
        <w:rPr>
          <w:spacing w:val="-3"/>
        </w:rPr>
        <w:t xml:space="preserve"> </w:t>
      </w:r>
      <w:r>
        <w:t>by</w:t>
      </w:r>
      <w:r>
        <w:rPr>
          <w:spacing w:val="-3"/>
        </w:rPr>
        <w:t xml:space="preserve"> </w:t>
      </w:r>
      <w:r>
        <w:t>no</w:t>
      </w:r>
      <w:r>
        <w:rPr>
          <w:spacing w:val="-1"/>
        </w:rPr>
        <w:t xml:space="preserve"> </w:t>
      </w:r>
      <w:r>
        <w:t>more</w:t>
      </w:r>
      <w:r>
        <w:rPr>
          <w:spacing w:val="-5"/>
        </w:rPr>
        <w:t xml:space="preserve"> </w:t>
      </w:r>
      <w:r>
        <w:t>than</w:t>
      </w:r>
      <w:r>
        <w:rPr>
          <w:spacing w:val="-3"/>
        </w:rPr>
        <w:t xml:space="preserve"> </w:t>
      </w:r>
      <w:r>
        <w:t>$6.70,</w:t>
      </w:r>
      <w:r>
        <w:rPr>
          <w:spacing w:val="-3"/>
        </w:rPr>
        <w:t xml:space="preserve"> </w:t>
      </w:r>
      <w:r>
        <w:t>such</w:t>
      </w:r>
      <w:r>
        <w:rPr>
          <w:spacing w:val="-3"/>
        </w:rPr>
        <w:t xml:space="preserve"> </w:t>
      </w:r>
      <w:r>
        <w:t>that</w:t>
      </w:r>
      <w:r>
        <w:rPr>
          <w:spacing w:val="-3"/>
        </w:rPr>
        <w:t xml:space="preserve"> </w:t>
      </w:r>
      <w:r>
        <w:t>there</w:t>
      </w:r>
      <w:r>
        <w:rPr>
          <w:spacing w:val="-5"/>
        </w:rPr>
        <w:t xml:space="preserve"> </w:t>
      </w:r>
      <w:r>
        <w:t>is</w:t>
      </w:r>
      <w:r>
        <w:rPr>
          <w:spacing w:val="-4"/>
        </w:rPr>
        <w:t xml:space="preserve"> </w:t>
      </w:r>
      <w:r>
        <w:t>a partial or full return to the MA premium in initial June bid by decreasing rebate allocations to MA, Part D supplemental, or Part B premiums.</w:t>
      </w:r>
    </w:p>
    <w:p>
      <w:pPr>
        <w:pStyle w:val="BodyText"/>
        <w:spacing w:before="139"/>
        <w:ind w:right="1481"/>
      </w:pPr>
      <w:r>
        <w:t>*</w:t>
      </w:r>
      <w:r>
        <w:rPr>
          <w:b/>
        </w:rPr>
        <w:t>Unacceptable</w:t>
      </w:r>
      <w:r>
        <w:rPr>
          <w:b/>
          <w:spacing w:val="-4"/>
        </w:rPr>
        <w:t xml:space="preserve"> </w:t>
      </w:r>
      <w:r>
        <w:rPr>
          <w:b/>
        </w:rPr>
        <w:t>Option</w:t>
      </w:r>
      <w:r>
        <w:t>:</w:t>
      </w:r>
      <w:r>
        <w:rPr>
          <w:spacing w:val="-3"/>
        </w:rPr>
        <w:t xml:space="preserve"> </w:t>
      </w:r>
      <w:r>
        <w:t>The</w:t>
      </w:r>
      <w:r>
        <w:rPr>
          <w:spacing w:val="-5"/>
        </w:rPr>
        <w:t xml:space="preserve"> </w:t>
      </w:r>
      <w:r>
        <w:t>MSB</w:t>
      </w:r>
      <w:r>
        <w:rPr>
          <w:spacing w:val="-3"/>
        </w:rPr>
        <w:t xml:space="preserve"> </w:t>
      </w:r>
      <w:r>
        <w:t>revenue</w:t>
      </w:r>
      <w:r>
        <w:rPr>
          <w:spacing w:val="-3"/>
        </w:rPr>
        <w:t xml:space="preserve"> </w:t>
      </w:r>
      <w:r>
        <w:t>requirement</w:t>
      </w:r>
      <w:r>
        <w:rPr>
          <w:spacing w:val="-3"/>
        </w:rPr>
        <w:t xml:space="preserve"> </w:t>
      </w:r>
      <w:r>
        <w:t>cannot</w:t>
      </w:r>
      <w:r>
        <w:rPr>
          <w:spacing w:val="-3"/>
        </w:rPr>
        <w:t xml:space="preserve"> </w:t>
      </w:r>
      <w:r>
        <w:t>decrease</w:t>
      </w:r>
      <w:r>
        <w:rPr>
          <w:spacing w:val="-4"/>
        </w:rPr>
        <w:t xml:space="preserve"> </w:t>
      </w:r>
      <w:r>
        <w:t>by</w:t>
      </w:r>
      <w:r>
        <w:rPr>
          <w:spacing w:val="-3"/>
        </w:rPr>
        <w:t xml:space="preserve"> </w:t>
      </w:r>
      <w:r>
        <w:t>more</w:t>
      </w:r>
      <w:r>
        <w:rPr>
          <w:spacing w:val="-5"/>
        </w:rPr>
        <w:t xml:space="preserve"> </w:t>
      </w:r>
      <w:r>
        <w:t>than</w:t>
      </w:r>
      <w:r>
        <w:rPr>
          <w:spacing w:val="-3"/>
        </w:rPr>
        <w:t xml:space="preserve"> </w:t>
      </w:r>
      <w:r>
        <w:t>the absolute value of the rebates for allocation.</w:t>
      </w:r>
    </w:p>
    <w:p>
      <w:pPr>
        <w:pStyle w:val="BodyText"/>
        <w:spacing w:before="6"/>
        <w:ind w:left="0"/>
      </w:pPr>
    </w:p>
    <w:p>
      <w:pPr>
        <w:pStyle w:val="Heading4"/>
        <w:spacing w:before="1"/>
        <w:ind w:right="1841"/>
      </w:pPr>
      <w:bookmarkStart w:id="380" w:name="Example 11: Excessive Rebates Allocated "/>
      <w:bookmarkEnd w:id="380"/>
      <w:r>
        <w:rPr>
          <w:i/>
        </w:rPr>
        <w:t>Example</w:t>
      </w:r>
      <w:r>
        <w:rPr>
          <w:i/>
          <w:spacing w:val="-4"/>
        </w:rPr>
        <w:t xml:space="preserve"> </w:t>
      </w:r>
      <w:r>
        <w:rPr>
          <w:i/>
        </w:rPr>
        <w:t>11:</w:t>
      </w:r>
      <w:r>
        <w:rPr>
          <w:i/>
          <w:spacing w:val="-5"/>
        </w:rPr>
        <w:t xml:space="preserve"> </w:t>
      </w:r>
      <w:r>
        <w:rPr>
          <w:i/>
        </w:rPr>
        <w:t>Excessive</w:t>
      </w:r>
      <w:r>
        <w:rPr>
          <w:i/>
          <w:spacing w:val="-5"/>
        </w:rPr>
        <w:t xml:space="preserve"> </w:t>
      </w:r>
      <w:r>
        <w:rPr>
          <w:i/>
        </w:rPr>
        <w:t>Rebates</w:t>
      </w:r>
      <w:r>
        <w:rPr>
          <w:i/>
          <w:spacing w:val="-5"/>
        </w:rPr>
        <w:t xml:space="preserve"> </w:t>
      </w:r>
      <w:r>
        <w:rPr>
          <w:i/>
        </w:rPr>
        <w:t>Allocated</w:t>
      </w:r>
      <w:r>
        <w:rPr>
          <w:i/>
          <w:spacing w:val="-8"/>
        </w:rPr>
        <w:t xml:space="preserve"> </w:t>
      </w:r>
      <w:r>
        <w:rPr>
          <w:i/>
        </w:rPr>
        <w:t>for</w:t>
      </w:r>
      <w:r>
        <w:rPr>
          <w:i/>
          <w:spacing w:val="-5"/>
        </w:rPr>
        <w:t xml:space="preserve"> </w:t>
      </w:r>
      <w:r>
        <w:rPr>
          <w:i/>
        </w:rPr>
        <w:t>RPPO</w:t>
      </w:r>
      <w:r>
        <w:rPr>
          <w:i/>
          <w:spacing w:val="-1"/>
        </w:rPr>
        <w:t xml:space="preserve"> </w:t>
      </w:r>
      <w:r>
        <w:rPr>
          <w:i/>
        </w:rPr>
        <w:t>Benchmark</w:t>
      </w:r>
      <w:r>
        <w:rPr>
          <w:i/>
          <w:spacing w:val="-4"/>
        </w:rPr>
        <w:t xml:space="preserve"> </w:t>
      </w:r>
      <w:r>
        <w:rPr>
          <w:i/>
        </w:rPr>
        <w:t>and</w:t>
      </w:r>
      <w:r>
        <w:t xml:space="preserve"> Reallocation for Part D Basic Premium is Not Permitted.</w:t>
      </w:r>
    </w:p>
    <w:p>
      <w:pPr>
        <w:pStyle w:val="BodyText"/>
        <w:spacing w:before="129"/>
        <w:ind w:left="0"/>
        <w:rPr>
          <w:rFonts w:ascii="Arial"/>
          <w:b/>
          <w:i/>
          <w:sz w:val="20"/>
        </w:rPr>
      </w:pPr>
    </w:p>
    <w:tbl>
      <w:tblPr>
        <w:tblStyle w:val="TableNormal"/>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7"/>
        <w:gridCol w:w="1236"/>
        <w:gridCol w:w="1316"/>
        <w:gridCol w:w="999"/>
        <w:gridCol w:w="980"/>
        <w:gridCol w:w="1591"/>
      </w:tblGrid>
      <w:tr>
        <w:tblPrEx>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24"/>
          <w:jc w:val="left"/>
        </w:trPr>
        <w:tc>
          <w:tcPr>
            <w:tcW w:w="3087" w:type="dxa"/>
          </w:tcPr>
          <w:p>
            <w:pPr>
              <w:pStyle w:val="TableParagraph"/>
              <w:spacing w:before="240"/>
              <w:ind w:left="12"/>
              <w:jc w:val="center"/>
              <w:rPr>
                <w:b/>
                <w:sz w:val="21"/>
              </w:rPr>
            </w:pPr>
            <w:r>
              <w:rPr>
                <w:b/>
                <w:spacing w:val="-2"/>
                <w:sz w:val="21"/>
              </w:rPr>
              <w:t>Label</w:t>
            </w:r>
          </w:p>
        </w:tc>
        <w:tc>
          <w:tcPr>
            <w:tcW w:w="1236" w:type="dxa"/>
          </w:tcPr>
          <w:p>
            <w:pPr>
              <w:pStyle w:val="TableParagraph"/>
              <w:spacing w:before="120"/>
              <w:ind w:left="218" w:right="202" w:firstLine="124"/>
              <w:rPr>
                <w:b/>
                <w:sz w:val="21"/>
              </w:rPr>
            </w:pPr>
            <w:r>
              <w:rPr>
                <w:b/>
                <w:spacing w:val="-2"/>
                <w:sz w:val="21"/>
              </w:rPr>
              <w:t xml:space="preserve">Initial </w:t>
            </w:r>
            <w:r>
              <w:rPr>
                <w:b/>
                <w:sz w:val="21"/>
              </w:rPr>
              <w:t>June</w:t>
            </w:r>
            <w:r>
              <w:rPr>
                <w:b/>
                <w:spacing w:val="-14"/>
                <w:sz w:val="21"/>
              </w:rPr>
              <w:t xml:space="preserve"> </w:t>
            </w:r>
            <w:r>
              <w:rPr>
                <w:b/>
                <w:sz w:val="21"/>
              </w:rPr>
              <w:t>Bid</w:t>
            </w:r>
          </w:p>
        </w:tc>
        <w:tc>
          <w:tcPr>
            <w:tcW w:w="1316" w:type="dxa"/>
          </w:tcPr>
          <w:p>
            <w:pPr>
              <w:pStyle w:val="TableParagraph"/>
              <w:ind w:left="201" w:right="197" w:firstLine="2"/>
              <w:jc w:val="center"/>
              <w:rPr>
                <w:b/>
                <w:sz w:val="21"/>
              </w:rPr>
            </w:pPr>
            <w:r>
              <w:rPr>
                <w:b/>
                <w:spacing w:val="-2"/>
                <w:sz w:val="21"/>
              </w:rPr>
              <w:t xml:space="preserve">After </w:t>
            </w:r>
            <w:r>
              <w:rPr>
                <w:b/>
                <w:sz w:val="21"/>
              </w:rPr>
              <w:t>Release</w:t>
            </w:r>
            <w:r>
              <w:rPr>
                <w:b/>
                <w:spacing w:val="-8"/>
                <w:sz w:val="21"/>
              </w:rPr>
              <w:t xml:space="preserve"> </w:t>
            </w:r>
            <w:r>
              <w:rPr>
                <w:b/>
                <w:spacing w:val="-5"/>
                <w:sz w:val="21"/>
              </w:rPr>
              <w:t>of</w:t>
            </w:r>
          </w:p>
          <w:p>
            <w:pPr>
              <w:pStyle w:val="TableParagraph"/>
              <w:spacing w:line="221" w:lineRule="exact"/>
              <w:ind w:left="10" w:right="5"/>
              <w:jc w:val="center"/>
              <w:rPr>
                <w:b/>
                <w:sz w:val="21"/>
              </w:rPr>
            </w:pPr>
            <w:r>
              <w:rPr>
                <w:b/>
                <w:spacing w:val="-2"/>
                <w:sz w:val="21"/>
              </w:rPr>
              <w:t>Benchmark</w:t>
            </w:r>
          </w:p>
        </w:tc>
        <w:tc>
          <w:tcPr>
            <w:tcW w:w="999" w:type="dxa"/>
          </w:tcPr>
          <w:p>
            <w:pPr>
              <w:pStyle w:val="TableParagraph"/>
              <w:spacing w:before="120"/>
              <w:ind w:left="392" w:right="174" w:hanging="212"/>
              <w:rPr>
                <w:b/>
                <w:sz w:val="21"/>
              </w:rPr>
            </w:pPr>
            <w:r>
              <w:rPr>
                <w:b/>
                <w:spacing w:val="-2"/>
                <w:sz w:val="21"/>
              </w:rPr>
              <w:t xml:space="preserve">Option </w:t>
            </w:r>
            <w:r>
              <w:rPr>
                <w:b/>
                <w:spacing w:val="-6"/>
                <w:sz w:val="21"/>
              </w:rPr>
              <w:t>1a</w:t>
            </w:r>
          </w:p>
        </w:tc>
        <w:tc>
          <w:tcPr>
            <w:tcW w:w="980" w:type="dxa"/>
          </w:tcPr>
          <w:p>
            <w:pPr>
              <w:pStyle w:val="TableParagraph"/>
              <w:spacing w:before="120"/>
              <w:ind w:left="377" w:right="161" w:hanging="207"/>
              <w:rPr>
                <w:b/>
                <w:sz w:val="21"/>
              </w:rPr>
            </w:pPr>
            <w:r>
              <w:rPr>
                <w:b/>
                <w:spacing w:val="-2"/>
                <w:sz w:val="21"/>
              </w:rPr>
              <w:t xml:space="preserve">Option </w:t>
            </w:r>
            <w:r>
              <w:rPr>
                <w:b/>
                <w:spacing w:val="-6"/>
                <w:sz w:val="21"/>
              </w:rPr>
              <w:t>1b</w:t>
            </w:r>
          </w:p>
        </w:tc>
        <w:tc>
          <w:tcPr>
            <w:tcW w:w="1591" w:type="dxa"/>
          </w:tcPr>
          <w:p>
            <w:pPr>
              <w:pStyle w:val="TableParagraph"/>
              <w:spacing w:before="120"/>
              <w:ind w:left="425" w:hanging="240"/>
              <w:rPr>
                <w:b/>
                <w:sz w:val="21"/>
              </w:rPr>
            </w:pPr>
            <w:r>
              <w:rPr>
                <w:b/>
                <w:spacing w:val="-2"/>
                <w:sz w:val="21"/>
              </w:rPr>
              <w:t>Unacceptable Option*</w:t>
            </w:r>
          </w:p>
        </w:tc>
      </w:tr>
      <w:tr>
        <w:tblPrEx>
          <w:tblW w:w="0" w:type="auto"/>
          <w:jc w:val="left"/>
          <w:tblInd w:w="514" w:type="dxa"/>
          <w:tblLayout w:type="fixed"/>
          <w:tblCellMar>
            <w:top w:w="0" w:type="dxa"/>
            <w:left w:w="0" w:type="dxa"/>
            <w:bottom w:w="0" w:type="dxa"/>
            <w:right w:w="0" w:type="dxa"/>
          </w:tblCellMar>
          <w:tblLook w:val="01E0"/>
        </w:tblPrEx>
        <w:trPr>
          <w:trHeight w:val="333"/>
          <w:jc w:val="left"/>
        </w:trPr>
        <w:tc>
          <w:tcPr>
            <w:tcW w:w="3087" w:type="dxa"/>
            <w:tcBorders>
              <w:bottom w:val="nil"/>
            </w:tcBorders>
          </w:tcPr>
          <w:p>
            <w:pPr>
              <w:pStyle w:val="TableParagraph"/>
              <w:spacing w:before="58"/>
              <w:ind w:left="107"/>
              <w:rPr>
                <w:b/>
                <w:sz w:val="21"/>
              </w:rPr>
            </w:pPr>
            <w:r>
              <w:rPr>
                <w:b/>
                <w:sz w:val="21"/>
              </w:rPr>
              <w:t>Rebates</w:t>
            </w:r>
            <w:r>
              <w:rPr>
                <w:b/>
                <w:spacing w:val="-5"/>
                <w:sz w:val="21"/>
              </w:rPr>
              <w:t xml:space="preserve"> </w:t>
            </w:r>
            <w:r>
              <w:rPr>
                <w:b/>
                <w:sz w:val="21"/>
              </w:rPr>
              <w:t>for</w:t>
            </w:r>
            <w:r>
              <w:rPr>
                <w:b/>
                <w:spacing w:val="-6"/>
                <w:sz w:val="21"/>
              </w:rPr>
              <w:t xml:space="preserve"> </w:t>
            </w:r>
            <w:r>
              <w:rPr>
                <w:b/>
                <w:spacing w:val="-2"/>
                <w:sz w:val="21"/>
              </w:rPr>
              <w:t>Allocation</w:t>
            </w:r>
          </w:p>
        </w:tc>
        <w:tc>
          <w:tcPr>
            <w:tcW w:w="1236" w:type="dxa"/>
            <w:tcBorders>
              <w:bottom w:val="nil"/>
            </w:tcBorders>
          </w:tcPr>
          <w:p>
            <w:pPr>
              <w:pStyle w:val="TableParagraph"/>
              <w:rPr>
                <w:sz w:val="22"/>
              </w:rPr>
            </w:pPr>
          </w:p>
        </w:tc>
        <w:tc>
          <w:tcPr>
            <w:tcW w:w="1316" w:type="dxa"/>
            <w:tcBorders>
              <w:bottom w:val="nil"/>
            </w:tcBorders>
          </w:tcPr>
          <w:p>
            <w:pPr>
              <w:pStyle w:val="TableParagraph"/>
              <w:rPr>
                <w:sz w:val="22"/>
              </w:rPr>
            </w:pPr>
          </w:p>
        </w:tc>
        <w:tc>
          <w:tcPr>
            <w:tcW w:w="999" w:type="dxa"/>
            <w:tcBorders>
              <w:bottom w:val="nil"/>
            </w:tcBorders>
          </w:tcPr>
          <w:p>
            <w:pPr>
              <w:pStyle w:val="TableParagraph"/>
              <w:rPr>
                <w:sz w:val="22"/>
              </w:rPr>
            </w:pPr>
          </w:p>
        </w:tc>
        <w:tc>
          <w:tcPr>
            <w:tcW w:w="980" w:type="dxa"/>
            <w:tcBorders>
              <w:bottom w:val="nil"/>
            </w:tcBorders>
          </w:tcPr>
          <w:p>
            <w:pPr>
              <w:pStyle w:val="TableParagraph"/>
              <w:rPr>
                <w:sz w:val="22"/>
              </w:rPr>
            </w:pPr>
          </w:p>
        </w:tc>
        <w:tc>
          <w:tcPr>
            <w:tcW w:w="1591" w:type="dxa"/>
            <w:tcBorders>
              <w:bottom w:val="nil"/>
            </w:tcBorders>
          </w:tcPr>
          <w:p>
            <w:pPr>
              <w:pStyle w:val="TableParagraph"/>
              <w:rPr>
                <w:sz w:val="22"/>
              </w:rPr>
            </w:pPr>
          </w:p>
        </w:tc>
      </w:tr>
      <w:tr>
        <w:tblPrEx>
          <w:tblW w:w="0" w:type="auto"/>
          <w:jc w:val="left"/>
          <w:tblInd w:w="514" w:type="dxa"/>
          <w:tblLayout w:type="fixed"/>
          <w:tblCellMar>
            <w:top w:w="0" w:type="dxa"/>
            <w:left w:w="0" w:type="dxa"/>
            <w:bottom w:w="0" w:type="dxa"/>
            <w:right w:w="0" w:type="dxa"/>
          </w:tblCellMar>
          <w:tblLook w:val="01E0"/>
        </w:tblPrEx>
        <w:trPr>
          <w:trHeight w:val="285"/>
          <w:jc w:val="left"/>
        </w:trPr>
        <w:tc>
          <w:tcPr>
            <w:tcW w:w="3087" w:type="dxa"/>
            <w:tcBorders>
              <w:top w:val="nil"/>
              <w:bottom w:val="nil"/>
            </w:tcBorders>
          </w:tcPr>
          <w:p>
            <w:pPr>
              <w:pStyle w:val="TableParagraph"/>
              <w:spacing w:before="25" w:line="240" w:lineRule="exact"/>
              <w:ind w:left="261"/>
              <w:rPr>
                <w:b/>
                <w:sz w:val="21"/>
              </w:rPr>
            </w:pPr>
            <w:r>
              <w:rPr>
                <w:b/>
                <w:spacing w:val="-4"/>
                <w:sz w:val="21"/>
              </w:rPr>
              <w:t>RPPO</w:t>
            </w:r>
          </w:p>
        </w:tc>
        <w:tc>
          <w:tcPr>
            <w:tcW w:w="1236" w:type="dxa"/>
            <w:tcBorders>
              <w:top w:val="nil"/>
              <w:bottom w:val="nil"/>
            </w:tcBorders>
          </w:tcPr>
          <w:p>
            <w:pPr>
              <w:pStyle w:val="TableParagraph"/>
              <w:spacing w:before="25" w:line="240" w:lineRule="exact"/>
              <w:ind w:left="11" w:right="1"/>
              <w:jc w:val="center"/>
              <w:rPr>
                <w:sz w:val="21"/>
              </w:rPr>
            </w:pPr>
            <w:r>
              <w:rPr>
                <w:spacing w:val="-5"/>
                <w:sz w:val="21"/>
              </w:rPr>
              <w:t>N/A</w:t>
            </w:r>
          </w:p>
        </w:tc>
        <w:tc>
          <w:tcPr>
            <w:tcW w:w="1316" w:type="dxa"/>
            <w:tcBorders>
              <w:top w:val="nil"/>
              <w:bottom w:val="nil"/>
            </w:tcBorders>
          </w:tcPr>
          <w:p>
            <w:pPr>
              <w:pStyle w:val="TableParagraph"/>
              <w:spacing w:before="25" w:line="240" w:lineRule="exact"/>
              <w:ind w:left="10" w:right="7"/>
              <w:jc w:val="center"/>
              <w:rPr>
                <w:sz w:val="21"/>
              </w:rPr>
            </w:pPr>
            <w:r>
              <w:rPr>
                <w:spacing w:val="-2"/>
                <w:sz w:val="21"/>
              </w:rPr>
              <w:t>$1.60</w:t>
            </w:r>
          </w:p>
        </w:tc>
        <w:tc>
          <w:tcPr>
            <w:tcW w:w="999" w:type="dxa"/>
            <w:tcBorders>
              <w:top w:val="nil"/>
              <w:bottom w:val="nil"/>
            </w:tcBorders>
          </w:tcPr>
          <w:p>
            <w:pPr>
              <w:pStyle w:val="TableParagraph"/>
              <w:spacing w:before="25" w:line="240" w:lineRule="exact"/>
              <w:ind w:left="8"/>
              <w:jc w:val="center"/>
              <w:rPr>
                <w:sz w:val="21"/>
              </w:rPr>
            </w:pPr>
            <w:r>
              <w:rPr>
                <w:spacing w:val="-2"/>
                <w:sz w:val="21"/>
              </w:rPr>
              <w:t>$1.60</w:t>
            </w:r>
          </w:p>
        </w:tc>
        <w:tc>
          <w:tcPr>
            <w:tcW w:w="980" w:type="dxa"/>
            <w:tcBorders>
              <w:top w:val="nil"/>
              <w:bottom w:val="nil"/>
            </w:tcBorders>
          </w:tcPr>
          <w:p>
            <w:pPr>
              <w:pStyle w:val="TableParagraph"/>
              <w:spacing w:before="25" w:line="240" w:lineRule="exact"/>
              <w:ind w:left="6"/>
              <w:jc w:val="center"/>
              <w:rPr>
                <w:sz w:val="21"/>
              </w:rPr>
            </w:pPr>
            <w:r>
              <w:rPr>
                <w:spacing w:val="-2"/>
                <w:sz w:val="21"/>
              </w:rPr>
              <w:t>$1.60</w:t>
            </w:r>
          </w:p>
        </w:tc>
        <w:tc>
          <w:tcPr>
            <w:tcW w:w="1591" w:type="dxa"/>
            <w:tcBorders>
              <w:top w:val="nil"/>
              <w:bottom w:val="nil"/>
            </w:tcBorders>
          </w:tcPr>
          <w:p>
            <w:pPr>
              <w:pStyle w:val="TableParagraph"/>
              <w:spacing w:before="25" w:line="240" w:lineRule="exact"/>
              <w:ind w:left="4"/>
              <w:jc w:val="center"/>
              <w:rPr>
                <w:sz w:val="21"/>
              </w:rPr>
            </w:pPr>
            <w:r>
              <w:rPr>
                <w:spacing w:val="-2"/>
                <w:sz w:val="21"/>
              </w:rPr>
              <w:t>$1.60</w:t>
            </w:r>
          </w:p>
        </w:tc>
      </w:tr>
      <w:tr>
        <w:tblPrEx>
          <w:tblW w:w="0" w:type="auto"/>
          <w:jc w:val="left"/>
          <w:tblInd w:w="514" w:type="dxa"/>
          <w:tblLayout w:type="fixed"/>
          <w:tblCellMar>
            <w:top w:w="0" w:type="dxa"/>
            <w:left w:w="0" w:type="dxa"/>
            <w:bottom w:w="0" w:type="dxa"/>
            <w:right w:w="0" w:type="dxa"/>
          </w:tblCellMar>
          <w:tblLook w:val="01E0"/>
        </w:tblPrEx>
        <w:trPr>
          <w:trHeight w:val="299"/>
          <w:jc w:val="left"/>
        </w:trPr>
        <w:tc>
          <w:tcPr>
            <w:tcW w:w="3087" w:type="dxa"/>
            <w:tcBorders>
              <w:top w:val="nil"/>
              <w:bottom w:val="nil"/>
            </w:tcBorders>
          </w:tcPr>
          <w:p>
            <w:pPr>
              <w:pStyle w:val="TableParagraph"/>
              <w:spacing w:before="39" w:line="240" w:lineRule="exact"/>
              <w:ind w:left="261"/>
              <w:rPr>
                <w:b/>
                <w:sz w:val="21"/>
              </w:rPr>
            </w:pPr>
            <w:r>
              <w:rPr>
                <w:b/>
                <w:sz w:val="21"/>
              </w:rPr>
              <w:t>Part</w:t>
            </w:r>
            <w:r>
              <w:rPr>
                <w:b/>
                <w:spacing w:val="-3"/>
                <w:sz w:val="21"/>
              </w:rPr>
              <w:t xml:space="preserve"> </w:t>
            </w:r>
            <w:r>
              <w:rPr>
                <w:b/>
                <w:spacing w:val="-10"/>
                <w:sz w:val="21"/>
              </w:rPr>
              <w:t>D</w:t>
            </w:r>
          </w:p>
        </w:tc>
        <w:tc>
          <w:tcPr>
            <w:tcW w:w="1236" w:type="dxa"/>
            <w:tcBorders>
              <w:top w:val="nil"/>
              <w:bottom w:val="nil"/>
            </w:tcBorders>
          </w:tcPr>
          <w:p>
            <w:pPr>
              <w:pStyle w:val="TableParagraph"/>
              <w:spacing w:before="39" w:line="240" w:lineRule="exact"/>
              <w:ind w:left="11" w:right="1"/>
              <w:jc w:val="center"/>
              <w:rPr>
                <w:sz w:val="21"/>
              </w:rPr>
            </w:pPr>
            <w:r>
              <w:rPr>
                <w:spacing w:val="-5"/>
                <w:sz w:val="21"/>
              </w:rPr>
              <w:t>N/A</w:t>
            </w:r>
          </w:p>
        </w:tc>
        <w:tc>
          <w:tcPr>
            <w:tcW w:w="1316" w:type="dxa"/>
            <w:tcBorders>
              <w:top w:val="nil"/>
              <w:bottom w:val="nil"/>
            </w:tcBorders>
          </w:tcPr>
          <w:p>
            <w:pPr>
              <w:pStyle w:val="TableParagraph"/>
              <w:spacing w:before="39" w:line="240" w:lineRule="exact"/>
              <w:ind w:left="10" w:right="8"/>
              <w:jc w:val="center"/>
              <w:rPr>
                <w:sz w:val="21"/>
              </w:rPr>
            </w:pPr>
            <w:r>
              <w:rPr>
                <w:spacing w:val="-5"/>
                <w:sz w:val="21"/>
              </w:rPr>
              <w:t>N/A</w:t>
            </w:r>
          </w:p>
        </w:tc>
        <w:tc>
          <w:tcPr>
            <w:tcW w:w="999" w:type="dxa"/>
            <w:tcBorders>
              <w:top w:val="nil"/>
              <w:bottom w:val="nil"/>
            </w:tcBorders>
          </w:tcPr>
          <w:p>
            <w:pPr>
              <w:pStyle w:val="TableParagraph"/>
              <w:spacing w:before="11"/>
              <w:ind w:left="8" w:right="2"/>
              <w:jc w:val="center"/>
              <w:rPr>
                <w:sz w:val="21"/>
              </w:rPr>
            </w:pPr>
            <w:r>
              <w:rPr>
                <w:spacing w:val="-5"/>
                <w:sz w:val="21"/>
              </w:rPr>
              <w:t>N/A</w:t>
            </w:r>
          </w:p>
        </w:tc>
        <w:tc>
          <w:tcPr>
            <w:tcW w:w="980" w:type="dxa"/>
            <w:tcBorders>
              <w:top w:val="nil"/>
              <w:bottom w:val="nil"/>
            </w:tcBorders>
          </w:tcPr>
          <w:p>
            <w:pPr>
              <w:pStyle w:val="TableParagraph"/>
              <w:spacing w:before="11"/>
              <w:ind w:left="6" w:right="1"/>
              <w:jc w:val="center"/>
              <w:rPr>
                <w:sz w:val="21"/>
              </w:rPr>
            </w:pPr>
            <w:r>
              <w:rPr>
                <w:spacing w:val="-5"/>
                <w:sz w:val="21"/>
              </w:rPr>
              <w:t>N/A</w:t>
            </w:r>
          </w:p>
        </w:tc>
        <w:tc>
          <w:tcPr>
            <w:tcW w:w="1591" w:type="dxa"/>
            <w:tcBorders>
              <w:top w:val="nil"/>
              <w:bottom w:val="nil"/>
            </w:tcBorders>
          </w:tcPr>
          <w:p>
            <w:pPr>
              <w:pStyle w:val="TableParagraph"/>
              <w:spacing w:before="11"/>
              <w:ind w:left="4" w:right="1"/>
              <w:jc w:val="center"/>
              <w:rPr>
                <w:sz w:val="21"/>
              </w:rPr>
            </w:pPr>
            <w:r>
              <w:rPr>
                <w:spacing w:val="-5"/>
                <w:sz w:val="21"/>
              </w:rPr>
              <w:t>N/A</w:t>
            </w:r>
          </w:p>
        </w:tc>
      </w:tr>
      <w:tr>
        <w:tblPrEx>
          <w:tblW w:w="0" w:type="auto"/>
          <w:jc w:val="left"/>
          <w:tblInd w:w="514" w:type="dxa"/>
          <w:tblLayout w:type="fixed"/>
          <w:tblCellMar>
            <w:top w:w="0" w:type="dxa"/>
            <w:left w:w="0" w:type="dxa"/>
            <w:bottom w:w="0" w:type="dxa"/>
            <w:right w:w="0" w:type="dxa"/>
          </w:tblCellMar>
          <w:tblLook w:val="01E0"/>
        </w:tblPrEx>
        <w:trPr>
          <w:trHeight w:val="464"/>
          <w:jc w:val="left"/>
        </w:trPr>
        <w:tc>
          <w:tcPr>
            <w:tcW w:w="3087" w:type="dxa"/>
            <w:tcBorders>
              <w:top w:val="nil"/>
              <w:bottom w:val="nil"/>
            </w:tcBorders>
          </w:tcPr>
          <w:p>
            <w:pPr>
              <w:pStyle w:val="TableParagraph"/>
              <w:spacing w:before="39"/>
              <w:ind w:left="107"/>
              <w:rPr>
                <w:b/>
                <w:sz w:val="21"/>
              </w:rPr>
            </w:pPr>
            <w:r>
              <w:rPr>
                <w:b/>
                <w:sz w:val="21"/>
              </w:rPr>
              <w:t>Change</w:t>
            </w:r>
            <w:r>
              <w:rPr>
                <w:b/>
                <w:spacing w:val="-3"/>
                <w:sz w:val="21"/>
              </w:rPr>
              <w:t xml:space="preserve"> </w:t>
            </w:r>
            <w:r>
              <w:rPr>
                <w:b/>
                <w:sz w:val="21"/>
              </w:rPr>
              <w:t>in</w:t>
            </w:r>
            <w:r>
              <w:rPr>
                <w:b/>
                <w:spacing w:val="-5"/>
                <w:sz w:val="21"/>
              </w:rPr>
              <w:t xml:space="preserve"> </w:t>
            </w:r>
            <w:r>
              <w:rPr>
                <w:b/>
                <w:sz w:val="21"/>
              </w:rPr>
              <w:t>MSB</w:t>
            </w:r>
            <w:r>
              <w:rPr>
                <w:b/>
                <w:spacing w:val="-4"/>
                <w:sz w:val="21"/>
              </w:rPr>
              <w:t xml:space="preserve"> </w:t>
            </w:r>
            <w:r>
              <w:rPr>
                <w:b/>
                <w:sz w:val="21"/>
              </w:rPr>
              <w:t>Rev</w:t>
            </w:r>
            <w:r>
              <w:rPr>
                <w:b/>
                <w:spacing w:val="-5"/>
                <w:sz w:val="21"/>
              </w:rPr>
              <w:t xml:space="preserve"> Req</w:t>
            </w:r>
          </w:p>
        </w:tc>
        <w:tc>
          <w:tcPr>
            <w:tcW w:w="1236" w:type="dxa"/>
            <w:tcBorders>
              <w:top w:val="nil"/>
              <w:bottom w:val="nil"/>
            </w:tcBorders>
          </w:tcPr>
          <w:p>
            <w:pPr>
              <w:pStyle w:val="TableParagraph"/>
              <w:spacing w:before="39"/>
              <w:ind w:left="11" w:right="1"/>
              <w:jc w:val="center"/>
              <w:rPr>
                <w:sz w:val="21"/>
              </w:rPr>
            </w:pPr>
            <w:r>
              <w:rPr>
                <w:spacing w:val="-5"/>
                <w:sz w:val="21"/>
              </w:rPr>
              <w:t>N/A</w:t>
            </w:r>
          </w:p>
        </w:tc>
        <w:tc>
          <w:tcPr>
            <w:tcW w:w="1316" w:type="dxa"/>
            <w:tcBorders>
              <w:top w:val="nil"/>
              <w:bottom w:val="nil"/>
            </w:tcBorders>
          </w:tcPr>
          <w:p>
            <w:pPr>
              <w:pStyle w:val="TableParagraph"/>
              <w:spacing w:before="39"/>
              <w:ind w:left="10" w:right="8"/>
              <w:jc w:val="center"/>
              <w:rPr>
                <w:sz w:val="21"/>
              </w:rPr>
            </w:pPr>
            <w:r>
              <w:rPr>
                <w:spacing w:val="-5"/>
                <w:sz w:val="21"/>
              </w:rPr>
              <w:t>N/A</w:t>
            </w:r>
          </w:p>
        </w:tc>
        <w:tc>
          <w:tcPr>
            <w:tcW w:w="999" w:type="dxa"/>
            <w:tcBorders>
              <w:top w:val="nil"/>
              <w:bottom w:val="nil"/>
            </w:tcBorders>
          </w:tcPr>
          <w:p>
            <w:pPr>
              <w:pStyle w:val="TableParagraph"/>
              <w:spacing w:before="11"/>
              <w:ind w:left="8"/>
              <w:jc w:val="center"/>
              <w:rPr>
                <w:sz w:val="21"/>
              </w:rPr>
            </w:pPr>
            <w:r>
              <w:rPr>
                <w:spacing w:val="-2"/>
                <w:sz w:val="21"/>
              </w:rPr>
              <w:t>$0.00</w:t>
            </w:r>
          </w:p>
        </w:tc>
        <w:tc>
          <w:tcPr>
            <w:tcW w:w="980" w:type="dxa"/>
            <w:tcBorders>
              <w:top w:val="nil"/>
              <w:bottom w:val="nil"/>
            </w:tcBorders>
          </w:tcPr>
          <w:p>
            <w:pPr>
              <w:pStyle w:val="TableParagraph"/>
              <w:spacing w:before="11"/>
              <w:ind w:left="6"/>
              <w:jc w:val="center"/>
              <w:rPr>
                <w:sz w:val="21"/>
              </w:rPr>
            </w:pPr>
            <w:r>
              <w:rPr>
                <w:spacing w:val="-2"/>
                <w:sz w:val="21"/>
              </w:rPr>
              <w:t>$1.60</w:t>
            </w:r>
          </w:p>
        </w:tc>
        <w:tc>
          <w:tcPr>
            <w:tcW w:w="1591" w:type="dxa"/>
            <w:tcBorders>
              <w:top w:val="nil"/>
              <w:bottom w:val="nil"/>
            </w:tcBorders>
          </w:tcPr>
          <w:p>
            <w:pPr>
              <w:pStyle w:val="TableParagraph"/>
              <w:spacing w:before="11"/>
              <w:ind w:left="4"/>
              <w:jc w:val="center"/>
              <w:rPr>
                <w:sz w:val="21"/>
              </w:rPr>
            </w:pPr>
            <w:r>
              <w:rPr>
                <w:spacing w:val="-2"/>
                <w:sz w:val="21"/>
              </w:rPr>
              <w:t>$2.00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87" w:type="dxa"/>
            <w:tcBorders>
              <w:top w:val="nil"/>
              <w:bottom w:val="nil"/>
            </w:tcBorders>
          </w:tcPr>
          <w:p>
            <w:pPr>
              <w:pStyle w:val="TableParagraph"/>
              <w:spacing w:before="175"/>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236" w:type="dxa"/>
            <w:tcBorders>
              <w:top w:val="nil"/>
              <w:bottom w:val="nil"/>
            </w:tcBorders>
          </w:tcPr>
          <w:p>
            <w:pPr>
              <w:pStyle w:val="TableParagraph"/>
              <w:spacing w:before="175"/>
              <w:ind w:left="11"/>
              <w:jc w:val="center"/>
              <w:rPr>
                <w:sz w:val="21"/>
              </w:rPr>
            </w:pPr>
            <w:r>
              <w:rPr>
                <w:spacing w:val="-2"/>
                <w:sz w:val="21"/>
              </w:rPr>
              <w:t>$63.60</w:t>
            </w:r>
          </w:p>
        </w:tc>
        <w:tc>
          <w:tcPr>
            <w:tcW w:w="1316" w:type="dxa"/>
            <w:tcBorders>
              <w:top w:val="nil"/>
              <w:bottom w:val="nil"/>
            </w:tcBorders>
          </w:tcPr>
          <w:p>
            <w:pPr>
              <w:pStyle w:val="TableParagraph"/>
              <w:spacing w:before="175"/>
              <w:ind w:left="10" w:right="7"/>
              <w:jc w:val="center"/>
              <w:rPr>
                <w:sz w:val="21"/>
              </w:rPr>
            </w:pPr>
            <w:r>
              <w:rPr>
                <w:spacing w:val="-2"/>
                <w:sz w:val="21"/>
              </w:rPr>
              <w:t>$63.60</w:t>
            </w:r>
          </w:p>
        </w:tc>
        <w:tc>
          <w:tcPr>
            <w:tcW w:w="999" w:type="dxa"/>
            <w:tcBorders>
              <w:top w:val="nil"/>
              <w:bottom w:val="nil"/>
            </w:tcBorders>
          </w:tcPr>
          <w:p>
            <w:pPr>
              <w:pStyle w:val="TableParagraph"/>
              <w:spacing w:before="175"/>
              <w:ind w:left="8"/>
              <w:jc w:val="center"/>
              <w:rPr>
                <w:sz w:val="21"/>
              </w:rPr>
            </w:pPr>
            <w:r>
              <w:rPr>
                <w:spacing w:val="-2"/>
                <w:sz w:val="21"/>
              </w:rPr>
              <w:t>$63.60</w:t>
            </w:r>
          </w:p>
        </w:tc>
        <w:tc>
          <w:tcPr>
            <w:tcW w:w="980" w:type="dxa"/>
            <w:tcBorders>
              <w:top w:val="nil"/>
              <w:bottom w:val="nil"/>
            </w:tcBorders>
          </w:tcPr>
          <w:p>
            <w:pPr>
              <w:pStyle w:val="TableParagraph"/>
              <w:spacing w:before="175"/>
              <w:ind w:left="6"/>
              <w:jc w:val="center"/>
              <w:rPr>
                <w:b/>
                <w:i/>
                <w:sz w:val="21"/>
              </w:rPr>
            </w:pPr>
            <w:r>
              <w:rPr>
                <w:b/>
                <w:i/>
                <w:spacing w:val="-2"/>
                <w:sz w:val="21"/>
              </w:rPr>
              <w:t>$65.20</w:t>
            </w:r>
          </w:p>
        </w:tc>
        <w:tc>
          <w:tcPr>
            <w:tcW w:w="1591" w:type="dxa"/>
            <w:tcBorders>
              <w:top w:val="nil"/>
              <w:bottom w:val="nil"/>
            </w:tcBorders>
          </w:tcPr>
          <w:p>
            <w:pPr>
              <w:pStyle w:val="TableParagraph"/>
              <w:spacing w:before="175"/>
              <w:ind w:left="4"/>
              <w:jc w:val="center"/>
              <w:rPr>
                <w:b/>
                <w:i/>
                <w:sz w:val="21"/>
              </w:rPr>
            </w:pPr>
            <w:r>
              <w:rPr>
                <w:b/>
                <w:i/>
                <w:spacing w:val="-2"/>
                <w:sz w:val="21"/>
              </w:rPr>
              <w:t>$65.60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87" w:type="dxa"/>
            <w:tcBorders>
              <w:top w:val="nil"/>
              <w:bottom w:val="nil"/>
            </w:tcBorders>
          </w:tcPr>
          <w:p>
            <w:pPr>
              <w:pStyle w:val="TableParagraph"/>
              <w:spacing w:before="25"/>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236" w:type="dxa"/>
            <w:tcBorders>
              <w:top w:val="nil"/>
              <w:bottom w:val="nil"/>
            </w:tcBorders>
          </w:tcPr>
          <w:p>
            <w:pPr>
              <w:pStyle w:val="TableParagraph"/>
              <w:spacing w:before="25"/>
              <w:ind w:left="11"/>
              <w:jc w:val="center"/>
              <w:rPr>
                <w:sz w:val="21"/>
              </w:rPr>
            </w:pPr>
            <w:r>
              <w:rPr>
                <w:spacing w:val="-2"/>
                <w:sz w:val="21"/>
              </w:rPr>
              <w:t>$51.20</w:t>
            </w:r>
          </w:p>
        </w:tc>
        <w:tc>
          <w:tcPr>
            <w:tcW w:w="1316" w:type="dxa"/>
            <w:tcBorders>
              <w:top w:val="nil"/>
              <w:bottom w:val="nil"/>
            </w:tcBorders>
          </w:tcPr>
          <w:p>
            <w:pPr>
              <w:pStyle w:val="TableParagraph"/>
              <w:spacing w:before="25"/>
              <w:ind w:left="10" w:right="7"/>
              <w:jc w:val="center"/>
              <w:rPr>
                <w:sz w:val="21"/>
              </w:rPr>
            </w:pPr>
            <w:r>
              <w:rPr>
                <w:spacing w:val="-2"/>
                <w:sz w:val="21"/>
              </w:rPr>
              <w:t>$51.20</w:t>
            </w:r>
          </w:p>
        </w:tc>
        <w:tc>
          <w:tcPr>
            <w:tcW w:w="999" w:type="dxa"/>
            <w:tcBorders>
              <w:top w:val="nil"/>
              <w:bottom w:val="nil"/>
            </w:tcBorders>
          </w:tcPr>
          <w:p>
            <w:pPr>
              <w:pStyle w:val="TableParagraph"/>
              <w:spacing w:before="25"/>
              <w:ind w:left="8"/>
              <w:jc w:val="center"/>
              <w:rPr>
                <w:b/>
                <w:i/>
                <w:sz w:val="21"/>
              </w:rPr>
            </w:pPr>
            <w:r>
              <w:rPr>
                <w:b/>
                <w:i/>
                <w:spacing w:val="-2"/>
                <w:sz w:val="21"/>
              </w:rPr>
              <w:t>$52.80</w:t>
            </w:r>
          </w:p>
        </w:tc>
        <w:tc>
          <w:tcPr>
            <w:tcW w:w="980" w:type="dxa"/>
            <w:tcBorders>
              <w:top w:val="nil"/>
              <w:bottom w:val="nil"/>
            </w:tcBorders>
          </w:tcPr>
          <w:p>
            <w:pPr>
              <w:pStyle w:val="TableParagraph"/>
              <w:spacing w:before="25"/>
              <w:ind w:left="6"/>
              <w:jc w:val="center"/>
              <w:rPr>
                <w:b/>
                <w:i/>
                <w:sz w:val="21"/>
              </w:rPr>
            </w:pPr>
            <w:r>
              <w:rPr>
                <w:b/>
                <w:i/>
                <w:spacing w:val="-2"/>
                <w:sz w:val="21"/>
              </w:rPr>
              <w:t>$52.80</w:t>
            </w:r>
          </w:p>
        </w:tc>
        <w:tc>
          <w:tcPr>
            <w:tcW w:w="1591" w:type="dxa"/>
            <w:tcBorders>
              <w:top w:val="nil"/>
              <w:bottom w:val="nil"/>
            </w:tcBorders>
          </w:tcPr>
          <w:p>
            <w:pPr>
              <w:pStyle w:val="TableParagraph"/>
              <w:spacing w:before="25"/>
              <w:ind w:left="4"/>
              <w:jc w:val="center"/>
              <w:rPr>
                <w:b/>
                <w:i/>
                <w:sz w:val="21"/>
              </w:rPr>
            </w:pPr>
            <w:r>
              <w:rPr>
                <w:b/>
                <w:i/>
                <w:spacing w:val="-2"/>
                <w:sz w:val="21"/>
              </w:rPr>
              <w:t>$53.20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87" w:type="dxa"/>
            <w:tcBorders>
              <w:top w:val="nil"/>
              <w:bottom w:val="nil"/>
            </w:tcBorders>
          </w:tcPr>
          <w:p>
            <w:pPr>
              <w:pStyle w:val="TableParagraph"/>
              <w:spacing w:before="25"/>
              <w:ind w:left="107"/>
              <w:rPr>
                <w:b/>
                <w:sz w:val="21"/>
              </w:rPr>
            </w:pPr>
            <w:r>
              <w:rPr>
                <w:b/>
                <w:sz w:val="21"/>
              </w:rPr>
              <w:t>MA</w:t>
            </w:r>
            <w:r>
              <w:rPr>
                <w:b/>
                <w:spacing w:val="-5"/>
                <w:sz w:val="21"/>
              </w:rPr>
              <w:t xml:space="preserve"> </w:t>
            </w:r>
            <w:r>
              <w:rPr>
                <w:b/>
                <w:spacing w:val="-2"/>
                <w:sz w:val="21"/>
              </w:rPr>
              <w:t>Premium</w:t>
            </w:r>
          </w:p>
        </w:tc>
        <w:tc>
          <w:tcPr>
            <w:tcW w:w="1236" w:type="dxa"/>
            <w:tcBorders>
              <w:top w:val="nil"/>
              <w:bottom w:val="nil"/>
            </w:tcBorders>
          </w:tcPr>
          <w:p>
            <w:pPr>
              <w:pStyle w:val="TableParagraph"/>
              <w:spacing w:before="25"/>
              <w:ind w:left="11"/>
              <w:jc w:val="center"/>
              <w:rPr>
                <w:sz w:val="21"/>
              </w:rPr>
            </w:pPr>
            <w:r>
              <w:rPr>
                <w:spacing w:val="-2"/>
                <w:sz w:val="21"/>
              </w:rPr>
              <w:t>$12.40</w:t>
            </w:r>
          </w:p>
        </w:tc>
        <w:tc>
          <w:tcPr>
            <w:tcW w:w="1316" w:type="dxa"/>
            <w:tcBorders>
              <w:top w:val="nil"/>
              <w:bottom w:val="nil"/>
            </w:tcBorders>
          </w:tcPr>
          <w:p>
            <w:pPr>
              <w:pStyle w:val="TableParagraph"/>
              <w:spacing w:before="25"/>
              <w:ind w:left="10" w:right="7"/>
              <w:jc w:val="center"/>
              <w:rPr>
                <w:sz w:val="21"/>
              </w:rPr>
            </w:pPr>
            <w:r>
              <w:rPr>
                <w:spacing w:val="-2"/>
                <w:sz w:val="21"/>
              </w:rPr>
              <w:t>$12.40</w:t>
            </w:r>
          </w:p>
        </w:tc>
        <w:tc>
          <w:tcPr>
            <w:tcW w:w="999" w:type="dxa"/>
            <w:tcBorders>
              <w:top w:val="nil"/>
              <w:bottom w:val="nil"/>
            </w:tcBorders>
          </w:tcPr>
          <w:p>
            <w:pPr>
              <w:pStyle w:val="TableParagraph"/>
              <w:spacing w:before="25"/>
              <w:ind w:left="8"/>
              <w:jc w:val="center"/>
              <w:rPr>
                <w:sz w:val="21"/>
              </w:rPr>
            </w:pPr>
            <w:r>
              <w:rPr>
                <w:spacing w:val="-2"/>
                <w:sz w:val="21"/>
              </w:rPr>
              <w:t>$10.80</w:t>
            </w:r>
          </w:p>
        </w:tc>
        <w:tc>
          <w:tcPr>
            <w:tcW w:w="980" w:type="dxa"/>
            <w:tcBorders>
              <w:top w:val="nil"/>
              <w:bottom w:val="nil"/>
            </w:tcBorders>
          </w:tcPr>
          <w:p>
            <w:pPr>
              <w:pStyle w:val="TableParagraph"/>
              <w:spacing w:before="25"/>
              <w:ind w:left="6"/>
              <w:jc w:val="center"/>
              <w:rPr>
                <w:sz w:val="21"/>
              </w:rPr>
            </w:pPr>
            <w:r>
              <w:rPr>
                <w:spacing w:val="-2"/>
                <w:sz w:val="21"/>
              </w:rPr>
              <w:t>$12.40</w:t>
            </w:r>
          </w:p>
        </w:tc>
        <w:tc>
          <w:tcPr>
            <w:tcW w:w="1591" w:type="dxa"/>
            <w:tcBorders>
              <w:top w:val="nil"/>
              <w:bottom w:val="nil"/>
            </w:tcBorders>
          </w:tcPr>
          <w:p>
            <w:pPr>
              <w:pStyle w:val="TableParagraph"/>
              <w:spacing w:before="25"/>
              <w:ind w:left="4"/>
              <w:jc w:val="center"/>
              <w:rPr>
                <w:sz w:val="21"/>
              </w:rPr>
            </w:pPr>
            <w:r>
              <w:rPr>
                <w:spacing w:val="-2"/>
                <w:sz w:val="21"/>
              </w:rPr>
              <w:t>$12.40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87" w:type="dxa"/>
            <w:tcBorders>
              <w:top w:val="nil"/>
              <w:bottom w:val="nil"/>
            </w:tcBorders>
          </w:tcPr>
          <w:p>
            <w:pPr>
              <w:pStyle w:val="TableParagraph"/>
              <w:spacing w:before="175"/>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5"/>
                <w:sz w:val="21"/>
              </w:rPr>
              <w:t xml:space="preserve"> </w:t>
            </w:r>
            <w:r>
              <w:rPr>
                <w:spacing w:val="-2"/>
                <w:sz w:val="21"/>
              </w:rPr>
              <w:t>Rebate</w:t>
            </w:r>
          </w:p>
        </w:tc>
        <w:tc>
          <w:tcPr>
            <w:tcW w:w="1236" w:type="dxa"/>
            <w:tcBorders>
              <w:top w:val="nil"/>
              <w:bottom w:val="nil"/>
            </w:tcBorders>
          </w:tcPr>
          <w:p>
            <w:pPr>
              <w:pStyle w:val="TableParagraph"/>
              <w:spacing w:before="175"/>
              <w:ind w:left="11"/>
              <w:jc w:val="center"/>
              <w:rPr>
                <w:sz w:val="21"/>
              </w:rPr>
            </w:pPr>
            <w:r>
              <w:rPr>
                <w:spacing w:val="-2"/>
                <w:sz w:val="21"/>
              </w:rPr>
              <w:t>$67.50</w:t>
            </w:r>
          </w:p>
        </w:tc>
        <w:tc>
          <w:tcPr>
            <w:tcW w:w="1316" w:type="dxa"/>
            <w:tcBorders>
              <w:top w:val="nil"/>
              <w:bottom w:val="nil"/>
            </w:tcBorders>
          </w:tcPr>
          <w:p>
            <w:pPr>
              <w:pStyle w:val="TableParagraph"/>
              <w:spacing w:before="175"/>
              <w:ind w:left="10" w:right="7"/>
              <w:jc w:val="center"/>
              <w:rPr>
                <w:sz w:val="21"/>
              </w:rPr>
            </w:pPr>
            <w:r>
              <w:rPr>
                <w:spacing w:val="-2"/>
                <w:sz w:val="21"/>
              </w:rPr>
              <w:t>$55.00</w:t>
            </w:r>
          </w:p>
        </w:tc>
        <w:tc>
          <w:tcPr>
            <w:tcW w:w="999" w:type="dxa"/>
            <w:tcBorders>
              <w:top w:val="nil"/>
              <w:bottom w:val="nil"/>
            </w:tcBorders>
          </w:tcPr>
          <w:p>
            <w:pPr>
              <w:pStyle w:val="TableParagraph"/>
              <w:spacing w:before="175"/>
              <w:ind w:left="8"/>
              <w:jc w:val="center"/>
              <w:rPr>
                <w:sz w:val="21"/>
              </w:rPr>
            </w:pPr>
            <w:r>
              <w:rPr>
                <w:spacing w:val="-2"/>
                <w:sz w:val="21"/>
              </w:rPr>
              <w:t>$55.00</w:t>
            </w:r>
          </w:p>
        </w:tc>
        <w:tc>
          <w:tcPr>
            <w:tcW w:w="980" w:type="dxa"/>
            <w:tcBorders>
              <w:top w:val="nil"/>
              <w:bottom w:val="nil"/>
            </w:tcBorders>
          </w:tcPr>
          <w:p>
            <w:pPr>
              <w:pStyle w:val="TableParagraph"/>
              <w:spacing w:before="175"/>
              <w:ind w:left="6"/>
              <w:jc w:val="center"/>
              <w:rPr>
                <w:sz w:val="21"/>
              </w:rPr>
            </w:pPr>
            <w:r>
              <w:rPr>
                <w:spacing w:val="-2"/>
                <w:sz w:val="21"/>
              </w:rPr>
              <w:t>$55.00</w:t>
            </w:r>
          </w:p>
        </w:tc>
        <w:tc>
          <w:tcPr>
            <w:tcW w:w="1591" w:type="dxa"/>
            <w:tcBorders>
              <w:top w:val="nil"/>
              <w:bottom w:val="nil"/>
            </w:tcBorders>
          </w:tcPr>
          <w:p>
            <w:pPr>
              <w:pStyle w:val="TableParagraph"/>
              <w:spacing w:before="175"/>
              <w:ind w:left="4"/>
              <w:jc w:val="center"/>
              <w:rPr>
                <w:sz w:val="21"/>
              </w:rPr>
            </w:pPr>
            <w:r>
              <w:rPr>
                <w:spacing w:val="-2"/>
                <w:sz w:val="21"/>
              </w:rPr>
              <w:t>$55.00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87"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5"/>
                <w:sz w:val="21"/>
              </w:rPr>
              <w:t xml:space="preserve"> </w:t>
            </w:r>
            <w:r>
              <w:rPr>
                <w:spacing w:val="-2"/>
                <w:sz w:val="21"/>
              </w:rPr>
              <w:t>Allocations</w:t>
            </w:r>
          </w:p>
        </w:tc>
        <w:tc>
          <w:tcPr>
            <w:tcW w:w="1236" w:type="dxa"/>
            <w:tcBorders>
              <w:top w:val="nil"/>
              <w:bottom w:val="nil"/>
            </w:tcBorders>
          </w:tcPr>
          <w:p>
            <w:pPr>
              <w:pStyle w:val="TableParagraph"/>
              <w:spacing w:before="25"/>
              <w:ind w:left="11"/>
              <w:jc w:val="center"/>
              <w:rPr>
                <w:sz w:val="21"/>
              </w:rPr>
            </w:pPr>
            <w:r>
              <w:rPr>
                <w:spacing w:val="-2"/>
                <w:sz w:val="21"/>
              </w:rPr>
              <w:t>$0.00</w:t>
            </w:r>
          </w:p>
        </w:tc>
        <w:tc>
          <w:tcPr>
            <w:tcW w:w="1316" w:type="dxa"/>
            <w:tcBorders>
              <w:top w:val="nil"/>
              <w:bottom w:val="nil"/>
            </w:tcBorders>
          </w:tcPr>
          <w:p>
            <w:pPr>
              <w:pStyle w:val="TableParagraph"/>
              <w:spacing w:before="25"/>
              <w:ind w:left="10" w:right="7"/>
              <w:jc w:val="center"/>
              <w:rPr>
                <w:sz w:val="21"/>
              </w:rPr>
            </w:pPr>
            <w:r>
              <w:rPr>
                <w:spacing w:val="-2"/>
                <w:sz w:val="21"/>
              </w:rPr>
              <w:t>$0.00</w:t>
            </w:r>
          </w:p>
        </w:tc>
        <w:tc>
          <w:tcPr>
            <w:tcW w:w="999" w:type="dxa"/>
            <w:tcBorders>
              <w:top w:val="nil"/>
              <w:bottom w:val="nil"/>
            </w:tcBorders>
          </w:tcPr>
          <w:p>
            <w:pPr>
              <w:pStyle w:val="TableParagraph"/>
              <w:spacing w:before="25"/>
              <w:ind w:left="8"/>
              <w:jc w:val="center"/>
              <w:rPr>
                <w:sz w:val="21"/>
              </w:rPr>
            </w:pPr>
            <w:r>
              <w:rPr>
                <w:spacing w:val="-2"/>
                <w:sz w:val="21"/>
              </w:rPr>
              <w:t>$0.00</w:t>
            </w:r>
          </w:p>
        </w:tc>
        <w:tc>
          <w:tcPr>
            <w:tcW w:w="980" w:type="dxa"/>
            <w:tcBorders>
              <w:top w:val="nil"/>
              <w:bottom w:val="nil"/>
            </w:tcBorders>
          </w:tcPr>
          <w:p>
            <w:pPr>
              <w:pStyle w:val="TableParagraph"/>
              <w:spacing w:before="25"/>
              <w:ind w:left="6"/>
              <w:jc w:val="center"/>
              <w:rPr>
                <w:sz w:val="21"/>
              </w:rPr>
            </w:pPr>
            <w:r>
              <w:rPr>
                <w:spacing w:val="-2"/>
                <w:sz w:val="21"/>
              </w:rPr>
              <w:t>$0.00</w:t>
            </w:r>
          </w:p>
        </w:tc>
        <w:tc>
          <w:tcPr>
            <w:tcW w:w="1591" w:type="dxa"/>
            <w:tcBorders>
              <w:top w:val="nil"/>
              <w:bottom w:val="nil"/>
            </w:tcBorders>
          </w:tcPr>
          <w:p>
            <w:pPr>
              <w:pStyle w:val="TableParagraph"/>
              <w:spacing w:before="25"/>
              <w:ind w:left="4"/>
              <w:jc w:val="center"/>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87"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236" w:type="dxa"/>
            <w:tcBorders>
              <w:top w:val="nil"/>
              <w:bottom w:val="nil"/>
            </w:tcBorders>
          </w:tcPr>
          <w:p>
            <w:pPr>
              <w:pStyle w:val="TableParagraph"/>
              <w:spacing w:before="25"/>
              <w:ind w:left="11"/>
              <w:jc w:val="center"/>
              <w:rPr>
                <w:sz w:val="21"/>
              </w:rPr>
            </w:pPr>
            <w:r>
              <w:rPr>
                <w:spacing w:val="-2"/>
                <w:sz w:val="21"/>
              </w:rPr>
              <w:t>$67.50</w:t>
            </w:r>
          </w:p>
        </w:tc>
        <w:tc>
          <w:tcPr>
            <w:tcW w:w="1316" w:type="dxa"/>
            <w:tcBorders>
              <w:top w:val="nil"/>
              <w:bottom w:val="nil"/>
            </w:tcBorders>
          </w:tcPr>
          <w:p>
            <w:pPr>
              <w:pStyle w:val="TableParagraph"/>
              <w:spacing w:before="25"/>
              <w:ind w:left="10" w:right="7"/>
              <w:jc w:val="center"/>
              <w:rPr>
                <w:sz w:val="21"/>
              </w:rPr>
            </w:pPr>
            <w:r>
              <w:rPr>
                <w:spacing w:val="-2"/>
                <w:sz w:val="21"/>
              </w:rPr>
              <w:t>$55.00</w:t>
            </w:r>
          </w:p>
        </w:tc>
        <w:tc>
          <w:tcPr>
            <w:tcW w:w="999" w:type="dxa"/>
            <w:tcBorders>
              <w:top w:val="nil"/>
              <w:bottom w:val="nil"/>
            </w:tcBorders>
          </w:tcPr>
          <w:p>
            <w:pPr>
              <w:pStyle w:val="TableParagraph"/>
              <w:spacing w:before="25"/>
              <w:ind w:left="8"/>
              <w:jc w:val="center"/>
              <w:rPr>
                <w:sz w:val="21"/>
              </w:rPr>
            </w:pPr>
            <w:r>
              <w:rPr>
                <w:spacing w:val="-2"/>
                <w:sz w:val="21"/>
              </w:rPr>
              <w:t>$55.00</w:t>
            </w:r>
          </w:p>
        </w:tc>
        <w:tc>
          <w:tcPr>
            <w:tcW w:w="980" w:type="dxa"/>
            <w:tcBorders>
              <w:top w:val="nil"/>
              <w:bottom w:val="nil"/>
            </w:tcBorders>
          </w:tcPr>
          <w:p>
            <w:pPr>
              <w:pStyle w:val="TableParagraph"/>
              <w:spacing w:before="25"/>
              <w:ind w:left="6"/>
              <w:jc w:val="center"/>
              <w:rPr>
                <w:sz w:val="21"/>
              </w:rPr>
            </w:pPr>
            <w:r>
              <w:rPr>
                <w:spacing w:val="-2"/>
                <w:sz w:val="21"/>
              </w:rPr>
              <w:t>$55.00</w:t>
            </w:r>
          </w:p>
        </w:tc>
        <w:tc>
          <w:tcPr>
            <w:tcW w:w="1591" w:type="dxa"/>
            <w:tcBorders>
              <w:top w:val="nil"/>
              <w:bottom w:val="nil"/>
            </w:tcBorders>
          </w:tcPr>
          <w:p>
            <w:pPr>
              <w:pStyle w:val="TableParagraph"/>
              <w:spacing w:before="25"/>
              <w:ind w:left="4"/>
              <w:jc w:val="center"/>
              <w:rPr>
                <w:sz w:val="21"/>
              </w:rPr>
            </w:pPr>
            <w:r>
              <w:rPr>
                <w:spacing w:val="-2"/>
                <w:sz w:val="21"/>
              </w:rPr>
              <w:t>$55.00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87"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236" w:type="dxa"/>
            <w:tcBorders>
              <w:top w:val="nil"/>
              <w:bottom w:val="nil"/>
            </w:tcBorders>
          </w:tcPr>
          <w:p>
            <w:pPr>
              <w:pStyle w:val="TableParagraph"/>
              <w:spacing w:before="175"/>
              <w:ind w:left="11"/>
              <w:jc w:val="center"/>
              <w:rPr>
                <w:sz w:val="21"/>
              </w:rPr>
            </w:pPr>
            <w:r>
              <w:rPr>
                <w:spacing w:val="-2"/>
                <w:sz w:val="21"/>
              </w:rPr>
              <w:t>$24.30</w:t>
            </w:r>
          </w:p>
        </w:tc>
        <w:tc>
          <w:tcPr>
            <w:tcW w:w="1316" w:type="dxa"/>
            <w:tcBorders>
              <w:top w:val="nil"/>
              <w:bottom w:val="nil"/>
            </w:tcBorders>
          </w:tcPr>
          <w:p>
            <w:pPr>
              <w:pStyle w:val="TableParagraph"/>
              <w:spacing w:before="175"/>
              <w:ind w:left="10" w:right="7"/>
              <w:jc w:val="center"/>
              <w:rPr>
                <w:sz w:val="21"/>
              </w:rPr>
            </w:pPr>
            <w:r>
              <w:rPr>
                <w:spacing w:val="-2"/>
                <w:sz w:val="21"/>
              </w:rPr>
              <w:t>$24.30</w:t>
            </w:r>
          </w:p>
        </w:tc>
        <w:tc>
          <w:tcPr>
            <w:tcW w:w="999" w:type="dxa"/>
            <w:tcBorders>
              <w:top w:val="nil"/>
              <w:bottom w:val="nil"/>
            </w:tcBorders>
          </w:tcPr>
          <w:p>
            <w:pPr>
              <w:pStyle w:val="TableParagraph"/>
              <w:spacing w:before="175"/>
              <w:ind w:left="8"/>
              <w:jc w:val="center"/>
              <w:rPr>
                <w:sz w:val="21"/>
              </w:rPr>
            </w:pPr>
            <w:r>
              <w:rPr>
                <w:spacing w:val="-2"/>
                <w:sz w:val="21"/>
              </w:rPr>
              <w:t>$24.30</w:t>
            </w:r>
          </w:p>
        </w:tc>
        <w:tc>
          <w:tcPr>
            <w:tcW w:w="980" w:type="dxa"/>
            <w:tcBorders>
              <w:top w:val="nil"/>
              <w:bottom w:val="nil"/>
            </w:tcBorders>
          </w:tcPr>
          <w:p>
            <w:pPr>
              <w:pStyle w:val="TableParagraph"/>
              <w:spacing w:before="175"/>
              <w:ind w:left="6"/>
              <w:jc w:val="center"/>
              <w:rPr>
                <w:sz w:val="21"/>
              </w:rPr>
            </w:pPr>
            <w:r>
              <w:rPr>
                <w:spacing w:val="-2"/>
                <w:sz w:val="21"/>
              </w:rPr>
              <w:t>$24.30</w:t>
            </w:r>
          </w:p>
        </w:tc>
        <w:tc>
          <w:tcPr>
            <w:tcW w:w="1591" w:type="dxa"/>
            <w:tcBorders>
              <w:top w:val="nil"/>
              <w:bottom w:val="nil"/>
            </w:tcBorders>
          </w:tcPr>
          <w:p>
            <w:pPr>
              <w:pStyle w:val="TableParagraph"/>
              <w:spacing w:before="175"/>
              <w:ind w:left="4"/>
              <w:jc w:val="center"/>
              <w:rPr>
                <w:sz w:val="21"/>
              </w:rPr>
            </w:pPr>
            <w:r>
              <w:rPr>
                <w:spacing w:val="-2"/>
                <w:sz w:val="21"/>
              </w:rPr>
              <w:t>$24.30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87"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236" w:type="dxa"/>
            <w:tcBorders>
              <w:top w:val="nil"/>
              <w:bottom w:val="nil"/>
            </w:tcBorders>
          </w:tcPr>
          <w:p>
            <w:pPr>
              <w:pStyle w:val="TableParagraph"/>
              <w:spacing w:before="25"/>
              <w:ind w:left="11"/>
              <w:jc w:val="center"/>
              <w:rPr>
                <w:sz w:val="21"/>
              </w:rPr>
            </w:pPr>
            <w:r>
              <w:rPr>
                <w:spacing w:val="-2"/>
                <w:sz w:val="21"/>
              </w:rPr>
              <w:t>$24.30</w:t>
            </w:r>
          </w:p>
        </w:tc>
        <w:tc>
          <w:tcPr>
            <w:tcW w:w="1316" w:type="dxa"/>
            <w:tcBorders>
              <w:top w:val="nil"/>
              <w:bottom w:val="nil"/>
            </w:tcBorders>
          </w:tcPr>
          <w:p>
            <w:pPr>
              <w:pStyle w:val="TableParagraph"/>
              <w:spacing w:before="25"/>
              <w:ind w:left="10" w:right="7"/>
              <w:jc w:val="center"/>
              <w:rPr>
                <w:sz w:val="21"/>
              </w:rPr>
            </w:pPr>
            <w:r>
              <w:rPr>
                <w:spacing w:val="-2"/>
                <w:sz w:val="21"/>
              </w:rPr>
              <w:t>$24.30</w:t>
            </w:r>
          </w:p>
        </w:tc>
        <w:tc>
          <w:tcPr>
            <w:tcW w:w="999" w:type="dxa"/>
            <w:tcBorders>
              <w:top w:val="nil"/>
              <w:bottom w:val="nil"/>
            </w:tcBorders>
          </w:tcPr>
          <w:p>
            <w:pPr>
              <w:pStyle w:val="TableParagraph"/>
              <w:spacing w:before="25"/>
              <w:ind w:left="8"/>
              <w:jc w:val="center"/>
              <w:rPr>
                <w:sz w:val="21"/>
              </w:rPr>
            </w:pPr>
            <w:r>
              <w:rPr>
                <w:spacing w:val="-2"/>
                <w:sz w:val="21"/>
              </w:rPr>
              <w:t>$24.30</w:t>
            </w:r>
          </w:p>
        </w:tc>
        <w:tc>
          <w:tcPr>
            <w:tcW w:w="980" w:type="dxa"/>
            <w:tcBorders>
              <w:top w:val="nil"/>
              <w:bottom w:val="nil"/>
            </w:tcBorders>
          </w:tcPr>
          <w:p>
            <w:pPr>
              <w:pStyle w:val="TableParagraph"/>
              <w:spacing w:before="25"/>
              <w:ind w:left="6"/>
              <w:jc w:val="center"/>
              <w:rPr>
                <w:sz w:val="21"/>
              </w:rPr>
            </w:pPr>
            <w:r>
              <w:rPr>
                <w:spacing w:val="-2"/>
                <w:sz w:val="21"/>
              </w:rPr>
              <w:t>$24.30</w:t>
            </w:r>
          </w:p>
        </w:tc>
        <w:tc>
          <w:tcPr>
            <w:tcW w:w="1591" w:type="dxa"/>
            <w:tcBorders>
              <w:top w:val="nil"/>
              <w:bottom w:val="nil"/>
            </w:tcBorders>
          </w:tcPr>
          <w:p>
            <w:pPr>
              <w:pStyle w:val="TableParagraph"/>
              <w:spacing w:before="25"/>
              <w:ind w:left="4"/>
              <w:jc w:val="center"/>
              <w:rPr>
                <w:sz w:val="21"/>
              </w:rPr>
            </w:pPr>
            <w:r>
              <w:rPr>
                <w:spacing w:val="-2"/>
                <w:sz w:val="21"/>
              </w:rPr>
              <w:t>$24.30</w:t>
            </w:r>
          </w:p>
        </w:tc>
      </w:tr>
      <w:tr>
        <w:tblPrEx>
          <w:tblW w:w="0" w:type="auto"/>
          <w:jc w:val="left"/>
          <w:tblInd w:w="514" w:type="dxa"/>
          <w:tblLayout w:type="fixed"/>
          <w:tblCellMar>
            <w:top w:w="0" w:type="dxa"/>
            <w:left w:w="0" w:type="dxa"/>
            <w:bottom w:w="0" w:type="dxa"/>
            <w:right w:w="0" w:type="dxa"/>
          </w:tblCellMar>
          <w:tblLook w:val="01E0"/>
        </w:tblPrEx>
        <w:trPr>
          <w:trHeight w:val="581"/>
          <w:jc w:val="left"/>
        </w:trPr>
        <w:tc>
          <w:tcPr>
            <w:tcW w:w="3087"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236" w:type="dxa"/>
            <w:tcBorders>
              <w:top w:val="nil"/>
            </w:tcBorders>
          </w:tcPr>
          <w:p>
            <w:pPr>
              <w:pStyle w:val="TableParagraph"/>
              <w:spacing w:before="25"/>
              <w:ind w:left="11"/>
              <w:jc w:val="center"/>
              <w:rPr>
                <w:sz w:val="21"/>
              </w:rPr>
            </w:pPr>
            <w:r>
              <w:rPr>
                <w:spacing w:val="-2"/>
                <w:sz w:val="21"/>
              </w:rPr>
              <w:t>$0.00</w:t>
            </w:r>
          </w:p>
        </w:tc>
        <w:tc>
          <w:tcPr>
            <w:tcW w:w="1316" w:type="dxa"/>
            <w:tcBorders>
              <w:top w:val="nil"/>
            </w:tcBorders>
          </w:tcPr>
          <w:p>
            <w:pPr>
              <w:pStyle w:val="TableParagraph"/>
              <w:spacing w:before="25"/>
              <w:ind w:left="10" w:right="7"/>
              <w:jc w:val="center"/>
              <w:rPr>
                <w:sz w:val="21"/>
              </w:rPr>
            </w:pPr>
            <w:r>
              <w:rPr>
                <w:spacing w:val="-2"/>
                <w:sz w:val="21"/>
              </w:rPr>
              <w:t>$0.00</w:t>
            </w:r>
          </w:p>
        </w:tc>
        <w:tc>
          <w:tcPr>
            <w:tcW w:w="999" w:type="dxa"/>
            <w:tcBorders>
              <w:top w:val="nil"/>
            </w:tcBorders>
          </w:tcPr>
          <w:p>
            <w:pPr>
              <w:pStyle w:val="TableParagraph"/>
              <w:spacing w:before="25"/>
              <w:ind w:left="8"/>
              <w:jc w:val="center"/>
              <w:rPr>
                <w:sz w:val="21"/>
              </w:rPr>
            </w:pPr>
            <w:r>
              <w:rPr>
                <w:spacing w:val="-2"/>
                <w:sz w:val="21"/>
              </w:rPr>
              <w:t>$0.00</w:t>
            </w:r>
          </w:p>
        </w:tc>
        <w:tc>
          <w:tcPr>
            <w:tcW w:w="980" w:type="dxa"/>
            <w:tcBorders>
              <w:top w:val="nil"/>
            </w:tcBorders>
          </w:tcPr>
          <w:p>
            <w:pPr>
              <w:pStyle w:val="TableParagraph"/>
              <w:spacing w:before="25"/>
              <w:ind w:left="6"/>
              <w:jc w:val="center"/>
              <w:rPr>
                <w:sz w:val="21"/>
              </w:rPr>
            </w:pPr>
            <w:r>
              <w:rPr>
                <w:spacing w:val="-2"/>
                <w:sz w:val="21"/>
              </w:rPr>
              <w:t>$0.00</w:t>
            </w:r>
          </w:p>
        </w:tc>
        <w:tc>
          <w:tcPr>
            <w:tcW w:w="1591" w:type="dxa"/>
            <w:tcBorders>
              <w:top w:val="nil"/>
            </w:tcBorders>
          </w:tcPr>
          <w:p>
            <w:pPr>
              <w:pStyle w:val="TableParagraph"/>
              <w:spacing w:before="25"/>
              <w:ind w:left="4"/>
              <w:jc w:val="center"/>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316"/>
          <w:jc w:val="left"/>
        </w:trPr>
        <w:tc>
          <w:tcPr>
            <w:tcW w:w="3087" w:type="dxa"/>
          </w:tcPr>
          <w:p>
            <w:pPr>
              <w:pStyle w:val="TableParagraph"/>
              <w:spacing w:before="75"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236" w:type="dxa"/>
          </w:tcPr>
          <w:p>
            <w:pPr>
              <w:pStyle w:val="TableParagraph"/>
              <w:spacing w:before="75" w:line="221" w:lineRule="exact"/>
              <w:ind w:left="11"/>
              <w:jc w:val="center"/>
              <w:rPr>
                <w:sz w:val="21"/>
              </w:rPr>
            </w:pPr>
            <w:r>
              <w:rPr>
                <w:spacing w:val="-2"/>
                <w:sz w:val="21"/>
              </w:rPr>
              <w:t>$79.90</w:t>
            </w:r>
          </w:p>
        </w:tc>
        <w:tc>
          <w:tcPr>
            <w:tcW w:w="1316" w:type="dxa"/>
          </w:tcPr>
          <w:p>
            <w:pPr>
              <w:pStyle w:val="TableParagraph"/>
              <w:spacing w:before="75" w:line="221" w:lineRule="exact"/>
              <w:ind w:left="10" w:right="7"/>
              <w:jc w:val="center"/>
              <w:rPr>
                <w:sz w:val="21"/>
              </w:rPr>
            </w:pPr>
            <w:r>
              <w:rPr>
                <w:spacing w:val="-2"/>
                <w:sz w:val="21"/>
              </w:rPr>
              <w:t>$67.40</w:t>
            </w:r>
          </w:p>
        </w:tc>
        <w:tc>
          <w:tcPr>
            <w:tcW w:w="999" w:type="dxa"/>
          </w:tcPr>
          <w:p>
            <w:pPr>
              <w:pStyle w:val="TableParagraph"/>
              <w:spacing w:before="75" w:line="221" w:lineRule="exact"/>
              <w:ind w:left="8"/>
              <w:jc w:val="center"/>
              <w:rPr>
                <w:sz w:val="21"/>
              </w:rPr>
            </w:pPr>
            <w:r>
              <w:rPr>
                <w:spacing w:val="-2"/>
                <w:sz w:val="21"/>
              </w:rPr>
              <w:t>$65.80</w:t>
            </w:r>
          </w:p>
        </w:tc>
        <w:tc>
          <w:tcPr>
            <w:tcW w:w="980" w:type="dxa"/>
          </w:tcPr>
          <w:p>
            <w:pPr>
              <w:pStyle w:val="TableParagraph"/>
              <w:spacing w:before="75" w:line="221" w:lineRule="exact"/>
              <w:ind w:left="6"/>
              <w:jc w:val="center"/>
              <w:rPr>
                <w:sz w:val="21"/>
              </w:rPr>
            </w:pPr>
            <w:r>
              <w:rPr>
                <w:spacing w:val="-2"/>
                <w:sz w:val="21"/>
              </w:rPr>
              <w:t>$67.40</w:t>
            </w:r>
          </w:p>
        </w:tc>
        <w:tc>
          <w:tcPr>
            <w:tcW w:w="1591" w:type="dxa"/>
          </w:tcPr>
          <w:p>
            <w:pPr>
              <w:pStyle w:val="TableParagraph"/>
              <w:spacing w:before="75" w:line="221" w:lineRule="exact"/>
              <w:ind w:left="4"/>
              <w:jc w:val="center"/>
              <w:rPr>
                <w:sz w:val="21"/>
              </w:rPr>
            </w:pPr>
            <w:r>
              <w:rPr>
                <w:spacing w:val="-2"/>
                <w:sz w:val="21"/>
              </w:rPr>
              <w:t>$67.40</w:t>
            </w:r>
          </w:p>
        </w:tc>
      </w:tr>
    </w:tbl>
    <w:p>
      <w:pPr>
        <w:pStyle w:val="BodyText"/>
        <w:spacing w:before="86"/>
        <w:ind w:left="0"/>
        <w:rPr>
          <w:rFonts w:ascii="Arial"/>
          <w:b/>
          <w:i/>
        </w:rPr>
      </w:pPr>
    </w:p>
    <w:p>
      <w:pPr>
        <w:pStyle w:val="BodyText"/>
      </w:pPr>
      <w:r>
        <w:t>In</w:t>
      </w:r>
      <w:r>
        <w:rPr>
          <w:spacing w:val="-1"/>
        </w:rPr>
        <w:t xml:space="preserve"> </w:t>
      </w:r>
      <w:r>
        <w:t>this</w:t>
      </w:r>
      <w:r>
        <w:rPr>
          <w:spacing w:val="-2"/>
        </w:rPr>
        <w:t xml:space="preserve"> </w:t>
      </w:r>
      <w:r>
        <w:t>example,</w:t>
      </w:r>
      <w:r>
        <w:rPr>
          <w:spacing w:val="-1"/>
        </w:rPr>
        <w:t xml:space="preserve"> </w:t>
      </w:r>
      <w:r>
        <w:t>the</w:t>
      </w:r>
      <w:r>
        <w:rPr>
          <w:spacing w:val="-1"/>
        </w:rPr>
        <w:t xml:space="preserve"> </w:t>
      </w:r>
      <w:r>
        <w:t>change</w:t>
      </w:r>
      <w:r>
        <w:rPr>
          <w:spacing w:val="-1"/>
        </w:rPr>
        <w:t xml:space="preserve"> </w:t>
      </w:r>
      <w:r>
        <w:t>in</w:t>
      </w:r>
      <w:r>
        <w:rPr>
          <w:spacing w:val="-1"/>
        </w:rPr>
        <w:t xml:space="preserve"> </w:t>
      </w:r>
      <w:r>
        <w:t>MSB</w:t>
      </w:r>
      <w:r>
        <w:rPr>
          <w:spacing w:val="-1"/>
        </w:rPr>
        <w:t xml:space="preserve"> </w:t>
      </w:r>
      <w:r>
        <w:t>revenue requirement</w:t>
      </w:r>
      <w:r>
        <w:rPr>
          <w:spacing w:val="-1"/>
        </w:rPr>
        <w:t xml:space="preserve"> </w:t>
      </w:r>
      <w:r>
        <w:t>must</w:t>
      </w:r>
      <w:r>
        <w:rPr>
          <w:spacing w:val="1"/>
        </w:rPr>
        <w:t xml:space="preserve"> </w:t>
      </w:r>
      <w:r>
        <w:t>be</w:t>
      </w:r>
      <w:r>
        <w:rPr>
          <w:spacing w:val="-2"/>
        </w:rPr>
        <w:t xml:space="preserve"> </w:t>
      </w:r>
      <w:r>
        <w:t>between</w:t>
      </w:r>
      <w:r>
        <w:rPr>
          <w:spacing w:val="1"/>
        </w:rPr>
        <w:t xml:space="preserve"> </w:t>
      </w:r>
      <w:r>
        <w:t>$0.00</w:t>
      </w:r>
      <w:r>
        <w:rPr>
          <w:spacing w:val="-1"/>
        </w:rPr>
        <w:t xml:space="preserve"> </w:t>
      </w:r>
      <w:r>
        <w:t xml:space="preserve">and </w:t>
      </w:r>
      <w:r>
        <w:rPr>
          <w:spacing w:val="-2"/>
        </w:rPr>
        <w:t>$1.60.</w:t>
      </w:r>
    </w:p>
    <w:p>
      <w:pPr>
        <w:pStyle w:val="BodyText"/>
        <w:spacing w:before="139"/>
        <w:ind w:right="1481"/>
      </w:pPr>
      <w:r>
        <w:t>Rebate</w:t>
      </w:r>
      <w:r>
        <w:rPr>
          <w:spacing w:val="-2"/>
        </w:rPr>
        <w:t xml:space="preserve"> </w:t>
      </w:r>
      <w:r>
        <w:t>reallocation</w:t>
      </w:r>
      <w:r>
        <w:rPr>
          <w:spacing w:val="-2"/>
        </w:rPr>
        <w:t xml:space="preserve"> </w:t>
      </w:r>
      <w:r>
        <w:t>for</w:t>
      </w:r>
      <w:r>
        <w:rPr>
          <w:spacing w:val="-2"/>
        </w:rPr>
        <w:t xml:space="preserve"> </w:t>
      </w:r>
      <w:r>
        <w:t>the</w:t>
      </w:r>
      <w:r>
        <w:rPr>
          <w:spacing w:val="-2"/>
        </w:rPr>
        <w:t xml:space="preserve"> </w:t>
      </w:r>
      <w:r>
        <w:t>Part</w:t>
      </w:r>
      <w:r>
        <w:rPr>
          <w:spacing w:val="-2"/>
        </w:rPr>
        <w:t xml:space="preserve"> </w:t>
      </w:r>
      <w:r>
        <w:t>D</w:t>
      </w:r>
      <w:r>
        <w:rPr>
          <w:spacing w:val="-3"/>
        </w:rPr>
        <w:t xml:space="preserve"> </w:t>
      </w:r>
      <w:r>
        <w:t>basic</w:t>
      </w:r>
      <w:r>
        <w:rPr>
          <w:spacing w:val="-2"/>
        </w:rPr>
        <w:t xml:space="preserve"> </w:t>
      </w:r>
      <w:r>
        <w:t>premium</w:t>
      </w:r>
      <w:r>
        <w:rPr>
          <w:spacing w:val="-2"/>
        </w:rPr>
        <w:t xml:space="preserve"> </w:t>
      </w:r>
      <w:r>
        <w:t>is</w:t>
      </w:r>
      <w:r>
        <w:rPr>
          <w:spacing w:val="-3"/>
        </w:rPr>
        <w:t xml:space="preserve"> </w:t>
      </w:r>
      <w:r>
        <w:t>not</w:t>
      </w:r>
      <w:r>
        <w:rPr>
          <w:spacing w:val="-2"/>
        </w:rPr>
        <w:t xml:space="preserve"> </w:t>
      </w:r>
      <w:r>
        <w:t>permitted</w:t>
      </w:r>
      <w:r>
        <w:rPr>
          <w:spacing w:val="-2"/>
        </w:rPr>
        <w:t xml:space="preserve"> </w:t>
      </w:r>
      <w:r>
        <w:t>if</w:t>
      </w:r>
      <w:r>
        <w:rPr>
          <w:spacing w:val="-2"/>
        </w:rPr>
        <w:t xml:space="preserve"> </w:t>
      </w:r>
      <w:r>
        <w:t>both</w:t>
      </w:r>
      <w:r>
        <w:rPr>
          <w:spacing w:val="-2"/>
        </w:rPr>
        <w:t xml:space="preserve"> </w:t>
      </w:r>
      <w:r>
        <w:t>(i)</w:t>
      </w:r>
      <w:r>
        <w:rPr>
          <w:spacing w:val="-3"/>
        </w:rPr>
        <w:t xml:space="preserve"> </w:t>
      </w:r>
      <w:r>
        <w:t>the</w:t>
      </w:r>
      <w:r>
        <w:rPr>
          <w:spacing w:val="-2"/>
        </w:rPr>
        <w:t xml:space="preserve"> </w:t>
      </w:r>
      <w:r>
        <w:t>initial</w:t>
      </w:r>
      <w:r>
        <w:rPr>
          <w:spacing w:val="-2"/>
        </w:rPr>
        <w:t xml:space="preserve"> </w:t>
      </w:r>
      <w:r>
        <w:t>June</w:t>
      </w:r>
      <w:r>
        <w:rPr>
          <w:spacing w:val="-3"/>
        </w:rPr>
        <w:t xml:space="preserve"> </w:t>
      </w:r>
      <w:r>
        <w:t xml:space="preserve">bid has $0.00 basic premium rebate allocations; and (ii) after reflecting announced Part D benchmarks, the basic premium prior rebate is less than the initial June bid Part D basic </w:t>
      </w:r>
      <w:r>
        <w:rPr>
          <w:spacing w:val="-2"/>
        </w:rPr>
        <w:t>premium.</w:t>
      </w:r>
    </w:p>
    <w:p>
      <w:pPr>
        <w:pStyle w:val="BodyText"/>
        <w:spacing w:before="143"/>
        <w:ind w:right="1443"/>
      </w:pPr>
      <w:r>
        <w:rPr>
          <w:b/>
        </w:rPr>
        <w:t>Option 1</w:t>
      </w:r>
      <w:r>
        <w:t>: Rebate reallocation is required for the excessive allocation of $1.60 after reflecting announced</w:t>
      </w:r>
      <w:r>
        <w:rPr>
          <w:spacing w:val="-3"/>
        </w:rPr>
        <w:t xml:space="preserve"> </w:t>
      </w:r>
      <w:r>
        <w:t>RPPO</w:t>
      </w:r>
      <w:r>
        <w:rPr>
          <w:spacing w:val="-4"/>
        </w:rPr>
        <w:t xml:space="preserve"> </w:t>
      </w:r>
      <w:r>
        <w:t>benchmark.</w:t>
      </w:r>
      <w:r>
        <w:rPr>
          <w:spacing w:val="-3"/>
        </w:rPr>
        <w:t xml:space="preserve"> </w:t>
      </w:r>
      <w:r>
        <w:t>The</w:t>
      </w:r>
      <w:r>
        <w:rPr>
          <w:spacing w:val="-5"/>
        </w:rPr>
        <w:t xml:space="preserve"> </w:t>
      </w:r>
      <w:r>
        <w:t>MAO</w:t>
      </w:r>
      <w:r>
        <w:rPr>
          <w:spacing w:val="-4"/>
        </w:rPr>
        <w:t xml:space="preserve"> </w:t>
      </w:r>
      <w:r>
        <w:t>must</w:t>
      </w:r>
      <w:r>
        <w:rPr>
          <w:spacing w:val="-2"/>
        </w:rPr>
        <w:t xml:space="preserve"> </w:t>
      </w:r>
      <w:r>
        <w:t>reallocate</w:t>
      </w:r>
      <w:r>
        <w:rPr>
          <w:spacing w:val="-3"/>
        </w:rPr>
        <w:t xml:space="preserve"> </w:t>
      </w:r>
      <w:r>
        <w:t>the</w:t>
      </w:r>
      <w:r>
        <w:rPr>
          <w:spacing w:val="-4"/>
        </w:rPr>
        <w:t xml:space="preserve"> </w:t>
      </w:r>
      <w:r>
        <w:t>excessive</w:t>
      </w:r>
      <w:r>
        <w:rPr>
          <w:spacing w:val="-2"/>
        </w:rPr>
        <w:t xml:space="preserve"> </w:t>
      </w:r>
      <w:r>
        <w:t>allocation</w:t>
      </w:r>
      <w:r>
        <w:rPr>
          <w:spacing w:val="-3"/>
        </w:rPr>
        <w:t xml:space="preserve"> </w:t>
      </w:r>
      <w:r>
        <w:t>of</w:t>
      </w:r>
      <w:r>
        <w:rPr>
          <w:spacing w:val="-4"/>
        </w:rPr>
        <w:t xml:space="preserve"> </w:t>
      </w:r>
      <w:r>
        <w:t>$1.60</w:t>
      </w:r>
      <w:r>
        <w:rPr>
          <w:spacing w:val="-3"/>
        </w:rPr>
        <w:t xml:space="preserve"> </w:t>
      </w:r>
      <w:r>
        <w:t>by—</w:t>
      </w:r>
    </w:p>
    <w:p>
      <w:pPr>
        <w:pStyle w:val="BodyText"/>
        <w:spacing w:before="139"/>
        <w:ind w:left="1224" w:right="1601"/>
        <w:jc w:val="both"/>
      </w:pPr>
      <w:r>
        <w:rPr>
          <w:b/>
        </w:rPr>
        <w:t>1a</w:t>
      </w:r>
      <w:r>
        <w:t>:</w:t>
      </w:r>
      <w:r>
        <w:rPr>
          <w:spacing w:val="-3"/>
        </w:rPr>
        <w:t xml:space="preserve"> </w:t>
      </w:r>
      <w:r>
        <w:t>Making</w:t>
      </w:r>
      <w:r>
        <w:rPr>
          <w:spacing w:val="-3"/>
        </w:rPr>
        <w:t xml:space="preserve"> </w:t>
      </w:r>
      <w:r>
        <w:t>no</w:t>
      </w:r>
      <w:r>
        <w:rPr>
          <w:spacing w:val="-3"/>
        </w:rPr>
        <w:t xml:space="preserve"> </w:t>
      </w:r>
      <w:r>
        <w:t>changes</w:t>
      </w:r>
      <w:r>
        <w:rPr>
          <w:spacing w:val="-4"/>
        </w:rPr>
        <w:t xml:space="preserve"> </w:t>
      </w:r>
      <w:r>
        <w:t>to</w:t>
      </w:r>
      <w:r>
        <w:rPr>
          <w:spacing w:val="-3"/>
        </w:rPr>
        <w:t xml:space="preserve"> </w:t>
      </w:r>
      <w:r>
        <w:t>MSB</w:t>
      </w:r>
      <w:r>
        <w:rPr>
          <w:spacing w:val="-3"/>
        </w:rPr>
        <w:t xml:space="preserve"> </w:t>
      </w:r>
      <w:r>
        <w:t>revenue</w:t>
      </w:r>
      <w:r>
        <w:rPr>
          <w:spacing w:val="-3"/>
        </w:rPr>
        <w:t xml:space="preserve"> </w:t>
      </w:r>
      <w:r>
        <w:t>requirement</w:t>
      </w:r>
      <w:r>
        <w:rPr>
          <w:spacing w:val="-2"/>
        </w:rPr>
        <w:t xml:space="preserve"> </w:t>
      </w:r>
      <w:r>
        <w:t>and</w:t>
      </w:r>
      <w:r>
        <w:rPr>
          <w:spacing w:val="-3"/>
        </w:rPr>
        <w:t xml:space="preserve"> </w:t>
      </w:r>
      <w:r>
        <w:t>decreasing</w:t>
      </w:r>
      <w:r>
        <w:rPr>
          <w:spacing w:val="-3"/>
        </w:rPr>
        <w:t xml:space="preserve"> </w:t>
      </w:r>
      <w:r>
        <w:t>the</w:t>
      </w:r>
      <w:r>
        <w:rPr>
          <w:spacing w:val="-4"/>
        </w:rPr>
        <w:t xml:space="preserve"> </w:t>
      </w:r>
      <w:r>
        <w:t>MA</w:t>
      </w:r>
      <w:r>
        <w:rPr>
          <w:spacing w:val="-4"/>
        </w:rPr>
        <w:t xml:space="preserve"> </w:t>
      </w:r>
      <w:r>
        <w:t>or</w:t>
      </w:r>
      <w:r>
        <w:rPr>
          <w:spacing w:val="-3"/>
        </w:rPr>
        <w:t xml:space="preserve"> </w:t>
      </w:r>
      <w:r>
        <w:t>Part</w:t>
      </w:r>
      <w:r>
        <w:rPr>
          <w:spacing w:val="-3"/>
        </w:rPr>
        <w:t xml:space="preserve"> </w:t>
      </w:r>
      <w:r>
        <w:t>D supplemental premiums (or increasing the rebates allocated to the Part B premium) by increasing rebate allocations to MA, Part D supplemental, or Part B premiums; or</w:t>
      </w:r>
    </w:p>
    <w:p>
      <w:pPr>
        <w:pStyle w:val="BodyText"/>
        <w:spacing w:after="0"/>
        <w:jc w:val="both"/>
        <w:sectPr>
          <w:pgSz w:w="12240" w:h="15840"/>
          <w:pgMar w:top="960" w:right="0" w:bottom="940" w:left="1080" w:header="727" w:footer="747"/>
          <w:cols w:space="720"/>
        </w:sectPr>
      </w:pPr>
    </w:p>
    <w:p>
      <w:pPr>
        <w:pStyle w:val="BodyText"/>
        <w:spacing w:before="190"/>
        <w:ind w:left="0"/>
      </w:pPr>
    </w:p>
    <w:p>
      <w:pPr>
        <w:pStyle w:val="BodyText"/>
        <w:ind w:left="1224" w:right="1481"/>
      </w:pPr>
      <w:r>
        <w:rPr>
          <w:b/>
        </w:rPr>
        <w:t>1b</w:t>
      </w:r>
      <w:r>
        <w:t>:</w:t>
      </w:r>
      <w:r>
        <w:rPr>
          <w:spacing w:val="-3"/>
        </w:rPr>
        <w:t xml:space="preserve"> </w:t>
      </w:r>
      <w:r>
        <w:t>Increasing</w:t>
      </w:r>
      <w:r>
        <w:rPr>
          <w:spacing w:val="-3"/>
        </w:rPr>
        <w:t xml:space="preserve"> </w:t>
      </w:r>
      <w:r>
        <w:t>MSB</w:t>
      </w:r>
      <w:r>
        <w:rPr>
          <w:spacing w:val="-3"/>
        </w:rPr>
        <w:t xml:space="preserve"> </w:t>
      </w:r>
      <w:r>
        <w:t>revenue</w:t>
      </w:r>
      <w:r>
        <w:rPr>
          <w:spacing w:val="-3"/>
        </w:rPr>
        <w:t xml:space="preserve"> </w:t>
      </w:r>
      <w:r>
        <w:t>requirement</w:t>
      </w:r>
      <w:r>
        <w:rPr>
          <w:spacing w:val="-3"/>
        </w:rPr>
        <w:t xml:space="preserve"> </w:t>
      </w:r>
      <w:r>
        <w:t>by</w:t>
      </w:r>
      <w:r>
        <w:rPr>
          <w:spacing w:val="-3"/>
        </w:rPr>
        <w:t xml:space="preserve"> </w:t>
      </w:r>
      <w:r>
        <w:t>less</w:t>
      </w:r>
      <w:r>
        <w:rPr>
          <w:spacing w:val="-4"/>
        </w:rPr>
        <w:t xml:space="preserve"> </w:t>
      </w:r>
      <w:r>
        <w:t>than</w:t>
      </w:r>
      <w:r>
        <w:rPr>
          <w:spacing w:val="-3"/>
        </w:rPr>
        <w:t xml:space="preserve"> </w:t>
      </w:r>
      <w:r>
        <w:t>or</w:t>
      </w:r>
      <w:r>
        <w:rPr>
          <w:spacing w:val="-5"/>
        </w:rPr>
        <w:t xml:space="preserve"> </w:t>
      </w:r>
      <w:r>
        <w:t>equal</w:t>
      </w:r>
      <w:r>
        <w:rPr>
          <w:spacing w:val="-3"/>
        </w:rPr>
        <w:t xml:space="preserve"> </w:t>
      </w:r>
      <w:r>
        <w:t>to</w:t>
      </w:r>
      <w:r>
        <w:rPr>
          <w:spacing w:val="-3"/>
        </w:rPr>
        <w:t xml:space="preserve"> </w:t>
      </w:r>
      <w:r>
        <w:t>$1.60,</w:t>
      </w:r>
      <w:r>
        <w:rPr>
          <w:spacing w:val="-3"/>
        </w:rPr>
        <w:t xml:space="preserve"> </w:t>
      </w:r>
      <w:r>
        <w:t>such</w:t>
      </w:r>
      <w:r>
        <w:rPr>
          <w:spacing w:val="-3"/>
        </w:rPr>
        <w:t xml:space="preserve"> </w:t>
      </w:r>
      <w:r>
        <w:t>that</w:t>
      </w:r>
      <w:r>
        <w:rPr>
          <w:spacing w:val="-3"/>
        </w:rPr>
        <w:t xml:space="preserve"> </w:t>
      </w:r>
      <w:r>
        <w:t>there is a partial or full return to the MA premium in initial June bid by increasing rebate allocations to MA, Part D supplemental, or Part B premiums.</w:t>
      </w:r>
    </w:p>
    <w:p>
      <w:pPr>
        <w:pStyle w:val="BodyText"/>
        <w:spacing w:before="139"/>
        <w:ind w:right="1481"/>
      </w:pPr>
      <w:r>
        <w:t>*</w:t>
      </w:r>
      <w:r>
        <w:rPr>
          <w:b/>
        </w:rPr>
        <w:t>Unacceptable</w:t>
      </w:r>
      <w:r>
        <w:rPr>
          <w:b/>
          <w:spacing w:val="-4"/>
        </w:rPr>
        <w:t xml:space="preserve"> </w:t>
      </w:r>
      <w:r>
        <w:rPr>
          <w:b/>
        </w:rPr>
        <w:t>Option</w:t>
      </w:r>
      <w:r>
        <w:t>:</w:t>
      </w:r>
      <w:r>
        <w:rPr>
          <w:spacing w:val="-3"/>
        </w:rPr>
        <w:t xml:space="preserve"> </w:t>
      </w:r>
      <w:r>
        <w:t>The</w:t>
      </w:r>
      <w:r>
        <w:rPr>
          <w:spacing w:val="-5"/>
        </w:rPr>
        <w:t xml:space="preserve"> </w:t>
      </w:r>
      <w:r>
        <w:t>MSB</w:t>
      </w:r>
      <w:r>
        <w:rPr>
          <w:spacing w:val="-3"/>
        </w:rPr>
        <w:t xml:space="preserve"> </w:t>
      </w:r>
      <w:r>
        <w:t>revenue</w:t>
      </w:r>
      <w:r>
        <w:rPr>
          <w:spacing w:val="-2"/>
        </w:rPr>
        <w:t xml:space="preserve"> </w:t>
      </w:r>
      <w:r>
        <w:t>requirement</w:t>
      </w:r>
      <w:r>
        <w:rPr>
          <w:spacing w:val="-2"/>
        </w:rPr>
        <w:t xml:space="preserve"> </w:t>
      </w:r>
      <w:r>
        <w:t>cannot</w:t>
      </w:r>
      <w:r>
        <w:rPr>
          <w:spacing w:val="-3"/>
        </w:rPr>
        <w:t xml:space="preserve"> </w:t>
      </w:r>
      <w:r>
        <w:t>increase</w:t>
      </w:r>
      <w:r>
        <w:rPr>
          <w:spacing w:val="-4"/>
        </w:rPr>
        <w:t xml:space="preserve"> </w:t>
      </w:r>
      <w:r>
        <w:t>more</w:t>
      </w:r>
      <w:r>
        <w:rPr>
          <w:spacing w:val="-4"/>
        </w:rPr>
        <w:t xml:space="preserve"> </w:t>
      </w:r>
      <w:r>
        <w:t>than</w:t>
      </w:r>
      <w:r>
        <w:rPr>
          <w:spacing w:val="-3"/>
        </w:rPr>
        <w:t xml:space="preserve"> </w:t>
      </w:r>
      <w:r>
        <w:t>the</w:t>
      </w:r>
      <w:r>
        <w:rPr>
          <w:spacing w:val="-4"/>
        </w:rPr>
        <w:t xml:space="preserve"> </w:t>
      </w:r>
      <w:r>
        <w:t>value</w:t>
      </w:r>
      <w:r>
        <w:rPr>
          <w:spacing w:val="-4"/>
        </w:rPr>
        <w:t xml:space="preserve"> </w:t>
      </w:r>
      <w:r>
        <w:t>of the rebates for allocation.</w:t>
      </w:r>
    </w:p>
    <w:p>
      <w:pPr>
        <w:pStyle w:val="BodyText"/>
        <w:spacing w:before="6"/>
        <w:ind w:left="0"/>
      </w:pPr>
    </w:p>
    <w:p>
      <w:pPr>
        <w:pStyle w:val="Heading4"/>
        <w:spacing w:before="1"/>
      </w:pPr>
      <w:bookmarkStart w:id="381" w:name="Example 12: Excessive Rebates Allocated "/>
      <w:bookmarkEnd w:id="381"/>
      <w:r>
        <w:rPr>
          <w:i/>
        </w:rPr>
        <w:t>Example</w:t>
      </w:r>
      <w:r>
        <w:rPr>
          <w:i/>
          <w:spacing w:val="-4"/>
        </w:rPr>
        <w:t xml:space="preserve"> </w:t>
      </w:r>
      <w:r>
        <w:rPr>
          <w:i/>
        </w:rPr>
        <w:t>12:</w:t>
      </w:r>
      <w:r>
        <w:rPr>
          <w:i/>
          <w:spacing w:val="-4"/>
        </w:rPr>
        <w:t xml:space="preserve"> </w:t>
      </w:r>
      <w:r>
        <w:rPr>
          <w:i/>
        </w:rPr>
        <w:t>Excessive</w:t>
      </w:r>
      <w:r>
        <w:rPr>
          <w:i/>
          <w:spacing w:val="-4"/>
        </w:rPr>
        <w:t xml:space="preserve"> </w:t>
      </w:r>
      <w:r>
        <w:rPr>
          <w:i/>
        </w:rPr>
        <w:t>Rebates</w:t>
      </w:r>
      <w:r>
        <w:rPr>
          <w:i/>
          <w:spacing w:val="-4"/>
        </w:rPr>
        <w:t xml:space="preserve"> </w:t>
      </w:r>
      <w:r>
        <w:rPr>
          <w:i/>
        </w:rPr>
        <w:t>Allocated</w:t>
      </w:r>
      <w:r>
        <w:rPr>
          <w:i/>
          <w:spacing w:val="-7"/>
        </w:rPr>
        <w:t xml:space="preserve"> </w:t>
      </w:r>
      <w:r>
        <w:rPr>
          <w:i/>
        </w:rPr>
        <w:t>for</w:t>
      </w:r>
      <w:r>
        <w:rPr>
          <w:i/>
          <w:spacing w:val="-4"/>
        </w:rPr>
        <w:t xml:space="preserve"> </w:t>
      </w:r>
      <w:r>
        <w:rPr>
          <w:i/>
        </w:rPr>
        <w:t>Combined</w:t>
      </w:r>
      <w:r>
        <w:rPr>
          <w:i/>
          <w:spacing w:val="-4"/>
        </w:rPr>
        <w:t xml:space="preserve"> </w:t>
      </w:r>
      <w:r>
        <w:rPr>
          <w:i/>
        </w:rPr>
        <w:t>RPPO</w:t>
      </w:r>
      <w:r>
        <w:rPr>
          <w:i/>
          <w:spacing w:val="-6"/>
        </w:rPr>
        <w:t xml:space="preserve"> </w:t>
      </w:r>
      <w:r>
        <w:rPr>
          <w:i/>
        </w:rPr>
        <w:t>Benchmark</w:t>
      </w:r>
      <w:r>
        <w:rPr>
          <w:i/>
          <w:spacing w:val="-5"/>
        </w:rPr>
        <w:t xml:space="preserve"> </w:t>
      </w:r>
      <w:r>
        <w:rPr>
          <w:i/>
        </w:rPr>
        <w:t>and</w:t>
      </w:r>
      <w:r>
        <w:t xml:space="preserve"> Part D Basic Premium, and Rebate Reallocation for Part D Basic Premium is </w:t>
      </w:r>
      <w:r>
        <w:rPr>
          <w:spacing w:val="-2"/>
        </w:rPr>
        <w:t>Optional.</w:t>
      </w:r>
    </w:p>
    <w:p>
      <w:pPr>
        <w:pStyle w:val="BodyText"/>
        <w:spacing w:before="129"/>
        <w:ind w:left="0"/>
        <w:rPr>
          <w:rFonts w:ascii="Arial"/>
          <w:b/>
          <w:i/>
          <w:sz w:val="20"/>
        </w:rPr>
      </w:pPr>
    </w:p>
    <w:tbl>
      <w:tblPr>
        <w:tblStyle w:val="TableNormal"/>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9"/>
        <w:gridCol w:w="1046"/>
        <w:gridCol w:w="1351"/>
        <w:gridCol w:w="899"/>
        <w:gridCol w:w="899"/>
        <w:gridCol w:w="1168"/>
        <w:gridCol w:w="1259"/>
      </w:tblGrid>
      <w:tr>
        <w:tblPrEx>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25"/>
          <w:jc w:val="left"/>
        </w:trPr>
        <w:tc>
          <w:tcPr>
            <w:tcW w:w="3089" w:type="dxa"/>
          </w:tcPr>
          <w:p>
            <w:pPr>
              <w:pStyle w:val="TableParagraph"/>
              <w:spacing w:before="240"/>
              <w:ind w:left="10"/>
              <w:jc w:val="center"/>
              <w:rPr>
                <w:b/>
                <w:sz w:val="21"/>
              </w:rPr>
            </w:pPr>
            <w:r>
              <w:rPr>
                <w:b/>
                <w:spacing w:val="-2"/>
                <w:sz w:val="21"/>
              </w:rPr>
              <w:t>Label</w:t>
            </w:r>
          </w:p>
        </w:tc>
        <w:tc>
          <w:tcPr>
            <w:tcW w:w="1046" w:type="dxa"/>
          </w:tcPr>
          <w:p>
            <w:pPr>
              <w:pStyle w:val="TableParagraph"/>
              <w:spacing w:before="120"/>
              <w:ind w:left="122" w:right="108" w:firstLine="127"/>
              <w:rPr>
                <w:b/>
                <w:sz w:val="21"/>
              </w:rPr>
            </w:pPr>
            <w:r>
              <w:rPr>
                <w:b/>
                <w:spacing w:val="-2"/>
                <w:sz w:val="21"/>
              </w:rPr>
              <w:t xml:space="preserve">Initial </w:t>
            </w:r>
            <w:r>
              <w:rPr>
                <w:b/>
                <w:sz w:val="21"/>
              </w:rPr>
              <w:t>June</w:t>
            </w:r>
            <w:r>
              <w:rPr>
                <w:b/>
                <w:spacing w:val="-14"/>
                <w:sz w:val="21"/>
              </w:rPr>
              <w:t xml:space="preserve"> </w:t>
            </w:r>
            <w:r>
              <w:rPr>
                <w:b/>
                <w:sz w:val="21"/>
              </w:rPr>
              <w:t>Bid</w:t>
            </w:r>
          </w:p>
        </w:tc>
        <w:tc>
          <w:tcPr>
            <w:tcW w:w="1351" w:type="dxa"/>
          </w:tcPr>
          <w:p>
            <w:pPr>
              <w:pStyle w:val="TableParagraph"/>
              <w:ind w:left="221" w:right="212" w:firstLine="2"/>
              <w:jc w:val="center"/>
              <w:rPr>
                <w:b/>
                <w:sz w:val="21"/>
              </w:rPr>
            </w:pPr>
            <w:r>
              <w:rPr>
                <w:b/>
                <w:spacing w:val="-2"/>
                <w:sz w:val="21"/>
              </w:rPr>
              <w:t xml:space="preserve">After </w:t>
            </w:r>
            <w:r>
              <w:rPr>
                <w:b/>
                <w:sz w:val="21"/>
              </w:rPr>
              <w:t>Release</w:t>
            </w:r>
            <w:r>
              <w:rPr>
                <w:b/>
                <w:spacing w:val="-8"/>
                <w:sz w:val="21"/>
              </w:rPr>
              <w:t xml:space="preserve"> </w:t>
            </w:r>
            <w:r>
              <w:rPr>
                <w:b/>
                <w:spacing w:val="-5"/>
                <w:sz w:val="21"/>
              </w:rPr>
              <w:t>of</w:t>
            </w:r>
          </w:p>
          <w:p>
            <w:pPr>
              <w:pStyle w:val="TableParagraph"/>
              <w:spacing w:line="221" w:lineRule="exact"/>
              <w:ind w:left="16" w:right="6"/>
              <w:jc w:val="center"/>
              <w:rPr>
                <w:b/>
                <w:sz w:val="21"/>
              </w:rPr>
            </w:pPr>
            <w:r>
              <w:rPr>
                <w:b/>
                <w:spacing w:val="-2"/>
                <w:sz w:val="21"/>
              </w:rPr>
              <w:t>Benchmark</w:t>
            </w:r>
          </w:p>
        </w:tc>
        <w:tc>
          <w:tcPr>
            <w:tcW w:w="899" w:type="dxa"/>
          </w:tcPr>
          <w:p>
            <w:pPr>
              <w:pStyle w:val="TableParagraph"/>
              <w:spacing w:before="120"/>
              <w:ind w:left="337" w:right="117" w:hanging="204"/>
              <w:rPr>
                <w:b/>
                <w:sz w:val="21"/>
              </w:rPr>
            </w:pPr>
            <w:r>
              <w:rPr>
                <w:b/>
                <w:spacing w:val="-2"/>
                <w:sz w:val="21"/>
              </w:rPr>
              <w:t xml:space="preserve">Option </w:t>
            </w:r>
            <w:r>
              <w:rPr>
                <w:b/>
                <w:spacing w:val="-6"/>
                <w:sz w:val="21"/>
              </w:rPr>
              <w:t>1b</w:t>
            </w:r>
          </w:p>
        </w:tc>
        <w:tc>
          <w:tcPr>
            <w:tcW w:w="899" w:type="dxa"/>
          </w:tcPr>
          <w:p>
            <w:pPr>
              <w:pStyle w:val="TableParagraph"/>
              <w:spacing w:before="120"/>
              <w:ind w:left="338" w:right="116" w:hanging="204"/>
              <w:rPr>
                <w:b/>
                <w:sz w:val="21"/>
              </w:rPr>
            </w:pPr>
            <w:r>
              <w:rPr>
                <w:b/>
                <w:spacing w:val="-2"/>
                <w:sz w:val="21"/>
              </w:rPr>
              <w:t xml:space="preserve">Option </w:t>
            </w:r>
            <w:r>
              <w:rPr>
                <w:b/>
                <w:spacing w:val="-6"/>
                <w:sz w:val="21"/>
              </w:rPr>
              <w:t>2b</w:t>
            </w:r>
          </w:p>
        </w:tc>
        <w:tc>
          <w:tcPr>
            <w:tcW w:w="1168" w:type="dxa"/>
          </w:tcPr>
          <w:p>
            <w:pPr>
              <w:pStyle w:val="TableParagraph"/>
              <w:ind w:left="397" w:hanging="267"/>
              <w:rPr>
                <w:b/>
                <w:sz w:val="21"/>
              </w:rPr>
            </w:pPr>
            <w:r>
              <w:rPr>
                <w:b/>
                <w:spacing w:val="-2"/>
                <w:sz w:val="21"/>
              </w:rPr>
              <w:t>Unaccept-</w:t>
            </w:r>
            <w:r>
              <w:rPr>
                <w:b/>
                <w:spacing w:val="-4"/>
                <w:sz w:val="21"/>
              </w:rPr>
              <w:t>able</w:t>
            </w:r>
          </w:p>
          <w:p>
            <w:pPr>
              <w:pStyle w:val="TableParagraph"/>
              <w:spacing w:line="221" w:lineRule="exact"/>
              <w:ind w:left="118"/>
              <w:rPr>
                <w:b/>
                <w:sz w:val="21"/>
              </w:rPr>
            </w:pPr>
            <w:r>
              <w:rPr>
                <w:b/>
                <w:spacing w:val="-2"/>
                <w:sz w:val="21"/>
              </w:rPr>
              <w:t>Option(i)*</w:t>
            </w:r>
          </w:p>
        </w:tc>
        <w:tc>
          <w:tcPr>
            <w:tcW w:w="1259" w:type="dxa"/>
          </w:tcPr>
          <w:p>
            <w:pPr>
              <w:pStyle w:val="TableParagraph"/>
              <w:ind w:left="446" w:right="154" w:hanging="267"/>
              <w:rPr>
                <w:b/>
                <w:sz w:val="21"/>
              </w:rPr>
            </w:pPr>
            <w:r>
              <w:rPr>
                <w:b/>
                <w:spacing w:val="-2"/>
                <w:sz w:val="21"/>
              </w:rPr>
              <w:t>Unaccept-</w:t>
            </w:r>
            <w:r>
              <w:rPr>
                <w:b/>
                <w:spacing w:val="-4"/>
                <w:sz w:val="21"/>
              </w:rPr>
              <w:t>able</w:t>
            </w:r>
          </w:p>
          <w:p>
            <w:pPr>
              <w:pStyle w:val="TableParagraph"/>
              <w:spacing w:line="221" w:lineRule="exact"/>
              <w:ind w:left="138"/>
              <w:rPr>
                <w:b/>
                <w:sz w:val="21"/>
              </w:rPr>
            </w:pPr>
            <w:r>
              <w:rPr>
                <w:b/>
                <w:spacing w:val="-2"/>
                <w:sz w:val="21"/>
              </w:rPr>
              <w:t>Option(ii)*</w:t>
            </w:r>
          </w:p>
        </w:tc>
      </w:tr>
      <w:tr>
        <w:tblPrEx>
          <w:tblW w:w="0" w:type="auto"/>
          <w:jc w:val="left"/>
          <w:tblInd w:w="514" w:type="dxa"/>
          <w:tblLayout w:type="fixed"/>
          <w:tblCellMar>
            <w:top w:w="0" w:type="dxa"/>
            <w:left w:w="0" w:type="dxa"/>
            <w:bottom w:w="0" w:type="dxa"/>
            <w:right w:w="0" w:type="dxa"/>
          </w:tblCellMar>
          <w:tblLook w:val="01E0"/>
        </w:tblPrEx>
        <w:trPr>
          <w:trHeight w:val="332"/>
          <w:jc w:val="left"/>
        </w:trPr>
        <w:tc>
          <w:tcPr>
            <w:tcW w:w="3089" w:type="dxa"/>
            <w:tcBorders>
              <w:bottom w:val="nil"/>
            </w:tcBorders>
          </w:tcPr>
          <w:p>
            <w:pPr>
              <w:pStyle w:val="TableParagraph"/>
              <w:spacing w:before="58"/>
              <w:ind w:left="107"/>
              <w:rPr>
                <w:b/>
                <w:sz w:val="21"/>
              </w:rPr>
            </w:pPr>
            <w:r>
              <w:rPr>
                <w:b/>
                <w:sz w:val="21"/>
              </w:rPr>
              <w:t>Rebates</w:t>
            </w:r>
            <w:r>
              <w:rPr>
                <w:b/>
                <w:spacing w:val="-5"/>
                <w:sz w:val="21"/>
              </w:rPr>
              <w:t xml:space="preserve"> </w:t>
            </w:r>
            <w:r>
              <w:rPr>
                <w:b/>
                <w:sz w:val="21"/>
              </w:rPr>
              <w:t>for</w:t>
            </w:r>
            <w:r>
              <w:rPr>
                <w:b/>
                <w:spacing w:val="-6"/>
                <w:sz w:val="21"/>
              </w:rPr>
              <w:t xml:space="preserve"> </w:t>
            </w:r>
            <w:r>
              <w:rPr>
                <w:b/>
                <w:spacing w:val="-2"/>
                <w:sz w:val="21"/>
              </w:rPr>
              <w:t>Allocation</w:t>
            </w:r>
          </w:p>
        </w:tc>
        <w:tc>
          <w:tcPr>
            <w:tcW w:w="1046" w:type="dxa"/>
            <w:tcBorders>
              <w:bottom w:val="nil"/>
            </w:tcBorders>
          </w:tcPr>
          <w:p>
            <w:pPr>
              <w:pStyle w:val="TableParagraph"/>
              <w:rPr>
                <w:sz w:val="22"/>
              </w:rPr>
            </w:pPr>
          </w:p>
        </w:tc>
        <w:tc>
          <w:tcPr>
            <w:tcW w:w="1351" w:type="dxa"/>
            <w:tcBorders>
              <w:bottom w:val="nil"/>
            </w:tcBorders>
          </w:tcPr>
          <w:p>
            <w:pPr>
              <w:pStyle w:val="TableParagraph"/>
              <w:rPr>
                <w:sz w:val="22"/>
              </w:rPr>
            </w:pPr>
          </w:p>
        </w:tc>
        <w:tc>
          <w:tcPr>
            <w:tcW w:w="899" w:type="dxa"/>
            <w:tcBorders>
              <w:bottom w:val="nil"/>
            </w:tcBorders>
          </w:tcPr>
          <w:p>
            <w:pPr>
              <w:pStyle w:val="TableParagraph"/>
              <w:rPr>
                <w:sz w:val="22"/>
              </w:rPr>
            </w:pPr>
          </w:p>
        </w:tc>
        <w:tc>
          <w:tcPr>
            <w:tcW w:w="899" w:type="dxa"/>
            <w:tcBorders>
              <w:bottom w:val="nil"/>
            </w:tcBorders>
          </w:tcPr>
          <w:p>
            <w:pPr>
              <w:pStyle w:val="TableParagraph"/>
              <w:rPr>
                <w:sz w:val="22"/>
              </w:rPr>
            </w:pPr>
          </w:p>
        </w:tc>
        <w:tc>
          <w:tcPr>
            <w:tcW w:w="1168" w:type="dxa"/>
            <w:tcBorders>
              <w:bottom w:val="nil"/>
            </w:tcBorders>
          </w:tcPr>
          <w:p>
            <w:pPr>
              <w:pStyle w:val="TableParagraph"/>
              <w:rPr>
                <w:sz w:val="22"/>
              </w:rPr>
            </w:pPr>
          </w:p>
        </w:tc>
        <w:tc>
          <w:tcPr>
            <w:tcW w:w="1259" w:type="dxa"/>
            <w:tcBorders>
              <w:bottom w:val="nil"/>
            </w:tcBorders>
          </w:tcPr>
          <w:p>
            <w:pPr>
              <w:pStyle w:val="TableParagraph"/>
              <w:rPr>
                <w:sz w:val="22"/>
              </w:rPr>
            </w:pPr>
          </w:p>
        </w:tc>
      </w:tr>
      <w:tr>
        <w:tblPrEx>
          <w:tblW w:w="0" w:type="auto"/>
          <w:jc w:val="left"/>
          <w:tblInd w:w="514" w:type="dxa"/>
          <w:tblLayout w:type="fixed"/>
          <w:tblCellMar>
            <w:top w:w="0" w:type="dxa"/>
            <w:left w:w="0" w:type="dxa"/>
            <w:bottom w:w="0" w:type="dxa"/>
            <w:right w:w="0" w:type="dxa"/>
          </w:tblCellMar>
          <w:tblLook w:val="01E0"/>
        </w:tblPrEx>
        <w:trPr>
          <w:trHeight w:val="285"/>
          <w:jc w:val="left"/>
        </w:trPr>
        <w:tc>
          <w:tcPr>
            <w:tcW w:w="3089" w:type="dxa"/>
            <w:tcBorders>
              <w:top w:val="nil"/>
              <w:bottom w:val="nil"/>
            </w:tcBorders>
          </w:tcPr>
          <w:p>
            <w:pPr>
              <w:pStyle w:val="TableParagraph"/>
              <w:spacing w:before="25" w:line="240" w:lineRule="exact"/>
              <w:ind w:left="261"/>
              <w:rPr>
                <w:b/>
                <w:sz w:val="21"/>
              </w:rPr>
            </w:pPr>
            <w:r>
              <w:rPr>
                <w:b/>
                <w:spacing w:val="-4"/>
                <w:sz w:val="21"/>
              </w:rPr>
              <w:t>RPPO</w:t>
            </w:r>
          </w:p>
        </w:tc>
        <w:tc>
          <w:tcPr>
            <w:tcW w:w="1046" w:type="dxa"/>
            <w:tcBorders>
              <w:top w:val="nil"/>
              <w:bottom w:val="nil"/>
            </w:tcBorders>
          </w:tcPr>
          <w:p>
            <w:pPr>
              <w:pStyle w:val="TableParagraph"/>
              <w:spacing w:before="25" w:line="240" w:lineRule="exact"/>
              <w:ind w:left="10" w:right="1"/>
              <w:jc w:val="center"/>
              <w:rPr>
                <w:sz w:val="21"/>
              </w:rPr>
            </w:pPr>
            <w:r>
              <w:rPr>
                <w:spacing w:val="-5"/>
                <w:sz w:val="21"/>
              </w:rPr>
              <w:t>N/A</w:t>
            </w:r>
          </w:p>
        </w:tc>
        <w:tc>
          <w:tcPr>
            <w:tcW w:w="1351" w:type="dxa"/>
            <w:tcBorders>
              <w:top w:val="nil"/>
              <w:bottom w:val="nil"/>
            </w:tcBorders>
          </w:tcPr>
          <w:p>
            <w:pPr>
              <w:pStyle w:val="TableParagraph"/>
              <w:spacing w:before="25" w:line="240" w:lineRule="exact"/>
              <w:ind w:left="16" w:right="8"/>
              <w:jc w:val="center"/>
              <w:rPr>
                <w:sz w:val="21"/>
              </w:rPr>
            </w:pPr>
            <w:r>
              <w:rPr>
                <w:spacing w:val="-2"/>
                <w:sz w:val="21"/>
              </w:rPr>
              <w:t>$11.00</w:t>
            </w:r>
          </w:p>
        </w:tc>
        <w:tc>
          <w:tcPr>
            <w:tcW w:w="899" w:type="dxa"/>
            <w:tcBorders>
              <w:top w:val="nil"/>
              <w:bottom w:val="nil"/>
            </w:tcBorders>
          </w:tcPr>
          <w:p>
            <w:pPr>
              <w:pStyle w:val="TableParagraph"/>
              <w:spacing w:before="25" w:line="240" w:lineRule="exact"/>
              <w:ind w:left="12" w:right="2"/>
              <w:jc w:val="center"/>
              <w:rPr>
                <w:sz w:val="21"/>
              </w:rPr>
            </w:pPr>
            <w:r>
              <w:rPr>
                <w:spacing w:val="-2"/>
                <w:sz w:val="21"/>
              </w:rPr>
              <w:t>$11.00</w:t>
            </w:r>
          </w:p>
        </w:tc>
        <w:tc>
          <w:tcPr>
            <w:tcW w:w="899" w:type="dxa"/>
            <w:tcBorders>
              <w:top w:val="nil"/>
              <w:bottom w:val="nil"/>
            </w:tcBorders>
          </w:tcPr>
          <w:p>
            <w:pPr>
              <w:pStyle w:val="TableParagraph"/>
              <w:spacing w:before="25" w:line="240" w:lineRule="exact"/>
              <w:ind w:left="12"/>
              <w:jc w:val="center"/>
              <w:rPr>
                <w:sz w:val="21"/>
              </w:rPr>
            </w:pPr>
            <w:r>
              <w:rPr>
                <w:spacing w:val="-2"/>
                <w:sz w:val="21"/>
              </w:rPr>
              <w:t>$11.00</w:t>
            </w:r>
          </w:p>
        </w:tc>
        <w:tc>
          <w:tcPr>
            <w:tcW w:w="1168" w:type="dxa"/>
            <w:tcBorders>
              <w:top w:val="nil"/>
              <w:bottom w:val="nil"/>
            </w:tcBorders>
          </w:tcPr>
          <w:p>
            <w:pPr>
              <w:pStyle w:val="TableParagraph"/>
              <w:spacing w:before="25" w:line="240" w:lineRule="exact"/>
              <w:ind w:left="15"/>
              <w:jc w:val="center"/>
              <w:rPr>
                <w:sz w:val="21"/>
              </w:rPr>
            </w:pPr>
            <w:r>
              <w:rPr>
                <w:spacing w:val="-2"/>
                <w:sz w:val="21"/>
              </w:rPr>
              <w:t>$11.00</w:t>
            </w:r>
          </w:p>
        </w:tc>
        <w:tc>
          <w:tcPr>
            <w:tcW w:w="1259" w:type="dxa"/>
            <w:tcBorders>
              <w:top w:val="nil"/>
              <w:bottom w:val="nil"/>
            </w:tcBorders>
          </w:tcPr>
          <w:p>
            <w:pPr>
              <w:pStyle w:val="TableParagraph"/>
              <w:spacing w:before="25" w:line="240" w:lineRule="exact"/>
              <w:ind w:left="22"/>
              <w:jc w:val="center"/>
              <w:rPr>
                <w:sz w:val="21"/>
              </w:rPr>
            </w:pPr>
            <w:r>
              <w:rPr>
                <w:spacing w:val="-2"/>
                <w:sz w:val="21"/>
              </w:rPr>
              <w:t>$11.00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89" w:type="dxa"/>
            <w:tcBorders>
              <w:top w:val="nil"/>
              <w:bottom w:val="nil"/>
            </w:tcBorders>
          </w:tcPr>
          <w:p>
            <w:pPr>
              <w:pStyle w:val="TableParagraph"/>
              <w:spacing w:before="39" w:line="240" w:lineRule="exact"/>
              <w:ind w:left="261"/>
              <w:rPr>
                <w:b/>
                <w:sz w:val="21"/>
              </w:rPr>
            </w:pPr>
            <w:r>
              <w:rPr>
                <w:b/>
                <w:sz w:val="21"/>
              </w:rPr>
              <w:t>Part</w:t>
            </w:r>
            <w:r>
              <w:rPr>
                <w:b/>
                <w:spacing w:val="-3"/>
                <w:sz w:val="21"/>
              </w:rPr>
              <w:t xml:space="preserve"> </w:t>
            </w:r>
            <w:r>
              <w:rPr>
                <w:b/>
                <w:spacing w:val="-10"/>
                <w:sz w:val="21"/>
              </w:rPr>
              <w:t>D</w:t>
            </w:r>
          </w:p>
        </w:tc>
        <w:tc>
          <w:tcPr>
            <w:tcW w:w="1046" w:type="dxa"/>
            <w:tcBorders>
              <w:top w:val="nil"/>
              <w:bottom w:val="nil"/>
            </w:tcBorders>
          </w:tcPr>
          <w:p>
            <w:pPr>
              <w:pStyle w:val="TableParagraph"/>
              <w:spacing w:before="39" w:line="240" w:lineRule="exact"/>
              <w:ind w:left="10" w:right="1"/>
              <w:jc w:val="center"/>
              <w:rPr>
                <w:sz w:val="21"/>
              </w:rPr>
            </w:pPr>
            <w:r>
              <w:rPr>
                <w:spacing w:val="-5"/>
                <w:sz w:val="21"/>
              </w:rPr>
              <w:t>N/A</w:t>
            </w:r>
          </w:p>
        </w:tc>
        <w:tc>
          <w:tcPr>
            <w:tcW w:w="1351" w:type="dxa"/>
            <w:tcBorders>
              <w:top w:val="nil"/>
              <w:bottom w:val="nil"/>
            </w:tcBorders>
          </w:tcPr>
          <w:p>
            <w:pPr>
              <w:pStyle w:val="TableParagraph"/>
              <w:spacing w:before="39" w:line="240" w:lineRule="exact"/>
              <w:ind w:left="16" w:right="5"/>
              <w:jc w:val="center"/>
              <w:rPr>
                <w:sz w:val="21"/>
              </w:rPr>
            </w:pPr>
            <w:r>
              <w:rPr>
                <w:spacing w:val="-2"/>
                <w:sz w:val="21"/>
              </w:rPr>
              <w:t>−$1.10</w:t>
            </w:r>
          </w:p>
        </w:tc>
        <w:tc>
          <w:tcPr>
            <w:tcW w:w="899" w:type="dxa"/>
            <w:tcBorders>
              <w:top w:val="nil"/>
              <w:bottom w:val="nil"/>
            </w:tcBorders>
          </w:tcPr>
          <w:p>
            <w:pPr>
              <w:pStyle w:val="TableParagraph"/>
              <w:spacing w:before="11"/>
              <w:ind w:left="12" w:right="4"/>
              <w:jc w:val="center"/>
              <w:rPr>
                <w:sz w:val="21"/>
              </w:rPr>
            </w:pPr>
            <w:r>
              <w:rPr>
                <w:spacing w:val="-2"/>
                <w:sz w:val="21"/>
              </w:rPr>
              <w:t>−$1.10</w:t>
            </w:r>
          </w:p>
        </w:tc>
        <w:tc>
          <w:tcPr>
            <w:tcW w:w="899" w:type="dxa"/>
            <w:tcBorders>
              <w:top w:val="nil"/>
              <w:bottom w:val="nil"/>
            </w:tcBorders>
          </w:tcPr>
          <w:p>
            <w:pPr>
              <w:pStyle w:val="TableParagraph"/>
              <w:spacing w:before="11"/>
              <w:ind w:left="12" w:right="2"/>
              <w:jc w:val="center"/>
              <w:rPr>
                <w:sz w:val="21"/>
              </w:rPr>
            </w:pPr>
            <w:r>
              <w:rPr>
                <w:spacing w:val="-2"/>
                <w:sz w:val="21"/>
              </w:rPr>
              <w:t>−$1.10</w:t>
            </w:r>
          </w:p>
        </w:tc>
        <w:tc>
          <w:tcPr>
            <w:tcW w:w="1168" w:type="dxa"/>
            <w:tcBorders>
              <w:top w:val="nil"/>
              <w:bottom w:val="nil"/>
            </w:tcBorders>
          </w:tcPr>
          <w:p>
            <w:pPr>
              <w:pStyle w:val="TableParagraph"/>
              <w:spacing w:before="11"/>
              <w:ind w:left="15" w:right="2"/>
              <w:jc w:val="center"/>
              <w:rPr>
                <w:sz w:val="21"/>
              </w:rPr>
            </w:pPr>
            <w:r>
              <w:rPr>
                <w:spacing w:val="-2"/>
                <w:sz w:val="21"/>
              </w:rPr>
              <w:t>−$1.10</w:t>
            </w:r>
          </w:p>
        </w:tc>
        <w:tc>
          <w:tcPr>
            <w:tcW w:w="1259" w:type="dxa"/>
            <w:tcBorders>
              <w:top w:val="nil"/>
              <w:bottom w:val="nil"/>
            </w:tcBorders>
          </w:tcPr>
          <w:p>
            <w:pPr>
              <w:pStyle w:val="TableParagraph"/>
              <w:spacing w:before="11"/>
              <w:ind w:left="22" w:right="2"/>
              <w:jc w:val="center"/>
              <w:rPr>
                <w:sz w:val="21"/>
              </w:rPr>
            </w:pPr>
            <w:r>
              <w:rPr>
                <w:spacing w:val="-2"/>
                <w:sz w:val="21"/>
              </w:rPr>
              <w:t>−$1.10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89" w:type="dxa"/>
            <w:tcBorders>
              <w:top w:val="nil"/>
              <w:bottom w:val="nil"/>
            </w:tcBorders>
          </w:tcPr>
          <w:p>
            <w:pPr>
              <w:pStyle w:val="TableParagraph"/>
              <w:spacing w:before="39" w:line="240" w:lineRule="exact"/>
              <w:ind w:left="261"/>
              <w:rPr>
                <w:b/>
                <w:sz w:val="21"/>
              </w:rPr>
            </w:pPr>
            <w:r>
              <w:rPr>
                <w:b/>
                <w:spacing w:val="-2"/>
                <w:sz w:val="21"/>
              </w:rPr>
              <w:t>Total</w:t>
            </w:r>
          </w:p>
        </w:tc>
        <w:tc>
          <w:tcPr>
            <w:tcW w:w="1046" w:type="dxa"/>
            <w:tcBorders>
              <w:top w:val="nil"/>
              <w:bottom w:val="nil"/>
            </w:tcBorders>
          </w:tcPr>
          <w:p>
            <w:pPr>
              <w:pStyle w:val="TableParagraph"/>
              <w:spacing w:before="39" w:line="240" w:lineRule="exact"/>
              <w:ind w:left="10" w:right="1"/>
              <w:jc w:val="center"/>
              <w:rPr>
                <w:sz w:val="21"/>
              </w:rPr>
            </w:pPr>
            <w:r>
              <w:rPr>
                <w:spacing w:val="-5"/>
                <w:sz w:val="21"/>
              </w:rPr>
              <w:t>N/A</w:t>
            </w:r>
          </w:p>
        </w:tc>
        <w:tc>
          <w:tcPr>
            <w:tcW w:w="1351" w:type="dxa"/>
            <w:tcBorders>
              <w:top w:val="nil"/>
              <w:bottom w:val="nil"/>
            </w:tcBorders>
          </w:tcPr>
          <w:p>
            <w:pPr>
              <w:pStyle w:val="TableParagraph"/>
              <w:spacing w:before="39" w:line="240" w:lineRule="exact"/>
              <w:ind w:left="16" w:right="8"/>
              <w:jc w:val="center"/>
              <w:rPr>
                <w:sz w:val="21"/>
              </w:rPr>
            </w:pPr>
            <w:r>
              <w:rPr>
                <w:spacing w:val="-2"/>
                <w:sz w:val="21"/>
              </w:rPr>
              <w:t>$9.90</w:t>
            </w:r>
          </w:p>
        </w:tc>
        <w:tc>
          <w:tcPr>
            <w:tcW w:w="899" w:type="dxa"/>
            <w:tcBorders>
              <w:top w:val="nil"/>
              <w:bottom w:val="nil"/>
            </w:tcBorders>
          </w:tcPr>
          <w:p>
            <w:pPr>
              <w:pStyle w:val="TableParagraph"/>
              <w:spacing w:before="11"/>
              <w:ind w:left="12" w:right="2"/>
              <w:jc w:val="center"/>
              <w:rPr>
                <w:sz w:val="21"/>
              </w:rPr>
            </w:pPr>
            <w:r>
              <w:rPr>
                <w:spacing w:val="-2"/>
                <w:sz w:val="21"/>
              </w:rPr>
              <w:t>$9.90</w:t>
            </w:r>
          </w:p>
        </w:tc>
        <w:tc>
          <w:tcPr>
            <w:tcW w:w="899" w:type="dxa"/>
            <w:tcBorders>
              <w:top w:val="nil"/>
              <w:bottom w:val="nil"/>
            </w:tcBorders>
          </w:tcPr>
          <w:p>
            <w:pPr>
              <w:pStyle w:val="TableParagraph"/>
              <w:spacing w:before="11"/>
              <w:ind w:left="12"/>
              <w:jc w:val="center"/>
              <w:rPr>
                <w:sz w:val="21"/>
              </w:rPr>
            </w:pPr>
            <w:r>
              <w:rPr>
                <w:spacing w:val="-2"/>
                <w:sz w:val="21"/>
              </w:rPr>
              <w:t>$9.90</w:t>
            </w:r>
          </w:p>
        </w:tc>
        <w:tc>
          <w:tcPr>
            <w:tcW w:w="1168" w:type="dxa"/>
            <w:tcBorders>
              <w:top w:val="nil"/>
              <w:bottom w:val="nil"/>
            </w:tcBorders>
          </w:tcPr>
          <w:p>
            <w:pPr>
              <w:pStyle w:val="TableParagraph"/>
              <w:spacing w:before="11"/>
              <w:ind w:left="15"/>
              <w:jc w:val="center"/>
              <w:rPr>
                <w:sz w:val="21"/>
              </w:rPr>
            </w:pPr>
            <w:r>
              <w:rPr>
                <w:spacing w:val="-2"/>
                <w:sz w:val="21"/>
              </w:rPr>
              <w:t>$9.90</w:t>
            </w:r>
          </w:p>
        </w:tc>
        <w:tc>
          <w:tcPr>
            <w:tcW w:w="1259" w:type="dxa"/>
            <w:tcBorders>
              <w:top w:val="nil"/>
              <w:bottom w:val="nil"/>
            </w:tcBorders>
          </w:tcPr>
          <w:p>
            <w:pPr>
              <w:pStyle w:val="TableParagraph"/>
              <w:spacing w:before="11"/>
              <w:ind w:left="22"/>
              <w:jc w:val="center"/>
              <w:rPr>
                <w:sz w:val="21"/>
              </w:rPr>
            </w:pPr>
            <w:r>
              <w:rPr>
                <w:spacing w:val="-2"/>
                <w:sz w:val="21"/>
              </w:rPr>
              <w:t>$9.90</w:t>
            </w:r>
          </w:p>
        </w:tc>
      </w:tr>
      <w:tr>
        <w:tblPrEx>
          <w:tblW w:w="0" w:type="auto"/>
          <w:jc w:val="left"/>
          <w:tblInd w:w="514" w:type="dxa"/>
          <w:tblLayout w:type="fixed"/>
          <w:tblCellMar>
            <w:top w:w="0" w:type="dxa"/>
            <w:left w:w="0" w:type="dxa"/>
            <w:bottom w:w="0" w:type="dxa"/>
            <w:right w:w="0" w:type="dxa"/>
          </w:tblCellMar>
          <w:tblLook w:val="01E0"/>
        </w:tblPrEx>
        <w:trPr>
          <w:trHeight w:val="464"/>
          <w:jc w:val="left"/>
        </w:trPr>
        <w:tc>
          <w:tcPr>
            <w:tcW w:w="3089" w:type="dxa"/>
            <w:tcBorders>
              <w:top w:val="nil"/>
              <w:bottom w:val="nil"/>
            </w:tcBorders>
          </w:tcPr>
          <w:p>
            <w:pPr>
              <w:pStyle w:val="TableParagraph"/>
              <w:spacing w:before="39"/>
              <w:ind w:left="107"/>
              <w:rPr>
                <w:b/>
                <w:sz w:val="21"/>
              </w:rPr>
            </w:pPr>
            <w:r>
              <w:rPr>
                <w:b/>
                <w:sz w:val="21"/>
              </w:rPr>
              <w:t>Change</w:t>
            </w:r>
            <w:r>
              <w:rPr>
                <w:b/>
                <w:spacing w:val="-3"/>
                <w:sz w:val="21"/>
              </w:rPr>
              <w:t xml:space="preserve"> </w:t>
            </w:r>
            <w:r>
              <w:rPr>
                <w:b/>
                <w:sz w:val="21"/>
              </w:rPr>
              <w:t>in</w:t>
            </w:r>
            <w:r>
              <w:rPr>
                <w:b/>
                <w:spacing w:val="-5"/>
                <w:sz w:val="21"/>
              </w:rPr>
              <w:t xml:space="preserve"> </w:t>
            </w:r>
            <w:r>
              <w:rPr>
                <w:b/>
                <w:sz w:val="21"/>
              </w:rPr>
              <w:t>MSB</w:t>
            </w:r>
            <w:r>
              <w:rPr>
                <w:b/>
                <w:spacing w:val="-4"/>
                <w:sz w:val="21"/>
              </w:rPr>
              <w:t xml:space="preserve"> </w:t>
            </w:r>
            <w:r>
              <w:rPr>
                <w:b/>
                <w:sz w:val="21"/>
              </w:rPr>
              <w:t>Rev</w:t>
            </w:r>
            <w:r>
              <w:rPr>
                <w:b/>
                <w:spacing w:val="-5"/>
                <w:sz w:val="21"/>
              </w:rPr>
              <w:t xml:space="preserve"> Req</w:t>
            </w:r>
          </w:p>
        </w:tc>
        <w:tc>
          <w:tcPr>
            <w:tcW w:w="1046" w:type="dxa"/>
            <w:tcBorders>
              <w:top w:val="nil"/>
              <w:bottom w:val="nil"/>
            </w:tcBorders>
          </w:tcPr>
          <w:p>
            <w:pPr>
              <w:pStyle w:val="TableParagraph"/>
              <w:spacing w:before="39"/>
              <w:ind w:left="10" w:right="1"/>
              <w:jc w:val="center"/>
              <w:rPr>
                <w:sz w:val="21"/>
              </w:rPr>
            </w:pPr>
            <w:r>
              <w:rPr>
                <w:spacing w:val="-5"/>
                <w:sz w:val="21"/>
              </w:rPr>
              <w:t>N/A</w:t>
            </w:r>
          </w:p>
        </w:tc>
        <w:tc>
          <w:tcPr>
            <w:tcW w:w="1351" w:type="dxa"/>
            <w:tcBorders>
              <w:top w:val="nil"/>
              <w:bottom w:val="nil"/>
            </w:tcBorders>
          </w:tcPr>
          <w:p>
            <w:pPr>
              <w:pStyle w:val="TableParagraph"/>
              <w:spacing w:before="39"/>
              <w:ind w:left="16" w:right="9"/>
              <w:jc w:val="center"/>
              <w:rPr>
                <w:sz w:val="21"/>
              </w:rPr>
            </w:pPr>
            <w:r>
              <w:rPr>
                <w:spacing w:val="-5"/>
                <w:sz w:val="21"/>
              </w:rPr>
              <w:t>N/A</w:t>
            </w:r>
          </w:p>
        </w:tc>
        <w:tc>
          <w:tcPr>
            <w:tcW w:w="899" w:type="dxa"/>
            <w:tcBorders>
              <w:top w:val="nil"/>
              <w:bottom w:val="nil"/>
            </w:tcBorders>
          </w:tcPr>
          <w:p>
            <w:pPr>
              <w:pStyle w:val="TableParagraph"/>
              <w:spacing w:before="11"/>
              <w:ind w:left="12" w:right="2"/>
              <w:jc w:val="center"/>
              <w:rPr>
                <w:sz w:val="21"/>
              </w:rPr>
            </w:pPr>
            <w:r>
              <w:rPr>
                <w:spacing w:val="-2"/>
                <w:sz w:val="21"/>
              </w:rPr>
              <w:t>$11.00</w:t>
            </w:r>
          </w:p>
        </w:tc>
        <w:tc>
          <w:tcPr>
            <w:tcW w:w="899" w:type="dxa"/>
            <w:tcBorders>
              <w:top w:val="nil"/>
              <w:bottom w:val="nil"/>
            </w:tcBorders>
          </w:tcPr>
          <w:p>
            <w:pPr>
              <w:pStyle w:val="TableParagraph"/>
              <w:spacing w:before="11"/>
              <w:ind w:left="12"/>
              <w:jc w:val="center"/>
              <w:rPr>
                <w:sz w:val="21"/>
              </w:rPr>
            </w:pPr>
            <w:r>
              <w:rPr>
                <w:spacing w:val="-2"/>
                <w:sz w:val="21"/>
              </w:rPr>
              <w:t>$9.90</w:t>
            </w:r>
          </w:p>
        </w:tc>
        <w:tc>
          <w:tcPr>
            <w:tcW w:w="1168" w:type="dxa"/>
            <w:tcBorders>
              <w:top w:val="nil"/>
              <w:bottom w:val="nil"/>
            </w:tcBorders>
          </w:tcPr>
          <w:p>
            <w:pPr>
              <w:pStyle w:val="TableParagraph"/>
              <w:spacing w:before="11"/>
              <w:ind w:left="15"/>
              <w:jc w:val="center"/>
              <w:rPr>
                <w:sz w:val="21"/>
              </w:rPr>
            </w:pPr>
            <w:r>
              <w:rPr>
                <w:spacing w:val="-2"/>
                <w:sz w:val="21"/>
              </w:rPr>
              <w:t>$12.00</w:t>
            </w:r>
          </w:p>
        </w:tc>
        <w:tc>
          <w:tcPr>
            <w:tcW w:w="1259" w:type="dxa"/>
            <w:tcBorders>
              <w:top w:val="nil"/>
              <w:bottom w:val="nil"/>
            </w:tcBorders>
          </w:tcPr>
          <w:p>
            <w:pPr>
              <w:pStyle w:val="TableParagraph"/>
              <w:spacing w:before="11"/>
              <w:ind w:left="22"/>
              <w:jc w:val="center"/>
              <w:rPr>
                <w:sz w:val="21"/>
              </w:rPr>
            </w:pPr>
            <w:r>
              <w:rPr>
                <w:spacing w:val="-2"/>
                <w:sz w:val="21"/>
              </w:rPr>
              <w:t>$10.30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89" w:type="dxa"/>
            <w:tcBorders>
              <w:top w:val="nil"/>
              <w:bottom w:val="nil"/>
            </w:tcBorders>
          </w:tcPr>
          <w:p>
            <w:pPr>
              <w:pStyle w:val="TableParagraph"/>
              <w:spacing w:before="175"/>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046" w:type="dxa"/>
            <w:tcBorders>
              <w:top w:val="nil"/>
              <w:bottom w:val="nil"/>
            </w:tcBorders>
          </w:tcPr>
          <w:p>
            <w:pPr>
              <w:pStyle w:val="TableParagraph"/>
              <w:spacing w:before="175"/>
              <w:ind w:left="10"/>
              <w:jc w:val="center"/>
              <w:rPr>
                <w:sz w:val="21"/>
              </w:rPr>
            </w:pPr>
            <w:r>
              <w:rPr>
                <w:spacing w:val="-2"/>
                <w:sz w:val="21"/>
              </w:rPr>
              <w:t>$48.70</w:t>
            </w:r>
          </w:p>
        </w:tc>
        <w:tc>
          <w:tcPr>
            <w:tcW w:w="1351" w:type="dxa"/>
            <w:tcBorders>
              <w:top w:val="nil"/>
              <w:bottom w:val="nil"/>
            </w:tcBorders>
          </w:tcPr>
          <w:p>
            <w:pPr>
              <w:pStyle w:val="TableParagraph"/>
              <w:spacing w:before="175"/>
              <w:ind w:left="16" w:right="8"/>
              <w:jc w:val="center"/>
              <w:rPr>
                <w:sz w:val="21"/>
              </w:rPr>
            </w:pPr>
            <w:r>
              <w:rPr>
                <w:spacing w:val="-2"/>
                <w:sz w:val="21"/>
              </w:rPr>
              <w:t>$48.70</w:t>
            </w:r>
          </w:p>
        </w:tc>
        <w:tc>
          <w:tcPr>
            <w:tcW w:w="899" w:type="dxa"/>
            <w:tcBorders>
              <w:top w:val="nil"/>
              <w:bottom w:val="nil"/>
            </w:tcBorders>
          </w:tcPr>
          <w:p>
            <w:pPr>
              <w:pStyle w:val="TableParagraph"/>
              <w:spacing w:before="175"/>
              <w:ind w:left="12" w:right="2"/>
              <w:jc w:val="center"/>
              <w:rPr>
                <w:b/>
                <w:i/>
                <w:sz w:val="21"/>
              </w:rPr>
            </w:pPr>
            <w:r>
              <w:rPr>
                <w:b/>
                <w:i/>
                <w:spacing w:val="-2"/>
                <w:sz w:val="21"/>
              </w:rPr>
              <w:t>$59.70</w:t>
            </w:r>
          </w:p>
        </w:tc>
        <w:tc>
          <w:tcPr>
            <w:tcW w:w="899" w:type="dxa"/>
            <w:tcBorders>
              <w:top w:val="nil"/>
              <w:bottom w:val="nil"/>
            </w:tcBorders>
          </w:tcPr>
          <w:p>
            <w:pPr>
              <w:pStyle w:val="TableParagraph"/>
              <w:spacing w:before="175"/>
              <w:ind w:left="12"/>
              <w:jc w:val="center"/>
              <w:rPr>
                <w:b/>
                <w:i/>
                <w:sz w:val="21"/>
              </w:rPr>
            </w:pPr>
            <w:r>
              <w:rPr>
                <w:b/>
                <w:i/>
                <w:spacing w:val="-2"/>
                <w:sz w:val="21"/>
              </w:rPr>
              <w:t>$58.60</w:t>
            </w:r>
          </w:p>
        </w:tc>
        <w:tc>
          <w:tcPr>
            <w:tcW w:w="1168" w:type="dxa"/>
            <w:tcBorders>
              <w:top w:val="nil"/>
              <w:bottom w:val="nil"/>
            </w:tcBorders>
          </w:tcPr>
          <w:p>
            <w:pPr>
              <w:pStyle w:val="TableParagraph"/>
              <w:spacing w:before="175"/>
              <w:ind w:left="15"/>
              <w:jc w:val="center"/>
              <w:rPr>
                <w:b/>
                <w:i/>
                <w:sz w:val="21"/>
              </w:rPr>
            </w:pPr>
            <w:r>
              <w:rPr>
                <w:b/>
                <w:i/>
                <w:spacing w:val="-2"/>
                <w:sz w:val="21"/>
              </w:rPr>
              <w:t>$60.70</w:t>
            </w:r>
          </w:p>
        </w:tc>
        <w:tc>
          <w:tcPr>
            <w:tcW w:w="1259" w:type="dxa"/>
            <w:tcBorders>
              <w:top w:val="nil"/>
              <w:bottom w:val="nil"/>
            </w:tcBorders>
          </w:tcPr>
          <w:p>
            <w:pPr>
              <w:pStyle w:val="TableParagraph"/>
              <w:spacing w:before="175"/>
              <w:ind w:left="22"/>
              <w:jc w:val="center"/>
              <w:rPr>
                <w:b/>
                <w:i/>
                <w:sz w:val="21"/>
              </w:rPr>
            </w:pPr>
            <w:r>
              <w:rPr>
                <w:b/>
                <w:i/>
                <w:spacing w:val="-2"/>
                <w:sz w:val="21"/>
              </w:rPr>
              <w:t>$59.00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89" w:type="dxa"/>
            <w:tcBorders>
              <w:top w:val="nil"/>
              <w:bottom w:val="nil"/>
            </w:tcBorders>
          </w:tcPr>
          <w:p>
            <w:pPr>
              <w:pStyle w:val="TableParagraph"/>
              <w:spacing w:before="25"/>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046" w:type="dxa"/>
            <w:tcBorders>
              <w:top w:val="nil"/>
              <w:bottom w:val="nil"/>
            </w:tcBorders>
          </w:tcPr>
          <w:p>
            <w:pPr>
              <w:pStyle w:val="TableParagraph"/>
              <w:spacing w:before="25"/>
              <w:ind w:left="10"/>
              <w:jc w:val="center"/>
              <w:rPr>
                <w:sz w:val="21"/>
              </w:rPr>
            </w:pPr>
            <w:r>
              <w:rPr>
                <w:spacing w:val="-2"/>
                <w:sz w:val="21"/>
              </w:rPr>
              <w:t>$47.30</w:t>
            </w:r>
          </w:p>
        </w:tc>
        <w:tc>
          <w:tcPr>
            <w:tcW w:w="1351" w:type="dxa"/>
            <w:tcBorders>
              <w:top w:val="nil"/>
              <w:bottom w:val="nil"/>
            </w:tcBorders>
          </w:tcPr>
          <w:p>
            <w:pPr>
              <w:pStyle w:val="TableParagraph"/>
              <w:spacing w:before="25"/>
              <w:ind w:left="16" w:right="8"/>
              <w:jc w:val="center"/>
              <w:rPr>
                <w:sz w:val="21"/>
              </w:rPr>
            </w:pPr>
            <w:r>
              <w:rPr>
                <w:spacing w:val="-2"/>
                <w:sz w:val="21"/>
              </w:rPr>
              <w:t>$47.30</w:t>
            </w:r>
          </w:p>
        </w:tc>
        <w:tc>
          <w:tcPr>
            <w:tcW w:w="899" w:type="dxa"/>
            <w:tcBorders>
              <w:top w:val="nil"/>
              <w:bottom w:val="nil"/>
            </w:tcBorders>
          </w:tcPr>
          <w:p>
            <w:pPr>
              <w:pStyle w:val="TableParagraph"/>
              <w:spacing w:before="25"/>
              <w:ind w:left="12" w:right="2"/>
              <w:jc w:val="center"/>
              <w:rPr>
                <w:b/>
                <w:i/>
                <w:sz w:val="21"/>
              </w:rPr>
            </w:pPr>
            <w:r>
              <w:rPr>
                <w:b/>
                <w:i/>
                <w:spacing w:val="-2"/>
                <w:sz w:val="21"/>
              </w:rPr>
              <w:t>$58.30</w:t>
            </w:r>
          </w:p>
        </w:tc>
        <w:tc>
          <w:tcPr>
            <w:tcW w:w="899" w:type="dxa"/>
            <w:tcBorders>
              <w:top w:val="nil"/>
              <w:bottom w:val="nil"/>
            </w:tcBorders>
          </w:tcPr>
          <w:p>
            <w:pPr>
              <w:pStyle w:val="TableParagraph"/>
              <w:spacing w:before="25"/>
              <w:ind w:left="12"/>
              <w:jc w:val="center"/>
              <w:rPr>
                <w:b/>
                <w:i/>
                <w:sz w:val="21"/>
              </w:rPr>
            </w:pPr>
            <w:r>
              <w:rPr>
                <w:b/>
                <w:i/>
                <w:spacing w:val="-2"/>
                <w:sz w:val="21"/>
              </w:rPr>
              <w:t>$57.20</w:t>
            </w:r>
          </w:p>
        </w:tc>
        <w:tc>
          <w:tcPr>
            <w:tcW w:w="1168" w:type="dxa"/>
            <w:tcBorders>
              <w:top w:val="nil"/>
              <w:bottom w:val="nil"/>
            </w:tcBorders>
          </w:tcPr>
          <w:p>
            <w:pPr>
              <w:pStyle w:val="TableParagraph"/>
              <w:spacing w:before="25"/>
              <w:ind w:left="15"/>
              <w:jc w:val="center"/>
              <w:rPr>
                <w:b/>
                <w:i/>
                <w:sz w:val="21"/>
              </w:rPr>
            </w:pPr>
            <w:r>
              <w:rPr>
                <w:b/>
                <w:i/>
                <w:spacing w:val="-2"/>
                <w:sz w:val="21"/>
              </w:rPr>
              <w:t>$59.30</w:t>
            </w:r>
          </w:p>
        </w:tc>
        <w:tc>
          <w:tcPr>
            <w:tcW w:w="1259" w:type="dxa"/>
            <w:tcBorders>
              <w:top w:val="nil"/>
              <w:bottom w:val="nil"/>
            </w:tcBorders>
          </w:tcPr>
          <w:p>
            <w:pPr>
              <w:pStyle w:val="TableParagraph"/>
              <w:spacing w:before="25"/>
              <w:ind w:left="22"/>
              <w:jc w:val="center"/>
              <w:rPr>
                <w:b/>
                <w:i/>
                <w:sz w:val="21"/>
              </w:rPr>
            </w:pPr>
            <w:r>
              <w:rPr>
                <w:b/>
                <w:i/>
                <w:spacing w:val="-2"/>
                <w:sz w:val="21"/>
              </w:rPr>
              <w:t>$57.20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89" w:type="dxa"/>
            <w:tcBorders>
              <w:top w:val="nil"/>
              <w:bottom w:val="nil"/>
            </w:tcBorders>
          </w:tcPr>
          <w:p>
            <w:pPr>
              <w:pStyle w:val="TableParagraph"/>
              <w:spacing w:before="25"/>
              <w:ind w:left="107"/>
              <w:rPr>
                <w:b/>
                <w:sz w:val="21"/>
              </w:rPr>
            </w:pPr>
            <w:r>
              <w:rPr>
                <w:b/>
                <w:sz w:val="21"/>
              </w:rPr>
              <w:t>MA</w:t>
            </w:r>
            <w:r>
              <w:rPr>
                <w:b/>
                <w:spacing w:val="-5"/>
                <w:sz w:val="21"/>
              </w:rPr>
              <w:t xml:space="preserve"> </w:t>
            </w:r>
            <w:r>
              <w:rPr>
                <w:b/>
                <w:spacing w:val="-2"/>
                <w:sz w:val="21"/>
              </w:rPr>
              <w:t>Premium</w:t>
            </w:r>
          </w:p>
        </w:tc>
        <w:tc>
          <w:tcPr>
            <w:tcW w:w="1046" w:type="dxa"/>
            <w:tcBorders>
              <w:top w:val="nil"/>
              <w:bottom w:val="nil"/>
            </w:tcBorders>
          </w:tcPr>
          <w:p>
            <w:pPr>
              <w:pStyle w:val="TableParagraph"/>
              <w:spacing w:before="25"/>
              <w:ind w:left="10"/>
              <w:jc w:val="center"/>
              <w:rPr>
                <w:sz w:val="21"/>
              </w:rPr>
            </w:pPr>
            <w:r>
              <w:rPr>
                <w:spacing w:val="-2"/>
                <w:sz w:val="21"/>
              </w:rPr>
              <w:t>$1.40</w:t>
            </w:r>
          </w:p>
        </w:tc>
        <w:tc>
          <w:tcPr>
            <w:tcW w:w="1351" w:type="dxa"/>
            <w:tcBorders>
              <w:top w:val="nil"/>
              <w:bottom w:val="nil"/>
            </w:tcBorders>
          </w:tcPr>
          <w:p>
            <w:pPr>
              <w:pStyle w:val="TableParagraph"/>
              <w:spacing w:before="25"/>
              <w:ind w:left="16" w:right="8"/>
              <w:jc w:val="center"/>
              <w:rPr>
                <w:sz w:val="21"/>
              </w:rPr>
            </w:pPr>
            <w:r>
              <w:rPr>
                <w:spacing w:val="-2"/>
                <w:sz w:val="21"/>
              </w:rPr>
              <w:t>$1.40</w:t>
            </w:r>
          </w:p>
        </w:tc>
        <w:tc>
          <w:tcPr>
            <w:tcW w:w="899" w:type="dxa"/>
            <w:tcBorders>
              <w:top w:val="nil"/>
              <w:bottom w:val="nil"/>
            </w:tcBorders>
          </w:tcPr>
          <w:p>
            <w:pPr>
              <w:pStyle w:val="TableParagraph"/>
              <w:spacing w:before="25"/>
              <w:ind w:left="12" w:right="2"/>
              <w:jc w:val="center"/>
              <w:rPr>
                <w:sz w:val="21"/>
              </w:rPr>
            </w:pPr>
            <w:r>
              <w:rPr>
                <w:spacing w:val="-2"/>
                <w:sz w:val="21"/>
              </w:rPr>
              <w:t>$1.40</w:t>
            </w:r>
          </w:p>
        </w:tc>
        <w:tc>
          <w:tcPr>
            <w:tcW w:w="899" w:type="dxa"/>
            <w:tcBorders>
              <w:top w:val="nil"/>
              <w:bottom w:val="nil"/>
            </w:tcBorders>
          </w:tcPr>
          <w:p>
            <w:pPr>
              <w:pStyle w:val="TableParagraph"/>
              <w:spacing w:before="25"/>
              <w:ind w:left="12"/>
              <w:jc w:val="center"/>
              <w:rPr>
                <w:sz w:val="21"/>
              </w:rPr>
            </w:pPr>
            <w:r>
              <w:rPr>
                <w:spacing w:val="-2"/>
                <w:sz w:val="21"/>
              </w:rPr>
              <w:t>$1.40</w:t>
            </w:r>
          </w:p>
        </w:tc>
        <w:tc>
          <w:tcPr>
            <w:tcW w:w="1168" w:type="dxa"/>
            <w:tcBorders>
              <w:top w:val="nil"/>
              <w:bottom w:val="nil"/>
            </w:tcBorders>
          </w:tcPr>
          <w:p>
            <w:pPr>
              <w:pStyle w:val="TableParagraph"/>
              <w:spacing w:before="25"/>
              <w:ind w:left="15"/>
              <w:jc w:val="center"/>
              <w:rPr>
                <w:sz w:val="21"/>
              </w:rPr>
            </w:pPr>
            <w:r>
              <w:rPr>
                <w:spacing w:val="-2"/>
                <w:sz w:val="21"/>
              </w:rPr>
              <w:t>$1.40</w:t>
            </w:r>
          </w:p>
        </w:tc>
        <w:tc>
          <w:tcPr>
            <w:tcW w:w="1259" w:type="dxa"/>
            <w:tcBorders>
              <w:top w:val="nil"/>
              <w:bottom w:val="nil"/>
            </w:tcBorders>
          </w:tcPr>
          <w:p>
            <w:pPr>
              <w:pStyle w:val="TableParagraph"/>
              <w:spacing w:before="25"/>
              <w:ind w:left="22"/>
              <w:jc w:val="center"/>
              <w:rPr>
                <w:sz w:val="21"/>
              </w:rPr>
            </w:pPr>
            <w:r>
              <w:rPr>
                <w:spacing w:val="-2"/>
                <w:sz w:val="21"/>
              </w:rPr>
              <w:t>$1.80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89" w:type="dxa"/>
            <w:tcBorders>
              <w:top w:val="nil"/>
              <w:bottom w:val="nil"/>
            </w:tcBorders>
          </w:tcPr>
          <w:p>
            <w:pPr>
              <w:pStyle w:val="TableParagraph"/>
              <w:spacing w:before="175"/>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5"/>
                <w:sz w:val="21"/>
              </w:rPr>
              <w:t xml:space="preserve"> </w:t>
            </w:r>
            <w:r>
              <w:rPr>
                <w:spacing w:val="-2"/>
                <w:sz w:val="21"/>
              </w:rPr>
              <w:t>Rebate</w:t>
            </w:r>
          </w:p>
        </w:tc>
        <w:tc>
          <w:tcPr>
            <w:tcW w:w="1046" w:type="dxa"/>
            <w:tcBorders>
              <w:top w:val="nil"/>
              <w:bottom w:val="nil"/>
            </w:tcBorders>
          </w:tcPr>
          <w:p>
            <w:pPr>
              <w:pStyle w:val="TableParagraph"/>
              <w:spacing w:before="175"/>
              <w:ind w:left="10"/>
              <w:jc w:val="center"/>
              <w:rPr>
                <w:sz w:val="21"/>
              </w:rPr>
            </w:pPr>
            <w:r>
              <w:rPr>
                <w:spacing w:val="-2"/>
                <w:sz w:val="21"/>
              </w:rPr>
              <w:t>$47.60</w:t>
            </w:r>
          </w:p>
        </w:tc>
        <w:tc>
          <w:tcPr>
            <w:tcW w:w="1351" w:type="dxa"/>
            <w:tcBorders>
              <w:top w:val="nil"/>
              <w:bottom w:val="nil"/>
            </w:tcBorders>
          </w:tcPr>
          <w:p>
            <w:pPr>
              <w:pStyle w:val="TableParagraph"/>
              <w:spacing w:before="175"/>
              <w:ind w:left="16" w:right="8"/>
              <w:jc w:val="center"/>
              <w:rPr>
                <w:sz w:val="21"/>
              </w:rPr>
            </w:pPr>
            <w:r>
              <w:rPr>
                <w:spacing w:val="-2"/>
                <w:sz w:val="21"/>
              </w:rPr>
              <w:t>$48.70</w:t>
            </w:r>
          </w:p>
        </w:tc>
        <w:tc>
          <w:tcPr>
            <w:tcW w:w="899" w:type="dxa"/>
            <w:tcBorders>
              <w:top w:val="nil"/>
              <w:bottom w:val="nil"/>
            </w:tcBorders>
          </w:tcPr>
          <w:p>
            <w:pPr>
              <w:pStyle w:val="TableParagraph"/>
              <w:spacing w:before="175"/>
              <w:ind w:left="12" w:right="2"/>
              <w:jc w:val="center"/>
              <w:rPr>
                <w:sz w:val="21"/>
              </w:rPr>
            </w:pPr>
            <w:r>
              <w:rPr>
                <w:spacing w:val="-2"/>
                <w:sz w:val="21"/>
              </w:rPr>
              <w:t>$48.70</w:t>
            </w:r>
          </w:p>
        </w:tc>
        <w:tc>
          <w:tcPr>
            <w:tcW w:w="899" w:type="dxa"/>
            <w:tcBorders>
              <w:top w:val="nil"/>
              <w:bottom w:val="nil"/>
            </w:tcBorders>
          </w:tcPr>
          <w:p>
            <w:pPr>
              <w:pStyle w:val="TableParagraph"/>
              <w:spacing w:before="175"/>
              <w:ind w:left="12"/>
              <w:jc w:val="center"/>
              <w:rPr>
                <w:sz w:val="21"/>
              </w:rPr>
            </w:pPr>
            <w:r>
              <w:rPr>
                <w:spacing w:val="-2"/>
                <w:sz w:val="21"/>
              </w:rPr>
              <w:t>$48.70</w:t>
            </w:r>
          </w:p>
        </w:tc>
        <w:tc>
          <w:tcPr>
            <w:tcW w:w="1168" w:type="dxa"/>
            <w:tcBorders>
              <w:top w:val="nil"/>
              <w:bottom w:val="nil"/>
            </w:tcBorders>
          </w:tcPr>
          <w:p>
            <w:pPr>
              <w:pStyle w:val="TableParagraph"/>
              <w:spacing w:before="175"/>
              <w:ind w:left="15"/>
              <w:jc w:val="center"/>
              <w:rPr>
                <w:sz w:val="21"/>
              </w:rPr>
            </w:pPr>
            <w:r>
              <w:rPr>
                <w:spacing w:val="-2"/>
                <w:sz w:val="21"/>
              </w:rPr>
              <w:t>$48.70</w:t>
            </w:r>
          </w:p>
        </w:tc>
        <w:tc>
          <w:tcPr>
            <w:tcW w:w="1259" w:type="dxa"/>
            <w:tcBorders>
              <w:top w:val="nil"/>
              <w:bottom w:val="nil"/>
            </w:tcBorders>
          </w:tcPr>
          <w:p>
            <w:pPr>
              <w:pStyle w:val="TableParagraph"/>
              <w:spacing w:before="175"/>
              <w:ind w:left="22"/>
              <w:jc w:val="center"/>
              <w:rPr>
                <w:sz w:val="21"/>
              </w:rPr>
            </w:pPr>
            <w:r>
              <w:rPr>
                <w:spacing w:val="-2"/>
                <w:sz w:val="21"/>
              </w:rPr>
              <w:t>$48.70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89"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5"/>
                <w:sz w:val="21"/>
              </w:rPr>
              <w:t xml:space="preserve"> </w:t>
            </w:r>
            <w:r>
              <w:rPr>
                <w:spacing w:val="-2"/>
                <w:sz w:val="21"/>
              </w:rPr>
              <w:t>Allocations</w:t>
            </w:r>
          </w:p>
        </w:tc>
        <w:tc>
          <w:tcPr>
            <w:tcW w:w="1046" w:type="dxa"/>
            <w:tcBorders>
              <w:top w:val="nil"/>
              <w:bottom w:val="nil"/>
            </w:tcBorders>
          </w:tcPr>
          <w:p>
            <w:pPr>
              <w:pStyle w:val="TableParagraph"/>
              <w:spacing w:before="25"/>
              <w:ind w:left="10"/>
              <w:jc w:val="center"/>
              <w:rPr>
                <w:sz w:val="21"/>
              </w:rPr>
            </w:pPr>
            <w:r>
              <w:rPr>
                <w:spacing w:val="-2"/>
                <w:sz w:val="21"/>
              </w:rPr>
              <w:t>$0.00</w:t>
            </w:r>
          </w:p>
        </w:tc>
        <w:tc>
          <w:tcPr>
            <w:tcW w:w="1351" w:type="dxa"/>
            <w:tcBorders>
              <w:top w:val="nil"/>
              <w:bottom w:val="nil"/>
            </w:tcBorders>
          </w:tcPr>
          <w:p>
            <w:pPr>
              <w:pStyle w:val="TableParagraph"/>
              <w:spacing w:before="25"/>
              <w:ind w:left="16" w:right="8"/>
              <w:jc w:val="center"/>
              <w:rPr>
                <w:sz w:val="21"/>
              </w:rPr>
            </w:pPr>
            <w:r>
              <w:rPr>
                <w:spacing w:val="-2"/>
                <w:sz w:val="21"/>
              </w:rPr>
              <w:t>$0.00</w:t>
            </w:r>
          </w:p>
        </w:tc>
        <w:tc>
          <w:tcPr>
            <w:tcW w:w="899" w:type="dxa"/>
            <w:tcBorders>
              <w:top w:val="nil"/>
              <w:bottom w:val="nil"/>
            </w:tcBorders>
          </w:tcPr>
          <w:p>
            <w:pPr>
              <w:pStyle w:val="TableParagraph"/>
              <w:spacing w:before="25"/>
              <w:ind w:left="12" w:right="2"/>
              <w:jc w:val="center"/>
              <w:rPr>
                <w:sz w:val="21"/>
              </w:rPr>
            </w:pPr>
            <w:r>
              <w:rPr>
                <w:spacing w:val="-2"/>
                <w:sz w:val="21"/>
              </w:rPr>
              <w:t>$0.00</w:t>
            </w:r>
          </w:p>
        </w:tc>
        <w:tc>
          <w:tcPr>
            <w:tcW w:w="899" w:type="dxa"/>
            <w:tcBorders>
              <w:top w:val="nil"/>
              <w:bottom w:val="nil"/>
              <w:right w:val="single" w:sz="4" w:space="0" w:color="7E7E7E"/>
            </w:tcBorders>
          </w:tcPr>
          <w:p>
            <w:pPr>
              <w:pStyle w:val="TableParagraph"/>
              <w:spacing w:before="25"/>
              <w:ind w:left="12"/>
              <w:jc w:val="center"/>
              <w:rPr>
                <w:b/>
                <w:i/>
                <w:sz w:val="21"/>
              </w:rPr>
            </w:pPr>
            <w:r>
              <w:rPr>
                <w:b/>
                <w:i/>
                <w:spacing w:val="-2"/>
                <w:sz w:val="21"/>
              </w:rPr>
              <w:t>$1.10</w:t>
            </w:r>
          </w:p>
        </w:tc>
        <w:tc>
          <w:tcPr>
            <w:tcW w:w="1168" w:type="dxa"/>
            <w:tcBorders>
              <w:top w:val="nil"/>
              <w:left w:val="single" w:sz="4" w:space="0" w:color="7E7E7E"/>
              <w:bottom w:val="nil"/>
            </w:tcBorders>
          </w:tcPr>
          <w:p>
            <w:pPr>
              <w:pStyle w:val="TableParagraph"/>
              <w:spacing w:before="25"/>
              <w:ind w:left="15"/>
              <w:jc w:val="center"/>
              <w:rPr>
                <w:sz w:val="21"/>
              </w:rPr>
            </w:pPr>
            <w:r>
              <w:rPr>
                <w:spacing w:val="-2"/>
                <w:sz w:val="21"/>
              </w:rPr>
              <w:t>$0.00</w:t>
            </w:r>
          </w:p>
        </w:tc>
        <w:tc>
          <w:tcPr>
            <w:tcW w:w="1259" w:type="dxa"/>
            <w:tcBorders>
              <w:top w:val="nil"/>
              <w:bottom w:val="nil"/>
              <w:right w:val="single" w:sz="4" w:space="0" w:color="7E7E7E"/>
            </w:tcBorders>
          </w:tcPr>
          <w:p>
            <w:pPr>
              <w:pStyle w:val="TableParagraph"/>
              <w:spacing w:before="25"/>
              <w:ind w:left="22"/>
              <w:jc w:val="center"/>
              <w:rPr>
                <w:b/>
                <w:i/>
                <w:sz w:val="21"/>
              </w:rPr>
            </w:pPr>
            <w:r>
              <w:rPr>
                <w:b/>
                <w:i/>
                <w:spacing w:val="-2"/>
                <w:sz w:val="21"/>
              </w:rPr>
              <w:t>$1.10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89"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046" w:type="dxa"/>
            <w:tcBorders>
              <w:top w:val="nil"/>
              <w:bottom w:val="nil"/>
            </w:tcBorders>
          </w:tcPr>
          <w:p>
            <w:pPr>
              <w:pStyle w:val="TableParagraph"/>
              <w:spacing w:before="25"/>
              <w:ind w:left="10"/>
              <w:jc w:val="center"/>
              <w:rPr>
                <w:sz w:val="21"/>
              </w:rPr>
            </w:pPr>
            <w:r>
              <w:rPr>
                <w:spacing w:val="-2"/>
                <w:sz w:val="21"/>
              </w:rPr>
              <w:t>$47.60</w:t>
            </w:r>
          </w:p>
        </w:tc>
        <w:tc>
          <w:tcPr>
            <w:tcW w:w="1351" w:type="dxa"/>
            <w:tcBorders>
              <w:top w:val="nil"/>
              <w:bottom w:val="nil"/>
            </w:tcBorders>
          </w:tcPr>
          <w:p>
            <w:pPr>
              <w:pStyle w:val="TableParagraph"/>
              <w:spacing w:before="25"/>
              <w:ind w:left="16" w:right="8"/>
              <w:jc w:val="center"/>
              <w:rPr>
                <w:sz w:val="21"/>
              </w:rPr>
            </w:pPr>
            <w:r>
              <w:rPr>
                <w:spacing w:val="-2"/>
                <w:sz w:val="21"/>
              </w:rPr>
              <w:t>$48.70</w:t>
            </w:r>
          </w:p>
        </w:tc>
        <w:tc>
          <w:tcPr>
            <w:tcW w:w="899" w:type="dxa"/>
            <w:tcBorders>
              <w:top w:val="nil"/>
              <w:bottom w:val="nil"/>
            </w:tcBorders>
          </w:tcPr>
          <w:p>
            <w:pPr>
              <w:pStyle w:val="TableParagraph"/>
              <w:spacing w:before="25"/>
              <w:ind w:left="12" w:right="2"/>
              <w:jc w:val="center"/>
              <w:rPr>
                <w:sz w:val="21"/>
              </w:rPr>
            </w:pPr>
            <w:r>
              <w:rPr>
                <w:spacing w:val="-2"/>
                <w:sz w:val="21"/>
              </w:rPr>
              <w:t>$48.70</w:t>
            </w:r>
          </w:p>
        </w:tc>
        <w:tc>
          <w:tcPr>
            <w:tcW w:w="899" w:type="dxa"/>
            <w:tcBorders>
              <w:top w:val="nil"/>
              <w:bottom w:val="nil"/>
            </w:tcBorders>
          </w:tcPr>
          <w:p>
            <w:pPr>
              <w:pStyle w:val="TableParagraph"/>
              <w:spacing w:before="25"/>
              <w:ind w:left="12"/>
              <w:jc w:val="center"/>
              <w:rPr>
                <w:sz w:val="21"/>
              </w:rPr>
            </w:pPr>
            <w:r>
              <w:rPr>
                <w:spacing w:val="-2"/>
                <w:sz w:val="21"/>
              </w:rPr>
              <w:t>$47.60</w:t>
            </w:r>
          </w:p>
        </w:tc>
        <w:tc>
          <w:tcPr>
            <w:tcW w:w="1168" w:type="dxa"/>
            <w:tcBorders>
              <w:top w:val="nil"/>
              <w:bottom w:val="nil"/>
            </w:tcBorders>
          </w:tcPr>
          <w:p>
            <w:pPr>
              <w:pStyle w:val="TableParagraph"/>
              <w:spacing w:before="25"/>
              <w:ind w:left="15"/>
              <w:jc w:val="center"/>
              <w:rPr>
                <w:sz w:val="21"/>
              </w:rPr>
            </w:pPr>
            <w:r>
              <w:rPr>
                <w:spacing w:val="-2"/>
                <w:sz w:val="21"/>
              </w:rPr>
              <w:t>$48.70</w:t>
            </w:r>
          </w:p>
        </w:tc>
        <w:tc>
          <w:tcPr>
            <w:tcW w:w="1259" w:type="dxa"/>
            <w:tcBorders>
              <w:top w:val="nil"/>
              <w:bottom w:val="nil"/>
            </w:tcBorders>
          </w:tcPr>
          <w:p>
            <w:pPr>
              <w:pStyle w:val="TableParagraph"/>
              <w:spacing w:before="25"/>
              <w:ind w:left="22"/>
              <w:jc w:val="center"/>
              <w:rPr>
                <w:sz w:val="21"/>
              </w:rPr>
            </w:pPr>
            <w:r>
              <w:rPr>
                <w:spacing w:val="-2"/>
                <w:sz w:val="21"/>
              </w:rPr>
              <w:t>$47.60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89"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046" w:type="dxa"/>
            <w:tcBorders>
              <w:top w:val="nil"/>
              <w:bottom w:val="nil"/>
            </w:tcBorders>
          </w:tcPr>
          <w:p>
            <w:pPr>
              <w:pStyle w:val="TableParagraph"/>
              <w:spacing w:before="175"/>
              <w:ind w:left="10"/>
              <w:jc w:val="center"/>
              <w:rPr>
                <w:sz w:val="21"/>
              </w:rPr>
            </w:pPr>
            <w:r>
              <w:rPr>
                <w:spacing w:val="-2"/>
                <w:sz w:val="21"/>
              </w:rPr>
              <w:t>$17.80</w:t>
            </w:r>
          </w:p>
        </w:tc>
        <w:tc>
          <w:tcPr>
            <w:tcW w:w="1351" w:type="dxa"/>
            <w:tcBorders>
              <w:top w:val="nil"/>
              <w:bottom w:val="nil"/>
            </w:tcBorders>
          </w:tcPr>
          <w:p>
            <w:pPr>
              <w:pStyle w:val="TableParagraph"/>
              <w:spacing w:before="175"/>
              <w:ind w:left="16" w:right="8"/>
              <w:jc w:val="center"/>
              <w:rPr>
                <w:sz w:val="21"/>
              </w:rPr>
            </w:pPr>
            <w:r>
              <w:rPr>
                <w:spacing w:val="-2"/>
                <w:sz w:val="21"/>
              </w:rPr>
              <w:t>$17.80</w:t>
            </w:r>
          </w:p>
        </w:tc>
        <w:tc>
          <w:tcPr>
            <w:tcW w:w="899" w:type="dxa"/>
            <w:tcBorders>
              <w:top w:val="nil"/>
              <w:bottom w:val="nil"/>
            </w:tcBorders>
          </w:tcPr>
          <w:p>
            <w:pPr>
              <w:pStyle w:val="TableParagraph"/>
              <w:spacing w:before="175"/>
              <w:ind w:left="12" w:right="2"/>
              <w:jc w:val="center"/>
              <w:rPr>
                <w:sz w:val="21"/>
              </w:rPr>
            </w:pPr>
            <w:r>
              <w:rPr>
                <w:spacing w:val="-2"/>
                <w:sz w:val="21"/>
              </w:rPr>
              <w:t>$17.80</w:t>
            </w:r>
          </w:p>
        </w:tc>
        <w:tc>
          <w:tcPr>
            <w:tcW w:w="899" w:type="dxa"/>
            <w:tcBorders>
              <w:top w:val="nil"/>
              <w:bottom w:val="nil"/>
            </w:tcBorders>
          </w:tcPr>
          <w:p>
            <w:pPr>
              <w:pStyle w:val="TableParagraph"/>
              <w:spacing w:before="175"/>
              <w:ind w:left="12"/>
              <w:jc w:val="center"/>
              <w:rPr>
                <w:sz w:val="21"/>
              </w:rPr>
            </w:pPr>
            <w:r>
              <w:rPr>
                <w:spacing w:val="-2"/>
                <w:sz w:val="21"/>
              </w:rPr>
              <w:t>$17.80</w:t>
            </w:r>
          </w:p>
        </w:tc>
        <w:tc>
          <w:tcPr>
            <w:tcW w:w="1168" w:type="dxa"/>
            <w:tcBorders>
              <w:top w:val="nil"/>
              <w:bottom w:val="nil"/>
            </w:tcBorders>
          </w:tcPr>
          <w:p>
            <w:pPr>
              <w:pStyle w:val="TableParagraph"/>
              <w:spacing w:before="175"/>
              <w:ind w:left="15"/>
              <w:jc w:val="center"/>
              <w:rPr>
                <w:sz w:val="21"/>
              </w:rPr>
            </w:pPr>
            <w:r>
              <w:rPr>
                <w:spacing w:val="-2"/>
                <w:sz w:val="21"/>
              </w:rPr>
              <w:t>$17.80</w:t>
            </w:r>
          </w:p>
        </w:tc>
        <w:tc>
          <w:tcPr>
            <w:tcW w:w="1259" w:type="dxa"/>
            <w:tcBorders>
              <w:top w:val="nil"/>
              <w:bottom w:val="nil"/>
            </w:tcBorders>
          </w:tcPr>
          <w:p>
            <w:pPr>
              <w:pStyle w:val="TableParagraph"/>
              <w:spacing w:before="175"/>
              <w:ind w:left="22"/>
              <w:jc w:val="center"/>
              <w:rPr>
                <w:sz w:val="21"/>
              </w:rPr>
            </w:pPr>
            <w:r>
              <w:rPr>
                <w:spacing w:val="-2"/>
                <w:sz w:val="21"/>
              </w:rPr>
              <w:t>$17.80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89"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046" w:type="dxa"/>
            <w:tcBorders>
              <w:top w:val="nil"/>
              <w:bottom w:val="nil"/>
            </w:tcBorders>
          </w:tcPr>
          <w:p>
            <w:pPr>
              <w:pStyle w:val="TableParagraph"/>
              <w:spacing w:before="25"/>
              <w:ind w:left="10"/>
              <w:jc w:val="center"/>
              <w:rPr>
                <w:sz w:val="21"/>
              </w:rPr>
            </w:pPr>
            <w:r>
              <w:rPr>
                <w:spacing w:val="-2"/>
                <w:sz w:val="21"/>
              </w:rPr>
              <w:t>$17.80</w:t>
            </w:r>
          </w:p>
        </w:tc>
        <w:tc>
          <w:tcPr>
            <w:tcW w:w="1351" w:type="dxa"/>
            <w:tcBorders>
              <w:top w:val="nil"/>
              <w:bottom w:val="nil"/>
            </w:tcBorders>
          </w:tcPr>
          <w:p>
            <w:pPr>
              <w:pStyle w:val="TableParagraph"/>
              <w:spacing w:before="25"/>
              <w:ind w:left="16" w:right="8"/>
              <w:jc w:val="center"/>
              <w:rPr>
                <w:sz w:val="21"/>
              </w:rPr>
            </w:pPr>
            <w:r>
              <w:rPr>
                <w:spacing w:val="-2"/>
                <w:sz w:val="21"/>
              </w:rPr>
              <w:t>$17.80</w:t>
            </w:r>
          </w:p>
        </w:tc>
        <w:tc>
          <w:tcPr>
            <w:tcW w:w="899" w:type="dxa"/>
            <w:tcBorders>
              <w:top w:val="nil"/>
              <w:bottom w:val="nil"/>
            </w:tcBorders>
          </w:tcPr>
          <w:p>
            <w:pPr>
              <w:pStyle w:val="TableParagraph"/>
              <w:spacing w:before="25"/>
              <w:ind w:left="12" w:right="2"/>
              <w:jc w:val="center"/>
              <w:rPr>
                <w:sz w:val="21"/>
              </w:rPr>
            </w:pPr>
            <w:r>
              <w:rPr>
                <w:spacing w:val="-2"/>
                <w:sz w:val="21"/>
              </w:rPr>
              <w:t>$17.80</w:t>
            </w:r>
          </w:p>
        </w:tc>
        <w:tc>
          <w:tcPr>
            <w:tcW w:w="899" w:type="dxa"/>
            <w:tcBorders>
              <w:top w:val="nil"/>
              <w:bottom w:val="nil"/>
            </w:tcBorders>
          </w:tcPr>
          <w:p>
            <w:pPr>
              <w:pStyle w:val="TableParagraph"/>
              <w:spacing w:before="25"/>
              <w:ind w:left="12"/>
              <w:jc w:val="center"/>
              <w:rPr>
                <w:sz w:val="21"/>
              </w:rPr>
            </w:pPr>
            <w:r>
              <w:rPr>
                <w:spacing w:val="-2"/>
                <w:sz w:val="21"/>
              </w:rPr>
              <w:t>$17.80</w:t>
            </w:r>
          </w:p>
        </w:tc>
        <w:tc>
          <w:tcPr>
            <w:tcW w:w="1168" w:type="dxa"/>
            <w:tcBorders>
              <w:top w:val="nil"/>
              <w:bottom w:val="nil"/>
            </w:tcBorders>
          </w:tcPr>
          <w:p>
            <w:pPr>
              <w:pStyle w:val="TableParagraph"/>
              <w:spacing w:before="25"/>
              <w:ind w:left="15"/>
              <w:jc w:val="center"/>
              <w:rPr>
                <w:sz w:val="21"/>
              </w:rPr>
            </w:pPr>
            <w:r>
              <w:rPr>
                <w:spacing w:val="-2"/>
                <w:sz w:val="21"/>
              </w:rPr>
              <w:t>$17.80</w:t>
            </w:r>
          </w:p>
        </w:tc>
        <w:tc>
          <w:tcPr>
            <w:tcW w:w="1259" w:type="dxa"/>
            <w:tcBorders>
              <w:top w:val="nil"/>
              <w:bottom w:val="nil"/>
            </w:tcBorders>
          </w:tcPr>
          <w:p>
            <w:pPr>
              <w:pStyle w:val="TableParagraph"/>
              <w:spacing w:before="25"/>
              <w:ind w:left="22"/>
              <w:jc w:val="center"/>
              <w:rPr>
                <w:sz w:val="21"/>
              </w:rPr>
            </w:pPr>
            <w:r>
              <w:rPr>
                <w:spacing w:val="-2"/>
                <w:sz w:val="21"/>
              </w:rPr>
              <w:t>$17.80</w:t>
            </w:r>
          </w:p>
        </w:tc>
      </w:tr>
      <w:tr>
        <w:tblPrEx>
          <w:tblW w:w="0" w:type="auto"/>
          <w:jc w:val="left"/>
          <w:tblInd w:w="514" w:type="dxa"/>
          <w:tblLayout w:type="fixed"/>
          <w:tblCellMar>
            <w:top w:w="0" w:type="dxa"/>
            <w:left w:w="0" w:type="dxa"/>
            <w:bottom w:w="0" w:type="dxa"/>
            <w:right w:w="0" w:type="dxa"/>
          </w:tblCellMar>
          <w:tblLook w:val="01E0"/>
        </w:tblPrEx>
        <w:trPr>
          <w:trHeight w:val="566"/>
          <w:jc w:val="left"/>
        </w:trPr>
        <w:tc>
          <w:tcPr>
            <w:tcW w:w="3089"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046" w:type="dxa"/>
            <w:tcBorders>
              <w:top w:val="nil"/>
            </w:tcBorders>
          </w:tcPr>
          <w:p>
            <w:pPr>
              <w:pStyle w:val="TableParagraph"/>
              <w:spacing w:before="25"/>
              <w:ind w:left="10"/>
              <w:jc w:val="center"/>
              <w:rPr>
                <w:sz w:val="21"/>
              </w:rPr>
            </w:pPr>
            <w:r>
              <w:rPr>
                <w:spacing w:val="-2"/>
                <w:sz w:val="21"/>
              </w:rPr>
              <w:t>$0.00</w:t>
            </w:r>
          </w:p>
        </w:tc>
        <w:tc>
          <w:tcPr>
            <w:tcW w:w="1351" w:type="dxa"/>
            <w:tcBorders>
              <w:top w:val="nil"/>
            </w:tcBorders>
          </w:tcPr>
          <w:p>
            <w:pPr>
              <w:pStyle w:val="TableParagraph"/>
              <w:spacing w:before="25"/>
              <w:ind w:left="16" w:right="8"/>
              <w:jc w:val="center"/>
              <w:rPr>
                <w:sz w:val="21"/>
              </w:rPr>
            </w:pPr>
            <w:r>
              <w:rPr>
                <w:spacing w:val="-2"/>
                <w:sz w:val="21"/>
              </w:rPr>
              <w:t>$0.00</w:t>
            </w:r>
          </w:p>
        </w:tc>
        <w:tc>
          <w:tcPr>
            <w:tcW w:w="899" w:type="dxa"/>
            <w:tcBorders>
              <w:top w:val="nil"/>
            </w:tcBorders>
          </w:tcPr>
          <w:p>
            <w:pPr>
              <w:pStyle w:val="TableParagraph"/>
              <w:spacing w:before="25"/>
              <w:ind w:left="12" w:right="2"/>
              <w:jc w:val="center"/>
              <w:rPr>
                <w:sz w:val="21"/>
              </w:rPr>
            </w:pPr>
            <w:r>
              <w:rPr>
                <w:spacing w:val="-2"/>
                <w:sz w:val="21"/>
              </w:rPr>
              <w:t>$0.00</w:t>
            </w:r>
          </w:p>
        </w:tc>
        <w:tc>
          <w:tcPr>
            <w:tcW w:w="899" w:type="dxa"/>
            <w:tcBorders>
              <w:top w:val="nil"/>
            </w:tcBorders>
          </w:tcPr>
          <w:p>
            <w:pPr>
              <w:pStyle w:val="TableParagraph"/>
              <w:spacing w:before="25"/>
              <w:ind w:left="12"/>
              <w:jc w:val="center"/>
              <w:rPr>
                <w:sz w:val="21"/>
              </w:rPr>
            </w:pPr>
            <w:r>
              <w:rPr>
                <w:spacing w:val="-2"/>
                <w:sz w:val="21"/>
              </w:rPr>
              <w:t>$0.00</w:t>
            </w:r>
          </w:p>
        </w:tc>
        <w:tc>
          <w:tcPr>
            <w:tcW w:w="1168" w:type="dxa"/>
            <w:tcBorders>
              <w:top w:val="nil"/>
            </w:tcBorders>
          </w:tcPr>
          <w:p>
            <w:pPr>
              <w:pStyle w:val="TableParagraph"/>
              <w:spacing w:before="25"/>
              <w:ind w:left="15"/>
              <w:jc w:val="center"/>
              <w:rPr>
                <w:sz w:val="21"/>
              </w:rPr>
            </w:pPr>
            <w:r>
              <w:rPr>
                <w:spacing w:val="-2"/>
                <w:sz w:val="21"/>
              </w:rPr>
              <w:t>$0.00</w:t>
            </w:r>
          </w:p>
        </w:tc>
        <w:tc>
          <w:tcPr>
            <w:tcW w:w="1259" w:type="dxa"/>
            <w:tcBorders>
              <w:top w:val="nil"/>
            </w:tcBorders>
          </w:tcPr>
          <w:p>
            <w:pPr>
              <w:pStyle w:val="TableParagraph"/>
              <w:spacing w:before="25"/>
              <w:ind w:left="22"/>
              <w:jc w:val="center"/>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299"/>
          <w:jc w:val="left"/>
        </w:trPr>
        <w:tc>
          <w:tcPr>
            <w:tcW w:w="3089" w:type="dxa"/>
          </w:tcPr>
          <w:p>
            <w:pPr>
              <w:pStyle w:val="TableParagraph"/>
              <w:spacing w:before="58"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046" w:type="dxa"/>
          </w:tcPr>
          <w:p>
            <w:pPr>
              <w:pStyle w:val="TableParagraph"/>
              <w:spacing w:before="58" w:line="221" w:lineRule="exact"/>
              <w:ind w:left="10"/>
              <w:jc w:val="center"/>
              <w:rPr>
                <w:sz w:val="21"/>
              </w:rPr>
            </w:pPr>
            <w:r>
              <w:rPr>
                <w:spacing w:val="-2"/>
                <w:sz w:val="21"/>
              </w:rPr>
              <w:t>$49.00</w:t>
            </w:r>
          </w:p>
        </w:tc>
        <w:tc>
          <w:tcPr>
            <w:tcW w:w="1351" w:type="dxa"/>
          </w:tcPr>
          <w:p>
            <w:pPr>
              <w:pStyle w:val="TableParagraph"/>
              <w:spacing w:before="58" w:line="221" w:lineRule="exact"/>
              <w:ind w:left="16" w:right="8"/>
              <w:jc w:val="center"/>
              <w:rPr>
                <w:sz w:val="21"/>
              </w:rPr>
            </w:pPr>
            <w:r>
              <w:rPr>
                <w:spacing w:val="-2"/>
                <w:sz w:val="21"/>
              </w:rPr>
              <w:t>$50.10</w:t>
            </w:r>
          </w:p>
        </w:tc>
        <w:tc>
          <w:tcPr>
            <w:tcW w:w="899" w:type="dxa"/>
          </w:tcPr>
          <w:p>
            <w:pPr>
              <w:pStyle w:val="TableParagraph"/>
              <w:spacing w:before="58" w:line="221" w:lineRule="exact"/>
              <w:ind w:left="12" w:right="2"/>
              <w:jc w:val="center"/>
              <w:rPr>
                <w:sz w:val="21"/>
              </w:rPr>
            </w:pPr>
            <w:r>
              <w:rPr>
                <w:spacing w:val="-2"/>
                <w:sz w:val="21"/>
              </w:rPr>
              <w:t>$50.10</w:t>
            </w:r>
          </w:p>
        </w:tc>
        <w:tc>
          <w:tcPr>
            <w:tcW w:w="899" w:type="dxa"/>
          </w:tcPr>
          <w:p>
            <w:pPr>
              <w:pStyle w:val="TableParagraph"/>
              <w:spacing w:before="58" w:line="221" w:lineRule="exact"/>
              <w:ind w:left="12"/>
              <w:jc w:val="center"/>
              <w:rPr>
                <w:sz w:val="21"/>
              </w:rPr>
            </w:pPr>
            <w:r>
              <w:rPr>
                <w:spacing w:val="-2"/>
                <w:sz w:val="21"/>
              </w:rPr>
              <w:t>$49.00</w:t>
            </w:r>
          </w:p>
        </w:tc>
        <w:tc>
          <w:tcPr>
            <w:tcW w:w="1168" w:type="dxa"/>
          </w:tcPr>
          <w:p>
            <w:pPr>
              <w:pStyle w:val="TableParagraph"/>
              <w:spacing w:before="58" w:line="221" w:lineRule="exact"/>
              <w:ind w:left="15"/>
              <w:jc w:val="center"/>
              <w:rPr>
                <w:sz w:val="21"/>
              </w:rPr>
            </w:pPr>
            <w:r>
              <w:rPr>
                <w:spacing w:val="-2"/>
                <w:sz w:val="21"/>
              </w:rPr>
              <w:t>$50.10</w:t>
            </w:r>
          </w:p>
        </w:tc>
        <w:tc>
          <w:tcPr>
            <w:tcW w:w="1259" w:type="dxa"/>
          </w:tcPr>
          <w:p>
            <w:pPr>
              <w:pStyle w:val="TableParagraph"/>
              <w:spacing w:before="58" w:line="221" w:lineRule="exact"/>
              <w:ind w:left="22"/>
              <w:jc w:val="center"/>
              <w:rPr>
                <w:sz w:val="21"/>
              </w:rPr>
            </w:pPr>
            <w:r>
              <w:rPr>
                <w:spacing w:val="-2"/>
                <w:sz w:val="21"/>
              </w:rPr>
              <w:t>$49.40</w:t>
            </w:r>
          </w:p>
        </w:tc>
      </w:tr>
    </w:tbl>
    <w:p>
      <w:pPr>
        <w:pStyle w:val="BodyText"/>
        <w:spacing w:before="86"/>
        <w:ind w:left="0"/>
        <w:rPr>
          <w:rFonts w:ascii="Arial"/>
          <w:b/>
          <w:i/>
        </w:rPr>
      </w:pPr>
    </w:p>
    <w:p>
      <w:pPr>
        <w:pStyle w:val="BodyText"/>
        <w:spacing w:line="364" w:lineRule="auto"/>
        <w:ind w:right="1481"/>
      </w:pPr>
      <w:r>
        <w:t>In</w:t>
      </w:r>
      <w:r>
        <w:rPr>
          <w:spacing w:val="-3"/>
        </w:rPr>
        <w:t xml:space="preserve"> </w:t>
      </w:r>
      <w:r>
        <w:t>this</w:t>
      </w:r>
      <w:r>
        <w:rPr>
          <w:spacing w:val="-4"/>
        </w:rPr>
        <w:t xml:space="preserve"> </w:t>
      </w:r>
      <w:r>
        <w:t>example,</w:t>
      </w:r>
      <w:r>
        <w:rPr>
          <w:spacing w:val="-3"/>
        </w:rPr>
        <w:t xml:space="preserve"> </w:t>
      </w:r>
      <w:r>
        <w:t>the</w:t>
      </w:r>
      <w:r>
        <w:rPr>
          <w:spacing w:val="-3"/>
        </w:rPr>
        <w:t xml:space="preserve"> </w:t>
      </w:r>
      <w:r>
        <w:t>change</w:t>
      </w:r>
      <w:r>
        <w:rPr>
          <w:spacing w:val="-4"/>
        </w:rPr>
        <w:t xml:space="preserve"> </w:t>
      </w:r>
      <w:r>
        <w:t>in</w:t>
      </w:r>
      <w:r>
        <w:rPr>
          <w:spacing w:val="-3"/>
        </w:rPr>
        <w:t xml:space="preserve"> </w:t>
      </w:r>
      <w:r>
        <w:t>MSB</w:t>
      </w:r>
      <w:r>
        <w:rPr>
          <w:spacing w:val="-3"/>
        </w:rPr>
        <w:t xml:space="preserve"> </w:t>
      </w:r>
      <w:r>
        <w:t>revenue</w:t>
      </w:r>
      <w:r>
        <w:rPr>
          <w:spacing w:val="-2"/>
        </w:rPr>
        <w:t xml:space="preserve"> </w:t>
      </w:r>
      <w:r>
        <w:t>requirement</w:t>
      </w:r>
      <w:r>
        <w:rPr>
          <w:spacing w:val="-3"/>
        </w:rPr>
        <w:t xml:space="preserve"> </w:t>
      </w:r>
      <w:r>
        <w:t>must</w:t>
      </w:r>
      <w:r>
        <w:rPr>
          <w:spacing w:val="-2"/>
        </w:rPr>
        <w:t xml:space="preserve"> </w:t>
      </w:r>
      <w:r>
        <w:t>be</w:t>
      </w:r>
      <w:r>
        <w:rPr>
          <w:spacing w:val="-4"/>
        </w:rPr>
        <w:t xml:space="preserve"> </w:t>
      </w:r>
      <w:r>
        <w:t>between</w:t>
      </w:r>
      <w:r>
        <w:rPr>
          <w:spacing w:val="-1"/>
        </w:rPr>
        <w:t xml:space="preserve"> </w:t>
      </w:r>
      <w:r>
        <w:t>$0.00</w:t>
      </w:r>
      <w:r>
        <w:rPr>
          <w:spacing w:val="-3"/>
        </w:rPr>
        <w:t xml:space="preserve"> </w:t>
      </w:r>
      <w:r>
        <w:t>and</w:t>
      </w:r>
      <w:r>
        <w:rPr>
          <w:spacing w:val="-3"/>
        </w:rPr>
        <w:t xml:space="preserve"> </w:t>
      </w:r>
      <w:r>
        <w:t>$11.00. Rebate reallocation for the Part D basic premium is optional.</w:t>
      </w:r>
    </w:p>
    <w:p>
      <w:pPr>
        <w:pStyle w:val="BodyText"/>
        <w:ind w:right="1524"/>
      </w:pPr>
      <w:r>
        <w:rPr>
          <w:b/>
        </w:rPr>
        <w:t>Option</w:t>
      </w:r>
      <w:r>
        <w:rPr>
          <w:b/>
          <w:spacing w:val="-3"/>
        </w:rPr>
        <w:t xml:space="preserve"> </w:t>
      </w:r>
      <w:r>
        <w:rPr>
          <w:b/>
        </w:rPr>
        <w:t>1</w:t>
      </w:r>
      <w:r>
        <w:t>:</w:t>
      </w:r>
      <w:r>
        <w:rPr>
          <w:spacing w:val="-3"/>
        </w:rPr>
        <w:t xml:space="preserve"> </w:t>
      </w:r>
      <w:r>
        <w:t>Rebate</w:t>
      </w:r>
      <w:r>
        <w:rPr>
          <w:spacing w:val="-3"/>
        </w:rPr>
        <w:t xml:space="preserve"> </w:t>
      </w:r>
      <w:r>
        <w:t>reallocation</w:t>
      </w:r>
      <w:r>
        <w:rPr>
          <w:spacing w:val="-3"/>
        </w:rPr>
        <w:t xml:space="preserve"> </w:t>
      </w:r>
      <w:r>
        <w:t>is</w:t>
      </w:r>
      <w:r>
        <w:rPr>
          <w:spacing w:val="-3"/>
        </w:rPr>
        <w:t xml:space="preserve"> </w:t>
      </w:r>
      <w:r>
        <w:t>required</w:t>
      </w:r>
      <w:r>
        <w:rPr>
          <w:spacing w:val="-3"/>
        </w:rPr>
        <w:t xml:space="preserve"> </w:t>
      </w:r>
      <w:r>
        <w:t>for</w:t>
      </w:r>
      <w:r>
        <w:rPr>
          <w:spacing w:val="-5"/>
        </w:rPr>
        <w:t xml:space="preserve"> </w:t>
      </w:r>
      <w:r>
        <w:t>the</w:t>
      </w:r>
      <w:r>
        <w:rPr>
          <w:spacing w:val="-4"/>
        </w:rPr>
        <w:t xml:space="preserve"> </w:t>
      </w:r>
      <w:r>
        <w:t>excessive</w:t>
      </w:r>
      <w:r>
        <w:rPr>
          <w:spacing w:val="-4"/>
        </w:rPr>
        <w:t xml:space="preserve"> </w:t>
      </w:r>
      <w:r>
        <w:t>allocation</w:t>
      </w:r>
      <w:r>
        <w:rPr>
          <w:spacing w:val="-3"/>
        </w:rPr>
        <w:t xml:space="preserve"> </w:t>
      </w:r>
      <w:r>
        <w:t>of</w:t>
      </w:r>
      <w:r>
        <w:rPr>
          <w:spacing w:val="-4"/>
        </w:rPr>
        <w:t xml:space="preserve"> </w:t>
      </w:r>
      <w:r>
        <w:t>$11.00</w:t>
      </w:r>
      <w:r>
        <w:rPr>
          <w:spacing w:val="-3"/>
        </w:rPr>
        <w:t xml:space="preserve"> </w:t>
      </w:r>
      <w:r>
        <w:t>after</w:t>
      </w:r>
      <w:r>
        <w:rPr>
          <w:spacing w:val="-3"/>
        </w:rPr>
        <w:t xml:space="preserve"> </w:t>
      </w:r>
      <w:r>
        <w:t>reflecting announced RPPO benchmark. The MAO is not required to reallocate rebates for the Part D basic premium and may choose to leave the Part D basic premium at the post-Part D benchmark announcement basic premium of $48.70. The MAO must reallocate the excessive allocation of $11.00 by—</w:t>
      </w:r>
    </w:p>
    <w:p>
      <w:pPr>
        <w:pStyle w:val="BodyText"/>
        <w:spacing w:before="134"/>
        <w:ind w:left="1224" w:right="1481"/>
      </w:pPr>
      <w:r>
        <w:rPr>
          <w:b/>
        </w:rPr>
        <w:t>1a (Option not shown above)</w:t>
      </w:r>
      <w:r>
        <w:t>: In this</w:t>
      </w:r>
      <w:r>
        <w:rPr>
          <w:spacing w:val="-1"/>
        </w:rPr>
        <w:t xml:space="preserve"> </w:t>
      </w:r>
      <w:r>
        <w:t>example, making no changes</w:t>
      </w:r>
      <w:r>
        <w:rPr>
          <w:spacing w:val="-1"/>
        </w:rPr>
        <w:t xml:space="preserve"> </w:t>
      </w:r>
      <w:r>
        <w:t>to MSB revenue requirement</w:t>
      </w:r>
      <w:r>
        <w:rPr>
          <w:spacing w:val="-1"/>
        </w:rPr>
        <w:t xml:space="preserve"> </w:t>
      </w:r>
      <w:r>
        <w:t>and</w:t>
      </w:r>
      <w:r>
        <w:rPr>
          <w:spacing w:val="-3"/>
        </w:rPr>
        <w:t xml:space="preserve"> </w:t>
      </w:r>
      <w:r>
        <w:t>reallocating</w:t>
      </w:r>
      <w:r>
        <w:rPr>
          <w:spacing w:val="-3"/>
        </w:rPr>
        <w:t xml:space="preserve"> </w:t>
      </w:r>
      <w:r>
        <w:t>the</w:t>
      </w:r>
      <w:r>
        <w:rPr>
          <w:spacing w:val="-4"/>
        </w:rPr>
        <w:t xml:space="preserve"> </w:t>
      </w:r>
      <w:r>
        <w:t>excessive</w:t>
      </w:r>
      <w:r>
        <w:rPr>
          <w:spacing w:val="-2"/>
        </w:rPr>
        <w:t xml:space="preserve"> </w:t>
      </w:r>
      <w:r>
        <w:t>allocation</w:t>
      </w:r>
      <w:r>
        <w:rPr>
          <w:spacing w:val="-3"/>
        </w:rPr>
        <w:t xml:space="preserve"> </w:t>
      </w:r>
      <w:r>
        <w:t>of</w:t>
      </w:r>
      <w:r>
        <w:rPr>
          <w:spacing w:val="-4"/>
        </w:rPr>
        <w:t xml:space="preserve"> </w:t>
      </w:r>
      <w:r>
        <w:t>$11.00</w:t>
      </w:r>
      <w:r>
        <w:rPr>
          <w:spacing w:val="-3"/>
        </w:rPr>
        <w:t xml:space="preserve"> </w:t>
      </w:r>
      <w:r>
        <w:t>to</w:t>
      </w:r>
      <w:r>
        <w:rPr>
          <w:spacing w:val="-3"/>
        </w:rPr>
        <w:t xml:space="preserve"> </w:t>
      </w:r>
      <w:r>
        <w:t>the</w:t>
      </w:r>
      <w:r>
        <w:rPr>
          <w:spacing w:val="-4"/>
        </w:rPr>
        <w:t xml:space="preserve"> </w:t>
      </w:r>
      <w:r>
        <w:t>MA</w:t>
      </w:r>
      <w:r>
        <w:rPr>
          <w:spacing w:val="-4"/>
        </w:rPr>
        <w:t xml:space="preserve"> </w:t>
      </w:r>
      <w:r>
        <w:t>and</w:t>
      </w:r>
      <w:r>
        <w:rPr>
          <w:spacing w:val="-1"/>
        </w:rPr>
        <w:t xml:space="preserve"> </w:t>
      </w:r>
      <w:r>
        <w:t>Part</w:t>
      </w:r>
      <w:r>
        <w:rPr>
          <w:spacing w:val="-3"/>
        </w:rPr>
        <w:t xml:space="preserve"> </w:t>
      </w:r>
      <w:r>
        <w:t>B</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left="1224" w:right="1827"/>
        <w:jc w:val="both"/>
      </w:pPr>
      <w:r>
        <w:t>premium</w:t>
      </w:r>
      <w:r>
        <w:rPr>
          <w:spacing w:val="-3"/>
        </w:rPr>
        <w:t xml:space="preserve"> </w:t>
      </w:r>
      <w:r>
        <w:t>(in</w:t>
      </w:r>
      <w:r>
        <w:rPr>
          <w:spacing w:val="-3"/>
        </w:rPr>
        <w:t xml:space="preserve"> </w:t>
      </w:r>
      <w:r>
        <w:t>the</w:t>
      </w:r>
      <w:r>
        <w:rPr>
          <w:spacing w:val="-4"/>
        </w:rPr>
        <w:t xml:space="preserve"> </w:t>
      </w:r>
      <w:r>
        <w:t>circumstances</w:t>
      </w:r>
      <w:r>
        <w:rPr>
          <w:spacing w:val="-4"/>
        </w:rPr>
        <w:t xml:space="preserve"> </w:t>
      </w:r>
      <w:r>
        <w:t>where</w:t>
      </w:r>
      <w:r>
        <w:rPr>
          <w:spacing w:val="-5"/>
        </w:rPr>
        <w:t xml:space="preserve"> </w:t>
      </w:r>
      <w:r>
        <w:t>there</w:t>
      </w:r>
      <w:r>
        <w:rPr>
          <w:spacing w:val="-5"/>
        </w:rPr>
        <w:t xml:space="preserve"> </w:t>
      </w:r>
      <w:r>
        <w:t>is</w:t>
      </w:r>
      <w:r>
        <w:rPr>
          <w:spacing w:val="-4"/>
        </w:rPr>
        <w:t xml:space="preserve"> </w:t>
      </w:r>
      <w:r>
        <w:t>a</w:t>
      </w:r>
      <w:r>
        <w:rPr>
          <w:spacing w:val="-3"/>
        </w:rPr>
        <w:t xml:space="preserve"> </w:t>
      </w:r>
      <w:r>
        <w:t>bigger</w:t>
      </w:r>
      <w:r>
        <w:rPr>
          <w:spacing w:val="-3"/>
        </w:rPr>
        <w:t xml:space="preserve"> </w:t>
      </w:r>
      <w:r>
        <w:t>MA</w:t>
      </w:r>
      <w:r>
        <w:rPr>
          <w:spacing w:val="-4"/>
        </w:rPr>
        <w:t xml:space="preserve"> </w:t>
      </w:r>
      <w:r>
        <w:t>or</w:t>
      </w:r>
      <w:r>
        <w:rPr>
          <w:spacing w:val="-2"/>
        </w:rPr>
        <w:t xml:space="preserve"> </w:t>
      </w:r>
      <w:r>
        <w:t>a</w:t>
      </w:r>
      <w:r>
        <w:rPr>
          <w:spacing w:val="-2"/>
        </w:rPr>
        <w:t xml:space="preserve"> </w:t>
      </w:r>
      <w:r>
        <w:t>Part</w:t>
      </w:r>
      <w:r>
        <w:rPr>
          <w:spacing w:val="-3"/>
        </w:rPr>
        <w:t xml:space="preserve"> </w:t>
      </w:r>
      <w:r>
        <w:t>D</w:t>
      </w:r>
      <w:r>
        <w:rPr>
          <w:spacing w:val="-3"/>
        </w:rPr>
        <w:t xml:space="preserve"> </w:t>
      </w:r>
      <w:r>
        <w:t>supplemental premium</w:t>
      </w:r>
      <w:r>
        <w:rPr>
          <w:spacing w:val="-3"/>
        </w:rPr>
        <w:t xml:space="preserve"> </w:t>
      </w:r>
      <w:r>
        <w:t>pre-rebate</w:t>
      </w:r>
      <w:r>
        <w:rPr>
          <w:spacing w:val="-2"/>
        </w:rPr>
        <w:t xml:space="preserve"> </w:t>
      </w:r>
      <w:r>
        <w:t>reallocation,</w:t>
      </w:r>
      <w:r>
        <w:rPr>
          <w:spacing w:val="-3"/>
        </w:rPr>
        <w:t xml:space="preserve"> </w:t>
      </w:r>
      <w:r>
        <w:t>the</w:t>
      </w:r>
      <w:r>
        <w:rPr>
          <w:spacing w:val="-3"/>
        </w:rPr>
        <w:t xml:space="preserve"> </w:t>
      </w:r>
      <w:r>
        <w:t>MAO</w:t>
      </w:r>
      <w:r>
        <w:rPr>
          <w:spacing w:val="-5"/>
        </w:rPr>
        <w:t xml:space="preserve"> </w:t>
      </w:r>
      <w:r>
        <w:t>may</w:t>
      </w:r>
      <w:r>
        <w:rPr>
          <w:spacing w:val="-3"/>
        </w:rPr>
        <w:t xml:space="preserve"> </w:t>
      </w:r>
      <w:r>
        <w:t>choose</w:t>
      </w:r>
      <w:r>
        <w:rPr>
          <w:spacing w:val="-4"/>
        </w:rPr>
        <w:t xml:space="preserve"> </w:t>
      </w:r>
      <w:r>
        <w:t>to</w:t>
      </w:r>
      <w:r>
        <w:rPr>
          <w:spacing w:val="-3"/>
        </w:rPr>
        <w:t xml:space="preserve"> </w:t>
      </w:r>
      <w:r>
        <w:t>make</w:t>
      </w:r>
      <w:r>
        <w:rPr>
          <w:spacing w:val="-2"/>
        </w:rPr>
        <w:t xml:space="preserve"> </w:t>
      </w:r>
      <w:r>
        <w:t>no</w:t>
      </w:r>
      <w:r>
        <w:rPr>
          <w:spacing w:val="-3"/>
        </w:rPr>
        <w:t xml:space="preserve"> </w:t>
      </w:r>
      <w:r>
        <w:t>changes</w:t>
      </w:r>
      <w:r>
        <w:rPr>
          <w:spacing w:val="-4"/>
        </w:rPr>
        <w:t xml:space="preserve"> </w:t>
      </w:r>
      <w:r>
        <w:t>to</w:t>
      </w:r>
      <w:r>
        <w:rPr>
          <w:spacing w:val="-2"/>
        </w:rPr>
        <w:t xml:space="preserve"> </w:t>
      </w:r>
      <w:r>
        <w:t>MSB revenue requirement and decrease the MA or Part D supplemental premiums); or</w:t>
      </w:r>
    </w:p>
    <w:p>
      <w:pPr>
        <w:pStyle w:val="BodyText"/>
        <w:spacing w:before="139"/>
        <w:ind w:left="1224" w:right="1443"/>
      </w:pPr>
      <w:r>
        <w:rPr>
          <w:b/>
        </w:rPr>
        <w:t>1b (Option shown above)</w:t>
      </w:r>
      <w:r>
        <w:t>: Increasing MSB revenue requirement by less than or equal to</w:t>
      </w:r>
      <w:r>
        <w:rPr>
          <w:spacing w:val="-2"/>
        </w:rPr>
        <w:t xml:space="preserve"> </w:t>
      </w:r>
      <w:r>
        <w:t>$11.00,</w:t>
      </w:r>
      <w:r>
        <w:rPr>
          <w:spacing w:val="-2"/>
        </w:rPr>
        <w:t xml:space="preserve"> </w:t>
      </w:r>
      <w:r>
        <w:t>such</w:t>
      </w:r>
      <w:r>
        <w:rPr>
          <w:spacing w:val="-2"/>
        </w:rPr>
        <w:t xml:space="preserve"> </w:t>
      </w:r>
      <w:r>
        <w:t>that</w:t>
      </w:r>
      <w:r>
        <w:rPr>
          <w:spacing w:val="-2"/>
        </w:rPr>
        <w:t xml:space="preserve"> </w:t>
      </w:r>
      <w:r>
        <w:t>there</w:t>
      </w:r>
      <w:r>
        <w:rPr>
          <w:spacing w:val="-2"/>
        </w:rPr>
        <w:t xml:space="preserve"> </w:t>
      </w:r>
      <w:r>
        <w:t>is</w:t>
      </w:r>
      <w:r>
        <w:rPr>
          <w:spacing w:val="-3"/>
        </w:rPr>
        <w:t xml:space="preserve"> </w:t>
      </w:r>
      <w:r>
        <w:t>a</w:t>
      </w:r>
      <w:r>
        <w:rPr>
          <w:spacing w:val="-2"/>
        </w:rPr>
        <w:t xml:space="preserve"> </w:t>
      </w:r>
      <w:r>
        <w:t>partial</w:t>
      </w:r>
      <w:r>
        <w:rPr>
          <w:spacing w:val="-2"/>
        </w:rPr>
        <w:t xml:space="preserve"> </w:t>
      </w:r>
      <w:r>
        <w:t>or</w:t>
      </w:r>
      <w:r>
        <w:rPr>
          <w:spacing w:val="-2"/>
        </w:rPr>
        <w:t xml:space="preserve"> </w:t>
      </w:r>
      <w:r>
        <w:t>full</w:t>
      </w:r>
      <w:r>
        <w:rPr>
          <w:spacing w:val="-2"/>
        </w:rPr>
        <w:t xml:space="preserve"> </w:t>
      </w:r>
      <w:r>
        <w:t>return</w:t>
      </w:r>
      <w:r>
        <w:rPr>
          <w:spacing w:val="-1"/>
        </w:rPr>
        <w:t xml:space="preserve"> </w:t>
      </w:r>
      <w:r>
        <w:t>to</w:t>
      </w:r>
      <w:r>
        <w:rPr>
          <w:spacing w:val="-2"/>
        </w:rPr>
        <w:t xml:space="preserve"> </w:t>
      </w:r>
      <w:r>
        <w:t>the</w:t>
      </w:r>
      <w:r>
        <w:rPr>
          <w:spacing w:val="-3"/>
        </w:rPr>
        <w:t xml:space="preserve"> </w:t>
      </w:r>
      <w:r>
        <w:t>MA</w:t>
      </w:r>
      <w:r>
        <w:rPr>
          <w:spacing w:val="-3"/>
        </w:rPr>
        <w:t xml:space="preserve"> </w:t>
      </w:r>
      <w:r>
        <w:t>premium</w:t>
      </w:r>
      <w:r>
        <w:rPr>
          <w:spacing w:val="-2"/>
        </w:rPr>
        <w:t xml:space="preserve"> </w:t>
      </w:r>
      <w:r>
        <w:t>in</w:t>
      </w:r>
      <w:r>
        <w:rPr>
          <w:spacing w:val="-2"/>
        </w:rPr>
        <w:t xml:space="preserve"> </w:t>
      </w:r>
      <w:r>
        <w:t>initial</w:t>
      </w:r>
      <w:r>
        <w:rPr>
          <w:spacing w:val="-2"/>
        </w:rPr>
        <w:t xml:space="preserve"> </w:t>
      </w:r>
      <w:r>
        <w:t>June</w:t>
      </w:r>
      <w:r>
        <w:rPr>
          <w:spacing w:val="-2"/>
        </w:rPr>
        <w:t xml:space="preserve"> </w:t>
      </w:r>
      <w:r>
        <w:t>bid by increasing rebate allocations to MA, Part D supplemental, or Part B premiums.</w:t>
      </w:r>
    </w:p>
    <w:p>
      <w:pPr>
        <w:pStyle w:val="BodyText"/>
        <w:spacing w:before="142"/>
        <w:ind w:right="1553"/>
        <w:jc w:val="both"/>
      </w:pPr>
      <w:r>
        <w:rPr>
          <w:b/>
        </w:rPr>
        <w:t>Option</w:t>
      </w:r>
      <w:r>
        <w:rPr>
          <w:b/>
          <w:spacing w:val="-3"/>
        </w:rPr>
        <w:t xml:space="preserve"> </w:t>
      </w:r>
      <w:r>
        <w:rPr>
          <w:b/>
        </w:rPr>
        <w:t>2</w:t>
      </w:r>
      <w:r>
        <w:t>:</w:t>
      </w:r>
      <w:r>
        <w:rPr>
          <w:spacing w:val="-3"/>
        </w:rPr>
        <w:t xml:space="preserve"> </w:t>
      </w:r>
      <w:r>
        <w:t>Rebate</w:t>
      </w:r>
      <w:r>
        <w:rPr>
          <w:spacing w:val="-3"/>
        </w:rPr>
        <w:t xml:space="preserve"> </w:t>
      </w:r>
      <w:r>
        <w:t>reallocation</w:t>
      </w:r>
      <w:r>
        <w:rPr>
          <w:spacing w:val="-3"/>
        </w:rPr>
        <w:t xml:space="preserve"> </w:t>
      </w:r>
      <w:r>
        <w:t>is</w:t>
      </w:r>
      <w:r>
        <w:rPr>
          <w:spacing w:val="-3"/>
        </w:rPr>
        <w:t xml:space="preserve"> </w:t>
      </w:r>
      <w:r>
        <w:t>required</w:t>
      </w:r>
      <w:r>
        <w:rPr>
          <w:spacing w:val="-3"/>
        </w:rPr>
        <w:t xml:space="preserve"> </w:t>
      </w:r>
      <w:r>
        <w:t>for</w:t>
      </w:r>
      <w:r>
        <w:rPr>
          <w:spacing w:val="-5"/>
        </w:rPr>
        <w:t xml:space="preserve"> </w:t>
      </w:r>
      <w:r>
        <w:t>the</w:t>
      </w:r>
      <w:r>
        <w:rPr>
          <w:spacing w:val="-4"/>
        </w:rPr>
        <w:t xml:space="preserve"> </w:t>
      </w:r>
      <w:r>
        <w:t>excessive</w:t>
      </w:r>
      <w:r>
        <w:rPr>
          <w:spacing w:val="-4"/>
        </w:rPr>
        <w:t xml:space="preserve"> </w:t>
      </w:r>
      <w:r>
        <w:t>allocation</w:t>
      </w:r>
      <w:r>
        <w:rPr>
          <w:spacing w:val="-3"/>
        </w:rPr>
        <w:t xml:space="preserve"> </w:t>
      </w:r>
      <w:r>
        <w:t>of</w:t>
      </w:r>
      <w:r>
        <w:rPr>
          <w:spacing w:val="-4"/>
        </w:rPr>
        <w:t xml:space="preserve"> </w:t>
      </w:r>
      <w:r>
        <w:t>$11.00</w:t>
      </w:r>
      <w:r>
        <w:rPr>
          <w:spacing w:val="-3"/>
        </w:rPr>
        <w:t xml:space="preserve"> </w:t>
      </w:r>
      <w:r>
        <w:t>after</w:t>
      </w:r>
      <w:r>
        <w:rPr>
          <w:spacing w:val="-3"/>
        </w:rPr>
        <w:t xml:space="preserve"> </w:t>
      </w:r>
      <w:r>
        <w:t>reflecting announced RPPO benchmark. The MAO may choose to return to target Part D basic premium of $47.60. The MAO must reallocate the total excessive allocation of $9.90 by—</w:t>
      </w:r>
    </w:p>
    <w:p>
      <w:pPr>
        <w:pStyle w:val="BodyText"/>
        <w:spacing w:before="139"/>
        <w:ind w:left="1224" w:right="1481"/>
      </w:pPr>
      <w:r>
        <w:rPr>
          <w:b/>
        </w:rPr>
        <w:t>2a</w:t>
      </w:r>
      <w:r>
        <w:rPr>
          <w:b/>
          <w:spacing w:val="-3"/>
        </w:rPr>
        <w:t xml:space="preserve"> </w:t>
      </w:r>
      <w:r>
        <w:rPr>
          <w:b/>
        </w:rPr>
        <w:t>(Option</w:t>
      </w:r>
      <w:r>
        <w:rPr>
          <w:b/>
          <w:spacing w:val="-3"/>
        </w:rPr>
        <w:t xml:space="preserve"> </w:t>
      </w:r>
      <w:r>
        <w:rPr>
          <w:b/>
        </w:rPr>
        <w:t>not</w:t>
      </w:r>
      <w:r>
        <w:rPr>
          <w:b/>
          <w:spacing w:val="-3"/>
        </w:rPr>
        <w:t xml:space="preserve"> </w:t>
      </w:r>
      <w:r>
        <w:rPr>
          <w:b/>
        </w:rPr>
        <w:t>shown</w:t>
      </w:r>
      <w:r>
        <w:rPr>
          <w:b/>
          <w:spacing w:val="-3"/>
        </w:rPr>
        <w:t xml:space="preserve"> </w:t>
      </w:r>
      <w:r>
        <w:rPr>
          <w:b/>
        </w:rPr>
        <w:t>above)</w:t>
      </w:r>
      <w:r>
        <w:t>:</w:t>
      </w:r>
      <w:r>
        <w:rPr>
          <w:spacing w:val="-3"/>
        </w:rPr>
        <w:t xml:space="preserve"> </w:t>
      </w:r>
      <w:r>
        <w:t>In</w:t>
      </w:r>
      <w:r>
        <w:rPr>
          <w:spacing w:val="-3"/>
        </w:rPr>
        <w:t xml:space="preserve"> </w:t>
      </w:r>
      <w:r>
        <w:t>this</w:t>
      </w:r>
      <w:r>
        <w:rPr>
          <w:spacing w:val="-4"/>
        </w:rPr>
        <w:t xml:space="preserve"> </w:t>
      </w:r>
      <w:r>
        <w:t>example,</w:t>
      </w:r>
      <w:r>
        <w:rPr>
          <w:spacing w:val="-1"/>
        </w:rPr>
        <w:t xml:space="preserve"> </w:t>
      </w:r>
      <w:r>
        <w:t>making</w:t>
      </w:r>
      <w:r>
        <w:rPr>
          <w:spacing w:val="-2"/>
        </w:rPr>
        <w:t xml:space="preserve"> </w:t>
      </w:r>
      <w:r>
        <w:t>no</w:t>
      </w:r>
      <w:r>
        <w:rPr>
          <w:spacing w:val="-3"/>
        </w:rPr>
        <w:t xml:space="preserve"> </w:t>
      </w:r>
      <w:r>
        <w:t>changes</w:t>
      </w:r>
      <w:r>
        <w:rPr>
          <w:spacing w:val="-4"/>
        </w:rPr>
        <w:t xml:space="preserve"> </w:t>
      </w:r>
      <w:r>
        <w:t>to</w:t>
      </w:r>
      <w:r>
        <w:rPr>
          <w:spacing w:val="-2"/>
        </w:rPr>
        <w:t xml:space="preserve"> </w:t>
      </w:r>
      <w:r>
        <w:t>MSB</w:t>
      </w:r>
      <w:r>
        <w:rPr>
          <w:spacing w:val="-3"/>
        </w:rPr>
        <w:t xml:space="preserve"> </w:t>
      </w:r>
      <w:r>
        <w:t>revenue requirement and reallocating the excessive allocation of $9.90 to the MA and Part B premium (in the circumstances where</w:t>
      </w:r>
      <w:r>
        <w:rPr>
          <w:spacing w:val="-1"/>
        </w:rPr>
        <w:t xml:space="preserve"> </w:t>
      </w:r>
      <w:r>
        <w:t>there</w:t>
      </w:r>
      <w:r>
        <w:rPr>
          <w:spacing w:val="-1"/>
        </w:rPr>
        <w:t xml:space="preserve"> </w:t>
      </w:r>
      <w:r>
        <w:t>is a bigger MA or a Part D supplemental premium pre-rebate reallocation, the MAO may choose to make no changes to MSB revenue requirement and decrease the MA or Part D supplemental premiums); or</w:t>
      </w:r>
    </w:p>
    <w:p>
      <w:pPr>
        <w:pStyle w:val="BodyText"/>
        <w:spacing w:before="140"/>
        <w:ind w:left="1224" w:right="1574"/>
        <w:jc w:val="both"/>
      </w:pPr>
      <w:r>
        <w:rPr>
          <w:b/>
        </w:rPr>
        <w:t>2b</w:t>
      </w:r>
      <w:r>
        <w:rPr>
          <w:b/>
          <w:spacing w:val="-1"/>
        </w:rPr>
        <w:t xml:space="preserve"> </w:t>
      </w:r>
      <w:r>
        <w:rPr>
          <w:b/>
        </w:rPr>
        <w:t>(Option</w:t>
      </w:r>
      <w:r>
        <w:rPr>
          <w:b/>
          <w:spacing w:val="-1"/>
        </w:rPr>
        <w:t xml:space="preserve"> </w:t>
      </w:r>
      <w:r>
        <w:rPr>
          <w:b/>
        </w:rPr>
        <w:t>shown</w:t>
      </w:r>
      <w:r>
        <w:rPr>
          <w:b/>
          <w:spacing w:val="-1"/>
        </w:rPr>
        <w:t xml:space="preserve"> </w:t>
      </w:r>
      <w:r>
        <w:rPr>
          <w:b/>
        </w:rPr>
        <w:t>above)</w:t>
      </w:r>
      <w:r>
        <w:t>: Increasing</w:t>
      </w:r>
      <w:r>
        <w:rPr>
          <w:spacing w:val="-1"/>
        </w:rPr>
        <w:t xml:space="preserve"> </w:t>
      </w:r>
      <w:r>
        <w:t>MSB</w:t>
      </w:r>
      <w:r>
        <w:rPr>
          <w:spacing w:val="-1"/>
        </w:rPr>
        <w:t xml:space="preserve"> </w:t>
      </w:r>
      <w:r>
        <w:t>revenue</w:t>
      </w:r>
      <w:r>
        <w:rPr>
          <w:spacing w:val="-1"/>
        </w:rPr>
        <w:t xml:space="preserve"> </w:t>
      </w:r>
      <w:r>
        <w:t>requirement</w:t>
      </w:r>
      <w:r>
        <w:rPr>
          <w:spacing w:val="-1"/>
        </w:rPr>
        <w:t xml:space="preserve"> </w:t>
      </w:r>
      <w:r>
        <w:t>by</w:t>
      </w:r>
      <w:r>
        <w:rPr>
          <w:spacing w:val="-1"/>
        </w:rPr>
        <w:t xml:space="preserve"> </w:t>
      </w:r>
      <w:r>
        <w:t>less</w:t>
      </w:r>
      <w:r>
        <w:rPr>
          <w:spacing w:val="-2"/>
        </w:rPr>
        <w:t xml:space="preserve"> </w:t>
      </w:r>
      <w:r>
        <w:t>than</w:t>
      </w:r>
      <w:r>
        <w:rPr>
          <w:spacing w:val="-1"/>
        </w:rPr>
        <w:t xml:space="preserve"> </w:t>
      </w:r>
      <w:r>
        <w:t>or</w:t>
      </w:r>
      <w:r>
        <w:rPr>
          <w:spacing w:val="-3"/>
        </w:rPr>
        <w:t xml:space="preserve"> </w:t>
      </w:r>
      <w:r>
        <w:t>equal to</w:t>
      </w:r>
      <w:r>
        <w:rPr>
          <w:spacing w:val="-2"/>
        </w:rPr>
        <w:t xml:space="preserve"> </w:t>
      </w:r>
      <w:r>
        <w:t>$9.90,</w:t>
      </w:r>
      <w:r>
        <w:rPr>
          <w:spacing w:val="-2"/>
        </w:rPr>
        <w:t xml:space="preserve"> </w:t>
      </w:r>
      <w:r>
        <w:t>such</w:t>
      </w:r>
      <w:r>
        <w:rPr>
          <w:spacing w:val="-2"/>
        </w:rPr>
        <w:t xml:space="preserve"> </w:t>
      </w:r>
      <w:r>
        <w:t>that</w:t>
      </w:r>
      <w:r>
        <w:rPr>
          <w:spacing w:val="-2"/>
        </w:rPr>
        <w:t xml:space="preserve"> </w:t>
      </w:r>
      <w:r>
        <w:t>there</w:t>
      </w:r>
      <w:r>
        <w:rPr>
          <w:spacing w:val="-3"/>
        </w:rPr>
        <w:t xml:space="preserve"> </w:t>
      </w:r>
      <w:r>
        <w:t>is</w:t>
      </w:r>
      <w:r>
        <w:rPr>
          <w:spacing w:val="-3"/>
        </w:rPr>
        <w:t xml:space="preserve"> </w:t>
      </w:r>
      <w:r>
        <w:t>a</w:t>
      </w:r>
      <w:r>
        <w:rPr>
          <w:spacing w:val="-3"/>
        </w:rPr>
        <w:t xml:space="preserve"> </w:t>
      </w:r>
      <w:r>
        <w:t>partial</w:t>
      </w:r>
      <w:r>
        <w:rPr>
          <w:spacing w:val="-2"/>
        </w:rPr>
        <w:t xml:space="preserve"> </w:t>
      </w:r>
      <w:r>
        <w:t>or</w:t>
      </w:r>
      <w:r>
        <w:rPr>
          <w:spacing w:val="-2"/>
        </w:rPr>
        <w:t xml:space="preserve"> </w:t>
      </w:r>
      <w:r>
        <w:t>full</w:t>
      </w:r>
      <w:r>
        <w:rPr>
          <w:spacing w:val="-2"/>
        </w:rPr>
        <w:t xml:space="preserve"> </w:t>
      </w:r>
      <w:r>
        <w:t>return</w:t>
      </w:r>
      <w:r>
        <w:rPr>
          <w:spacing w:val="-2"/>
        </w:rPr>
        <w:t xml:space="preserve"> </w:t>
      </w:r>
      <w:r>
        <w:t>to</w:t>
      </w:r>
      <w:r>
        <w:rPr>
          <w:spacing w:val="-2"/>
        </w:rPr>
        <w:t xml:space="preserve"> </w:t>
      </w:r>
      <w:r>
        <w:t>the</w:t>
      </w:r>
      <w:r>
        <w:rPr>
          <w:spacing w:val="-2"/>
        </w:rPr>
        <w:t xml:space="preserve"> </w:t>
      </w:r>
      <w:r>
        <w:t>MA</w:t>
      </w:r>
      <w:r>
        <w:rPr>
          <w:spacing w:val="-3"/>
        </w:rPr>
        <w:t xml:space="preserve"> </w:t>
      </w:r>
      <w:r>
        <w:t>premium</w:t>
      </w:r>
      <w:r>
        <w:rPr>
          <w:spacing w:val="-2"/>
        </w:rPr>
        <w:t xml:space="preserve"> </w:t>
      </w:r>
      <w:r>
        <w:t>in</w:t>
      </w:r>
      <w:r>
        <w:rPr>
          <w:spacing w:val="-2"/>
        </w:rPr>
        <w:t xml:space="preserve"> </w:t>
      </w:r>
      <w:r>
        <w:t>initial</w:t>
      </w:r>
      <w:r>
        <w:rPr>
          <w:spacing w:val="-2"/>
        </w:rPr>
        <w:t xml:space="preserve"> </w:t>
      </w:r>
      <w:r>
        <w:t>June</w:t>
      </w:r>
      <w:r>
        <w:rPr>
          <w:spacing w:val="-2"/>
        </w:rPr>
        <w:t xml:space="preserve"> </w:t>
      </w:r>
      <w:r>
        <w:t>bid by increasing rebate allocations to MA, Part D supplemental, or Part B premiums.</w:t>
      </w:r>
    </w:p>
    <w:p>
      <w:pPr>
        <w:pStyle w:val="BodyText"/>
        <w:spacing w:before="139"/>
        <w:ind w:right="1481"/>
      </w:pPr>
      <w:r>
        <w:t>*</w:t>
      </w:r>
      <w:r>
        <w:rPr>
          <w:b/>
        </w:rPr>
        <w:t>Unacceptable</w:t>
      </w:r>
      <w:r>
        <w:rPr>
          <w:b/>
          <w:spacing w:val="-4"/>
        </w:rPr>
        <w:t xml:space="preserve"> </w:t>
      </w:r>
      <w:r>
        <w:rPr>
          <w:b/>
        </w:rPr>
        <w:t>Option</w:t>
      </w:r>
      <w:r>
        <w:t>:</w:t>
      </w:r>
      <w:r>
        <w:rPr>
          <w:spacing w:val="-3"/>
        </w:rPr>
        <w:t xml:space="preserve"> </w:t>
      </w:r>
      <w:r>
        <w:t>In</w:t>
      </w:r>
      <w:r>
        <w:rPr>
          <w:spacing w:val="-3"/>
        </w:rPr>
        <w:t xml:space="preserve"> </w:t>
      </w:r>
      <w:r>
        <w:t>this</w:t>
      </w:r>
      <w:r>
        <w:rPr>
          <w:spacing w:val="-4"/>
        </w:rPr>
        <w:t xml:space="preserve"> </w:t>
      </w:r>
      <w:r>
        <w:t>example,</w:t>
      </w:r>
      <w:r>
        <w:rPr>
          <w:spacing w:val="-3"/>
        </w:rPr>
        <w:t xml:space="preserve"> </w:t>
      </w:r>
      <w:r>
        <w:t>(i)</w:t>
      </w:r>
      <w:r>
        <w:rPr>
          <w:spacing w:val="-4"/>
        </w:rPr>
        <w:t xml:space="preserve"> </w:t>
      </w:r>
      <w:r>
        <w:t>if</w:t>
      </w:r>
      <w:r>
        <w:rPr>
          <w:spacing w:val="-3"/>
        </w:rPr>
        <w:t xml:space="preserve"> </w:t>
      </w:r>
      <w:r>
        <w:t>the</w:t>
      </w:r>
      <w:r>
        <w:rPr>
          <w:spacing w:val="-2"/>
        </w:rPr>
        <w:t xml:space="preserve"> </w:t>
      </w:r>
      <w:r>
        <w:t>MAO</w:t>
      </w:r>
      <w:r>
        <w:rPr>
          <w:spacing w:val="-4"/>
        </w:rPr>
        <w:t xml:space="preserve"> </w:t>
      </w:r>
      <w:r>
        <w:t>chooses</w:t>
      </w:r>
      <w:r>
        <w:rPr>
          <w:spacing w:val="-4"/>
        </w:rPr>
        <w:t xml:space="preserve"> </w:t>
      </w:r>
      <w:r>
        <w:t>to</w:t>
      </w:r>
      <w:r>
        <w:rPr>
          <w:spacing w:val="-3"/>
        </w:rPr>
        <w:t xml:space="preserve"> </w:t>
      </w:r>
      <w:r>
        <w:t>not</w:t>
      </w:r>
      <w:r>
        <w:rPr>
          <w:spacing w:val="-3"/>
        </w:rPr>
        <w:t xml:space="preserve"> </w:t>
      </w:r>
      <w:r>
        <w:t>return</w:t>
      </w:r>
      <w:r>
        <w:rPr>
          <w:spacing w:val="-3"/>
        </w:rPr>
        <w:t xml:space="preserve"> </w:t>
      </w:r>
      <w:r>
        <w:t>to</w:t>
      </w:r>
      <w:r>
        <w:rPr>
          <w:spacing w:val="-3"/>
        </w:rPr>
        <w:t xml:space="preserve"> </w:t>
      </w:r>
      <w:r>
        <w:t>target</w:t>
      </w:r>
      <w:r>
        <w:rPr>
          <w:spacing w:val="-1"/>
        </w:rPr>
        <w:t xml:space="preserve"> </w:t>
      </w:r>
      <w:r>
        <w:t>Part</w:t>
      </w:r>
      <w:r>
        <w:rPr>
          <w:spacing w:val="-3"/>
        </w:rPr>
        <w:t xml:space="preserve"> </w:t>
      </w:r>
      <w:r>
        <w:t>D basic premium, the change in MSB revenue requirement must be between $0.00 and $11.00; and (ii) if the MAO chooses to return to target Part D basic premium, the change in MSB revenue requirement must be between $0.00 and $9.90.</w:t>
      </w:r>
    </w:p>
    <w:p>
      <w:pPr>
        <w:pStyle w:val="BodyText"/>
        <w:spacing w:after="0"/>
        <w:sectPr>
          <w:pgSz w:w="12240" w:h="15840"/>
          <w:pgMar w:top="960" w:right="0" w:bottom="940" w:left="1080" w:header="727" w:footer="747"/>
          <w:cols w:space="720"/>
        </w:sectPr>
      </w:pPr>
    </w:p>
    <w:p>
      <w:pPr>
        <w:pStyle w:val="BodyText"/>
        <w:spacing w:before="191"/>
        <w:ind w:left="0"/>
      </w:pPr>
    </w:p>
    <w:p>
      <w:pPr>
        <w:pStyle w:val="Heading4"/>
      </w:pPr>
      <w:bookmarkStart w:id="382" w:name="Example 13: Insufficient Rebates Allocat"/>
      <w:bookmarkEnd w:id="382"/>
      <w:r>
        <w:rPr>
          <w:i/>
        </w:rPr>
        <w:t>Example</w:t>
      </w:r>
      <w:r>
        <w:rPr>
          <w:i/>
          <w:spacing w:val="-3"/>
        </w:rPr>
        <w:t xml:space="preserve"> </w:t>
      </w:r>
      <w:r>
        <w:rPr>
          <w:i/>
        </w:rPr>
        <w:t>13:</w:t>
      </w:r>
      <w:r>
        <w:rPr>
          <w:i/>
          <w:spacing w:val="-5"/>
        </w:rPr>
        <w:t xml:space="preserve"> </w:t>
      </w:r>
      <w:r>
        <w:rPr>
          <w:i/>
        </w:rPr>
        <w:t>Insufficient</w:t>
      </w:r>
      <w:r>
        <w:rPr>
          <w:i/>
          <w:spacing w:val="-6"/>
        </w:rPr>
        <w:t xml:space="preserve"> </w:t>
      </w:r>
      <w:r>
        <w:rPr>
          <w:i/>
        </w:rPr>
        <w:t>Rebates</w:t>
      </w:r>
      <w:r>
        <w:rPr>
          <w:i/>
          <w:spacing w:val="-5"/>
        </w:rPr>
        <w:t xml:space="preserve"> </w:t>
      </w:r>
      <w:r>
        <w:rPr>
          <w:i/>
        </w:rPr>
        <w:t>Allocated</w:t>
      </w:r>
      <w:r>
        <w:rPr>
          <w:i/>
          <w:spacing w:val="-5"/>
        </w:rPr>
        <w:t xml:space="preserve"> </w:t>
      </w:r>
      <w:r>
        <w:rPr>
          <w:i/>
        </w:rPr>
        <w:t>for</w:t>
      </w:r>
      <w:r>
        <w:rPr>
          <w:i/>
          <w:spacing w:val="-5"/>
        </w:rPr>
        <w:t xml:space="preserve"> </w:t>
      </w:r>
      <w:r>
        <w:rPr>
          <w:i/>
        </w:rPr>
        <w:t>Combined</w:t>
      </w:r>
      <w:r>
        <w:rPr>
          <w:i/>
          <w:spacing w:val="-5"/>
        </w:rPr>
        <w:t xml:space="preserve"> </w:t>
      </w:r>
      <w:r>
        <w:rPr>
          <w:i/>
        </w:rPr>
        <w:t>RPPO</w:t>
      </w:r>
      <w:r>
        <w:rPr>
          <w:i/>
          <w:spacing w:val="-5"/>
        </w:rPr>
        <w:t xml:space="preserve"> </w:t>
      </w:r>
      <w:r>
        <w:rPr>
          <w:i/>
        </w:rPr>
        <w:t>Benchmark</w:t>
      </w:r>
      <w:r>
        <w:rPr>
          <w:i/>
          <w:spacing w:val="-5"/>
        </w:rPr>
        <w:t xml:space="preserve"> </w:t>
      </w:r>
      <w:r>
        <w:rPr>
          <w:i/>
        </w:rPr>
        <w:t>and</w:t>
      </w:r>
      <w:r>
        <w:t xml:space="preserve"> Part D Basic Premium, and Rebate Reallocation for Part D Basic Premium is </w:t>
      </w:r>
      <w:r>
        <w:rPr>
          <w:spacing w:val="-2"/>
        </w:rPr>
        <w:t>Optional.</w:t>
      </w:r>
    </w:p>
    <w:p>
      <w:pPr>
        <w:pStyle w:val="BodyText"/>
        <w:spacing w:before="130"/>
        <w:ind w:left="0"/>
        <w:rPr>
          <w:rFonts w:ascii="Arial"/>
          <w:b/>
          <w:i/>
          <w:sz w:val="20"/>
        </w:rPr>
      </w:pPr>
    </w:p>
    <w:tbl>
      <w:tblPr>
        <w:tblStyle w:val="TableNormal"/>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5"/>
        <w:gridCol w:w="900"/>
        <w:gridCol w:w="1352"/>
        <w:gridCol w:w="989"/>
        <w:gridCol w:w="992"/>
        <w:gridCol w:w="989"/>
        <w:gridCol w:w="992"/>
        <w:gridCol w:w="1169"/>
        <w:gridCol w:w="1260"/>
      </w:tblGrid>
      <w:tr>
        <w:tblPrEx>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24"/>
          <w:jc w:val="left"/>
        </w:trPr>
        <w:tc>
          <w:tcPr>
            <w:tcW w:w="1255" w:type="dxa"/>
          </w:tcPr>
          <w:p>
            <w:pPr>
              <w:pStyle w:val="TableParagraph"/>
              <w:spacing w:before="240"/>
              <w:ind w:left="369"/>
              <w:rPr>
                <w:b/>
                <w:sz w:val="21"/>
              </w:rPr>
            </w:pPr>
            <w:r>
              <w:rPr>
                <w:b/>
                <w:spacing w:val="-2"/>
                <w:sz w:val="21"/>
              </w:rPr>
              <w:t>Label</w:t>
            </w:r>
          </w:p>
        </w:tc>
        <w:tc>
          <w:tcPr>
            <w:tcW w:w="900" w:type="dxa"/>
          </w:tcPr>
          <w:p>
            <w:pPr>
              <w:pStyle w:val="TableParagraph"/>
              <w:ind w:left="12" w:right="1"/>
              <w:jc w:val="center"/>
              <w:rPr>
                <w:b/>
                <w:sz w:val="21"/>
              </w:rPr>
            </w:pPr>
            <w:r>
              <w:rPr>
                <w:b/>
                <w:spacing w:val="-2"/>
                <w:sz w:val="21"/>
              </w:rPr>
              <w:t xml:space="preserve">Initial </w:t>
            </w:r>
            <w:r>
              <w:rPr>
                <w:b/>
                <w:spacing w:val="-4"/>
                <w:sz w:val="21"/>
              </w:rPr>
              <w:t>June</w:t>
            </w:r>
          </w:p>
          <w:p>
            <w:pPr>
              <w:pStyle w:val="TableParagraph"/>
              <w:spacing w:line="221" w:lineRule="exact"/>
              <w:ind w:left="12" w:right="1"/>
              <w:jc w:val="center"/>
              <w:rPr>
                <w:b/>
                <w:sz w:val="21"/>
              </w:rPr>
            </w:pPr>
            <w:r>
              <w:rPr>
                <w:b/>
                <w:spacing w:val="-5"/>
                <w:sz w:val="21"/>
              </w:rPr>
              <w:t>Bid</w:t>
            </w:r>
          </w:p>
        </w:tc>
        <w:tc>
          <w:tcPr>
            <w:tcW w:w="1352" w:type="dxa"/>
          </w:tcPr>
          <w:p>
            <w:pPr>
              <w:pStyle w:val="TableParagraph"/>
              <w:ind w:left="221" w:right="213" w:firstLine="2"/>
              <w:jc w:val="center"/>
              <w:rPr>
                <w:b/>
                <w:sz w:val="21"/>
              </w:rPr>
            </w:pPr>
            <w:r>
              <w:rPr>
                <w:b/>
                <w:spacing w:val="-2"/>
                <w:sz w:val="21"/>
              </w:rPr>
              <w:t xml:space="preserve">After </w:t>
            </w:r>
            <w:r>
              <w:rPr>
                <w:b/>
                <w:sz w:val="21"/>
              </w:rPr>
              <w:t>Release</w:t>
            </w:r>
            <w:r>
              <w:rPr>
                <w:b/>
                <w:spacing w:val="-8"/>
                <w:sz w:val="21"/>
              </w:rPr>
              <w:t xml:space="preserve"> </w:t>
            </w:r>
            <w:r>
              <w:rPr>
                <w:b/>
                <w:spacing w:val="-5"/>
                <w:sz w:val="21"/>
              </w:rPr>
              <w:t>of</w:t>
            </w:r>
          </w:p>
          <w:p>
            <w:pPr>
              <w:pStyle w:val="TableParagraph"/>
              <w:spacing w:line="221" w:lineRule="exact"/>
              <w:ind w:left="29" w:right="20"/>
              <w:jc w:val="center"/>
              <w:rPr>
                <w:b/>
                <w:sz w:val="21"/>
              </w:rPr>
            </w:pPr>
            <w:r>
              <w:rPr>
                <w:b/>
                <w:spacing w:val="-2"/>
                <w:sz w:val="21"/>
              </w:rPr>
              <w:t>Benchmark</w:t>
            </w:r>
          </w:p>
        </w:tc>
        <w:tc>
          <w:tcPr>
            <w:tcW w:w="989" w:type="dxa"/>
          </w:tcPr>
          <w:p>
            <w:pPr>
              <w:pStyle w:val="TableParagraph"/>
              <w:spacing w:before="120"/>
              <w:ind w:left="386" w:right="170" w:hanging="212"/>
              <w:rPr>
                <w:b/>
                <w:sz w:val="21"/>
              </w:rPr>
            </w:pPr>
            <w:r>
              <w:rPr>
                <w:b/>
                <w:spacing w:val="-2"/>
                <w:sz w:val="21"/>
              </w:rPr>
              <w:t xml:space="preserve">Option </w:t>
            </w:r>
            <w:r>
              <w:rPr>
                <w:b/>
                <w:spacing w:val="-6"/>
                <w:sz w:val="21"/>
              </w:rPr>
              <w:t>1a</w:t>
            </w:r>
          </w:p>
        </w:tc>
        <w:tc>
          <w:tcPr>
            <w:tcW w:w="992" w:type="dxa"/>
          </w:tcPr>
          <w:p>
            <w:pPr>
              <w:pStyle w:val="TableParagraph"/>
              <w:spacing w:before="120"/>
              <w:ind w:left="383" w:right="167" w:hanging="207"/>
              <w:rPr>
                <w:b/>
                <w:sz w:val="21"/>
              </w:rPr>
            </w:pPr>
            <w:r>
              <w:rPr>
                <w:b/>
                <w:spacing w:val="-2"/>
                <w:sz w:val="21"/>
              </w:rPr>
              <w:t xml:space="preserve">Option </w:t>
            </w:r>
            <w:r>
              <w:rPr>
                <w:b/>
                <w:spacing w:val="-6"/>
                <w:sz w:val="21"/>
              </w:rPr>
              <w:t>1b</w:t>
            </w:r>
          </w:p>
        </w:tc>
        <w:tc>
          <w:tcPr>
            <w:tcW w:w="989" w:type="dxa"/>
          </w:tcPr>
          <w:p>
            <w:pPr>
              <w:pStyle w:val="TableParagraph"/>
              <w:spacing w:before="120"/>
              <w:ind w:left="385" w:right="167" w:hanging="212"/>
              <w:rPr>
                <w:b/>
                <w:sz w:val="21"/>
              </w:rPr>
            </w:pPr>
            <w:r>
              <w:rPr>
                <w:b/>
                <w:spacing w:val="-2"/>
                <w:sz w:val="21"/>
              </w:rPr>
              <w:t xml:space="preserve">Option </w:t>
            </w:r>
            <w:r>
              <w:rPr>
                <w:b/>
                <w:spacing w:val="-6"/>
                <w:sz w:val="21"/>
              </w:rPr>
              <w:t>2a</w:t>
            </w:r>
          </w:p>
        </w:tc>
        <w:tc>
          <w:tcPr>
            <w:tcW w:w="992" w:type="dxa"/>
          </w:tcPr>
          <w:p>
            <w:pPr>
              <w:pStyle w:val="TableParagraph"/>
              <w:spacing w:before="120"/>
              <w:ind w:left="382" w:right="168" w:hanging="207"/>
              <w:rPr>
                <w:b/>
                <w:sz w:val="21"/>
              </w:rPr>
            </w:pPr>
            <w:r>
              <w:rPr>
                <w:b/>
                <w:spacing w:val="-2"/>
                <w:sz w:val="21"/>
              </w:rPr>
              <w:t xml:space="preserve">Option </w:t>
            </w:r>
            <w:r>
              <w:rPr>
                <w:b/>
                <w:spacing w:val="-6"/>
                <w:sz w:val="21"/>
              </w:rPr>
              <w:t>2b</w:t>
            </w:r>
          </w:p>
        </w:tc>
        <w:tc>
          <w:tcPr>
            <w:tcW w:w="1169" w:type="dxa"/>
          </w:tcPr>
          <w:p>
            <w:pPr>
              <w:pStyle w:val="TableParagraph"/>
              <w:ind w:left="392" w:hanging="267"/>
              <w:rPr>
                <w:b/>
                <w:sz w:val="21"/>
              </w:rPr>
            </w:pPr>
            <w:r>
              <w:rPr>
                <w:b/>
                <w:spacing w:val="-2"/>
                <w:sz w:val="21"/>
              </w:rPr>
              <w:t>Unaccept-</w:t>
            </w:r>
            <w:r>
              <w:rPr>
                <w:b/>
                <w:spacing w:val="-4"/>
                <w:sz w:val="21"/>
              </w:rPr>
              <w:t>able</w:t>
            </w:r>
          </w:p>
          <w:p>
            <w:pPr>
              <w:pStyle w:val="TableParagraph"/>
              <w:spacing w:line="221" w:lineRule="exact"/>
              <w:ind w:left="113"/>
              <w:rPr>
                <w:b/>
                <w:sz w:val="21"/>
              </w:rPr>
            </w:pPr>
            <w:r>
              <w:rPr>
                <w:b/>
                <w:spacing w:val="-2"/>
                <w:sz w:val="21"/>
              </w:rPr>
              <w:t>Option(i)*</w:t>
            </w:r>
          </w:p>
        </w:tc>
        <w:tc>
          <w:tcPr>
            <w:tcW w:w="1260" w:type="dxa"/>
          </w:tcPr>
          <w:p>
            <w:pPr>
              <w:pStyle w:val="TableParagraph"/>
              <w:ind w:left="440" w:hanging="267"/>
              <w:rPr>
                <w:b/>
                <w:sz w:val="21"/>
              </w:rPr>
            </w:pPr>
            <w:r>
              <w:rPr>
                <w:b/>
                <w:spacing w:val="-2"/>
                <w:sz w:val="21"/>
              </w:rPr>
              <w:t>Unaccept-</w:t>
            </w:r>
            <w:r>
              <w:rPr>
                <w:b/>
                <w:spacing w:val="-4"/>
                <w:sz w:val="21"/>
              </w:rPr>
              <w:t>able</w:t>
            </w:r>
          </w:p>
          <w:p>
            <w:pPr>
              <w:pStyle w:val="TableParagraph"/>
              <w:spacing w:line="221" w:lineRule="exact"/>
              <w:ind w:left="132"/>
              <w:rPr>
                <w:b/>
                <w:sz w:val="21"/>
              </w:rPr>
            </w:pPr>
            <w:r>
              <w:rPr>
                <w:b/>
                <w:spacing w:val="-2"/>
                <w:sz w:val="21"/>
              </w:rPr>
              <w:t>Option(ii)*</w:t>
            </w:r>
          </w:p>
        </w:tc>
      </w:tr>
      <w:tr>
        <w:tblPrEx>
          <w:tblW w:w="0" w:type="auto"/>
          <w:jc w:val="left"/>
          <w:tblInd w:w="514" w:type="dxa"/>
          <w:tblLayout w:type="fixed"/>
          <w:tblCellMar>
            <w:top w:w="0" w:type="dxa"/>
            <w:left w:w="0" w:type="dxa"/>
            <w:bottom w:w="0" w:type="dxa"/>
            <w:right w:w="0" w:type="dxa"/>
          </w:tblCellMar>
          <w:tblLook w:val="01E0"/>
        </w:tblPrEx>
        <w:trPr>
          <w:trHeight w:val="332"/>
          <w:jc w:val="left"/>
        </w:trPr>
        <w:tc>
          <w:tcPr>
            <w:tcW w:w="1255" w:type="dxa"/>
            <w:tcBorders>
              <w:bottom w:val="nil"/>
            </w:tcBorders>
          </w:tcPr>
          <w:p>
            <w:pPr>
              <w:pStyle w:val="TableParagraph"/>
              <w:spacing w:before="58"/>
              <w:ind w:left="107"/>
              <w:rPr>
                <w:b/>
                <w:sz w:val="21"/>
              </w:rPr>
            </w:pPr>
            <w:r>
              <w:rPr>
                <w:b/>
                <w:spacing w:val="-2"/>
                <w:sz w:val="21"/>
              </w:rPr>
              <w:t>Allocation</w:t>
            </w:r>
          </w:p>
        </w:tc>
        <w:tc>
          <w:tcPr>
            <w:tcW w:w="900" w:type="dxa"/>
            <w:tcBorders>
              <w:bottom w:val="nil"/>
            </w:tcBorders>
          </w:tcPr>
          <w:p>
            <w:pPr>
              <w:pStyle w:val="TableParagraph"/>
              <w:rPr>
                <w:sz w:val="22"/>
              </w:rPr>
            </w:pPr>
          </w:p>
        </w:tc>
        <w:tc>
          <w:tcPr>
            <w:tcW w:w="1352" w:type="dxa"/>
            <w:tcBorders>
              <w:bottom w:val="nil"/>
            </w:tcBorders>
          </w:tcPr>
          <w:p>
            <w:pPr>
              <w:pStyle w:val="TableParagraph"/>
              <w:rPr>
                <w:sz w:val="22"/>
              </w:rPr>
            </w:pPr>
          </w:p>
        </w:tc>
        <w:tc>
          <w:tcPr>
            <w:tcW w:w="989" w:type="dxa"/>
            <w:tcBorders>
              <w:bottom w:val="nil"/>
            </w:tcBorders>
          </w:tcPr>
          <w:p>
            <w:pPr>
              <w:pStyle w:val="TableParagraph"/>
              <w:rPr>
                <w:sz w:val="22"/>
              </w:rPr>
            </w:pPr>
          </w:p>
        </w:tc>
        <w:tc>
          <w:tcPr>
            <w:tcW w:w="992" w:type="dxa"/>
            <w:tcBorders>
              <w:bottom w:val="nil"/>
            </w:tcBorders>
          </w:tcPr>
          <w:p>
            <w:pPr>
              <w:pStyle w:val="TableParagraph"/>
              <w:rPr>
                <w:sz w:val="22"/>
              </w:rPr>
            </w:pPr>
          </w:p>
        </w:tc>
        <w:tc>
          <w:tcPr>
            <w:tcW w:w="989" w:type="dxa"/>
            <w:tcBorders>
              <w:bottom w:val="nil"/>
            </w:tcBorders>
          </w:tcPr>
          <w:p>
            <w:pPr>
              <w:pStyle w:val="TableParagraph"/>
              <w:rPr>
                <w:sz w:val="22"/>
              </w:rPr>
            </w:pPr>
          </w:p>
        </w:tc>
        <w:tc>
          <w:tcPr>
            <w:tcW w:w="992" w:type="dxa"/>
            <w:tcBorders>
              <w:bottom w:val="nil"/>
            </w:tcBorders>
          </w:tcPr>
          <w:p>
            <w:pPr>
              <w:pStyle w:val="TableParagraph"/>
              <w:rPr>
                <w:sz w:val="22"/>
              </w:rPr>
            </w:pPr>
          </w:p>
        </w:tc>
        <w:tc>
          <w:tcPr>
            <w:tcW w:w="1169" w:type="dxa"/>
            <w:tcBorders>
              <w:bottom w:val="nil"/>
            </w:tcBorders>
          </w:tcPr>
          <w:p>
            <w:pPr>
              <w:pStyle w:val="TableParagraph"/>
              <w:rPr>
                <w:sz w:val="22"/>
              </w:rPr>
            </w:pPr>
          </w:p>
        </w:tc>
        <w:tc>
          <w:tcPr>
            <w:tcW w:w="1260" w:type="dxa"/>
            <w:tcBorders>
              <w:bottom w:val="nil"/>
            </w:tcBorders>
          </w:tcPr>
          <w:p>
            <w:pPr>
              <w:pStyle w:val="TableParagraph"/>
              <w:rPr>
                <w:sz w:val="22"/>
              </w:rPr>
            </w:pPr>
          </w:p>
        </w:tc>
      </w:tr>
      <w:tr>
        <w:tblPrEx>
          <w:tblW w:w="0" w:type="auto"/>
          <w:jc w:val="left"/>
          <w:tblInd w:w="514" w:type="dxa"/>
          <w:tblLayout w:type="fixed"/>
          <w:tblCellMar>
            <w:top w:w="0" w:type="dxa"/>
            <w:left w:w="0" w:type="dxa"/>
            <w:bottom w:w="0" w:type="dxa"/>
            <w:right w:w="0" w:type="dxa"/>
          </w:tblCellMar>
          <w:tblLook w:val="01E0"/>
        </w:tblPrEx>
        <w:trPr>
          <w:trHeight w:val="285"/>
          <w:jc w:val="left"/>
        </w:trPr>
        <w:tc>
          <w:tcPr>
            <w:tcW w:w="1255" w:type="dxa"/>
            <w:tcBorders>
              <w:top w:val="nil"/>
              <w:bottom w:val="nil"/>
            </w:tcBorders>
          </w:tcPr>
          <w:p>
            <w:pPr>
              <w:pStyle w:val="TableParagraph"/>
              <w:spacing w:before="25" w:line="240" w:lineRule="exact"/>
              <w:ind w:left="261"/>
              <w:rPr>
                <w:b/>
                <w:sz w:val="21"/>
              </w:rPr>
            </w:pPr>
            <w:r>
              <w:rPr>
                <w:b/>
                <w:spacing w:val="-4"/>
                <w:sz w:val="21"/>
              </w:rPr>
              <w:t>RPPO</w:t>
            </w:r>
          </w:p>
        </w:tc>
        <w:tc>
          <w:tcPr>
            <w:tcW w:w="900" w:type="dxa"/>
            <w:tcBorders>
              <w:top w:val="nil"/>
              <w:bottom w:val="nil"/>
            </w:tcBorders>
          </w:tcPr>
          <w:p>
            <w:pPr>
              <w:pStyle w:val="TableParagraph"/>
              <w:spacing w:before="25" w:line="240" w:lineRule="exact"/>
              <w:ind w:left="12" w:right="2"/>
              <w:jc w:val="center"/>
              <w:rPr>
                <w:sz w:val="21"/>
              </w:rPr>
            </w:pPr>
            <w:r>
              <w:rPr>
                <w:spacing w:val="-5"/>
                <w:sz w:val="21"/>
              </w:rPr>
              <w:t>N/A</w:t>
            </w:r>
          </w:p>
        </w:tc>
        <w:tc>
          <w:tcPr>
            <w:tcW w:w="1352" w:type="dxa"/>
            <w:tcBorders>
              <w:top w:val="nil"/>
              <w:bottom w:val="nil"/>
            </w:tcBorders>
          </w:tcPr>
          <w:p>
            <w:pPr>
              <w:pStyle w:val="TableParagraph"/>
              <w:spacing w:before="25" w:line="240" w:lineRule="exact"/>
              <w:ind w:left="30" w:right="20"/>
              <w:jc w:val="center"/>
              <w:rPr>
                <w:sz w:val="21"/>
              </w:rPr>
            </w:pPr>
            <w:r>
              <w:rPr>
                <w:spacing w:val="-2"/>
                <w:sz w:val="21"/>
              </w:rPr>
              <w:t>−$12.50</w:t>
            </w:r>
          </w:p>
        </w:tc>
        <w:tc>
          <w:tcPr>
            <w:tcW w:w="989" w:type="dxa"/>
            <w:tcBorders>
              <w:top w:val="nil"/>
              <w:bottom w:val="nil"/>
            </w:tcBorders>
          </w:tcPr>
          <w:p>
            <w:pPr>
              <w:pStyle w:val="TableParagraph"/>
              <w:spacing w:before="25" w:line="240" w:lineRule="exact"/>
              <w:ind w:left="6"/>
              <w:jc w:val="center"/>
              <w:rPr>
                <w:sz w:val="21"/>
              </w:rPr>
            </w:pPr>
            <w:r>
              <w:rPr>
                <w:spacing w:val="-2"/>
                <w:sz w:val="21"/>
              </w:rPr>
              <w:t>−$12.50</w:t>
            </w:r>
          </w:p>
        </w:tc>
        <w:tc>
          <w:tcPr>
            <w:tcW w:w="992" w:type="dxa"/>
            <w:tcBorders>
              <w:top w:val="nil"/>
              <w:bottom w:val="nil"/>
            </w:tcBorders>
          </w:tcPr>
          <w:p>
            <w:pPr>
              <w:pStyle w:val="TableParagraph"/>
              <w:spacing w:before="25" w:line="240" w:lineRule="exact"/>
              <w:ind w:left="8"/>
              <w:jc w:val="center"/>
              <w:rPr>
                <w:sz w:val="21"/>
              </w:rPr>
            </w:pPr>
            <w:r>
              <w:rPr>
                <w:spacing w:val="-2"/>
                <w:sz w:val="21"/>
              </w:rPr>
              <w:t>−$12.50</w:t>
            </w:r>
          </w:p>
        </w:tc>
        <w:tc>
          <w:tcPr>
            <w:tcW w:w="989" w:type="dxa"/>
            <w:tcBorders>
              <w:top w:val="nil"/>
              <w:bottom w:val="nil"/>
            </w:tcBorders>
          </w:tcPr>
          <w:p>
            <w:pPr>
              <w:pStyle w:val="TableParagraph"/>
              <w:spacing w:before="25" w:line="240" w:lineRule="exact"/>
              <w:ind w:left="6" w:right="1"/>
              <w:jc w:val="center"/>
              <w:rPr>
                <w:sz w:val="21"/>
              </w:rPr>
            </w:pPr>
            <w:r>
              <w:rPr>
                <w:spacing w:val="-2"/>
                <w:sz w:val="21"/>
              </w:rPr>
              <w:t>−$12.50</w:t>
            </w:r>
          </w:p>
        </w:tc>
        <w:tc>
          <w:tcPr>
            <w:tcW w:w="992" w:type="dxa"/>
            <w:tcBorders>
              <w:top w:val="nil"/>
              <w:bottom w:val="nil"/>
            </w:tcBorders>
          </w:tcPr>
          <w:p>
            <w:pPr>
              <w:pStyle w:val="TableParagraph"/>
              <w:spacing w:before="25" w:line="240" w:lineRule="exact"/>
              <w:ind w:left="8" w:right="1"/>
              <w:jc w:val="center"/>
              <w:rPr>
                <w:sz w:val="21"/>
              </w:rPr>
            </w:pPr>
            <w:r>
              <w:rPr>
                <w:spacing w:val="-2"/>
                <w:sz w:val="21"/>
              </w:rPr>
              <w:t>−$12.50</w:t>
            </w:r>
          </w:p>
        </w:tc>
        <w:tc>
          <w:tcPr>
            <w:tcW w:w="1169" w:type="dxa"/>
            <w:tcBorders>
              <w:top w:val="nil"/>
              <w:bottom w:val="nil"/>
            </w:tcBorders>
          </w:tcPr>
          <w:p>
            <w:pPr>
              <w:pStyle w:val="TableParagraph"/>
              <w:spacing w:before="25" w:line="240" w:lineRule="exact"/>
              <w:ind w:left="7" w:right="5"/>
              <w:jc w:val="center"/>
              <w:rPr>
                <w:sz w:val="21"/>
              </w:rPr>
            </w:pPr>
            <w:r>
              <w:rPr>
                <w:spacing w:val="-2"/>
                <w:sz w:val="21"/>
              </w:rPr>
              <w:t>−$12.50</w:t>
            </w:r>
          </w:p>
        </w:tc>
        <w:tc>
          <w:tcPr>
            <w:tcW w:w="1260" w:type="dxa"/>
            <w:tcBorders>
              <w:top w:val="nil"/>
              <w:bottom w:val="nil"/>
            </w:tcBorders>
          </w:tcPr>
          <w:p>
            <w:pPr>
              <w:pStyle w:val="TableParagraph"/>
              <w:spacing w:before="25" w:line="240" w:lineRule="exact"/>
              <w:ind w:left="11" w:right="4"/>
              <w:jc w:val="center"/>
              <w:rPr>
                <w:sz w:val="21"/>
              </w:rPr>
            </w:pPr>
            <w:r>
              <w:rPr>
                <w:spacing w:val="-2"/>
                <w:sz w:val="21"/>
              </w:rPr>
              <w:t>−$12.50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1255" w:type="dxa"/>
            <w:tcBorders>
              <w:top w:val="nil"/>
              <w:bottom w:val="nil"/>
            </w:tcBorders>
          </w:tcPr>
          <w:p>
            <w:pPr>
              <w:pStyle w:val="TableParagraph"/>
              <w:spacing w:before="39" w:line="240" w:lineRule="exact"/>
              <w:ind w:left="261"/>
              <w:rPr>
                <w:b/>
                <w:sz w:val="21"/>
              </w:rPr>
            </w:pPr>
            <w:r>
              <w:rPr>
                <w:b/>
                <w:sz w:val="21"/>
              </w:rPr>
              <w:t>Part</w:t>
            </w:r>
            <w:r>
              <w:rPr>
                <w:b/>
                <w:spacing w:val="-3"/>
                <w:sz w:val="21"/>
              </w:rPr>
              <w:t xml:space="preserve"> </w:t>
            </w:r>
            <w:r>
              <w:rPr>
                <w:b/>
                <w:spacing w:val="-10"/>
                <w:sz w:val="21"/>
              </w:rPr>
              <w:t>D</w:t>
            </w:r>
          </w:p>
        </w:tc>
        <w:tc>
          <w:tcPr>
            <w:tcW w:w="900" w:type="dxa"/>
            <w:tcBorders>
              <w:top w:val="nil"/>
              <w:bottom w:val="nil"/>
            </w:tcBorders>
          </w:tcPr>
          <w:p>
            <w:pPr>
              <w:pStyle w:val="TableParagraph"/>
              <w:spacing w:before="39" w:line="240" w:lineRule="exact"/>
              <w:ind w:left="12" w:right="2"/>
              <w:jc w:val="center"/>
              <w:rPr>
                <w:sz w:val="21"/>
              </w:rPr>
            </w:pPr>
            <w:r>
              <w:rPr>
                <w:spacing w:val="-5"/>
                <w:sz w:val="21"/>
              </w:rPr>
              <w:t>N/A</w:t>
            </w:r>
          </w:p>
        </w:tc>
        <w:tc>
          <w:tcPr>
            <w:tcW w:w="1352" w:type="dxa"/>
            <w:tcBorders>
              <w:top w:val="nil"/>
              <w:bottom w:val="nil"/>
            </w:tcBorders>
          </w:tcPr>
          <w:p>
            <w:pPr>
              <w:pStyle w:val="TableParagraph"/>
              <w:spacing w:before="39" w:line="240" w:lineRule="exact"/>
              <w:ind w:left="30" w:right="20"/>
              <w:jc w:val="center"/>
              <w:rPr>
                <w:sz w:val="21"/>
              </w:rPr>
            </w:pPr>
            <w:r>
              <w:rPr>
                <w:spacing w:val="-2"/>
                <w:sz w:val="21"/>
              </w:rPr>
              <w:t>−$1.00</w:t>
            </w:r>
          </w:p>
        </w:tc>
        <w:tc>
          <w:tcPr>
            <w:tcW w:w="989" w:type="dxa"/>
            <w:tcBorders>
              <w:top w:val="nil"/>
              <w:bottom w:val="nil"/>
            </w:tcBorders>
          </w:tcPr>
          <w:p>
            <w:pPr>
              <w:pStyle w:val="TableParagraph"/>
              <w:spacing w:before="11"/>
              <w:ind w:left="6"/>
              <w:jc w:val="center"/>
              <w:rPr>
                <w:sz w:val="21"/>
              </w:rPr>
            </w:pPr>
            <w:r>
              <w:rPr>
                <w:spacing w:val="-2"/>
                <w:sz w:val="21"/>
              </w:rPr>
              <w:t>−$1.00</w:t>
            </w:r>
          </w:p>
        </w:tc>
        <w:tc>
          <w:tcPr>
            <w:tcW w:w="992" w:type="dxa"/>
            <w:tcBorders>
              <w:top w:val="nil"/>
              <w:bottom w:val="nil"/>
            </w:tcBorders>
          </w:tcPr>
          <w:p>
            <w:pPr>
              <w:pStyle w:val="TableParagraph"/>
              <w:spacing w:before="39" w:line="240" w:lineRule="exact"/>
              <w:ind w:left="8"/>
              <w:jc w:val="center"/>
              <w:rPr>
                <w:sz w:val="21"/>
              </w:rPr>
            </w:pPr>
            <w:r>
              <w:rPr>
                <w:spacing w:val="-2"/>
                <w:sz w:val="21"/>
              </w:rPr>
              <w:t>−$1.00</w:t>
            </w:r>
          </w:p>
        </w:tc>
        <w:tc>
          <w:tcPr>
            <w:tcW w:w="989" w:type="dxa"/>
            <w:tcBorders>
              <w:top w:val="nil"/>
              <w:bottom w:val="nil"/>
            </w:tcBorders>
          </w:tcPr>
          <w:p>
            <w:pPr>
              <w:pStyle w:val="TableParagraph"/>
              <w:spacing w:before="39" w:line="240" w:lineRule="exact"/>
              <w:ind w:left="6" w:right="1"/>
              <w:jc w:val="center"/>
              <w:rPr>
                <w:sz w:val="21"/>
              </w:rPr>
            </w:pPr>
            <w:r>
              <w:rPr>
                <w:spacing w:val="-2"/>
                <w:sz w:val="21"/>
              </w:rPr>
              <w:t>−$1.00</w:t>
            </w:r>
          </w:p>
        </w:tc>
        <w:tc>
          <w:tcPr>
            <w:tcW w:w="992" w:type="dxa"/>
            <w:tcBorders>
              <w:top w:val="nil"/>
              <w:bottom w:val="nil"/>
            </w:tcBorders>
          </w:tcPr>
          <w:p>
            <w:pPr>
              <w:pStyle w:val="TableParagraph"/>
              <w:spacing w:before="11"/>
              <w:ind w:left="8" w:right="1"/>
              <w:jc w:val="center"/>
              <w:rPr>
                <w:sz w:val="21"/>
              </w:rPr>
            </w:pPr>
            <w:r>
              <w:rPr>
                <w:spacing w:val="-2"/>
                <w:sz w:val="21"/>
              </w:rPr>
              <w:t>−$1.00</w:t>
            </w:r>
          </w:p>
        </w:tc>
        <w:tc>
          <w:tcPr>
            <w:tcW w:w="1169" w:type="dxa"/>
            <w:tcBorders>
              <w:top w:val="nil"/>
              <w:bottom w:val="nil"/>
            </w:tcBorders>
          </w:tcPr>
          <w:p>
            <w:pPr>
              <w:pStyle w:val="TableParagraph"/>
              <w:spacing w:before="11"/>
              <w:ind w:left="7" w:right="5"/>
              <w:jc w:val="center"/>
              <w:rPr>
                <w:sz w:val="21"/>
              </w:rPr>
            </w:pPr>
            <w:r>
              <w:rPr>
                <w:spacing w:val="-2"/>
                <w:sz w:val="21"/>
              </w:rPr>
              <w:t>−$1.00</w:t>
            </w:r>
          </w:p>
        </w:tc>
        <w:tc>
          <w:tcPr>
            <w:tcW w:w="1260" w:type="dxa"/>
            <w:tcBorders>
              <w:top w:val="nil"/>
              <w:bottom w:val="nil"/>
            </w:tcBorders>
          </w:tcPr>
          <w:p>
            <w:pPr>
              <w:pStyle w:val="TableParagraph"/>
              <w:spacing w:before="11"/>
              <w:ind w:left="11" w:right="4"/>
              <w:jc w:val="center"/>
              <w:rPr>
                <w:sz w:val="21"/>
              </w:rPr>
            </w:pPr>
            <w:r>
              <w:rPr>
                <w:spacing w:val="-2"/>
                <w:sz w:val="21"/>
              </w:rPr>
              <w:t>−$1.00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1255" w:type="dxa"/>
            <w:tcBorders>
              <w:top w:val="nil"/>
              <w:bottom w:val="nil"/>
            </w:tcBorders>
          </w:tcPr>
          <w:p>
            <w:pPr>
              <w:pStyle w:val="TableParagraph"/>
              <w:spacing w:before="39" w:line="240" w:lineRule="exact"/>
              <w:ind w:left="261"/>
              <w:rPr>
                <w:b/>
                <w:sz w:val="21"/>
              </w:rPr>
            </w:pPr>
            <w:r>
              <w:rPr>
                <w:b/>
                <w:spacing w:val="-2"/>
                <w:sz w:val="21"/>
              </w:rPr>
              <w:t>Total</w:t>
            </w:r>
          </w:p>
        </w:tc>
        <w:tc>
          <w:tcPr>
            <w:tcW w:w="900" w:type="dxa"/>
            <w:tcBorders>
              <w:top w:val="nil"/>
              <w:bottom w:val="nil"/>
            </w:tcBorders>
          </w:tcPr>
          <w:p>
            <w:pPr>
              <w:pStyle w:val="TableParagraph"/>
              <w:spacing w:before="39" w:line="240" w:lineRule="exact"/>
              <w:ind w:left="12" w:right="2"/>
              <w:jc w:val="center"/>
              <w:rPr>
                <w:sz w:val="21"/>
              </w:rPr>
            </w:pPr>
            <w:r>
              <w:rPr>
                <w:spacing w:val="-5"/>
                <w:sz w:val="21"/>
              </w:rPr>
              <w:t>N/A</w:t>
            </w:r>
          </w:p>
        </w:tc>
        <w:tc>
          <w:tcPr>
            <w:tcW w:w="1352" w:type="dxa"/>
            <w:tcBorders>
              <w:top w:val="nil"/>
              <w:bottom w:val="nil"/>
            </w:tcBorders>
          </w:tcPr>
          <w:p>
            <w:pPr>
              <w:pStyle w:val="TableParagraph"/>
              <w:spacing w:before="39" w:line="240" w:lineRule="exact"/>
              <w:ind w:left="30" w:right="20"/>
              <w:jc w:val="center"/>
              <w:rPr>
                <w:sz w:val="21"/>
              </w:rPr>
            </w:pPr>
            <w:r>
              <w:rPr>
                <w:spacing w:val="-2"/>
                <w:sz w:val="21"/>
              </w:rPr>
              <w:t>−$13.50</w:t>
            </w:r>
          </w:p>
        </w:tc>
        <w:tc>
          <w:tcPr>
            <w:tcW w:w="989" w:type="dxa"/>
            <w:tcBorders>
              <w:top w:val="nil"/>
              <w:bottom w:val="nil"/>
            </w:tcBorders>
          </w:tcPr>
          <w:p>
            <w:pPr>
              <w:pStyle w:val="TableParagraph"/>
              <w:spacing w:before="11"/>
              <w:ind w:left="6"/>
              <w:jc w:val="center"/>
              <w:rPr>
                <w:sz w:val="21"/>
              </w:rPr>
            </w:pPr>
            <w:r>
              <w:rPr>
                <w:spacing w:val="-2"/>
                <w:sz w:val="21"/>
              </w:rPr>
              <w:t>−$13.50</w:t>
            </w:r>
          </w:p>
        </w:tc>
        <w:tc>
          <w:tcPr>
            <w:tcW w:w="992" w:type="dxa"/>
            <w:tcBorders>
              <w:top w:val="nil"/>
              <w:bottom w:val="nil"/>
            </w:tcBorders>
          </w:tcPr>
          <w:p>
            <w:pPr>
              <w:pStyle w:val="TableParagraph"/>
              <w:spacing w:before="39" w:line="240" w:lineRule="exact"/>
              <w:ind w:left="8"/>
              <w:jc w:val="center"/>
              <w:rPr>
                <w:sz w:val="21"/>
              </w:rPr>
            </w:pPr>
            <w:r>
              <w:rPr>
                <w:spacing w:val="-2"/>
                <w:sz w:val="21"/>
              </w:rPr>
              <w:t>−$13.50</w:t>
            </w:r>
          </w:p>
        </w:tc>
        <w:tc>
          <w:tcPr>
            <w:tcW w:w="989" w:type="dxa"/>
            <w:tcBorders>
              <w:top w:val="nil"/>
              <w:bottom w:val="nil"/>
            </w:tcBorders>
          </w:tcPr>
          <w:p>
            <w:pPr>
              <w:pStyle w:val="TableParagraph"/>
              <w:spacing w:before="39" w:line="240" w:lineRule="exact"/>
              <w:ind w:left="6" w:right="1"/>
              <w:jc w:val="center"/>
              <w:rPr>
                <w:sz w:val="21"/>
              </w:rPr>
            </w:pPr>
            <w:r>
              <w:rPr>
                <w:spacing w:val="-2"/>
                <w:sz w:val="21"/>
              </w:rPr>
              <w:t>−$13.50</w:t>
            </w:r>
          </w:p>
        </w:tc>
        <w:tc>
          <w:tcPr>
            <w:tcW w:w="992" w:type="dxa"/>
            <w:tcBorders>
              <w:top w:val="nil"/>
              <w:bottom w:val="nil"/>
            </w:tcBorders>
          </w:tcPr>
          <w:p>
            <w:pPr>
              <w:pStyle w:val="TableParagraph"/>
              <w:spacing w:before="11"/>
              <w:ind w:left="8" w:right="1"/>
              <w:jc w:val="center"/>
              <w:rPr>
                <w:sz w:val="21"/>
              </w:rPr>
            </w:pPr>
            <w:r>
              <w:rPr>
                <w:spacing w:val="-2"/>
                <w:sz w:val="21"/>
              </w:rPr>
              <w:t>−$13.50</w:t>
            </w:r>
          </w:p>
        </w:tc>
        <w:tc>
          <w:tcPr>
            <w:tcW w:w="1169" w:type="dxa"/>
            <w:tcBorders>
              <w:top w:val="nil"/>
              <w:bottom w:val="nil"/>
            </w:tcBorders>
          </w:tcPr>
          <w:p>
            <w:pPr>
              <w:pStyle w:val="TableParagraph"/>
              <w:spacing w:before="11"/>
              <w:ind w:left="7" w:right="5"/>
              <w:jc w:val="center"/>
              <w:rPr>
                <w:sz w:val="21"/>
              </w:rPr>
            </w:pPr>
            <w:r>
              <w:rPr>
                <w:spacing w:val="-2"/>
                <w:sz w:val="21"/>
              </w:rPr>
              <w:t>−$13.50</w:t>
            </w:r>
          </w:p>
        </w:tc>
        <w:tc>
          <w:tcPr>
            <w:tcW w:w="1260" w:type="dxa"/>
            <w:tcBorders>
              <w:top w:val="nil"/>
              <w:bottom w:val="nil"/>
            </w:tcBorders>
          </w:tcPr>
          <w:p>
            <w:pPr>
              <w:pStyle w:val="TableParagraph"/>
              <w:spacing w:before="11"/>
              <w:ind w:left="11" w:right="4"/>
              <w:jc w:val="center"/>
              <w:rPr>
                <w:sz w:val="21"/>
              </w:rPr>
            </w:pPr>
            <w:r>
              <w:rPr>
                <w:spacing w:val="-2"/>
                <w:sz w:val="21"/>
              </w:rPr>
              <w:t>−$13.50</w:t>
            </w:r>
          </w:p>
        </w:tc>
      </w:tr>
      <w:tr>
        <w:tblPrEx>
          <w:tblW w:w="0" w:type="auto"/>
          <w:jc w:val="left"/>
          <w:tblInd w:w="514" w:type="dxa"/>
          <w:tblLayout w:type="fixed"/>
          <w:tblCellMar>
            <w:top w:w="0" w:type="dxa"/>
            <w:left w:w="0" w:type="dxa"/>
            <w:bottom w:w="0" w:type="dxa"/>
            <w:right w:w="0" w:type="dxa"/>
          </w:tblCellMar>
          <w:tblLook w:val="01E0"/>
        </w:tblPrEx>
        <w:trPr>
          <w:trHeight w:val="465"/>
          <w:jc w:val="left"/>
        </w:trPr>
        <w:tc>
          <w:tcPr>
            <w:tcW w:w="1255" w:type="dxa"/>
            <w:tcBorders>
              <w:top w:val="nil"/>
              <w:bottom w:val="nil"/>
            </w:tcBorders>
          </w:tcPr>
          <w:p>
            <w:pPr>
              <w:pStyle w:val="TableParagraph"/>
              <w:spacing w:before="24"/>
              <w:ind w:left="107"/>
              <w:rPr>
                <w:b/>
                <w:sz w:val="21"/>
              </w:rPr>
            </w:pPr>
            <w:r>
              <w:rPr>
                <w:rFonts w:ascii="Symbol" w:hAnsi="Symbol"/>
                <w:b/>
                <w:sz w:val="21"/>
              </w:rPr>
              <w:sym w:font="Symbol" w:char="F044"/>
            </w:r>
            <w:r>
              <w:rPr>
                <w:spacing w:val="-5"/>
                <w:sz w:val="21"/>
              </w:rPr>
              <w:t xml:space="preserve"> </w:t>
            </w:r>
            <w:r>
              <w:rPr>
                <w:b/>
                <w:sz w:val="21"/>
              </w:rPr>
              <w:t>MSB</w:t>
            </w:r>
            <w:r>
              <w:rPr>
                <w:b/>
                <w:spacing w:val="-3"/>
                <w:sz w:val="21"/>
              </w:rPr>
              <w:t xml:space="preserve"> </w:t>
            </w:r>
            <w:r>
              <w:rPr>
                <w:b/>
                <w:spacing w:val="-5"/>
                <w:sz w:val="21"/>
              </w:rPr>
              <w:t>Rev</w:t>
            </w:r>
          </w:p>
        </w:tc>
        <w:tc>
          <w:tcPr>
            <w:tcW w:w="900" w:type="dxa"/>
            <w:tcBorders>
              <w:top w:val="nil"/>
              <w:bottom w:val="nil"/>
            </w:tcBorders>
          </w:tcPr>
          <w:p>
            <w:pPr>
              <w:pStyle w:val="TableParagraph"/>
              <w:spacing w:before="39"/>
              <w:ind w:left="12" w:right="2"/>
              <w:jc w:val="center"/>
              <w:rPr>
                <w:sz w:val="21"/>
              </w:rPr>
            </w:pPr>
            <w:r>
              <w:rPr>
                <w:spacing w:val="-5"/>
                <w:sz w:val="21"/>
              </w:rPr>
              <w:t>N/A</w:t>
            </w:r>
          </w:p>
        </w:tc>
        <w:tc>
          <w:tcPr>
            <w:tcW w:w="1352" w:type="dxa"/>
            <w:tcBorders>
              <w:top w:val="nil"/>
              <w:bottom w:val="nil"/>
            </w:tcBorders>
          </w:tcPr>
          <w:p>
            <w:pPr>
              <w:pStyle w:val="TableParagraph"/>
              <w:spacing w:before="39"/>
              <w:ind w:left="26" w:right="20"/>
              <w:jc w:val="center"/>
              <w:rPr>
                <w:sz w:val="21"/>
              </w:rPr>
            </w:pPr>
            <w:r>
              <w:rPr>
                <w:spacing w:val="-5"/>
                <w:sz w:val="21"/>
              </w:rPr>
              <w:t>N/A</w:t>
            </w:r>
          </w:p>
        </w:tc>
        <w:tc>
          <w:tcPr>
            <w:tcW w:w="989" w:type="dxa"/>
            <w:tcBorders>
              <w:top w:val="nil"/>
              <w:bottom w:val="nil"/>
            </w:tcBorders>
          </w:tcPr>
          <w:p>
            <w:pPr>
              <w:pStyle w:val="TableParagraph"/>
              <w:spacing w:before="11"/>
              <w:ind w:left="6" w:right="2"/>
              <w:jc w:val="center"/>
              <w:rPr>
                <w:sz w:val="21"/>
              </w:rPr>
            </w:pPr>
            <w:r>
              <w:rPr>
                <w:spacing w:val="-2"/>
                <w:sz w:val="21"/>
              </w:rPr>
              <w:t>$0.00</w:t>
            </w:r>
          </w:p>
        </w:tc>
        <w:tc>
          <w:tcPr>
            <w:tcW w:w="992" w:type="dxa"/>
            <w:tcBorders>
              <w:top w:val="nil"/>
              <w:bottom w:val="nil"/>
            </w:tcBorders>
          </w:tcPr>
          <w:p>
            <w:pPr>
              <w:pStyle w:val="TableParagraph"/>
              <w:spacing w:before="39"/>
              <w:ind w:left="8"/>
              <w:jc w:val="center"/>
              <w:rPr>
                <w:sz w:val="21"/>
              </w:rPr>
            </w:pPr>
            <w:r>
              <w:rPr>
                <w:spacing w:val="-2"/>
                <w:sz w:val="21"/>
              </w:rPr>
              <w:t>−$12.50</w:t>
            </w:r>
          </w:p>
        </w:tc>
        <w:tc>
          <w:tcPr>
            <w:tcW w:w="989" w:type="dxa"/>
            <w:tcBorders>
              <w:top w:val="nil"/>
              <w:bottom w:val="nil"/>
            </w:tcBorders>
          </w:tcPr>
          <w:p>
            <w:pPr>
              <w:pStyle w:val="TableParagraph"/>
              <w:spacing w:before="39"/>
              <w:ind w:left="6" w:right="3"/>
              <w:jc w:val="center"/>
              <w:rPr>
                <w:sz w:val="21"/>
              </w:rPr>
            </w:pPr>
            <w:r>
              <w:rPr>
                <w:spacing w:val="-2"/>
                <w:sz w:val="21"/>
              </w:rPr>
              <w:t>$0.00</w:t>
            </w:r>
          </w:p>
        </w:tc>
        <w:tc>
          <w:tcPr>
            <w:tcW w:w="992" w:type="dxa"/>
            <w:tcBorders>
              <w:top w:val="nil"/>
              <w:bottom w:val="nil"/>
            </w:tcBorders>
          </w:tcPr>
          <w:p>
            <w:pPr>
              <w:pStyle w:val="TableParagraph"/>
              <w:spacing w:before="11"/>
              <w:ind w:left="8" w:right="1"/>
              <w:jc w:val="center"/>
              <w:rPr>
                <w:sz w:val="21"/>
              </w:rPr>
            </w:pPr>
            <w:r>
              <w:rPr>
                <w:spacing w:val="-2"/>
                <w:sz w:val="21"/>
              </w:rPr>
              <w:t>−$13.50</w:t>
            </w:r>
          </w:p>
        </w:tc>
        <w:tc>
          <w:tcPr>
            <w:tcW w:w="1169" w:type="dxa"/>
            <w:tcBorders>
              <w:top w:val="nil"/>
              <w:bottom w:val="nil"/>
            </w:tcBorders>
          </w:tcPr>
          <w:p>
            <w:pPr>
              <w:pStyle w:val="TableParagraph"/>
              <w:spacing w:before="11"/>
              <w:ind w:left="7" w:right="5"/>
              <w:jc w:val="center"/>
              <w:rPr>
                <w:sz w:val="21"/>
              </w:rPr>
            </w:pPr>
            <w:r>
              <w:rPr>
                <w:spacing w:val="-2"/>
                <w:sz w:val="21"/>
              </w:rPr>
              <w:t>−$13.50</w:t>
            </w:r>
          </w:p>
        </w:tc>
        <w:tc>
          <w:tcPr>
            <w:tcW w:w="1260" w:type="dxa"/>
            <w:tcBorders>
              <w:top w:val="nil"/>
              <w:bottom w:val="nil"/>
            </w:tcBorders>
          </w:tcPr>
          <w:p>
            <w:pPr>
              <w:pStyle w:val="TableParagraph"/>
              <w:spacing w:before="11"/>
              <w:ind w:left="11" w:right="4"/>
              <w:jc w:val="center"/>
              <w:rPr>
                <w:sz w:val="21"/>
              </w:rPr>
            </w:pPr>
            <w:r>
              <w:rPr>
                <w:spacing w:val="-2"/>
                <w:sz w:val="21"/>
              </w:rPr>
              <w:t>−$15.00</w:t>
            </w:r>
          </w:p>
        </w:tc>
      </w:tr>
      <w:tr>
        <w:tblPrEx>
          <w:tblW w:w="0" w:type="auto"/>
          <w:jc w:val="left"/>
          <w:tblInd w:w="514" w:type="dxa"/>
          <w:tblLayout w:type="fixed"/>
          <w:tblCellMar>
            <w:top w:w="0" w:type="dxa"/>
            <w:left w:w="0" w:type="dxa"/>
            <w:bottom w:w="0" w:type="dxa"/>
            <w:right w:w="0" w:type="dxa"/>
          </w:tblCellMar>
          <w:tblLook w:val="01E0"/>
        </w:tblPrEx>
        <w:trPr>
          <w:trHeight w:val="449"/>
          <w:jc w:val="left"/>
        </w:trPr>
        <w:tc>
          <w:tcPr>
            <w:tcW w:w="1255" w:type="dxa"/>
            <w:tcBorders>
              <w:top w:val="nil"/>
              <w:bottom w:val="nil"/>
            </w:tcBorders>
          </w:tcPr>
          <w:p>
            <w:pPr>
              <w:pStyle w:val="TableParagraph"/>
              <w:spacing w:before="175"/>
              <w:ind w:left="107"/>
              <w:rPr>
                <w:sz w:val="21"/>
              </w:rPr>
            </w:pPr>
            <w:r>
              <w:rPr>
                <w:sz w:val="21"/>
              </w:rPr>
              <w:t>MSB</w:t>
            </w:r>
            <w:r>
              <w:rPr>
                <w:spacing w:val="-2"/>
                <w:sz w:val="21"/>
              </w:rPr>
              <w:t xml:space="preserve"> </w:t>
            </w:r>
            <w:r>
              <w:rPr>
                <w:spacing w:val="-5"/>
                <w:sz w:val="21"/>
              </w:rPr>
              <w:t>Rev</w:t>
            </w:r>
          </w:p>
        </w:tc>
        <w:tc>
          <w:tcPr>
            <w:tcW w:w="900" w:type="dxa"/>
            <w:tcBorders>
              <w:top w:val="nil"/>
              <w:bottom w:val="nil"/>
            </w:tcBorders>
          </w:tcPr>
          <w:p>
            <w:pPr>
              <w:pStyle w:val="TableParagraph"/>
              <w:spacing w:before="175"/>
              <w:ind w:left="12" w:right="3"/>
              <w:jc w:val="center"/>
              <w:rPr>
                <w:sz w:val="21"/>
              </w:rPr>
            </w:pPr>
            <w:r>
              <w:rPr>
                <w:spacing w:val="-2"/>
                <w:sz w:val="21"/>
              </w:rPr>
              <w:t>$107.80</w:t>
            </w:r>
          </w:p>
        </w:tc>
        <w:tc>
          <w:tcPr>
            <w:tcW w:w="1352" w:type="dxa"/>
            <w:tcBorders>
              <w:top w:val="nil"/>
              <w:bottom w:val="nil"/>
            </w:tcBorders>
          </w:tcPr>
          <w:p>
            <w:pPr>
              <w:pStyle w:val="TableParagraph"/>
              <w:spacing w:before="175"/>
              <w:ind w:left="30" w:right="20"/>
              <w:jc w:val="center"/>
              <w:rPr>
                <w:sz w:val="21"/>
              </w:rPr>
            </w:pPr>
            <w:r>
              <w:rPr>
                <w:spacing w:val="-2"/>
                <w:sz w:val="21"/>
              </w:rPr>
              <w:t>$107.80</w:t>
            </w:r>
          </w:p>
        </w:tc>
        <w:tc>
          <w:tcPr>
            <w:tcW w:w="989" w:type="dxa"/>
            <w:tcBorders>
              <w:top w:val="nil"/>
              <w:bottom w:val="nil"/>
            </w:tcBorders>
          </w:tcPr>
          <w:p>
            <w:pPr>
              <w:pStyle w:val="TableParagraph"/>
              <w:spacing w:before="175"/>
              <w:ind w:left="6"/>
              <w:jc w:val="center"/>
              <w:rPr>
                <w:sz w:val="21"/>
              </w:rPr>
            </w:pPr>
            <w:r>
              <w:rPr>
                <w:spacing w:val="-2"/>
                <w:sz w:val="21"/>
              </w:rPr>
              <w:t>$107.80</w:t>
            </w:r>
          </w:p>
        </w:tc>
        <w:tc>
          <w:tcPr>
            <w:tcW w:w="992" w:type="dxa"/>
            <w:tcBorders>
              <w:top w:val="nil"/>
              <w:bottom w:val="nil"/>
            </w:tcBorders>
          </w:tcPr>
          <w:p>
            <w:pPr>
              <w:pStyle w:val="TableParagraph"/>
              <w:spacing w:before="175"/>
              <w:ind w:left="8" w:right="3"/>
              <w:jc w:val="center"/>
              <w:rPr>
                <w:b/>
                <w:i/>
                <w:sz w:val="21"/>
              </w:rPr>
            </w:pPr>
            <w:r>
              <w:rPr>
                <w:b/>
                <w:i/>
                <w:spacing w:val="-2"/>
                <w:sz w:val="21"/>
              </w:rPr>
              <w:t>$95.30</w:t>
            </w:r>
          </w:p>
        </w:tc>
        <w:tc>
          <w:tcPr>
            <w:tcW w:w="989" w:type="dxa"/>
            <w:tcBorders>
              <w:top w:val="nil"/>
              <w:bottom w:val="nil"/>
            </w:tcBorders>
          </w:tcPr>
          <w:p>
            <w:pPr>
              <w:pStyle w:val="TableParagraph"/>
              <w:spacing w:before="175"/>
              <w:ind w:left="6" w:right="1"/>
              <w:jc w:val="center"/>
              <w:rPr>
                <w:sz w:val="21"/>
              </w:rPr>
            </w:pPr>
            <w:r>
              <w:rPr>
                <w:spacing w:val="-2"/>
                <w:sz w:val="21"/>
              </w:rPr>
              <w:t>$107.80</w:t>
            </w:r>
          </w:p>
        </w:tc>
        <w:tc>
          <w:tcPr>
            <w:tcW w:w="992" w:type="dxa"/>
            <w:tcBorders>
              <w:top w:val="nil"/>
              <w:bottom w:val="nil"/>
            </w:tcBorders>
          </w:tcPr>
          <w:p>
            <w:pPr>
              <w:pStyle w:val="TableParagraph"/>
              <w:spacing w:before="175"/>
              <w:ind w:left="8" w:right="4"/>
              <w:jc w:val="center"/>
              <w:rPr>
                <w:b/>
                <w:i/>
                <w:sz w:val="21"/>
              </w:rPr>
            </w:pPr>
            <w:r>
              <w:rPr>
                <w:b/>
                <w:i/>
                <w:spacing w:val="-2"/>
                <w:sz w:val="21"/>
              </w:rPr>
              <w:t>$94.30</w:t>
            </w:r>
          </w:p>
        </w:tc>
        <w:tc>
          <w:tcPr>
            <w:tcW w:w="1169" w:type="dxa"/>
            <w:tcBorders>
              <w:top w:val="nil"/>
              <w:bottom w:val="nil"/>
            </w:tcBorders>
          </w:tcPr>
          <w:p>
            <w:pPr>
              <w:pStyle w:val="TableParagraph"/>
              <w:spacing w:before="175"/>
              <w:ind w:left="7" w:right="3"/>
              <w:jc w:val="center"/>
              <w:rPr>
                <w:b/>
                <w:i/>
                <w:sz w:val="21"/>
              </w:rPr>
            </w:pPr>
            <w:r>
              <w:rPr>
                <w:b/>
                <w:i/>
                <w:spacing w:val="-2"/>
                <w:sz w:val="21"/>
              </w:rPr>
              <w:t>$94.30</w:t>
            </w:r>
          </w:p>
        </w:tc>
        <w:tc>
          <w:tcPr>
            <w:tcW w:w="1260" w:type="dxa"/>
            <w:tcBorders>
              <w:top w:val="nil"/>
              <w:bottom w:val="nil"/>
            </w:tcBorders>
          </w:tcPr>
          <w:p>
            <w:pPr>
              <w:pStyle w:val="TableParagraph"/>
              <w:spacing w:before="175"/>
              <w:ind w:left="11" w:right="2"/>
              <w:jc w:val="center"/>
              <w:rPr>
                <w:b/>
                <w:i/>
                <w:sz w:val="21"/>
              </w:rPr>
            </w:pPr>
            <w:r>
              <w:rPr>
                <w:b/>
                <w:i/>
                <w:spacing w:val="-2"/>
                <w:sz w:val="21"/>
              </w:rPr>
              <w:t>$92.80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1255" w:type="dxa"/>
            <w:tcBorders>
              <w:top w:val="nil"/>
              <w:bottom w:val="nil"/>
            </w:tcBorders>
          </w:tcPr>
          <w:p>
            <w:pPr>
              <w:pStyle w:val="TableParagraph"/>
              <w:spacing w:before="25"/>
              <w:ind w:left="107"/>
              <w:rPr>
                <w:sz w:val="21"/>
              </w:rPr>
            </w:pPr>
            <w:r>
              <w:rPr>
                <w:spacing w:val="-2"/>
                <w:sz w:val="21"/>
              </w:rPr>
              <w:t>Allocations</w:t>
            </w:r>
          </w:p>
        </w:tc>
        <w:tc>
          <w:tcPr>
            <w:tcW w:w="900" w:type="dxa"/>
            <w:tcBorders>
              <w:top w:val="nil"/>
              <w:bottom w:val="nil"/>
            </w:tcBorders>
          </w:tcPr>
          <w:p>
            <w:pPr>
              <w:pStyle w:val="TableParagraph"/>
              <w:spacing w:before="25"/>
              <w:ind w:left="12"/>
              <w:jc w:val="center"/>
              <w:rPr>
                <w:sz w:val="21"/>
              </w:rPr>
            </w:pPr>
            <w:r>
              <w:rPr>
                <w:spacing w:val="-2"/>
                <w:sz w:val="21"/>
              </w:rPr>
              <w:t>$14.20</w:t>
            </w:r>
          </w:p>
        </w:tc>
        <w:tc>
          <w:tcPr>
            <w:tcW w:w="1352" w:type="dxa"/>
            <w:tcBorders>
              <w:top w:val="nil"/>
              <w:bottom w:val="nil"/>
            </w:tcBorders>
          </w:tcPr>
          <w:p>
            <w:pPr>
              <w:pStyle w:val="TableParagraph"/>
              <w:spacing w:before="25"/>
              <w:ind w:left="27" w:right="20"/>
              <w:jc w:val="center"/>
              <w:rPr>
                <w:sz w:val="21"/>
              </w:rPr>
            </w:pPr>
            <w:r>
              <w:rPr>
                <w:spacing w:val="-2"/>
                <w:sz w:val="21"/>
              </w:rPr>
              <w:t>$14.20</w:t>
            </w:r>
          </w:p>
        </w:tc>
        <w:tc>
          <w:tcPr>
            <w:tcW w:w="989" w:type="dxa"/>
            <w:tcBorders>
              <w:top w:val="nil"/>
              <w:bottom w:val="nil"/>
            </w:tcBorders>
          </w:tcPr>
          <w:p>
            <w:pPr>
              <w:pStyle w:val="TableParagraph"/>
              <w:spacing w:before="25"/>
              <w:ind w:left="6" w:right="2"/>
              <w:jc w:val="center"/>
              <w:rPr>
                <w:b/>
                <w:i/>
                <w:sz w:val="21"/>
              </w:rPr>
            </w:pPr>
            <w:r>
              <w:rPr>
                <w:b/>
                <w:i/>
                <w:spacing w:val="-2"/>
                <w:sz w:val="21"/>
              </w:rPr>
              <w:t>$1.70</w:t>
            </w:r>
          </w:p>
        </w:tc>
        <w:tc>
          <w:tcPr>
            <w:tcW w:w="992" w:type="dxa"/>
            <w:tcBorders>
              <w:top w:val="nil"/>
              <w:bottom w:val="nil"/>
            </w:tcBorders>
          </w:tcPr>
          <w:p>
            <w:pPr>
              <w:pStyle w:val="TableParagraph"/>
              <w:spacing w:before="25"/>
              <w:ind w:left="8" w:right="3"/>
              <w:jc w:val="center"/>
              <w:rPr>
                <w:b/>
                <w:i/>
                <w:sz w:val="21"/>
              </w:rPr>
            </w:pPr>
            <w:r>
              <w:rPr>
                <w:b/>
                <w:i/>
                <w:spacing w:val="-2"/>
                <w:sz w:val="21"/>
              </w:rPr>
              <w:t>$1.70</w:t>
            </w:r>
          </w:p>
        </w:tc>
        <w:tc>
          <w:tcPr>
            <w:tcW w:w="989" w:type="dxa"/>
            <w:tcBorders>
              <w:top w:val="nil"/>
              <w:bottom w:val="nil"/>
            </w:tcBorders>
          </w:tcPr>
          <w:p>
            <w:pPr>
              <w:pStyle w:val="TableParagraph"/>
              <w:spacing w:before="25"/>
              <w:ind w:left="6" w:right="3"/>
              <w:jc w:val="center"/>
              <w:rPr>
                <w:b/>
                <w:i/>
                <w:sz w:val="21"/>
              </w:rPr>
            </w:pPr>
            <w:r>
              <w:rPr>
                <w:b/>
                <w:i/>
                <w:spacing w:val="-2"/>
                <w:sz w:val="21"/>
              </w:rPr>
              <w:t>$0.70</w:t>
            </w:r>
          </w:p>
        </w:tc>
        <w:tc>
          <w:tcPr>
            <w:tcW w:w="992" w:type="dxa"/>
            <w:tcBorders>
              <w:top w:val="nil"/>
              <w:bottom w:val="nil"/>
            </w:tcBorders>
          </w:tcPr>
          <w:p>
            <w:pPr>
              <w:pStyle w:val="TableParagraph"/>
              <w:spacing w:before="25"/>
              <w:ind w:left="8" w:right="4"/>
              <w:jc w:val="center"/>
              <w:rPr>
                <w:b/>
                <w:i/>
                <w:sz w:val="21"/>
              </w:rPr>
            </w:pPr>
            <w:r>
              <w:rPr>
                <w:b/>
                <w:i/>
                <w:spacing w:val="-2"/>
                <w:sz w:val="21"/>
              </w:rPr>
              <w:t>$0.70</w:t>
            </w:r>
          </w:p>
        </w:tc>
        <w:tc>
          <w:tcPr>
            <w:tcW w:w="1169" w:type="dxa"/>
            <w:tcBorders>
              <w:top w:val="nil"/>
              <w:bottom w:val="nil"/>
            </w:tcBorders>
          </w:tcPr>
          <w:p>
            <w:pPr>
              <w:pStyle w:val="TableParagraph"/>
              <w:spacing w:before="25"/>
              <w:ind w:left="7" w:right="3"/>
              <w:jc w:val="center"/>
              <w:rPr>
                <w:b/>
                <w:i/>
                <w:sz w:val="21"/>
              </w:rPr>
            </w:pPr>
            <w:r>
              <w:rPr>
                <w:b/>
                <w:i/>
                <w:spacing w:val="-2"/>
                <w:sz w:val="21"/>
              </w:rPr>
              <w:t>$1.70</w:t>
            </w:r>
          </w:p>
        </w:tc>
        <w:tc>
          <w:tcPr>
            <w:tcW w:w="1260" w:type="dxa"/>
            <w:tcBorders>
              <w:top w:val="nil"/>
              <w:bottom w:val="nil"/>
            </w:tcBorders>
          </w:tcPr>
          <w:p>
            <w:pPr>
              <w:pStyle w:val="TableParagraph"/>
              <w:spacing w:before="25"/>
              <w:ind w:left="11" w:right="2"/>
              <w:jc w:val="center"/>
              <w:rPr>
                <w:b/>
                <w:i/>
                <w:sz w:val="21"/>
              </w:rPr>
            </w:pPr>
            <w:r>
              <w:rPr>
                <w:b/>
                <w:i/>
                <w:spacing w:val="-2"/>
                <w:sz w:val="21"/>
              </w:rPr>
              <w:t>$0.70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1255" w:type="dxa"/>
            <w:tcBorders>
              <w:top w:val="nil"/>
              <w:bottom w:val="nil"/>
            </w:tcBorders>
          </w:tcPr>
          <w:p>
            <w:pPr>
              <w:pStyle w:val="TableParagraph"/>
              <w:spacing w:before="25"/>
              <w:ind w:left="107"/>
              <w:rPr>
                <w:b/>
                <w:sz w:val="21"/>
              </w:rPr>
            </w:pPr>
            <w:r>
              <w:rPr>
                <w:b/>
                <w:sz w:val="21"/>
              </w:rPr>
              <w:t>MA</w:t>
            </w:r>
            <w:r>
              <w:rPr>
                <w:b/>
                <w:spacing w:val="-3"/>
                <w:sz w:val="21"/>
              </w:rPr>
              <w:t xml:space="preserve"> </w:t>
            </w:r>
            <w:r>
              <w:rPr>
                <w:b/>
                <w:spacing w:val="-4"/>
                <w:sz w:val="21"/>
              </w:rPr>
              <w:t>Prem</w:t>
            </w:r>
          </w:p>
        </w:tc>
        <w:tc>
          <w:tcPr>
            <w:tcW w:w="900" w:type="dxa"/>
            <w:tcBorders>
              <w:top w:val="nil"/>
              <w:bottom w:val="nil"/>
            </w:tcBorders>
          </w:tcPr>
          <w:p>
            <w:pPr>
              <w:pStyle w:val="TableParagraph"/>
              <w:spacing w:before="25"/>
              <w:ind w:left="12"/>
              <w:jc w:val="center"/>
              <w:rPr>
                <w:sz w:val="21"/>
              </w:rPr>
            </w:pPr>
            <w:r>
              <w:rPr>
                <w:spacing w:val="-2"/>
                <w:sz w:val="21"/>
              </w:rPr>
              <w:t>$93.60</w:t>
            </w:r>
          </w:p>
        </w:tc>
        <w:tc>
          <w:tcPr>
            <w:tcW w:w="1352" w:type="dxa"/>
            <w:tcBorders>
              <w:top w:val="nil"/>
              <w:bottom w:val="nil"/>
            </w:tcBorders>
          </w:tcPr>
          <w:p>
            <w:pPr>
              <w:pStyle w:val="TableParagraph"/>
              <w:spacing w:before="25"/>
              <w:ind w:left="27" w:right="20"/>
              <w:jc w:val="center"/>
              <w:rPr>
                <w:sz w:val="21"/>
              </w:rPr>
            </w:pPr>
            <w:r>
              <w:rPr>
                <w:spacing w:val="-2"/>
                <w:sz w:val="21"/>
              </w:rPr>
              <w:t>$93.60</w:t>
            </w:r>
          </w:p>
        </w:tc>
        <w:tc>
          <w:tcPr>
            <w:tcW w:w="989" w:type="dxa"/>
            <w:tcBorders>
              <w:top w:val="nil"/>
              <w:bottom w:val="nil"/>
            </w:tcBorders>
          </w:tcPr>
          <w:p>
            <w:pPr>
              <w:pStyle w:val="TableParagraph"/>
              <w:spacing w:before="25"/>
              <w:ind w:left="6"/>
              <w:jc w:val="center"/>
              <w:rPr>
                <w:sz w:val="21"/>
              </w:rPr>
            </w:pPr>
            <w:r>
              <w:rPr>
                <w:spacing w:val="-2"/>
                <w:sz w:val="21"/>
              </w:rPr>
              <w:t>$106.10</w:t>
            </w:r>
          </w:p>
        </w:tc>
        <w:tc>
          <w:tcPr>
            <w:tcW w:w="992" w:type="dxa"/>
            <w:tcBorders>
              <w:top w:val="nil"/>
              <w:bottom w:val="nil"/>
            </w:tcBorders>
          </w:tcPr>
          <w:p>
            <w:pPr>
              <w:pStyle w:val="TableParagraph"/>
              <w:spacing w:before="25"/>
              <w:ind w:left="8" w:right="3"/>
              <w:jc w:val="center"/>
              <w:rPr>
                <w:sz w:val="21"/>
              </w:rPr>
            </w:pPr>
            <w:r>
              <w:rPr>
                <w:spacing w:val="-2"/>
                <w:sz w:val="21"/>
              </w:rPr>
              <w:t>$93.60</w:t>
            </w:r>
          </w:p>
        </w:tc>
        <w:tc>
          <w:tcPr>
            <w:tcW w:w="989" w:type="dxa"/>
            <w:tcBorders>
              <w:top w:val="nil"/>
              <w:bottom w:val="nil"/>
            </w:tcBorders>
          </w:tcPr>
          <w:p>
            <w:pPr>
              <w:pStyle w:val="TableParagraph"/>
              <w:spacing w:before="25"/>
              <w:ind w:left="6" w:right="1"/>
              <w:jc w:val="center"/>
              <w:rPr>
                <w:sz w:val="21"/>
              </w:rPr>
            </w:pPr>
            <w:r>
              <w:rPr>
                <w:spacing w:val="-2"/>
                <w:sz w:val="21"/>
              </w:rPr>
              <w:t>$107.10</w:t>
            </w:r>
          </w:p>
        </w:tc>
        <w:tc>
          <w:tcPr>
            <w:tcW w:w="992" w:type="dxa"/>
            <w:tcBorders>
              <w:top w:val="nil"/>
              <w:bottom w:val="nil"/>
            </w:tcBorders>
          </w:tcPr>
          <w:p>
            <w:pPr>
              <w:pStyle w:val="TableParagraph"/>
              <w:spacing w:before="25"/>
              <w:ind w:left="8" w:right="4"/>
              <w:jc w:val="center"/>
              <w:rPr>
                <w:sz w:val="21"/>
              </w:rPr>
            </w:pPr>
            <w:r>
              <w:rPr>
                <w:spacing w:val="-2"/>
                <w:sz w:val="21"/>
              </w:rPr>
              <w:t>$93.60</w:t>
            </w:r>
          </w:p>
        </w:tc>
        <w:tc>
          <w:tcPr>
            <w:tcW w:w="1169" w:type="dxa"/>
            <w:tcBorders>
              <w:top w:val="nil"/>
              <w:bottom w:val="nil"/>
            </w:tcBorders>
          </w:tcPr>
          <w:p>
            <w:pPr>
              <w:pStyle w:val="TableParagraph"/>
              <w:spacing w:before="25"/>
              <w:ind w:left="7" w:right="3"/>
              <w:jc w:val="center"/>
              <w:rPr>
                <w:sz w:val="21"/>
              </w:rPr>
            </w:pPr>
            <w:r>
              <w:rPr>
                <w:spacing w:val="-2"/>
                <w:sz w:val="21"/>
              </w:rPr>
              <w:t>$92.60</w:t>
            </w:r>
          </w:p>
        </w:tc>
        <w:tc>
          <w:tcPr>
            <w:tcW w:w="1260" w:type="dxa"/>
            <w:tcBorders>
              <w:top w:val="nil"/>
              <w:bottom w:val="nil"/>
            </w:tcBorders>
          </w:tcPr>
          <w:p>
            <w:pPr>
              <w:pStyle w:val="TableParagraph"/>
              <w:spacing w:before="25"/>
              <w:ind w:left="11" w:right="2"/>
              <w:jc w:val="center"/>
              <w:rPr>
                <w:sz w:val="21"/>
              </w:rPr>
            </w:pPr>
            <w:r>
              <w:rPr>
                <w:spacing w:val="-2"/>
                <w:sz w:val="21"/>
              </w:rPr>
              <w:t>$92.10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1255" w:type="dxa"/>
            <w:tcBorders>
              <w:top w:val="nil"/>
              <w:bottom w:val="nil"/>
            </w:tcBorders>
          </w:tcPr>
          <w:p>
            <w:pPr>
              <w:pStyle w:val="TableParagraph"/>
              <w:spacing w:before="175"/>
              <w:ind w:left="107"/>
              <w:rPr>
                <w:sz w:val="21"/>
              </w:rPr>
            </w:pPr>
            <w:r>
              <w:rPr>
                <w:sz w:val="21"/>
              </w:rPr>
              <w:t>Basic</w:t>
            </w:r>
            <w:r>
              <w:rPr>
                <w:spacing w:val="-4"/>
                <w:sz w:val="21"/>
              </w:rPr>
              <w:t xml:space="preserve"> Prem</w:t>
            </w:r>
          </w:p>
        </w:tc>
        <w:tc>
          <w:tcPr>
            <w:tcW w:w="900" w:type="dxa"/>
            <w:tcBorders>
              <w:top w:val="nil"/>
              <w:bottom w:val="nil"/>
            </w:tcBorders>
          </w:tcPr>
          <w:p>
            <w:pPr>
              <w:pStyle w:val="TableParagraph"/>
              <w:spacing w:before="175"/>
              <w:ind w:left="12"/>
              <w:jc w:val="center"/>
              <w:rPr>
                <w:sz w:val="21"/>
              </w:rPr>
            </w:pPr>
            <w:r>
              <w:rPr>
                <w:spacing w:val="-2"/>
                <w:sz w:val="21"/>
              </w:rPr>
              <w:t>$67.40</w:t>
            </w:r>
          </w:p>
        </w:tc>
        <w:tc>
          <w:tcPr>
            <w:tcW w:w="1352" w:type="dxa"/>
            <w:tcBorders>
              <w:top w:val="nil"/>
              <w:bottom w:val="nil"/>
            </w:tcBorders>
          </w:tcPr>
          <w:p>
            <w:pPr>
              <w:pStyle w:val="TableParagraph"/>
              <w:spacing w:before="175"/>
              <w:ind w:left="27" w:right="20"/>
              <w:jc w:val="center"/>
              <w:rPr>
                <w:sz w:val="21"/>
              </w:rPr>
            </w:pPr>
            <w:r>
              <w:rPr>
                <w:spacing w:val="-2"/>
                <w:sz w:val="21"/>
              </w:rPr>
              <w:t>$68.40</w:t>
            </w:r>
          </w:p>
        </w:tc>
        <w:tc>
          <w:tcPr>
            <w:tcW w:w="989" w:type="dxa"/>
            <w:tcBorders>
              <w:top w:val="nil"/>
              <w:bottom w:val="nil"/>
            </w:tcBorders>
          </w:tcPr>
          <w:p>
            <w:pPr>
              <w:pStyle w:val="TableParagraph"/>
              <w:spacing w:before="175"/>
              <w:ind w:left="6" w:right="2"/>
              <w:jc w:val="center"/>
              <w:rPr>
                <w:sz w:val="21"/>
              </w:rPr>
            </w:pPr>
            <w:r>
              <w:rPr>
                <w:spacing w:val="-2"/>
                <w:sz w:val="21"/>
              </w:rPr>
              <w:t>$68.40</w:t>
            </w:r>
          </w:p>
        </w:tc>
        <w:tc>
          <w:tcPr>
            <w:tcW w:w="992" w:type="dxa"/>
            <w:tcBorders>
              <w:top w:val="nil"/>
              <w:bottom w:val="nil"/>
            </w:tcBorders>
          </w:tcPr>
          <w:p>
            <w:pPr>
              <w:pStyle w:val="TableParagraph"/>
              <w:spacing w:before="175"/>
              <w:ind w:left="8" w:right="3"/>
              <w:jc w:val="center"/>
              <w:rPr>
                <w:sz w:val="21"/>
              </w:rPr>
            </w:pPr>
            <w:r>
              <w:rPr>
                <w:spacing w:val="-2"/>
                <w:sz w:val="21"/>
              </w:rPr>
              <w:t>$68.40</w:t>
            </w:r>
          </w:p>
        </w:tc>
        <w:tc>
          <w:tcPr>
            <w:tcW w:w="989" w:type="dxa"/>
            <w:tcBorders>
              <w:top w:val="nil"/>
              <w:bottom w:val="nil"/>
            </w:tcBorders>
          </w:tcPr>
          <w:p>
            <w:pPr>
              <w:pStyle w:val="TableParagraph"/>
              <w:spacing w:before="175"/>
              <w:ind w:left="6" w:right="3"/>
              <w:jc w:val="center"/>
              <w:rPr>
                <w:sz w:val="21"/>
              </w:rPr>
            </w:pPr>
            <w:r>
              <w:rPr>
                <w:spacing w:val="-2"/>
                <w:sz w:val="21"/>
              </w:rPr>
              <w:t>$68.40</w:t>
            </w:r>
          </w:p>
        </w:tc>
        <w:tc>
          <w:tcPr>
            <w:tcW w:w="992" w:type="dxa"/>
            <w:tcBorders>
              <w:top w:val="nil"/>
              <w:bottom w:val="nil"/>
            </w:tcBorders>
          </w:tcPr>
          <w:p>
            <w:pPr>
              <w:pStyle w:val="TableParagraph"/>
              <w:spacing w:before="175"/>
              <w:ind w:left="8" w:right="4"/>
              <w:jc w:val="center"/>
              <w:rPr>
                <w:sz w:val="21"/>
              </w:rPr>
            </w:pPr>
            <w:r>
              <w:rPr>
                <w:spacing w:val="-2"/>
                <w:sz w:val="21"/>
              </w:rPr>
              <w:t>$68.40</w:t>
            </w:r>
          </w:p>
        </w:tc>
        <w:tc>
          <w:tcPr>
            <w:tcW w:w="1169" w:type="dxa"/>
            <w:tcBorders>
              <w:top w:val="nil"/>
              <w:bottom w:val="nil"/>
            </w:tcBorders>
          </w:tcPr>
          <w:p>
            <w:pPr>
              <w:pStyle w:val="TableParagraph"/>
              <w:spacing w:before="175"/>
              <w:ind w:left="7" w:right="3"/>
              <w:jc w:val="center"/>
              <w:rPr>
                <w:sz w:val="21"/>
              </w:rPr>
            </w:pPr>
            <w:r>
              <w:rPr>
                <w:spacing w:val="-2"/>
                <w:sz w:val="21"/>
              </w:rPr>
              <w:t>$68.40</w:t>
            </w:r>
          </w:p>
        </w:tc>
        <w:tc>
          <w:tcPr>
            <w:tcW w:w="1260" w:type="dxa"/>
            <w:tcBorders>
              <w:top w:val="nil"/>
              <w:bottom w:val="nil"/>
            </w:tcBorders>
          </w:tcPr>
          <w:p>
            <w:pPr>
              <w:pStyle w:val="TableParagraph"/>
              <w:spacing w:before="175"/>
              <w:ind w:left="11" w:right="2"/>
              <w:jc w:val="center"/>
              <w:rPr>
                <w:sz w:val="21"/>
              </w:rPr>
            </w:pPr>
            <w:r>
              <w:rPr>
                <w:spacing w:val="-2"/>
                <w:sz w:val="21"/>
              </w:rPr>
              <w:t>$68.40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1255" w:type="dxa"/>
            <w:tcBorders>
              <w:top w:val="nil"/>
              <w:bottom w:val="nil"/>
            </w:tcBorders>
          </w:tcPr>
          <w:p>
            <w:pPr>
              <w:pStyle w:val="TableParagraph"/>
              <w:spacing w:before="25"/>
              <w:ind w:left="107"/>
              <w:rPr>
                <w:sz w:val="21"/>
              </w:rPr>
            </w:pPr>
            <w:r>
              <w:rPr>
                <w:spacing w:val="-2"/>
                <w:sz w:val="21"/>
              </w:rPr>
              <w:t>Allocations</w:t>
            </w:r>
          </w:p>
        </w:tc>
        <w:tc>
          <w:tcPr>
            <w:tcW w:w="900" w:type="dxa"/>
            <w:tcBorders>
              <w:top w:val="nil"/>
              <w:bottom w:val="nil"/>
            </w:tcBorders>
          </w:tcPr>
          <w:p>
            <w:pPr>
              <w:pStyle w:val="TableParagraph"/>
              <w:spacing w:before="25"/>
              <w:ind w:left="12"/>
              <w:jc w:val="center"/>
              <w:rPr>
                <w:sz w:val="21"/>
              </w:rPr>
            </w:pPr>
            <w:r>
              <w:rPr>
                <w:spacing w:val="-2"/>
                <w:sz w:val="21"/>
              </w:rPr>
              <w:t>$0.00</w:t>
            </w:r>
          </w:p>
        </w:tc>
        <w:tc>
          <w:tcPr>
            <w:tcW w:w="1352" w:type="dxa"/>
            <w:tcBorders>
              <w:top w:val="nil"/>
              <w:bottom w:val="nil"/>
            </w:tcBorders>
          </w:tcPr>
          <w:p>
            <w:pPr>
              <w:pStyle w:val="TableParagraph"/>
              <w:spacing w:before="25"/>
              <w:ind w:left="27" w:right="20"/>
              <w:jc w:val="center"/>
              <w:rPr>
                <w:sz w:val="21"/>
              </w:rPr>
            </w:pPr>
            <w:r>
              <w:rPr>
                <w:spacing w:val="-2"/>
                <w:sz w:val="21"/>
              </w:rPr>
              <w:t>$0.00</w:t>
            </w:r>
          </w:p>
        </w:tc>
        <w:tc>
          <w:tcPr>
            <w:tcW w:w="989" w:type="dxa"/>
            <w:tcBorders>
              <w:top w:val="nil"/>
              <w:bottom w:val="nil"/>
            </w:tcBorders>
          </w:tcPr>
          <w:p>
            <w:pPr>
              <w:pStyle w:val="TableParagraph"/>
              <w:spacing w:before="25"/>
              <w:ind w:left="6" w:right="2"/>
              <w:jc w:val="center"/>
              <w:rPr>
                <w:sz w:val="21"/>
              </w:rPr>
            </w:pPr>
            <w:r>
              <w:rPr>
                <w:spacing w:val="-2"/>
                <w:sz w:val="21"/>
              </w:rPr>
              <w:t>$0.00</w:t>
            </w:r>
          </w:p>
        </w:tc>
        <w:tc>
          <w:tcPr>
            <w:tcW w:w="992" w:type="dxa"/>
            <w:tcBorders>
              <w:top w:val="nil"/>
              <w:bottom w:val="nil"/>
            </w:tcBorders>
          </w:tcPr>
          <w:p>
            <w:pPr>
              <w:pStyle w:val="TableParagraph"/>
              <w:spacing w:before="25"/>
              <w:ind w:left="8" w:right="3"/>
              <w:jc w:val="center"/>
              <w:rPr>
                <w:sz w:val="21"/>
              </w:rPr>
            </w:pPr>
            <w:r>
              <w:rPr>
                <w:spacing w:val="-2"/>
                <w:sz w:val="21"/>
              </w:rPr>
              <w:t>$0.00</w:t>
            </w:r>
          </w:p>
        </w:tc>
        <w:tc>
          <w:tcPr>
            <w:tcW w:w="989" w:type="dxa"/>
            <w:tcBorders>
              <w:top w:val="nil"/>
              <w:bottom w:val="nil"/>
            </w:tcBorders>
          </w:tcPr>
          <w:p>
            <w:pPr>
              <w:pStyle w:val="TableParagraph"/>
              <w:spacing w:before="25"/>
              <w:ind w:left="6" w:right="3"/>
              <w:jc w:val="center"/>
              <w:rPr>
                <w:b/>
                <w:i/>
                <w:sz w:val="21"/>
              </w:rPr>
            </w:pPr>
            <w:r>
              <w:rPr>
                <w:b/>
                <w:i/>
                <w:spacing w:val="-2"/>
                <w:sz w:val="21"/>
              </w:rPr>
              <w:t>$1.00</w:t>
            </w:r>
          </w:p>
        </w:tc>
        <w:tc>
          <w:tcPr>
            <w:tcW w:w="992" w:type="dxa"/>
            <w:tcBorders>
              <w:top w:val="nil"/>
              <w:bottom w:val="nil"/>
            </w:tcBorders>
          </w:tcPr>
          <w:p>
            <w:pPr>
              <w:pStyle w:val="TableParagraph"/>
              <w:spacing w:before="25"/>
              <w:ind w:left="8" w:right="4"/>
              <w:jc w:val="center"/>
              <w:rPr>
                <w:b/>
                <w:i/>
                <w:sz w:val="21"/>
              </w:rPr>
            </w:pPr>
            <w:r>
              <w:rPr>
                <w:b/>
                <w:i/>
                <w:spacing w:val="-2"/>
                <w:sz w:val="21"/>
              </w:rPr>
              <w:t>$1.00</w:t>
            </w:r>
          </w:p>
        </w:tc>
        <w:tc>
          <w:tcPr>
            <w:tcW w:w="1169" w:type="dxa"/>
            <w:tcBorders>
              <w:top w:val="nil"/>
              <w:bottom w:val="nil"/>
            </w:tcBorders>
          </w:tcPr>
          <w:p>
            <w:pPr>
              <w:pStyle w:val="TableParagraph"/>
              <w:spacing w:before="25"/>
              <w:ind w:left="7" w:right="3"/>
              <w:jc w:val="center"/>
              <w:rPr>
                <w:sz w:val="21"/>
              </w:rPr>
            </w:pPr>
            <w:r>
              <w:rPr>
                <w:spacing w:val="-2"/>
                <w:sz w:val="21"/>
              </w:rPr>
              <w:t>$0.00</w:t>
            </w:r>
          </w:p>
        </w:tc>
        <w:tc>
          <w:tcPr>
            <w:tcW w:w="1260" w:type="dxa"/>
            <w:tcBorders>
              <w:top w:val="nil"/>
              <w:bottom w:val="nil"/>
            </w:tcBorders>
          </w:tcPr>
          <w:p>
            <w:pPr>
              <w:pStyle w:val="TableParagraph"/>
              <w:spacing w:before="25"/>
              <w:ind w:left="11" w:right="2"/>
              <w:jc w:val="center"/>
              <w:rPr>
                <w:b/>
                <w:i/>
                <w:sz w:val="21"/>
              </w:rPr>
            </w:pPr>
            <w:r>
              <w:rPr>
                <w:b/>
                <w:i/>
                <w:spacing w:val="-2"/>
                <w:sz w:val="21"/>
              </w:rPr>
              <w:t>$1.00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1255" w:type="dxa"/>
            <w:tcBorders>
              <w:top w:val="nil"/>
              <w:bottom w:val="nil"/>
            </w:tcBorders>
          </w:tcPr>
          <w:p>
            <w:pPr>
              <w:pStyle w:val="TableParagraph"/>
              <w:spacing w:before="25"/>
              <w:ind w:left="107"/>
              <w:rPr>
                <w:b/>
                <w:sz w:val="21"/>
              </w:rPr>
            </w:pPr>
            <w:r>
              <w:rPr>
                <w:b/>
                <w:sz w:val="21"/>
              </w:rPr>
              <w:t>PD</w:t>
            </w:r>
            <w:r>
              <w:rPr>
                <w:b/>
                <w:spacing w:val="-6"/>
                <w:sz w:val="21"/>
              </w:rPr>
              <w:t xml:space="preserve"> </w:t>
            </w:r>
            <w:r>
              <w:rPr>
                <w:b/>
                <w:sz w:val="21"/>
              </w:rPr>
              <w:t>B-</w:t>
            </w:r>
            <w:r>
              <w:rPr>
                <w:b/>
                <w:spacing w:val="-4"/>
                <w:sz w:val="21"/>
              </w:rPr>
              <w:t>Prem</w:t>
            </w:r>
          </w:p>
        </w:tc>
        <w:tc>
          <w:tcPr>
            <w:tcW w:w="900" w:type="dxa"/>
            <w:tcBorders>
              <w:top w:val="nil"/>
              <w:bottom w:val="nil"/>
            </w:tcBorders>
          </w:tcPr>
          <w:p>
            <w:pPr>
              <w:pStyle w:val="TableParagraph"/>
              <w:spacing w:before="25"/>
              <w:ind w:left="12"/>
              <w:jc w:val="center"/>
              <w:rPr>
                <w:sz w:val="21"/>
              </w:rPr>
            </w:pPr>
            <w:r>
              <w:rPr>
                <w:spacing w:val="-2"/>
                <w:sz w:val="21"/>
              </w:rPr>
              <w:t>$67.40</w:t>
            </w:r>
          </w:p>
        </w:tc>
        <w:tc>
          <w:tcPr>
            <w:tcW w:w="1352" w:type="dxa"/>
            <w:tcBorders>
              <w:top w:val="nil"/>
              <w:bottom w:val="nil"/>
            </w:tcBorders>
          </w:tcPr>
          <w:p>
            <w:pPr>
              <w:pStyle w:val="TableParagraph"/>
              <w:spacing w:before="25"/>
              <w:ind w:left="27" w:right="20"/>
              <w:jc w:val="center"/>
              <w:rPr>
                <w:sz w:val="21"/>
              </w:rPr>
            </w:pPr>
            <w:r>
              <w:rPr>
                <w:spacing w:val="-2"/>
                <w:sz w:val="21"/>
              </w:rPr>
              <w:t>$68.40</w:t>
            </w:r>
          </w:p>
        </w:tc>
        <w:tc>
          <w:tcPr>
            <w:tcW w:w="989" w:type="dxa"/>
            <w:tcBorders>
              <w:top w:val="nil"/>
              <w:bottom w:val="nil"/>
            </w:tcBorders>
          </w:tcPr>
          <w:p>
            <w:pPr>
              <w:pStyle w:val="TableParagraph"/>
              <w:spacing w:before="25"/>
              <w:ind w:left="6" w:right="2"/>
              <w:jc w:val="center"/>
              <w:rPr>
                <w:sz w:val="21"/>
              </w:rPr>
            </w:pPr>
            <w:r>
              <w:rPr>
                <w:spacing w:val="-2"/>
                <w:sz w:val="21"/>
              </w:rPr>
              <w:t>$68.40</w:t>
            </w:r>
          </w:p>
        </w:tc>
        <w:tc>
          <w:tcPr>
            <w:tcW w:w="992" w:type="dxa"/>
            <w:tcBorders>
              <w:top w:val="nil"/>
              <w:bottom w:val="nil"/>
            </w:tcBorders>
          </w:tcPr>
          <w:p>
            <w:pPr>
              <w:pStyle w:val="TableParagraph"/>
              <w:spacing w:before="25"/>
              <w:ind w:left="8" w:right="3"/>
              <w:jc w:val="center"/>
              <w:rPr>
                <w:sz w:val="21"/>
              </w:rPr>
            </w:pPr>
            <w:r>
              <w:rPr>
                <w:spacing w:val="-2"/>
                <w:sz w:val="21"/>
              </w:rPr>
              <w:t>$68.40</w:t>
            </w:r>
          </w:p>
        </w:tc>
        <w:tc>
          <w:tcPr>
            <w:tcW w:w="989" w:type="dxa"/>
            <w:tcBorders>
              <w:top w:val="nil"/>
              <w:bottom w:val="nil"/>
            </w:tcBorders>
          </w:tcPr>
          <w:p>
            <w:pPr>
              <w:pStyle w:val="TableParagraph"/>
              <w:spacing w:before="25"/>
              <w:ind w:left="6" w:right="3"/>
              <w:jc w:val="center"/>
              <w:rPr>
                <w:sz w:val="21"/>
              </w:rPr>
            </w:pPr>
            <w:r>
              <w:rPr>
                <w:spacing w:val="-2"/>
                <w:sz w:val="21"/>
              </w:rPr>
              <w:t>$67.40</w:t>
            </w:r>
          </w:p>
        </w:tc>
        <w:tc>
          <w:tcPr>
            <w:tcW w:w="992" w:type="dxa"/>
            <w:tcBorders>
              <w:top w:val="nil"/>
              <w:bottom w:val="nil"/>
            </w:tcBorders>
          </w:tcPr>
          <w:p>
            <w:pPr>
              <w:pStyle w:val="TableParagraph"/>
              <w:spacing w:before="25"/>
              <w:ind w:left="8" w:right="4"/>
              <w:jc w:val="center"/>
              <w:rPr>
                <w:sz w:val="21"/>
              </w:rPr>
            </w:pPr>
            <w:r>
              <w:rPr>
                <w:spacing w:val="-2"/>
                <w:sz w:val="21"/>
              </w:rPr>
              <w:t>$67.40</w:t>
            </w:r>
          </w:p>
        </w:tc>
        <w:tc>
          <w:tcPr>
            <w:tcW w:w="1169" w:type="dxa"/>
            <w:tcBorders>
              <w:top w:val="nil"/>
              <w:bottom w:val="nil"/>
            </w:tcBorders>
          </w:tcPr>
          <w:p>
            <w:pPr>
              <w:pStyle w:val="TableParagraph"/>
              <w:spacing w:before="25"/>
              <w:ind w:left="7" w:right="3"/>
              <w:jc w:val="center"/>
              <w:rPr>
                <w:sz w:val="21"/>
              </w:rPr>
            </w:pPr>
            <w:r>
              <w:rPr>
                <w:spacing w:val="-2"/>
                <w:sz w:val="21"/>
              </w:rPr>
              <w:t>$68.40</w:t>
            </w:r>
          </w:p>
        </w:tc>
        <w:tc>
          <w:tcPr>
            <w:tcW w:w="1260" w:type="dxa"/>
            <w:tcBorders>
              <w:top w:val="nil"/>
              <w:bottom w:val="nil"/>
            </w:tcBorders>
          </w:tcPr>
          <w:p>
            <w:pPr>
              <w:pStyle w:val="TableParagraph"/>
              <w:spacing w:before="25"/>
              <w:ind w:left="11" w:right="2"/>
              <w:jc w:val="center"/>
              <w:rPr>
                <w:sz w:val="21"/>
              </w:rPr>
            </w:pPr>
            <w:r>
              <w:rPr>
                <w:spacing w:val="-2"/>
                <w:sz w:val="21"/>
              </w:rPr>
              <w:t>$67.40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1255" w:type="dxa"/>
            <w:tcBorders>
              <w:top w:val="nil"/>
              <w:bottom w:val="nil"/>
            </w:tcBorders>
          </w:tcPr>
          <w:p>
            <w:pPr>
              <w:pStyle w:val="TableParagraph"/>
              <w:spacing w:before="175"/>
              <w:ind w:left="107"/>
              <w:rPr>
                <w:sz w:val="21"/>
              </w:rPr>
            </w:pPr>
            <w:r>
              <w:rPr>
                <w:sz w:val="21"/>
              </w:rPr>
              <w:t>Supp</w:t>
            </w:r>
            <w:r>
              <w:rPr>
                <w:spacing w:val="-3"/>
                <w:sz w:val="21"/>
              </w:rPr>
              <w:t xml:space="preserve"> </w:t>
            </w:r>
            <w:r>
              <w:rPr>
                <w:spacing w:val="-4"/>
                <w:sz w:val="21"/>
              </w:rPr>
              <w:t>Prem</w:t>
            </w:r>
          </w:p>
        </w:tc>
        <w:tc>
          <w:tcPr>
            <w:tcW w:w="900" w:type="dxa"/>
            <w:tcBorders>
              <w:top w:val="nil"/>
              <w:bottom w:val="nil"/>
            </w:tcBorders>
          </w:tcPr>
          <w:p>
            <w:pPr>
              <w:pStyle w:val="TableParagraph"/>
              <w:spacing w:before="175"/>
              <w:ind w:left="12"/>
              <w:jc w:val="center"/>
              <w:rPr>
                <w:sz w:val="21"/>
              </w:rPr>
            </w:pPr>
            <w:r>
              <w:rPr>
                <w:spacing w:val="-2"/>
                <w:sz w:val="21"/>
              </w:rPr>
              <w:t>$25.90</w:t>
            </w:r>
          </w:p>
        </w:tc>
        <w:tc>
          <w:tcPr>
            <w:tcW w:w="1352" w:type="dxa"/>
            <w:tcBorders>
              <w:top w:val="nil"/>
              <w:bottom w:val="nil"/>
            </w:tcBorders>
          </w:tcPr>
          <w:p>
            <w:pPr>
              <w:pStyle w:val="TableParagraph"/>
              <w:spacing w:before="175"/>
              <w:ind w:left="27" w:right="20"/>
              <w:jc w:val="center"/>
              <w:rPr>
                <w:sz w:val="21"/>
              </w:rPr>
            </w:pPr>
            <w:r>
              <w:rPr>
                <w:spacing w:val="-2"/>
                <w:sz w:val="21"/>
              </w:rPr>
              <w:t>$25.90</w:t>
            </w:r>
          </w:p>
        </w:tc>
        <w:tc>
          <w:tcPr>
            <w:tcW w:w="989" w:type="dxa"/>
            <w:tcBorders>
              <w:top w:val="nil"/>
              <w:bottom w:val="nil"/>
            </w:tcBorders>
          </w:tcPr>
          <w:p>
            <w:pPr>
              <w:pStyle w:val="TableParagraph"/>
              <w:spacing w:before="175"/>
              <w:ind w:left="6" w:right="2"/>
              <w:jc w:val="center"/>
              <w:rPr>
                <w:sz w:val="21"/>
              </w:rPr>
            </w:pPr>
            <w:r>
              <w:rPr>
                <w:spacing w:val="-2"/>
                <w:sz w:val="21"/>
              </w:rPr>
              <w:t>$25.90</w:t>
            </w:r>
          </w:p>
        </w:tc>
        <w:tc>
          <w:tcPr>
            <w:tcW w:w="992" w:type="dxa"/>
            <w:tcBorders>
              <w:top w:val="nil"/>
              <w:bottom w:val="nil"/>
            </w:tcBorders>
          </w:tcPr>
          <w:p>
            <w:pPr>
              <w:pStyle w:val="TableParagraph"/>
              <w:spacing w:before="175"/>
              <w:ind w:left="8" w:right="3"/>
              <w:jc w:val="center"/>
              <w:rPr>
                <w:sz w:val="21"/>
              </w:rPr>
            </w:pPr>
            <w:r>
              <w:rPr>
                <w:spacing w:val="-2"/>
                <w:sz w:val="21"/>
              </w:rPr>
              <w:t>$25.90</w:t>
            </w:r>
          </w:p>
        </w:tc>
        <w:tc>
          <w:tcPr>
            <w:tcW w:w="989" w:type="dxa"/>
            <w:tcBorders>
              <w:top w:val="nil"/>
              <w:bottom w:val="nil"/>
            </w:tcBorders>
          </w:tcPr>
          <w:p>
            <w:pPr>
              <w:pStyle w:val="TableParagraph"/>
              <w:spacing w:before="175"/>
              <w:ind w:left="6" w:right="3"/>
              <w:jc w:val="center"/>
              <w:rPr>
                <w:sz w:val="21"/>
              </w:rPr>
            </w:pPr>
            <w:r>
              <w:rPr>
                <w:spacing w:val="-2"/>
                <w:sz w:val="21"/>
              </w:rPr>
              <w:t>$25.90</w:t>
            </w:r>
          </w:p>
        </w:tc>
        <w:tc>
          <w:tcPr>
            <w:tcW w:w="992" w:type="dxa"/>
            <w:tcBorders>
              <w:top w:val="nil"/>
              <w:bottom w:val="nil"/>
            </w:tcBorders>
          </w:tcPr>
          <w:p>
            <w:pPr>
              <w:pStyle w:val="TableParagraph"/>
              <w:spacing w:before="175"/>
              <w:ind w:left="8" w:right="4"/>
              <w:jc w:val="center"/>
              <w:rPr>
                <w:sz w:val="21"/>
              </w:rPr>
            </w:pPr>
            <w:r>
              <w:rPr>
                <w:spacing w:val="-2"/>
                <w:sz w:val="21"/>
              </w:rPr>
              <w:t>$25.90</w:t>
            </w:r>
          </w:p>
        </w:tc>
        <w:tc>
          <w:tcPr>
            <w:tcW w:w="1169" w:type="dxa"/>
            <w:tcBorders>
              <w:top w:val="nil"/>
              <w:bottom w:val="nil"/>
            </w:tcBorders>
          </w:tcPr>
          <w:p>
            <w:pPr>
              <w:pStyle w:val="TableParagraph"/>
              <w:spacing w:before="175"/>
              <w:ind w:left="7" w:right="3"/>
              <w:jc w:val="center"/>
              <w:rPr>
                <w:sz w:val="21"/>
              </w:rPr>
            </w:pPr>
            <w:r>
              <w:rPr>
                <w:spacing w:val="-2"/>
                <w:sz w:val="21"/>
              </w:rPr>
              <w:t>$25.90</w:t>
            </w:r>
          </w:p>
        </w:tc>
        <w:tc>
          <w:tcPr>
            <w:tcW w:w="1260" w:type="dxa"/>
            <w:tcBorders>
              <w:top w:val="nil"/>
              <w:bottom w:val="nil"/>
            </w:tcBorders>
          </w:tcPr>
          <w:p>
            <w:pPr>
              <w:pStyle w:val="TableParagraph"/>
              <w:spacing w:before="175"/>
              <w:ind w:left="11" w:right="2"/>
              <w:jc w:val="center"/>
              <w:rPr>
                <w:sz w:val="21"/>
              </w:rPr>
            </w:pPr>
            <w:r>
              <w:rPr>
                <w:spacing w:val="-2"/>
                <w:sz w:val="21"/>
              </w:rPr>
              <w:t>$25.90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1255" w:type="dxa"/>
            <w:tcBorders>
              <w:top w:val="nil"/>
              <w:bottom w:val="nil"/>
            </w:tcBorders>
          </w:tcPr>
          <w:p>
            <w:pPr>
              <w:pStyle w:val="TableParagraph"/>
              <w:spacing w:before="25"/>
              <w:ind w:left="107"/>
              <w:rPr>
                <w:sz w:val="21"/>
              </w:rPr>
            </w:pPr>
            <w:r>
              <w:rPr>
                <w:spacing w:val="-2"/>
                <w:sz w:val="21"/>
              </w:rPr>
              <w:t>Allocations</w:t>
            </w:r>
          </w:p>
        </w:tc>
        <w:tc>
          <w:tcPr>
            <w:tcW w:w="900" w:type="dxa"/>
            <w:tcBorders>
              <w:top w:val="nil"/>
              <w:bottom w:val="nil"/>
            </w:tcBorders>
          </w:tcPr>
          <w:p>
            <w:pPr>
              <w:pStyle w:val="TableParagraph"/>
              <w:spacing w:before="25"/>
              <w:ind w:left="12"/>
              <w:jc w:val="center"/>
              <w:rPr>
                <w:sz w:val="21"/>
              </w:rPr>
            </w:pPr>
            <w:r>
              <w:rPr>
                <w:spacing w:val="-2"/>
                <w:sz w:val="21"/>
              </w:rPr>
              <w:t>$25.90</w:t>
            </w:r>
          </w:p>
        </w:tc>
        <w:tc>
          <w:tcPr>
            <w:tcW w:w="1352" w:type="dxa"/>
            <w:tcBorders>
              <w:top w:val="nil"/>
              <w:bottom w:val="nil"/>
            </w:tcBorders>
          </w:tcPr>
          <w:p>
            <w:pPr>
              <w:pStyle w:val="TableParagraph"/>
              <w:spacing w:before="25"/>
              <w:ind w:left="27" w:right="20"/>
              <w:jc w:val="center"/>
              <w:rPr>
                <w:sz w:val="21"/>
              </w:rPr>
            </w:pPr>
            <w:r>
              <w:rPr>
                <w:spacing w:val="-2"/>
                <w:sz w:val="21"/>
              </w:rPr>
              <w:t>$25.90</w:t>
            </w:r>
          </w:p>
        </w:tc>
        <w:tc>
          <w:tcPr>
            <w:tcW w:w="989" w:type="dxa"/>
            <w:tcBorders>
              <w:top w:val="nil"/>
              <w:bottom w:val="nil"/>
            </w:tcBorders>
          </w:tcPr>
          <w:p>
            <w:pPr>
              <w:pStyle w:val="TableParagraph"/>
              <w:spacing w:before="25"/>
              <w:ind w:left="6" w:right="2"/>
              <w:jc w:val="center"/>
              <w:rPr>
                <w:sz w:val="21"/>
              </w:rPr>
            </w:pPr>
            <w:r>
              <w:rPr>
                <w:spacing w:val="-2"/>
                <w:sz w:val="21"/>
              </w:rPr>
              <w:t>$25.90</w:t>
            </w:r>
          </w:p>
        </w:tc>
        <w:tc>
          <w:tcPr>
            <w:tcW w:w="992" w:type="dxa"/>
            <w:tcBorders>
              <w:top w:val="nil"/>
              <w:bottom w:val="nil"/>
            </w:tcBorders>
          </w:tcPr>
          <w:p>
            <w:pPr>
              <w:pStyle w:val="TableParagraph"/>
              <w:spacing w:before="25"/>
              <w:ind w:left="8" w:right="3"/>
              <w:jc w:val="center"/>
              <w:rPr>
                <w:sz w:val="21"/>
              </w:rPr>
            </w:pPr>
            <w:r>
              <w:rPr>
                <w:spacing w:val="-2"/>
                <w:sz w:val="21"/>
              </w:rPr>
              <w:t>$25.90</w:t>
            </w:r>
          </w:p>
        </w:tc>
        <w:tc>
          <w:tcPr>
            <w:tcW w:w="989" w:type="dxa"/>
            <w:tcBorders>
              <w:top w:val="nil"/>
              <w:bottom w:val="nil"/>
            </w:tcBorders>
          </w:tcPr>
          <w:p>
            <w:pPr>
              <w:pStyle w:val="TableParagraph"/>
              <w:spacing w:before="25"/>
              <w:ind w:left="6" w:right="3"/>
              <w:jc w:val="center"/>
              <w:rPr>
                <w:sz w:val="21"/>
              </w:rPr>
            </w:pPr>
            <w:r>
              <w:rPr>
                <w:spacing w:val="-2"/>
                <w:sz w:val="21"/>
              </w:rPr>
              <w:t>$25.90</w:t>
            </w:r>
          </w:p>
        </w:tc>
        <w:tc>
          <w:tcPr>
            <w:tcW w:w="992" w:type="dxa"/>
            <w:tcBorders>
              <w:top w:val="nil"/>
              <w:bottom w:val="nil"/>
            </w:tcBorders>
          </w:tcPr>
          <w:p>
            <w:pPr>
              <w:pStyle w:val="TableParagraph"/>
              <w:spacing w:before="25"/>
              <w:ind w:left="8" w:right="4"/>
              <w:jc w:val="center"/>
              <w:rPr>
                <w:sz w:val="21"/>
              </w:rPr>
            </w:pPr>
            <w:r>
              <w:rPr>
                <w:spacing w:val="-2"/>
                <w:sz w:val="21"/>
              </w:rPr>
              <w:t>$25.90</w:t>
            </w:r>
          </w:p>
        </w:tc>
        <w:tc>
          <w:tcPr>
            <w:tcW w:w="1169" w:type="dxa"/>
            <w:tcBorders>
              <w:top w:val="nil"/>
              <w:bottom w:val="nil"/>
            </w:tcBorders>
          </w:tcPr>
          <w:p>
            <w:pPr>
              <w:pStyle w:val="TableParagraph"/>
              <w:spacing w:before="25"/>
              <w:ind w:left="7" w:right="3"/>
              <w:jc w:val="center"/>
              <w:rPr>
                <w:sz w:val="21"/>
              </w:rPr>
            </w:pPr>
            <w:r>
              <w:rPr>
                <w:spacing w:val="-2"/>
                <w:sz w:val="21"/>
              </w:rPr>
              <w:t>$25.90</w:t>
            </w:r>
          </w:p>
        </w:tc>
        <w:tc>
          <w:tcPr>
            <w:tcW w:w="1260" w:type="dxa"/>
            <w:tcBorders>
              <w:top w:val="nil"/>
              <w:bottom w:val="nil"/>
            </w:tcBorders>
          </w:tcPr>
          <w:p>
            <w:pPr>
              <w:pStyle w:val="TableParagraph"/>
              <w:spacing w:before="25"/>
              <w:ind w:left="11" w:right="2"/>
              <w:jc w:val="center"/>
              <w:rPr>
                <w:sz w:val="21"/>
              </w:rPr>
            </w:pPr>
            <w:r>
              <w:rPr>
                <w:spacing w:val="-2"/>
                <w:sz w:val="21"/>
              </w:rPr>
              <w:t>$25.90</w:t>
            </w:r>
          </w:p>
        </w:tc>
      </w:tr>
      <w:tr>
        <w:tblPrEx>
          <w:tblW w:w="0" w:type="auto"/>
          <w:jc w:val="left"/>
          <w:tblInd w:w="514" w:type="dxa"/>
          <w:tblLayout w:type="fixed"/>
          <w:tblCellMar>
            <w:top w:w="0" w:type="dxa"/>
            <w:left w:w="0" w:type="dxa"/>
            <w:bottom w:w="0" w:type="dxa"/>
            <w:right w:w="0" w:type="dxa"/>
          </w:tblCellMar>
          <w:tblLook w:val="01E0"/>
        </w:tblPrEx>
        <w:trPr>
          <w:trHeight w:val="581"/>
          <w:jc w:val="left"/>
        </w:trPr>
        <w:tc>
          <w:tcPr>
            <w:tcW w:w="1255" w:type="dxa"/>
            <w:tcBorders>
              <w:top w:val="nil"/>
            </w:tcBorders>
          </w:tcPr>
          <w:p>
            <w:pPr>
              <w:pStyle w:val="TableParagraph"/>
              <w:spacing w:before="25"/>
              <w:ind w:left="107"/>
              <w:rPr>
                <w:b/>
                <w:sz w:val="21"/>
              </w:rPr>
            </w:pPr>
            <w:r>
              <w:rPr>
                <w:b/>
                <w:sz w:val="21"/>
              </w:rPr>
              <w:t>PD</w:t>
            </w:r>
            <w:r>
              <w:rPr>
                <w:b/>
                <w:spacing w:val="-3"/>
                <w:sz w:val="21"/>
              </w:rPr>
              <w:t xml:space="preserve"> </w:t>
            </w:r>
            <w:r>
              <w:rPr>
                <w:b/>
                <w:sz w:val="21"/>
              </w:rPr>
              <w:t>S-</w:t>
            </w:r>
            <w:r>
              <w:rPr>
                <w:b/>
                <w:spacing w:val="-4"/>
                <w:sz w:val="21"/>
              </w:rPr>
              <w:t>Prem</w:t>
            </w:r>
          </w:p>
        </w:tc>
        <w:tc>
          <w:tcPr>
            <w:tcW w:w="900" w:type="dxa"/>
            <w:tcBorders>
              <w:top w:val="nil"/>
            </w:tcBorders>
          </w:tcPr>
          <w:p>
            <w:pPr>
              <w:pStyle w:val="TableParagraph"/>
              <w:spacing w:before="25"/>
              <w:ind w:left="12"/>
              <w:jc w:val="center"/>
              <w:rPr>
                <w:sz w:val="21"/>
              </w:rPr>
            </w:pPr>
            <w:r>
              <w:rPr>
                <w:spacing w:val="-2"/>
                <w:sz w:val="21"/>
              </w:rPr>
              <w:t>$0.00</w:t>
            </w:r>
          </w:p>
        </w:tc>
        <w:tc>
          <w:tcPr>
            <w:tcW w:w="1352" w:type="dxa"/>
            <w:tcBorders>
              <w:top w:val="nil"/>
            </w:tcBorders>
          </w:tcPr>
          <w:p>
            <w:pPr>
              <w:pStyle w:val="TableParagraph"/>
              <w:spacing w:before="25"/>
              <w:ind w:left="27" w:right="20"/>
              <w:jc w:val="center"/>
              <w:rPr>
                <w:sz w:val="21"/>
              </w:rPr>
            </w:pPr>
            <w:r>
              <w:rPr>
                <w:spacing w:val="-2"/>
                <w:sz w:val="21"/>
              </w:rPr>
              <w:t>$0.00</w:t>
            </w:r>
          </w:p>
        </w:tc>
        <w:tc>
          <w:tcPr>
            <w:tcW w:w="989" w:type="dxa"/>
            <w:tcBorders>
              <w:top w:val="nil"/>
            </w:tcBorders>
          </w:tcPr>
          <w:p>
            <w:pPr>
              <w:pStyle w:val="TableParagraph"/>
              <w:spacing w:before="25"/>
              <w:ind w:left="6" w:right="2"/>
              <w:jc w:val="center"/>
              <w:rPr>
                <w:sz w:val="21"/>
              </w:rPr>
            </w:pPr>
            <w:r>
              <w:rPr>
                <w:spacing w:val="-2"/>
                <w:sz w:val="21"/>
              </w:rPr>
              <w:t>$0.00</w:t>
            </w:r>
          </w:p>
        </w:tc>
        <w:tc>
          <w:tcPr>
            <w:tcW w:w="992" w:type="dxa"/>
            <w:tcBorders>
              <w:top w:val="nil"/>
            </w:tcBorders>
          </w:tcPr>
          <w:p>
            <w:pPr>
              <w:pStyle w:val="TableParagraph"/>
              <w:spacing w:before="25"/>
              <w:ind w:left="8" w:right="3"/>
              <w:jc w:val="center"/>
              <w:rPr>
                <w:sz w:val="21"/>
              </w:rPr>
            </w:pPr>
            <w:r>
              <w:rPr>
                <w:spacing w:val="-2"/>
                <w:sz w:val="21"/>
              </w:rPr>
              <w:t>$0.00</w:t>
            </w:r>
          </w:p>
        </w:tc>
        <w:tc>
          <w:tcPr>
            <w:tcW w:w="989" w:type="dxa"/>
            <w:tcBorders>
              <w:top w:val="nil"/>
            </w:tcBorders>
          </w:tcPr>
          <w:p>
            <w:pPr>
              <w:pStyle w:val="TableParagraph"/>
              <w:spacing w:before="25"/>
              <w:ind w:left="6" w:right="3"/>
              <w:jc w:val="center"/>
              <w:rPr>
                <w:sz w:val="21"/>
              </w:rPr>
            </w:pPr>
            <w:r>
              <w:rPr>
                <w:spacing w:val="-2"/>
                <w:sz w:val="21"/>
              </w:rPr>
              <w:t>$0.00</w:t>
            </w:r>
          </w:p>
        </w:tc>
        <w:tc>
          <w:tcPr>
            <w:tcW w:w="992" w:type="dxa"/>
            <w:tcBorders>
              <w:top w:val="nil"/>
            </w:tcBorders>
          </w:tcPr>
          <w:p>
            <w:pPr>
              <w:pStyle w:val="TableParagraph"/>
              <w:spacing w:before="25"/>
              <w:ind w:left="8" w:right="4"/>
              <w:jc w:val="center"/>
              <w:rPr>
                <w:sz w:val="21"/>
              </w:rPr>
            </w:pPr>
            <w:r>
              <w:rPr>
                <w:spacing w:val="-2"/>
                <w:sz w:val="21"/>
              </w:rPr>
              <w:t>$0.00</w:t>
            </w:r>
          </w:p>
        </w:tc>
        <w:tc>
          <w:tcPr>
            <w:tcW w:w="1169" w:type="dxa"/>
            <w:tcBorders>
              <w:top w:val="nil"/>
            </w:tcBorders>
          </w:tcPr>
          <w:p>
            <w:pPr>
              <w:pStyle w:val="TableParagraph"/>
              <w:spacing w:before="25"/>
              <w:ind w:left="7" w:right="3"/>
              <w:jc w:val="center"/>
              <w:rPr>
                <w:sz w:val="21"/>
              </w:rPr>
            </w:pPr>
            <w:r>
              <w:rPr>
                <w:spacing w:val="-2"/>
                <w:sz w:val="21"/>
              </w:rPr>
              <w:t>$0.00</w:t>
            </w:r>
          </w:p>
        </w:tc>
        <w:tc>
          <w:tcPr>
            <w:tcW w:w="1260" w:type="dxa"/>
            <w:tcBorders>
              <w:top w:val="nil"/>
            </w:tcBorders>
          </w:tcPr>
          <w:p>
            <w:pPr>
              <w:pStyle w:val="TableParagraph"/>
              <w:spacing w:before="25"/>
              <w:ind w:left="11" w:right="2"/>
              <w:jc w:val="center"/>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316"/>
          <w:jc w:val="left"/>
        </w:trPr>
        <w:tc>
          <w:tcPr>
            <w:tcW w:w="1255" w:type="dxa"/>
          </w:tcPr>
          <w:p>
            <w:pPr>
              <w:pStyle w:val="TableParagraph"/>
              <w:spacing w:before="75" w:line="221" w:lineRule="exact"/>
              <w:ind w:left="107"/>
              <w:rPr>
                <w:b/>
                <w:sz w:val="21"/>
              </w:rPr>
            </w:pPr>
            <w:r>
              <w:rPr>
                <w:b/>
                <w:sz w:val="21"/>
              </w:rPr>
              <w:t>Total</w:t>
            </w:r>
            <w:r>
              <w:rPr>
                <w:b/>
                <w:spacing w:val="-4"/>
                <w:sz w:val="21"/>
              </w:rPr>
              <w:t xml:space="preserve"> Prem</w:t>
            </w:r>
          </w:p>
        </w:tc>
        <w:tc>
          <w:tcPr>
            <w:tcW w:w="900" w:type="dxa"/>
          </w:tcPr>
          <w:p>
            <w:pPr>
              <w:pStyle w:val="TableParagraph"/>
              <w:spacing w:before="75" w:line="221" w:lineRule="exact"/>
              <w:ind w:left="12" w:right="3"/>
              <w:jc w:val="center"/>
              <w:rPr>
                <w:sz w:val="21"/>
              </w:rPr>
            </w:pPr>
            <w:r>
              <w:rPr>
                <w:spacing w:val="-2"/>
                <w:sz w:val="21"/>
              </w:rPr>
              <w:t>$161.00</w:t>
            </w:r>
          </w:p>
        </w:tc>
        <w:tc>
          <w:tcPr>
            <w:tcW w:w="1352" w:type="dxa"/>
          </w:tcPr>
          <w:p>
            <w:pPr>
              <w:pStyle w:val="TableParagraph"/>
              <w:spacing w:before="75" w:line="221" w:lineRule="exact"/>
              <w:ind w:left="30" w:right="20"/>
              <w:jc w:val="center"/>
              <w:rPr>
                <w:sz w:val="21"/>
              </w:rPr>
            </w:pPr>
            <w:r>
              <w:rPr>
                <w:spacing w:val="-2"/>
                <w:sz w:val="21"/>
              </w:rPr>
              <w:t>$162.00</w:t>
            </w:r>
          </w:p>
        </w:tc>
        <w:tc>
          <w:tcPr>
            <w:tcW w:w="989" w:type="dxa"/>
          </w:tcPr>
          <w:p>
            <w:pPr>
              <w:pStyle w:val="TableParagraph"/>
              <w:spacing w:before="75" w:line="221" w:lineRule="exact"/>
              <w:ind w:left="6"/>
              <w:jc w:val="center"/>
              <w:rPr>
                <w:sz w:val="21"/>
              </w:rPr>
            </w:pPr>
            <w:r>
              <w:rPr>
                <w:spacing w:val="-2"/>
                <w:sz w:val="21"/>
              </w:rPr>
              <w:t>$174.50</w:t>
            </w:r>
          </w:p>
        </w:tc>
        <w:tc>
          <w:tcPr>
            <w:tcW w:w="992" w:type="dxa"/>
          </w:tcPr>
          <w:p>
            <w:pPr>
              <w:pStyle w:val="TableParagraph"/>
              <w:spacing w:before="75" w:line="221" w:lineRule="exact"/>
              <w:ind w:left="8"/>
              <w:jc w:val="center"/>
              <w:rPr>
                <w:sz w:val="21"/>
              </w:rPr>
            </w:pPr>
            <w:r>
              <w:rPr>
                <w:spacing w:val="-2"/>
                <w:sz w:val="21"/>
              </w:rPr>
              <w:t>$162.00</w:t>
            </w:r>
          </w:p>
        </w:tc>
        <w:tc>
          <w:tcPr>
            <w:tcW w:w="989" w:type="dxa"/>
          </w:tcPr>
          <w:p>
            <w:pPr>
              <w:pStyle w:val="TableParagraph"/>
              <w:spacing w:before="75" w:line="221" w:lineRule="exact"/>
              <w:ind w:left="6" w:right="1"/>
              <w:jc w:val="center"/>
              <w:rPr>
                <w:sz w:val="21"/>
              </w:rPr>
            </w:pPr>
            <w:r>
              <w:rPr>
                <w:spacing w:val="-2"/>
                <w:sz w:val="21"/>
              </w:rPr>
              <w:t>$174.50</w:t>
            </w:r>
          </w:p>
        </w:tc>
        <w:tc>
          <w:tcPr>
            <w:tcW w:w="992" w:type="dxa"/>
          </w:tcPr>
          <w:p>
            <w:pPr>
              <w:pStyle w:val="TableParagraph"/>
              <w:spacing w:before="75" w:line="221" w:lineRule="exact"/>
              <w:ind w:left="8" w:right="1"/>
              <w:jc w:val="center"/>
              <w:rPr>
                <w:sz w:val="21"/>
              </w:rPr>
            </w:pPr>
            <w:r>
              <w:rPr>
                <w:spacing w:val="-2"/>
                <w:sz w:val="21"/>
              </w:rPr>
              <w:t>$161.00</w:t>
            </w:r>
          </w:p>
        </w:tc>
        <w:tc>
          <w:tcPr>
            <w:tcW w:w="1169" w:type="dxa"/>
          </w:tcPr>
          <w:p>
            <w:pPr>
              <w:pStyle w:val="TableParagraph"/>
              <w:spacing w:before="75" w:line="221" w:lineRule="exact"/>
              <w:ind w:left="7" w:right="5"/>
              <w:jc w:val="center"/>
              <w:rPr>
                <w:sz w:val="21"/>
              </w:rPr>
            </w:pPr>
            <w:r>
              <w:rPr>
                <w:spacing w:val="-2"/>
                <w:sz w:val="21"/>
              </w:rPr>
              <w:t>$161.00</w:t>
            </w:r>
          </w:p>
        </w:tc>
        <w:tc>
          <w:tcPr>
            <w:tcW w:w="1260" w:type="dxa"/>
          </w:tcPr>
          <w:p>
            <w:pPr>
              <w:pStyle w:val="TableParagraph"/>
              <w:spacing w:before="75" w:line="221" w:lineRule="exact"/>
              <w:ind w:left="11" w:right="4"/>
              <w:jc w:val="center"/>
              <w:rPr>
                <w:sz w:val="21"/>
              </w:rPr>
            </w:pPr>
            <w:r>
              <w:rPr>
                <w:spacing w:val="-2"/>
                <w:sz w:val="21"/>
              </w:rPr>
              <w:t>$159.50</w:t>
            </w:r>
          </w:p>
        </w:tc>
      </w:tr>
    </w:tbl>
    <w:p>
      <w:pPr>
        <w:pStyle w:val="BodyText"/>
        <w:spacing w:before="86"/>
        <w:ind w:left="0"/>
        <w:rPr>
          <w:rFonts w:ascii="Arial"/>
          <w:b/>
          <w:i/>
        </w:rPr>
      </w:pPr>
    </w:p>
    <w:p>
      <w:pPr>
        <w:pStyle w:val="BodyText"/>
      </w:pPr>
      <w:r>
        <w:t>In</w:t>
      </w:r>
      <w:r>
        <w:rPr>
          <w:spacing w:val="-3"/>
        </w:rPr>
        <w:t xml:space="preserve"> </w:t>
      </w:r>
      <w:r>
        <w:t>this</w:t>
      </w:r>
      <w:r>
        <w:rPr>
          <w:spacing w:val="-2"/>
        </w:rPr>
        <w:t xml:space="preserve"> </w:t>
      </w:r>
      <w:r>
        <w:t>example,</w:t>
      </w:r>
      <w:r>
        <w:rPr>
          <w:spacing w:val="-1"/>
        </w:rPr>
        <w:t xml:space="preserve"> </w:t>
      </w:r>
      <w:r>
        <w:t>the</w:t>
      </w:r>
      <w:r>
        <w:rPr>
          <w:spacing w:val="-1"/>
        </w:rPr>
        <w:t xml:space="preserve"> </w:t>
      </w:r>
      <w:r>
        <w:t>change</w:t>
      </w:r>
      <w:r>
        <w:rPr>
          <w:spacing w:val="-2"/>
        </w:rPr>
        <w:t xml:space="preserve"> </w:t>
      </w:r>
      <w:r>
        <w:t>in</w:t>
      </w:r>
      <w:r>
        <w:rPr>
          <w:spacing w:val="1"/>
        </w:rPr>
        <w:t xml:space="preserve"> </w:t>
      </w:r>
      <w:r>
        <w:t>MSB</w:t>
      </w:r>
      <w:r>
        <w:rPr>
          <w:spacing w:val="-1"/>
        </w:rPr>
        <w:t xml:space="preserve"> </w:t>
      </w:r>
      <w:r>
        <w:t>revenue</w:t>
      </w:r>
      <w:r>
        <w:rPr>
          <w:spacing w:val="-2"/>
        </w:rPr>
        <w:t xml:space="preserve"> </w:t>
      </w:r>
      <w:r>
        <w:t>requirement</w:t>
      </w:r>
      <w:r>
        <w:rPr>
          <w:spacing w:val="-1"/>
        </w:rPr>
        <w:t xml:space="preserve"> </w:t>
      </w:r>
      <w:r>
        <w:t>must be</w:t>
      </w:r>
      <w:r>
        <w:rPr>
          <w:spacing w:val="-2"/>
        </w:rPr>
        <w:t xml:space="preserve"> </w:t>
      </w:r>
      <w:r>
        <w:t>between</w:t>
      </w:r>
      <w:r>
        <w:rPr>
          <w:spacing w:val="1"/>
        </w:rPr>
        <w:t xml:space="preserve"> </w:t>
      </w:r>
      <w:r>
        <w:t>−$13.50</w:t>
      </w:r>
      <w:r>
        <w:rPr>
          <w:spacing w:val="-1"/>
        </w:rPr>
        <w:t xml:space="preserve"> </w:t>
      </w:r>
      <w:r>
        <w:t xml:space="preserve">and </w:t>
      </w:r>
      <w:r>
        <w:rPr>
          <w:spacing w:val="-2"/>
        </w:rPr>
        <w:t>$0.00.</w:t>
      </w:r>
    </w:p>
    <w:p>
      <w:pPr>
        <w:pStyle w:val="BodyText"/>
        <w:spacing w:before="139"/>
        <w:ind w:right="1481"/>
      </w:pPr>
      <w:r>
        <w:t>Rebate</w:t>
      </w:r>
      <w:r>
        <w:rPr>
          <w:spacing w:val="-4"/>
        </w:rPr>
        <w:t xml:space="preserve"> </w:t>
      </w:r>
      <w:r>
        <w:t>reallocation</w:t>
      </w:r>
      <w:r>
        <w:rPr>
          <w:spacing w:val="-4"/>
        </w:rPr>
        <w:t xml:space="preserve"> </w:t>
      </w:r>
      <w:r>
        <w:t>is</w:t>
      </w:r>
      <w:r>
        <w:rPr>
          <w:spacing w:val="-4"/>
        </w:rPr>
        <w:t xml:space="preserve"> </w:t>
      </w:r>
      <w:r>
        <w:t>required</w:t>
      </w:r>
      <w:r>
        <w:rPr>
          <w:spacing w:val="-4"/>
        </w:rPr>
        <w:t xml:space="preserve"> </w:t>
      </w:r>
      <w:r>
        <w:t>for</w:t>
      </w:r>
      <w:r>
        <w:rPr>
          <w:spacing w:val="-6"/>
        </w:rPr>
        <w:t xml:space="preserve"> </w:t>
      </w:r>
      <w:r>
        <w:t>the</w:t>
      </w:r>
      <w:r>
        <w:rPr>
          <w:spacing w:val="-4"/>
        </w:rPr>
        <w:t xml:space="preserve"> </w:t>
      </w:r>
      <w:r>
        <w:t>insufficient</w:t>
      </w:r>
      <w:r>
        <w:rPr>
          <w:spacing w:val="-2"/>
        </w:rPr>
        <w:t xml:space="preserve"> </w:t>
      </w:r>
      <w:r>
        <w:t>allocation</w:t>
      </w:r>
      <w:r>
        <w:rPr>
          <w:spacing w:val="-4"/>
        </w:rPr>
        <w:t xml:space="preserve"> </w:t>
      </w:r>
      <w:r>
        <w:t>of</w:t>
      </w:r>
      <w:r>
        <w:rPr>
          <w:spacing w:val="-5"/>
        </w:rPr>
        <w:t xml:space="preserve"> </w:t>
      </w:r>
      <w:r>
        <w:t>$12.50</w:t>
      </w:r>
      <w:r>
        <w:rPr>
          <w:spacing w:val="-4"/>
        </w:rPr>
        <w:t xml:space="preserve"> </w:t>
      </w:r>
      <w:r>
        <w:t>after</w:t>
      </w:r>
      <w:r>
        <w:rPr>
          <w:spacing w:val="-3"/>
        </w:rPr>
        <w:t xml:space="preserve"> </w:t>
      </w:r>
      <w:r>
        <w:t>reflecting announced RPPO benchmark.</w:t>
      </w:r>
    </w:p>
    <w:p>
      <w:pPr>
        <w:pStyle w:val="BodyText"/>
        <w:spacing w:before="142"/>
      </w:pPr>
      <w:r>
        <w:t>Rebate</w:t>
      </w:r>
      <w:r>
        <w:rPr>
          <w:spacing w:val="-1"/>
        </w:rPr>
        <w:t xml:space="preserve"> </w:t>
      </w:r>
      <w:r>
        <w:t>reallocation</w:t>
      </w:r>
      <w:r>
        <w:rPr>
          <w:spacing w:val="-1"/>
        </w:rPr>
        <w:t xml:space="preserve"> </w:t>
      </w:r>
      <w:r>
        <w:t>for</w:t>
      </w:r>
      <w:r>
        <w:rPr>
          <w:spacing w:val="-2"/>
        </w:rPr>
        <w:t xml:space="preserve"> </w:t>
      </w:r>
      <w:r>
        <w:t>the</w:t>
      </w:r>
      <w:r>
        <w:rPr>
          <w:spacing w:val="-1"/>
        </w:rPr>
        <w:t xml:space="preserve"> </w:t>
      </w:r>
      <w:r>
        <w:t>Part</w:t>
      </w:r>
      <w:r>
        <w:rPr>
          <w:spacing w:val="-1"/>
        </w:rPr>
        <w:t xml:space="preserve"> </w:t>
      </w:r>
      <w:r>
        <w:t>D</w:t>
      </w:r>
      <w:r>
        <w:rPr>
          <w:spacing w:val="-1"/>
        </w:rPr>
        <w:t xml:space="preserve"> </w:t>
      </w:r>
      <w:r>
        <w:t>basic</w:t>
      </w:r>
      <w:r>
        <w:rPr>
          <w:spacing w:val="-1"/>
        </w:rPr>
        <w:t xml:space="preserve"> </w:t>
      </w:r>
      <w:r>
        <w:t>premium</w:t>
      </w:r>
      <w:r>
        <w:rPr>
          <w:spacing w:val="-2"/>
        </w:rPr>
        <w:t xml:space="preserve"> </w:t>
      </w:r>
      <w:r>
        <w:t>is</w:t>
      </w:r>
      <w:r>
        <w:rPr>
          <w:spacing w:val="-1"/>
        </w:rPr>
        <w:t xml:space="preserve"> </w:t>
      </w:r>
      <w:r>
        <w:rPr>
          <w:spacing w:val="-2"/>
        </w:rPr>
        <w:t>optional.</w:t>
      </w:r>
    </w:p>
    <w:p>
      <w:pPr>
        <w:pStyle w:val="BodyText"/>
        <w:spacing w:before="139"/>
        <w:ind w:right="1478"/>
      </w:pPr>
      <w:r>
        <w:rPr>
          <w:b/>
        </w:rPr>
        <w:t>Option</w:t>
      </w:r>
      <w:r>
        <w:rPr>
          <w:b/>
          <w:spacing w:val="-2"/>
        </w:rPr>
        <w:t xml:space="preserve"> </w:t>
      </w:r>
      <w:r>
        <w:rPr>
          <w:b/>
        </w:rPr>
        <w:t>1</w:t>
      </w:r>
      <w:r>
        <w:t>:</w:t>
      </w:r>
      <w:r>
        <w:rPr>
          <w:spacing w:val="-2"/>
        </w:rPr>
        <w:t xml:space="preserve"> </w:t>
      </w:r>
      <w:r>
        <w:t>The</w:t>
      </w:r>
      <w:r>
        <w:rPr>
          <w:spacing w:val="-3"/>
        </w:rPr>
        <w:t xml:space="preserve"> </w:t>
      </w:r>
      <w:r>
        <w:t>MAO</w:t>
      </w:r>
      <w:r>
        <w:rPr>
          <w:spacing w:val="-3"/>
        </w:rPr>
        <w:t xml:space="preserve"> </w:t>
      </w:r>
      <w:r>
        <w:t>is</w:t>
      </w:r>
      <w:r>
        <w:rPr>
          <w:spacing w:val="-3"/>
        </w:rPr>
        <w:t xml:space="preserve"> </w:t>
      </w:r>
      <w:r>
        <w:t>not</w:t>
      </w:r>
      <w:r>
        <w:rPr>
          <w:spacing w:val="-2"/>
        </w:rPr>
        <w:t xml:space="preserve"> </w:t>
      </w:r>
      <w:r>
        <w:t>required</w:t>
      </w:r>
      <w:r>
        <w:rPr>
          <w:spacing w:val="-2"/>
        </w:rPr>
        <w:t xml:space="preserve"> </w:t>
      </w:r>
      <w:r>
        <w:t>to</w:t>
      </w:r>
      <w:r>
        <w:rPr>
          <w:spacing w:val="-2"/>
        </w:rPr>
        <w:t xml:space="preserve"> </w:t>
      </w:r>
      <w:r>
        <w:t>reallocate</w:t>
      </w:r>
      <w:r>
        <w:rPr>
          <w:spacing w:val="-2"/>
        </w:rPr>
        <w:t xml:space="preserve"> </w:t>
      </w:r>
      <w:r>
        <w:t>rebates</w:t>
      </w:r>
      <w:r>
        <w:rPr>
          <w:spacing w:val="-3"/>
        </w:rPr>
        <w:t xml:space="preserve"> </w:t>
      </w:r>
      <w:r>
        <w:t>for</w:t>
      </w:r>
      <w:r>
        <w:rPr>
          <w:spacing w:val="-2"/>
        </w:rPr>
        <w:t xml:space="preserve"> </w:t>
      </w:r>
      <w:r>
        <w:t>the</w:t>
      </w:r>
      <w:r>
        <w:rPr>
          <w:spacing w:val="-2"/>
        </w:rPr>
        <w:t xml:space="preserve"> </w:t>
      </w:r>
      <w:r>
        <w:t>Part</w:t>
      </w:r>
      <w:r>
        <w:rPr>
          <w:spacing w:val="-2"/>
        </w:rPr>
        <w:t xml:space="preserve"> </w:t>
      </w:r>
      <w:r>
        <w:t>D</w:t>
      </w:r>
      <w:r>
        <w:rPr>
          <w:spacing w:val="-3"/>
        </w:rPr>
        <w:t xml:space="preserve"> </w:t>
      </w:r>
      <w:r>
        <w:t>basic</w:t>
      </w:r>
      <w:r>
        <w:rPr>
          <w:spacing w:val="-3"/>
        </w:rPr>
        <w:t xml:space="preserve"> </w:t>
      </w:r>
      <w:r>
        <w:t>premium</w:t>
      </w:r>
      <w:r>
        <w:rPr>
          <w:spacing w:val="-2"/>
        </w:rPr>
        <w:t xml:space="preserve"> </w:t>
      </w:r>
      <w:r>
        <w:t>and</w:t>
      </w:r>
      <w:r>
        <w:rPr>
          <w:spacing w:val="-2"/>
        </w:rPr>
        <w:t xml:space="preserve"> </w:t>
      </w:r>
      <w:r>
        <w:t xml:space="preserve">may choose to leave the Part D basic premium at the post-Part D benchmark announcement basic premium of $68.40. The MAO must obtain rebates for the insufficient allocation of $12.50 </w:t>
      </w:r>
      <w:r>
        <w:rPr>
          <w:spacing w:val="-4"/>
        </w:rPr>
        <w:t>by—</w:t>
      </w:r>
    </w:p>
    <w:p>
      <w:pPr>
        <w:pStyle w:val="BodyText"/>
        <w:spacing w:before="140"/>
        <w:ind w:left="1224" w:right="1572"/>
        <w:jc w:val="both"/>
      </w:pPr>
      <w:r>
        <w:rPr>
          <w:b/>
        </w:rPr>
        <w:t>1a</w:t>
      </w:r>
      <w:r>
        <w:t>: Making no changes to MSB revenue requirement and increasing the MA or Part D Supplemental</w:t>
      </w:r>
      <w:r>
        <w:rPr>
          <w:spacing w:val="-4"/>
        </w:rPr>
        <w:t xml:space="preserve"> </w:t>
      </w:r>
      <w:r>
        <w:t>premiums</w:t>
      </w:r>
      <w:r>
        <w:rPr>
          <w:spacing w:val="-4"/>
        </w:rPr>
        <w:t xml:space="preserve"> </w:t>
      </w:r>
      <w:r>
        <w:t>(or</w:t>
      </w:r>
      <w:r>
        <w:rPr>
          <w:spacing w:val="-4"/>
        </w:rPr>
        <w:t xml:space="preserve"> </w:t>
      </w:r>
      <w:r>
        <w:t>decreasing</w:t>
      </w:r>
      <w:r>
        <w:rPr>
          <w:spacing w:val="-4"/>
        </w:rPr>
        <w:t xml:space="preserve"> </w:t>
      </w:r>
      <w:r>
        <w:t>the</w:t>
      </w:r>
      <w:r>
        <w:rPr>
          <w:spacing w:val="-3"/>
        </w:rPr>
        <w:t xml:space="preserve"> </w:t>
      </w:r>
      <w:r>
        <w:t>rebates</w:t>
      </w:r>
      <w:r>
        <w:rPr>
          <w:spacing w:val="-4"/>
        </w:rPr>
        <w:t xml:space="preserve"> </w:t>
      </w:r>
      <w:r>
        <w:t>allocated</w:t>
      </w:r>
      <w:r>
        <w:rPr>
          <w:spacing w:val="-4"/>
        </w:rPr>
        <w:t xml:space="preserve"> </w:t>
      </w:r>
      <w:r>
        <w:t>to</w:t>
      </w:r>
      <w:r>
        <w:rPr>
          <w:spacing w:val="-4"/>
        </w:rPr>
        <w:t xml:space="preserve"> </w:t>
      </w:r>
      <w:r>
        <w:t>the</w:t>
      </w:r>
      <w:r>
        <w:rPr>
          <w:spacing w:val="-2"/>
        </w:rPr>
        <w:t xml:space="preserve"> </w:t>
      </w:r>
      <w:r>
        <w:t>Part</w:t>
      </w:r>
      <w:r>
        <w:rPr>
          <w:spacing w:val="-4"/>
        </w:rPr>
        <w:t xml:space="preserve"> </w:t>
      </w:r>
      <w:r>
        <w:t>B</w:t>
      </w:r>
      <w:r>
        <w:rPr>
          <w:spacing w:val="-1"/>
        </w:rPr>
        <w:t xml:space="preserve"> </w:t>
      </w:r>
      <w:r>
        <w:t>premium)</w:t>
      </w:r>
      <w:r>
        <w:rPr>
          <w:spacing w:val="-4"/>
        </w:rPr>
        <w:t xml:space="preserve"> </w:t>
      </w:r>
      <w:r>
        <w:t>by decreasing rebate allocations to MA, Part D supplemental, or Part B premiums.</w:t>
      </w:r>
    </w:p>
    <w:p>
      <w:pPr>
        <w:pStyle w:val="BodyText"/>
        <w:spacing w:before="142"/>
        <w:ind w:left="1224" w:right="1481"/>
      </w:pPr>
      <w:r>
        <w:rPr>
          <w:b/>
        </w:rPr>
        <w:t>1b</w:t>
      </w:r>
      <w:r>
        <w:t>:</w:t>
      </w:r>
      <w:r>
        <w:rPr>
          <w:spacing w:val="-3"/>
        </w:rPr>
        <w:t xml:space="preserve"> </w:t>
      </w:r>
      <w:r>
        <w:t>Decreasing</w:t>
      </w:r>
      <w:r>
        <w:rPr>
          <w:spacing w:val="-2"/>
        </w:rPr>
        <w:t xml:space="preserve"> </w:t>
      </w:r>
      <w:r>
        <w:t>MSB</w:t>
      </w:r>
      <w:r>
        <w:rPr>
          <w:spacing w:val="-3"/>
        </w:rPr>
        <w:t xml:space="preserve"> </w:t>
      </w:r>
      <w:r>
        <w:t>revenue</w:t>
      </w:r>
      <w:r>
        <w:rPr>
          <w:spacing w:val="-4"/>
        </w:rPr>
        <w:t xml:space="preserve"> </w:t>
      </w:r>
      <w:r>
        <w:t>requirement</w:t>
      </w:r>
      <w:r>
        <w:rPr>
          <w:spacing w:val="-2"/>
        </w:rPr>
        <w:t xml:space="preserve"> </w:t>
      </w:r>
      <w:r>
        <w:t>by</w:t>
      </w:r>
      <w:r>
        <w:rPr>
          <w:spacing w:val="-3"/>
        </w:rPr>
        <w:t xml:space="preserve"> </w:t>
      </w:r>
      <w:r>
        <w:t>no</w:t>
      </w:r>
      <w:r>
        <w:rPr>
          <w:spacing w:val="-1"/>
        </w:rPr>
        <w:t xml:space="preserve"> </w:t>
      </w:r>
      <w:r>
        <w:t>more</w:t>
      </w:r>
      <w:r>
        <w:rPr>
          <w:spacing w:val="-5"/>
        </w:rPr>
        <w:t xml:space="preserve"> </w:t>
      </w:r>
      <w:r>
        <w:t>than</w:t>
      </w:r>
      <w:r>
        <w:rPr>
          <w:spacing w:val="-3"/>
        </w:rPr>
        <w:t xml:space="preserve"> </w:t>
      </w:r>
      <w:r>
        <w:t>$12.50,</w:t>
      </w:r>
      <w:r>
        <w:rPr>
          <w:spacing w:val="-3"/>
        </w:rPr>
        <w:t xml:space="preserve"> </w:t>
      </w:r>
      <w:r>
        <w:t>such</w:t>
      </w:r>
      <w:r>
        <w:rPr>
          <w:spacing w:val="-3"/>
        </w:rPr>
        <w:t xml:space="preserve"> </w:t>
      </w:r>
      <w:r>
        <w:t>that</w:t>
      </w:r>
      <w:r>
        <w:rPr>
          <w:spacing w:val="-3"/>
        </w:rPr>
        <w:t xml:space="preserve"> </w:t>
      </w:r>
      <w:r>
        <w:t>there</w:t>
      </w:r>
      <w:r>
        <w:rPr>
          <w:spacing w:val="-5"/>
        </w:rPr>
        <w:t xml:space="preserve"> </w:t>
      </w:r>
      <w:r>
        <w:t>is</w:t>
      </w:r>
      <w:r>
        <w:rPr>
          <w:spacing w:val="-4"/>
        </w:rPr>
        <w:t xml:space="preserve"> </w:t>
      </w:r>
      <w:r>
        <w:t>a partial or full return to the MA premium in initial June bid by decreasing rebate allocations to MA, Part D supplemental, or Part B premiums.</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ind w:right="1443"/>
      </w:pPr>
      <w:r>
        <w:rPr>
          <w:b/>
        </w:rPr>
        <w:t>Option</w:t>
      </w:r>
      <w:r>
        <w:rPr>
          <w:b/>
          <w:spacing w:val="-2"/>
        </w:rPr>
        <w:t xml:space="preserve"> </w:t>
      </w:r>
      <w:r>
        <w:rPr>
          <w:b/>
        </w:rPr>
        <w:t>2</w:t>
      </w:r>
      <w:r>
        <w:t>:</w:t>
      </w:r>
      <w:r>
        <w:rPr>
          <w:spacing w:val="-2"/>
        </w:rPr>
        <w:t xml:space="preserve"> </w:t>
      </w:r>
      <w:r>
        <w:t>The</w:t>
      </w:r>
      <w:r>
        <w:rPr>
          <w:spacing w:val="-3"/>
        </w:rPr>
        <w:t xml:space="preserve"> </w:t>
      </w:r>
      <w:r>
        <w:t>MAO</w:t>
      </w:r>
      <w:r>
        <w:rPr>
          <w:spacing w:val="-3"/>
        </w:rPr>
        <w:t xml:space="preserve"> </w:t>
      </w:r>
      <w:r>
        <w:t>may</w:t>
      </w:r>
      <w:r>
        <w:rPr>
          <w:spacing w:val="-2"/>
        </w:rPr>
        <w:t xml:space="preserve"> </w:t>
      </w:r>
      <w:r>
        <w:t>choose</w:t>
      </w:r>
      <w:r>
        <w:rPr>
          <w:spacing w:val="-3"/>
        </w:rPr>
        <w:t xml:space="preserve"> </w:t>
      </w:r>
      <w:r>
        <w:t>to</w:t>
      </w:r>
      <w:r>
        <w:rPr>
          <w:spacing w:val="-2"/>
        </w:rPr>
        <w:t xml:space="preserve"> </w:t>
      </w:r>
      <w:r>
        <w:t>return</w:t>
      </w:r>
      <w:r>
        <w:rPr>
          <w:spacing w:val="-2"/>
        </w:rPr>
        <w:t xml:space="preserve"> </w:t>
      </w:r>
      <w:r>
        <w:t>to</w:t>
      </w:r>
      <w:r>
        <w:rPr>
          <w:spacing w:val="-2"/>
        </w:rPr>
        <w:t xml:space="preserve"> </w:t>
      </w:r>
      <w:r>
        <w:t>target</w:t>
      </w:r>
      <w:r>
        <w:rPr>
          <w:spacing w:val="-1"/>
        </w:rPr>
        <w:t xml:space="preserve"> </w:t>
      </w:r>
      <w:r>
        <w:t>Part</w:t>
      </w:r>
      <w:r>
        <w:rPr>
          <w:spacing w:val="-2"/>
        </w:rPr>
        <w:t xml:space="preserve"> </w:t>
      </w:r>
      <w:r>
        <w:t>D</w:t>
      </w:r>
      <w:r>
        <w:rPr>
          <w:spacing w:val="-3"/>
        </w:rPr>
        <w:t xml:space="preserve"> </w:t>
      </w:r>
      <w:r>
        <w:t>basic</w:t>
      </w:r>
      <w:r>
        <w:rPr>
          <w:spacing w:val="-2"/>
        </w:rPr>
        <w:t xml:space="preserve"> </w:t>
      </w:r>
      <w:r>
        <w:t>premium</w:t>
      </w:r>
      <w:r>
        <w:rPr>
          <w:spacing w:val="-2"/>
        </w:rPr>
        <w:t xml:space="preserve"> </w:t>
      </w:r>
      <w:r>
        <w:t>of</w:t>
      </w:r>
      <w:r>
        <w:rPr>
          <w:spacing w:val="-2"/>
        </w:rPr>
        <w:t xml:space="preserve"> </w:t>
      </w:r>
      <w:r>
        <w:t>$67.40.</w:t>
      </w:r>
      <w:r>
        <w:rPr>
          <w:spacing w:val="-2"/>
        </w:rPr>
        <w:t xml:space="preserve"> </w:t>
      </w:r>
      <w:r>
        <w:t>The</w:t>
      </w:r>
      <w:r>
        <w:rPr>
          <w:spacing w:val="-3"/>
        </w:rPr>
        <w:t xml:space="preserve"> </w:t>
      </w:r>
      <w:r>
        <w:t>MAO must obtain rebates for the insufficient allocation of $13.50 by—</w:t>
      </w:r>
    </w:p>
    <w:p>
      <w:pPr>
        <w:pStyle w:val="BodyText"/>
        <w:spacing w:before="139"/>
        <w:ind w:left="1224" w:right="1572"/>
        <w:jc w:val="both"/>
      </w:pPr>
      <w:r>
        <w:rPr>
          <w:b/>
        </w:rPr>
        <w:t>2a</w:t>
      </w:r>
      <w:r>
        <w:t>: Making no changes to MSB revenue requirement and increasing the MA or Part D Supplemental</w:t>
      </w:r>
      <w:r>
        <w:rPr>
          <w:spacing w:val="-4"/>
        </w:rPr>
        <w:t xml:space="preserve"> </w:t>
      </w:r>
      <w:r>
        <w:t>premiums</w:t>
      </w:r>
      <w:r>
        <w:rPr>
          <w:spacing w:val="-4"/>
        </w:rPr>
        <w:t xml:space="preserve"> </w:t>
      </w:r>
      <w:r>
        <w:t>(or</w:t>
      </w:r>
      <w:r>
        <w:rPr>
          <w:spacing w:val="-4"/>
        </w:rPr>
        <w:t xml:space="preserve"> </w:t>
      </w:r>
      <w:r>
        <w:t>decreasing</w:t>
      </w:r>
      <w:r>
        <w:rPr>
          <w:spacing w:val="-4"/>
        </w:rPr>
        <w:t xml:space="preserve"> </w:t>
      </w:r>
      <w:r>
        <w:t>the</w:t>
      </w:r>
      <w:r>
        <w:rPr>
          <w:spacing w:val="-3"/>
        </w:rPr>
        <w:t xml:space="preserve"> </w:t>
      </w:r>
      <w:r>
        <w:t>rebates</w:t>
      </w:r>
      <w:r>
        <w:rPr>
          <w:spacing w:val="-4"/>
        </w:rPr>
        <w:t xml:space="preserve"> </w:t>
      </w:r>
      <w:r>
        <w:t>allocated</w:t>
      </w:r>
      <w:r>
        <w:rPr>
          <w:spacing w:val="-4"/>
        </w:rPr>
        <w:t xml:space="preserve"> </w:t>
      </w:r>
      <w:r>
        <w:t>to</w:t>
      </w:r>
      <w:r>
        <w:rPr>
          <w:spacing w:val="-4"/>
        </w:rPr>
        <w:t xml:space="preserve"> </w:t>
      </w:r>
      <w:r>
        <w:t>the</w:t>
      </w:r>
      <w:r>
        <w:rPr>
          <w:spacing w:val="-2"/>
        </w:rPr>
        <w:t xml:space="preserve"> </w:t>
      </w:r>
      <w:r>
        <w:t>Part</w:t>
      </w:r>
      <w:r>
        <w:rPr>
          <w:spacing w:val="-4"/>
        </w:rPr>
        <w:t xml:space="preserve"> </w:t>
      </w:r>
      <w:r>
        <w:t>B</w:t>
      </w:r>
      <w:r>
        <w:rPr>
          <w:spacing w:val="-1"/>
        </w:rPr>
        <w:t xml:space="preserve"> </w:t>
      </w:r>
      <w:r>
        <w:t>premium)</w:t>
      </w:r>
      <w:r>
        <w:rPr>
          <w:spacing w:val="-4"/>
        </w:rPr>
        <w:t xml:space="preserve"> </w:t>
      </w:r>
      <w:r>
        <w:t>by decreasing rebate allocations to MA, Part D supplemental, or Part B premiums.</w:t>
      </w:r>
    </w:p>
    <w:p>
      <w:pPr>
        <w:pStyle w:val="BodyText"/>
        <w:spacing w:before="142"/>
        <w:ind w:left="1224" w:right="1481"/>
      </w:pPr>
      <w:r>
        <w:rPr>
          <w:b/>
        </w:rPr>
        <w:t>2b</w:t>
      </w:r>
      <w:r>
        <w:t>:</w:t>
      </w:r>
      <w:r>
        <w:rPr>
          <w:spacing w:val="-3"/>
        </w:rPr>
        <w:t xml:space="preserve"> </w:t>
      </w:r>
      <w:r>
        <w:t>Decreasing</w:t>
      </w:r>
      <w:r>
        <w:rPr>
          <w:spacing w:val="-2"/>
        </w:rPr>
        <w:t xml:space="preserve"> </w:t>
      </w:r>
      <w:r>
        <w:t>MSB</w:t>
      </w:r>
      <w:r>
        <w:rPr>
          <w:spacing w:val="-3"/>
        </w:rPr>
        <w:t xml:space="preserve"> </w:t>
      </w:r>
      <w:r>
        <w:t>revenue</w:t>
      </w:r>
      <w:r>
        <w:rPr>
          <w:spacing w:val="-4"/>
        </w:rPr>
        <w:t xml:space="preserve"> </w:t>
      </w:r>
      <w:r>
        <w:t>requirement</w:t>
      </w:r>
      <w:r>
        <w:rPr>
          <w:spacing w:val="-2"/>
        </w:rPr>
        <w:t xml:space="preserve"> </w:t>
      </w:r>
      <w:r>
        <w:t>by</w:t>
      </w:r>
      <w:r>
        <w:rPr>
          <w:spacing w:val="-3"/>
        </w:rPr>
        <w:t xml:space="preserve"> </w:t>
      </w:r>
      <w:r>
        <w:t>no</w:t>
      </w:r>
      <w:r>
        <w:rPr>
          <w:spacing w:val="-1"/>
        </w:rPr>
        <w:t xml:space="preserve"> </w:t>
      </w:r>
      <w:r>
        <w:t>more</w:t>
      </w:r>
      <w:r>
        <w:rPr>
          <w:spacing w:val="-5"/>
        </w:rPr>
        <w:t xml:space="preserve"> </w:t>
      </w:r>
      <w:r>
        <w:t>than</w:t>
      </w:r>
      <w:r>
        <w:rPr>
          <w:spacing w:val="-3"/>
        </w:rPr>
        <w:t xml:space="preserve"> </w:t>
      </w:r>
      <w:r>
        <w:t>$13.50,</w:t>
      </w:r>
      <w:r>
        <w:rPr>
          <w:spacing w:val="-3"/>
        </w:rPr>
        <w:t xml:space="preserve"> </w:t>
      </w:r>
      <w:r>
        <w:t>such</w:t>
      </w:r>
      <w:r>
        <w:rPr>
          <w:spacing w:val="-3"/>
        </w:rPr>
        <w:t xml:space="preserve"> </w:t>
      </w:r>
      <w:r>
        <w:t>that</w:t>
      </w:r>
      <w:r>
        <w:rPr>
          <w:spacing w:val="-3"/>
        </w:rPr>
        <w:t xml:space="preserve"> </w:t>
      </w:r>
      <w:r>
        <w:t>there</w:t>
      </w:r>
      <w:r>
        <w:rPr>
          <w:spacing w:val="-5"/>
        </w:rPr>
        <w:t xml:space="preserve"> </w:t>
      </w:r>
      <w:r>
        <w:t>is</w:t>
      </w:r>
      <w:r>
        <w:rPr>
          <w:spacing w:val="-4"/>
        </w:rPr>
        <w:t xml:space="preserve"> </w:t>
      </w:r>
      <w:r>
        <w:t>a partial or full return to the MA premium in initial June bid by decreasing rebate allocations to MA, Part D supplemental, or Part B premiums.</w:t>
      </w:r>
    </w:p>
    <w:p>
      <w:pPr>
        <w:pStyle w:val="BodyText"/>
        <w:spacing w:before="139"/>
        <w:ind w:right="1481"/>
      </w:pPr>
      <w:r>
        <w:t>*</w:t>
      </w:r>
      <w:r>
        <w:rPr>
          <w:b/>
        </w:rPr>
        <w:t>Unacceptable</w:t>
      </w:r>
      <w:r>
        <w:rPr>
          <w:b/>
          <w:spacing w:val="-3"/>
        </w:rPr>
        <w:t xml:space="preserve"> </w:t>
      </w:r>
      <w:r>
        <w:rPr>
          <w:b/>
        </w:rPr>
        <w:t>Option</w:t>
      </w:r>
      <w:r>
        <w:t>:</w:t>
      </w:r>
      <w:r>
        <w:rPr>
          <w:spacing w:val="-2"/>
        </w:rPr>
        <w:t xml:space="preserve"> </w:t>
      </w:r>
      <w:r>
        <w:t>In</w:t>
      </w:r>
      <w:r>
        <w:rPr>
          <w:spacing w:val="-2"/>
        </w:rPr>
        <w:t xml:space="preserve"> </w:t>
      </w:r>
      <w:r>
        <w:t>this</w:t>
      </w:r>
      <w:r>
        <w:rPr>
          <w:spacing w:val="-3"/>
        </w:rPr>
        <w:t xml:space="preserve"> </w:t>
      </w:r>
      <w:r>
        <w:t>example,</w:t>
      </w:r>
      <w:r>
        <w:rPr>
          <w:spacing w:val="-2"/>
        </w:rPr>
        <w:t xml:space="preserve"> </w:t>
      </w:r>
      <w:r>
        <w:t>(i)</w:t>
      </w:r>
      <w:r>
        <w:rPr>
          <w:spacing w:val="-3"/>
        </w:rPr>
        <w:t xml:space="preserve"> </w:t>
      </w:r>
      <w:r>
        <w:t>if</w:t>
      </w:r>
      <w:r>
        <w:rPr>
          <w:spacing w:val="-2"/>
        </w:rPr>
        <w:t xml:space="preserve"> </w:t>
      </w:r>
      <w:r>
        <w:t>the</w:t>
      </w:r>
      <w:r>
        <w:rPr>
          <w:spacing w:val="-1"/>
        </w:rPr>
        <w:t xml:space="preserve"> </w:t>
      </w:r>
      <w:r>
        <w:t>MAO</w:t>
      </w:r>
      <w:r>
        <w:rPr>
          <w:spacing w:val="-3"/>
        </w:rPr>
        <w:t xml:space="preserve"> </w:t>
      </w:r>
      <w:r>
        <w:t>chooses</w:t>
      </w:r>
      <w:r>
        <w:rPr>
          <w:spacing w:val="-3"/>
        </w:rPr>
        <w:t xml:space="preserve"> </w:t>
      </w:r>
      <w:r>
        <w:t>to</w:t>
      </w:r>
      <w:r>
        <w:rPr>
          <w:spacing w:val="-2"/>
        </w:rPr>
        <w:t xml:space="preserve"> </w:t>
      </w:r>
      <w:r>
        <w:t>not</w:t>
      </w:r>
      <w:r>
        <w:rPr>
          <w:spacing w:val="-2"/>
        </w:rPr>
        <w:t xml:space="preserve"> </w:t>
      </w:r>
      <w:r>
        <w:t>return</w:t>
      </w:r>
      <w:r>
        <w:rPr>
          <w:spacing w:val="-2"/>
        </w:rPr>
        <w:t xml:space="preserve"> </w:t>
      </w:r>
      <w:r>
        <w:t>to</w:t>
      </w:r>
      <w:r>
        <w:rPr>
          <w:spacing w:val="-2"/>
        </w:rPr>
        <w:t xml:space="preserve"> </w:t>
      </w:r>
      <w:r>
        <w:t>target Part</w:t>
      </w:r>
      <w:r>
        <w:rPr>
          <w:spacing w:val="-2"/>
        </w:rPr>
        <w:t xml:space="preserve"> </w:t>
      </w:r>
      <w:r>
        <w:t>D basic</w:t>
      </w:r>
      <w:r>
        <w:rPr>
          <w:spacing w:val="-3"/>
        </w:rPr>
        <w:t xml:space="preserve"> </w:t>
      </w:r>
      <w:r>
        <w:t>premium,</w:t>
      </w:r>
      <w:r>
        <w:rPr>
          <w:spacing w:val="-3"/>
        </w:rPr>
        <w:t xml:space="preserve"> </w:t>
      </w:r>
      <w:r>
        <w:t>the</w:t>
      </w:r>
      <w:r>
        <w:rPr>
          <w:spacing w:val="-4"/>
        </w:rPr>
        <w:t xml:space="preserve"> </w:t>
      </w:r>
      <w:r>
        <w:t>change</w:t>
      </w:r>
      <w:r>
        <w:rPr>
          <w:spacing w:val="-4"/>
        </w:rPr>
        <w:t xml:space="preserve"> </w:t>
      </w:r>
      <w:r>
        <w:t>in</w:t>
      </w:r>
      <w:r>
        <w:rPr>
          <w:spacing w:val="-2"/>
        </w:rPr>
        <w:t xml:space="preserve"> </w:t>
      </w:r>
      <w:r>
        <w:t>MSB</w:t>
      </w:r>
      <w:r>
        <w:rPr>
          <w:spacing w:val="-3"/>
        </w:rPr>
        <w:t xml:space="preserve"> </w:t>
      </w:r>
      <w:r>
        <w:t>revenue</w:t>
      </w:r>
      <w:r>
        <w:rPr>
          <w:spacing w:val="-4"/>
        </w:rPr>
        <w:t xml:space="preserve"> </w:t>
      </w:r>
      <w:r>
        <w:t>requirement</w:t>
      </w:r>
      <w:r>
        <w:rPr>
          <w:spacing w:val="-3"/>
        </w:rPr>
        <w:t xml:space="preserve"> </w:t>
      </w:r>
      <w:r>
        <w:t>must</w:t>
      </w:r>
      <w:r>
        <w:rPr>
          <w:spacing w:val="-2"/>
        </w:rPr>
        <w:t xml:space="preserve"> </w:t>
      </w:r>
      <w:r>
        <w:t>be</w:t>
      </w:r>
      <w:r>
        <w:rPr>
          <w:spacing w:val="-4"/>
        </w:rPr>
        <w:t xml:space="preserve"> </w:t>
      </w:r>
      <w:r>
        <w:t>between</w:t>
      </w:r>
      <w:r>
        <w:rPr>
          <w:spacing w:val="-1"/>
        </w:rPr>
        <w:t xml:space="preserve"> </w:t>
      </w:r>
      <w:r>
        <w:t>−$12.50</w:t>
      </w:r>
      <w:r>
        <w:rPr>
          <w:spacing w:val="-3"/>
        </w:rPr>
        <w:t xml:space="preserve"> </w:t>
      </w:r>
      <w:r>
        <w:t>and</w:t>
      </w:r>
      <w:r>
        <w:rPr>
          <w:spacing w:val="-3"/>
        </w:rPr>
        <w:t xml:space="preserve"> </w:t>
      </w:r>
      <w:r>
        <w:t>$0.00; and (ii) if the MAO chooses to return to target Part D basic premium, the change in MSB revenue requirement must be between −$13.50 and $0.00.</w:t>
      </w:r>
    </w:p>
    <w:p>
      <w:pPr>
        <w:pStyle w:val="BodyText"/>
        <w:spacing w:before="46"/>
        <w:ind w:left="0"/>
      </w:pPr>
    </w:p>
    <w:p>
      <w:pPr>
        <w:pStyle w:val="Heading2"/>
        <w:numPr>
          <w:ilvl w:val="0"/>
          <w:numId w:val="26"/>
        </w:numPr>
        <w:tabs>
          <w:tab w:val="left" w:pos="832"/>
        </w:tabs>
        <w:spacing w:before="0" w:after="0" w:line="240" w:lineRule="auto"/>
        <w:ind w:left="832" w:right="0" w:hanging="328"/>
        <w:jc w:val="left"/>
      </w:pPr>
      <w:bookmarkStart w:id="383" w:name="III. Changes Allowed to MA Pricing Assum"/>
      <w:bookmarkEnd w:id="383"/>
      <w:bookmarkStart w:id="384" w:name="_bookmark98"/>
      <w:bookmarkEnd w:id="384"/>
      <w:r>
        <w:rPr>
          <w:smallCaps/>
        </w:rPr>
        <w:t>Changes</w:t>
      </w:r>
      <w:r>
        <w:rPr>
          <w:smallCaps/>
          <w:spacing w:val="-10"/>
        </w:rPr>
        <w:t xml:space="preserve"> </w:t>
      </w:r>
      <w:r>
        <w:rPr>
          <w:smallCaps/>
        </w:rPr>
        <w:t>Allowed</w:t>
      </w:r>
      <w:r>
        <w:rPr>
          <w:smallCaps/>
          <w:spacing w:val="-8"/>
        </w:rPr>
        <w:t xml:space="preserve"> </w:t>
      </w:r>
      <w:r>
        <w:rPr>
          <w:smallCaps/>
        </w:rPr>
        <w:t>to</w:t>
      </w:r>
      <w:r>
        <w:rPr>
          <w:smallCaps/>
          <w:spacing w:val="-7"/>
        </w:rPr>
        <w:t xml:space="preserve"> </w:t>
      </w:r>
      <w:r>
        <w:rPr>
          <w:smallCaps/>
        </w:rPr>
        <w:t>MA</w:t>
      </w:r>
      <w:r>
        <w:rPr>
          <w:smallCaps/>
          <w:spacing w:val="-15"/>
        </w:rPr>
        <w:t xml:space="preserve"> </w:t>
      </w:r>
      <w:r>
        <w:rPr>
          <w:smallCaps/>
        </w:rPr>
        <w:t>Pricing</w:t>
      </w:r>
      <w:r>
        <w:rPr>
          <w:smallCaps/>
          <w:spacing w:val="-7"/>
        </w:rPr>
        <w:t xml:space="preserve"> </w:t>
      </w:r>
      <w:r>
        <w:rPr>
          <w:smallCaps/>
          <w:spacing w:val="-2"/>
        </w:rPr>
        <w:t>Assumptions</w:t>
      </w:r>
    </w:p>
    <w:p>
      <w:pPr>
        <w:pStyle w:val="BodyText"/>
        <w:spacing w:before="179"/>
        <w:ind w:right="1492"/>
      </w:pPr>
      <w:r>
        <w:t>This section describes changes in MA pricing assumptions allowed by CMS because of A/B mandatory supplemental benefit changes made during rebate reallocation (that is, “flow-through” pricing). The modifications to pricing assumptions are separate from, and exclude, any</w:t>
      </w:r>
      <w:r>
        <w:rPr>
          <w:spacing w:val="-3"/>
        </w:rPr>
        <w:t xml:space="preserve"> </w:t>
      </w:r>
      <w:r>
        <w:t>adjustment</w:t>
      </w:r>
      <w:r>
        <w:rPr>
          <w:spacing w:val="-3"/>
        </w:rPr>
        <w:t xml:space="preserve"> </w:t>
      </w:r>
      <w:r>
        <w:t>to</w:t>
      </w:r>
      <w:r>
        <w:rPr>
          <w:spacing w:val="-4"/>
        </w:rPr>
        <w:t xml:space="preserve"> </w:t>
      </w:r>
      <w:r>
        <w:t>the</w:t>
      </w:r>
      <w:r>
        <w:rPr>
          <w:spacing w:val="-4"/>
        </w:rPr>
        <w:t xml:space="preserve"> </w:t>
      </w:r>
      <w:r>
        <w:t>gain/loss</w:t>
      </w:r>
      <w:r>
        <w:rPr>
          <w:spacing w:val="-3"/>
        </w:rPr>
        <w:t xml:space="preserve"> </w:t>
      </w:r>
      <w:r>
        <w:t>margin</w:t>
      </w:r>
      <w:r>
        <w:rPr>
          <w:spacing w:val="-3"/>
        </w:rPr>
        <w:t xml:space="preserve"> </w:t>
      </w:r>
      <w:r>
        <w:t>pertaining</w:t>
      </w:r>
      <w:r>
        <w:rPr>
          <w:spacing w:val="-4"/>
        </w:rPr>
        <w:t xml:space="preserve"> </w:t>
      </w:r>
      <w:r>
        <w:t>to</w:t>
      </w:r>
      <w:r>
        <w:rPr>
          <w:spacing w:val="-3"/>
        </w:rPr>
        <w:t xml:space="preserve"> </w:t>
      </w:r>
      <w:r>
        <w:t>premium</w:t>
      </w:r>
      <w:r>
        <w:rPr>
          <w:spacing w:val="-3"/>
        </w:rPr>
        <w:t xml:space="preserve"> </w:t>
      </w:r>
      <w:r>
        <w:t>rounding</w:t>
      </w:r>
      <w:r>
        <w:rPr>
          <w:spacing w:val="-4"/>
        </w:rPr>
        <w:t xml:space="preserve"> </w:t>
      </w:r>
      <w:r>
        <w:t>rules</w:t>
      </w:r>
      <w:r>
        <w:rPr>
          <w:spacing w:val="-4"/>
        </w:rPr>
        <w:t xml:space="preserve"> </w:t>
      </w:r>
      <w:r>
        <w:t>in</w:t>
      </w:r>
      <w:r>
        <w:rPr>
          <w:spacing w:val="-3"/>
        </w:rPr>
        <w:t xml:space="preserve"> </w:t>
      </w:r>
      <w:r>
        <w:t>Section</w:t>
      </w:r>
      <w:r>
        <w:rPr>
          <w:spacing w:val="-1"/>
        </w:rPr>
        <w:t xml:space="preserve"> </w:t>
      </w:r>
      <w:r>
        <w:t>IV.C (the “50 cents rounding rule”) of this appendix.</w:t>
      </w:r>
    </w:p>
    <w:p>
      <w:pPr>
        <w:pStyle w:val="BodyText"/>
        <w:spacing w:before="120"/>
        <w:ind w:right="1481"/>
      </w:pPr>
      <w:r>
        <w:t>The BPT must reflect the value of A/B mandatory supplemental benefits increased/added or reduced/removed</w:t>
      </w:r>
      <w:r>
        <w:rPr>
          <w:spacing w:val="-5"/>
        </w:rPr>
        <w:t xml:space="preserve"> </w:t>
      </w:r>
      <w:r>
        <w:t>because</w:t>
      </w:r>
      <w:r>
        <w:rPr>
          <w:spacing w:val="-5"/>
        </w:rPr>
        <w:t xml:space="preserve"> </w:t>
      </w:r>
      <w:r>
        <w:t>of</w:t>
      </w:r>
      <w:r>
        <w:rPr>
          <w:spacing w:val="-4"/>
        </w:rPr>
        <w:t xml:space="preserve"> </w:t>
      </w:r>
      <w:r>
        <w:t>rebate</w:t>
      </w:r>
      <w:r>
        <w:rPr>
          <w:spacing w:val="-4"/>
        </w:rPr>
        <w:t xml:space="preserve"> </w:t>
      </w:r>
      <w:r>
        <w:t>reallocation.</w:t>
      </w:r>
      <w:r>
        <w:rPr>
          <w:spacing w:val="-2"/>
        </w:rPr>
        <w:t xml:space="preserve"> </w:t>
      </w:r>
      <w:r>
        <w:t>These</w:t>
      </w:r>
      <w:r>
        <w:rPr>
          <w:spacing w:val="-5"/>
        </w:rPr>
        <w:t xml:space="preserve"> </w:t>
      </w:r>
      <w:r>
        <w:t>changes</w:t>
      </w:r>
      <w:r>
        <w:rPr>
          <w:spacing w:val="-5"/>
        </w:rPr>
        <w:t xml:space="preserve"> </w:t>
      </w:r>
      <w:r>
        <w:t>may</w:t>
      </w:r>
      <w:r>
        <w:rPr>
          <w:spacing w:val="-4"/>
        </w:rPr>
        <w:t xml:space="preserve"> </w:t>
      </w:r>
      <w:r>
        <w:t>include</w:t>
      </w:r>
      <w:r>
        <w:rPr>
          <w:spacing w:val="-4"/>
        </w:rPr>
        <w:t xml:space="preserve"> </w:t>
      </w:r>
      <w:r>
        <w:t>the</w:t>
      </w:r>
      <w:r>
        <w:rPr>
          <w:spacing w:val="-4"/>
        </w:rPr>
        <w:t xml:space="preserve"> </w:t>
      </w:r>
      <w:r>
        <w:t>impact</w:t>
      </w:r>
      <w:r>
        <w:rPr>
          <w:spacing w:val="-4"/>
        </w:rPr>
        <w:t xml:space="preserve"> </w:t>
      </w:r>
      <w:r>
        <w:t>of</w:t>
      </w:r>
      <w:r>
        <w:rPr>
          <w:spacing w:val="-4"/>
        </w:rPr>
        <w:t xml:space="preserve"> </w:t>
      </w:r>
      <w:r>
        <w:t>such changes on other pricing assumptions–while remaining consistent with the pricing approach and methodologies utilized in the initial June bid submission. That is, incremental changes in the cost of A/B mandatory supplemental benefits and the MA regional benchmark must</w:t>
      </w:r>
    </w:p>
    <w:p>
      <w:pPr>
        <w:pStyle w:val="BodyText"/>
        <w:spacing w:before="1"/>
        <w:ind w:right="1481"/>
      </w:pPr>
      <w:r>
        <w:t>“flow-through”</w:t>
      </w:r>
      <w:r>
        <w:rPr>
          <w:spacing w:val="-4"/>
        </w:rPr>
        <w:t xml:space="preserve"> </w:t>
      </w:r>
      <w:r>
        <w:t>the</w:t>
      </w:r>
      <w:r>
        <w:rPr>
          <w:spacing w:val="-3"/>
        </w:rPr>
        <w:t xml:space="preserve"> </w:t>
      </w:r>
      <w:r>
        <w:t>original</w:t>
      </w:r>
      <w:r>
        <w:rPr>
          <w:spacing w:val="-3"/>
        </w:rPr>
        <w:t xml:space="preserve"> </w:t>
      </w:r>
      <w:r>
        <w:t>pricing</w:t>
      </w:r>
      <w:r>
        <w:rPr>
          <w:spacing w:val="-3"/>
        </w:rPr>
        <w:t xml:space="preserve"> </w:t>
      </w:r>
      <w:r>
        <w:t>structure</w:t>
      </w:r>
      <w:r>
        <w:rPr>
          <w:spacing w:val="-5"/>
        </w:rPr>
        <w:t xml:space="preserve"> </w:t>
      </w:r>
      <w:r>
        <w:t>supported</w:t>
      </w:r>
      <w:r>
        <w:rPr>
          <w:spacing w:val="-3"/>
        </w:rPr>
        <w:t xml:space="preserve"> </w:t>
      </w:r>
      <w:r>
        <w:t>in</w:t>
      </w:r>
      <w:r>
        <w:rPr>
          <w:spacing w:val="-3"/>
        </w:rPr>
        <w:t xml:space="preserve"> </w:t>
      </w:r>
      <w:r>
        <w:t>the</w:t>
      </w:r>
      <w:r>
        <w:rPr>
          <w:spacing w:val="-4"/>
        </w:rPr>
        <w:t xml:space="preserve"> </w:t>
      </w:r>
      <w:r>
        <w:t>initial</w:t>
      </w:r>
      <w:r>
        <w:rPr>
          <w:spacing w:val="-3"/>
        </w:rPr>
        <w:t xml:space="preserve"> </w:t>
      </w:r>
      <w:r>
        <w:t>June</w:t>
      </w:r>
      <w:r>
        <w:rPr>
          <w:spacing w:val="-3"/>
        </w:rPr>
        <w:t xml:space="preserve"> </w:t>
      </w:r>
      <w:r>
        <w:t>bid</w:t>
      </w:r>
      <w:r>
        <w:rPr>
          <w:spacing w:val="-3"/>
        </w:rPr>
        <w:t xml:space="preserve"> </w:t>
      </w:r>
      <w:r>
        <w:t>submission. Examples include, but are not limited to changes in—</w:t>
      </w:r>
    </w:p>
    <w:p>
      <w:pPr>
        <w:pStyle w:val="ListParagraph"/>
        <w:numPr>
          <w:ilvl w:val="0"/>
          <w:numId w:val="10"/>
        </w:numPr>
        <w:tabs>
          <w:tab w:val="left" w:pos="1224"/>
        </w:tabs>
        <w:spacing w:before="120" w:after="0" w:line="240" w:lineRule="auto"/>
        <w:ind w:left="1224" w:right="0" w:hanging="360"/>
        <w:jc w:val="left"/>
        <w:rPr>
          <w:sz w:val="24"/>
        </w:rPr>
      </w:pPr>
      <w:r>
        <w:rPr>
          <w:sz w:val="24"/>
        </w:rPr>
        <w:t>Projected</w:t>
      </w:r>
      <w:r>
        <w:rPr>
          <w:spacing w:val="-2"/>
          <w:sz w:val="24"/>
        </w:rPr>
        <w:t xml:space="preserve"> </w:t>
      </w:r>
      <w:r>
        <w:rPr>
          <w:sz w:val="24"/>
        </w:rPr>
        <w:t>allowed costs</w:t>
      </w:r>
      <w:r>
        <w:rPr>
          <w:spacing w:val="-1"/>
          <w:sz w:val="24"/>
        </w:rPr>
        <w:t xml:space="preserve"> </w:t>
      </w:r>
      <w:r>
        <w:rPr>
          <w:sz w:val="24"/>
        </w:rPr>
        <w:t>due</w:t>
      </w:r>
      <w:r>
        <w:rPr>
          <w:spacing w:val="-3"/>
          <w:sz w:val="24"/>
        </w:rPr>
        <w:t xml:space="preserve"> </w:t>
      </w:r>
      <w:r>
        <w:rPr>
          <w:sz w:val="24"/>
        </w:rPr>
        <w:t>to</w:t>
      </w:r>
      <w:r>
        <w:rPr>
          <w:spacing w:val="-1"/>
          <w:sz w:val="24"/>
        </w:rPr>
        <w:t xml:space="preserve"> </w:t>
      </w:r>
      <w:r>
        <w:rPr>
          <w:sz w:val="24"/>
        </w:rPr>
        <w:t>induced</w:t>
      </w:r>
      <w:r>
        <w:rPr>
          <w:spacing w:val="-2"/>
          <w:sz w:val="24"/>
        </w:rPr>
        <w:t xml:space="preserve"> </w:t>
      </w:r>
      <w:r>
        <w:rPr>
          <w:sz w:val="24"/>
        </w:rPr>
        <w:t>utilization</w:t>
      </w:r>
      <w:r>
        <w:rPr>
          <w:spacing w:val="-2"/>
          <w:sz w:val="24"/>
        </w:rPr>
        <w:t xml:space="preserve"> </w:t>
      </w:r>
      <w:r>
        <w:rPr>
          <w:sz w:val="24"/>
        </w:rPr>
        <w:t>related</w:t>
      </w:r>
      <w:r>
        <w:rPr>
          <w:spacing w:val="-1"/>
          <w:sz w:val="24"/>
        </w:rPr>
        <w:t xml:space="preserve"> </w:t>
      </w:r>
      <w:r>
        <w:rPr>
          <w:sz w:val="24"/>
        </w:rPr>
        <w:t>to</w:t>
      </w:r>
      <w:r>
        <w:rPr>
          <w:spacing w:val="-2"/>
          <w:sz w:val="24"/>
        </w:rPr>
        <w:t xml:space="preserve"> </w:t>
      </w:r>
      <w:r>
        <w:rPr>
          <w:sz w:val="24"/>
        </w:rPr>
        <w:t>changes</w:t>
      </w:r>
      <w:r>
        <w:rPr>
          <w:spacing w:val="-2"/>
          <w:sz w:val="24"/>
        </w:rPr>
        <w:t xml:space="preserve"> </w:t>
      </w:r>
      <w:r>
        <w:rPr>
          <w:sz w:val="24"/>
        </w:rPr>
        <w:t>in</w:t>
      </w:r>
      <w:r>
        <w:rPr>
          <w:spacing w:val="-2"/>
          <w:sz w:val="24"/>
        </w:rPr>
        <w:t xml:space="preserve"> </w:t>
      </w:r>
      <w:r>
        <w:rPr>
          <w:sz w:val="24"/>
        </w:rPr>
        <w:t>cost</w:t>
      </w:r>
      <w:r>
        <w:rPr>
          <w:spacing w:val="1"/>
          <w:sz w:val="24"/>
        </w:rPr>
        <w:t xml:space="preserve"> </w:t>
      </w:r>
      <w:r>
        <w:rPr>
          <w:spacing w:val="-2"/>
          <w:sz w:val="24"/>
        </w:rPr>
        <w:t>sharing.</w:t>
      </w:r>
    </w:p>
    <w:p>
      <w:pPr>
        <w:pStyle w:val="BodyText"/>
        <w:spacing w:before="120"/>
        <w:ind w:right="1481"/>
      </w:pPr>
      <w:r>
        <w:t>The</w:t>
      </w:r>
      <w:r>
        <w:rPr>
          <w:spacing w:val="-5"/>
        </w:rPr>
        <w:t xml:space="preserve"> </w:t>
      </w:r>
      <w:r>
        <w:t>BPT</w:t>
      </w:r>
      <w:r>
        <w:rPr>
          <w:spacing w:val="-3"/>
        </w:rPr>
        <w:t xml:space="preserve"> </w:t>
      </w:r>
      <w:r>
        <w:t>automatically</w:t>
      </w:r>
      <w:r>
        <w:rPr>
          <w:spacing w:val="-3"/>
        </w:rPr>
        <w:t xml:space="preserve"> </w:t>
      </w:r>
      <w:r>
        <w:t>reflects</w:t>
      </w:r>
      <w:r>
        <w:rPr>
          <w:spacing w:val="-3"/>
        </w:rPr>
        <w:t xml:space="preserve"> </w:t>
      </w:r>
      <w:r>
        <w:t>(that</w:t>
      </w:r>
      <w:r>
        <w:rPr>
          <w:spacing w:val="-3"/>
        </w:rPr>
        <w:t xml:space="preserve"> </w:t>
      </w:r>
      <w:r>
        <w:t>is,</w:t>
      </w:r>
      <w:r>
        <w:rPr>
          <w:spacing w:val="-3"/>
        </w:rPr>
        <w:t xml:space="preserve"> </w:t>
      </w:r>
      <w:r>
        <w:t>calculates</w:t>
      </w:r>
      <w:r>
        <w:rPr>
          <w:spacing w:val="-2"/>
        </w:rPr>
        <w:t xml:space="preserve"> </w:t>
      </w:r>
      <w:r>
        <w:t>by</w:t>
      </w:r>
      <w:r>
        <w:rPr>
          <w:spacing w:val="-3"/>
        </w:rPr>
        <w:t xml:space="preserve"> </w:t>
      </w:r>
      <w:r>
        <w:t>formula)</w:t>
      </w:r>
      <w:r>
        <w:rPr>
          <w:spacing w:val="-3"/>
        </w:rPr>
        <w:t xml:space="preserve"> </w:t>
      </w:r>
      <w:r>
        <w:t>the</w:t>
      </w:r>
      <w:r>
        <w:rPr>
          <w:spacing w:val="-5"/>
        </w:rPr>
        <w:t xml:space="preserve"> </w:t>
      </w:r>
      <w:r>
        <w:t>following</w:t>
      </w:r>
      <w:r>
        <w:rPr>
          <w:spacing w:val="-3"/>
        </w:rPr>
        <w:t xml:space="preserve"> </w:t>
      </w:r>
      <w:r>
        <w:t>small</w:t>
      </w:r>
      <w:r>
        <w:rPr>
          <w:spacing w:val="-1"/>
        </w:rPr>
        <w:t xml:space="preserve"> </w:t>
      </w:r>
      <w:r>
        <w:t>changes</w:t>
      </w:r>
      <w:r>
        <w:rPr>
          <w:spacing w:val="-4"/>
        </w:rPr>
        <w:t xml:space="preserve"> </w:t>
      </w:r>
      <w:r>
        <w:t>to bid values:</w:t>
      </w:r>
    </w:p>
    <w:p>
      <w:pPr>
        <w:pStyle w:val="ListParagraph"/>
        <w:numPr>
          <w:ilvl w:val="0"/>
          <w:numId w:val="10"/>
        </w:numPr>
        <w:tabs>
          <w:tab w:val="left" w:pos="1224"/>
        </w:tabs>
        <w:spacing w:before="120" w:after="0" w:line="240" w:lineRule="auto"/>
        <w:ind w:left="1224" w:right="1823" w:hanging="360"/>
        <w:jc w:val="left"/>
        <w:rPr>
          <w:sz w:val="24"/>
        </w:rPr>
      </w:pPr>
      <w:r>
        <w:rPr>
          <w:sz w:val="24"/>
        </w:rPr>
        <w:t>A</w:t>
      </w:r>
      <w:r>
        <w:rPr>
          <w:spacing w:val="-5"/>
          <w:sz w:val="24"/>
        </w:rPr>
        <w:t xml:space="preserve"> </w:t>
      </w:r>
      <w:r>
        <w:rPr>
          <w:sz w:val="24"/>
        </w:rPr>
        <w:t>small</w:t>
      </w:r>
      <w:r>
        <w:rPr>
          <w:spacing w:val="-4"/>
          <w:sz w:val="24"/>
        </w:rPr>
        <w:t xml:space="preserve"> </w:t>
      </w:r>
      <w:r>
        <w:rPr>
          <w:sz w:val="24"/>
        </w:rPr>
        <w:t>change</w:t>
      </w:r>
      <w:r>
        <w:rPr>
          <w:spacing w:val="-5"/>
          <w:sz w:val="24"/>
        </w:rPr>
        <w:t xml:space="preserve"> </w:t>
      </w:r>
      <w:r>
        <w:rPr>
          <w:sz w:val="24"/>
        </w:rPr>
        <w:t>due</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automatic</w:t>
      </w:r>
      <w:r>
        <w:rPr>
          <w:spacing w:val="-5"/>
          <w:sz w:val="24"/>
        </w:rPr>
        <w:t xml:space="preserve"> </w:t>
      </w:r>
      <w:r>
        <w:rPr>
          <w:sz w:val="24"/>
        </w:rPr>
        <w:t>proportional</w:t>
      </w:r>
      <w:r>
        <w:rPr>
          <w:spacing w:val="-2"/>
          <w:sz w:val="24"/>
        </w:rPr>
        <w:t xml:space="preserve"> </w:t>
      </w:r>
      <w:r>
        <w:rPr>
          <w:sz w:val="24"/>
        </w:rPr>
        <w:t>allocation</w:t>
      </w:r>
      <w:r>
        <w:rPr>
          <w:spacing w:val="-4"/>
          <w:sz w:val="24"/>
        </w:rPr>
        <w:t xml:space="preserve"> </w:t>
      </w:r>
      <w:r>
        <w:rPr>
          <w:sz w:val="24"/>
        </w:rPr>
        <w:t>of</w:t>
      </w:r>
      <w:r>
        <w:rPr>
          <w:spacing w:val="-5"/>
          <w:sz w:val="24"/>
        </w:rPr>
        <w:t xml:space="preserve"> </w:t>
      </w:r>
      <w:r>
        <w:rPr>
          <w:sz w:val="24"/>
        </w:rPr>
        <w:t>non-benefit</w:t>
      </w:r>
      <w:r>
        <w:rPr>
          <w:spacing w:val="-2"/>
          <w:sz w:val="24"/>
        </w:rPr>
        <w:t xml:space="preserve"> </w:t>
      </w:r>
      <w:r>
        <w:rPr>
          <w:sz w:val="24"/>
        </w:rPr>
        <w:t>expenses and the gain/loss margin in the BPT formulas.</w:t>
      </w:r>
    </w:p>
    <w:p>
      <w:pPr>
        <w:pStyle w:val="ListParagraph"/>
        <w:numPr>
          <w:ilvl w:val="0"/>
          <w:numId w:val="10"/>
        </w:numPr>
        <w:tabs>
          <w:tab w:val="left" w:pos="1224"/>
        </w:tabs>
        <w:spacing w:before="0" w:after="0" w:line="240" w:lineRule="auto"/>
        <w:ind w:left="1224" w:right="2308" w:hanging="360"/>
        <w:jc w:val="left"/>
        <w:rPr>
          <w:sz w:val="24"/>
        </w:rPr>
      </w:pPr>
      <w:r>
        <w:rPr>
          <w:sz w:val="24"/>
        </w:rPr>
        <w:t>A</w:t>
      </w:r>
      <w:r>
        <w:rPr>
          <w:spacing w:val="-4"/>
          <w:sz w:val="24"/>
        </w:rPr>
        <w:t xml:space="preserve"> </w:t>
      </w:r>
      <w:r>
        <w:rPr>
          <w:sz w:val="24"/>
        </w:rPr>
        <w:t>small</w:t>
      </w:r>
      <w:r>
        <w:rPr>
          <w:spacing w:val="-3"/>
          <w:sz w:val="24"/>
        </w:rPr>
        <w:t xml:space="preserve"> </w:t>
      </w:r>
      <w:r>
        <w:rPr>
          <w:sz w:val="24"/>
        </w:rPr>
        <w:t>change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ESRD</w:t>
      </w:r>
      <w:r>
        <w:rPr>
          <w:spacing w:val="-4"/>
          <w:sz w:val="24"/>
        </w:rPr>
        <w:t xml:space="preserve"> </w:t>
      </w:r>
      <w:r>
        <w:rPr>
          <w:sz w:val="24"/>
        </w:rPr>
        <w:t>subsidy</w:t>
      </w:r>
      <w:r>
        <w:rPr>
          <w:spacing w:val="-3"/>
          <w:sz w:val="24"/>
        </w:rPr>
        <w:t xml:space="preserve"> </w:t>
      </w:r>
      <w:r>
        <w:rPr>
          <w:sz w:val="24"/>
        </w:rPr>
        <w:t>due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automatic</w:t>
      </w:r>
      <w:r>
        <w:rPr>
          <w:spacing w:val="-4"/>
          <w:sz w:val="24"/>
        </w:rPr>
        <w:t xml:space="preserve"> </w:t>
      </w:r>
      <w:r>
        <w:rPr>
          <w:sz w:val="24"/>
        </w:rPr>
        <w:t>impact</w:t>
      </w:r>
      <w:r>
        <w:rPr>
          <w:spacing w:val="-3"/>
          <w:sz w:val="24"/>
        </w:rPr>
        <w:t xml:space="preserve"> </w:t>
      </w:r>
      <w:r>
        <w:rPr>
          <w:sz w:val="24"/>
        </w:rPr>
        <w:t>of</w:t>
      </w:r>
      <w:r>
        <w:rPr>
          <w:spacing w:val="-3"/>
          <w:sz w:val="24"/>
        </w:rPr>
        <w:t xml:space="preserve"> </w:t>
      </w:r>
      <w:r>
        <w:rPr>
          <w:sz w:val="24"/>
        </w:rPr>
        <w:t>changes</w:t>
      </w:r>
      <w:r>
        <w:rPr>
          <w:spacing w:val="-4"/>
          <w:sz w:val="24"/>
        </w:rPr>
        <w:t xml:space="preserve"> </w:t>
      </w:r>
      <w:r>
        <w:rPr>
          <w:sz w:val="24"/>
        </w:rPr>
        <w:t>in mandatory supplemental benefits, non-benefit expenses and gain/loss margin.</w:t>
      </w:r>
    </w:p>
    <w:p>
      <w:pPr>
        <w:pStyle w:val="BodyText"/>
        <w:spacing w:before="45"/>
        <w:ind w:left="0"/>
      </w:pPr>
    </w:p>
    <w:p>
      <w:pPr>
        <w:pStyle w:val="Heading2"/>
        <w:numPr>
          <w:ilvl w:val="0"/>
          <w:numId w:val="26"/>
        </w:numPr>
        <w:tabs>
          <w:tab w:val="left" w:pos="862"/>
        </w:tabs>
        <w:spacing w:before="1" w:after="0" w:line="240" w:lineRule="auto"/>
        <w:ind w:left="862" w:right="0" w:hanging="358"/>
        <w:jc w:val="left"/>
      </w:pPr>
      <w:bookmarkStart w:id="385" w:name="IV. Premium Rounding Rules"/>
      <w:bookmarkEnd w:id="385"/>
      <w:bookmarkStart w:id="386" w:name="_bookmark99"/>
      <w:bookmarkEnd w:id="386"/>
      <w:r>
        <w:rPr>
          <w:smallCaps/>
        </w:rPr>
        <w:t>Premium</w:t>
      </w:r>
      <w:r>
        <w:rPr>
          <w:smallCaps/>
          <w:spacing w:val="-10"/>
        </w:rPr>
        <w:t xml:space="preserve"> </w:t>
      </w:r>
      <w:r>
        <w:rPr>
          <w:smallCaps/>
        </w:rPr>
        <w:t>Rounding</w:t>
      </w:r>
      <w:r>
        <w:rPr>
          <w:smallCaps/>
          <w:spacing w:val="-10"/>
        </w:rPr>
        <w:t xml:space="preserve"> </w:t>
      </w:r>
      <w:r>
        <w:rPr>
          <w:smallCaps/>
          <w:spacing w:val="-4"/>
        </w:rPr>
        <w:t>Rules</w:t>
      </w:r>
    </w:p>
    <w:p>
      <w:pPr>
        <w:pStyle w:val="BodyText"/>
        <w:spacing w:before="176"/>
        <w:ind w:right="1481"/>
      </w:pPr>
      <w:r>
        <w:t>This section describes system requirements for rounded premiums and the circumstances in which</w:t>
      </w:r>
      <w:r>
        <w:rPr>
          <w:spacing w:val="-3"/>
        </w:rPr>
        <w:t xml:space="preserve"> </w:t>
      </w:r>
      <w:r>
        <w:t>the</w:t>
      </w:r>
      <w:r>
        <w:rPr>
          <w:spacing w:val="-3"/>
        </w:rPr>
        <w:t xml:space="preserve"> </w:t>
      </w:r>
      <w:r>
        <w:t>MAO</w:t>
      </w:r>
      <w:r>
        <w:rPr>
          <w:spacing w:val="-4"/>
        </w:rPr>
        <w:t xml:space="preserve"> </w:t>
      </w:r>
      <w:r>
        <w:t>may</w:t>
      </w:r>
      <w:r>
        <w:rPr>
          <w:spacing w:val="-3"/>
        </w:rPr>
        <w:t xml:space="preserve"> </w:t>
      </w:r>
      <w:r>
        <w:t>round</w:t>
      </w:r>
      <w:r>
        <w:rPr>
          <w:spacing w:val="-3"/>
        </w:rPr>
        <w:t xml:space="preserve"> </w:t>
      </w:r>
      <w:r>
        <w:t>premiums</w:t>
      </w:r>
      <w:r>
        <w:rPr>
          <w:spacing w:val="-4"/>
        </w:rPr>
        <w:t xml:space="preserve"> </w:t>
      </w:r>
      <w:r>
        <w:t>to</w:t>
      </w:r>
      <w:r>
        <w:rPr>
          <w:spacing w:val="-3"/>
        </w:rPr>
        <w:t xml:space="preserve"> </w:t>
      </w:r>
      <w:r>
        <w:t>reach</w:t>
      </w:r>
      <w:r>
        <w:rPr>
          <w:spacing w:val="-3"/>
        </w:rPr>
        <w:t xml:space="preserve"> </w:t>
      </w:r>
      <w:r>
        <w:t>plan</w:t>
      </w:r>
      <w:r>
        <w:rPr>
          <w:spacing w:val="-3"/>
        </w:rPr>
        <w:t xml:space="preserve"> </w:t>
      </w:r>
      <w:r>
        <w:t>premium</w:t>
      </w:r>
      <w:r>
        <w:rPr>
          <w:spacing w:val="-3"/>
        </w:rPr>
        <w:t xml:space="preserve"> </w:t>
      </w:r>
      <w:r>
        <w:t>goals.</w:t>
      </w:r>
      <w:r>
        <w:rPr>
          <w:spacing w:val="-3"/>
        </w:rPr>
        <w:t xml:space="preserve"> </w:t>
      </w:r>
      <w:r>
        <w:t>The</w:t>
      </w:r>
      <w:r>
        <w:rPr>
          <w:spacing w:val="-4"/>
        </w:rPr>
        <w:t xml:space="preserve"> </w:t>
      </w:r>
      <w:r>
        <w:t>MAO</w:t>
      </w:r>
      <w:r>
        <w:rPr>
          <w:spacing w:val="-4"/>
        </w:rPr>
        <w:t xml:space="preserve"> </w:t>
      </w:r>
      <w:r>
        <w:t>may</w:t>
      </w:r>
      <w:r>
        <w:rPr>
          <w:spacing w:val="-3"/>
        </w:rPr>
        <w:t xml:space="preserve"> </w:t>
      </w:r>
      <w:r>
        <w:t>participate in premium rounding regardless of whether they participated in rebate reallocation.</w:t>
      </w:r>
    </w:p>
    <w:p>
      <w:pPr>
        <w:pStyle w:val="ListParagraph"/>
        <w:numPr>
          <w:ilvl w:val="1"/>
          <w:numId w:val="26"/>
        </w:numPr>
        <w:tabs>
          <w:tab w:val="left" w:pos="863"/>
        </w:tabs>
        <w:spacing w:before="241" w:after="0" w:line="240" w:lineRule="auto"/>
        <w:ind w:left="863" w:right="0" w:hanging="359"/>
        <w:jc w:val="left"/>
        <w:rPr>
          <w:rFonts w:ascii="Arial"/>
          <w:b/>
          <w:sz w:val="21"/>
        </w:rPr>
      </w:pPr>
      <w:bookmarkStart w:id="387" w:name="A. Premium and Rebate Requirements"/>
      <w:bookmarkEnd w:id="387"/>
      <w:r>
        <w:rPr>
          <w:rFonts w:ascii="Arial"/>
          <w:b/>
          <w:sz w:val="21"/>
        </w:rPr>
        <w:t>Premium</w:t>
      </w:r>
      <w:r>
        <w:rPr>
          <w:rFonts w:ascii="Arial"/>
          <w:b/>
          <w:spacing w:val="-8"/>
          <w:sz w:val="21"/>
        </w:rPr>
        <w:t xml:space="preserve"> </w:t>
      </w:r>
      <w:r>
        <w:rPr>
          <w:rFonts w:ascii="Arial"/>
          <w:b/>
          <w:sz w:val="21"/>
        </w:rPr>
        <w:t>and</w:t>
      </w:r>
      <w:r>
        <w:rPr>
          <w:rFonts w:ascii="Arial"/>
          <w:b/>
          <w:spacing w:val="-6"/>
          <w:sz w:val="21"/>
        </w:rPr>
        <w:t xml:space="preserve"> </w:t>
      </w:r>
      <w:r>
        <w:rPr>
          <w:rFonts w:ascii="Arial"/>
          <w:b/>
          <w:sz w:val="21"/>
        </w:rPr>
        <w:t>Rebate</w:t>
      </w:r>
      <w:r>
        <w:rPr>
          <w:rFonts w:ascii="Arial"/>
          <w:b/>
          <w:spacing w:val="-5"/>
          <w:sz w:val="21"/>
        </w:rPr>
        <w:t xml:space="preserve"> </w:t>
      </w:r>
      <w:r>
        <w:rPr>
          <w:rFonts w:ascii="Arial"/>
          <w:b/>
          <w:spacing w:val="-2"/>
          <w:sz w:val="21"/>
        </w:rPr>
        <w:t>Requirements</w:t>
      </w:r>
    </w:p>
    <w:p>
      <w:pPr>
        <w:pStyle w:val="BodyText"/>
        <w:spacing w:before="120"/>
      </w:pPr>
      <w:r>
        <w:t>To</w:t>
      </w:r>
      <w:r>
        <w:rPr>
          <w:spacing w:val="-2"/>
        </w:rPr>
        <w:t xml:space="preserve"> </w:t>
      </w:r>
      <w:r>
        <w:t>comply</w:t>
      </w:r>
      <w:r>
        <w:rPr>
          <w:spacing w:val="-1"/>
        </w:rPr>
        <w:t xml:space="preserve"> </w:t>
      </w:r>
      <w:r>
        <w:t>with</w:t>
      </w:r>
      <w:r>
        <w:rPr>
          <w:spacing w:val="-1"/>
        </w:rPr>
        <w:t xml:space="preserve"> </w:t>
      </w:r>
      <w:r>
        <w:t>premium</w:t>
      </w:r>
      <w:r>
        <w:rPr>
          <w:spacing w:val="-2"/>
        </w:rPr>
        <w:t xml:space="preserve"> </w:t>
      </w:r>
      <w:r>
        <w:t>withhold</w:t>
      </w:r>
      <w:r>
        <w:rPr>
          <w:spacing w:val="-1"/>
        </w:rPr>
        <w:t xml:space="preserve"> </w:t>
      </w:r>
      <w:r>
        <w:t>system</w:t>
      </w:r>
      <w:r>
        <w:rPr>
          <w:spacing w:val="-1"/>
        </w:rPr>
        <w:t xml:space="preserve"> </w:t>
      </w:r>
      <w:r>
        <w:t>requirements,</w:t>
      </w:r>
      <w:r>
        <w:rPr>
          <w:spacing w:val="-2"/>
        </w:rPr>
        <w:t xml:space="preserve"> </w:t>
      </w:r>
      <w:r>
        <w:t>the</w:t>
      </w:r>
      <w:r>
        <w:rPr>
          <w:spacing w:val="-2"/>
        </w:rPr>
        <w:t xml:space="preserve"> </w:t>
      </w:r>
      <w:r>
        <w:t>BPTs</w:t>
      </w:r>
      <w:r>
        <w:rPr>
          <w:spacing w:val="1"/>
        </w:rPr>
        <w:t xml:space="preserve"> </w:t>
      </w:r>
      <w:r>
        <w:t xml:space="preserve">automatically </w:t>
      </w:r>
      <w:r>
        <w:rPr>
          <w:spacing w:val="-2"/>
        </w:rPr>
        <w:t>round–</w:t>
      </w:r>
    </w:p>
    <w:p>
      <w:pPr>
        <w:pStyle w:val="BodyText"/>
        <w:spacing w:after="0"/>
        <w:sectPr>
          <w:pgSz w:w="12240" w:h="15840"/>
          <w:pgMar w:top="960" w:right="0" w:bottom="940" w:left="1080" w:header="727" w:footer="747"/>
          <w:cols w:space="720"/>
        </w:sectPr>
      </w:pPr>
    </w:p>
    <w:p>
      <w:pPr>
        <w:pStyle w:val="BodyText"/>
        <w:spacing w:before="190"/>
        <w:ind w:left="0"/>
      </w:pPr>
    </w:p>
    <w:p>
      <w:pPr>
        <w:pStyle w:val="ListParagraph"/>
        <w:numPr>
          <w:ilvl w:val="0"/>
          <w:numId w:val="9"/>
        </w:numPr>
        <w:tabs>
          <w:tab w:val="left" w:pos="1224"/>
        </w:tabs>
        <w:spacing w:before="0" w:after="0" w:line="240" w:lineRule="auto"/>
        <w:ind w:left="1224" w:right="2147" w:hanging="360"/>
        <w:jc w:val="left"/>
        <w:rPr>
          <w:sz w:val="24"/>
        </w:rPr>
      </w:pPr>
      <w:r>
        <w:rPr>
          <w:sz w:val="24"/>
        </w:rPr>
        <w:t>The following premiums to the nearest one decimal: MA (the sum of basic plus mandatory</w:t>
      </w:r>
      <w:r>
        <w:rPr>
          <w:spacing w:val="-4"/>
          <w:sz w:val="24"/>
        </w:rPr>
        <w:t xml:space="preserve"> </w:t>
      </w:r>
      <w:r>
        <w:rPr>
          <w:sz w:val="24"/>
        </w:rPr>
        <w:t>supplemental),</w:t>
      </w:r>
      <w:r>
        <w:rPr>
          <w:spacing w:val="-4"/>
          <w:sz w:val="24"/>
        </w:rPr>
        <w:t xml:space="preserve"> </w:t>
      </w:r>
      <w:r>
        <w:rPr>
          <w:sz w:val="24"/>
        </w:rPr>
        <w:t>Part</w:t>
      </w:r>
      <w:r>
        <w:rPr>
          <w:spacing w:val="-4"/>
          <w:sz w:val="24"/>
        </w:rPr>
        <w:t xml:space="preserve"> </w:t>
      </w:r>
      <w:r>
        <w:rPr>
          <w:sz w:val="24"/>
        </w:rPr>
        <w:t>D</w:t>
      </w:r>
      <w:r>
        <w:rPr>
          <w:spacing w:val="-5"/>
          <w:sz w:val="24"/>
        </w:rPr>
        <w:t xml:space="preserve"> </w:t>
      </w:r>
      <w:r>
        <w:rPr>
          <w:sz w:val="24"/>
        </w:rPr>
        <w:t>basic,</w:t>
      </w:r>
      <w:r>
        <w:rPr>
          <w:spacing w:val="-4"/>
          <w:sz w:val="24"/>
        </w:rPr>
        <w:t xml:space="preserve"> </w:t>
      </w:r>
      <w:r>
        <w:rPr>
          <w:sz w:val="24"/>
        </w:rPr>
        <w:t>and</w:t>
      </w:r>
      <w:r>
        <w:rPr>
          <w:spacing w:val="-4"/>
          <w:sz w:val="24"/>
        </w:rPr>
        <w:t xml:space="preserve"> </w:t>
      </w:r>
      <w:r>
        <w:rPr>
          <w:sz w:val="24"/>
        </w:rPr>
        <w:t>Part</w:t>
      </w:r>
      <w:r>
        <w:rPr>
          <w:spacing w:val="-4"/>
          <w:sz w:val="24"/>
        </w:rPr>
        <w:t xml:space="preserve"> </w:t>
      </w:r>
      <w:r>
        <w:rPr>
          <w:sz w:val="24"/>
        </w:rPr>
        <w:t>D</w:t>
      </w:r>
      <w:r>
        <w:rPr>
          <w:spacing w:val="-3"/>
          <w:sz w:val="24"/>
        </w:rPr>
        <w:t xml:space="preserve"> </w:t>
      </w:r>
      <w:r>
        <w:rPr>
          <w:sz w:val="24"/>
        </w:rPr>
        <w:t>supplemental.</w:t>
      </w:r>
      <w:r>
        <w:rPr>
          <w:spacing w:val="-4"/>
          <w:sz w:val="24"/>
        </w:rPr>
        <w:t xml:space="preserve"> </w:t>
      </w:r>
      <w:r>
        <w:rPr>
          <w:sz w:val="24"/>
        </w:rPr>
        <w:t>No</w:t>
      </w:r>
      <w:r>
        <w:rPr>
          <w:spacing w:val="-4"/>
          <w:sz w:val="24"/>
        </w:rPr>
        <w:t xml:space="preserve"> </w:t>
      </w:r>
      <w:r>
        <w:rPr>
          <w:sz w:val="24"/>
        </w:rPr>
        <w:t>pennies</w:t>
      </w:r>
      <w:r>
        <w:rPr>
          <w:spacing w:val="-5"/>
          <w:sz w:val="24"/>
        </w:rPr>
        <w:t xml:space="preserve"> </w:t>
      </w:r>
      <w:r>
        <w:rPr>
          <w:sz w:val="24"/>
        </w:rPr>
        <w:t xml:space="preserve">are </w:t>
      </w:r>
      <w:r>
        <w:rPr>
          <w:spacing w:val="-2"/>
          <w:sz w:val="24"/>
        </w:rPr>
        <w:t>allowed.</w:t>
      </w:r>
    </w:p>
    <w:p>
      <w:pPr>
        <w:pStyle w:val="ListParagraph"/>
        <w:numPr>
          <w:ilvl w:val="0"/>
          <w:numId w:val="9"/>
        </w:numPr>
        <w:tabs>
          <w:tab w:val="left" w:pos="1224"/>
        </w:tabs>
        <w:spacing w:before="0" w:after="0" w:line="240" w:lineRule="auto"/>
        <w:ind w:left="1224" w:right="0" w:hanging="360"/>
        <w:jc w:val="left"/>
        <w:rPr>
          <w:sz w:val="24"/>
        </w:rPr>
      </w:pPr>
      <w:r>
        <w:rPr>
          <w:sz w:val="24"/>
        </w:rPr>
        <w:t>Rebates</w:t>
      </w:r>
      <w:r>
        <w:rPr>
          <w:spacing w:val="-5"/>
          <w:sz w:val="24"/>
        </w:rPr>
        <w:t xml:space="preserve"> </w:t>
      </w:r>
      <w:r>
        <w:rPr>
          <w:sz w:val="24"/>
        </w:rPr>
        <w:t>allocated</w:t>
      </w:r>
      <w:r>
        <w:rPr>
          <w:spacing w:val="-1"/>
          <w:sz w:val="24"/>
        </w:rPr>
        <w:t xml:space="preserve"> </w:t>
      </w:r>
      <w:r>
        <w:rPr>
          <w:sz w:val="24"/>
        </w:rPr>
        <w:t>to</w:t>
      </w:r>
      <w:r>
        <w:rPr>
          <w:spacing w:val="1"/>
          <w:sz w:val="24"/>
        </w:rPr>
        <w:t xml:space="preserve"> </w:t>
      </w:r>
      <w:r>
        <w:rPr>
          <w:sz w:val="24"/>
        </w:rPr>
        <w:t>reduce</w:t>
      </w:r>
      <w:r>
        <w:rPr>
          <w:spacing w:val="-2"/>
          <w:sz w:val="24"/>
        </w:rPr>
        <w:t xml:space="preserve"> </w:t>
      </w:r>
      <w:r>
        <w:rPr>
          <w:sz w:val="24"/>
        </w:rPr>
        <w:t>the Part</w:t>
      </w:r>
      <w:r>
        <w:rPr>
          <w:spacing w:val="-1"/>
          <w:sz w:val="24"/>
        </w:rPr>
        <w:t xml:space="preserve"> </w:t>
      </w:r>
      <w:r>
        <w:rPr>
          <w:sz w:val="24"/>
        </w:rPr>
        <w:t>B</w:t>
      </w:r>
      <w:r>
        <w:rPr>
          <w:spacing w:val="-2"/>
          <w:sz w:val="24"/>
        </w:rPr>
        <w:t xml:space="preserve"> </w:t>
      </w:r>
      <w:r>
        <w:rPr>
          <w:sz w:val="24"/>
        </w:rPr>
        <w:t>and</w:t>
      </w:r>
      <w:r>
        <w:rPr>
          <w:spacing w:val="-1"/>
          <w:sz w:val="24"/>
        </w:rPr>
        <w:t xml:space="preserve"> </w:t>
      </w:r>
      <w:r>
        <w:rPr>
          <w:sz w:val="24"/>
        </w:rPr>
        <w:t>Part</w:t>
      </w:r>
      <w:r>
        <w:rPr>
          <w:spacing w:val="-1"/>
          <w:sz w:val="24"/>
        </w:rPr>
        <w:t xml:space="preserve"> </w:t>
      </w:r>
      <w:r>
        <w:rPr>
          <w:sz w:val="24"/>
        </w:rPr>
        <w:t>D premiums</w:t>
      </w:r>
      <w:r>
        <w:rPr>
          <w:spacing w:val="-2"/>
          <w:sz w:val="24"/>
        </w:rPr>
        <w:t xml:space="preserve"> </w:t>
      </w:r>
      <w:r>
        <w:rPr>
          <w:sz w:val="24"/>
        </w:rPr>
        <w:t>to</w:t>
      </w:r>
      <w:r>
        <w:rPr>
          <w:spacing w:val="-1"/>
          <w:sz w:val="24"/>
        </w:rPr>
        <w:t xml:space="preserve"> </w:t>
      </w:r>
      <w:r>
        <w:rPr>
          <w:sz w:val="24"/>
        </w:rPr>
        <w:t>one</w:t>
      </w:r>
      <w:r>
        <w:rPr>
          <w:spacing w:val="-2"/>
          <w:sz w:val="24"/>
        </w:rPr>
        <w:t xml:space="preserve"> decimal.</w:t>
      </w:r>
    </w:p>
    <w:p>
      <w:pPr>
        <w:pStyle w:val="ListParagraph"/>
        <w:numPr>
          <w:ilvl w:val="0"/>
          <w:numId w:val="9"/>
        </w:numPr>
        <w:tabs>
          <w:tab w:val="left" w:pos="1224"/>
        </w:tabs>
        <w:spacing w:before="0" w:after="0" w:line="240" w:lineRule="auto"/>
        <w:ind w:left="1224" w:right="1653" w:hanging="360"/>
        <w:jc w:val="left"/>
        <w:rPr>
          <w:sz w:val="24"/>
        </w:rPr>
      </w:pPr>
      <w:r>
        <w:rPr>
          <w:sz w:val="24"/>
        </w:rPr>
        <w:t>Rebates</w:t>
      </w:r>
      <w:r>
        <w:rPr>
          <w:spacing w:val="-5"/>
          <w:sz w:val="24"/>
        </w:rPr>
        <w:t xml:space="preserve"> </w:t>
      </w:r>
      <w:r>
        <w:rPr>
          <w:sz w:val="24"/>
        </w:rPr>
        <w:t>allocated</w:t>
      </w:r>
      <w:r>
        <w:rPr>
          <w:spacing w:val="-4"/>
          <w:sz w:val="24"/>
        </w:rPr>
        <w:t xml:space="preserve"> </w:t>
      </w:r>
      <w:r>
        <w:rPr>
          <w:sz w:val="24"/>
        </w:rPr>
        <w:t>to</w:t>
      </w:r>
      <w:r>
        <w:rPr>
          <w:spacing w:val="-2"/>
          <w:sz w:val="24"/>
        </w:rPr>
        <w:t xml:space="preserve"> </w:t>
      </w:r>
      <w:r>
        <w:rPr>
          <w:sz w:val="24"/>
        </w:rPr>
        <w:t>reduce</w:t>
      </w:r>
      <w:r>
        <w:rPr>
          <w:spacing w:val="-5"/>
          <w:sz w:val="24"/>
        </w:rPr>
        <w:t xml:space="preserve"> </w:t>
      </w:r>
      <w:r>
        <w:rPr>
          <w:sz w:val="24"/>
        </w:rPr>
        <w:t>the</w:t>
      </w:r>
      <w:r>
        <w:rPr>
          <w:spacing w:val="-4"/>
          <w:sz w:val="24"/>
        </w:rPr>
        <w:t xml:space="preserve"> </w:t>
      </w:r>
      <w:r>
        <w:rPr>
          <w:sz w:val="24"/>
        </w:rPr>
        <w:t>A/B</w:t>
      </w:r>
      <w:r>
        <w:rPr>
          <w:spacing w:val="-4"/>
          <w:sz w:val="24"/>
        </w:rPr>
        <w:t xml:space="preserve"> </w:t>
      </w:r>
      <w:r>
        <w:rPr>
          <w:sz w:val="24"/>
        </w:rPr>
        <w:t>mandatory</w:t>
      </w:r>
      <w:r>
        <w:rPr>
          <w:spacing w:val="-4"/>
          <w:sz w:val="24"/>
        </w:rPr>
        <w:t xml:space="preserve"> </w:t>
      </w:r>
      <w:r>
        <w:rPr>
          <w:sz w:val="24"/>
        </w:rPr>
        <w:t>supplemental</w:t>
      </w:r>
      <w:r>
        <w:rPr>
          <w:spacing w:val="-4"/>
          <w:sz w:val="24"/>
        </w:rPr>
        <w:t xml:space="preserve"> </w:t>
      </w:r>
      <w:r>
        <w:rPr>
          <w:sz w:val="24"/>
        </w:rPr>
        <w:t>premium</w:t>
      </w:r>
      <w:r>
        <w:rPr>
          <w:spacing w:val="-4"/>
          <w:sz w:val="24"/>
        </w:rPr>
        <w:t xml:space="preserve"> </w:t>
      </w:r>
      <w:r>
        <w:rPr>
          <w:sz w:val="24"/>
        </w:rPr>
        <w:t>to</w:t>
      </w:r>
      <w:r>
        <w:rPr>
          <w:spacing w:val="-4"/>
          <w:sz w:val="24"/>
        </w:rPr>
        <w:t xml:space="preserve"> </w:t>
      </w:r>
      <w:r>
        <w:rPr>
          <w:sz w:val="24"/>
        </w:rPr>
        <w:t>two</w:t>
      </w:r>
      <w:r>
        <w:rPr>
          <w:spacing w:val="-4"/>
          <w:sz w:val="24"/>
        </w:rPr>
        <w:t xml:space="preserve"> </w:t>
      </w:r>
      <w:r>
        <w:rPr>
          <w:sz w:val="24"/>
        </w:rPr>
        <w:t xml:space="preserve">decimal </w:t>
      </w:r>
      <w:r>
        <w:rPr>
          <w:spacing w:val="-2"/>
          <w:sz w:val="24"/>
        </w:rPr>
        <w:t>places.</w:t>
      </w:r>
    </w:p>
    <w:p>
      <w:pPr>
        <w:pStyle w:val="ListParagraph"/>
        <w:numPr>
          <w:ilvl w:val="1"/>
          <w:numId w:val="26"/>
        </w:numPr>
        <w:tabs>
          <w:tab w:val="left" w:pos="921"/>
        </w:tabs>
        <w:spacing w:before="241" w:after="0" w:line="240" w:lineRule="auto"/>
        <w:ind w:left="921" w:right="0" w:hanging="417"/>
        <w:jc w:val="left"/>
        <w:rPr>
          <w:rFonts w:ascii="Arial"/>
          <w:b/>
          <w:sz w:val="21"/>
        </w:rPr>
      </w:pPr>
      <w:bookmarkStart w:id="388" w:name="B.  Non-RPPO MA-Only Plans"/>
      <w:bookmarkEnd w:id="388"/>
      <w:r>
        <w:rPr>
          <w:rFonts w:ascii="Arial"/>
          <w:b/>
          <w:sz w:val="21"/>
        </w:rPr>
        <w:t>Non-RPPO</w:t>
      </w:r>
      <w:r>
        <w:rPr>
          <w:rFonts w:ascii="Arial"/>
          <w:b/>
          <w:spacing w:val="-9"/>
          <w:sz w:val="21"/>
        </w:rPr>
        <w:t xml:space="preserve"> </w:t>
      </w:r>
      <w:r>
        <w:rPr>
          <w:rFonts w:ascii="Arial"/>
          <w:b/>
          <w:sz w:val="21"/>
        </w:rPr>
        <w:t>MA-Only</w:t>
      </w:r>
      <w:r>
        <w:rPr>
          <w:rFonts w:ascii="Arial"/>
          <w:b/>
          <w:spacing w:val="-9"/>
          <w:sz w:val="21"/>
        </w:rPr>
        <w:t xml:space="preserve"> </w:t>
      </w:r>
      <w:r>
        <w:rPr>
          <w:rFonts w:ascii="Arial"/>
          <w:b/>
          <w:spacing w:val="-4"/>
          <w:sz w:val="21"/>
        </w:rPr>
        <w:t>Plans</w:t>
      </w:r>
    </w:p>
    <w:p>
      <w:pPr>
        <w:pStyle w:val="BodyText"/>
        <w:spacing w:before="120"/>
        <w:ind w:right="1524"/>
      </w:pPr>
      <w:r>
        <w:t>For non-RPPO MA-only plan bids, the plan premium submitted in the initial June bid submission is considered the final premium, as these bids are not affected by the Part D national average calculation or the MA regional benchmark calculations. They will not be given</w:t>
      </w:r>
      <w:r>
        <w:rPr>
          <w:spacing w:val="-2"/>
        </w:rPr>
        <w:t xml:space="preserve"> </w:t>
      </w:r>
      <w:r>
        <w:t>an</w:t>
      </w:r>
      <w:r>
        <w:rPr>
          <w:spacing w:val="-2"/>
        </w:rPr>
        <w:t xml:space="preserve"> </w:t>
      </w:r>
      <w:r>
        <w:t>opportunity</w:t>
      </w:r>
      <w:r>
        <w:rPr>
          <w:spacing w:val="-2"/>
        </w:rPr>
        <w:t xml:space="preserve"> </w:t>
      </w:r>
      <w:r>
        <w:t>to</w:t>
      </w:r>
      <w:r>
        <w:rPr>
          <w:spacing w:val="-2"/>
        </w:rPr>
        <w:t xml:space="preserve"> </w:t>
      </w:r>
      <w:r>
        <w:t>round</w:t>
      </w:r>
      <w:r>
        <w:rPr>
          <w:spacing w:val="-2"/>
        </w:rPr>
        <w:t xml:space="preserve"> </w:t>
      </w:r>
      <w:r>
        <w:t>the</w:t>
      </w:r>
      <w:r>
        <w:rPr>
          <w:spacing w:val="-2"/>
        </w:rPr>
        <w:t xml:space="preserve"> </w:t>
      </w:r>
      <w:r>
        <w:t>premiums</w:t>
      </w:r>
      <w:r>
        <w:rPr>
          <w:spacing w:val="-2"/>
        </w:rPr>
        <w:t xml:space="preserve"> </w:t>
      </w:r>
      <w:r>
        <w:t>after</w:t>
      </w:r>
      <w:r>
        <w:rPr>
          <w:spacing w:val="-2"/>
        </w:rPr>
        <w:t xml:space="preserve"> </w:t>
      </w:r>
      <w:r>
        <w:t>the</w:t>
      </w:r>
      <w:r>
        <w:rPr>
          <w:spacing w:val="-2"/>
        </w:rPr>
        <w:t xml:space="preserve"> </w:t>
      </w:r>
      <w:r>
        <w:t>initial</w:t>
      </w:r>
      <w:r>
        <w:rPr>
          <w:spacing w:val="-2"/>
        </w:rPr>
        <w:t xml:space="preserve"> </w:t>
      </w:r>
      <w:r>
        <w:t>June</w:t>
      </w:r>
      <w:r>
        <w:rPr>
          <w:spacing w:val="-2"/>
        </w:rPr>
        <w:t xml:space="preserve"> </w:t>
      </w:r>
      <w:r>
        <w:t>bid</w:t>
      </w:r>
      <w:r>
        <w:rPr>
          <w:spacing w:val="-2"/>
        </w:rPr>
        <w:t xml:space="preserve"> </w:t>
      </w:r>
      <w:r>
        <w:t>submission.</w:t>
      </w:r>
      <w:r>
        <w:rPr>
          <w:spacing w:val="-2"/>
        </w:rPr>
        <w:t xml:space="preserve"> </w:t>
      </w:r>
      <w:r>
        <w:t>If</w:t>
      </w:r>
      <w:r>
        <w:rPr>
          <w:spacing w:val="-2"/>
        </w:rPr>
        <w:t xml:space="preserve"> </w:t>
      </w:r>
      <w:r>
        <w:t>the</w:t>
      </w:r>
      <w:r>
        <w:rPr>
          <w:spacing w:val="-2"/>
        </w:rPr>
        <w:t xml:space="preserve"> </w:t>
      </w:r>
      <w:r>
        <w:t>MAO wishes to offer a “whole-dollar” premium, the initial June bid submission must reflect a total premium</w:t>
      </w:r>
      <w:r>
        <w:rPr>
          <w:spacing w:val="-3"/>
        </w:rPr>
        <w:t xml:space="preserve"> </w:t>
      </w:r>
      <w:r>
        <w:t>that</w:t>
      </w:r>
      <w:r>
        <w:rPr>
          <w:spacing w:val="-3"/>
        </w:rPr>
        <w:t xml:space="preserve"> </w:t>
      </w:r>
      <w:r>
        <w:t>is</w:t>
      </w:r>
      <w:r>
        <w:rPr>
          <w:spacing w:val="-4"/>
        </w:rPr>
        <w:t xml:space="preserve"> </w:t>
      </w:r>
      <w:r>
        <w:t>rounded</w:t>
      </w:r>
      <w:r>
        <w:rPr>
          <w:spacing w:val="-3"/>
        </w:rPr>
        <w:t xml:space="preserve"> </w:t>
      </w:r>
      <w:r>
        <w:t>to</w:t>
      </w:r>
      <w:r>
        <w:rPr>
          <w:spacing w:val="-3"/>
        </w:rPr>
        <w:t xml:space="preserve"> </w:t>
      </w:r>
      <w:r>
        <w:t>the</w:t>
      </w:r>
      <w:r>
        <w:rPr>
          <w:spacing w:val="-4"/>
        </w:rPr>
        <w:t xml:space="preserve"> </w:t>
      </w:r>
      <w:r>
        <w:t>nearest</w:t>
      </w:r>
      <w:r>
        <w:rPr>
          <w:spacing w:val="-3"/>
        </w:rPr>
        <w:t xml:space="preserve"> </w:t>
      </w:r>
      <w:r>
        <w:t>dollar.</w:t>
      </w:r>
      <w:r>
        <w:rPr>
          <w:spacing w:val="-1"/>
        </w:rPr>
        <w:t xml:space="preserve"> </w:t>
      </w:r>
      <w:r>
        <w:t>The</w:t>
      </w:r>
      <w:r>
        <w:rPr>
          <w:spacing w:val="-2"/>
        </w:rPr>
        <w:t xml:space="preserve"> </w:t>
      </w:r>
      <w:r>
        <w:t>bid</w:t>
      </w:r>
      <w:r>
        <w:rPr>
          <w:spacing w:val="-3"/>
        </w:rPr>
        <w:t xml:space="preserve"> </w:t>
      </w:r>
      <w:r>
        <w:t>assumptions</w:t>
      </w:r>
      <w:r>
        <w:rPr>
          <w:spacing w:val="-4"/>
        </w:rPr>
        <w:t xml:space="preserve"> </w:t>
      </w:r>
      <w:r>
        <w:t>(such</w:t>
      </w:r>
      <w:r>
        <w:rPr>
          <w:spacing w:val="-3"/>
        </w:rPr>
        <w:t xml:space="preserve"> </w:t>
      </w:r>
      <w:r>
        <w:t>as</w:t>
      </w:r>
      <w:r>
        <w:rPr>
          <w:spacing w:val="-4"/>
        </w:rPr>
        <w:t xml:space="preserve"> </w:t>
      </w:r>
      <w:r>
        <w:t>gain/loss</w:t>
      </w:r>
      <w:r>
        <w:rPr>
          <w:spacing w:val="-3"/>
        </w:rPr>
        <w:t xml:space="preserve"> </w:t>
      </w:r>
      <w:r>
        <w:t>margin) must support the desired plan premium and the desired level of premium rounding.</w:t>
      </w:r>
    </w:p>
    <w:p>
      <w:pPr>
        <w:pStyle w:val="ListParagraph"/>
        <w:numPr>
          <w:ilvl w:val="1"/>
          <w:numId w:val="26"/>
        </w:numPr>
        <w:tabs>
          <w:tab w:val="left" w:pos="921"/>
        </w:tabs>
        <w:spacing w:before="239" w:after="0" w:line="240" w:lineRule="auto"/>
        <w:ind w:left="921" w:right="0" w:hanging="417"/>
        <w:jc w:val="left"/>
        <w:rPr>
          <w:rFonts w:ascii="Arial"/>
          <w:b/>
          <w:sz w:val="21"/>
        </w:rPr>
      </w:pPr>
      <w:bookmarkStart w:id="389" w:name="C.  All MA-PD and RPPO MA-Only Plans"/>
      <w:bookmarkEnd w:id="389"/>
      <w:r>
        <w:rPr>
          <w:rFonts w:ascii="Arial"/>
          <w:b/>
          <w:sz w:val="21"/>
        </w:rPr>
        <w:t>All</w:t>
      </w:r>
      <w:r>
        <w:rPr>
          <w:rFonts w:ascii="Arial"/>
          <w:b/>
          <w:spacing w:val="-6"/>
          <w:sz w:val="21"/>
        </w:rPr>
        <w:t xml:space="preserve"> </w:t>
      </w:r>
      <w:r>
        <w:rPr>
          <w:rFonts w:ascii="Arial"/>
          <w:b/>
          <w:sz w:val="21"/>
        </w:rPr>
        <w:t>MA-PD</w:t>
      </w:r>
      <w:r>
        <w:rPr>
          <w:rFonts w:ascii="Arial"/>
          <w:b/>
          <w:spacing w:val="-3"/>
          <w:sz w:val="21"/>
        </w:rPr>
        <w:t xml:space="preserve"> </w:t>
      </w:r>
      <w:r>
        <w:rPr>
          <w:rFonts w:ascii="Arial"/>
          <w:b/>
          <w:sz w:val="21"/>
        </w:rPr>
        <w:t>and</w:t>
      </w:r>
      <w:r>
        <w:rPr>
          <w:rFonts w:ascii="Arial"/>
          <w:b/>
          <w:spacing w:val="-4"/>
          <w:sz w:val="21"/>
        </w:rPr>
        <w:t xml:space="preserve"> </w:t>
      </w:r>
      <w:r>
        <w:rPr>
          <w:rFonts w:ascii="Arial"/>
          <w:b/>
          <w:sz w:val="21"/>
        </w:rPr>
        <w:t>RPPO</w:t>
      </w:r>
      <w:r>
        <w:rPr>
          <w:rFonts w:ascii="Arial"/>
          <w:b/>
          <w:spacing w:val="-5"/>
          <w:sz w:val="21"/>
        </w:rPr>
        <w:t xml:space="preserve"> </w:t>
      </w:r>
      <w:r>
        <w:rPr>
          <w:rFonts w:ascii="Arial"/>
          <w:b/>
          <w:sz w:val="21"/>
        </w:rPr>
        <w:t>MA-Only</w:t>
      </w:r>
      <w:r>
        <w:rPr>
          <w:rFonts w:ascii="Arial"/>
          <w:b/>
          <w:spacing w:val="-5"/>
          <w:sz w:val="21"/>
        </w:rPr>
        <w:t xml:space="preserve"> </w:t>
      </w:r>
      <w:r>
        <w:rPr>
          <w:rFonts w:ascii="Arial"/>
          <w:b/>
          <w:spacing w:val="-4"/>
          <w:sz w:val="21"/>
        </w:rPr>
        <w:t>Plans</w:t>
      </w:r>
    </w:p>
    <w:p>
      <w:pPr>
        <w:pStyle w:val="BodyText"/>
        <w:spacing w:before="120"/>
        <w:ind w:right="1476"/>
      </w:pPr>
      <w:r>
        <w:t>All MA-PD plans and RPPO MA-Only plans that are permitted or required to participate in the rebate reallocation process may also participate in total plan premium rounding. This applies separately</w:t>
      </w:r>
      <w:r>
        <w:rPr>
          <w:spacing w:val="-3"/>
        </w:rPr>
        <w:t xml:space="preserve"> </w:t>
      </w:r>
      <w:r>
        <w:t>from,</w:t>
      </w:r>
      <w:r>
        <w:rPr>
          <w:spacing w:val="-3"/>
        </w:rPr>
        <w:t xml:space="preserve"> </w:t>
      </w:r>
      <w:r>
        <w:t>and</w:t>
      </w:r>
      <w:r>
        <w:rPr>
          <w:spacing w:val="-2"/>
        </w:rPr>
        <w:t xml:space="preserve"> </w:t>
      </w:r>
      <w:r>
        <w:t>after,</w:t>
      </w:r>
      <w:r>
        <w:rPr>
          <w:spacing w:val="-3"/>
        </w:rPr>
        <w:t xml:space="preserve"> </w:t>
      </w:r>
      <w:r>
        <w:t>all</w:t>
      </w:r>
      <w:r>
        <w:rPr>
          <w:spacing w:val="-3"/>
        </w:rPr>
        <w:t xml:space="preserve"> </w:t>
      </w:r>
      <w:r>
        <w:t>other</w:t>
      </w:r>
      <w:r>
        <w:rPr>
          <w:spacing w:val="-5"/>
        </w:rPr>
        <w:t xml:space="preserve"> </w:t>
      </w:r>
      <w:r>
        <w:t>bid</w:t>
      </w:r>
      <w:r>
        <w:rPr>
          <w:spacing w:val="-3"/>
        </w:rPr>
        <w:t xml:space="preserve"> </w:t>
      </w:r>
      <w:r>
        <w:t>adjustments.</w:t>
      </w:r>
      <w:r>
        <w:rPr>
          <w:spacing w:val="-3"/>
        </w:rPr>
        <w:t xml:space="preserve"> </w:t>
      </w:r>
      <w:r>
        <w:t>This</w:t>
      </w:r>
      <w:r>
        <w:rPr>
          <w:spacing w:val="-4"/>
        </w:rPr>
        <w:t xml:space="preserve"> </w:t>
      </w:r>
      <w:r>
        <w:t>is</w:t>
      </w:r>
      <w:r>
        <w:rPr>
          <w:spacing w:val="-3"/>
        </w:rPr>
        <w:t xml:space="preserve"> </w:t>
      </w:r>
      <w:r>
        <w:t>defined</w:t>
      </w:r>
      <w:r>
        <w:rPr>
          <w:spacing w:val="-3"/>
        </w:rPr>
        <w:t xml:space="preserve"> </w:t>
      </w:r>
      <w:r>
        <w:t>as</w:t>
      </w:r>
      <w:r>
        <w:rPr>
          <w:spacing w:val="-4"/>
        </w:rPr>
        <w:t xml:space="preserve"> </w:t>
      </w:r>
      <w:r>
        <w:t>participating</w:t>
      </w:r>
      <w:r>
        <w:rPr>
          <w:spacing w:val="-3"/>
        </w:rPr>
        <w:t xml:space="preserve"> </w:t>
      </w:r>
      <w:r>
        <w:t>in</w:t>
      </w:r>
      <w:r>
        <w:rPr>
          <w:spacing w:val="-3"/>
        </w:rPr>
        <w:t xml:space="preserve"> </w:t>
      </w:r>
      <w:r>
        <w:t>premium rounding rather than participating in rebate reallocation. During the rebate reallocation</w:t>
      </w:r>
      <w:r>
        <w:rPr>
          <w:spacing w:val="40"/>
        </w:rPr>
        <w:t xml:space="preserve"> </w:t>
      </w:r>
      <w:r>
        <w:rPr>
          <w:spacing w:val="-2"/>
        </w:rPr>
        <w:t>period—</w:t>
      </w:r>
    </w:p>
    <w:p>
      <w:pPr>
        <w:pStyle w:val="ListParagraph"/>
        <w:numPr>
          <w:ilvl w:val="2"/>
          <w:numId w:val="26"/>
        </w:numPr>
        <w:tabs>
          <w:tab w:val="left" w:pos="864"/>
        </w:tabs>
        <w:spacing w:before="121" w:after="0" w:line="240" w:lineRule="auto"/>
        <w:ind w:left="864" w:right="1952" w:hanging="360"/>
        <w:jc w:val="left"/>
        <w:rPr>
          <w:sz w:val="24"/>
        </w:rPr>
      </w:pPr>
      <w:r>
        <w:rPr>
          <w:sz w:val="24"/>
        </w:rPr>
        <w:t>MAOs</w:t>
      </w:r>
      <w:r>
        <w:rPr>
          <w:spacing w:val="-4"/>
          <w:sz w:val="24"/>
        </w:rPr>
        <w:t xml:space="preserve"> </w:t>
      </w:r>
      <w:r>
        <w:rPr>
          <w:sz w:val="24"/>
        </w:rPr>
        <w:t>may</w:t>
      </w:r>
      <w:r>
        <w:rPr>
          <w:spacing w:val="-3"/>
          <w:sz w:val="24"/>
        </w:rPr>
        <w:t xml:space="preserve"> </w:t>
      </w:r>
      <w:r>
        <w:rPr>
          <w:sz w:val="24"/>
        </w:rPr>
        <w:t>round</w:t>
      </w:r>
      <w:r>
        <w:rPr>
          <w:spacing w:val="-3"/>
          <w:sz w:val="24"/>
        </w:rPr>
        <w:t xml:space="preserve"> </w:t>
      </w:r>
      <w:r>
        <w:rPr>
          <w:sz w:val="24"/>
        </w:rPr>
        <w:t>the</w:t>
      </w:r>
      <w:r>
        <w:rPr>
          <w:spacing w:val="-3"/>
          <w:sz w:val="24"/>
        </w:rPr>
        <w:t xml:space="preserve"> </w:t>
      </w:r>
      <w:r>
        <w:rPr>
          <w:sz w:val="24"/>
        </w:rPr>
        <w:t>total</w:t>
      </w:r>
      <w:r>
        <w:rPr>
          <w:spacing w:val="-3"/>
          <w:sz w:val="24"/>
        </w:rPr>
        <w:t xml:space="preserve"> </w:t>
      </w:r>
      <w:r>
        <w:rPr>
          <w:sz w:val="24"/>
        </w:rPr>
        <w:t>plan</w:t>
      </w:r>
      <w:r>
        <w:rPr>
          <w:spacing w:val="-3"/>
          <w:sz w:val="24"/>
        </w:rPr>
        <w:t xml:space="preserve"> </w:t>
      </w:r>
      <w:r>
        <w:rPr>
          <w:sz w:val="24"/>
        </w:rPr>
        <w:t>premium</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nearest</w:t>
      </w:r>
      <w:r>
        <w:rPr>
          <w:spacing w:val="-3"/>
          <w:sz w:val="24"/>
        </w:rPr>
        <w:t xml:space="preserve"> </w:t>
      </w:r>
      <w:r>
        <w:rPr>
          <w:sz w:val="24"/>
        </w:rPr>
        <w:t>dollar</w:t>
      </w:r>
      <w:r>
        <w:rPr>
          <w:spacing w:val="-3"/>
          <w:sz w:val="24"/>
        </w:rPr>
        <w:t xml:space="preserve"> </w:t>
      </w:r>
      <w:r>
        <w:rPr>
          <w:sz w:val="24"/>
        </w:rPr>
        <w:t>(up</w:t>
      </w:r>
      <w:r>
        <w:rPr>
          <w:spacing w:val="-3"/>
          <w:sz w:val="24"/>
        </w:rPr>
        <w:t xml:space="preserve"> </w:t>
      </w:r>
      <w:r>
        <w:rPr>
          <w:sz w:val="24"/>
        </w:rPr>
        <w:t>or</w:t>
      </w:r>
      <w:r>
        <w:rPr>
          <w:spacing w:val="-3"/>
          <w:sz w:val="24"/>
        </w:rPr>
        <w:t xml:space="preserve"> </w:t>
      </w:r>
      <w:r>
        <w:rPr>
          <w:sz w:val="24"/>
        </w:rPr>
        <w:t>down)</w:t>
      </w:r>
      <w:r>
        <w:rPr>
          <w:spacing w:val="-3"/>
          <w:sz w:val="24"/>
        </w:rPr>
        <w:t xml:space="preserve"> </w:t>
      </w:r>
      <w:r>
        <w:rPr>
          <w:sz w:val="24"/>
        </w:rPr>
        <w:t>by</w:t>
      </w:r>
      <w:r>
        <w:rPr>
          <w:spacing w:val="-1"/>
          <w:sz w:val="24"/>
        </w:rPr>
        <w:t xml:space="preserve"> </w:t>
      </w:r>
      <w:r>
        <w:rPr>
          <w:sz w:val="24"/>
        </w:rPr>
        <w:t>slightly increasing or reducing the gain/loss margin in the MA bid.</w:t>
      </w:r>
    </w:p>
    <w:p>
      <w:pPr>
        <w:pStyle w:val="ListParagraph"/>
        <w:numPr>
          <w:ilvl w:val="3"/>
          <w:numId w:val="26"/>
        </w:numPr>
        <w:tabs>
          <w:tab w:val="left" w:pos="1584"/>
        </w:tabs>
        <w:spacing w:before="120" w:after="0" w:line="240" w:lineRule="auto"/>
        <w:ind w:left="1584" w:right="2258" w:hanging="720"/>
        <w:jc w:val="left"/>
        <w:rPr>
          <w:sz w:val="24"/>
        </w:rPr>
      </w:pPr>
      <w:r>
        <w:rPr>
          <w:sz w:val="24"/>
        </w:rPr>
        <w:t>The total plan premium (line 9 of Worksheet 6, Section IIIC) is defined at 42</w:t>
      </w:r>
      <w:r>
        <w:rPr>
          <w:spacing w:val="-4"/>
          <w:sz w:val="24"/>
        </w:rPr>
        <w:t xml:space="preserve"> </w:t>
      </w:r>
      <w:r>
        <w:rPr>
          <w:sz w:val="24"/>
        </w:rPr>
        <w:t>CFR</w:t>
      </w:r>
      <w:r>
        <w:rPr>
          <w:spacing w:val="-4"/>
          <w:sz w:val="24"/>
        </w:rPr>
        <w:t xml:space="preserve"> </w:t>
      </w:r>
      <w:r>
        <w:rPr>
          <w:sz w:val="24"/>
        </w:rPr>
        <w:t>§422.262(b)</w:t>
      </w:r>
      <w:r>
        <w:rPr>
          <w:spacing w:val="-4"/>
          <w:sz w:val="24"/>
        </w:rPr>
        <w:t xml:space="preserve"> </w:t>
      </w:r>
      <w:r>
        <w:rPr>
          <w:sz w:val="24"/>
        </w:rPr>
        <w:t>as</w:t>
      </w:r>
      <w:r>
        <w:rPr>
          <w:spacing w:val="-5"/>
          <w:sz w:val="24"/>
        </w:rPr>
        <w:t xml:space="preserve"> </w:t>
      </w:r>
      <w:r>
        <w:rPr>
          <w:sz w:val="24"/>
        </w:rPr>
        <w:t>the</w:t>
      </w:r>
      <w:r>
        <w:rPr>
          <w:spacing w:val="-5"/>
          <w:sz w:val="24"/>
        </w:rPr>
        <w:t xml:space="preserve"> </w:t>
      </w:r>
      <w:r>
        <w:rPr>
          <w:sz w:val="24"/>
        </w:rPr>
        <w:t>consolidated</w:t>
      </w:r>
      <w:r>
        <w:rPr>
          <w:spacing w:val="-4"/>
          <w:sz w:val="24"/>
        </w:rPr>
        <w:t xml:space="preserve"> </w:t>
      </w:r>
      <w:r>
        <w:rPr>
          <w:sz w:val="24"/>
        </w:rPr>
        <w:t>monthly</w:t>
      </w:r>
      <w:r>
        <w:rPr>
          <w:spacing w:val="-4"/>
          <w:sz w:val="24"/>
        </w:rPr>
        <w:t xml:space="preserve"> </w:t>
      </w:r>
      <w:r>
        <w:rPr>
          <w:sz w:val="24"/>
        </w:rPr>
        <w:t>premium</w:t>
      </w:r>
      <w:r>
        <w:rPr>
          <w:spacing w:val="-4"/>
          <w:sz w:val="24"/>
        </w:rPr>
        <w:t xml:space="preserve"> </w:t>
      </w:r>
      <w:r>
        <w:rPr>
          <w:sz w:val="24"/>
        </w:rPr>
        <w:t>consisting</w:t>
      </w:r>
      <w:r>
        <w:rPr>
          <w:spacing w:val="-2"/>
          <w:sz w:val="24"/>
        </w:rPr>
        <w:t xml:space="preserve"> </w:t>
      </w:r>
      <w:r>
        <w:rPr>
          <w:sz w:val="24"/>
        </w:rPr>
        <w:t>of</w:t>
      </w:r>
      <w:r>
        <w:rPr>
          <w:spacing w:val="-5"/>
          <w:sz w:val="24"/>
        </w:rPr>
        <w:t xml:space="preserve"> </w:t>
      </w:r>
      <w:r>
        <w:rPr>
          <w:sz w:val="24"/>
        </w:rPr>
        <w:t>the</w:t>
      </w:r>
    </w:p>
    <w:p>
      <w:pPr>
        <w:pStyle w:val="BodyText"/>
        <w:ind w:left="1584" w:right="1481"/>
      </w:pPr>
      <w:r>
        <w:t>combination</w:t>
      </w:r>
      <w:r>
        <w:rPr>
          <w:spacing w:val="-4"/>
        </w:rPr>
        <w:t xml:space="preserve"> </w:t>
      </w:r>
      <w:r>
        <w:t>of</w:t>
      </w:r>
      <w:r>
        <w:rPr>
          <w:spacing w:val="-5"/>
        </w:rPr>
        <w:t xml:space="preserve"> </w:t>
      </w:r>
      <w:r>
        <w:t>the</w:t>
      </w:r>
      <w:r>
        <w:rPr>
          <w:spacing w:val="-4"/>
        </w:rPr>
        <w:t xml:space="preserve"> </w:t>
      </w:r>
      <w:r>
        <w:t>MA</w:t>
      </w:r>
      <w:r>
        <w:rPr>
          <w:spacing w:val="-5"/>
        </w:rPr>
        <w:t xml:space="preserve"> </w:t>
      </w:r>
      <w:r>
        <w:t>basic</w:t>
      </w:r>
      <w:r>
        <w:rPr>
          <w:spacing w:val="-4"/>
        </w:rPr>
        <w:t xml:space="preserve"> </w:t>
      </w:r>
      <w:r>
        <w:t>and</w:t>
      </w:r>
      <w:r>
        <w:rPr>
          <w:spacing w:val="-3"/>
        </w:rPr>
        <w:t xml:space="preserve"> </w:t>
      </w:r>
      <w:r>
        <w:t>A/B</w:t>
      </w:r>
      <w:r>
        <w:rPr>
          <w:spacing w:val="-3"/>
        </w:rPr>
        <w:t xml:space="preserve"> </w:t>
      </w:r>
      <w:r>
        <w:t>mandatory</w:t>
      </w:r>
      <w:r>
        <w:rPr>
          <w:spacing w:val="-3"/>
        </w:rPr>
        <w:t xml:space="preserve"> </w:t>
      </w:r>
      <w:r>
        <w:t>supplemental</w:t>
      </w:r>
      <w:r>
        <w:rPr>
          <w:spacing w:val="-4"/>
        </w:rPr>
        <w:t xml:space="preserve"> </w:t>
      </w:r>
      <w:r>
        <w:t>premiums</w:t>
      </w:r>
      <w:r>
        <w:rPr>
          <w:spacing w:val="-5"/>
        </w:rPr>
        <w:t xml:space="preserve"> </w:t>
      </w:r>
      <w:r>
        <w:t>and</w:t>
      </w:r>
      <w:r>
        <w:rPr>
          <w:spacing w:val="-4"/>
        </w:rPr>
        <w:t xml:space="preserve"> </w:t>
      </w:r>
      <w:r>
        <w:t>the Part D basic and supplemental premiums.</w:t>
      </w:r>
    </w:p>
    <w:p>
      <w:pPr>
        <w:pStyle w:val="ListParagraph"/>
        <w:numPr>
          <w:ilvl w:val="3"/>
          <w:numId w:val="26"/>
        </w:numPr>
        <w:tabs>
          <w:tab w:val="left" w:pos="1584"/>
        </w:tabs>
        <w:spacing w:before="120" w:after="0" w:line="240" w:lineRule="auto"/>
        <w:ind w:left="1584" w:right="1776" w:hanging="720"/>
        <w:jc w:val="left"/>
        <w:rPr>
          <w:sz w:val="24"/>
        </w:rPr>
      </w:pPr>
      <w:r>
        <w:rPr>
          <w:sz w:val="24"/>
        </w:rPr>
        <w:t>MAOs that are trying to achieve a target plan intention of LIPSA may use the premium rounding rules without rounding to a whole dollar amount. The MAO must</w:t>
      </w:r>
      <w:r>
        <w:rPr>
          <w:spacing w:val="-2"/>
          <w:sz w:val="24"/>
        </w:rPr>
        <w:t xml:space="preserve"> </w:t>
      </w:r>
      <w:r>
        <w:rPr>
          <w:sz w:val="24"/>
        </w:rPr>
        <w:t>(i)</w:t>
      </w:r>
      <w:r>
        <w:rPr>
          <w:spacing w:val="-4"/>
          <w:sz w:val="24"/>
        </w:rPr>
        <w:t xml:space="preserve"> </w:t>
      </w:r>
      <w:r>
        <w:rPr>
          <w:sz w:val="24"/>
        </w:rPr>
        <w:t>be</w:t>
      </w:r>
      <w:r>
        <w:rPr>
          <w:spacing w:val="-4"/>
          <w:sz w:val="24"/>
        </w:rPr>
        <w:t xml:space="preserve"> </w:t>
      </w:r>
      <w:r>
        <w:rPr>
          <w:sz w:val="24"/>
        </w:rPr>
        <w:t>achieving</w:t>
      </w:r>
      <w:r>
        <w:rPr>
          <w:spacing w:val="-3"/>
          <w:sz w:val="24"/>
        </w:rPr>
        <w:t xml:space="preserve"> </w:t>
      </w:r>
      <w:r>
        <w:rPr>
          <w:sz w:val="24"/>
        </w:rPr>
        <w:t>a</w:t>
      </w:r>
      <w:r>
        <w:rPr>
          <w:spacing w:val="-4"/>
          <w:sz w:val="24"/>
        </w:rPr>
        <w:t xml:space="preserve"> </w:t>
      </w:r>
      <w:r>
        <w:rPr>
          <w:sz w:val="24"/>
        </w:rPr>
        <w:t>target</w:t>
      </w:r>
      <w:r>
        <w:rPr>
          <w:spacing w:val="-3"/>
          <w:sz w:val="24"/>
        </w:rPr>
        <w:t xml:space="preserve"> </w:t>
      </w:r>
      <w:r>
        <w:rPr>
          <w:sz w:val="24"/>
        </w:rPr>
        <w:t>plan</w:t>
      </w:r>
      <w:r>
        <w:rPr>
          <w:spacing w:val="-3"/>
          <w:sz w:val="24"/>
        </w:rPr>
        <w:t xml:space="preserve"> </w:t>
      </w:r>
      <w:r>
        <w:rPr>
          <w:sz w:val="24"/>
        </w:rPr>
        <w:t>intention</w:t>
      </w:r>
      <w:r>
        <w:rPr>
          <w:spacing w:val="-3"/>
          <w:sz w:val="24"/>
        </w:rPr>
        <w:t xml:space="preserve"> </w:t>
      </w:r>
      <w:r>
        <w:rPr>
          <w:sz w:val="24"/>
        </w:rPr>
        <w:t>of</w:t>
      </w:r>
      <w:r>
        <w:rPr>
          <w:spacing w:val="-4"/>
          <w:sz w:val="24"/>
        </w:rPr>
        <w:t xml:space="preserve"> </w:t>
      </w:r>
      <w:r>
        <w:rPr>
          <w:sz w:val="24"/>
        </w:rPr>
        <w:t>LIPSA,</w:t>
      </w:r>
      <w:r>
        <w:rPr>
          <w:spacing w:val="-3"/>
          <w:sz w:val="24"/>
        </w:rPr>
        <w:t xml:space="preserve"> </w:t>
      </w:r>
      <w:r>
        <w:rPr>
          <w:sz w:val="24"/>
        </w:rPr>
        <w:t>LIPSA</w:t>
      </w:r>
      <w:r>
        <w:rPr>
          <w:spacing w:val="-4"/>
          <w:sz w:val="24"/>
        </w:rPr>
        <w:t xml:space="preserve"> </w:t>
      </w:r>
      <w:r>
        <w:rPr>
          <w:sz w:val="24"/>
        </w:rPr>
        <w:t>rounded</w:t>
      </w:r>
      <w:r>
        <w:rPr>
          <w:spacing w:val="-3"/>
          <w:sz w:val="24"/>
        </w:rPr>
        <w:t xml:space="preserve"> </w:t>
      </w:r>
      <w:r>
        <w:rPr>
          <w:sz w:val="24"/>
        </w:rPr>
        <w:t>to</w:t>
      </w:r>
      <w:r>
        <w:rPr>
          <w:spacing w:val="-3"/>
          <w:sz w:val="24"/>
        </w:rPr>
        <w:t xml:space="preserve"> </w:t>
      </w:r>
      <w:r>
        <w:rPr>
          <w:sz w:val="24"/>
        </w:rPr>
        <w:t>nearest</w:t>
      </w:r>
    </w:p>
    <w:p>
      <w:pPr>
        <w:pStyle w:val="BodyText"/>
        <w:ind w:left="1584" w:right="1443"/>
      </w:pPr>
      <w:r>
        <w:t>$0.10,</w:t>
      </w:r>
      <w:r>
        <w:rPr>
          <w:spacing w:val="-3"/>
        </w:rPr>
        <w:t xml:space="preserve"> </w:t>
      </w:r>
      <w:r>
        <w:t>or</w:t>
      </w:r>
      <w:r>
        <w:rPr>
          <w:spacing w:val="-4"/>
        </w:rPr>
        <w:t xml:space="preserve"> </w:t>
      </w:r>
      <w:r>
        <w:t>a</w:t>
      </w:r>
      <w:r>
        <w:rPr>
          <w:spacing w:val="-4"/>
        </w:rPr>
        <w:t xml:space="preserve"> </w:t>
      </w:r>
      <w:r>
        <w:t>partial</w:t>
      </w:r>
      <w:r>
        <w:rPr>
          <w:spacing w:val="-3"/>
        </w:rPr>
        <w:t xml:space="preserve"> </w:t>
      </w:r>
      <w:r>
        <w:t>return</w:t>
      </w:r>
      <w:r>
        <w:rPr>
          <w:spacing w:val="-2"/>
        </w:rPr>
        <w:t xml:space="preserve"> </w:t>
      </w:r>
      <w:r>
        <w:t>to</w:t>
      </w:r>
      <w:r>
        <w:rPr>
          <w:spacing w:val="-3"/>
        </w:rPr>
        <w:t xml:space="preserve"> </w:t>
      </w:r>
      <w:r>
        <w:t>LIPSA</w:t>
      </w:r>
      <w:r>
        <w:rPr>
          <w:spacing w:val="-4"/>
        </w:rPr>
        <w:t xml:space="preserve"> </w:t>
      </w:r>
      <w:r>
        <w:t>when</w:t>
      </w:r>
      <w:r>
        <w:rPr>
          <w:spacing w:val="-1"/>
        </w:rPr>
        <w:t xml:space="preserve"> </w:t>
      </w:r>
      <w:r>
        <w:t>applicable; (ii)</w:t>
      </w:r>
      <w:r>
        <w:rPr>
          <w:spacing w:val="-3"/>
        </w:rPr>
        <w:t xml:space="preserve"> </w:t>
      </w:r>
      <w:r>
        <w:t>have</w:t>
      </w:r>
      <w:r>
        <w:rPr>
          <w:spacing w:val="-4"/>
        </w:rPr>
        <w:t xml:space="preserve"> </w:t>
      </w:r>
      <w:r>
        <w:t>the</w:t>
      </w:r>
      <w:r>
        <w:rPr>
          <w:spacing w:val="-3"/>
        </w:rPr>
        <w:t xml:space="preserve"> </w:t>
      </w:r>
      <w:r>
        <w:t>total</w:t>
      </w:r>
      <w:r>
        <w:rPr>
          <w:spacing w:val="-3"/>
        </w:rPr>
        <w:t xml:space="preserve"> </w:t>
      </w:r>
      <w:r>
        <w:t>plan</w:t>
      </w:r>
      <w:r>
        <w:rPr>
          <w:spacing w:val="-2"/>
        </w:rPr>
        <w:t xml:space="preserve"> </w:t>
      </w:r>
      <w:r>
        <w:t>premium (line 9 of Worksheet 6, Section IIIC) equal to the Part D basic premium; and</w:t>
      </w:r>
    </w:p>
    <w:p>
      <w:pPr>
        <w:pStyle w:val="BodyText"/>
        <w:ind w:left="1584" w:right="1481"/>
      </w:pPr>
      <w:r>
        <w:t>(iii)</w:t>
      </w:r>
      <w:r>
        <w:rPr>
          <w:spacing w:val="-3"/>
        </w:rPr>
        <w:t xml:space="preserve"> </w:t>
      </w:r>
      <w:r>
        <w:t>only</w:t>
      </w:r>
      <w:r>
        <w:rPr>
          <w:spacing w:val="-3"/>
        </w:rPr>
        <w:t xml:space="preserve"> </w:t>
      </w:r>
      <w:r>
        <w:t>use</w:t>
      </w:r>
      <w:r>
        <w:rPr>
          <w:spacing w:val="-4"/>
        </w:rPr>
        <w:t xml:space="preserve"> </w:t>
      </w:r>
      <w:r>
        <w:t>the</w:t>
      </w:r>
      <w:r>
        <w:rPr>
          <w:spacing w:val="-3"/>
        </w:rPr>
        <w:t xml:space="preserve"> </w:t>
      </w:r>
      <w:r>
        <w:t>premium</w:t>
      </w:r>
      <w:r>
        <w:rPr>
          <w:spacing w:val="-3"/>
        </w:rPr>
        <w:t xml:space="preserve"> </w:t>
      </w:r>
      <w:r>
        <w:t>rounding</w:t>
      </w:r>
      <w:r>
        <w:rPr>
          <w:spacing w:val="-3"/>
        </w:rPr>
        <w:t xml:space="preserve"> </w:t>
      </w:r>
      <w:r>
        <w:t>rules</w:t>
      </w:r>
      <w:r>
        <w:rPr>
          <w:spacing w:val="-4"/>
        </w:rPr>
        <w:t xml:space="preserve"> </w:t>
      </w:r>
      <w:r>
        <w:t>to</w:t>
      </w:r>
      <w:r>
        <w:rPr>
          <w:spacing w:val="-3"/>
        </w:rPr>
        <w:t xml:space="preserve"> </w:t>
      </w:r>
      <w:r>
        <w:t>change</w:t>
      </w:r>
      <w:r>
        <w:rPr>
          <w:spacing w:val="-4"/>
        </w:rPr>
        <w:t xml:space="preserve"> </w:t>
      </w:r>
      <w:r>
        <w:t>the</w:t>
      </w:r>
      <w:r>
        <w:rPr>
          <w:spacing w:val="-3"/>
        </w:rPr>
        <w:t xml:space="preserve"> </w:t>
      </w:r>
      <w:r>
        <w:t>total</w:t>
      </w:r>
      <w:r>
        <w:rPr>
          <w:spacing w:val="-3"/>
        </w:rPr>
        <w:t xml:space="preserve"> </w:t>
      </w:r>
      <w:r>
        <w:t>plan</w:t>
      </w:r>
      <w:r>
        <w:rPr>
          <w:spacing w:val="-3"/>
        </w:rPr>
        <w:t xml:space="preserve"> </w:t>
      </w:r>
      <w:r>
        <w:t>premium</w:t>
      </w:r>
      <w:r>
        <w:rPr>
          <w:spacing w:val="-3"/>
        </w:rPr>
        <w:t xml:space="preserve"> </w:t>
      </w:r>
      <w:r>
        <w:t>by</w:t>
      </w:r>
      <w:r>
        <w:rPr>
          <w:spacing w:val="-3"/>
        </w:rPr>
        <w:t xml:space="preserve"> </w:t>
      </w:r>
      <w:r>
        <w:t>at most $0.50.</w:t>
      </w:r>
    </w:p>
    <w:p>
      <w:pPr>
        <w:pStyle w:val="ListParagraph"/>
        <w:numPr>
          <w:ilvl w:val="2"/>
          <w:numId w:val="26"/>
        </w:numPr>
        <w:tabs>
          <w:tab w:val="left" w:pos="864"/>
        </w:tabs>
        <w:spacing w:before="121" w:after="0" w:line="240" w:lineRule="auto"/>
        <w:ind w:left="864" w:right="0" w:hanging="360"/>
        <w:jc w:val="left"/>
        <w:rPr>
          <w:sz w:val="24"/>
        </w:rPr>
      </w:pPr>
      <w:r>
        <w:rPr>
          <w:sz w:val="24"/>
        </w:rPr>
        <w:t>Plans</w:t>
      </w:r>
      <w:r>
        <w:rPr>
          <w:spacing w:val="-3"/>
          <w:sz w:val="24"/>
        </w:rPr>
        <w:t xml:space="preserve"> </w:t>
      </w:r>
      <w:r>
        <w:rPr>
          <w:sz w:val="24"/>
        </w:rPr>
        <w:t>that</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reallocate</w:t>
      </w:r>
      <w:r>
        <w:rPr>
          <w:spacing w:val="-1"/>
          <w:sz w:val="24"/>
        </w:rPr>
        <w:t xml:space="preserve"> </w:t>
      </w:r>
      <w:r>
        <w:rPr>
          <w:sz w:val="24"/>
        </w:rPr>
        <w:t>rebates</w:t>
      </w:r>
      <w:r>
        <w:rPr>
          <w:spacing w:val="-2"/>
          <w:sz w:val="24"/>
        </w:rPr>
        <w:t xml:space="preserve"> </w:t>
      </w:r>
      <w:r>
        <w:rPr>
          <w:sz w:val="24"/>
        </w:rPr>
        <w:t>may</w:t>
      </w:r>
      <w:r>
        <w:rPr>
          <w:spacing w:val="-2"/>
          <w:sz w:val="24"/>
        </w:rPr>
        <w:t xml:space="preserve"> </w:t>
      </w:r>
      <w:r>
        <w:rPr>
          <w:sz w:val="24"/>
        </w:rPr>
        <w:t>still</w:t>
      </w:r>
      <w:r>
        <w:rPr>
          <w:spacing w:val="-1"/>
          <w:sz w:val="24"/>
        </w:rPr>
        <w:t xml:space="preserve"> </w:t>
      </w:r>
      <w:r>
        <w:rPr>
          <w:sz w:val="24"/>
        </w:rPr>
        <w:t>round</w:t>
      </w:r>
      <w:r>
        <w:rPr>
          <w:spacing w:val="-1"/>
          <w:sz w:val="24"/>
        </w:rPr>
        <w:t xml:space="preserve"> </w:t>
      </w:r>
      <w:r>
        <w:rPr>
          <w:sz w:val="24"/>
        </w:rPr>
        <w:t>their</w:t>
      </w:r>
      <w:r>
        <w:rPr>
          <w:spacing w:val="-1"/>
          <w:sz w:val="24"/>
        </w:rPr>
        <w:t xml:space="preserve"> </w:t>
      </w:r>
      <w:r>
        <w:rPr>
          <w:sz w:val="24"/>
        </w:rPr>
        <w:t>total</w:t>
      </w:r>
      <w:r>
        <w:rPr>
          <w:spacing w:val="-1"/>
          <w:sz w:val="24"/>
        </w:rPr>
        <w:t xml:space="preserve"> </w:t>
      </w:r>
      <w:r>
        <w:rPr>
          <w:sz w:val="24"/>
        </w:rPr>
        <w:t>plan</w:t>
      </w:r>
      <w:r>
        <w:rPr>
          <w:spacing w:val="-1"/>
          <w:sz w:val="24"/>
        </w:rPr>
        <w:t xml:space="preserve"> </w:t>
      </w:r>
      <w:r>
        <w:rPr>
          <w:spacing w:val="-2"/>
          <w:sz w:val="24"/>
        </w:rPr>
        <w:t>premium.</w:t>
      </w:r>
    </w:p>
    <w:p>
      <w:pPr>
        <w:pStyle w:val="ListParagraph"/>
        <w:numPr>
          <w:ilvl w:val="2"/>
          <w:numId w:val="26"/>
        </w:numPr>
        <w:tabs>
          <w:tab w:val="left" w:pos="864"/>
        </w:tabs>
        <w:spacing w:before="120" w:after="0" w:line="240" w:lineRule="auto"/>
        <w:ind w:left="864" w:right="0" w:hanging="360"/>
        <w:jc w:val="left"/>
        <w:rPr>
          <w:sz w:val="24"/>
        </w:rPr>
      </w:pPr>
      <w:r>
        <w:rPr>
          <w:sz w:val="24"/>
        </w:rPr>
        <w:t>The</w:t>
      </w:r>
      <w:r>
        <w:rPr>
          <w:spacing w:val="-6"/>
          <w:sz w:val="24"/>
        </w:rPr>
        <w:t xml:space="preserve"> </w:t>
      </w:r>
      <w:r>
        <w:rPr>
          <w:sz w:val="24"/>
        </w:rPr>
        <w:t>gain/loss</w:t>
      </w:r>
      <w:r>
        <w:rPr>
          <w:spacing w:val="-1"/>
          <w:sz w:val="24"/>
        </w:rPr>
        <w:t xml:space="preserve"> </w:t>
      </w:r>
      <w:r>
        <w:rPr>
          <w:sz w:val="24"/>
        </w:rPr>
        <w:t>margin</w:t>
      </w:r>
      <w:r>
        <w:rPr>
          <w:spacing w:val="-1"/>
          <w:sz w:val="24"/>
        </w:rPr>
        <w:t xml:space="preserve"> </w:t>
      </w:r>
      <w:r>
        <w:rPr>
          <w:sz w:val="24"/>
        </w:rPr>
        <w:t>for</w:t>
      </w:r>
      <w:r>
        <w:rPr>
          <w:spacing w:val="1"/>
          <w:sz w:val="24"/>
        </w:rPr>
        <w:t xml:space="preserve"> </w:t>
      </w:r>
      <w:r>
        <w:rPr>
          <w:sz w:val="24"/>
        </w:rPr>
        <w:t>Part</w:t>
      </w:r>
      <w:r>
        <w:rPr>
          <w:spacing w:val="-2"/>
          <w:sz w:val="24"/>
        </w:rPr>
        <w:t xml:space="preserve"> </w:t>
      </w:r>
      <w:r>
        <w:rPr>
          <w:sz w:val="24"/>
        </w:rPr>
        <w:t>D</w:t>
      </w:r>
      <w:r>
        <w:rPr>
          <w:spacing w:val="-2"/>
          <w:sz w:val="24"/>
        </w:rPr>
        <w:t xml:space="preserve"> </w:t>
      </w:r>
      <w:r>
        <w:rPr>
          <w:sz w:val="24"/>
        </w:rPr>
        <w:t>benefits</w:t>
      </w:r>
      <w:r>
        <w:rPr>
          <w:spacing w:val="-2"/>
          <w:sz w:val="24"/>
        </w:rPr>
        <w:t xml:space="preserve"> </w:t>
      </w:r>
      <w:r>
        <w:rPr>
          <w:sz w:val="24"/>
        </w:rPr>
        <w:t>must not</w:t>
      </w:r>
      <w:r>
        <w:rPr>
          <w:spacing w:val="-1"/>
          <w:sz w:val="24"/>
        </w:rPr>
        <w:t xml:space="preserve"> </w:t>
      </w:r>
      <w:r>
        <w:rPr>
          <w:spacing w:val="-2"/>
          <w:sz w:val="24"/>
        </w:rPr>
        <w:t>change.</w:t>
      </w:r>
    </w:p>
    <w:p>
      <w:pPr>
        <w:pStyle w:val="ListParagraph"/>
        <w:numPr>
          <w:ilvl w:val="2"/>
          <w:numId w:val="26"/>
        </w:numPr>
        <w:tabs>
          <w:tab w:val="left" w:pos="864"/>
        </w:tabs>
        <w:spacing w:before="120" w:after="0" w:line="240" w:lineRule="auto"/>
        <w:ind w:left="864" w:right="0" w:hanging="360"/>
        <w:jc w:val="left"/>
        <w:rPr>
          <w:sz w:val="24"/>
        </w:rPr>
      </w:pPr>
      <w:r>
        <w:rPr>
          <w:sz w:val="24"/>
        </w:rPr>
        <w:t>To</w:t>
      </w:r>
      <w:r>
        <w:rPr>
          <w:spacing w:val="-1"/>
          <w:sz w:val="24"/>
        </w:rPr>
        <w:t xml:space="preserve"> </w:t>
      </w:r>
      <w:r>
        <w:rPr>
          <w:sz w:val="24"/>
        </w:rPr>
        <w:t>round the</w:t>
      </w:r>
      <w:r>
        <w:rPr>
          <w:spacing w:val="-1"/>
          <w:sz w:val="24"/>
        </w:rPr>
        <w:t xml:space="preserve"> </w:t>
      </w:r>
      <w:r>
        <w:rPr>
          <w:sz w:val="24"/>
        </w:rPr>
        <w:t>total plan</w:t>
      </w:r>
      <w:r>
        <w:rPr>
          <w:spacing w:val="-1"/>
          <w:sz w:val="24"/>
        </w:rPr>
        <w:t xml:space="preserve"> </w:t>
      </w:r>
      <w:r>
        <w:rPr>
          <w:sz w:val="24"/>
        </w:rPr>
        <w:t>premium,</w:t>
      </w:r>
      <w:r>
        <w:rPr>
          <w:spacing w:val="-1"/>
          <w:sz w:val="24"/>
        </w:rPr>
        <w:t xml:space="preserve"> </w:t>
      </w:r>
      <w:r>
        <w:rPr>
          <w:sz w:val="24"/>
        </w:rPr>
        <w:t>the</w:t>
      </w:r>
      <w:r>
        <w:rPr>
          <w:spacing w:val="-1"/>
          <w:sz w:val="24"/>
        </w:rPr>
        <w:t xml:space="preserve"> </w:t>
      </w:r>
      <w:r>
        <w:rPr>
          <w:sz w:val="24"/>
        </w:rPr>
        <w:t>MAO</w:t>
      </w:r>
      <w:r>
        <w:rPr>
          <w:spacing w:val="-1"/>
          <w:sz w:val="24"/>
        </w:rPr>
        <w:t xml:space="preserve"> </w:t>
      </w:r>
      <w:r>
        <w:rPr>
          <w:spacing w:val="-2"/>
          <w:sz w:val="24"/>
        </w:rPr>
        <w:t>must–</w:t>
      </w:r>
    </w:p>
    <w:p>
      <w:pPr>
        <w:pStyle w:val="ListParagraph"/>
        <w:numPr>
          <w:ilvl w:val="3"/>
          <w:numId w:val="26"/>
        </w:numPr>
        <w:tabs>
          <w:tab w:val="left" w:pos="1584"/>
        </w:tabs>
        <w:spacing w:before="120" w:after="0" w:line="240" w:lineRule="auto"/>
        <w:ind w:left="1584" w:right="1782" w:hanging="720"/>
        <w:jc w:val="left"/>
        <w:rPr>
          <w:sz w:val="24"/>
        </w:rPr>
      </w:pPr>
      <w:r>
        <w:rPr>
          <w:sz w:val="24"/>
        </w:rPr>
        <w:t>Not</w:t>
      </w:r>
      <w:r>
        <w:rPr>
          <w:spacing w:val="-3"/>
          <w:sz w:val="24"/>
        </w:rPr>
        <w:t xml:space="preserve"> </w:t>
      </w:r>
      <w:r>
        <w:rPr>
          <w:sz w:val="24"/>
        </w:rPr>
        <w:t>change</w:t>
      </w:r>
      <w:r>
        <w:rPr>
          <w:spacing w:val="-4"/>
          <w:sz w:val="24"/>
        </w:rPr>
        <w:t xml:space="preserve"> </w:t>
      </w:r>
      <w:r>
        <w:rPr>
          <w:sz w:val="24"/>
        </w:rPr>
        <w:t>the</w:t>
      </w:r>
      <w:r>
        <w:rPr>
          <w:spacing w:val="-3"/>
          <w:sz w:val="24"/>
        </w:rPr>
        <w:t xml:space="preserve"> </w:t>
      </w:r>
      <w:r>
        <w:rPr>
          <w:sz w:val="24"/>
        </w:rPr>
        <w:t>total</w:t>
      </w:r>
      <w:r>
        <w:rPr>
          <w:spacing w:val="-3"/>
          <w:sz w:val="24"/>
        </w:rPr>
        <w:t xml:space="preserve"> </w:t>
      </w:r>
      <w:r>
        <w:rPr>
          <w:sz w:val="24"/>
        </w:rPr>
        <w:t>plan</w:t>
      </w:r>
      <w:r>
        <w:rPr>
          <w:spacing w:val="-2"/>
          <w:sz w:val="24"/>
        </w:rPr>
        <w:t xml:space="preserve"> </w:t>
      </w:r>
      <w:r>
        <w:rPr>
          <w:sz w:val="24"/>
        </w:rPr>
        <w:t>premium</w:t>
      </w:r>
      <w:r>
        <w:rPr>
          <w:spacing w:val="-3"/>
          <w:sz w:val="24"/>
        </w:rPr>
        <w:t xml:space="preserve"> </w:t>
      </w:r>
      <w:r>
        <w:rPr>
          <w:sz w:val="24"/>
        </w:rPr>
        <w:t>(line</w:t>
      </w:r>
      <w:r>
        <w:rPr>
          <w:spacing w:val="-4"/>
          <w:sz w:val="24"/>
        </w:rPr>
        <w:t xml:space="preserve"> </w:t>
      </w:r>
      <w:r>
        <w:rPr>
          <w:sz w:val="24"/>
        </w:rPr>
        <w:t>9</w:t>
      </w:r>
      <w:r>
        <w:rPr>
          <w:spacing w:val="-3"/>
          <w:sz w:val="24"/>
        </w:rPr>
        <w:t xml:space="preserve"> </w:t>
      </w:r>
      <w:r>
        <w:rPr>
          <w:sz w:val="24"/>
        </w:rPr>
        <w:t>of</w:t>
      </w:r>
      <w:r>
        <w:rPr>
          <w:spacing w:val="-3"/>
          <w:sz w:val="24"/>
        </w:rPr>
        <w:t xml:space="preserve"> </w:t>
      </w:r>
      <w:r>
        <w:rPr>
          <w:sz w:val="24"/>
        </w:rPr>
        <w:t>Worksheet</w:t>
      </w:r>
      <w:r>
        <w:rPr>
          <w:spacing w:val="-3"/>
          <w:sz w:val="24"/>
        </w:rPr>
        <w:t xml:space="preserve"> </w:t>
      </w:r>
      <w:r>
        <w:rPr>
          <w:sz w:val="24"/>
        </w:rPr>
        <w:t>6,</w:t>
      </w:r>
      <w:r>
        <w:rPr>
          <w:spacing w:val="-3"/>
          <w:sz w:val="24"/>
        </w:rPr>
        <w:t xml:space="preserve"> </w:t>
      </w:r>
      <w:r>
        <w:rPr>
          <w:sz w:val="24"/>
        </w:rPr>
        <w:t>Section IIIC)</w:t>
      </w:r>
      <w:r>
        <w:rPr>
          <w:spacing w:val="-3"/>
          <w:sz w:val="24"/>
        </w:rPr>
        <w:t xml:space="preserve"> </w:t>
      </w:r>
      <w:r>
        <w:rPr>
          <w:sz w:val="24"/>
        </w:rPr>
        <w:t>by</w:t>
      </w:r>
      <w:r>
        <w:rPr>
          <w:spacing w:val="-3"/>
          <w:sz w:val="24"/>
        </w:rPr>
        <w:t xml:space="preserve"> </w:t>
      </w:r>
      <w:r>
        <w:rPr>
          <w:sz w:val="24"/>
        </w:rPr>
        <w:t>more than $0.50, and</w:t>
      </w:r>
    </w:p>
    <w:p>
      <w:pPr>
        <w:pStyle w:val="ListParagraph"/>
        <w:numPr>
          <w:ilvl w:val="3"/>
          <w:numId w:val="26"/>
        </w:numPr>
        <w:tabs>
          <w:tab w:val="left" w:pos="1584"/>
        </w:tabs>
        <w:spacing w:before="120" w:after="0" w:line="240" w:lineRule="auto"/>
        <w:ind w:left="1584" w:right="0" w:hanging="720"/>
        <w:jc w:val="left"/>
        <w:rPr>
          <w:sz w:val="24"/>
        </w:rPr>
      </w:pPr>
      <w:r>
        <w:rPr>
          <w:sz w:val="24"/>
        </w:rPr>
        <w:t>Not</w:t>
      </w:r>
      <w:r>
        <w:rPr>
          <w:spacing w:val="-1"/>
          <w:sz w:val="24"/>
        </w:rPr>
        <w:t xml:space="preserve"> </w:t>
      </w:r>
      <w:r>
        <w:rPr>
          <w:sz w:val="24"/>
        </w:rPr>
        <w:t>change</w:t>
      </w:r>
      <w:r>
        <w:rPr>
          <w:spacing w:val="-2"/>
          <w:sz w:val="24"/>
        </w:rPr>
        <w:t xml:space="preserve"> </w:t>
      </w:r>
      <w:r>
        <w:rPr>
          <w:sz w:val="24"/>
        </w:rPr>
        <w:t>the</w:t>
      </w:r>
      <w:r>
        <w:rPr>
          <w:spacing w:val="-2"/>
          <w:sz w:val="24"/>
        </w:rPr>
        <w:t xml:space="preserve"> </w:t>
      </w:r>
      <w:r>
        <w:rPr>
          <w:sz w:val="24"/>
        </w:rPr>
        <w:t>total</w:t>
      </w:r>
      <w:r>
        <w:rPr>
          <w:spacing w:val="-1"/>
          <w:sz w:val="24"/>
        </w:rPr>
        <w:t xml:space="preserve"> </w:t>
      </w:r>
      <w:r>
        <w:rPr>
          <w:sz w:val="24"/>
        </w:rPr>
        <w:t>MA</w:t>
      </w:r>
      <w:r>
        <w:rPr>
          <w:spacing w:val="1"/>
          <w:sz w:val="24"/>
        </w:rPr>
        <w:t xml:space="preserve"> </w:t>
      </w:r>
      <w:r>
        <w:rPr>
          <w:sz w:val="24"/>
        </w:rPr>
        <w:t>rebates</w:t>
      </w:r>
      <w:r>
        <w:rPr>
          <w:spacing w:val="-2"/>
          <w:sz w:val="24"/>
        </w:rPr>
        <w:t xml:space="preserve"> </w:t>
      </w:r>
      <w:r>
        <w:rPr>
          <w:sz w:val="24"/>
        </w:rPr>
        <w:t>by</w:t>
      </w:r>
      <w:r>
        <w:rPr>
          <w:spacing w:val="-1"/>
          <w:sz w:val="24"/>
        </w:rPr>
        <w:t xml:space="preserve"> </w:t>
      </w:r>
      <w:r>
        <w:rPr>
          <w:sz w:val="24"/>
        </w:rPr>
        <w:t>more</w:t>
      </w:r>
      <w:r>
        <w:rPr>
          <w:spacing w:val="-2"/>
          <w:sz w:val="24"/>
        </w:rPr>
        <w:t xml:space="preserve"> </w:t>
      </w:r>
      <w:r>
        <w:rPr>
          <w:sz w:val="24"/>
        </w:rPr>
        <w:t xml:space="preserve">than </w:t>
      </w:r>
      <w:r>
        <w:rPr>
          <w:spacing w:val="-2"/>
          <w:sz w:val="24"/>
        </w:rPr>
        <w:t>$0.50.</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ListParagraph"/>
        <w:numPr>
          <w:ilvl w:val="2"/>
          <w:numId w:val="26"/>
        </w:numPr>
        <w:tabs>
          <w:tab w:val="left" w:pos="864"/>
        </w:tabs>
        <w:spacing w:before="0" w:after="0" w:line="240" w:lineRule="auto"/>
        <w:ind w:left="864" w:right="1776" w:hanging="360"/>
        <w:jc w:val="left"/>
        <w:rPr>
          <w:sz w:val="24"/>
        </w:rPr>
      </w:pPr>
      <w:r>
        <w:rPr>
          <w:sz w:val="24"/>
        </w:rPr>
        <w:t>When</w:t>
      </w:r>
      <w:r>
        <w:rPr>
          <w:spacing w:val="-4"/>
          <w:sz w:val="24"/>
        </w:rPr>
        <w:t xml:space="preserve"> </w:t>
      </w:r>
      <w:r>
        <w:rPr>
          <w:sz w:val="24"/>
        </w:rPr>
        <w:t>the</w:t>
      </w:r>
      <w:r>
        <w:rPr>
          <w:spacing w:val="-4"/>
          <w:sz w:val="24"/>
        </w:rPr>
        <w:t xml:space="preserve"> </w:t>
      </w:r>
      <w:r>
        <w:rPr>
          <w:sz w:val="24"/>
        </w:rPr>
        <w:t>MAO</w:t>
      </w:r>
      <w:r>
        <w:rPr>
          <w:spacing w:val="-3"/>
          <w:sz w:val="24"/>
        </w:rPr>
        <w:t xml:space="preserve"> </w:t>
      </w:r>
      <w:r>
        <w:rPr>
          <w:sz w:val="24"/>
        </w:rPr>
        <w:t>chooses</w:t>
      </w:r>
      <w:r>
        <w:rPr>
          <w:spacing w:val="-2"/>
          <w:sz w:val="24"/>
        </w:rPr>
        <w:t xml:space="preserve"> </w:t>
      </w:r>
      <w:r>
        <w:rPr>
          <w:sz w:val="24"/>
        </w:rPr>
        <w:t>to</w:t>
      </w:r>
      <w:r>
        <w:rPr>
          <w:spacing w:val="-4"/>
          <w:sz w:val="24"/>
        </w:rPr>
        <w:t xml:space="preserve"> </w:t>
      </w:r>
      <w:r>
        <w:rPr>
          <w:sz w:val="24"/>
        </w:rPr>
        <w:t>change</w:t>
      </w:r>
      <w:r>
        <w:rPr>
          <w:spacing w:val="-5"/>
          <w:sz w:val="24"/>
        </w:rPr>
        <w:t xml:space="preserve"> </w:t>
      </w:r>
      <w:r>
        <w:rPr>
          <w:sz w:val="24"/>
        </w:rPr>
        <w:t>gain/loss</w:t>
      </w:r>
      <w:r>
        <w:rPr>
          <w:spacing w:val="-4"/>
          <w:sz w:val="24"/>
        </w:rPr>
        <w:t xml:space="preserve"> </w:t>
      </w:r>
      <w:r>
        <w:rPr>
          <w:sz w:val="24"/>
        </w:rPr>
        <w:t>margin</w:t>
      </w:r>
      <w:r>
        <w:rPr>
          <w:spacing w:val="-4"/>
          <w:sz w:val="24"/>
        </w:rPr>
        <w:t xml:space="preserve"> </w:t>
      </w:r>
      <w:r>
        <w:rPr>
          <w:sz w:val="24"/>
        </w:rPr>
        <w:t>for</w:t>
      </w:r>
      <w:r>
        <w:rPr>
          <w:spacing w:val="-5"/>
          <w:sz w:val="24"/>
        </w:rPr>
        <w:t xml:space="preserve"> </w:t>
      </w:r>
      <w:r>
        <w:rPr>
          <w:sz w:val="24"/>
        </w:rPr>
        <w:t>premium</w:t>
      </w:r>
      <w:r>
        <w:rPr>
          <w:spacing w:val="-4"/>
          <w:sz w:val="24"/>
        </w:rPr>
        <w:t xml:space="preserve"> </w:t>
      </w:r>
      <w:r>
        <w:rPr>
          <w:sz w:val="24"/>
        </w:rPr>
        <w:t>rounding,</w:t>
      </w:r>
      <w:r>
        <w:rPr>
          <w:spacing w:val="-2"/>
          <w:sz w:val="24"/>
        </w:rPr>
        <w:t xml:space="preserve"> </w:t>
      </w:r>
      <w:r>
        <w:rPr>
          <w:sz w:val="24"/>
        </w:rPr>
        <w:t>there</w:t>
      </w:r>
      <w:r>
        <w:rPr>
          <w:spacing w:val="-5"/>
          <w:sz w:val="24"/>
        </w:rPr>
        <w:t xml:space="preserve"> </w:t>
      </w:r>
      <w:r>
        <w:rPr>
          <w:sz w:val="24"/>
        </w:rPr>
        <w:t>will</w:t>
      </w:r>
      <w:r>
        <w:rPr>
          <w:spacing w:val="-4"/>
          <w:sz w:val="24"/>
        </w:rPr>
        <w:t xml:space="preserve"> </w:t>
      </w:r>
      <w:r>
        <w:rPr>
          <w:sz w:val="24"/>
        </w:rPr>
        <w:t>be excessive or insufficient unallocated rebates. The MAO may reduce or increase the A/B mandatory supplemental, Part D basic or Part D supplemental premiums with their excessive or insufficient unallocated rebates.</w:t>
      </w:r>
    </w:p>
    <w:p>
      <w:pPr>
        <w:pStyle w:val="ListParagraph"/>
        <w:numPr>
          <w:ilvl w:val="1"/>
          <w:numId w:val="26"/>
        </w:numPr>
        <w:tabs>
          <w:tab w:val="left" w:pos="771"/>
        </w:tabs>
        <w:spacing w:before="241" w:after="0" w:line="240" w:lineRule="auto"/>
        <w:ind w:left="771" w:right="0" w:hanging="267"/>
        <w:jc w:val="left"/>
        <w:rPr>
          <w:rFonts w:ascii="Arial"/>
          <w:b/>
          <w:sz w:val="21"/>
        </w:rPr>
      </w:pPr>
      <w:bookmarkStart w:id="390" w:name="D. Label Definitions and References for "/>
      <w:bookmarkEnd w:id="390"/>
      <w:r>
        <w:rPr>
          <w:rFonts w:ascii="Arial"/>
          <w:b/>
          <w:sz w:val="21"/>
        </w:rPr>
        <w:t>Label</w:t>
      </w:r>
      <w:r>
        <w:rPr>
          <w:rFonts w:ascii="Arial"/>
          <w:b/>
          <w:spacing w:val="-8"/>
          <w:sz w:val="21"/>
        </w:rPr>
        <w:t xml:space="preserve"> </w:t>
      </w:r>
      <w:r>
        <w:rPr>
          <w:rFonts w:ascii="Arial"/>
          <w:b/>
          <w:sz w:val="21"/>
        </w:rPr>
        <w:t>Definitions</w:t>
      </w:r>
      <w:r>
        <w:rPr>
          <w:rFonts w:ascii="Arial"/>
          <w:b/>
          <w:spacing w:val="-7"/>
          <w:sz w:val="21"/>
        </w:rPr>
        <w:t xml:space="preserve"> </w:t>
      </w:r>
      <w:r>
        <w:rPr>
          <w:rFonts w:ascii="Arial"/>
          <w:b/>
          <w:sz w:val="21"/>
        </w:rPr>
        <w:t>and</w:t>
      </w:r>
      <w:r>
        <w:rPr>
          <w:rFonts w:ascii="Arial"/>
          <w:b/>
          <w:spacing w:val="-8"/>
          <w:sz w:val="21"/>
        </w:rPr>
        <w:t xml:space="preserve"> </w:t>
      </w:r>
      <w:r>
        <w:rPr>
          <w:rFonts w:ascii="Arial"/>
          <w:b/>
          <w:sz w:val="21"/>
        </w:rPr>
        <w:t>References</w:t>
      </w:r>
      <w:r>
        <w:rPr>
          <w:rFonts w:ascii="Arial"/>
          <w:b/>
          <w:spacing w:val="-7"/>
          <w:sz w:val="21"/>
        </w:rPr>
        <w:t xml:space="preserve"> </w:t>
      </w:r>
      <w:r>
        <w:rPr>
          <w:rFonts w:ascii="Arial"/>
          <w:b/>
          <w:sz w:val="21"/>
        </w:rPr>
        <w:t>for</w:t>
      </w:r>
      <w:r>
        <w:rPr>
          <w:rFonts w:ascii="Arial"/>
          <w:b/>
          <w:spacing w:val="-9"/>
          <w:sz w:val="21"/>
        </w:rPr>
        <w:t xml:space="preserve"> </w:t>
      </w:r>
      <w:r>
        <w:rPr>
          <w:rFonts w:ascii="Arial"/>
          <w:b/>
          <w:spacing w:val="-2"/>
          <w:sz w:val="21"/>
        </w:rPr>
        <w:t>Examples</w:t>
      </w:r>
    </w:p>
    <w:p>
      <w:pPr>
        <w:pStyle w:val="BodyText"/>
        <w:spacing w:before="131"/>
        <w:ind w:left="0"/>
        <w:rPr>
          <w:rFonts w:ascii="Arial"/>
          <w:b/>
          <w:sz w:val="20"/>
        </w:rPr>
      </w:pPr>
    </w:p>
    <w:tbl>
      <w:tblPr>
        <w:tblStyle w:val="TableNormal"/>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4715"/>
        <w:gridCol w:w="1551"/>
      </w:tblGrid>
      <w:tr>
        <w:tblPrEx>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64"/>
          <w:jc w:val="left"/>
        </w:trPr>
        <w:tc>
          <w:tcPr>
            <w:tcW w:w="2943" w:type="dxa"/>
          </w:tcPr>
          <w:p>
            <w:pPr>
              <w:pStyle w:val="TableParagraph"/>
              <w:spacing w:before="119"/>
              <w:rPr>
                <w:rFonts w:ascii="Arial"/>
                <w:b/>
                <w:sz w:val="21"/>
              </w:rPr>
            </w:pPr>
          </w:p>
          <w:p>
            <w:pPr>
              <w:pStyle w:val="TableParagraph"/>
              <w:ind w:left="12"/>
              <w:jc w:val="center"/>
              <w:rPr>
                <w:b/>
                <w:sz w:val="21"/>
              </w:rPr>
            </w:pPr>
            <w:r>
              <w:rPr>
                <w:b/>
                <w:spacing w:val="-2"/>
                <w:sz w:val="21"/>
              </w:rPr>
              <w:t>Label</w:t>
            </w:r>
          </w:p>
        </w:tc>
        <w:tc>
          <w:tcPr>
            <w:tcW w:w="4715" w:type="dxa"/>
          </w:tcPr>
          <w:p>
            <w:pPr>
              <w:pStyle w:val="TableParagraph"/>
              <w:spacing w:before="119"/>
              <w:rPr>
                <w:rFonts w:ascii="Arial"/>
                <w:b/>
                <w:sz w:val="21"/>
              </w:rPr>
            </w:pPr>
          </w:p>
          <w:p>
            <w:pPr>
              <w:pStyle w:val="TableParagraph"/>
              <w:ind w:left="132" w:right="121"/>
              <w:jc w:val="center"/>
              <w:rPr>
                <w:b/>
                <w:sz w:val="21"/>
              </w:rPr>
            </w:pPr>
            <w:r>
              <w:rPr>
                <w:b/>
                <w:spacing w:val="-2"/>
                <w:sz w:val="21"/>
              </w:rPr>
              <w:t>Definition</w:t>
            </w:r>
          </w:p>
        </w:tc>
        <w:tc>
          <w:tcPr>
            <w:tcW w:w="1551" w:type="dxa"/>
          </w:tcPr>
          <w:p>
            <w:pPr>
              <w:pStyle w:val="TableParagraph"/>
              <w:spacing w:line="240" w:lineRule="exact"/>
              <w:ind w:left="88" w:right="84"/>
              <w:jc w:val="center"/>
              <w:rPr>
                <w:b/>
                <w:sz w:val="21"/>
              </w:rPr>
            </w:pPr>
            <w:r>
              <w:rPr>
                <w:b/>
                <w:sz w:val="21"/>
              </w:rPr>
              <w:t>MA</w:t>
            </w:r>
            <w:r>
              <w:rPr>
                <w:b/>
                <w:spacing w:val="-5"/>
                <w:sz w:val="21"/>
              </w:rPr>
              <w:t xml:space="preserve"> BPT</w:t>
            </w:r>
          </w:p>
          <w:p>
            <w:pPr>
              <w:pStyle w:val="TableParagraph"/>
              <w:spacing w:before="1"/>
              <w:ind w:left="88" w:right="80"/>
              <w:jc w:val="center"/>
              <w:rPr>
                <w:b/>
                <w:sz w:val="21"/>
              </w:rPr>
            </w:pPr>
            <w:r>
              <w:rPr>
                <w:b/>
                <w:spacing w:val="-2"/>
                <w:sz w:val="21"/>
              </w:rPr>
              <w:t xml:space="preserve">Worksheet </w:t>
            </w:r>
            <w:r>
              <w:rPr>
                <w:b/>
                <w:spacing w:val="-4"/>
                <w:sz w:val="21"/>
              </w:rPr>
              <w:t>(WS)</w:t>
            </w:r>
          </w:p>
          <w:p>
            <w:pPr>
              <w:pStyle w:val="TableParagraph"/>
              <w:spacing w:line="221" w:lineRule="exact"/>
              <w:ind w:left="90" w:right="80"/>
              <w:jc w:val="center"/>
              <w:rPr>
                <w:b/>
                <w:sz w:val="21"/>
              </w:rPr>
            </w:pPr>
            <w:r>
              <w:rPr>
                <w:b/>
                <w:spacing w:val="-2"/>
                <w:sz w:val="21"/>
              </w:rPr>
              <w:t>Reference</w:t>
            </w:r>
          </w:p>
        </w:tc>
      </w:tr>
      <w:tr>
        <w:tblPrEx>
          <w:tblW w:w="0" w:type="auto"/>
          <w:jc w:val="left"/>
          <w:tblInd w:w="514" w:type="dxa"/>
          <w:tblLayout w:type="fixed"/>
          <w:tblCellMar>
            <w:top w:w="0" w:type="dxa"/>
            <w:left w:w="0" w:type="dxa"/>
            <w:bottom w:w="0" w:type="dxa"/>
            <w:right w:w="0" w:type="dxa"/>
          </w:tblCellMar>
          <w:tblLook w:val="01E0"/>
        </w:tblPrEx>
        <w:trPr>
          <w:trHeight w:val="1565"/>
          <w:jc w:val="left"/>
        </w:trPr>
        <w:tc>
          <w:tcPr>
            <w:tcW w:w="2943" w:type="dxa"/>
          </w:tcPr>
          <w:p>
            <w:pPr>
              <w:pStyle w:val="TableParagraph"/>
              <w:rPr>
                <w:rFonts w:ascii="Arial"/>
                <w:b/>
                <w:sz w:val="21"/>
              </w:rPr>
            </w:pPr>
          </w:p>
          <w:p>
            <w:pPr>
              <w:pStyle w:val="TableParagraph"/>
              <w:spacing w:before="180"/>
              <w:rPr>
                <w:rFonts w:ascii="Arial"/>
                <w:b/>
                <w:sz w:val="21"/>
              </w:rPr>
            </w:pPr>
          </w:p>
          <w:p>
            <w:pPr>
              <w:pStyle w:val="TableParagraph"/>
              <w:ind w:left="12" w:right="3"/>
              <w:jc w:val="center"/>
              <w:rPr>
                <w:sz w:val="21"/>
              </w:rPr>
            </w:pPr>
            <w:r>
              <w:rPr>
                <w:sz w:val="21"/>
              </w:rPr>
              <w:t>Target</w:t>
            </w:r>
            <w:r>
              <w:rPr>
                <w:spacing w:val="-5"/>
                <w:sz w:val="21"/>
              </w:rPr>
              <w:t xml:space="preserve"> </w:t>
            </w:r>
            <w:r>
              <w:rPr>
                <w:sz w:val="21"/>
              </w:rPr>
              <w:t xml:space="preserve">Plan </w:t>
            </w:r>
            <w:r>
              <w:rPr>
                <w:spacing w:val="-2"/>
                <w:sz w:val="21"/>
              </w:rPr>
              <w:t>Intention</w:t>
            </w:r>
          </w:p>
        </w:tc>
        <w:tc>
          <w:tcPr>
            <w:tcW w:w="4715" w:type="dxa"/>
          </w:tcPr>
          <w:p>
            <w:pPr>
              <w:pStyle w:val="TableParagraph"/>
              <w:spacing w:before="58"/>
              <w:ind w:left="110" w:right="100" w:hanging="2"/>
              <w:jc w:val="center"/>
              <w:rPr>
                <w:sz w:val="21"/>
              </w:rPr>
            </w:pPr>
            <w:r>
              <w:rPr>
                <w:sz w:val="21"/>
              </w:rPr>
              <w:t>The plan intention for the target Part D basic premium,</w:t>
            </w:r>
            <w:r>
              <w:rPr>
                <w:spacing w:val="-3"/>
                <w:sz w:val="21"/>
              </w:rPr>
              <w:t xml:space="preserve"> </w:t>
            </w:r>
            <w:r>
              <w:rPr>
                <w:sz w:val="21"/>
              </w:rPr>
              <w:t>which</w:t>
            </w:r>
            <w:r>
              <w:rPr>
                <w:spacing w:val="-6"/>
                <w:sz w:val="21"/>
              </w:rPr>
              <w:t xml:space="preserve"> </w:t>
            </w:r>
            <w:r>
              <w:rPr>
                <w:sz w:val="21"/>
              </w:rPr>
              <w:t>consists</w:t>
            </w:r>
            <w:r>
              <w:rPr>
                <w:spacing w:val="-3"/>
                <w:sz w:val="21"/>
              </w:rPr>
              <w:t xml:space="preserve"> </w:t>
            </w:r>
            <w:r>
              <w:rPr>
                <w:sz w:val="21"/>
              </w:rPr>
              <w:t>of</w:t>
            </w:r>
            <w:r>
              <w:rPr>
                <w:spacing w:val="-7"/>
                <w:sz w:val="21"/>
              </w:rPr>
              <w:t xml:space="preserve"> </w:t>
            </w:r>
            <w:r>
              <w:rPr>
                <w:sz w:val="21"/>
              </w:rPr>
              <w:t>either</w:t>
            </w:r>
            <w:r>
              <w:rPr>
                <w:spacing w:val="-4"/>
                <w:sz w:val="21"/>
              </w:rPr>
              <w:t xml:space="preserve"> </w:t>
            </w:r>
            <w:r>
              <w:rPr>
                <w:sz w:val="21"/>
              </w:rPr>
              <w:t>(i)</w:t>
            </w:r>
            <w:r>
              <w:rPr>
                <w:spacing w:val="-4"/>
                <w:sz w:val="21"/>
              </w:rPr>
              <w:t xml:space="preserve"> </w:t>
            </w:r>
            <w:r>
              <w:rPr>
                <w:sz w:val="21"/>
              </w:rPr>
              <w:t>the</w:t>
            </w:r>
            <w:r>
              <w:rPr>
                <w:spacing w:val="-3"/>
                <w:sz w:val="21"/>
              </w:rPr>
              <w:t xml:space="preserve"> </w:t>
            </w:r>
            <w:r>
              <w:rPr>
                <w:sz w:val="21"/>
              </w:rPr>
              <w:t>basic</w:t>
            </w:r>
            <w:r>
              <w:rPr>
                <w:spacing w:val="-4"/>
                <w:sz w:val="21"/>
              </w:rPr>
              <w:t xml:space="preserve"> </w:t>
            </w:r>
            <w:r>
              <w:rPr>
                <w:sz w:val="21"/>
              </w:rPr>
              <w:t>Part</w:t>
            </w:r>
            <w:r>
              <w:rPr>
                <w:spacing w:val="-4"/>
                <w:sz w:val="21"/>
              </w:rPr>
              <w:t xml:space="preserve"> </w:t>
            </w:r>
            <w:r>
              <w:rPr>
                <w:sz w:val="21"/>
              </w:rPr>
              <w:t>D premium net of rebates, as submitted in the initial June bid submission (initial Part D basic premium)</w:t>
            </w:r>
            <w:r>
              <w:rPr>
                <w:spacing w:val="40"/>
                <w:sz w:val="21"/>
              </w:rPr>
              <w:t xml:space="preserve"> </w:t>
            </w:r>
            <w:r>
              <w:rPr>
                <w:sz w:val="21"/>
              </w:rPr>
              <w:t xml:space="preserve">or (ii) the low-income premium subsidy amount </w:t>
            </w:r>
            <w:r>
              <w:rPr>
                <w:spacing w:val="-2"/>
                <w:sz w:val="21"/>
              </w:rPr>
              <w:t>(LIPSA).</w:t>
            </w:r>
          </w:p>
        </w:tc>
        <w:tc>
          <w:tcPr>
            <w:tcW w:w="1551" w:type="dxa"/>
          </w:tcPr>
          <w:p>
            <w:pPr>
              <w:pStyle w:val="TableParagraph"/>
              <w:rPr>
                <w:rFonts w:ascii="Arial"/>
                <w:b/>
                <w:sz w:val="21"/>
              </w:rPr>
            </w:pPr>
          </w:p>
          <w:p>
            <w:pPr>
              <w:pStyle w:val="TableParagraph"/>
              <w:spacing w:before="180"/>
              <w:rPr>
                <w:rFonts w:ascii="Arial"/>
                <w:b/>
                <w:sz w:val="21"/>
              </w:rPr>
            </w:pPr>
          </w:p>
          <w:p>
            <w:pPr>
              <w:pStyle w:val="TableParagraph"/>
              <w:ind w:left="88" w:right="81"/>
              <w:jc w:val="center"/>
              <w:rPr>
                <w:sz w:val="21"/>
              </w:rPr>
            </w:pPr>
            <w:r>
              <w:rPr>
                <w:sz w:val="21"/>
              </w:rPr>
              <w:t>WS6</w:t>
            </w:r>
            <w:r>
              <w:rPr>
                <w:spacing w:val="-3"/>
                <w:sz w:val="21"/>
              </w:rPr>
              <w:t xml:space="preserve"> </w:t>
            </w:r>
            <w:r>
              <w:rPr>
                <w:spacing w:val="-5"/>
                <w:sz w:val="21"/>
              </w:rPr>
              <w:t>R47</w:t>
            </w:r>
          </w:p>
        </w:tc>
      </w:tr>
      <w:tr>
        <w:tblPrEx>
          <w:tblW w:w="0" w:type="auto"/>
          <w:jc w:val="left"/>
          <w:tblInd w:w="514" w:type="dxa"/>
          <w:tblLayout w:type="fixed"/>
          <w:tblCellMar>
            <w:top w:w="0" w:type="dxa"/>
            <w:left w:w="0" w:type="dxa"/>
            <w:bottom w:w="0" w:type="dxa"/>
            <w:right w:w="0" w:type="dxa"/>
          </w:tblCellMar>
          <w:tblLook w:val="01E0"/>
        </w:tblPrEx>
        <w:trPr>
          <w:trHeight w:val="1501"/>
          <w:jc w:val="left"/>
        </w:trPr>
        <w:tc>
          <w:tcPr>
            <w:tcW w:w="2943" w:type="dxa"/>
          </w:tcPr>
          <w:p>
            <w:pPr>
              <w:pStyle w:val="TableParagraph"/>
              <w:rPr>
                <w:rFonts w:ascii="Arial"/>
                <w:b/>
                <w:sz w:val="21"/>
              </w:rPr>
            </w:pPr>
          </w:p>
          <w:p>
            <w:pPr>
              <w:pStyle w:val="TableParagraph"/>
              <w:spacing w:before="146"/>
              <w:rPr>
                <w:rFonts w:ascii="Arial"/>
                <w:b/>
                <w:sz w:val="21"/>
              </w:rPr>
            </w:pPr>
          </w:p>
          <w:p>
            <w:pPr>
              <w:pStyle w:val="TableParagraph"/>
              <w:ind w:left="12" w:right="1"/>
              <w:jc w:val="center"/>
              <w:rPr>
                <w:sz w:val="21"/>
              </w:rPr>
            </w:pPr>
            <w:r>
              <w:rPr>
                <w:sz w:val="21"/>
              </w:rPr>
              <w:t>Rebates</w:t>
            </w:r>
            <w:r>
              <w:rPr>
                <w:spacing w:val="-4"/>
                <w:sz w:val="21"/>
              </w:rPr>
              <w:t xml:space="preserve"> </w:t>
            </w:r>
            <w:r>
              <w:rPr>
                <w:sz w:val="21"/>
              </w:rPr>
              <w:t>for</w:t>
            </w:r>
            <w:r>
              <w:rPr>
                <w:spacing w:val="-4"/>
                <w:sz w:val="21"/>
              </w:rPr>
              <w:t xml:space="preserve"> </w:t>
            </w:r>
            <w:r>
              <w:rPr>
                <w:spacing w:val="-2"/>
                <w:sz w:val="21"/>
              </w:rPr>
              <w:t>Allocation</w:t>
            </w:r>
          </w:p>
        </w:tc>
        <w:tc>
          <w:tcPr>
            <w:tcW w:w="4715" w:type="dxa"/>
          </w:tcPr>
          <w:p>
            <w:pPr>
              <w:pStyle w:val="TableParagraph"/>
              <w:spacing w:before="147"/>
              <w:ind w:left="132" w:right="120"/>
              <w:jc w:val="center"/>
              <w:rPr>
                <w:sz w:val="21"/>
              </w:rPr>
            </w:pPr>
            <w:r>
              <w:rPr>
                <w:sz w:val="21"/>
              </w:rPr>
              <w:t>The</w:t>
            </w:r>
            <w:r>
              <w:rPr>
                <w:spacing w:val="-4"/>
                <w:sz w:val="21"/>
              </w:rPr>
              <w:t xml:space="preserve"> </w:t>
            </w:r>
            <w:r>
              <w:rPr>
                <w:sz w:val="21"/>
              </w:rPr>
              <w:t>total</w:t>
            </w:r>
            <w:r>
              <w:rPr>
                <w:spacing w:val="-5"/>
                <w:sz w:val="21"/>
              </w:rPr>
              <w:t xml:space="preserve"> </w:t>
            </w:r>
            <w:r>
              <w:rPr>
                <w:sz w:val="21"/>
              </w:rPr>
              <w:t>amount</w:t>
            </w:r>
            <w:r>
              <w:rPr>
                <w:spacing w:val="-5"/>
                <w:sz w:val="21"/>
              </w:rPr>
              <w:t xml:space="preserve"> </w:t>
            </w:r>
            <w:r>
              <w:rPr>
                <w:sz w:val="21"/>
              </w:rPr>
              <w:t>of</w:t>
            </w:r>
            <w:r>
              <w:rPr>
                <w:spacing w:val="-5"/>
                <w:sz w:val="21"/>
              </w:rPr>
              <w:t xml:space="preserve"> </w:t>
            </w:r>
            <w:r>
              <w:rPr>
                <w:sz w:val="21"/>
              </w:rPr>
              <w:t>rebates</w:t>
            </w:r>
            <w:r>
              <w:rPr>
                <w:spacing w:val="-5"/>
                <w:sz w:val="21"/>
              </w:rPr>
              <w:t xml:space="preserve"> </w:t>
            </w:r>
            <w:r>
              <w:rPr>
                <w:sz w:val="21"/>
              </w:rPr>
              <w:t>required</w:t>
            </w:r>
            <w:r>
              <w:rPr>
                <w:spacing w:val="-4"/>
                <w:sz w:val="21"/>
              </w:rPr>
              <w:t xml:space="preserve"> </w:t>
            </w:r>
            <w:r>
              <w:rPr>
                <w:sz w:val="21"/>
              </w:rPr>
              <w:t>to</w:t>
            </w:r>
            <w:r>
              <w:rPr>
                <w:spacing w:val="-4"/>
                <w:sz w:val="21"/>
              </w:rPr>
              <w:t xml:space="preserve"> </w:t>
            </w:r>
            <w:r>
              <w:rPr>
                <w:sz w:val="21"/>
              </w:rPr>
              <w:t>allocate</w:t>
            </w:r>
            <w:r>
              <w:rPr>
                <w:spacing w:val="-4"/>
                <w:sz w:val="21"/>
              </w:rPr>
              <w:t xml:space="preserve"> </w:t>
            </w:r>
            <w:r>
              <w:rPr>
                <w:sz w:val="21"/>
              </w:rPr>
              <w:t>to</w:t>
            </w:r>
            <w:r>
              <w:rPr>
                <w:spacing w:val="-4"/>
                <w:sz w:val="21"/>
              </w:rPr>
              <w:t xml:space="preserve"> </w:t>
            </w:r>
            <w:r>
              <w:rPr>
                <w:sz w:val="21"/>
              </w:rPr>
              <w:t>(i) achieve the target plan intention for the Part D basic premium and (ii) update BPT for published RPPO benchmark values (that is, the unallocated rebates in Worksheet 6, L31 that is a result of (i) and/or (ii)).</w:t>
            </w:r>
          </w:p>
        </w:tc>
        <w:tc>
          <w:tcPr>
            <w:tcW w:w="1551" w:type="dxa"/>
          </w:tcPr>
          <w:p>
            <w:pPr>
              <w:pStyle w:val="TableParagraph"/>
              <w:rPr>
                <w:rFonts w:ascii="Arial"/>
                <w:b/>
                <w:sz w:val="21"/>
              </w:rPr>
            </w:pPr>
          </w:p>
          <w:p>
            <w:pPr>
              <w:pStyle w:val="TableParagraph"/>
              <w:spacing w:before="146"/>
              <w:rPr>
                <w:rFonts w:ascii="Arial"/>
                <w:b/>
                <w:sz w:val="21"/>
              </w:rPr>
            </w:pPr>
          </w:p>
          <w:p>
            <w:pPr>
              <w:pStyle w:val="TableParagraph"/>
              <w:ind w:left="88" w:right="82"/>
              <w:jc w:val="center"/>
              <w:rPr>
                <w:sz w:val="21"/>
              </w:rPr>
            </w:pPr>
            <w:r>
              <w:rPr>
                <w:spacing w:val="-5"/>
                <w:sz w:val="21"/>
              </w:rPr>
              <w:t>N/A</w:t>
            </w:r>
          </w:p>
        </w:tc>
      </w:tr>
      <w:tr>
        <w:tblPrEx>
          <w:tblW w:w="0" w:type="auto"/>
          <w:jc w:val="left"/>
          <w:tblInd w:w="514" w:type="dxa"/>
          <w:tblLayout w:type="fixed"/>
          <w:tblCellMar>
            <w:top w:w="0" w:type="dxa"/>
            <w:left w:w="0" w:type="dxa"/>
            <w:bottom w:w="0" w:type="dxa"/>
            <w:right w:w="0" w:type="dxa"/>
          </w:tblCellMar>
          <w:tblLook w:val="01E0"/>
        </w:tblPrEx>
        <w:trPr>
          <w:trHeight w:val="1267"/>
          <w:jc w:val="left"/>
        </w:trPr>
        <w:tc>
          <w:tcPr>
            <w:tcW w:w="2943" w:type="dxa"/>
          </w:tcPr>
          <w:p>
            <w:pPr>
              <w:pStyle w:val="TableParagraph"/>
              <w:rPr>
                <w:rFonts w:ascii="Arial"/>
                <w:b/>
                <w:sz w:val="21"/>
              </w:rPr>
            </w:pPr>
          </w:p>
          <w:p>
            <w:pPr>
              <w:pStyle w:val="TableParagraph"/>
              <w:spacing w:before="28"/>
              <w:rPr>
                <w:rFonts w:ascii="Arial"/>
                <w:b/>
                <w:sz w:val="21"/>
              </w:rPr>
            </w:pPr>
          </w:p>
          <w:p>
            <w:pPr>
              <w:pStyle w:val="TableParagraph"/>
              <w:ind w:left="12" w:right="5"/>
              <w:jc w:val="center"/>
              <w:rPr>
                <w:sz w:val="21"/>
              </w:rPr>
            </w:pPr>
            <w:r>
              <w:rPr>
                <w:spacing w:val="-2"/>
                <w:sz w:val="21"/>
              </w:rPr>
              <w:t>LIPSA</w:t>
            </w:r>
          </w:p>
        </w:tc>
        <w:tc>
          <w:tcPr>
            <w:tcW w:w="4715" w:type="dxa"/>
          </w:tcPr>
          <w:p>
            <w:pPr>
              <w:pStyle w:val="TableParagraph"/>
              <w:spacing w:before="29"/>
              <w:ind w:left="122" w:right="108" w:hanging="2"/>
              <w:jc w:val="center"/>
              <w:rPr>
                <w:sz w:val="21"/>
              </w:rPr>
            </w:pPr>
            <w:r>
              <w:rPr>
                <w:sz w:val="21"/>
              </w:rPr>
              <w:t>The</w:t>
            </w:r>
            <w:r>
              <w:rPr>
                <w:spacing w:val="-2"/>
                <w:sz w:val="21"/>
              </w:rPr>
              <w:t xml:space="preserve"> </w:t>
            </w:r>
            <w:r>
              <w:rPr>
                <w:sz w:val="21"/>
              </w:rPr>
              <w:t>CMS-published low-income subsidy amount</w:t>
            </w:r>
            <w:r>
              <w:rPr>
                <w:spacing w:val="-1"/>
                <w:sz w:val="21"/>
              </w:rPr>
              <w:t xml:space="preserve"> </w:t>
            </w:r>
            <w:r>
              <w:rPr>
                <w:sz w:val="21"/>
              </w:rPr>
              <w:t>for fully</w:t>
            </w:r>
            <w:r>
              <w:rPr>
                <w:spacing w:val="-6"/>
                <w:sz w:val="21"/>
              </w:rPr>
              <w:t xml:space="preserve"> </w:t>
            </w:r>
            <w:r>
              <w:rPr>
                <w:sz w:val="21"/>
              </w:rPr>
              <w:t>eligible</w:t>
            </w:r>
            <w:r>
              <w:rPr>
                <w:spacing w:val="-6"/>
                <w:sz w:val="21"/>
              </w:rPr>
              <w:t xml:space="preserve"> </w:t>
            </w:r>
            <w:r>
              <w:rPr>
                <w:sz w:val="21"/>
              </w:rPr>
              <w:t>low-income</w:t>
            </w:r>
            <w:r>
              <w:rPr>
                <w:spacing w:val="-6"/>
                <w:sz w:val="21"/>
              </w:rPr>
              <w:t xml:space="preserve"> </w:t>
            </w:r>
            <w:r>
              <w:rPr>
                <w:sz w:val="21"/>
              </w:rPr>
              <w:t>subsidy</w:t>
            </w:r>
            <w:r>
              <w:rPr>
                <w:spacing w:val="-6"/>
                <w:sz w:val="21"/>
              </w:rPr>
              <w:t xml:space="preserve"> </w:t>
            </w:r>
            <w:r>
              <w:rPr>
                <w:sz w:val="21"/>
              </w:rPr>
              <w:t>individuals</w:t>
            </w:r>
            <w:r>
              <w:rPr>
                <w:spacing w:val="-7"/>
                <w:sz w:val="21"/>
              </w:rPr>
              <w:t xml:space="preserve"> </w:t>
            </w:r>
            <w:r>
              <w:rPr>
                <w:sz w:val="21"/>
              </w:rPr>
              <w:t>in</w:t>
            </w:r>
            <w:r>
              <w:rPr>
                <w:spacing w:val="-6"/>
                <w:sz w:val="21"/>
              </w:rPr>
              <w:t xml:space="preserve"> </w:t>
            </w:r>
            <w:r>
              <w:rPr>
                <w:sz w:val="21"/>
              </w:rPr>
              <w:t>each Part D region. This amount is published prior to the rebate reallocation period, but not prior to the initial June BPT submissions.</w:t>
            </w:r>
          </w:p>
        </w:tc>
        <w:tc>
          <w:tcPr>
            <w:tcW w:w="1551" w:type="dxa"/>
          </w:tcPr>
          <w:p>
            <w:pPr>
              <w:pStyle w:val="TableParagraph"/>
              <w:rPr>
                <w:rFonts w:ascii="Arial"/>
                <w:b/>
                <w:sz w:val="21"/>
              </w:rPr>
            </w:pPr>
          </w:p>
          <w:p>
            <w:pPr>
              <w:pStyle w:val="TableParagraph"/>
              <w:spacing w:before="28"/>
              <w:rPr>
                <w:rFonts w:ascii="Arial"/>
                <w:b/>
                <w:sz w:val="21"/>
              </w:rPr>
            </w:pPr>
          </w:p>
          <w:p>
            <w:pPr>
              <w:pStyle w:val="TableParagraph"/>
              <w:ind w:left="88" w:right="82"/>
              <w:jc w:val="center"/>
              <w:rPr>
                <w:sz w:val="21"/>
              </w:rPr>
            </w:pPr>
            <w:r>
              <w:rPr>
                <w:spacing w:val="-5"/>
                <w:sz w:val="21"/>
              </w:rPr>
              <w:t>N/A</w:t>
            </w:r>
          </w:p>
        </w:tc>
      </w:tr>
      <w:tr>
        <w:tblPrEx>
          <w:tblW w:w="0" w:type="auto"/>
          <w:jc w:val="left"/>
          <w:tblInd w:w="514" w:type="dxa"/>
          <w:tblLayout w:type="fixed"/>
          <w:tblCellMar>
            <w:top w:w="0" w:type="dxa"/>
            <w:left w:w="0" w:type="dxa"/>
            <w:bottom w:w="0" w:type="dxa"/>
            <w:right w:w="0" w:type="dxa"/>
          </w:tblCellMar>
          <w:tblLook w:val="01E0"/>
        </w:tblPrEx>
        <w:trPr>
          <w:trHeight w:val="299"/>
          <w:jc w:val="left"/>
        </w:trPr>
        <w:tc>
          <w:tcPr>
            <w:tcW w:w="2943" w:type="dxa"/>
          </w:tcPr>
          <w:p>
            <w:pPr>
              <w:pStyle w:val="TableParagraph"/>
              <w:spacing w:before="29"/>
              <w:ind w:left="12" w:right="4"/>
              <w:jc w:val="center"/>
              <w:rPr>
                <w:sz w:val="21"/>
              </w:rPr>
            </w:pPr>
            <w:r>
              <w:rPr>
                <w:sz w:val="21"/>
              </w:rPr>
              <w:t>Gain/Loss</w:t>
            </w:r>
            <w:r>
              <w:rPr>
                <w:spacing w:val="-10"/>
                <w:sz w:val="21"/>
              </w:rPr>
              <w:t xml:space="preserve"> </w:t>
            </w:r>
            <w:r>
              <w:rPr>
                <w:spacing w:val="-2"/>
                <w:sz w:val="21"/>
              </w:rPr>
              <w:t>Margin</w:t>
            </w:r>
          </w:p>
        </w:tc>
        <w:tc>
          <w:tcPr>
            <w:tcW w:w="4715" w:type="dxa"/>
          </w:tcPr>
          <w:p>
            <w:pPr>
              <w:pStyle w:val="TableParagraph"/>
              <w:spacing w:before="29"/>
              <w:ind w:left="8"/>
              <w:jc w:val="center"/>
              <w:rPr>
                <w:sz w:val="21"/>
              </w:rPr>
            </w:pPr>
            <w:r>
              <w:rPr>
                <w:sz w:val="21"/>
              </w:rPr>
              <w:t>The</w:t>
            </w:r>
            <w:r>
              <w:rPr>
                <w:spacing w:val="-5"/>
                <w:sz w:val="21"/>
              </w:rPr>
              <w:t xml:space="preserve"> </w:t>
            </w:r>
            <w:r>
              <w:rPr>
                <w:sz w:val="21"/>
              </w:rPr>
              <w:t>total</w:t>
            </w:r>
            <w:r>
              <w:rPr>
                <w:spacing w:val="-4"/>
                <w:sz w:val="21"/>
              </w:rPr>
              <w:t xml:space="preserve"> </w:t>
            </w:r>
            <w:r>
              <w:rPr>
                <w:sz w:val="21"/>
              </w:rPr>
              <w:t>gain/loss</w:t>
            </w:r>
            <w:r>
              <w:rPr>
                <w:spacing w:val="-5"/>
                <w:sz w:val="21"/>
              </w:rPr>
              <w:t xml:space="preserve"> </w:t>
            </w:r>
            <w:r>
              <w:rPr>
                <w:sz w:val="21"/>
              </w:rPr>
              <w:t>margin</w:t>
            </w:r>
            <w:r>
              <w:rPr>
                <w:spacing w:val="-4"/>
                <w:sz w:val="21"/>
              </w:rPr>
              <w:t xml:space="preserve"> </w:t>
            </w:r>
            <w:r>
              <w:rPr>
                <w:spacing w:val="-2"/>
                <w:sz w:val="21"/>
              </w:rPr>
              <w:t>PMPM.</w:t>
            </w:r>
          </w:p>
        </w:tc>
        <w:tc>
          <w:tcPr>
            <w:tcW w:w="1551" w:type="dxa"/>
          </w:tcPr>
          <w:p>
            <w:pPr>
              <w:pStyle w:val="TableParagraph"/>
              <w:spacing w:before="29"/>
              <w:ind w:left="88" w:right="81"/>
              <w:jc w:val="center"/>
              <w:rPr>
                <w:sz w:val="21"/>
              </w:rPr>
            </w:pPr>
            <w:r>
              <w:rPr>
                <w:sz w:val="21"/>
              </w:rPr>
              <w:t>WS4</w:t>
            </w:r>
            <w:r>
              <w:rPr>
                <w:spacing w:val="-3"/>
                <w:sz w:val="21"/>
              </w:rPr>
              <w:t xml:space="preserve"> </w:t>
            </w:r>
            <w:r>
              <w:rPr>
                <w:spacing w:val="-4"/>
                <w:sz w:val="21"/>
              </w:rPr>
              <w:t>H107</w:t>
            </w:r>
          </w:p>
        </w:tc>
      </w:tr>
      <w:tr>
        <w:tblPrEx>
          <w:tblW w:w="0" w:type="auto"/>
          <w:jc w:val="left"/>
          <w:tblInd w:w="514" w:type="dxa"/>
          <w:tblLayout w:type="fixed"/>
          <w:tblCellMar>
            <w:top w:w="0" w:type="dxa"/>
            <w:left w:w="0" w:type="dxa"/>
            <w:bottom w:w="0" w:type="dxa"/>
            <w:right w:w="0" w:type="dxa"/>
          </w:tblCellMar>
          <w:tblLook w:val="01E0"/>
        </w:tblPrEx>
        <w:trPr>
          <w:trHeight w:val="1026"/>
          <w:jc w:val="left"/>
        </w:trPr>
        <w:tc>
          <w:tcPr>
            <w:tcW w:w="2943" w:type="dxa"/>
          </w:tcPr>
          <w:p>
            <w:pPr>
              <w:pStyle w:val="TableParagraph"/>
              <w:spacing w:before="150"/>
              <w:rPr>
                <w:rFonts w:ascii="Arial"/>
                <w:b/>
                <w:sz w:val="21"/>
              </w:rPr>
            </w:pPr>
          </w:p>
          <w:p>
            <w:pPr>
              <w:pStyle w:val="TableParagraph"/>
              <w:ind w:left="12" w:right="1"/>
              <w:jc w:val="center"/>
              <w:rPr>
                <w:sz w:val="21"/>
              </w:rPr>
            </w:pPr>
            <w:r>
              <w:rPr>
                <w:sz w:val="21"/>
              </w:rPr>
              <w:t>Total</w:t>
            </w:r>
            <w:r>
              <w:rPr>
                <w:spacing w:val="-4"/>
                <w:sz w:val="21"/>
              </w:rPr>
              <w:t xml:space="preserve"> </w:t>
            </w:r>
            <w:r>
              <w:rPr>
                <w:sz w:val="21"/>
              </w:rPr>
              <w:t>MA</w:t>
            </w:r>
            <w:r>
              <w:rPr>
                <w:spacing w:val="-3"/>
                <w:sz w:val="21"/>
              </w:rPr>
              <w:t xml:space="preserve"> </w:t>
            </w:r>
            <w:r>
              <w:rPr>
                <w:spacing w:val="-2"/>
                <w:sz w:val="21"/>
              </w:rPr>
              <w:t>Rebates</w:t>
            </w:r>
          </w:p>
        </w:tc>
        <w:tc>
          <w:tcPr>
            <w:tcW w:w="4715" w:type="dxa"/>
          </w:tcPr>
          <w:p>
            <w:pPr>
              <w:pStyle w:val="TableParagraph"/>
              <w:spacing w:before="29"/>
              <w:ind w:left="237" w:right="227" w:hanging="2"/>
              <w:jc w:val="center"/>
              <w:rPr>
                <w:sz w:val="21"/>
              </w:rPr>
            </w:pPr>
            <w:r>
              <w:rPr>
                <w:sz w:val="21"/>
              </w:rPr>
              <w:t>The total MA rebate amount that will be received from CMS. It is used to reduce enrollee out-of-pocket</w:t>
            </w:r>
            <w:r>
              <w:rPr>
                <w:spacing w:val="-7"/>
                <w:sz w:val="21"/>
              </w:rPr>
              <w:t xml:space="preserve"> </w:t>
            </w:r>
            <w:r>
              <w:rPr>
                <w:sz w:val="21"/>
              </w:rPr>
              <w:t>costs</w:t>
            </w:r>
            <w:r>
              <w:rPr>
                <w:spacing w:val="-5"/>
                <w:sz w:val="21"/>
              </w:rPr>
              <w:t xml:space="preserve"> </w:t>
            </w:r>
            <w:r>
              <w:rPr>
                <w:sz w:val="21"/>
              </w:rPr>
              <w:t>or</w:t>
            </w:r>
            <w:r>
              <w:rPr>
                <w:spacing w:val="-6"/>
                <w:sz w:val="21"/>
              </w:rPr>
              <w:t xml:space="preserve"> </w:t>
            </w:r>
            <w:r>
              <w:rPr>
                <w:sz w:val="21"/>
              </w:rPr>
              <w:t>to</w:t>
            </w:r>
            <w:r>
              <w:rPr>
                <w:spacing w:val="-8"/>
                <w:sz w:val="21"/>
              </w:rPr>
              <w:t xml:space="preserve"> </w:t>
            </w:r>
            <w:r>
              <w:rPr>
                <w:sz w:val="21"/>
              </w:rPr>
              <w:t>provide</w:t>
            </w:r>
            <w:r>
              <w:rPr>
                <w:spacing w:val="-5"/>
                <w:sz w:val="21"/>
              </w:rPr>
              <w:t xml:space="preserve"> </w:t>
            </w:r>
            <w:r>
              <w:rPr>
                <w:sz w:val="21"/>
              </w:rPr>
              <w:t>additional</w:t>
            </w:r>
            <w:r>
              <w:rPr>
                <w:spacing w:val="-6"/>
                <w:sz w:val="21"/>
              </w:rPr>
              <w:t xml:space="preserve"> </w:t>
            </w:r>
            <w:r>
              <w:rPr>
                <w:sz w:val="21"/>
              </w:rPr>
              <w:t xml:space="preserve">supplemental </w:t>
            </w:r>
            <w:r>
              <w:rPr>
                <w:spacing w:val="-2"/>
                <w:sz w:val="21"/>
              </w:rPr>
              <w:t>benefits.</w:t>
            </w:r>
          </w:p>
        </w:tc>
        <w:tc>
          <w:tcPr>
            <w:tcW w:w="1551" w:type="dxa"/>
          </w:tcPr>
          <w:p>
            <w:pPr>
              <w:pStyle w:val="TableParagraph"/>
              <w:spacing w:before="150"/>
              <w:rPr>
                <w:rFonts w:ascii="Arial"/>
                <w:b/>
                <w:sz w:val="21"/>
              </w:rPr>
            </w:pPr>
          </w:p>
          <w:p>
            <w:pPr>
              <w:pStyle w:val="TableParagraph"/>
              <w:ind w:left="89" w:right="80"/>
              <w:jc w:val="center"/>
              <w:rPr>
                <w:sz w:val="21"/>
              </w:rPr>
            </w:pPr>
            <w:r>
              <w:rPr>
                <w:sz w:val="21"/>
              </w:rPr>
              <w:t>WS5</w:t>
            </w:r>
            <w:r>
              <w:rPr>
                <w:spacing w:val="-3"/>
                <w:sz w:val="21"/>
              </w:rPr>
              <w:t xml:space="preserve"> </w:t>
            </w:r>
            <w:r>
              <w:rPr>
                <w:spacing w:val="-5"/>
                <w:sz w:val="21"/>
              </w:rPr>
              <w:t>E24</w:t>
            </w:r>
          </w:p>
        </w:tc>
      </w:tr>
      <w:tr>
        <w:tblPrEx>
          <w:tblW w:w="0" w:type="auto"/>
          <w:jc w:val="left"/>
          <w:tblInd w:w="514" w:type="dxa"/>
          <w:tblLayout w:type="fixed"/>
          <w:tblCellMar>
            <w:top w:w="0" w:type="dxa"/>
            <w:left w:w="0" w:type="dxa"/>
            <w:bottom w:w="0" w:type="dxa"/>
            <w:right w:w="0" w:type="dxa"/>
          </w:tblCellMar>
          <w:tblLook w:val="01E0"/>
        </w:tblPrEx>
        <w:trPr>
          <w:trHeight w:val="1518"/>
          <w:jc w:val="left"/>
        </w:trPr>
        <w:tc>
          <w:tcPr>
            <w:tcW w:w="2943" w:type="dxa"/>
          </w:tcPr>
          <w:p>
            <w:pPr>
              <w:pStyle w:val="TableParagraph"/>
              <w:rPr>
                <w:rFonts w:ascii="Arial"/>
                <w:b/>
                <w:sz w:val="21"/>
              </w:rPr>
            </w:pPr>
          </w:p>
          <w:p>
            <w:pPr>
              <w:pStyle w:val="TableParagraph"/>
              <w:spacing w:before="155"/>
              <w:rPr>
                <w:rFonts w:ascii="Arial"/>
                <w:b/>
                <w:sz w:val="21"/>
              </w:rPr>
            </w:pPr>
          </w:p>
          <w:p>
            <w:pPr>
              <w:pStyle w:val="TableParagraph"/>
              <w:spacing w:before="1"/>
              <w:ind w:left="12" w:right="3"/>
              <w:jc w:val="center"/>
              <w:rPr>
                <w:sz w:val="21"/>
              </w:rPr>
            </w:pPr>
            <w:r>
              <w:rPr>
                <w:sz w:val="21"/>
              </w:rPr>
              <w:t>Change</w:t>
            </w:r>
            <w:r>
              <w:rPr>
                <w:spacing w:val="-3"/>
                <w:sz w:val="21"/>
              </w:rPr>
              <w:t xml:space="preserve"> </w:t>
            </w:r>
            <w:r>
              <w:rPr>
                <w:sz w:val="21"/>
              </w:rPr>
              <w:t>in</w:t>
            </w:r>
            <w:r>
              <w:rPr>
                <w:spacing w:val="-3"/>
                <w:sz w:val="21"/>
              </w:rPr>
              <w:t xml:space="preserve"> </w:t>
            </w:r>
            <w:r>
              <w:rPr>
                <w:sz w:val="21"/>
              </w:rPr>
              <w:t>Total</w:t>
            </w:r>
            <w:r>
              <w:rPr>
                <w:spacing w:val="-3"/>
                <w:sz w:val="21"/>
              </w:rPr>
              <w:t xml:space="preserve"> </w:t>
            </w:r>
            <w:r>
              <w:rPr>
                <w:sz w:val="21"/>
              </w:rPr>
              <w:t>MA</w:t>
            </w:r>
            <w:r>
              <w:rPr>
                <w:spacing w:val="-4"/>
                <w:sz w:val="21"/>
              </w:rPr>
              <w:t xml:space="preserve"> </w:t>
            </w:r>
            <w:r>
              <w:rPr>
                <w:spacing w:val="-2"/>
                <w:sz w:val="21"/>
              </w:rPr>
              <w:t>Rebates</w:t>
            </w:r>
          </w:p>
        </w:tc>
        <w:tc>
          <w:tcPr>
            <w:tcW w:w="4715" w:type="dxa"/>
          </w:tcPr>
          <w:p>
            <w:pPr>
              <w:pStyle w:val="TableParagraph"/>
              <w:spacing w:before="34"/>
              <w:ind w:left="186"/>
              <w:rPr>
                <w:sz w:val="21"/>
              </w:rPr>
            </w:pPr>
            <w:r>
              <w:rPr>
                <w:sz w:val="21"/>
              </w:rPr>
              <w:t>The</w:t>
            </w:r>
            <w:r>
              <w:rPr>
                <w:spacing w:val="-5"/>
                <w:sz w:val="21"/>
              </w:rPr>
              <w:t xml:space="preserve"> </w:t>
            </w:r>
            <w:r>
              <w:rPr>
                <w:sz w:val="21"/>
              </w:rPr>
              <w:t>amount</w:t>
            </w:r>
            <w:r>
              <w:rPr>
                <w:spacing w:val="-3"/>
                <w:sz w:val="21"/>
              </w:rPr>
              <w:t xml:space="preserve"> </w:t>
            </w:r>
            <w:r>
              <w:rPr>
                <w:sz w:val="21"/>
              </w:rPr>
              <w:t>of</w:t>
            </w:r>
            <w:r>
              <w:rPr>
                <w:spacing w:val="-3"/>
                <w:sz w:val="21"/>
              </w:rPr>
              <w:t xml:space="preserve"> </w:t>
            </w:r>
            <w:r>
              <w:rPr>
                <w:sz w:val="21"/>
              </w:rPr>
              <w:t>change</w:t>
            </w:r>
            <w:r>
              <w:rPr>
                <w:spacing w:val="-2"/>
                <w:sz w:val="21"/>
              </w:rPr>
              <w:t xml:space="preserve"> </w:t>
            </w:r>
            <w:r>
              <w:rPr>
                <w:sz w:val="21"/>
              </w:rPr>
              <w:t>in</w:t>
            </w:r>
            <w:r>
              <w:rPr>
                <w:spacing w:val="-2"/>
                <w:sz w:val="21"/>
              </w:rPr>
              <w:t xml:space="preserve"> </w:t>
            </w:r>
            <w:r>
              <w:rPr>
                <w:sz w:val="21"/>
              </w:rPr>
              <w:t>the</w:t>
            </w:r>
            <w:r>
              <w:rPr>
                <w:spacing w:val="-5"/>
                <w:sz w:val="21"/>
              </w:rPr>
              <w:t xml:space="preserve"> </w:t>
            </w:r>
            <w:r>
              <w:rPr>
                <w:sz w:val="21"/>
              </w:rPr>
              <w:t>total</w:t>
            </w:r>
            <w:r>
              <w:rPr>
                <w:spacing w:val="-3"/>
                <w:sz w:val="21"/>
              </w:rPr>
              <w:t xml:space="preserve"> </w:t>
            </w:r>
            <w:r>
              <w:rPr>
                <w:sz w:val="21"/>
              </w:rPr>
              <w:t>MA</w:t>
            </w:r>
            <w:r>
              <w:rPr>
                <w:spacing w:val="-2"/>
                <w:sz w:val="21"/>
              </w:rPr>
              <w:t xml:space="preserve"> </w:t>
            </w:r>
            <w:r>
              <w:rPr>
                <w:sz w:val="21"/>
              </w:rPr>
              <w:t>rebates</w:t>
            </w:r>
            <w:r>
              <w:rPr>
                <w:spacing w:val="-3"/>
                <w:sz w:val="21"/>
              </w:rPr>
              <w:t xml:space="preserve"> </w:t>
            </w:r>
            <w:r>
              <w:rPr>
                <w:spacing w:val="-4"/>
                <w:sz w:val="21"/>
              </w:rPr>
              <w:t>from</w:t>
            </w:r>
          </w:p>
          <w:p>
            <w:pPr>
              <w:pStyle w:val="TableParagraph"/>
              <w:spacing w:before="1"/>
              <w:ind w:left="268" w:hanging="92"/>
              <w:rPr>
                <w:sz w:val="21"/>
              </w:rPr>
            </w:pPr>
            <w:r>
              <w:rPr>
                <w:sz w:val="21"/>
              </w:rPr>
              <w:t>(i)</w:t>
            </w:r>
            <w:r>
              <w:rPr>
                <w:spacing w:val="-5"/>
                <w:sz w:val="21"/>
              </w:rPr>
              <w:t xml:space="preserve"> </w:t>
            </w:r>
            <w:r>
              <w:rPr>
                <w:sz w:val="21"/>
              </w:rPr>
              <w:t>post</w:t>
            </w:r>
            <w:r>
              <w:rPr>
                <w:spacing w:val="-6"/>
                <w:sz w:val="21"/>
              </w:rPr>
              <w:t xml:space="preserve"> </w:t>
            </w:r>
            <w:r>
              <w:rPr>
                <w:sz w:val="21"/>
              </w:rPr>
              <w:t>benchmark</w:t>
            </w:r>
            <w:r>
              <w:rPr>
                <w:spacing w:val="-4"/>
                <w:sz w:val="21"/>
              </w:rPr>
              <w:t xml:space="preserve"> </w:t>
            </w:r>
            <w:r>
              <w:rPr>
                <w:sz w:val="21"/>
              </w:rPr>
              <w:t>release</w:t>
            </w:r>
            <w:r>
              <w:rPr>
                <w:spacing w:val="-7"/>
                <w:sz w:val="21"/>
              </w:rPr>
              <w:t xml:space="preserve"> </w:t>
            </w:r>
            <w:r>
              <w:rPr>
                <w:sz w:val="21"/>
              </w:rPr>
              <w:t>before</w:t>
            </w:r>
            <w:r>
              <w:rPr>
                <w:spacing w:val="-4"/>
                <w:sz w:val="21"/>
              </w:rPr>
              <w:t xml:space="preserve"> </w:t>
            </w:r>
            <w:r>
              <w:rPr>
                <w:sz w:val="21"/>
              </w:rPr>
              <w:t>changes</w:t>
            </w:r>
            <w:r>
              <w:rPr>
                <w:spacing w:val="-5"/>
                <w:sz w:val="21"/>
              </w:rPr>
              <w:t xml:space="preserve"> </w:t>
            </w:r>
            <w:r>
              <w:rPr>
                <w:sz w:val="21"/>
              </w:rPr>
              <w:t>are</w:t>
            </w:r>
            <w:r>
              <w:rPr>
                <w:spacing w:val="-4"/>
                <w:sz w:val="21"/>
              </w:rPr>
              <w:t xml:space="preserve"> </w:t>
            </w:r>
            <w:r>
              <w:rPr>
                <w:sz w:val="21"/>
              </w:rPr>
              <w:t>made (or post rebate reallocation after changes are only made to return to target plan intention but not for premium rounding) to (ii) post rebate reallocation</w:t>
            </w:r>
          </w:p>
          <w:p>
            <w:pPr>
              <w:pStyle w:val="TableParagraph"/>
              <w:spacing w:line="240" w:lineRule="exact"/>
              <w:ind w:left="1367"/>
              <w:rPr>
                <w:sz w:val="21"/>
              </w:rPr>
            </w:pPr>
            <w:r>
              <w:rPr>
                <w:sz w:val="21"/>
              </w:rPr>
              <w:t>and</w:t>
            </w:r>
            <w:r>
              <w:rPr>
                <w:spacing w:val="-3"/>
                <w:sz w:val="21"/>
              </w:rPr>
              <w:t xml:space="preserve"> </w:t>
            </w:r>
            <w:r>
              <w:rPr>
                <w:sz w:val="21"/>
              </w:rPr>
              <w:t>premium</w:t>
            </w:r>
            <w:r>
              <w:rPr>
                <w:spacing w:val="-3"/>
                <w:sz w:val="21"/>
              </w:rPr>
              <w:t xml:space="preserve"> </w:t>
            </w:r>
            <w:r>
              <w:rPr>
                <w:spacing w:val="-2"/>
                <w:sz w:val="21"/>
              </w:rPr>
              <w:t>rounding.</w:t>
            </w:r>
          </w:p>
        </w:tc>
        <w:tc>
          <w:tcPr>
            <w:tcW w:w="1551" w:type="dxa"/>
          </w:tcPr>
          <w:p>
            <w:pPr>
              <w:pStyle w:val="TableParagraph"/>
              <w:rPr>
                <w:rFonts w:ascii="Arial"/>
                <w:b/>
                <w:sz w:val="21"/>
              </w:rPr>
            </w:pPr>
          </w:p>
          <w:p>
            <w:pPr>
              <w:pStyle w:val="TableParagraph"/>
              <w:spacing w:before="155"/>
              <w:rPr>
                <w:rFonts w:ascii="Arial"/>
                <w:b/>
                <w:sz w:val="21"/>
              </w:rPr>
            </w:pPr>
          </w:p>
          <w:p>
            <w:pPr>
              <w:pStyle w:val="TableParagraph"/>
              <w:spacing w:before="1"/>
              <w:ind w:left="88" w:right="82"/>
              <w:jc w:val="center"/>
              <w:rPr>
                <w:sz w:val="21"/>
              </w:rPr>
            </w:pPr>
            <w:r>
              <w:rPr>
                <w:spacing w:val="-5"/>
                <w:sz w:val="21"/>
              </w:rPr>
              <w:t>N/A</w:t>
            </w:r>
          </w:p>
        </w:tc>
      </w:tr>
      <w:tr>
        <w:tblPrEx>
          <w:tblW w:w="0" w:type="auto"/>
          <w:jc w:val="left"/>
          <w:tblInd w:w="514" w:type="dxa"/>
          <w:tblLayout w:type="fixed"/>
          <w:tblCellMar>
            <w:top w:w="0" w:type="dxa"/>
            <w:left w:w="0" w:type="dxa"/>
            <w:bottom w:w="0" w:type="dxa"/>
            <w:right w:w="0" w:type="dxa"/>
          </w:tblCellMar>
          <w:tblLook w:val="01E0"/>
        </w:tblPrEx>
        <w:trPr>
          <w:trHeight w:val="801"/>
          <w:jc w:val="left"/>
        </w:trPr>
        <w:tc>
          <w:tcPr>
            <w:tcW w:w="2943" w:type="dxa"/>
          </w:tcPr>
          <w:p>
            <w:pPr>
              <w:pStyle w:val="TableParagraph"/>
              <w:spacing w:before="159"/>
              <w:ind w:left="467" w:hanging="70"/>
              <w:rPr>
                <w:sz w:val="21"/>
              </w:rPr>
            </w:pPr>
            <w:r>
              <w:rPr>
                <w:sz w:val="21"/>
              </w:rPr>
              <w:t>Change</w:t>
            </w:r>
            <w:r>
              <w:rPr>
                <w:spacing w:val="-12"/>
                <w:sz w:val="21"/>
              </w:rPr>
              <w:t xml:space="preserve"> </w:t>
            </w:r>
            <w:r>
              <w:rPr>
                <w:sz w:val="21"/>
              </w:rPr>
              <w:t>in</w:t>
            </w:r>
            <w:r>
              <w:rPr>
                <w:spacing w:val="-12"/>
                <w:sz w:val="21"/>
              </w:rPr>
              <w:t xml:space="preserve"> </w:t>
            </w:r>
            <w:r>
              <w:rPr>
                <w:sz w:val="21"/>
              </w:rPr>
              <w:t>MSB</w:t>
            </w:r>
            <w:r>
              <w:rPr>
                <w:spacing w:val="-13"/>
                <w:sz w:val="21"/>
              </w:rPr>
              <w:t xml:space="preserve"> </w:t>
            </w:r>
            <w:r>
              <w:rPr>
                <w:sz w:val="21"/>
              </w:rPr>
              <w:t>Revenue Requirement (Rev Req)</w:t>
            </w:r>
          </w:p>
        </w:tc>
        <w:tc>
          <w:tcPr>
            <w:tcW w:w="4715" w:type="dxa"/>
          </w:tcPr>
          <w:p>
            <w:pPr>
              <w:pStyle w:val="TableParagraph"/>
              <w:spacing w:before="39"/>
              <w:ind w:left="280" w:right="271" w:hanging="1"/>
              <w:jc w:val="center"/>
              <w:rPr>
                <w:sz w:val="21"/>
              </w:rPr>
            </w:pPr>
            <w:r>
              <w:rPr>
                <w:sz w:val="21"/>
              </w:rPr>
              <w:t>The amount of change in the total revenue requirement</w:t>
            </w:r>
            <w:r>
              <w:rPr>
                <w:spacing w:val="-8"/>
                <w:sz w:val="21"/>
              </w:rPr>
              <w:t xml:space="preserve"> </w:t>
            </w:r>
            <w:r>
              <w:rPr>
                <w:sz w:val="21"/>
              </w:rPr>
              <w:t>for</w:t>
            </w:r>
            <w:r>
              <w:rPr>
                <w:spacing w:val="-8"/>
                <w:sz w:val="21"/>
              </w:rPr>
              <w:t xml:space="preserve"> </w:t>
            </w:r>
            <w:r>
              <w:rPr>
                <w:sz w:val="21"/>
              </w:rPr>
              <w:t>the</w:t>
            </w:r>
            <w:r>
              <w:rPr>
                <w:spacing w:val="-7"/>
                <w:sz w:val="21"/>
              </w:rPr>
              <w:t xml:space="preserve"> </w:t>
            </w:r>
            <w:r>
              <w:rPr>
                <w:sz w:val="21"/>
              </w:rPr>
              <w:t>A/B</w:t>
            </w:r>
            <w:r>
              <w:rPr>
                <w:spacing w:val="-7"/>
                <w:sz w:val="21"/>
              </w:rPr>
              <w:t xml:space="preserve"> </w:t>
            </w:r>
            <w:r>
              <w:rPr>
                <w:sz w:val="21"/>
              </w:rPr>
              <w:t>mandatory</w:t>
            </w:r>
            <w:r>
              <w:rPr>
                <w:spacing w:val="-7"/>
                <w:sz w:val="21"/>
              </w:rPr>
              <w:t xml:space="preserve"> </w:t>
            </w:r>
            <w:r>
              <w:rPr>
                <w:sz w:val="21"/>
              </w:rPr>
              <w:t>supplemental benefits from pre and post rebate reallocation.</w:t>
            </w:r>
          </w:p>
        </w:tc>
        <w:tc>
          <w:tcPr>
            <w:tcW w:w="1551" w:type="dxa"/>
          </w:tcPr>
          <w:p>
            <w:pPr>
              <w:pStyle w:val="TableParagraph"/>
              <w:spacing w:before="38"/>
              <w:rPr>
                <w:rFonts w:ascii="Arial"/>
                <w:b/>
                <w:sz w:val="21"/>
              </w:rPr>
            </w:pPr>
          </w:p>
          <w:p>
            <w:pPr>
              <w:pStyle w:val="TableParagraph"/>
              <w:ind w:left="88" w:right="82"/>
              <w:jc w:val="center"/>
              <w:rPr>
                <w:sz w:val="21"/>
              </w:rPr>
            </w:pPr>
            <w:r>
              <w:rPr>
                <w:spacing w:val="-5"/>
                <w:sz w:val="21"/>
              </w:rPr>
              <w:t>N/A</w:t>
            </w:r>
          </w:p>
        </w:tc>
      </w:tr>
      <w:tr>
        <w:tblPrEx>
          <w:tblW w:w="0" w:type="auto"/>
          <w:jc w:val="left"/>
          <w:tblInd w:w="514" w:type="dxa"/>
          <w:tblLayout w:type="fixed"/>
          <w:tblCellMar>
            <w:top w:w="0" w:type="dxa"/>
            <w:left w:w="0" w:type="dxa"/>
            <w:bottom w:w="0" w:type="dxa"/>
            <w:right w:w="0" w:type="dxa"/>
          </w:tblCellMar>
          <w:tblLook w:val="01E0"/>
        </w:tblPrEx>
        <w:trPr>
          <w:trHeight w:val="599"/>
          <w:jc w:val="left"/>
        </w:trPr>
        <w:tc>
          <w:tcPr>
            <w:tcW w:w="2943" w:type="dxa"/>
          </w:tcPr>
          <w:p>
            <w:pPr>
              <w:pStyle w:val="TableParagraph"/>
              <w:spacing w:before="178"/>
              <w:ind w:left="12" w:right="4"/>
              <w:jc w:val="center"/>
              <w:rPr>
                <w:sz w:val="21"/>
              </w:rPr>
            </w:pPr>
            <w:r>
              <w:rPr>
                <w:sz w:val="21"/>
              </w:rPr>
              <w:t>MSB</w:t>
            </w:r>
            <w:r>
              <w:rPr>
                <w:spacing w:val="-2"/>
                <w:sz w:val="21"/>
              </w:rPr>
              <w:t xml:space="preserve"> </w:t>
            </w:r>
            <w:r>
              <w:rPr>
                <w:sz w:val="21"/>
              </w:rPr>
              <w:t>Rev</w:t>
            </w:r>
            <w:r>
              <w:rPr>
                <w:spacing w:val="-2"/>
                <w:sz w:val="21"/>
              </w:rPr>
              <w:t xml:space="preserve"> </w:t>
            </w:r>
            <w:r>
              <w:rPr>
                <w:spacing w:val="-5"/>
                <w:sz w:val="21"/>
              </w:rPr>
              <w:t>Req</w:t>
            </w:r>
          </w:p>
        </w:tc>
        <w:tc>
          <w:tcPr>
            <w:tcW w:w="4715" w:type="dxa"/>
          </w:tcPr>
          <w:p>
            <w:pPr>
              <w:pStyle w:val="TableParagraph"/>
              <w:spacing w:before="58"/>
              <w:ind w:left="1410" w:hanging="1304"/>
              <w:rPr>
                <w:sz w:val="21"/>
              </w:rPr>
            </w:pPr>
            <w:r>
              <w:rPr>
                <w:sz w:val="21"/>
              </w:rPr>
              <w:t>The</w:t>
            </w:r>
            <w:r>
              <w:rPr>
                <w:spacing w:val="-4"/>
                <w:sz w:val="21"/>
              </w:rPr>
              <w:t xml:space="preserve"> </w:t>
            </w:r>
            <w:r>
              <w:rPr>
                <w:sz w:val="21"/>
              </w:rPr>
              <w:t>total</w:t>
            </w:r>
            <w:r>
              <w:rPr>
                <w:spacing w:val="-5"/>
                <w:sz w:val="21"/>
              </w:rPr>
              <w:t xml:space="preserve"> </w:t>
            </w:r>
            <w:r>
              <w:rPr>
                <w:sz w:val="21"/>
              </w:rPr>
              <w:t>revenue</w:t>
            </w:r>
            <w:r>
              <w:rPr>
                <w:spacing w:val="-4"/>
                <w:sz w:val="21"/>
              </w:rPr>
              <w:t xml:space="preserve"> </w:t>
            </w:r>
            <w:r>
              <w:rPr>
                <w:sz w:val="21"/>
              </w:rPr>
              <w:t>requirement</w:t>
            </w:r>
            <w:r>
              <w:rPr>
                <w:spacing w:val="-5"/>
                <w:sz w:val="21"/>
              </w:rPr>
              <w:t xml:space="preserve"> </w:t>
            </w:r>
            <w:r>
              <w:rPr>
                <w:sz w:val="21"/>
              </w:rPr>
              <w:t>for</w:t>
            </w:r>
            <w:r>
              <w:rPr>
                <w:spacing w:val="-5"/>
                <w:sz w:val="21"/>
              </w:rPr>
              <w:t xml:space="preserve"> </w:t>
            </w:r>
            <w:r>
              <w:rPr>
                <w:sz w:val="21"/>
              </w:rPr>
              <w:t>the</w:t>
            </w:r>
            <w:r>
              <w:rPr>
                <w:spacing w:val="-4"/>
                <w:sz w:val="21"/>
              </w:rPr>
              <w:t xml:space="preserve"> </w:t>
            </w:r>
            <w:r>
              <w:rPr>
                <w:sz w:val="21"/>
              </w:rPr>
              <w:t>A/B</w:t>
            </w:r>
            <w:r>
              <w:rPr>
                <w:spacing w:val="-6"/>
                <w:sz w:val="21"/>
              </w:rPr>
              <w:t xml:space="preserve"> </w:t>
            </w:r>
            <w:r>
              <w:rPr>
                <w:sz w:val="21"/>
              </w:rPr>
              <w:t>mandatory supplemental benefits.</w:t>
            </w:r>
          </w:p>
        </w:tc>
        <w:tc>
          <w:tcPr>
            <w:tcW w:w="1551" w:type="dxa"/>
          </w:tcPr>
          <w:p>
            <w:pPr>
              <w:pStyle w:val="TableParagraph"/>
              <w:spacing w:before="178"/>
              <w:ind w:left="88" w:right="81"/>
              <w:jc w:val="center"/>
              <w:rPr>
                <w:sz w:val="21"/>
              </w:rPr>
            </w:pPr>
            <w:r>
              <w:rPr>
                <w:sz w:val="21"/>
              </w:rPr>
              <w:t>WS4</w:t>
            </w:r>
            <w:r>
              <w:rPr>
                <w:spacing w:val="-3"/>
                <w:sz w:val="21"/>
              </w:rPr>
              <w:t xml:space="preserve"> </w:t>
            </w:r>
            <w:r>
              <w:rPr>
                <w:spacing w:val="-4"/>
                <w:sz w:val="21"/>
              </w:rPr>
              <w:t>R108</w:t>
            </w:r>
          </w:p>
        </w:tc>
      </w:tr>
      <w:tr>
        <w:tblPrEx>
          <w:tblW w:w="0" w:type="auto"/>
          <w:jc w:val="left"/>
          <w:tblInd w:w="514" w:type="dxa"/>
          <w:tblLayout w:type="fixed"/>
          <w:tblCellMar>
            <w:top w:w="0" w:type="dxa"/>
            <w:left w:w="0" w:type="dxa"/>
            <w:bottom w:w="0" w:type="dxa"/>
            <w:right w:w="0" w:type="dxa"/>
          </w:tblCellMar>
          <w:tblLook w:val="01E0"/>
        </w:tblPrEx>
        <w:trPr>
          <w:trHeight w:val="899"/>
          <w:jc w:val="left"/>
        </w:trPr>
        <w:tc>
          <w:tcPr>
            <w:tcW w:w="2943" w:type="dxa"/>
          </w:tcPr>
          <w:p>
            <w:pPr>
              <w:pStyle w:val="TableParagraph"/>
              <w:spacing w:before="87"/>
              <w:rPr>
                <w:rFonts w:ascii="Arial"/>
                <w:b/>
                <w:sz w:val="21"/>
              </w:rPr>
            </w:pPr>
          </w:p>
          <w:p>
            <w:pPr>
              <w:pStyle w:val="TableParagraph"/>
              <w:spacing w:before="1"/>
              <w:ind w:left="12" w:right="3"/>
              <w:jc w:val="center"/>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4715" w:type="dxa"/>
          </w:tcPr>
          <w:p>
            <w:pPr>
              <w:pStyle w:val="TableParagraph"/>
              <w:spacing w:before="207"/>
              <w:ind w:left="890" w:hanging="560"/>
              <w:rPr>
                <w:sz w:val="21"/>
              </w:rPr>
            </w:pPr>
            <w:r>
              <w:rPr>
                <w:sz w:val="21"/>
              </w:rPr>
              <w:t>The</w:t>
            </w:r>
            <w:r>
              <w:rPr>
                <w:spacing w:val="-4"/>
                <w:sz w:val="21"/>
              </w:rPr>
              <w:t xml:space="preserve"> </w:t>
            </w:r>
            <w:r>
              <w:rPr>
                <w:sz w:val="21"/>
              </w:rPr>
              <w:t>total</w:t>
            </w:r>
            <w:r>
              <w:rPr>
                <w:spacing w:val="-5"/>
                <w:sz w:val="21"/>
              </w:rPr>
              <w:t xml:space="preserve"> </w:t>
            </w:r>
            <w:r>
              <w:rPr>
                <w:sz w:val="21"/>
              </w:rPr>
              <w:t>amount</w:t>
            </w:r>
            <w:r>
              <w:rPr>
                <w:spacing w:val="-5"/>
                <w:sz w:val="21"/>
              </w:rPr>
              <w:t xml:space="preserve"> </w:t>
            </w:r>
            <w:r>
              <w:rPr>
                <w:sz w:val="21"/>
              </w:rPr>
              <w:t>of</w:t>
            </w:r>
            <w:r>
              <w:rPr>
                <w:spacing w:val="-5"/>
                <w:sz w:val="21"/>
              </w:rPr>
              <w:t xml:space="preserve"> </w:t>
            </w:r>
            <w:r>
              <w:rPr>
                <w:sz w:val="21"/>
              </w:rPr>
              <w:t>rebates</w:t>
            </w:r>
            <w:r>
              <w:rPr>
                <w:spacing w:val="-5"/>
                <w:sz w:val="21"/>
              </w:rPr>
              <w:t xml:space="preserve"> </w:t>
            </w:r>
            <w:r>
              <w:rPr>
                <w:sz w:val="21"/>
              </w:rPr>
              <w:t>allocated</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A/B mandatory supplemental premium.</w:t>
            </w:r>
          </w:p>
        </w:tc>
        <w:tc>
          <w:tcPr>
            <w:tcW w:w="1551" w:type="dxa"/>
          </w:tcPr>
          <w:p>
            <w:pPr>
              <w:pStyle w:val="TableParagraph"/>
              <w:spacing w:before="207"/>
              <w:ind w:left="599" w:hanging="324"/>
              <w:rPr>
                <w:sz w:val="21"/>
              </w:rPr>
            </w:pPr>
            <w:r>
              <w:rPr>
                <w:sz w:val="21"/>
              </w:rPr>
              <w:t>WS6</w:t>
            </w:r>
            <w:r>
              <w:rPr>
                <w:spacing w:val="-14"/>
                <w:sz w:val="21"/>
              </w:rPr>
              <w:t xml:space="preserve"> </w:t>
            </w:r>
            <w:r>
              <w:rPr>
                <w:sz w:val="21"/>
              </w:rPr>
              <w:t>R13</w:t>
            </w:r>
            <w:r>
              <w:rPr>
                <w:spacing w:val="-13"/>
                <w:sz w:val="21"/>
              </w:rPr>
              <w:t xml:space="preserve"> </w:t>
            </w:r>
            <w:r>
              <w:rPr>
                <w:sz w:val="21"/>
              </w:rPr>
              <w:t xml:space="preserve">+ </w:t>
            </w:r>
            <w:r>
              <w:rPr>
                <w:spacing w:val="-4"/>
                <w:sz w:val="21"/>
              </w:rPr>
              <w:t>R14</w:t>
            </w:r>
          </w:p>
        </w:tc>
      </w:tr>
    </w:tbl>
    <w:p>
      <w:pPr>
        <w:pStyle w:val="TableParagraph"/>
        <w:spacing w:after="0"/>
        <w:rPr>
          <w:sz w:val="21"/>
        </w:rPr>
        <w:sectPr>
          <w:pgSz w:w="12240" w:h="15840"/>
          <w:pgMar w:top="960" w:right="0" w:bottom="940" w:left="1080" w:header="727" w:footer="747"/>
          <w:cols w:space="720"/>
        </w:sectPr>
      </w:pPr>
    </w:p>
    <w:p>
      <w:pPr>
        <w:pStyle w:val="BodyText"/>
        <w:ind w:left="0"/>
        <w:rPr>
          <w:rFonts w:ascii="Arial"/>
          <w:b/>
          <w:sz w:val="20"/>
        </w:rPr>
      </w:pPr>
    </w:p>
    <w:p>
      <w:pPr>
        <w:pStyle w:val="BodyText"/>
        <w:spacing w:before="6" w:after="1"/>
        <w:ind w:left="0"/>
        <w:rPr>
          <w:rFonts w:ascii="Arial"/>
          <w:b/>
          <w:sz w:val="20"/>
        </w:rPr>
      </w:pPr>
    </w:p>
    <w:tbl>
      <w:tblPr>
        <w:tblStyle w:val="TableNormal"/>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4715"/>
        <w:gridCol w:w="1551"/>
      </w:tblGrid>
      <w:tr>
        <w:tblPrEx>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67"/>
          <w:jc w:val="left"/>
        </w:trPr>
        <w:tc>
          <w:tcPr>
            <w:tcW w:w="2943" w:type="dxa"/>
          </w:tcPr>
          <w:p>
            <w:pPr>
              <w:pStyle w:val="TableParagraph"/>
              <w:spacing w:before="121"/>
              <w:rPr>
                <w:rFonts w:ascii="Arial"/>
                <w:b/>
                <w:sz w:val="21"/>
              </w:rPr>
            </w:pPr>
          </w:p>
          <w:p>
            <w:pPr>
              <w:pStyle w:val="TableParagraph"/>
              <w:spacing w:before="1"/>
              <w:ind w:left="12"/>
              <w:jc w:val="center"/>
              <w:rPr>
                <w:b/>
                <w:sz w:val="21"/>
              </w:rPr>
            </w:pPr>
            <w:r>
              <w:rPr>
                <w:b/>
                <w:spacing w:val="-2"/>
                <w:sz w:val="21"/>
              </w:rPr>
              <w:t>Label</w:t>
            </w:r>
          </w:p>
        </w:tc>
        <w:tc>
          <w:tcPr>
            <w:tcW w:w="4715" w:type="dxa"/>
          </w:tcPr>
          <w:p>
            <w:pPr>
              <w:pStyle w:val="TableParagraph"/>
              <w:spacing w:before="121"/>
              <w:rPr>
                <w:rFonts w:ascii="Arial"/>
                <w:b/>
                <w:sz w:val="21"/>
              </w:rPr>
            </w:pPr>
          </w:p>
          <w:p>
            <w:pPr>
              <w:pStyle w:val="TableParagraph"/>
              <w:spacing w:before="1"/>
              <w:ind w:left="132" w:right="121"/>
              <w:jc w:val="center"/>
              <w:rPr>
                <w:b/>
                <w:sz w:val="21"/>
              </w:rPr>
            </w:pPr>
            <w:r>
              <w:rPr>
                <w:b/>
                <w:spacing w:val="-2"/>
                <w:sz w:val="21"/>
              </w:rPr>
              <w:t>Definition</w:t>
            </w:r>
          </w:p>
        </w:tc>
        <w:tc>
          <w:tcPr>
            <w:tcW w:w="1551" w:type="dxa"/>
          </w:tcPr>
          <w:p>
            <w:pPr>
              <w:pStyle w:val="TableParagraph"/>
              <w:spacing w:before="1" w:line="241" w:lineRule="exact"/>
              <w:ind w:left="88" w:right="84"/>
              <w:jc w:val="center"/>
              <w:rPr>
                <w:b/>
                <w:sz w:val="21"/>
              </w:rPr>
            </w:pPr>
            <w:r>
              <w:rPr>
                <w:b/>
                <w:sz w:val="21"/>
              </w:rPr>
              <w:t>MA</w:t>
            </w:r>
            <w:r>
              <w:rPr>
                <w:b/>
                <w:spacing w:val="-5"/>
                <w:sz w:val="21"/>
              </w:rPr>
              <w:t xml:space="preserve"> BPT</w:t>
            </w:r>
          </w:p>
          <w:p>
            <w:pPr>
              <w:pStyle w:val="TableParagraph"/>
              <w:ind w:left="88" w:right="80"/>
              <w:jc w:val="center"/>
              <w:rPr>
                <w:b/>
                <w:sz w:val="21"/>
              </w:rPr>
            </w:pPr>
            <w:r>
              <w:rPr>
                <w:b/>
                <w:spacing w:val="-2"/>
                <w:sz w:val="21"/>
              </w:rPr>
              <w:t xml:space="preserve">Worksheet </w:t>
            </w:r>
            <w:r>
              <w:rPr>
                <w:b/>
                <w:spacing w:val="-4"/>
                <w:sz w:val="21"/>
              </w:rPr>
              <w:t>(WS)</w:t>
            </w:r>
          </w:p>
          <w:p>
            <w:pPr>
              <w:pStyle w:val="TableParagraph"/>
              <w:spacing w:before="1" w:line="221" w:lineRule="exact"/>
              <w:ind w:left="90" w:right="80"/>
              <w:jc w:val="center"/>
              <w:rPr>
                <w:b/>
                <w:sz w:val="21"/>
              </w:rPr>
            </w:pPr>
            <w:r>
              <w:rPr>
                <w:b/>
                <w:spacing w:val="-2"/>
                <w:sz w:val="21"/>
              </w:rPr>
              <w:t>Reference</w:t>
            </w:r>
          </w:p>
        </w:tc>
      </w:tr>
      <w:tr>
        <w:tblPrEx>
          <w:tblW w:w="0" w:type="auto"/>
          <w:jc w:val="left"/>
          <w:tblInd w:w="514" w:type="dxa"/>
          <w:tblLayout w:type="fixed"/>
          <w:tblCellMar>
            <w:top w:w="0" w:type="dxa"/>
            <w:left w:w="0" w:type="dxa"/>
            <w:bottom w:w="0" w:type="dxa"/>
            <w:right w:w="0" w:type="dxa"/>
          </w:tblCellMar>
          <w:tblLook w:val="01E0"/>
        </w:tblPrEx>
        <w:trPr>
          <w:trHeight w:val="724"/>
          <w:jc w:val="left"/>
        </w:trPr>
        <w:tc>
          <w:tcPr>
            <w:tcW w:w="2943" w:type="dxa"/>
          </w:tcPr>
          <w:p>
            <w:pPr>
              <w:pStyle w:val="TableParagraph"/>
              <w:spacing w:before="240"/>
              <w:ind w:left="12"/>
              <w:jc w:val="center"/>
              <w:rPr>
                <w:sz w:val="21"/>
              </w:rPr>
            </w:pPr>
            <w:r>
              <w:rPr>
                <w:sz w:val="21"/>
              </w:rPr>
              <w:t>MA</w:t>
            </w:r>
            <w:r>
              <w:rPr>
                <w:spacing w:val="-1"/>
                <w:sz w:val="21"/>
              </w:rPr>
              <w:t xml:space="preserve"> </w:t>
            </w:r>
            <w:r>
              <w:rPr>
                <w:spacing w:val="-2"/>
                <w:sz w:val="21"/>
              </w:rPr>
              <w:t>Premium</w:t>
            </w:r>
          </w:p>
        </w:tc>
        <w:tc>
          <w:tcPr>
            <w:tcW w:w="4715" w:type="dxa"/>
          </w:tcPr>
          <w:p>
            <w:pPr>
              <w:pStyle w:val="TableParagraph"/>
              <w:spacing w:line="242" w:lineRule="exact"/>
              <w:ind w:left="132" w:right="122"/>
              <w:jc w:val="center"/>
              <w:rPr>
                <w:sz w:val="21"/>
              </w:rPr>
            </w:pPr>
            <w:r>
              <w:rPr>
                <w:sz w:val="21"/>
              </w:rPr>
              <w:t>The</w:t>
            </w:r>
            <w:r>
              <w:rPr>
                <w:spacing w:val="-8"/>
                <w:sz w:val="21"/>
              </w:rPr>
              <w:t xml:space="preserve"> </w:t>
            </w:r>
            <w:r>
              <w:rPr>
                <w:sz w:val="21"/>
              </w:rPr>
              <w:t>A/B</w:t>
            </w:r>
            <w:r>
              <w:rPr>
                <w:spacing w:val="-7"/>
                <w:sz w:val="21"/>
              </w:rPr>
              <w:t xml:space="preserve"> </w:t>
            </w:r>
            <w:r>
              <w:rPr>
                <w:sz w:val="21"/>
              </w:rPr>
              <w:t>mandatory</w:t>
            </w:r>
            <w:r>
              <w:rPr>
                <w:spacing w:val="-7"/>
                <w:sz w:val="21"/>
              </w:rPr>
              <w:t xml:space="preserve"> </w:t>
            </w:r>
            <w:r>
              <w:rPr>
                <w:sz w:val="21"/>
              </w:rPr>
              <w:t>supplemental</w:t>
            </w:r>
            <w:r>
              <w:rPr>
                <w:spacing w:val="-7"/>
                <w:sz w:val="21"/>
              </w:rPr>
              <w:t xml:space="preserve"> </w:t>
            </w:r>
            <w:r>
              <w:rPr>
                <w:sz w:val="21"/>
              </w:rPr>
              <w:t>premium,</w:t>
            </w:r>
            <w:r>
              <w:rPr>
                <w:spacing w:val="-7"/>
                <w:sz w:val="21"/>
              </w:rPr>
              <w:t xml:space="preserve"> </w:t>
            </w:r>
            <w:r>
              <w:rPr>
                <w:sz w:val="21"/>
              </w:rPr>
              <w:t>because MA basic premium must be $0 to participate in rebate reallocation.</w:t>
            </w:r>
          </w:p>
        </w:tc>
        <w:tc>
          <w:tcPr>
            <w:tcW w:w="1551" w:type="dxa"/>
          </w:tcPr>
          <w:p>
            <w:pPr>
              <w:pStyle w:val="TableParagraph"/>
              <w:spacing w:before="240"/>
              <w:ind w:left="88" w:right="81"/>
              <w:jc w:val="center"/>
              <w:rPr>
                <w:sz w:val="21"/>
              </w:rPr>
            </w:pPr>
            <w:r>
              <w:rPr>
                <w:sz w:val="21"/>
              </w:rPr>
              <w:t>WS6</w:t>
            </w:r>
            <w:r>
              <w:rPr>
                <w:spacing w:val="-3"/>
                <w:sz w:val="21"/>
              </w:rPr>
              <w:t xml:space="preserve"> </w:t>
            </w:r>
            <w:r>
              <w:rPr>
                <w:spacing w:val="-5"/>
                <w:sz w:val="21"/>
              </w:rPr>
              <w:t>R31</w:t>
            </w:r>
          </w:p>
        </w:tc>
      </w:tr>
      <w:tr>
        <w:tblPrEx>
          <w:tblW w:w="0" w:type="auto"/>
          <w:jc w:val="left"/>
          <w:tblInd w:w="514" w:type="dxa"/>
          <w:tblLayout w:type="fixed"/>
          <w:tblCellMar>
            <w:top w:w="0" w:type="dxa"/>
            <w:left w:w="0" w:type="dxa"/>
            <w:bottom w:w="0" w:type="dxa"/>
            <w:right w:w="0" w:type="dxa"/>
          </w:tblCellMar>
          <w:tblLook w:val="01E0"/>
        </w:tblPrEx>
        <w:trPr>
          <w:trHeight w:val="528"/>
          <w:jc w:val="left"/>
        </w:trPr>
        <w:tc>
          <w:tcPr>
            <w:tcW w:w="2943" w:type="dxa"/>
          </w:tcPr>
          <w:p>
            <w:pPr>
              <w:pStyle w:val="TableParagraph"/>
              <w:spacing w:before="143"/>
              <w:ind w:left="12" w:right="4"/>
              <w:jc w:val="center"/>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5"/>
                <w:sz w:val="21"/>
              </w:rPr>
              <w:t xml:space="preserve"> </w:t>
            </w:r>
            <w:r>
              <w:rPr>
                <w:spacing w:val="-2"/>
                <w:sz w:val="21"/>
              </w:rPr>
              <w:t>Rebate</w:t>
            </w:r>
          </w:p>
        </w:tc>
        <w:tc>
          <w:tcPr>
            <w:tcW w:w="4715" w:type="dxa"/>
          </w:tcPr>
          <w:p>
            <w:pPr>
              <w:pStyle w:val="TableParagraph"/>
              <w:spacing w:before="20"/>
              <w:ind w:left="542" w:hanging="384"/>
              <w:rPr>
                <w:sz w:val="21"/>
              </w:rPr>
            </w:pPr>
            <w:r>
              <w:rPr>
                <w:sz w:val="21"/>
              </w:rPr>
              <w:t>The</w:t>
            </w:r>
            <w:r>
              <w:rPr>
                <w:spacing w:val="-4"/>
                <w:sz w:val="21"/>
              </w:rPr>
              <w:t xml:space="preserve"> </w:t>
            </w:r>
            <w:r>
              <w:rPr>
                <w:sz w:val="21"/>
              </w:rPr>
              <w:t>Part</w:t>
            </w:r>
            <w:r>
              <w:rPr>
                <w:spacing w:val="-5"/>
                <w:sz w:val="21"/>
              </w:rPr>
              <w:t xml:space="preserve"> </w:t>
            </w:r>
            <w:r>
              <w:rPr>
                <w:sz w:val="21"/>
              </w:rPr>
              <w:t>D</w:t>
            </w:r>
            <w:r>
              <w:rPr>
                <w:spacing w:val="-3"/>
                <w:sz w:val="21"/>
              </w:rPr>
              <w:t xml:space="preserve"> </w:t>
            </w:r>
            <w:r>
              <w:rPr>
                <w:sz w:val="21"/>
              </w:rPr>
              <w:t>basic</w:t>
            </w:r>
            <w:r>
              <w:rPr>
                <w:spacing w:val="-4"/>
                <w:sz w:val="21"/>
              </w:rPr>
              <w:t xml:space="preserve"> </w:t>
            </w:r>
            <w:r>
              <w:rPr>
                <w:sz w:val="21"/>
              </w:rPr>
              <w:t>premium</w:t>
            </w:r>
            <w:r>
              <w:rPr>
                <w:spacing w:val="-5"/>
                <w:sz w:val="21"/>
              </w:rPr>
              <w:t xml:space="preserve"> </w:t>
            </w:r>
            <w:r>
              <w:rPr>
                <w:sz w:val="21"/>
              </w:rPr>
              <w:t>prior</w:t>
            </w:r>
            <w:r>
              <w:rPr>
                <w:spacing w:val="-5"/>
                <w:sz w:val="21"/>
              </w:rPr>
              <w:t xml:space="preserve"> </w:t>
            </w:r>
            <w:r>
              <w:rPr>
                <w:sz w:val="21"/>
              </w:rPr>
              <w:t>to</w:t>
            </w:r>
            <w:r>
              <w:rPr>
                <w:spacing w:val="-4"/>
                <w:sz w:val="21"/>
              </w:rPr>
              <w:t xml:space="preserve"> </w:t>
            </w:r>
            <w:r>
              <w:rPr>
                <w:sz w:val="21"/>
              </w:rPr>
              <w:t>allocation</w:t>
            </w:r>
            <w:r>
              <w:rPr>
                <w:spacing w:val="-4"/>
                <w:sz w:val="21"/>
              </w:rPr>
              <w:t xml:space="preserve"> </w:t>
            </w:r>
            <w:r>
              <w:rPr>
                <w:sz w:val="21"/>
              </w:rPr>
              <w:t>of</w:t>
            </w:r>
            <w:r>
              <w:rPr>
                <w:spacing w:val="-5"/>
                <w:sz w:val="21"/>
              </w:rPr>
              <w:t xml:space="preserve"> </w:t>
            </w:r>
            <w:r>
              <w:rPr>
                <w:sz w:val="21"/>
              </w:rPr>
              <w:t>MA rebates. This value is from the Part D BPT.</w:t>
            </w:r>
          </w:p>
        </w:tc>
        <w:tc>
          <w:tcPr>
            <w:tcW w:w="1551" w:type="dxa"/>
          </w:tcPr>
          <w:p>
            <w:pPr>
              <w:pStyle w:val="TableParagraph"/>
              <w:spacing w:before="143"/>
              <w:ind w:left="88" w:right="81"/>
              <w:jc w:val="center"/>
              <w:rPr>
                <w:sz w:val="21"/>
              </w:rPr>
            </w:pPr>
            <w:r>
              <w:rPr>
                <w:sz w:val="21"/>
              </w:rPr>
              <w:t>WS6</w:t>
            </w:r>
            <w:r>
              <w:rPr>
                <w:spacing w:val="-3"/>
                <w:sz w:val="21"/>
              </w:rPr>
              <w:t xml:space="preserve"> </w:t>
            </w:r>
            <w:r>
              <w:rPr>
                <w:spacing w:val="-5"/>
                <w:sz w:val="21"/>
              </w:rPr>
              <w:t>R34</w:t>
            </w:r>
          </w:p>
        </w:tc>
      </w:tr>
      <w:tr>
        <w:tblPrEx>
          <w:tblW w:w="0" w:type="auto"/>
          <w:jc w:val="left"/>
          <w:tblInd w:w="514" w:type="dxa"/>
          <w:tblLayout w:type="fixed"/>
          <w:tblCellMar>
            <w:top w:w="0" w:type="dxa"/>
            <w:left w:w="0" w:type="dxa"/>
            <w:bottom w:w="0" w:type="dxa"/>
            <w:right w:w="0" w:type="dxa"/>
          </w:tblCellMar>
          <w:tblLook w:val="01E0"/>
        </w:tblPrEx>
        <w:trPr>
          <w:trHeight w:val="599"/>
          <w:jc w:val="left"/>
        </w:trPr>
        <w:tc>
          <w:tcPr>
            <w:tcW w:w="2943" w:type="dxa"/>
          </w:tcPr>
          <w:p>
            <w:pPr>
              <w:pStyle w:val="TableParagraph"/>
              <w:spacing w:before="178"/>
              <w:ind w:left="12" w:right="6"/>
              <w:jc w:val="center"/>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5"/>
                <w:sz w:val="21"/>
              </w:rPr>
              <w:t xml:space="preserve"> </w:t>
            </w:r>
            <w:r>
              <w:rPr>
                <w:spacing w:val="-2"/>
                <w:sz w:val="21"/>
              </w:rPr>
              <w:t>Allocations</w:t>
            </w:r>
          </w:p>
        </w:tc>
        <w:tc>
          <w:tcPr>
            <w:tcW w:w="4715" w:type="dxa"/>
          </w:tcPr>
          <w:p>
            <w:pPr>
              <w:pStyle w:val="TableParagraph"/>
              <w:spacing w:before="178"/>
              <w:ind w:left="8"/>
              <w:jc w:val="center"/>
              <w:rPr>
                <w:sz w:val="21"/>
              </w:rPr>
            </w:pPr>
            <w:r>
              <w:rPr>
                <w:sz w:val="21"/>
              </w:rPr>
              <w:t>The</w:t>
            </w:r>
            <w:r>
              <w:rPr>
                <w:spacing w:val="-3"/>
                <w:sz w:val="21"/>
              </w:rPr>
              <w:t xml:space="preserve"> </w:t>
            </w:r>
            <w:r>
              <w:rPr>
                <w:sz w:val="21"/>
              </w:rPr>
              <w:t>rebates</w:t>
            </w:r>
            <w:r>
              <w:rPr>
                <w:spacing w:val="-4"/>
                <w:sz w:val="21"/>
              </w:rPr>
              <w:t xml:space="preserve"> </w:t>
            </w:r>
            <w:r>
              <w:rPr>
                <w:sz w:val="21"/>
              </w:rPr>
              <w:t>allocated</w:t>
            </w:r>
            <w:r>
              <w:rPr>
                <w:spacing w:val="-3"/>
                <w:sz w:val="21"/>
              </w:rPr>
              <w:t xml:space="preserve"> </w:t>
            </w:r>
            <w:r>
              <w:rPr>
                <w:sz w:val="21"/>
              </w:rPr>
              <w:t>to</w:t>
            </w:r>
            <w:r>
              <w:rPr>
                <w:spacing w:val="-3"/>
                <w:sz w:val="21"/>
              </w:rPr>
              <w:t xml:space="preserve"> </w:t>
            </w:r>
            <w:r>
              <w:rPr>
                <w:sz w:val="21"/>
              </w:rPr>
              <w:t>the</w:t>
            </w:r>
            <w:r>
              <w:rPr>
                <w:spacing w:val="-5"/>
                <w:sz w:val="21"/>
              </w:rPr>
              <w:t xml:space="preserve"> </w:t>
            </w:r>
            <w:r>
              <w:rPr>
                <w:sz w:val="21"/>
              </w:rPr>
              <w:t>Part</w:t>
            </w:r>
            <w:r>
              <w:rPr>
                <w:spacing w:val="-4"/>
                <w:sz w:val="21"/>
              </w:rPr>
              <w:t xml:space="preserve"> </w:t>
            </w:r>
            <w:r>
              <w:rPr>
                <w:sz w:val="21"/>
              </w:rPr>
              <w:t>D</w:t>
            </w:r>
            <w:r>
              <w:rPr>
                <w:spacing w:val="-2"/>
                <w:sz w:val="21"/>
              </w:rPr>
              <w:t xml:space="preserve"> </w:t>
            </w:r>
            <w:r>
              <w:rPr>
                <w:sz w:val="21"/>
              </w:rPr>
              <w:t>basic</w:t>
            </w:r>
            <w:r>
              <w:rPr>
                <w:spacing w:val="-5"/>
                <w:sz w:val="21"/>
              </w:rPr>
              <w:t xml:space="preserve"> </w:t>
            </w:r>
            <w:r>
              <w:rPr>
                <w:spacing w:val="-2"/>
                <w:sz w:val="21"/>
              </w:rPr>
              <w:t>premium.</w:t>
            </w:r>
          </w:p>
        </w:tc>
        <w:tc>
          <w:tcPr>
            <w:tcW w:w="1551" w:type="dxa"/>
          </w:tcPr>
          <w:p>
            <w:pPr>
              <w:pStyle w:val="TableParagraph"/>
              <w:spacing w:before="178"/>
              <w:ind w:left="88" w:right="81"/>
              <w:jc w:val="center"/>
              <w:rPr>
                <w:sz w:val="21"/>
              </w:rPr>
            </w:pPr>
            <w:r>
              <w:rPr>
                <w:sz w:val="21"/>
              </w:rPr>
              <w:t>WS6</w:t>
            </w:r>
            <w:r>
              <w:rPr>
                <w:spacing w:val="-3"/>
                <w:sz w:val="21"/>
              </w:rPr>
              <w:t xml:space="preserve"> </w:t>
            </w:r>
            <w:r>
              <w:rPr>
                <w:spacing w:val="-5"/>
                <w:sz w:val="21"/>
              </w:rPr>
              <w:t>R36</w:t>
            </w:r>
          </w:p>
        </w:tc>
      </w:tr>
      <w:tr>
        <w:tblPrEx>
          <w:tblW w:w="0" w:type="auto"/>
          <w:jc w:val="left"/>
          <w:tblInd w:w="514" w:type="dxa"/>
          <w:tblLayout w:type="fixed"/>
          <w:tblCellMar>
            <w:top w:w="0" w:type="dxa"/>
            <w:left w:w="0" w:type="dxa"/>
            <w:bottom w:w="0" w:type="dxa"/>
            <w:right w:w="0" w:type="dxa"/>
          </w:tblCellMar>
          <w:tblLook w:val="01E0"/>
        </w:tblPrEx>
        <w:trPr>
          <w:trHeight w:val="599"/>
          <w:jc w:val="left"/>
        </w:trPr>
        <w:tc>
          <w:tcPr>
            <w:tcW w:w="2943" w:type="dxa"/>
          </w:tcPr>
          <w:p>
            <w:pPr>
              <w:pStyle w:val="TableParagraph"/>
              <w:spacing w:before="178"/>
              <w:ind w:left="12" w:right="3"/>
              <w:jc w:val="center"/>
              <w:rPr>
                <w:sz w:val="21"/>
              </w:rPr>
            </w:pPr>
            <w:r>
              <w:rPr>
                <w:sz w:val="21"/>
              </w:rPr>
              <w:t>Part</w:t>
            </w:r>
            <w:r>
              <w:rPr>
                <w:spacing w:val="-5"/>
                <w:sz w:val="21"/>
              </w:rPr>
              <w:t xml:space="preserve"> </w:t>
            </w:r>
            <w:r>
              <w:rPr>
                <w:sz w:val="21"/>
              </w:rPr>
              <w:t>D</w:t>
            </w:r>
            <w:r>
              <w:rPr>
                <w:spacing w:val="-4"/>
                <w:sz w:val="21"/>
              </w:rPr>
              <w:t xml:space="preserve"> </w:t>
            </w:r>
            <w:r>
              <w:rPr>
                <w:sz w:val="21"/>
              </w:rPr>
              <w:t>Basic</w:t>
            </w:r>
            <w:r>
              <w:rPr>
                <w:spacing w:val="-1"/>
                <w:sz w:val="21"/>
              </w:rPr>
              <w:t xml:space="preserve"> </w:t>
            </w:r>
            <w:r>
              <w:rPr>
                <w:spacing w:val="-2"/>
                <w:sz w:val="21"/>
              </w:rPr>
              <w:t>Premium</w:t>
            </w:r>
          </w:p>
        </w:tc>
        <w:tc>
          <w:tcPr>
            <w:tcW w:w="4715" w:type="dxa"/>
          </w:tcPr>
          <w:p>
            <w:pPr>
              <w:pStyle w:val="TableParagraph"/>
              <w:spacing w:before="58"/>
              <w:ind w:left="2032" w:hanging="1755"/>
              <w:rPr>
                <w:sz w:val="21"/>
              </w:rPr>
            </w:pPr>
            <w:r>
              <w:rPr>
                <w:sz w:val="21"/>
              </w:rPr>
              <w:t>The</w:t>
            </w:r>
            <w:r>
              <w:rPr>
                <w:spacing w:val="-4"/>
                <w:sz w:val="21"/>
              </w:rPr>
              <w:t xml:space="preserve"> </w:t>
            </w:r>
            <w:r>
              <w:rPr>
                <w:sz w:val="21"/>
              </w:rPr>
              <w:t>Part</w:t>
            </w:r>
            <w:r>
              <w:rPr>
                <w:spacing w:val="-5"/>
                <w:sz w:val="21"/>
              </w:rPr>
              <w:t xml:space="preserve"> </w:t>
            </w:r>
            <w:r>
              <w:rPr>
                <w:sz w:val="21"/>
              </w:rPr>
              <w:t>D</w:t>
            </w:r>
            <w:r>
              <w:rPr>
                <w:spacing w:val="-3"/>
                <w:sz w:val="21"/>
              </w:rPr>
              <w:t xml:space="preserve"> </w:t>
            </w:r>
            <w:r>
              <w:rPr>
                <w:sz w:val="21"/>
              </w:rPr>
              <w:t>basic</w:t>
            </w:r>
            <w:r>
              <w:rPr>
                <w:spacing w:val="-4"/>
                <w:sz w:val="21"/>
              </w:rPr>
              <w:t xml:space="preserve"> </w:t>
            </w:r>
            <w:r>
              <w:rPr>
                <w:sz w:val="21"/>
              </w:rPr>
              <w:t>premium</w:t>
            </w:r>
            <w:r>
              <w:rPr>
                <w:spacing w:val="-5"/>
                <w:sz w:val="21"/>
              </w:rPr>
              <w:t xml:space="preserve"> </w:t>
            </w:r>
            <w:r>
              <w:rPr>
                <w:sz w:val="21"/>
              </w:rPr>
              <w:t>after</w:t>
            </w:r>
            <w:r>
              <w:rPr>
                <w:spacing w:val="-5"/>
                <w:sz w:val="21"/>
              </w:rPr>
              <w:t xml:space="preserve"> </w:t>
            </w:r>
            <w:r>
              <w:rPr>
                <w:sz w:val="21"/>
              </w:rPr>
              <w:t>allocation</w:t>
            </w:r>
            <w:r>
              <w:rPr>
                <w:spacing w:val="-4"/>
                <w:sz w:val="21"/>
              </w:rPr>
              <w:t xml:space="preserve"> </w:t>
            </w:r>
            <w:r>
              <w:rPr>
                <w:sz w:val="21"/>
              </w:rPr>
              <w:t>of</w:t>
            </w:r>
            <w:r>
              <w:rPr>
                <w:spacing w:val="-5"/>
                <w:sz w:val="21"/>
              </w:rPr>
              <w:t xml:space="preserve"> </w:t>
            </w:r>
            <w:r>
              <w:rPr>
                <w:sz w:val="21"/>
              </w:rPr>
              <w:t xml:space="preserve">MA </w:t>
            </w:r>
            <w:r>
              <w:rPr>
                <w:spacing w:val="-2"/>
                <w:sz w:val="21"/>
              </w:rPr>
              <w:t>rebates.</w:t>
            </w:r>
          </w:p>
        </w:tc>
        <w:tc>
          <w:tcPr>
            <w:tcW w:w="1551" w:type="dxa"/>
          </w:tcPr>
          <w:p>
            <w:pPr>
              <w:pStyle w:val="TableParagraph"/>
              <w:spacing w:before="178"/>
              <w:ind w:left="88" w:right="81"/>
              <w:jc w:val="center"/>
              <w:rPr>
                <w:sz w:val="21"/>
              </w:rPr>
            </w:pPr>
            <w:r>
              <w:rPr>
                <w:sz w:val="21"/>
              </w:rPr>
              <w:t>WS6</w:t>
            </w:r>
            <w:r>
              <w:rPr>
                <w:spacing w:val="-3"/>
                <w:sz w:val="21"/>
              </w:rPr>
              <w:t xml:space="preserve"> </w:t>
            </w:r>
            <w:r>
              <w:rPr>
                <w:spacing w:val="-5"/>
                <w:sz w:val="21"/>
              </w:rPr>
              <w:t>R37</w:t>
            </w:r>
          </w:p>
        </w:tc>
      </w:tr>
      <w:tr>
        <w:tblPrEx>
          <w:tblW w:w="0" w:type="auto"/>
          <w:jc w:val="left"/>
          <w:tblInd w:w="514" w:type="dxa"/>
          <w:tblLayout w:type="fixed"/>
          <w:tblCellMar>
            <w:top w:w="0" w:type="dxa"/>
            <w:left w:w="0" w:type="dxa"/>
            <w:bottom w:w="0" w:type="dxa"/>
            <w:right w:w="0" w:type="dxa"/>
          </w:tblCellMar>
          <w:tblLook w:val="01E0"/>
        </w:tblPrEx>
        <w:trPr>
          <w:trHeight w:val="899"/>
          <w:jc w:val="left"/>
        </w:trPr>
        <w:tc>
          <w:tcPr>
            <w:tcW w:w="2943" w:type="dxa"/>
          </w:tcPr>
          <w:p>
            <w:pPr>
              <w:pStyle w:val="TableParagraph"/>
              <w:spacing w:before="88"/>
              <w:rPr>
                <w:rFonts w:ascii="Arial"/>
                <w:b/>
                <w:sz w:val="21"/>
              </w:rPr>
            </w:pPr>
          </w:p>
          <w:p>
            <w:pPr>
              <w:pStyle w:val="TableParagraph"/>
              <w:ind w:left="12" w:right="1"/>
              <w:jc w:val="center"/>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4715" w:type="dxa"/>
          </w:tcPr>
          <w:p>
            <w:pPr>
              <w:pStyle w:val="TableParagraph"/>
              <w:spacing w:before="209"/>
              <w:ind w:left="232" w:right="2" w:hanging="108"/>
              <w:rPr>
                <w:sz w:val="21"/>
              </w:rPr>
            </w:pPr>
            <w:r>
              <w:rPr>
                <w:sz w:val="21"/>
              </w:rPr>
              <w:t>The</w:t>
            </w:r>
            <w:r>
              <w:rPr>
                <w:spacing w:val="-5"/>
                <w:sz w:val="21"/>
              </w:rPr>
              <w:t xml:space="preserve"> </w:t>
            </w:r>
            <w:r>
              <w:rPr>
                <w:sz w:val="21"/>
              </w:rPr>
              <w:t>Part</w:t>
            </w:r>
            <w:r>
              <w:rPr>
                <w:spacing w:val="-6"/>
                <w:sz w:val="21"/>
              </w:rPr>
              <w:t xml:space="preserve"> </w:t>
            </w:r>
            <w:r>
              <w:rPr>
                <w:sz w:val="21"/>
              </w:rPr>
              <w:t>D</w:t>
            </w:r>
            <w:r>
              <w:rPr>
                <w:spacing w:val="-4"/>
                <w:sz w:val="21"/>
              </w:rPr>
              <w:t xml:space="preserve"> </w:t>
            </w:r>
            <w:r>
              <w:rPr>
                <w:sz w:val="21"/>
              </w:rPr>
              <w:t>supplemental</w:t>
            </w:r>
            <w:r>
              <w:rPr>
                <w:spacing w:val="-6"/>
                <w:sz w:val="21"/>
              </w:rPr>
              <w:t xml:space="preserve"> </w:t>
            </w:r>
            <w:r>
              <w:rPr>
                <w:sz w:val="21"/>
              </w:rPr>
              <w:t>premium</w:t>
            </w:r>
            <w:r>
              <w:rPr>
                <w:spacing w:val="-6"/>
                <w:sz w:val="21"/>
              </w:rPr>
              <w:t xml:space="preserve"> </w:t>
            </w:r>
            <w:r>
              <w:rPr>
                <w:sz w:val="21"/>
              </w:rPr>
              <w:t>prior</w:t>
            </w:r>
            <w:r>
              <w:rPr>
                <w:spacing w:val="-6"/>
                <w:sz w:val="21"/>
              </w:rPr>
              <w:t xml:space="preserve"> </w:t>
            </w:r>
            <w:r>
              <w:rPr>
                <w:sz w:val="21"/>
              </w:rPr>
              <w:t>to</w:t>
            </w:r>
            <w:r>
              <w:rPr>
                <w:spacing w:val="-5"/>
                <w:sz w:val="21"/>
              </w:rPr>
              <w:t xml:space="preserve"> </w:t>
            </w:r>
            <w:r>
              <w:rPr>
                <w:sz w:val="21"/>
              </w:rPr>
              <w:t>allocation of MA rebates. This value is from the Part D BPT.</w:t>
            </w:r>
          </w:p>
        </w:tc>
        <w:tc>
          <w:tcPr>
            <w:tcW w:w="1551" w:type="dxa"/>
          </w:tcPr>
          <w:p>
            <w:pPr>
              <w:pStyle w:val="TableParagraph"/>
              <w:spacing w:before="88"/>
              <w:rPr>
                <w:rFonts w:ascii="Arial"/>
                <w:b/>
                <w:sz w:val="21"/>
              </w:rPr>
            </w:pPr>
          </w:p>
          <w:p>
            <w:pPr>
              <w:pStyle w:val="TableParagraph"/>
              <w:ind w:left="88" w:right="81"/>
              <w:jc w:val="center"/>
              <w:rPr>
                <w:sz w:val="21"/>
              </w:rPr>
            </w:pPr>
            <w:r>
              <w:rPr>
                <w:sz w:val="21"/>
              </w:rPr>
              <w:t>WS6</w:t>
            </w:r>
            <w:r>
              <w:rPr>
                <w:spacing w:val="-3"/>
                <w:sz w:val="21"/>
              </w:rPr>
              <w:t xml:space="preserve"> </w:t>
            </w:r>
            <w:r>
              <w:rPr>
                <w:spacing w:val="-5"/>
                <w:sz w:val="21"/>
              </w:rPr>
              <w:t>R40</w:t>
            </w:r>
          </w:p>
        </w:tc>
      </w:tr>
      <w:tr>
        <w:tblPrEx>
          <w:tblW w:w="0" w:type="auto"/>
          <w:jc w:val="left"/>
          <w:tblInd w:w="514" w:type="dxa"/>
          <w:tblLayout w:type="fixed"/>
          <w:tblCellMar>
            <w:top w:w="0" w:type="dxa"/>
            <w:left w:w="0" w:type="dxa"/>
            <w:bottom w:w="0" w:type="dxa"/>
            <w:right w:w="0" w:type="dxa"/>
          </w:tblCellMar>
          <w:tblLook w:val="01E0"/>
        </w:tblPrEx>
        <w:trPr>
          <w:trHeight w:val="599"/>
          <w:jc w:val="left"/>
        </w:trPr>
        <w:tc>
          <w:tcPr>
            <w:tcW w:w="2943" w:type="dxa"/>
          </w:tcPr>
          <w:p>
            <w:pPr>
              <w:pStyle w:val="TableParagraph"/>
              <w:spacing w:before="180"/>
              <w:ind w:left="12" w:right="5"/>
              <w:jc w:val="center"/>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4715" w:type="dxa"/>
          </w:tcPr>
          <w:p>
            <w:pPr>
              <w:pStyle w:val="TableParagraph"/>
              <w:spacing w:before="58"/>
              <w:ind w:left="1951" w:hanging="1635"/>
              <w:rPr>
                <w:sz w:val="21"/>
              </w:rPr>
            </w:pPr>
            <w:r>
              <w:rPr>
                <w:sz w:val="21"/>
              </w:rPr>
              <w:t>The</w:t>
            </w:r>
            <w:r>
              <w:rPr>
                <w:spacing w:val="-5"/>
                <w:sz w:val="21"/>
              </w:rPr>
              <w:t xml:space="preserve"> </w:t>
            </w:r>
            <w:r>
              <w:rPr>
                <w:sz w:val="21"/>
              </w:rPr>
              <w:t>rebates</w:t>
            </w:r>
            <w:r>
              <w:rPr>
                <w:spacing w:val="-6"/>
                <w:sz w:val="21"/>
              </w:rPr>
              <w:t xml:space="preserve"> </w:t>
            </w:r>
            <w:r>
              <w:rPr>
                <w:sz w:val="21"/>
              </w:rPr>
              <w:t>allocated</w:t>
            </w:r>
            <w:r>
              <w:rPr>
                <w:spacing w:val="-5"/>
                <w:sz w:val="21"/>
              </w:rPr>
              <w:t xml:space="preserve"> </w:t>
            </w:r>
            <w:r>
              <w:rPr>
                <w:sz w:val="21"/>
              </w:rPr>
              <w:t>to</w:t>
            </w:r>
            <w:r>
              <w:rPr>
                <w:spacing w:val="-5"/>
                <w:sz w:val="21"/>
              </w:rPr>
              <w:t xml:space="preserve"> </w:t>
            </w:r>
            <w:r>
              <w:rPr>
                <w:sz w:val="21"/>
              </w:rPr>
              <w:t>the</w:t>
            </w:r>
            <w:r>
              <w:rPr>
                <w:spacing w:val="-7"/>
                <w:sz w:val="21"/>
              </w:rPr>
              <w:t xml:space="preserve"> </w:t>
            </w:r>
            <w:r>
              <w:rPr>
                <w:sz w:val="21"/>
              </w:rPr>
              <w:t>Part</w:t>
            </w:r>
            <w:r>
              <w:rPr>
                <w:spacing w:val="-6"/>
                <w:sz w:val="21"/>
              </w:rPr>
              <w:t xml:space="preserve"> </w:t>
            </w:r>
            <w:r>
              <w:rPr>
                <w:sz w:val="21"/>
              </w:rPr>
              <w:t>D</w:t>
            </w:r>
            <w:r>
              <w:rPr>
                <w:spacing w:val="-4"/>
                <w:sz w:val="21"/>
              </w:rPr>
              <w:t xml:space="preserve"> </w:t>
            </w:r>
            <w:r>
              <w:rPr>
                <w:sz w:val="21"/>
              </w:rPr>
              <w:t xml:space="preserve">supplemental </w:t>
            </w:r>
            <w:r>
              <w:rPr>
                <w:spacing w:val="-2"/>
                <w:sz w:val="21"/>
              </w:rPr>
              <w:t>premium.</w:t>
            </w:r>
          </w:p>
        </w:tc>
        <w:tc>
          <w:tcPr>
            <w:tcW w:w="1551" w:type="dxa"/>
          </w:tcPr>
          <w:p>
            <w:pPr>
              <w:pStyle w:val="TableParagraph"/>
              <w:spacing w:before="180"/>
              <w:ind w:left="88" w:right="81"/>
              <w:jc w:val="center"/>
              <w:rPr>
                <w:sz w:val="21"/>
              </w:rPr>
            </w:pPr>
            <w:r>
              <w:rPr>
                <w:sz w:val="21"/>
              </w:rPr>
              <w:t>WS6</w:t>
            </w:r>
            <w:r>
              <w:rPr>
                <w:spacing w:val="-3"/>
                <w:sz w:val="21"/>
              </w:rPr>
              <w:t xml:space="preserve"> </w:t>
            </w:r>
            <w:r>
              <w:rPr>
                <w:spacing w:val="-5"/>
                <w:sz w:val="21"/>
              </w:rPr>
              <w:t>R42</w:t>
            </w:r>
          </w:p>
        </w:tc>
      </w:tr>
      <w:tr>
        <w:tblPrEx>
          <w:tblW w:w="0" w:type="auto"/>
          <w:jc w:val="left"/>
          <w:tblInd w:w="514" w:type="dxa"/>
          <w:tblLayout w:type="fixed"/>
          <w:tblCellMar>
            <w:top w:w="0" w:type="dxa"/>
            <w:left w:w="0" w:type="dxa"/>
            <w:bottom w:w="0" w:type="dxa"/>
            <w:right w:w="0" w:type="dxa"/>
          </w:tblCellMar>
          <w:tblLook w:val="01E0"/>
        </w:tblPrEx>
        <w:trPr>
          <w:trHeight w:val="599"/>
          <w:jc w:val="left"/>
        </w:trPr>
        <w:tc>
          <w:tcPr>
            <w:tcW w:w="2943" w:type="dxa"/>
          </w:tcPr>
          <w:p>
            <w:pPr>
              <w:pStyle w:val="TableParagraph"/>
              <w:spacing w:before="180"/>
              <w:ind w:left="12" w:right="2"/>
              <w:jc w:val="center"/>
              <w:rPr>
                <w:sz w:val="21"/>
              </w:rPr>
            </w:pPr>
            <w:r>
              <w:rPr>
                <w:sz w:val="21"/>
              </w:rPr>
              <w:t>Part</w:t>
            </w:r>
            <w:r>
              <w:rPr>
                <w:spacing w:val="-5"/>
                <w:sz w:val="21"/>
              </w:rPr>
              <w:t xml:space="preserve"> </w:t>
            </w:r>
            <w:r>
              <w:rPr>
                <w:sz w:val="21"/>
              </w:rPr>
              <w:t>D</w:t>
            </w:r>
            <w:r>
              <w:rPr>
                <w:spacing w:val="-2"/>
                <w:sz w:val="21"/>
              </w:rPr>
              <w:t xml:space="preserve"> </w:t>
            </w:r>
            <w:r>
              <w:rPr>
                <w:sz w:val="21"/>
              </w:rPr>
              <w:t>Supplemental</w:t>
            </w:r>
            <w:r>
              <w:rPr>
                <w:spacing w:val="-4"/>
                <w:sz w:val="21"/>
              </w:rPr>
              <w:t xml:space="preserve"> </w:t>
            </w:r>
            <w:r>
              <w:rPr>
                <w:spacing w:val="-2"/>
                <w:sz w:val="21"/>
              </w:rPr>
              <w:t>Premium</w:t>
            </w:r>
          </w:p>
        </w:tc>
        <w:tc>
          <w:tcPr>
            <w:tcW w:w="4715" w:type="dxa"/>
          </w:tcPr>
          <w:p>
            <w:pPr>
              <w:pStyle w:val="TableParagraph"/>
              <w:spacing w:before="58"/>
              <w:ind w:left="1835" w:hanging="1704"/>
              <w:rPr>
                <w:sz w:val="21"/>
              </w:rPr>
            </w:pPr>
            <w:r>
              <w:rPr>
                <w:sz w:val="21"/>
              </w:rPr>
              <w:t>The</w:t>
            </w:r>
            <w:r>
              <w:rPr>
                <w:spacing w:val="-5"/>
                <w:sz w:val="21"/>
              </w:rPr>
              <w:t xml:space="preserve"> </w:t>
            </w:r>
            <w:r>
              <w:rPr>
                <w:sz w:val="21"/>
              </w:rPr>
              <w:t>Part</w:t>
            </w:r>
            <w:r>
              <w:rPr>
                <w:spacing w:val="-6"/>
                <w:sz w:val="21"/>
              </w:rPr>
              <w:t xml:space="preserve"> </w:t>
            </w:r>
            <w:r>
              <w:rPr>
                <w:sz w:val="21"/>
              </w:rPr>
              <w:t>D</w:t>
            </w:r>
            <w:r>
              <w:rPr>
                <w:spacing w:val="-4"/>
                <w:sz w:val="21"/>
              </w:rPr>
              <w:t xml:space="preserve"> </w:t>
            </w:r>
            <w:r>
              <w:rPr>
                <w:sz w:val="21"/>
              </w:rPr>
              <w:t>supplemental</w:t>
            </w:r>
            <w:r>
              <w:rPr>
                <w:spacing w:val="-6"/>
                <w:sz w:val="21"/>
              </w:rPr>
              <w:t xml:space="preserve"> </w:t>
            </w:r>
            <w:r>
              <w:rPr>
                <w:sz w:val="21"/>
              </w:rPr>
              <w:t>premium</w:t>
            </w:r>
            <w:r>
              <w:rPr>
                <w:spacing w:val="-6"/>
                <w:sz w:val="21"/>
              </w:rPr>
              <w:t xml:space="preserve"> </w:t>
            </w:r>
            <w:r>
              <w:rPr>
                <w:sz w:val="21"/>
              </w:rPr>
              <w:t>after</w:t>
            </w:r>
            <w:r>
              <w:rPr>
                <w:spacing w:val="-6"/>
                <w:sz w:val="21"/>
              </w:rPr>
              <w:t xml:space="preserve"> </w:t>
            </w:r>
            <w:r>
              <w:rPr>
                <w:sz w:val="21"/>
              </w:rPr>
              <w:t>allocation</w:t>
            </w:r>
            <w:r>
              <w:rPr>
                <w:spacing w:val="-5"/>
                <w:sz w:val="21"/>
              </w:rPr>
              <w:t xml:space="preserve"> </w:t>
            </w:r>
            <w:r>
              <w:rPr>
                <w:sz w:val="21"/>
              </w:rPr>
              <w:t>of MA rebates.</w:t>
            </w:r>
          </w:p>
        </w:tc>
        <w:tc>
          <w:tcPr>
            <w:tcW w:w="1551" w:type="dxa"/>
          </w:tcPr>
          <w:p>
            <w:pPr>
              <w:pStyle w:val="TableParagraph"/>
              <w:spacing w:before="180"/>
              <w:ind w:left="88" w:right="81"/>
              <w:jc w:val="center"/>
              <w:rPr>
                <w:sz w:val="21"/>
              </w:rPr>
            </w:pPr>
            <w:r>
              <w:rPr>
                <w:sz w:val="21"/>
              </w:rPr>
              <w:t>WS6</w:t>
            </w:r>
            <w:r>
              <w:rPr>
                <w:spacing w:val="-3"/>
                <w:sz w:val="21"/>
              </w:rPr>
              <w:t xml:space="preserve"> </w:t>
            </w:r>
            <w:r>
              <w:rPr>
                <w:spacing w:val="-5"/>
                <w:sz w:val="21"/>
              </w:rPr>
              <w:t>R43</w:t>
            </w:r>
          </w:p>
        </w:tc>
      </w:tr>
      <w:tr>
        <w:tblPrEx>
          <w:tblW w:w="0" w:type="auto"/>
          <w:jc w:val="left"/>
          <w:tblInd w:w="514" w:type="dxa"/>
          <w:tblLayout w:type="fixed"/>
          <w:tblCellMar>
            <w:top w:w="0" w:type="dxa"/>
            <w:left w:w="0" w:type="dxa"/>
            <w:bottom w:w="0" w:type="dxa"/>
            <w:right w:w="0" w:type="dxa"/>
          </w:tblCellMar>
          <w:tblLook w:val="01E0"/>
        </w:tblPrEx>
        <w:trPr>
          <w:trHeight w:val="301"/>
          <w:jc w:val="left"/>
        </w:trPr>
        <w:tc>
          <w:tcPr>
            <w:tcW w:w="2943" w:type="dxa"/>
          </w:tcPr>
          <w:p>
            <w:pPr>
              <w:pStyle w:val="TableParagraph"/>
              <w:spacing w:before="29"/>
              <w:ind w:left="12" w:right="2"/>
              <w:jc w:val="center"/>
              <w:rPr>
                <w:sz w:val="21"/>
              </w:rPr>
            </w:pPr>
            <w:r>
              <w:rPr>
                <w:sz w:val="21"/>
              </w:rPr>
              <w:t>Total</w:t>
            </w:r>
            <w:r>
              <w:rPr>
                <w:spacing w:val="-2"/>
                <w:sz w:val="21"/>
              </w:rPr>
              <w:t xml:space="preserve"> </w:t>
            </w:r>
            <w:r>
              <w:rPr>
                <w:sz w:val="21"/>
              </w:rPr>
              <w:t>Plan</w:t>
            </w:r>
            <w:r>
              <w:rPr>
                <w:spacing w:val="-1"/>
                <w:sz w:val="21"/>
              </w:rPr>
              <w:t xml:space="preserve"> </w:t>
            </w:r>
            <w:r>
              <w:rPr>
                <w:spacing w:val="-2"/>
                <w:sz w:val="21"/>
              </w:rPr>
              <w:t>Premium</w:t>
            </w:r>
          </w:p>
        </w:tc>
        <w:tc>
          <w:tcPr>
            <w:tcW w:w="4715" w:type="dxa"/>
          </w:tcPr>
          <w:p>
            <w:pPr>
              <w:pStyle w:val="TableParagraph"/>
              <w:spacing w:before="29"/>
              <w:ind w:left="6"/>
              <w:jc w:val="center"/>
              <w:rPr>
                <w:sz w:val="21"/>
              </w:rPr>
            </w:pPr>
            <w:r>
              <w:rPr>
                <w:sz w:val="21"/>
              </w:rPr>
              <w:t>The</w:t>
            </w:r>
            <w:r>
              <w:rPr>
                <w:spacing w:val="-4"/>
                <w:sz w:val="21"/>
              </w:rPr>
              <w:t xml:space="preserve"> </w:t>
            </w:r>
            <w:r>
              <w:rPr>
                <w:sz w:val="21"/>
              </w:rPr>
              <w:t>total</w:t>
            </w:r>
            <w:r>
              <w:rPr>
                <w:spacing w:val="-5"/>
                <w:sz w:val="21"/>
              </w:rPr>
              <w:t xml:space="preserve"> </w:t>
            </w:r>
            <w:r>
              <w:rPr>
                <w:sz w:val="21"/>
              </w:rPr>
              <w:t>estimated</w:t>
            </w:r>
            <w:r>
              <w:rPr>
                <w:spacing w:val="-4"/>
                <w:sz w:val="21"/>
              </w:rPr>
              <w:t xml:space="preserve"> </w:t>
            </w:r>
            <w:r>
              <w:rPr>
                <w:sz w:val="21"/>
              </w:rPr>
              <w:t>plan</w:t>
            </w:r>
            <w:r>
              <w:rPr>
                <w:spacing w:val="-3"/>
                <w:sz w:val="21"/>
              </w:rPr>
              <w:t xml:space="preserve"> </w:t>
            </w:r>
            <w:r>
              <w:rPr>
                <w:spacing w:val="-2"/>
                <w:sz w:val="21"/>
              </w:rPr>
              <w:t>premium.</w:t>
            </w:r>
          </w:p>
        </w:tc>
        <w:tc>
          <w:tcPr>
            <w:tcW w:w="1551" w:type="dxa"/>
          </w:tcPr>
          <w:p>
            <w:pPr>
              <w:pStyle w:val="TableParagraph"/>
              <w:spacing w:before="29"/>
              <w:ind w:left="88" w:right="81"/>
              <w:jc w:val="center"/>
              <w:rPr>
                <w:sz w:val="21"/>
              </w:rPr>
            </w:pPr>
            <w:r>
              <w:rPr>
                <w:sz w:val="21"/>
              </w:rPr>
              <w:t>WS6</w:t>
            </w:r>
            <w:r>
              <w:rPr>
                <w:spacing w:val="-3"/>
                <w:sz w:val="21"/>
              </w:rPr>
              <w:t xml:space="preserve"> </w:t>
            </w:r>
            <w:r>
              <w:rPr>
                <w:spacing w:val="-5"/>
                <w:sz w:val="21"/>
              </w:rPr>
              <w:t>R45</w:t>
            </w:r>
          </w:p>
        </w:tc>
      </w:tr>
    </w:tbl>
    <w:p>
      <w:pPr>
        <w:pStyle w:val="TableParagraph"/>
        <w:spacing w:after="0"/>
        <w:jc w:val="center"/>
        <w:rPr>
          <w:sz w:val="21"/>
        </w:rPr>
        <w:sectPr>
          <w:pgSz w:w="12240" w:h="15840"/>
          <w:pgMar w:top="960" w:right="0" w:bottom="940" w:left="1080" w:header="727" w:footer="747"/>
          <w:cols w:space="720"/>
        </w:sectPr>
      </w:pPr>
    </w:p>
    <w:p>
      <w:pPr>
        <w:pStyle w:val="BodyText"/>
        <w:spacing w:before="225"/>
        <w:ind w:left="0"/>
        <w:rPr>
          <w:rFonts w:ascii="Arial"/>
          <w:b/>
          <w:sz w:val="21"/>
        </w:rPr>
      </w:pPr>
    </w:p>
    <w:p>
      <w:pPr>
        <w:pStyle w:val="ListParagraph"/>
        <w:numPr>
          <w:ilvl w:val="1"/>
          <w:numId w:val="26"/>
        </w:numPr>
        <w:tabs>
          <w:tab w:val="left" w:pos="759"/>
        </w:tabs>
        <w:spacing w:before="0" w:after="0" w:line="240" w:lineRule="auto"/>
        <w:ind w:left="759" w:right="0" w:hanging="255"/>
        <w:jc w:val="left"/>
        <w:rPr>
          <w:rFonts w:ascii="Arial"/>
          <w:b/>
          <w:sz w:val="21"/>
        </w:rPr>
      </w:pPr>
      <w:bookmarkStart w:id="391" w:name="E. Examples of Premium Rounding"/>
      <w:bookmarkEnd w:id="391"/>
      <w:r>
        <w:rPr>
          <w:rFonts w:ascii="Arial"/>
          <w:b/>
          <w:sz w:val="21"/>
        </w:rPr>
        <w:t>Examples</w:t>
      </w:r>
      <w:r>
        <w:rPr>
          <w:rFonts w:ascii="Arial"/>
          <w:b/>
          <w:spacing w:val="-8"/>
          <w:sz w:val="21"/>
        </w:rPr>
        <w:t xml:space="preserve"> </w:t>
      </w:r>
      <w:r>
        <w:rPr>
          <w:rFonts w:ascii="Arial"/>
          <w:b/>
          <w:sz w:val="21"/>
        </w:rPr>
        <w:t>of</w:t>
      </w:r>
      <w:r>
        <w:rPr>
          <w:rFonts w:ascii="Arial"/>
          <w:b/>
          <w:spacing w:val="-7"/>
          <w:sz w:val="21"/>
        </w:rPr>
        <w:t xml:space="preserve"> </w:t>
      </w:r>
      <w:r>
        <w:rPr>
          <w:rFonts w:ascii="Arial"/>
          <w:b/>
          <w:sz w:val="21"/>
        </w:rPr>
        <w:t>Premium</w:t>
      </w:r>
      <w:r>
        <w:rPr>
          <w:rFonts w:ascii="Arial"/>
          <w:b/>
          <w:spacing w:val="-8"/>
          <w:sz w:val="21"/>
        </w:rPr>
        <w:t xml:space="preserve"> </w:t>
      </w:r>
      <w:r>
        <w:rPr>
          <w:rFonts w:ascii="Arial"/>
          <w:b/>
          <w:spacing w:val="-2"/>
          <w:sz w:val="21"/>
        </w:rPr>
        <w:t>Rounding</w:t>
      </w:r>
    </w:p>
    <w:p>
      <w:pPr>
        <w:pStyle w:val="BodyText"/>
        <w:spacing w:before="120"/>
        <w:ind w:right="1619"/>
      </w:pPr>
      <w:r>
        <w:t>In</w:t>
      </w:r>
      <w:r>
        <w:rPr>
          <w:spacing w:val="-3"/>
        </w:rPr>
        <w:t xml:space="preserve"> </w:t>
      </w:r>
      <w:r>
        <w:t>the</w:t>
      </w:r>
      <w:r>
        <w:rPr>
          <w:spacing w:val="-2"/>
        </w:rPr>
        <w:t xml:space="preserve"> </w:t>
      </w:r>
      <w:r>
        <w:t>following</w:t>
      </w:r>
      <w:r>
        <w:rPr>
          <w:spacing w:val="-3"/>
        </w:rPr>
        <w:t xml:space="preserve"> </w:t>
      </w:r>
      <w:r>
        <w:t>examples,</w:t>
      </w:r>
      <w:r>
        <w:rPr>
          <w:spacing w:val="-3"/>
        </w:rPr>
        <w:t xml:space="preserve"> </w:t>
      </w:r>
      <w:r>
        <w:t>the</w:t>
      </w:r>
      <w:r>
        <w:rPr>
          <w:spacing w:val="-3"/>
        </w:rPr>
        <w:t xml:space="preserve"> </w:t>
      </w:r>
      <w:r>
        <w:t>bold</w:t>
      </w:r>
      <w:r>
        <w:rPr>
          <w:spacing w:val="-3"/>
        </w:rPr>
        <w:t xml:space="preserve"> </w:t>
      </w:r>
      <w:r>
        <w:t>and</w:t>
      </w:r>
      <w:r>
        <w:rPr>
          <w:spacing w:val="-3"/>
        </w:rPr>
        <w:t xml:space="preserve"> </w:t>
      </w:r>
      <w:r>
        <w:t>italicized</w:t>
      </w:r>
      <w:r>
        <w:rPr>
          <w:spacing w:val="-1"/>
        </w:rPr>
        <w:t xml:space="preserve"> </w:t>
      </w:r>
      <w:r>
        <w:t>numbers</w:t>
      </w:r>
      <w:r>
        <w:rPr>
          <w:spacing w:val="-4"/>
        </w:rPr>
        <w:t xml:space="preserve"> </w:t>
      </w:r>
      <w:r>
        <w:t>represent</w:t>
      </w:r>
      <w:r>
        <w:rPr>
          <w:spacing w:val="-3"/>
        </w:rPr>
        <w:t xml:space="preserve"> </w:t>
      </w:r>
      <w:r>
        <w:t>a</w:t>
      </w:r>
      <w:r>
        <w:rPr>
          <w:spacing w:val="-2"/>
        </w:rPr>
        <w:t xml:space="preserve"> </w:t>
      </w:r>
      <w:r>
        <w:t>change</w:t>
      </w:r>
      <w:r>
        <w:rPr>
          <w:spacing w:val="-4"/>
        </w:rPr>
        <w:t xml:space="preserve"> </w:t>
      </w:r>
      <w:r>
        <w:t>to</w:t>
      </w:r>
      <w:r>
        <w:rPr>
          <w:spacing w:val="-3"/>
        </w:rPr>
        <w:t xml:space="preserve"> </w:t>
      </w:r>
      <w:r>
        <w:t>an</w:t>
      </w:r>
      <w:r>
        <w:rPr>
          <w:spacing w:val="-3"/>
        </w:rPr>
        <w:t xml:space="preserve"> </w:t>
      </w:r>
      <w:r>
        <w:t>input</w:t>
      </w:r>
      <w:r>
        <w:rPr>
          <w:spacing w:val="-3"/>
        </w:rPr>
        <w:t xml:space="preserve"> </w:t>
      </w:r>
      <w:r>
        <w:t>cell in the BPT.</w:t>
      </w:r>
    </w:p>
    <w:p>
      <w:pPr>
        <w:pStyle w:val="BodyText"/>
        <w:spacing w:before="4"/>
        <w:ind w:left="0"/>
      </w:pPr>
    </w:p>
    <w:p>
      <w:pPr>
        <w:pStyle w:val="Heading4"/>
      </w:pPr>
      <w:bookmarkStart w:id="392" w:name="Example 14: Premium Rounding Only and No"/>
      <w:bookmarkEnd w:id="392"/>
      <w:r>
        <w:rPr>
          <w:i/>
        </w:rPr>
        <w:t>Example</w:t>
      </w:r>
      <w:r>
        <w:rPr>
          <w:i/>
          <w:spacing w:val="-2"/>
        </w:rPr>
        <w:t xml:space="preserve"> </w:t>
      </w:r>
      <w:r>
        <w:rPr>
          <w:i/>
        </w:rPr>
        <w:t>14:</w:t>
      </w:r>
      <w:r>
        <w:rPr>
          <w:i/>
          <w:spacing w:val="-3"/>
        </w:rPr>
        <w:t xml:space="preserve"> </w:t>
      </w:r>
      <w:r>
        <w:rPr>
          <w:i/>
        </w:rPr>
        <w:t>Premium</w:t>
      </w:r>
      <w:r>
        <w:rPr>
          <w:i/>
          <w:spacing w:val="-3"/>
        </w:rPr>
        <w:t xml:space="preserve"> </w:t>
      </w:r>
      <w:r>
        <w:rPr>
          <w:i/>
        </w:rPr>
        <w:t>Rounding</w:t>
      </w:r>
      <w:r>
        <w:rPr>
          <w:i/>
          <w:spacing w:val="-3"/>
        </w:rPr>
        <w:t xml:space="preserve"> </w:t>
      </w:r>
      <w:r>
        <w:rPr>
          <w:i/>
        </w:rPr>
        <w:t>Only</w:t>
      </w:r>
      <w:r>
        <w:rPr>
          <w:i/>
          <w:spacing w:val="-3"/>
        </w:rPr>
        <w:t xml:space="preserve"> </w:t>
      </w:r>
      <w:r>
        <w:rPr>
          <w:i/>
        </w:rPr>
        <w:t>and</w:t>
      </w:r>
      <w:r>
        <w:rPr>
          <w:i/>
          <w:spacing w:val="-3"/>
        </w:rPr>
        <w:t xml:space="preserve"> </w:t>
      </w:r>
      <w:r>
        <w:rPr>
          <w:i/>
        </w:rPr>
        <w:t>Not</w:t>
      </w:r>
      <w:r>
        <w:rPr>
          <w:i/>
          <w:spacing w:val="-5"/>
        </w:rPr>
        <w:t xml:space="preserve"> </w:t>
      </w:r>
      <w:r>
        <w:rPr>
          <w:i/>
        </w:rPr>
        <w:t>Achieving</w:t>
      </w:r>
      <w:r>
        <w:rPr>
          <w:i/>
          <w:spacing w:val="-1"/>
        </w:rPr>
        <w:t xml:space="preserve"> </w:t>
      </w:r>
      <w:r>
        <w:rPr>
          <w:i/>
        </w:rPr>
        <w:t>Part</w:t>
      </w:r>
      <w:r>
        <w:rPr>
          <w:i/>
          <w:spacing w:val="-6"/>
        </w:rPr>
        <w:t xml:space="preserve"> </w:t>
      </w:r>
      <w:r>
        <w:rPr>
          <w:i/>
        </w:rPr>
        <w:t>D</w:t>
      </w:r>
      <w:r>
        <w:rPr>
          <w:i/>
          <w:spacing w:val="-3"/>
        </w:rPr>
        <w:t xml:space="preserve"> </w:t>
      </w:r>
      <w:r>
        <w:rPr>
          <w:i/>
        </w:rPr>
        <w:t>Basic</w:t>
      </w:r>
      <w:r>
        <w:rPr>
          <w:i/>
          <w:spacing w:val="-4"/>
        </w:rPr>
        <w:t xml:space="preserve"> </w:t>
      </w:r>
      <w:r>
        <w:rPr>
          <w:i/>
        </w:rPr>
        <w:t>Premium</w:t>
      </w:r>
      <w:r>
        <w:t xml:space="preserve"> </w:t>
      </w:r>
      <w:r>
        <w:rPr>
          <w:spacing w:val="-2"/>
        </w:rPr>
        <w:t>Target.</w:t>
      </w:r>
    </w:p>
    <w:p>
      <w:pPr>
        <w:pStyle w:val="BodyText"/>
        <w:spacing w:before="130"/>
        <w:ind w:left="0"/>
        <w:rPr>
          <w:rFonts w:ascii="Arial"/>
          <w:b/>
          <w:i/>
          <w:sz w:val="20"/>
        </w:rPr>
      </w:pPr>
    </w:p>
    <w:tbl>
      <w:tblPr>
        <w:tblStyle w:val="TableNormal"/>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1"/>
        <w:gridCol w:w="1580"/>
        <w:gridCol w:w="2677"/>
        <w:gridCol w:w="1952"/>
      </w:tblGrid>
      <w:tr>
        <w:tblPrEx>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70"/>
          <w:jc w:val="left"/>
        </w:trPr>
        <w:tc>
          <w:tcPr>
            <w:tcW w:w="3001" w:type="dxa"/>
          </w:tcPr>
          <w:p>
            <w:pPr>
              <w:pStyle w:val="TableParagraph"/>
              <w:spacing w:before="163"/>
              <w:ind w:left="11"/>
              <w:jc w:val="center"/>
              <w:rPr>
                <w:b/>
                <w:sz w:val="21"/>
              </w:rPr>
            </w:pPr>
            <w:r>
              <w:rPr>
                <w:b/>
                <w:spacing w:val="-2"/>
                <w:sz w:val="21"/>
              </w:rPr>
              <w:t>Label</w:t>
            </w:r>
          </w:p>
        </w:tc>
        <w:tc>
          <w:tcPr>
            <w:tcW w:w="1580" w:type="dxa"/>
          </w:tcPr>
          <w:p>
            <w:pPr>
              <w:pStyle w:val="TableParagraph"/>
              <w:spacing w:before="43"/>
              <w:ind w:left="630" w:right="261" w:hanging="360"/>
              <w:rPr>
                <w:b/>
                <w:sz w:val="21"/>
              </w:rPr>
            </w:pPr>
            <w:r>
              <w:rPr>
                <w:b/>
                <w:sz w:val="21"/>
              </w:rPr>
              <w:t>Initial</w:t>
            </w:r>
            <w:r>
              <w:rPr>
                <w:b/>
                <w:spacing w:val="-14"/>
                <w:sz w:val="21"/>
              </w:rPr>
              <w:t xml:space="preserve"> </w:t>
            </w:r>
            <w:r>
              <w:rPr>
                <w:b/>
                <w:sz w:val="21"/>
              </w:rPr>
              <w:t xml:space="preserve">June </w:t>
            </w:r>
            <w:r>
              <w:rPr>
                <w:b/>
                <w:spacing w:val="-4"/>
                <w:sz w:val="21"/>
              </w:rPr>
              <w:t>Bid</w:t>
            </w:r>
          </w:p>
        </w:tc>
        <w:tc>
          <w:tcPr>
            <w:tcW w:w="2677" w:type="dxa"/>
          </w:tcPr>
          <w:p>
            <w:pPr>
              <w:pStyle w:val="TableParagraph"/>
              <w:spacing w:before="43"/>
              <w:ind w:left="810" w:hanging="192"/>
              <w:rPr>
                <w:b/>
                <w:sz w:val="21"/>
              </w:rPr>
            </w:pPr>
            <w:r>
              <w:rPr>
                <w:b/>
                <w:sz w:val="21"/>
              </w:rPr>
              <w:t>After</w:t>
            </w:r>
            <w:r>
              <w:rPr>
                <w:b/>
                <w:spacing w:val="-14"/>
                <w:sz w:val="21"/>
              </w:rPr>
              <w:t xml:space="preserve"> </w:t>
            </w:r>
            <w:r>
              <w:rPr>
                <w:b/>
                <w:sz w:val="21"/>
              </w:rPr>
              <w:t>Release</w:t>
            </w:r>
            <w:r>
              <w:rPr>
                <w:b/>
                <w:spacing w:val="-13"/>
                <w:sz w:val="21"/>
              </w:rPr>
              <w:t xml:space="preserve"> </w:t>
            </w:r>
            <w:r>
              <w:rPr>
                <w:b/>
                <w:sz w:val="21"/>
              </w:rPr>
              <w:t xml:space="preserve">of </w:t>
            </w:r>
            <w:r>
              <w:rPr>
                <w:b/>
                <w:spacing w:val="-2"/>
                <w:sz w:val="21"/>
              </w:rPr>
              <w:t>Benchmark</w:t>
            </w:r>
          </w:p>
        </w:tc>
        <w:tc>
          <w:tcPr>
            <w:tcW w:w="1952" w:type="dxa"/>
          </w:tcPr>
          <w:p>
            <w:pPr>
              <w:pStyle w:val="TableParagraph"/>
              <w:spacing w:before="43"/>
              <w:ind w:left="528" w:firstLine="21"/>
              <w:rPr>
                <w:b/>
                <w:sz w:val="21"/>
              </w:rPr>
            </w:pPr>
            <w:r>
              <w:rPr>
                <w:b/>
                <w:spacing w:val="-2"/>
                <w:sz w:val="21"/>
              </w:rPr>
              <w:t>Premium Rounding</w:t>
            </w:r>
          </w:p>
        </w:tc>
      </w:tr>
      <w:tr>
        <w:tblPrEx>
          <w:tblW w:w="0" w:type="auto"/>
          <w:jc w:val="left"/>
          <w:tblInd w:w="514" w:type="dxa"/>
          <w:tblLayout w:type="fixed"/>
          <w:tblCellMar>
            <w:top w:w="0" w:type="dxa"/>
            <w:left w:w="0" w:type="dxa"/>
            <w:bottom w:w="0" w:type="dxa"/>
            <w:right w:w="0" w:type="dxa"/>
          </w:tblCellMar>
          <w:tblLook w:val="01E0"/>
        </w:tblPrEx>
        <w:trPr>
          <w:trHeight w:val="315"/>
          <w:jc w:val="left"/>
        </w:trPr>
        <w:tc>
          <w:tcPr>
            <w:tcW w:w="3001" w:type="dxa"/>
            <w:tcBorders>
              <w:bottom w:val="nil"/>
            </w:tcBorders>
          </w:tcPr>
          <w:p>
            <w:pPr>
              <w:pStyle w:val="TableParagraph"/>
              <w:spacing w:before="58" w:line="237" w:lineRule="exact"/>
              <w:ind w:left="107"/>
              <w:rPr>
                <w:b/>
                <w:sz w:val="21"/>
              </w:rPr>
            </w:pPr>
            <w:r>
              <w:rPr>
                <w:b/>
                <w:sz w:val="21"/>
              </w:rPr>
              <w:t>Target</w:t>
            </w:r>
            <w:r>
              <w:rPr>
                <w:b/>
                <w:spacing w:val="-6"/>
                <w:sz w:val="21"/>
              </w:rPr>
              <w:t xml:space="preserve"> </w:t>
            </w:r>
            <w:r>
              <w:rPr>
                <w:b/>
                <w:sz w:val="21"/>
              </w:rPr>
              <w:t>Plan</w:t>
            </w:r>
            <w:r>
              <w:rPr>
                <w:b/>
                <w:spacing w:val="-1"/>
                <w:sz w:val="21"/>
              </w:rPr>
              <w:t xml:space="preserve"> </w:t>
            </w:r>
            <w:r>
              <w:rPr>
                <w:b/>
                <w:spacing w:val="-2"/>
                <w:sz w:val="21"/>
              </w:rPr>
              <w:t>Intention</w:t>
            </w:r>
          </w:p>
        </w:tc>
        <w:tc>
          <w:tcPr>
            <w:tcW w:w="1580" w:type="dxa"/>
            <w:tcBorders>
              <w:bottom w:val="nil"/>
            </w:tcBorders>
          </w:tcPr>
          <w:p>
            <w:pPr>
              <w:pStyle w:val="TableParagraph"/>
              <w:spacing w:before="58" w:line="237" w:lineRule="exact"/>
              <w:ind w:left="10" w:right="2"/>
              <w:jc w:val="center"/>
              <w:rPr>
                <w:sz w:val="21"/>
              </w:rPr>
            </w:pPr>
            <w:r>
              <w:rPr>
                <w:sz w:val="21"/>
              </w:rPr>
              <w:t>Initial</w:t>
            </w:r>
            <w:r>
              <w:rPr>
                <w:spacing w:val="-5"/>
                <w:sz w:val="21"/>
              </w:rPr>
              <w:t xml:space="preserve"> </w:t>
            </w:r>
            <w:r>
              <w:rPr>
                <w:sz w:val="21"/>
              </w:rPr>
              <w:t>June</w:t>
            </w:r>
            <w:r>
              <w:rPr>
                <w:spacing w:val="-4"/>
                <w:sz w:val="21"/>
              </w:rPr>
              <w:t xml:space="preserve"> </w:t>
            </w:r>
            <w:r>
              <w:rPr>
                <w:spacing w:val="-5"/>
                <w:sz w:val="21"/>
              </w:rPr>
              <w:t>Bid</w:t>
            </w:r>
          </w:p>
        </w:tc>
        <w:tc>
          <w:tcPr>
            <w:tcW w:w="2677" w:type="dxa"/>
            <w:tcBorders>
              <w:bottom w:val="nil"/>
            </w:tcBorders>
          </w:tcPr>
          <w:p>
            <w:pPr>
              <w:pStyle w:val="TableParagraph"/>
              <w:spacing w:before="58" w:line="237" w:lineRule="exact"/>
              <w:ind w:left="9" w:right="5"/>
              <w:jc w:val="center"/>
              <w:rPr>
                <w:sz w:val="21"/>
              </w:rPr>
            </w:pPr>
            <w:r>
              <w:rPr>
                <w:sz w:val="21"/>
              </w:rPr>
              <w:t>Initial</w:t>
            </w:r>
            <w:r>
              <w:rPr>
                <w:spacing w:val="-5"/>
                <w:sz w:val="21"/>
              </w:rPr>
              <w:t xml:space="preserve"> </w:t>
            </w:r>
            <w:r>
              <w:rPr>
                <w:sz w:val="21"/>
              </w:rPr>
              <w:t>June</w:t>
            </w:r>
            <w:r>
              <w:rPr>
                <w:spacing w:val="-4"/>
                <w:sz w:val="21"/>
              </w:rPr>
              <w:t xml:space="preserve"> </w:t>
            </w:r>
            <w:r>
              <w:rPr>
                <w:spacing w:val="-5"/>
                <w:sz w:val="21"/>
              </w:rPr>
              <w:t>Bid</w:t>
            </w:r>
          </w:p>
        </w:tc>
        <w:tc>
          <w:tcPr>
            <w:tcW w:w="1952" w:type="dxa"/>
            <w:tcBorders>
              <w:bottom w:val="nil"/>
            </w:tcBorders>
          </w:tcPr>
          <w:p>
            <w:pPr>
              <w:pStyle w:val="TableParagraph"/>
              <w:spacing w:before="29"/>
              <w:ind w:left="6" w:right="2"/>
              <w:jc w:val="center"/>
              <w:rPr>
                <w:sz w:val="21"/>
              </w:rPr>
            </w:pPr>
            <w:r>
              <w:rPr>
                <w:sz w:val="21"/>
              </w:rPr>
              <w:t>Initial</w:t>
            </w:r>
            <w:r>
              <w:rPr>
                <w:spacing w:val="-5"/>
                <w:sz w:val="21"/>
              </w:rPr>
              <w:t xml:space="preserve"> </w:t>
            </w:r>
            <w:r>
              <w:rPr>
                <w:sz w:val="21"/>
              </w:rPr>
              <w:t>June</w:t>
            </w:r>
            <w:r>
              <w:rPr>
                <w:spacing w:val="-4"/>
                <w:sz w:val="21"/>
              </w:rPr>
              <w:t xml:space="preserve"> </w:t>
            </w:r>
            <w:r>
              <w:rPr>
                <w:spacing w:val="-5"/>
                <w:sz w:val="21"/>
              </w:rPr>
              <w:t>Bid</w:t>
            </w:r>
          </w:p>
        </w:tc>
      </w:tr>
      <w:tr>
        <w:tblPrEx>
          <w:tblW w:w="0" w:type="auto"/>
          <w:jc w:val="left"/>
          <w:tblInd w:w="514" w:type="dxa"/>
          <w:tblLayout w:type="fixed"/>
          <w:tblCellMar>
            <w:top w:w="0" w:type="dxa"/>
            <w:left w:w="0" w:type="dxa"/>
            <w:bottom w:w="0" w:type="dxa"/>
            <w:right w:w="0" w:type="dxa"/>
          </w:tblCellMar>
          <w:tblLook w:val="01E0"/>
        </w:tblPrEx>
        <w:trPr>
          <w:trHeight w:val="453"/>
          <w:jc w:val="left"/>
        </w:trPr>
        <w:tc>
          <w:tcPr>
            <w:tcW w:w="3001" w:type="dxa"/>
            <w:tcBorders>
              <w:top w:val="nil"/>
              <w:bottom w:val="nil"/>
            </w:tcBorders>
          </w:tcPr>
          <w:p>
            <w:pPr>
              <w:pStyle w:val="TableParagraph"/>
              <w:spacing w:before="31"/>
              <w:ind w:left="107"/>
              <w:rPr>
                <w:b/>
                <w:sz w:val="22"/>
              </w:rPr>
            </w:pPr>
            <w:r>
              <w:rPr>
                <w:b/>
                <w:sz w:val="22"/>
              </w:rPr>
              <w:t>Rebates</w:t>
            </w:r>
            <w:r>
              <w:rPr>
                <w:b/>
                <w:spacing w:val="-4"/>
                <w:sz w:val="22"/>
              </w:rPr>
              <w:t xml:space="preserve"> </w:t>
            </w:r>
            <w:r>
              <w:rPr>
                <w:b/>
                <w:sz w:val="22"/>
              </w:rPr>
              <w:t>for</w:t>
            </w:r>
            <w:r>
              <w:rPr>
                <w:b/>
                <w:spacing w:val="-3"/>
                <w:sz w:val="22"/>
              </w:rPr>
              <w:t xml:space="preserve"> </w:t>
            </w:r>
            <w:r>
              <w:rPr>
                <w:b/>
                <w:spacing w:val="-2"/>
                <w:sz w:val="22"/>
              </w:rPr>
              <w:t>Allocation</w:t>
            </w:r>
          </w:p>
        </w:tc>
        <w:tc>
          <w:tcPr>
            <w:tcW w:w="1580" w:type="dxa"/>
            <w:tcBorders>
              <w:top w:val="nil"/>
              <w:bottom w:val="nil"/>
            </w:tcBorders>
          </w:tcPr>
          <w:p>
            <w:pPr>
              <w:pStyle w:val="TableParagraph"/>
              <w:spacing w:before="31"/>
              <w:ind w:left="10" w:right="2"/>
              <w:jc w:val="center"/>
              <w:rPr>
                <w:sz w:val="22"/>
              </w:rPr>
            </w:pPr>
            <w:r>
              <w:rPr>
                <w:spacing w:val="-5"/>
                <w:sz w:val="22"/>
              </w:rPr>
              <w:t>N/A</w:t>
            </w:r>
          </w:p>
        </w:tc>
        <w:tc>
          <w:tcPr>
            <w:tcW w:w="2677" w:type="dxa"/>
            <w:tcBorders>
              <w:top w:val="nil"/>
              <w:bottom w:val="nil"/>
            </w:tcBorders>
          </w:tcPr>
          <w:p>
            <w:pPr>
              <w:pStyle w:val="TableParagraph"/>
              <w:spacing w:before="31"/>
              <w:ind w:left="9" w:right="4"/>
              <w:jc w:val="center"/>
              <w:rPr>
                <w:sz w:val="22"/>
              </w:rPr>
            </w:pPr>
            <w:r>
              <w:rPr>
                <w:spacing w:val="-5"/>
                <w:sz w:val="22"/>
              </w:rPr>
              <w:t>N/A</w:t>
            </w:r>
          </w:p>
        </w:tc>
        <w:tc>
          <w:tcPr>
            <w:tcW w:w="1952" w:type="dxa"/>
            <w:tcBorders>
              <w:top w:val="nil"/>
              <w:bottom w:val="nil"/>
            </w:tcBorders>
          </w:tcPr>
          <w:p>
            <w:pPr>
              <w:pStyle w:val="TableParagraph"/>
              <w:spacing w:before="7"/>
              <w:ind w:left="6"/>
              <w:jc w:val="center"/>
              <w:rPr>
                <w:sz w:val="22"/>
              </w:rPr>
            </w:pPr>
            <w:r>
              <w:rPr>
                <w:spacing w:val="-2"/>
                <w:sz w:val="22"/>
              </w:rPr>
              <w:t>−$0.20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90" w:line="240" w:lineRule="exact"/>
              <w:ind w:left="107"/>
              <w:rPr>
                <w:b/>
                <w:sz w:val="21"/>
              </w:rPr>
            </w:pPr>
            <w:r>
              <w:rPr>
                <w:b/>
                <w:sz w:val="21"/>
              </w:rPr>
              <w:t>Gain/Loss</w:t>
            </w:r>
            <w:r>
              <w:rPr>
                <w:b/>
                <w:spacing w:val="-8"/>
                <w:sz w:val="21"/>
              </w:rPr>
              <w:t xml:space="preserve"> </w:t>
            </w:r>
            <w:r>
              <w:rPr>
                <w:b/>
                <w:spacing w:val="-2"/>
                <w:sz w:val="21"/>
              </w:rPr>
              <w:t>Margin</w:t>
            </w:r>
          </w:p>
        </w:tc>
        <w:tc>
          <w:tcPr>
            <w:tcW w:w="1580" w:type="dxa"/>
            <w:tcBorders>
              <w:top w:val="nil"/>
              <w:bottom w:val="nil"/>
            </w:tcBorders>
          </w:tcPr>
          <w:p>
            <w:pPr>
              <w:pStyle w:val="TableParagraph"/>
              <w:spacing w:before="190" w:line="240" w:lineRule="exact"/>
              <w:ind w:left="10" w:right="3"/>
              <w:jc w:val="center"/>
              <w:rPr>
                <w:sz w:val="21"/>
              </w:rPr>
            </w:pPr>
            <w:r>
              <w:rPr>
                <w:spacing w:val="-2"/>
                <w:sz w:val="21"/>
              </w:rPr>
              <w:t>$71.00</w:t>
            </w:r>
          </w:p>
        </w:tc>
        <w:tc>
          <w:tcPr>
            <w:tcW w:w="2677" w:type="dxa"/>
            <w:tcBorders>
              <w:top w:val="nil"/>
              <w:bottom w:val="nil"/>
            </w:tcBorders>
          </w:tcPr>
          <w:p>
            <w:pPr>
              <w:pStyle w:val="TableParagraph"/>
              <w:spacing w:before="190" w:line="240" w:lineRule="exact"/>
              <w:ind w:left="9"/>
              <w:jc w:val="center"/>
              <w:rPr>
                <w:sz w:val="21"/>
              </w:rPr>
            </w:pPr>
            <w:r>
              <w:rPr>
                <w:spacing w:val="-2"/>
                <w:sz w:val="21"/>
              </w:rPr>
              <w:t>$71.00</w:t>
            </w:r>
          </w:p>
        </w:tc>
        <w:tc>
          <w:tcPr>
            <w:tcW w:w="1952" w:type="dxa"/>
            <w:tcBorders>
              <w:top w:val="nil"/>
              <w:bottom w:val="nil"/>
            </w:tcBorders>
          </w:tcPr>
          <w:p>
            <w:pPr>
              <w:pStyle w:val="TableParagraph"/>
              <w:spacing w:before="161"/>
              <w:ind w:left="6" w:right="3"/>
              <w:jc w:val="center"/>
              <w:rPr>
                <w:b/>
                <w:i/>
                <w:sz w:val="21"/>
              </w:rPr>
            </w:pPr>
            <w:r>
              <w:rPr>
                <w:b/>
                <w:i/>
                <w:spacing w:val="-2"/>
                <w:sz w:val="21"/>
              </w:rPr>
              <w:t>$71.20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39" w:line="240" w:lineRule="exact"/>
              <w:ind w:left="107"/>
              <w:rPr>
                <w:b/>
                <w:sz w:val="21"/>
              </w:rPr>
            </w:pPr>
            <w:r>
              <w:rPr>
                <w:b/>
                <w:sz w:val="21"/>
              </w:rPr>
              <w:t>Total</w:t>
            </w:r>
            <w:r>
              <w:rPr>
                <w:b/>
                <w:spacing w:val="-6"/>
                <w:sz w:val="21"/>
              </w:rPr>
              <w:t xml:space="preserve"> </w:t>
            </w:r>
            <w:r>
              <w:rPr>
                <w:b/>
                <w:sz w:val="21"/>
              </w:rPr>
              <w:t>MA</w:t>
            </w:r>
            <w:r>
              <w:rPr>
                <w:b/>
                <w:spacing w:val="-3"/>
                <w:sz w:val="21"/>
              </w:rPr>
              <w:t xml:space="preserve"> </w:t>
            </w:r>
            <w:r>
              <w:rPr>
                <w:b/>
                <w:spacing w:val="-2"/>
                <w:sz w:val="21"/>
              </w:rPr>
              <w:t>Rebates</w:t>
            </w:r>
          </w:p>
        </w:tc>
        <w:tc>
          <w:tcPr>
            <w:tcW w:w="1580" w:type="dxa"/>
            <w:tcBorders>
              <w:top w:val="nil"/>
              <w:bottom w:val="nil"/>
            </w:tcBorders>
          </w:tcPr>
          <w:p>
            <w:pPr>
              <w:pStyle w:val="TableParagraph"/>
              <w:spacing w:before="39" w:line="240" w:lineRule="exact"/>
              <w:ind w:left="10"/>
              <w:jc w:val="center"/>
              <w:rPr>
                <w:sz w:val="21"/>
              </w:rPr>
            </w:pPr>
            <w:r>
              <w:rPr>
                <w:spacing w:val="-2"/>
                <w:sz w:val="21"/>
              </w:rPr>
              <w:t>$187.40</w:t>
            </w:r>
          </w:p>
        </w:tc>
        <w:tc>
          <w:tcPr>
            <w:tcW w:w="2677" w:type="dxa"/>
            <w:tcBorders>
              <w:top w:val="nil"/>
              <w:bottom w:val="nil"/>
            </w:tcBorders>
          </w:tcPr>
          <w:p>
            <w:pPr>
              <w:pStyle w:val="TableParagraph"/>
              <w:spacing w:before="39" w:line="240" w:lineRule="exact"/>
              <w:ind w:left="9" w:right="3"/>
              <w:jc w:val="center"/>
              <w:rPr>
                <w:sz w:val="21"/>
              </w:rPr>
            </w:pPr>
            <w:r>
              <w:rPr>
                <w:spacing w:val="-2"/>
                <w:sz w:val="21"/>
              </w:rPr>
              <w:t>$187.40</w:t>
            </w:r>
          </w:p>
        </w:tc>
        <w:tc>
          <w:tcPr>
            <w:tcW w:w="1952" w:type="dxa"/>
            <w:tcBorders>
              <w:top w:val="nil"/>
              <w:bottom w:val="nil"/>
            </w:tcBorders>
          </w:tcPr>
          <w:p>
            <w:pPr>
              <w:pStyle w:val="TableParagraph"/>
              <w:spacing w:before="11"/>
              <w:ind w:left="6"/>
              <w:jc w:val="center"/>
              <w:rPr>
                <w:sz w:val="21"/>
              </w:rPr>
            </w:pPr>
            <w:r>
              <w:rPr>
                <w:spacing w:val="-2"/>
                <w:sz w:val="21"/>
              </w:rPr>
              <w:t>$187.20</w:t>
            </w:r>
          </w:p>
        </w:tc>
      </w:tr>
      <w:tr>
        <w:tblPrEx>
          <w:tblW w:w="0" w:type="auto"/>
          <w:jc w:val="left"/>
          <w:tblInd w:w="514" w:type="dxa"/>
          <w:tblLayout w:type="fixed"/>
          <w:tblCellMar>
            <w:top w:w="0" w:type="dxa"/>
            <w:left w:w="0" w:type="dxa"/>
            <w:bottom w:w="0" w:type="dxa"/>
            <w:right w:w="0" w:type="dxa"/>
          </w:tblCellMar>
          <w:tblLook w:val="01E0"/>
        </w:tblPrEx>
        <w:trPr>
          <w:trHeight w:val="464"/>
          <w:jc w:val="left"/>
        </w:trPr>
        <w:tc>
          <w:tcPr>
            <w:tcW w:w="3001" w:type="dxa"/>
            <w:tcBorders>
              <w:top w:val="nil"/>
              <w:bottom w:val="nil"/>
            </w:tcBorders>
          </w:tcPr>
          <w:p>
            <w:pPr>
              <w:pStyle w:val="TableParagraph"/>
              <w:spacing w:before="39"/>
              <w:ind w:left="107"/>
              <w:rPr>
                <w:b/>
                <w:sz w:val="21"/>
              </w:rPr>
            </w:pPr>
            <w:r>
              <w:rPr>
                <w:b/>
                <w:sz w:val="21"/>
              </w:rPr>
              <w:t>Change</w:t>
            </w:r>
            <w:r>
              <w:rPr>
                <w:b/>
                <w:spacing w:val="-2"/>
                <w:sz w:val="21"/>
              </w:rPr>
              <w:t xml:space="preserve"> </w:t>
            </w:r>
            <w:r>
              <w:rPr>
                <w:b/>
                <w:sz w:val="21"/>
              </w:rPr>
              <w:t>in</w:t>
            </w:r>
            <w:r>
              <w:rPr>
                <w:b/>
                <w:spacing w:val="-5"/>
                <w:sz w:val="21"/>
              </w:rPr>
              <w:t xml:space="preserve"> </w:t>
            </w:r>
            <w:r>
              <w:rPr>
                <w:b/>
                <w:sz w:val="21"/>
              </w:rPr>
              <w:t>Total</w:t>
            </w:r>
            <w:r>
              <w:rPr>
                <w:b/>
                <w:spacing w:val="-6"/>
                <w:sz w:val="21"/>
              </w:rPr>
              <w:t xml:space="preserve"> </w:t>
            </w:r>
            <w:r>
              <w:rPr>
                <w:b/>
                <w:sz w:val="21"/>
              </w:rPr>
              <w:t>MA</w:t>
            </w:r>
            <w:r>
              <w:rPr>
                <w:b/>
                <w:spacing w:val="-3"/>
                <w:sz w:val="21"/>
              </w:rPr>
              <w:t xml:space="preserve"> </w:t>
            </w:r>
            <w:r>
              <w:rPr>
                <w:b/>
                <w:spacing w:val="-2"/>
                <w:sz w:val="21"/>
              </w:rPr>
              <w:t>Rebates</w:t>
            </w:r>
          </w:p>
        </w:tc>
        <w:tc>
          <w:tcPr>
            <w:tcW w:w="1580" w:type="dxa"/>
            <w:tcBorders>
              <w:top w:val="nil"/>
              <w:bottom w:val="nil"/>
            </w:tcBorders>
          </w:tcPr>
          <w:p>
            <w:pPr>
              <w:pStyle w:val="TableParagraph"/>
              <w:spacing w:before="39"/>
              <w:ind w:left="10" w:right="4"/>
              <w:jc w:val="center"/>
              <w:rPr>
                <w:sz w:val="21"/>
              </w:rPr>
            </w:pPr>
            <w:r>
              <w:rPr>
                <w:spacing w:val="-5"/>
                <w:sz w:val="21"/>
              </w:rPr>
              <w:t>N/A</w:t>
            </w:r>
          </w:p>
        </w:tc>
        <w:tc>
          <w:tcPr>
            <w:tcW w:w="2677" w:type="dxa"/>
            <w:tcBorders>
              <w:top w:val="nil"/>
              <w:bottom w:val="nil"/>
            </w:tcBorders>
          </w:tcPr>
          <w:p>
            <w:pPr>
              <w:pStyle w:val="TableParagraph"/>
              <w:spacing w:before="39"/>
              <w:ind w:left="9" w:right="2"/>
              <w:jc w:val="center"/>
              <w:rPr>
                <w:sz w:val="21"/>
              </w:rPr>
            </w:pPr>
            <w:r>
              <w:rPr>
                <w:spacing w:val="-5"/>
                <w:sz w:val="21"/>
              </w:rPr>
              <w:t>N/A</w:t>
            </w:r>
          </w:p>
        </w:tc>
        <w:tc>
          <w:tcPr>
            <w:tcW w:w="1952" w:type="dxa"/>
            <w:tcBorders>
              <w:top w:val="nil"/>
              <w:bottom w:val="nil"/>
            </w:tcBorders>
          </w:tcPr>
          <w:p>
            <w:pPr>
              <w:pStyle w:val="TableParagraph"/>
              <w:spacing w:before="11"/>
              <w:ind w:left="6"/>
              <w:jc w:val="center"/>
              <w:rPr>
                <w:sz w:val="21"/>
              </w:rPr>
            </w:pPr>
            <w:r>
              <w:rPr>
                <w:spacing w:val="-2"/>
                <w:sz w:val="21"/>
              </w:rPr>
              <w:t>−$0.20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75"/>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580" w:type="dxa"/>
            <w:tcBorders>
              <w:top w:val="nil"/>
              <w:bottom w:val="nil"/>
            </w:tcBorders>
          </w:tcPr>
          <w:p>
            <w:pPr>
              <w:pStyle w:val="TableParagraph"/>
              <w:spacing w:before="175"/>
              <w:ind w:left="10"/>
              <w:jc w:val="center"/>
              <w:rPr>
                <w:sz w:val="21"/>
              </w:rPr>
            </w:pPr>
            <w:r>
              <w:rPr>
                <w:spacing w:val="-2"/>
                <w:sz w:val="21"/>
              </w:rPr>
              <w:t>$189.60</w:t>
            </w:r>
          </w:p>
        </w:tc>
        <w:tc>
          <w:tcPr>
            <w:tcW w:w="2677" w:type="dxa"/>
            <w:tcBorders>
              <w:top w:val="nil"/>
              <w:bottom w:val="nil"/>
            </w:tcBorders>
          </w:tcPr>
          <w:p>
            <w:pPr>
              <w:pStyle w:val="TableParagraph"/>
              <w:spacing w:before="175"/>
              <w:ind w:left="9" w:right="3"/>
              <w:jc w:val="center"/>
              <w:rPr>
                <w:sz w:val="21"/>
              </w:rPr>
            </w:pPr>
            <w:r>
              <w:rPr>
                <w:spacing w:val="-2"/>
                <w:sz w:val="21"/>
              </w:rPr>
              <w:t>$189.60</w:t>
            </w:r>
          </w:p>
        </w:tc>
        <w:tc>
          <w:tcPr>
            <w:tcW w:w="1952" w:type="dxa"/>
            <w:tcBorders>
              <w:top w:val="nil"/>
              <w:bottom w:val="nil"/>
            </w:tcBorders>
          </w:tcPr>
          <w:p>
            <w:pPr>
              <w:pStyle w:val="TableParagraph"/>
              <w:spacing w:before="175"/>
              <w:ind w:left="6"/>
              <w:jc w:val="center"/>
              <w:rPr>
                <w:sz w:val="21"/>
              </w:rPr>
            </w:pPr>
            <w:r>
              <w:rPr>
                <w:spacing w:val="-2"/>
                <w:sz w:val="21"/>
              </w:rPr>
              <w:t>$189.60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25"/>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580" w:type="dxa"/>
            <w:tcBorders>
              <w:top w:val="nil"/>
              <w:bottom w:val="nil"/>
            </w:tcBorders>
          </w:tcPr>
          <w:p>
            <w:pPr>
              <w:pStyle w:val="TableParagraph"/>
              <w:spacing w:before="25"/>
              <w:ind w:left="10"/>
              <w:jc w:val="center"/>
              <w:rPr>
                <w:sz w:val="21"/>
              </w:rPr>
            </w:pPr>
            <w:r>
              <w:rPr>
                <w:spacing w:val="-2"/>
                <w:sz w:val="21"/>
              </w:rPr>
              <w:t>$117.80</w:t>
            </w:r>
          </w:p>
        </w:tc>
        <w:tc>
          <w:tcPr>
            <w:tcW w:w="2677" w:type="dxa"/>
            <w:tcBorders>
              <w:top w:val="nil"/>
              <w:bottom w:val="nil"/>
            </w:tcBorders>
          </w:tcPr>
          <w:p>
            <w:pPr>
              <w:pStyle w:val="TableParagraph"/>
              <w:spacing w:before="25"/>
              <w:ind w:left="9" w:right="3"/>
              <w:jc w:val="center"/>
              <w:rPr>
                <w:sz w:val="21"/>
              </w:rPr>
            </w:pPr>
            <w:r>
              <w:rPr>
                <w:spacing w:val="-2"/>
                <w:sz w:val="21"/>
              </w:rPr>
              <w:t>$117.80</w:t>
            </w:r>
          </w:p>
        </w:tc>
        <w:tc>
          <w:tcPr>
            <w:tcW w:w="1952" w:type="dxa"/>
            <w:tcBorders>
              <w:top w:val="nil"/>
              <w:bottom w:val="nil"/>
            </w:tcBorders>
          </w:tcPr>
          <w:p>
            <w:pPr>
              <w:pStyle w:val="TableParagraph"/>
              <w:spacing w:before="25"/>
              <w:ind w:left="6"/>
              <w:jc w:val="center"/>
              <w:rPr>
                <w:b/>
                <w:i/>
                <w:sz w:val="21"/>
              </w:rPr>
            </w:pPr>
            <w:r>
              <w:rPr>
                <w:b/>
                <w:i/>
                <w:spacing w:val="-2"/>
                <w:sz w:val="21"/>
              </w:rPr>
              <w:t>$117.60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25"/>
              <w:ind w:left="107"/>
              <w:rPr>
                <w:b/>
                <w:sz w:val="21"/>
              </w:rPr>
            </w:pPr>
            <w:r>
              <w:rPr>
                <w:b/>
                <w:sz w:val="21"/>
              </w:rPr>
              <w:t>MA</w:t>
            </w:r>
            <w:r>
              <w:rPr>
                <w:b/>
                <w:spacing w:val="-5"/>
                <w:sz w:val="21"/>
              </w:rPr>
              <w:t xml:space="preserve"> </w:t>
            </w:r>
            <w:r>
              <w:rPr>
                <w:b/>
                <w:spacing w:val="-2"/>
                <w:sz w:val="21"/>
              </w:rPr>
              <w:t>Premium</w:t>
            </w:r>
          </w:p>
        </w:tc>
        <w:tc>
          <w:tcPr>
            <w:tcW w:w="1580" w:type="dxa"/>
            <w:tcBorders>
              <w:top w:val="nil"/>
              <w:bottom w:val="nil"/>
            </w:tcBorders>
          </w:tcPr>
          <w:p>
            <w:pPr>
              <w:pStyle w:val="TableParagraph"/>
              <w:spacing w:before="25"/>
              <w:ind w:left="10" w:right="3"/>
              <w:jc w:val="center"/>
              <w:rPr>
                <w:sz w:val="21"/>
              </w:rPr>
            </w:pPr>
            <w:r>
              <w:rPr>
                <w:spacing w:val="-2"/>
                <w:sz w:val="21"/>
              </w:rPr>
              <w:t>$71.80</w:t>
            </w:r>
          </w:p>
        </w:tc>
        <w:tc>
          <w:tcPr>
            <w:tcW w:w="2677" w:type="dxa"/>
            <w:tcBorders>
              <w:top w:val="nil"/>
              <w:bottom w:val="nil"/>
            </w:tcBorders>
          </w:tcPr>
          <w:p>
            <w:pPr>
              <w:pStyle w:val="TableParagraph"/>
              <w:spacing w:before="25"/>
              <w:ind w:left="9"/>
              <w:jc w:val="center"/>
              <w:rPr>
                <w:sz w:val="21"/>
              </w:rPr>
            </w:pPr>
            <w:r>
              <w:rPr>
                <w:spacing w:val="-2"/>
                <w:sz w:val="21"/>
              </w:rPr>
              <w:t>$71.80</w:t>
            </w:r>
          </w:p>
        </w:tc>
        <w:tc>
          <w:tcPr>
            <w:tcW w:w="1952" w:type="dxa"/>
            <w:tcBorders>
              <w:top w:val="nil"/>
              <w:bottom w:val="nil"/>
            </w:tcBorders>
          </w:tcPr>
          <w:p>
            <w:pPr>
              <w:pStyle w:val="TableParagraph"/>
              <w:spacing w:before="25"/>
              <w:ind w:left="6" w:right="3"/>
              <w:jc w:val="center"/>
              <w:rPr>
                <w:sz w:val="21"/>
              </w:rPr>
            </w:pPr>
            <w:r>
              <w:rPr>
                <w:spacing w:val="-2"/>
                <w:sz w:val="21"/>
              </w:rPr>
              <w:t>$72.00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75"/>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5"/>
                <w:sz w:val="21"/>
              </w:rPr>
              <w:t xml:space="preserve"> </w:t>
            </w:r>
            <w:r>
              <w:rPr>
                <w:spacing w:val="-2"/>
                <w:sz w:val="21"/>
              </w:rPr>
              <w:t>Rebate</w:t>
            </w:r>
          </w:p>
        </w:tc>
        <w:tc>
          <w:tcPr>
            <w:tcW w:w="1580" w:type="dxa"/>
            <w:tcBorders>
              <w:top w:val="nil"/>
              <w:bottom w:val="nil"/>
            </w:tcBorders>
          </w:tcPr>
          <w:p>
            <w:pPr>
              <w:pStyle w:val="TableParagraph"/>
              <w:spacing w:before="175"/>
              <w:ind w:left="10" w:right="3"/>
              <w:jc w:val="center"/>
              <w:rPr>
                <w:sz w:val="21"/>
              </w:rPr>
            </w:pPr>
            <w:r>
              <w:rPr>
                <w:spacing w:val="-2"/>
                <w:sz w:val="21"/>
              </w:rPr>
              <w:t>$38.20</w:t>
            </w:r>
          </w:p>
        </w:tc>
        <w:tc>
          <w:tcPr>
            <w:tcW w:w="2677" w:type="dxa"/>
            <w:tcBorders>
              <w:top w:val="nil"/>
              <w:bottom w:val="nil"/>
            </w:tcBorders>
          </w:tcPr>
          <w:p>
            <w:pPr>
              <w:pStyle w:val="TableParagraph"/>
              <w:spacing w:before="175"/>
              <w:ind w:left="9"/>
              <w:jc w:val="center"/>
              <w:rPr>
                <w:sz w:val="21"/>
              </w:rPr>
            </w:pPr>
            <w:r>
              <w:rPr>
                <w:spacing w:val="-2"/>
                <w:sz w:val="21"/>
              </w:rPr>
              <w:t>$34.00</w:t>
            </w:r>
          </w:p>
        </w:tc>
        <w:tc>
          <w:tcPr>
            <w:tcW w:w="1952" w:type="dxa"/>
            <w:tcBorders>
              <w:top w:val="nil"/>
              <w:bottom w:val="nil"/>
            </w:tcBorders>
          </w:tcPr>
          <w:p>
            <w:pPr>
              <w:pStyle w:val="TableParagraph"/>
              <w:spacing w:before="175"/>
              <w:ind w:left="6" w:right="3"/>
              <w:jc w:val="center"/>
              <w:rPr>
                <w:sz w:val="21"/>
              </w:rPr>
            </w:pPr>
            <w:r>
              <w:rPr>
                <w:spacing w:val="-2"/>
                <w:sz w:val="21"/>
              </w:rPr>
              <w:t>$34.00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5"/>
                <w:sz w:val="21"/>
              </w:rPr>
              <w:t xml:space="preserve"> </w:t>
            </w:r>
            <w:r>
              <w:rPr>
                <w:spacing w:val="-2"/>
                <w:sz w:val="21"/>
              </w:rPr>
              <w:t>Allocations</w:t>
            </w:r>
          </w:p>
        </w:tc>
        <w:tc>
          <w:tcPr>
            <w:tcW w:w="1580" w:type="dxa"/>
            <w:tcBorders>
              <w:top w:val="nil"/>
              <w:bottom w:val="nil"/>
            </w:tcBorders>
          </w:tcPr>
          <w:p>
            <w:pPr>
              <w:pStyle w:val="TableParagraph"/>
              <w:spacing w:before="25"/>
              <w:ind w:left="10" w:right="3"/>
              <w:jc w:val="center"/>
              <w:rPr>
                <w:sz w:val="21"/>
              </w:rPr>
            </w:pPr>
            <w:r>
              <w:rPr>
                <w:spacing w:val="-2"/>
                <w:sz w:val="21"/>
              </w:rPr>
              <w:t>$5.00</w:t>
            </w:r>
          </w:p>
        </w:tc>
        <w:tc>
          <w:tcPr>
            <w:tcW w:w="2677" w:type="dxa"/>
            <w:tcBorders>
              <w:top w:val="nil"/>
              <w:bottom w:val="nil"/>
            </w:tcBorders>
          </w:tcPr>
          <w:p>
            <w:pPr>
              <w:pStyle w:val="TableParagraph"/>
              <w:spacing w:before="25"/>
              <w:ind w:left="9"/>
              <w:jc w:val="center"/>
              <w:rPr>
                <w:sz w:val="21"/>
              </w:rPr>
            </w:pPr>
            <w:r>
              <w:rPr>
                <w:spacing w:val="-2"/>
                <w:sz w:val="21"/>
              </w:rPr>
              <w:t>$5.00</w:t>
            </w:r>
          </w:p>
        </w:tc>
        <w:tc>
          <w:tcPr>
            <w:tcW w:w="1952" w:type="dxa"/>
            <w:tcBorders>
              <w:top w:val="nil"/>
              <w:bottom w:val="nil"/>
            </w:tcBorders>
          </w:tcPr>
          <w:p>
            <w:pPr>
              <w:pStyle w:val="TableParagraph"/>
              <w:spacing w:before="25"/>
              <w:ind w:left="6" w:right="3"/>
              <w:jc w:val="center"/>
              <w:rPr>
                <w:sz w:val="21"/>
              </w:rPr>
            </w:pPr>
            <w:r>
              <w:rPr>
                <w:spacing w:val="-2"/>
                <w:sz w:val="21"/>
              </w:rPr>
              <w:t>$5.00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580" w:type="dxa"/>
            <w:tcBorders>
              <w:top w:val="nil"/>
              <w:bottom w:val="nil"/>
            </w:tcBorders>
          </w:tcPr>
          <w:p>
            <w:pPr>
              <w:pStyle w:val="TableParagraph"/>
              <w:spacing w:before="25"/>
              <w:ind w:left="10" w:right="3"/>
              <w:jc w:val="center"/>
              <w:rPr>
                <w:sz w:val="21"/>
              </w:rPr>
            </w:pPr>
            <w:r>
              <w:rPr>
                <w:spacing w:val="-2"/>
                <w:sz w:val="21"/>
              </w:rPr>
              <w:t>$33.20</w:t>
            </w:r>
          </w:p>
        </w:tc>
        <w:tc>
          <w:tcPr>
            <w:tcW w:w="2677" w:type="dxa"/>
            <w:tcBorders>
              <w:top w:val="nil"/>
              <w:bottom w:val="nil"/>
            </w:tcBorders>
          </w:tcPr>
          <w:p>
            <w:pPr>
              <w:pStyle w:val="TableParagraph"/>
              <w:spacing w:before="25"/>
              <w:ind w:left="9"/>
              <w:jc w:val="center"/>
              <w:rPr>
                <w:sz w:val="21"/>
              </w:rPr>
            </w:pPr>
            <w:r>
              <w:rPr>
                <w:spacing w:val="-2"/>
                <w:sz w:val="21"/>
              </w:rPr>
              <w:t>$29.00</w:t>
            </w:r>
          </w:p>
        </w:tc>
        <w:tc>
          <w:tcPr>
            <w:tcW w:w="1952" w:type="dxa"/>
            <w:tcBorders>
              <w:top w:val="nil"/>
              <w:bottom w:val="nil"/>
            </w:tcBorders>
          </w:tcPr>
          <w:p>
            <w:pPr>
              <w:pStyle w:val="TableParagraph"/>
              <w:spacing w:before="25"/>
              <w:ind w:left="6" w:right="3"/>
              <w:jc w:val="center"/>
              <w:rPr>
                <w:sz w:val="21"/>
              </w:rPr>
            </w:pPr>
            <w:r>
              <w:rPr>
                <w:spacing w:val="-2"/>
                <w:sz w:val="21"/>
              </w:rPr>
              <w:t>$29.00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580" w:type="dxa"/>
            <w:tcBorders>
              <w:top w:val="nil"/>
              <w:bottom w:val="nil"/>
            </w:tcBorders>
          </w:tcPr>
          <w:p>
            <w:pPr>
              <w:pStyle w:val="TableParagraph"/>
              <w:spacing w:before="175"/>
              <w:ind w:left="10" w:right="3"/>
              <w:jc w:val="center"/>
              <w:rPr>
                <w:sz w:val="21"/>
              </w:rPr>
            </w:pPr>
            <w:r>
              <w:rPr>
                <w:spacing w:val="-2"/>
                <w:sz w:val="21"/>
              </w:rPr>
              <w:t>$64.60</w:t>
            </w:r>
          </w:p>
        </w:tc>
        <w:tc>
          <w:tcPr>
            <w:tcW w:w="2677" w:type="dxa"/>
            <w:tcBorders>
              <w:top w:val="nil"/>
              <w:bottom w:val="nil"/>
            </w:tcBorders>
          </w:tcPr>
          <w:p>
            <w:pPr>
              <w:pStyle w:val="TableParagraph"/>
              <w:spacing w:before="175"/>
              <w:ind w:left="9"/>
              <w:jc w:val="center"/>
              <w:rPr>
                <w:sz w:val="21"/>
              </w:rPr>
            </w:pPr>
            <w:r>
              <w:rPr>
                <w:spacing w:val="-2"/>
                <w:sz w:val="21"/>
              </w:rPr>
              <w:t>$64.60</w:t>
            </w:r>
          </w:p>
        </w:tc>
        <w:tc>
          <w:tcPr>
            <w:tcW w:w="1952" w:type="dxa"/>
            <w:tcBorders>
              <w:top w:val="nil"/>
              <w:bottom w:val="nil"/>
            </w:tcBorders>
          </w:tcPr>
          <w:p>
            <w:pPr>
              <w:pStyle w:val="TableParagraph"/>
              <w:spacing w:before="175"/>
              <w:ind w:left="6" w:right="3"/>
              <w:jc w:val="center"/>
              <w:rPr>
                <w:sz w:val="21"/>
              </w:rPr>
            </w:pPr>
            <w:r>
              <w:rPr>
                <w:spacing w:val="-2"/>
                <w:sz w:val="21"/>
              </w:rPr>
              <w:t>$64.60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580" w:type="dxa"/>
            <w:tcBorders>
              <w:top w:val="nil"/>
              <w:bottom w:val="nil"/>
            </w:tcBorders>
          </w:tcPr>
          <w:p>
            <w:pPr>
              <w:pStyle w:val="TableParagraph"/>
              <w:spacing w:before="25"/>
              <w:ind w:left="10" w:right="3"/>
              <w:jc w:val="center"/>
              <w:rPr>
                <w:sz w:val="21"/>
              </w:rPr>
            </w:pPr>
            <w:r>
              <w:rPr>
                <w:spacing w:val="-2"/>
                <w:sz w:val="21"/>
              </w:rPr>
              <w:t>$64.60</w:t>
            </w:r>
          </w:p>
        </w:tc>
        <w:tc>
          <w:tcPr>
            <w:tcW w:w="2677" w:type="dxa"/>
            <w:tcBorders>
              <w:top w:val="nil"/>
              <w:bottom w:val="nil"/>
            </w:tcBorders>
          </w:tcPr>
          <w:p>
            <w:pPr>
              <w:pStyle w:val="TableParagraph"/>
              <w:spacing w:before="25"/>
              <w:ind w:left="9"/>
              <w:jc w:val="center"/>
              <w:rPr>
                <w:sz w:val="21"/>
              </w:rPr>
            </w:pPr>
            <w:r>
              <w:rPr>
                <w:spacing w:val="-2"/>
                <w:sz w:val="21"/>
              </w:rPr>
              <w:t>$64.60</w:t>
            </w:r>
          </w:p>
        </w:tc>
        <w:tc>
          <w:tcPr>
            <w:tcW w:w="1952" w:type="dxa"/>
            <w:tcBorders>
              <w:top w:val="nil"/>
              <w:bottom w:val="nil"/>
            </w:tcBorders>
          </w:tcPr>
          <w:p>
            <w:pPr>
              <w:pStyle w:val="TableParagraph"/>
              <w:spacing w:before="25"/>
              <w:ind w:left="6" w:right="3"/>
              <w:jc w:val="center"/>
              <w:rPr>
                <w:sz w:val="21"/>
              </w:rPr>
            </w:pPr>
            <w:r>
              <w:rPr>
                <w:spacing w:val="-2"/>
                <w:sz w:val="21"/>
              </w:rPr>
              <w:t>$64.60</w:t>
            </w:r>
          </w:p>
        </w:tc>
      </w:tr>
      <w:tr>
        <w:tblPrEx>
          <w:tblW w:w="0" w:type="auto"/>
          <w:jc w:val="left"/>
          <w:tblInd w:w="514" w:type="dxa"/>
          <w:tblLayout w:type="fixed"/>
          <w:tblCellMar>
            <w:top w:w="0" w:type="dxa"/>
            <w:left w:w="0" w:type="dxa"/>
            <w:bottom w:w="0" w:type="dxa"/>
            <w:right w:w="0" w:type="dxa"/>
          </w:tblCellMar>
          <w:tblLook w:val="01E0"/>
        </w:tblPrEx>
        <w:trPr>
          <w:trHeight w:val="581"/>
          <w:jc w:val="left"/>
        </w:trPr>
        <w:tc>
          <w:tcPr>
            <w:tcW w:w="3001"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580" w:type="dxa"/>
            <w:tcBorders>
              <w:top w:val="nil"/>
            </w:tcBorders>
          </w:tcPr>
          <w:p>
            <w:pPr>
              <w:pStyle w:val="TableParagraph"/>
              <w:spacing w:before="25"/>
              <w:ind w:left="10" w:right="3"/>
              <w:jc w:val="center"/>
              <w:rPr>
                <w:sz w:val="21"/>
              </w:rPr>
            </w:pPr>
            <w:r>
              <w:rPr>
                <w:spacing w:val="-2"/>
                <w:sz w:val="21"/>
              </w:rPr>
              <w:t>$0.00</w:t>
            </w:r>
          </w:p>
        </w:tc>
        <w:tc>
          <w:tcPr>
            <w:tcW w:w="2677" w:type="dxa"/>
            <w:tcBorders>
              <w:top w:val="nil"/>
            </w:tcBorders>
          </w:tcPr>
          <w:p>
            <w:pPr>
              <w:pStyle w:val="TableParagraph"/>
              <w:spacing w:before="25"/>
              <w:ind w:left="9"/>
              <w:jc w:val="center"/>
              <w:rPr>
                <w:sz w:val="21"/>
              </w:rPr>
            </w:pPr>
            <w:r>
              <w:rPr>
                <w:spacing w:val="-2"/>
                <w:sz w:val="21"/>
              </w:rPr>
              <w:t>$0.00</w:t>
            </w:r>
          </w:p>
        </w:tc>
        <w:tc>
          <w:tcPr>
            <w:tcW w:w="1952" w:type="dxa"/>
            <w:tcBorders>
              <w:top w:val="nil"/>
            </w:tcBorders>
          </w:tcPr>
          <w:p>
            <w:pPr>
              <w:pStyle w:val="TableParagraph"/>
              <w:spacing w:before="25"/>
              <w:ind w:left="6" w:right="3"/>
              <w:jc w:val="center"/>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302"/>
          <w:jc w:val="left"/>
        </w:trPr>
        <w:tc>
          <w:tcPr>
            <w:tcW w:w="3001" w:type="dxa"/>
          </w:tcPr>
          <w:p>
            <w:pPr>
              <w:pStyle w:val="TableParagraph"/>
              <w:spacing w:before="58" w:line="224"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580" w:type="dxa"/>
          </w:tcPr>
          <w:p>
            <w:pPr>
              <w:pStyle w:val="TableParagraph"/>
              <w:spacing w:before="58" w:line="224" w:lineRule="exact"/>
              <w:ind w:left="10"/>
              <w:jc w:val="center"/>
              <w:rPr>
                <w:sz w:val="21"/>
              </w:rPr>
            </w:pPr>
            <w:r>
              <w:rPr>
                <w:spacing w:val="-2"/>
                <w:sz w:val="21"/>
              </w:rPr>
              <w:t>$105.00</w:t>
            </w:r>
          </w:p>
        </w:tc>
        <w:tc>
          <w:tcPr>
            <w:tcW w:w="2677" w:type="dxa"/>
          </w:tcPr>
          <w:p>
            <w:pPr>
              <w:pStyle w:val="TableParagraph"/>
              <w:spacing w:before="58" w:line="224" w:lineRule="exact"/>
              <w:ind w:left="9" w:right="3"/>
              <w:jc w:val="center"/>
              <w:rPr>
                <w:sz w:val="21"/>
              </w:rPr>
            </w:pPr>
            <w:r>
              <w:rPr>
                <w:spacing w:val="-2"/>
                <w:sz w:val="21"/>
              </w:rPr>
              <w:t>$100.80</w:t>
            </w:r>
          </w:p>
        </w:tc>
        <w:tc>
          <w:tcPr>
            <w:tcW w:w="1952" w:type="dxa"/>
          </w:tcPr>
          <w:p>
            <w:pPr>
              <w:pStyle w:val="TableParagraph"/>
              <w:spacing w:before="58" w:line="224" w:lineRule="exact"/>
              <w:ind w:left="6"/>
              <w:jc w:val="center"/>
              <w:rPr>
                <w:sz w:val="21"/>
              </w:rPr>
            </w:pPr>
            <w:r>
              <w:rPr>
                <w:spacing w:val="-2"/>
                <w:sz w:val="21"/>
              </w:rPr>
              <w:t>$101.00</w:t>
            </w:r>
          </w:p>
        </w:tc>
      </w:tr>
    </w:tbl>
    <w:p>
      <w:pPr>
        <w:pStyle w:val="BodyText"/>
        <w:spacing w:before="85"/>
        <w:ind w:left="0"/>
        <w:rPr>
          <w:rFonts w:ascii="Arial"/>
          <w:b/>
          <w:i/>
        </w:rPr>
      </w:pPr>
    </w:p>
    <w:p>
      <w:pPr>
        <w:pStyle w:val="BodyText"/>
        <w:ind w:right="1481"/>
      </w:pPr>
      <w:r>
        <w:t>In this example, the gain/loss margin, total MA rebates and rebate allocations are the only changes permitted in the BPT. The total plan premium must equal $101.00. Changes to the gain/loss margin are automatically allocated to the Medicare-covered and A/B mandatory supplemental benefits in the BPT. Therefore, when the gain/loss margin changes for premium rounding, there</w:t>
      </w:r>
      <w:r>
        <w:rPr>
          <w:spacing w:val="-2"/>
        </w:rPr>
        <w:t xml:space="preserve"> </w:t>
      </w:r>
      <w:r>
        <w:t>are</w:t>
      </w:r>
      <w:r>
        <w:rPr>
          <w:spacing w:val="-2"/>
        </w:rPr>
        <w:t xml:space="preserve"> </w:t>
      </w:r>
      <w:r>
        <w:t>minimal changes</w:t>
      </w:r>
      <w:r>
        <w:rPr>
          <w:spacing w:val="-1"/>
        </w:rPr>
        <w:t xml:space="preserve"> </w:t>
      </w:r>
      <w:r>
        <w:t>to the</w:t>
      </w:r>
      <w:r>
        <w:rPr>
          <w:spacing w:val="-1"/>
        </w:rPr>
        <w:t xml:space="preserve"> </w:t>
      </w:r>
      <w:r>
        <w:t>MSB revenue requirement. These</w:t>
      </w:r>
      <w:r>
        <w:rPr>
          <w:spacing w:val="-1"/>
        </w:rPr>
        <w:t xml:space="preserve"> </w:t>
      </w:r>
      <w:r>
        <w:t>minimal changes to</w:t>
      </w:r>
      <w:r>
        <w:rPr>
          <w:spacing w:val="-4"/>
        </w:rPr>
        <w:t xml:space="preserve"> </w:t>
      </w:r>
      <w:r>
        <w:t>the</w:t>
      </w:r>
      <w:r>
        <w:rPr>
          <w:spacing w:val="-5"/>
        </w:rPr>
        <w:t xml:space="preserve"> </w:t>
      </w:r>
      <w:r>
        <w:t>MSB</w:t>
      </w:r>
      <w:r>
        <w:rPr>
          <w:spacing w:val="-4"/>
        </w:rPr>
        <w:t xml:space="preserve"> </w:t>
      </w:r>
      <w:r>
        <w:t>revenue</w:t>
      </w:r>
      <w:r>
        <w:rPr>
          <w:spacing w:val="-5"/>
        </w:rPr>
        <w:t xml:space="preserve"> </w:t>
      </w:r>
      <w:r>
        <w:t>requirement</w:t>
      </w:r>
      <w:r>
        <w:rPr>
          <w:spacing w:val="-4"/>
        </w:rPr>
        <w:t xml:space="preserve"> </w:t>
      </w:r>
      <w:r>
        <w:t>for</w:t>
      </w:r>
      <w:r>
        <w:rPr>
          <w:spacing w:val="-4"/>
        </w:rPr>
        <w:t xml:space="preserve"> </w:t>
      </w:r>
      <w:r>
        <w:t>premium</w:t>
      </w:r>
      <w:r>
        <w:rPr>
          <w:spacing w:val="-4"/>
        </w:rPr>
        <w:t xml:space="preserve"> </w:t>
      </w:r>
      <w:r>
        <w:t>rounding</w:t>
      </w:r>
      <w:r>
        <w:rPr>
          <w:spacing w:val="-4"/>
        </w:rPr>
        <w:t xml:space="preserve"> </w:t>
      </w:r>
      <w:r>
        <w:t>are</w:t>
      </w:r>
      <w:r>
        <w:rPr>
          <w:spacing w:val="-5"/>
        </w:rPr>
        <w:t xml:space="preserve"> </w:t>
      </w:r>
      <w:r>
        <w:t>not</w:t>
      </w:r>
      <w:r>
        <w:rPr>
          <w:spacing w:val="-4"/>
        </w:rPr>
        <w:t xml:space="preserve"> </w:t>
      </w:r>
      <w:r>
        <w:t>considered</w:t>
      </w:r>
      <w:r>
        <w:rPr>
          <w:spacing w:val="-2"/>
        </w:rPr>
        <w:t xml:space="preserve"> </w:t>
      </w:r>
      <w:r>
        <w:t>when</w:t>
      </w:r>
      <w:r>
        <w:rPr>
          <w:spacing w:val="-4"/>
        </w:rPr>
        <w:t xml:space="preserve"> </w:t>
      </w:r>
      <w:r>
        <w:t>evaluating</w:t>
      </w:r>
      <w:r>
        <w:rPr>
          <w:spacing w:val="-4"/>
        </w:rPr>
        <w:t xml:space="preserve"> </w:t>
      </w:r>
      <w:r>
        <w:t>the limit for the MSB revenue requirement during rebate reallocation.</w:t>
      </w:r>
    </w:p>
    <w:p>
      <w:pPr>
        <w:pStyle w:val="BodyText"/>
        <w:spacing w:before="140"/>
        <w:ind w:right="1481"/>
      </w:pPr>
      <w:r>
        <w:t>The</w:t>
      </w:r>
      <w:r>
        <w:rPr>
          <w:spacing w:val="-5"/>
        </w:rPr>
        <w:t xml:space="preserve"> </w:t>
      </w:r>
      <w:r>
        <w:t>MAO</w:t>
      </w:r>
      <w:r>
        <w:rPr>
          <w:spacing w:val="-4"/>
        </w:rPr>
        <w:t xml:space="preserve"> </w:t>
      </w:r>
      <w:r>
        <w:t>is</w:t>
      </w:r>
      <w:r>
        <w:rPr>
          <w:spacing w:val="-4"/>
        </w:rPr>
        <w:t xml:space="preserve"> </w:t>
      </w:r>
      <w:r>
        <w:t>not</w:t>
      </w:r>
      <w:r>
        <w:rPr>
          <w:spacing w:val="-3"/>
        </w:rPr>
        <w:t xml:space="preserve"> </w:t>
      </w:r>
      <w:r>
        <w:t>required</w:t>
      </w:r>
      <w:r>
        <w:rPr>
          <w:spacing w:val="-1"/>
        </w:rPr>
        <w:t xml:space="preserve"> </w:t>
      </w:r>
      <w:r>
        <w:t>to</w:t>
      </w:r>
      <w:r>
        <w:rPr>
          <w:spacing w:val="-3"/>
        </w:rPr>
        <w:t xml:space="preserve"> </w:t>
      </w:r>
      <w:r>
        <w:t>reallocate</w:t>
      </w:r>
      <w:r>
        <w:rPr>
          <w:spacing w:val="-2"/>
        </w:rPr>
        <w:t xml:space="preserve"> </w:t>
      </w:r>
      <w:r>
        <w:t>rebates</w:t>
      </w:r>
      <w:r>
        <w:rPr>
          <w:spacing w:val="-4"/>
        </w:rPr>
        <w:t xml:space="preserve"> </w:t>
      </w:r>
      <w:r>
        <w:t>and</w:t>
      </w:r>
      <w:r>
        <w:rPr>
          <w:spacing w:val="-1"/>
        </w:rPr>
        <w:t xml:space="preserve"> </w:t>
      </w:r>
      <w:r>
        <w:t>may</w:t>
      </w:r>
      <w:r>
        <w:rPr>
          <w:spacing w:val="-3"/>
        </w:rPr>
        <w:t xml:space="preserve"> </w:t>
      </w:r>
      <w:r>
        <w:t>choose</w:t>
      </w:r>
      <w:r>
        <w:rPr>
          <w:spacing w:val="-4"/>
        </w:rPr>
        <w:t xml:space="preserve"> </w:t>
      </w:r>
      <w:r>
        <w:t>to</w:t>
      </w:r>
      <w:r>
        <w:rPr>
          <w:spacing w:val="-3"/>
        </w:rPr>
        <w:t xml:space="preserve"> </w:t>
      </w:r>
      <w:r>
        <w:t>leave</w:t>
      </w:r>
      <w:r>
        <w:rPr>
          <w:spacing w:val="-4"/>
        </w:rPr>
        <w:t xml:space="preserve"> </w:t>
      </w:r>
      <w:r>
        <w:t>the Part</w:t>
      </w:r>
      <w:r>
        <w:rPr>
          <w:spacing w:val="-3"/>
        </w:rPr>
        <w:t xml:space="preserve"> </w:t>
      </w:r>
      <w:r>
        <w:t>D</w:t>
      </w:r>
      <w:r>
        <w:rPr>
          <w:spacing w:val="-4"/>
        </w:rPr>
        <w:t xml:space="preserve"> </w:t>
      </w:r>
      <w:r>
        <w:t>basic premium at the post-Part D benchmark announcement basic premium of $29.00.</w:t>
      </w:r>
    </w:p>
    <w:p>
      <w:pPr>
        <w:pStyle w:val="BodyText"/>
        <w:spacing w:before="139"/>
        <w:ind w:right="1841"/>
      </w:pPr>
      <w:r>
        <w:t>The</w:t>
      </w:r>
      <w:r>
        <w:rPr>
          <w:spacing w:val="-5"/>
        </w:rPr>
        <w:t xml:space="preserve"> </w:t>
      </w:r>
      <w:r>
        <w:t>MAO</w:t>
      </w:r>
      <w:r>
        <w:rPr>
          <w:spacing w:val="-4"/>
        </w:rPr>
        <w:t xml:space="preserve"> </w:t>
      </w:r>
      <w:r>
        <w:t>may</w:t>
      </w:r>
      <w:r>
        <w:rPr>
          <w:spacing w:val="-3"/>
        </w:rPr>
        <w:t xml:space="preserve"> </w:t>
      </w:r>
      <w:r>
        <w:t>choose</w:t>
      </w:r>
      <w:r>
        <w:rPr>
          <w:spacing w:val="-4"/>
        </w:rPr>
        <w:t xml:space="preserve"> </w:t>
      </w:r>
      <w:r>
        <w:t>to</w:t>
      </w:r>
      <w:r>
        <w:rPr>
          <w:spacing w:val="-1"/>
        </w:rPr>
        <w:t xml:space="preserve"> </w:t>
      </w:r>
      <w:r>
        <w:t>round</w:t>
      </w:r>
      <w:r>
        <w:rPr>
          <w:spacing w:val="-3"/>
        </w:rPr>
        <w:t xml:space="preserve"> </w:t>
      </w:r>
      <w:r>
        <w:t>the</w:t>
      </w:r>
      <w:r>
        <w:rPr>
          <w:spacing w:val="-3"/>
        </w:rPr>
        <w:t xml:space="preserve"> </w:t>
      </w:r>
      <w:r>
        <w:t>total</w:t>
      </w:r>
      <w:r>
        <w:rPr>
          <w:spacing w:val="-3"/>
        </w:rPr>
        <w:t xml:space="preserve"> </w:t>
      </w:r>
      <w:r>
        <w:t>plan</w:t>
      </w:r>
      <w:r>
        <w:rPr>
          <w:spacing w:val="-3"/>
        </w:rPr>
        <w:t xml:space="preserve"> </w:t>
      </w:r>
      <w:r>
        <w:t>premium</w:t>
      </w:r>
      <w:r>
        <w:rPr>
          <w:spacing w:val="-3"/>
        </w:rPr>
        <w:t xml:space="preserve"> </w:t>
      </w:r>
      <w:r>
        <w:t>to</w:t>
      </w:r>
      <w:r>
        <w:rPr>
          <w:spacing w:val="-3"/>
        </w:rPr>
        <w:t xml:space="preserve"> </w:t>
      </w:r>
      <w:r>
        <w:t>the</w:t>
      </w:r>
      <w:r>
        <w:rPr>
          <w:spacing w:val="-3"/>
        </w:rPr>
        <w:t xml:space="preserve"> </w:t>
      </w:r>
      <w:r>
        <w:t>nearest</w:t>
      </w:r>
      <w:r>
        <w:rPr>
          <w:spacing w:val="-3"/>
        </w:rPr>
        <w:t xml:space="preserve"> </w:t>
      </w:r>
      <w:r>
        <w:t>dollar,</w:t>
      </w:r>
      <w:r>
        <w:rPr>
          <w:spacing w:val="-3"/>
        </w:rPr>
        <w:t xml:space="preserve"> </w:t>
      </w:r>
      <w:r>
        <w:t>$101.00.</w:t>
      </w:r>
      <w:r>
        <w:rPr>
          <w:spacing w:val="-3"/>
        </w:rPr>
        <w:t xml:space="preserve"> </w:t>
      </w:r>
      <w:r>
        <w:t>The MAO must adjust gain/loss margin PMPM such that—</w:t>
      </w:r>
    </w:p>
    <w:p>
      <w:pPr>
        <w:pStyle w:val="ListParagraph"/>
        <w:numPr>
          <w:ilvl w:val="0"/>
          <w:numId w:val="8"/>
        </w:numPr>
        <w:tabs>
          <w:tab w:val="left" w:pos="1561"/>
        </w:tabs>
        <w:spacing w:before="142" w:after="0" w:line="240" w:lineRule="auto"/>
        <w:ind w:left="1561" w:right="0" w:hanging="337"/>
        <w:jc w:val="left"/>
        <w:rPr>
          <w:sz w:val="24"/>
        </w:rPr>
      </w:pPr>
      <w:r>
        <w:rPr>
          <w:sz w:val="24"/>
        </w:rPr>
        <w:t>Change</w:t>
      </w:r>
      <w:r>
        <w:rPr>
          <w:spacing w:val="-4"/>
          <w:sz w:val="24"/>
        </w:rPr>
        <w:t xml:space="preserve"> </w:t>
      </w:r>
      <w:r>
        <w:rPr>
          <w:sz w:val="24"/>
        </w:rPr>
        <w:t>in</w:t>
      </w:r>
      <w:r>
        <w:rPr>
          <w:spacing w:val="-1"/>
          <w:sz w:val="24"/>
        </w:rPr>
        <w:t xml:space="preserve"> </w:t>
      </w:r>
      <w:r>
        <w:rPr>
          <w:sz w:val="24"/>
        </w:rPr>
        <w:t>total</w:t>
      </w:r>
      <w:r>
        <w:rPr>
          <w:spacing w:val="-1"/>
          <w:sz w:val="24"/>
        </w:rPr>
        <w:t xml:space="preserve"> </w:t>
      </w:r>
      <w:r>
        <w:rPr>
          <w:sz w:val="24"/>
        </w:rPr>
        <w:t>MA</w:t>
      </w:r>
      <w:r>
        <w:rPr>
          <w:spacing w:val="-2"/>
          <w:sz w:val="24"/>
        </w:rPr>
        <w:t xml:space="preserve"> </w:t>
      </w:r>
      <w:r>
        <w:rPr>
          <w:sz w:val="24"/>
        </w:rPr>
        <w:t>rebates</w:t>
      </w:r>
      <w:r>
        <w:rPr>
          <w:spacing w:val="-2"/>
          <w:sz w:val="24"/>
        </w:rPr>
        <w:t xml:space="preserve"> </w:t>
      </w:r>
      <w:r>
        <w:rPr>
          <w:sz w:val="24"/>
        </w:rPr>
        <w:t>is</w:t>
      </w:r>
      <w:r>
        <w:rPr>
          <w:spacing w:val="-2"/>
          <w:sz w:val="24"/>
        </w:rPr>
        <w:t xml:space="preserve"> </w:t>
      </w:r>
      <w:r>
        <w:rPr>
          <w:sz w:val="24"/>
        </w:rPr>
        <w:t>between −$0.50</w:t>
      </w:r>
      <w:r>
        <w:rPr>
          <w:spacing w:val="1"/>
          <w:sz w:val="24"/>
        </w:rPr>
        <w:t xml:space="preserve"> </w:t>
      </w:r>
      <w:r>
        <w:rPr>
          <w:sz w:val="24"/>
        </w:rPr>
        <w:t>and</w:t>
      </w:r>
      <w:r>
        <w:rPr>
          <w:spacing w:val="-1"/>
          <w:sz w:val="24"/>
        </w:rPr>
        <w:t xml:space="preserve"> </w:t>
      </w:r>
      <w:r>
        <w:rPr>
          <w:spacing w:val="-2"/>
          <w:sz w:val="24"/>
        </w:rPr>
        <w:t>$0.50.</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190"/>
        <w:ind w:left="0"/>
      </w:pPr>
    </w:p>
    <w:p>
      <w:pPr>
        <w:pStyle w:val="ListParagraph"/>
        <w:numPr>
          <w:ilvl w:val="0"/>
          <w:numId w:val="8"/>
        </w:numPr>
        <w:tabs>
          <w:tab w:val="left" w:pos="1561"/>
        </w:tabs>
        <w:spacing w:before="0" w:after="0" w:line="240" w:lineRule="auto"/>
        <w:ind w:left="1561" w:right="0" w:hanging="337"/>
        <w:jc w:val="left"/>
        <w:rPr>
          <w:sz w:val="24"/>
        </w:rPr>
      </w:pPr>
      <w:r>
        <w:rPr>
          <w:sz w:val="24"/>
        </w:rPr>
        <w:t>The</w:t>
      </w:r>
      <w:r>
        <w:rPr>
          <w:spacing w:val="-5"/>
          <w:sz w:val="24"/>
        </w:rPr>
        <w:t xml:space="preserve"> </w:t>
      </w:r>
      <w:r>
        <w:rPr>
          <w:sz w:val="24"/>
        </w:rPr>
        <w:t>final total</w:t>
      </w:r>
      <w:r>
        <w:rPr>
          <w:spacing w:val="-1"/>
          <w:sz w:val="24"/>
        </w:rPr>
        <w:t xml:space="preserve"> </w:t>
      </w:r>
      <w:r>
        <w:rPr>
          <w:sz w:val="24"/>
        </w:rPr>
        <w:t>plan premium is</w:t>
      </w:r>
      <w:r>
        <w:rPr>
          <w:spacing w:val="-2"/>
          <w:sz w:val="24"/>
        </w:rPr>
        <w:t xml:space="preserve"> </w:t>
      </w:r>
      <w:r>
        <w:rPr>
          <w:sz w:val="24"/>
        </w:rPr>
        <w:t>rounded to</w:t>
      </w:r>
      <w:r>
        <w:rPr>
          <w:spacing w:val="-1"/>
          <w:sz w:val="24"/>
        </w:rPr>
        <w:t xml:space="preserve"> </w:t>
      </w:r>
      <w:r>
        <w:rPr>
          <w:sz w:val="24"/>
        </w:rPr>
        <w:t>a whole dollar</w:t>
      </w:r>
      <w:r>
        <w:rPr>
          <w:spacing w:val="-3"/>
          <w:sz w:val="24"/>
        </w:rPr>
        <w:t xml:space="preserve"> </w:t>
      </w:r>
      <w:r>
        <w:rPr>
          <w:sz w:val="24"/>
        </w:rPr>
        <w:t>amount and</w:t>
      </w:r>
      <w:r>
        <w:rPr>
          <w:spacing w:val="-1"/>
          <w:sz w:val="24"/>
        </w:rPr>
        <w:t xml:space="preserve"> </w:t>
      </w:r>
      <w:r>
        <w:rPr>
          <w:sz w:val="24"/>
        </w:rPr>
        <w:t>is</w:t>
      </w:r>
      <w:r>
        <w:rPr>
          <w:spacing w:val="2"/>
          <w:sz w:val="24"/>
        </w:rPr>
        <w:t xml:space="preserve"> </w:t>
      </w:r>
      <w:r>
        <w:rPr>
          <w:sz w:val="24"/>
        </w:rPr>
        <w:t xml:space="preserve">and </w:t>
      </w:r>
      <w:r>
        <w:rPr>
          <w:spacing w:val="-2"/>
          <w:sz w:val="24"/>
        </w:rPr>
        <w:t>within</w:t>
      </w:r>
    </w:p>
    <w:p>
      <w:pPr>
        <w:pStyle w:val="BodyText"/>
        <w:ind w:left="1224"/>
      </w:pPr>
      <w:r>
        <w:t>+/</w:t>
      </w:r>
      <w:r>
        <w:rPr>
          <w:sz w:val="21"/>
        </w:rPr>
        <w:t>−</w:t>
      </w:r>
      <w:r>
        <w:t>$0.50</w:t>
      </w:r>
      <w:r>
        <w:rPr>
          <w:spacing w:val="-3"/>
        </w:rPr>
        <w:t xml:space="preserve"> </w:t>
      </w:r>
      <w:r>
        <w:t>of</w:t>
      </w:r>
      <w:r>
        <w:rPr>
          <w:spacing w:val="-1"/>
        </w:rPr>
        <w:t xml:space="preserve"> </w:t>
      </w:r>
      <w:r>
        <w:t>the</w:t>
      </w:r>
      <w:r>
        <w:rPr>
          <w:spacing w:val="-1"/>
        </w:rPr>
        <w:t xml:space="preserve"> </w:t>
      </w:r>
      <w:r>
        <w:t>total plan</w:t>
      </w:r>
      <w:r>
        <w:rPr>
          <w:spacing w:val="-1"/>
        </w:rPr>
        <w:t xml:space="preserve"> </w:t>
      </w:r>
      <w:r>
        <w:t>premium</w:t>
      </w:r>
      <w:r>
        <w:rPr>
          <w:spacing w:val="-1"/>
        </w:rPr>
        <w:t xml:space="preserve"> </w:t>
      </w:r>
      <w:r>
        <w:t>after</w:t>
      </w:r>
      <w:r>
        <w:rPr>
          <w:spacing w:val="-2"/>
        </w:rPr>
        <w:t xml:space="preserve"> </w:t>
      </w:r>
      <w:r>
        <w:t xml:space="preserve">benchmark </w:t>
      </w:r>
      <w:r>
        <w:rPr>
          <w:spacing w:val="-2"/>
        </w:rPr>
        <w:t>release.</w:t>
      </w:r>
    </w:p>
    <w:p>
      <w:pPr>
        <w:pStyle w:val="BodyText"/>
        <w:spacing w:before="4"/>
        <w:ind w:left="0"/>
      </w:pPr>
    </w:p>
    <w:p>
      <w:pPr>
        <w:pStyle w:val="Heading4"/>
        <w:spacing w:line="242" w:lineRule="auto"/>
      </w:pPr>
      <w:bookmarkStart w:id="393" w:name="Example 15a: Premium Rounding Only and A"/>
      <w:bookmarkEnd w:id="393"/>
      <w:r>
        <w:rPr>
          <w:i/>
        </w:rPr>
        <w:t>Example</w:t>
      </w:r>
      <w:r>
        <w:rPr>
          <w:i/>
          <w:spacing w:val="-2"/>
        </w:rPr>
        <w:t xml:space="preserve"> </w:t>
      </w:r>
      <w:r>
        <w:rPr>
          <w:i/>
        </w:rPr>
        <w:t>15a:</w:t>
      </w:r>
      <w:r>
        <w:rPr>
          <w:i/>
          <w:spacing w:val="-4"/>
        </w:rPr>
        <w:t xml:space="preserve"> </w:t>
      </w:r>
      <w:r>
        <w:rPr>
          <w:i/>
        </w:rPr>
        <w:t>Premium</w:t>
      </w:r>
      <w:r>
        <w:rPr>
          <w:i/>
          <w:spacing w:val="-4"/>
        </w:rPr>
        <w:t xml:space="preserve"> </w:t>
      </w:r>
      <w:r>
        <w:rPr>
          <w:i/>
        </w:rPr>
        <w:t>Rounding</w:t>
      </w:r>
      <w:r>
        <w:rPr>
          <w:i/>
          <w:spacing w:val="-4"/>
        </w:rPr>
        <w:t xml:space="preserve"> </w:t>
      </w:r>
      <w:r>
        <w:rPr>
          <w:i/>
        </w:rPr>
        <w:t>Only</w:t>
      </w:r>
      <w:r>
        <w:rPr>
          <w:i/>
          <w:spacing w:val="-3"/>
        </w:rPr>
        <w:t xml:space="preserve"> </w:t>
      </w:r>
      <w:r>
        <w:rPr>
          <w:i/>
        </w:rPr>
        <w:t>and</w:t>
      </w:r>
      <w:r>
        <w:rPr>
          <w:i/>
          <w:spacing w:val="-4"/>
        </w:rPr>
        <w:t xml:space="preserve"> </w:t>
      </w:r>
      <w:r>
        <w:rPr>
          <w:i/>
        </w:rPr>
        <w:t>Achieving</w:t>
      </w:r>
      <w:r>
        <w:rPr>
          <w:i/>
          <w:spacing w:val="-4"/>
        </w:rPr>
        <w:t xml:space="preserve"> </w:t>
      </w:r>
      <w:r>
        <w:rPr>
          <w:i/>
        </w:rPr>
        <w:t>Part</w:t>
      </w:r>
      <w:r>
        <w:rPr>
          <w:i/>
          <w:spacing w:val="-4"/>
        </w:rPr>
        <w:t xml:space="preserve"> </w:t>
      </w:r>
      <w:r>
        <w:rPr>
          <w:i/>
        </w:rPr>
        <w:t>D</w:t>
      </w:r>
      <w:r>
        <w:rPr>
          <w:i/>
          <w:spacing w:val="-4"/>
        </w:rPr>
        <w:t xml:space="preserve"> </w:t>
      </w:r>
      <w:r>
        <w:rPr>
          <w:i/>
        </w:rPr>
        <w:t>Basic</w:t>
      </w:r>
      <w:r>
        <w:rPr>
          <w:i/>
          <w:spacing w:val="-5"/>
        </w:rPr>
        <w:t xml:space="preserve"> </w:t>
      </w:r>
      <w:r>
        <w:rPr>
          <w:i/>
        </w:rPr>
        <w:t>Premium</w:t>
      </w:r>
      <w:r>
        <w:t xml:space="preserve"> </w:t>
      </w:r>
      <w:r>
        <w:rPr>
          <w:spacing w:val="-2"/>
        </w:rPr>
        <w:t>Target.</w:t>
      </w:r>
    </w:p>
    <w:p>
      <w:pPr>
        <w:pStyle w:val="BodyText"/>
        <w:spacing w:before="126"/>
        <w:ind w:left="0"/>
        <w:rPr>
          <w:rFonts w:ascii="Arial"/>
          <w:b/>
          <w:i/>
          <w:sz w:val="20"/>
        </w:rPr>
      </w:pPr>
    </w:p>
    <w:tbl>
      <w:tblPr>
        <w:tblStyle w:val="TableNormal"/>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1"/>
        <w:gridCol w:w="1575"/>
        <w:gridCol w:w="2682"/>
        <w:gridCol w:w="1953"/>
      </w:tblGrid>
      <w:tr>
        <w:tblPrEx>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68"/>
          <w:jc w:val="left"/>
        </w:trPr>
        <w:tc>
          <w:tcPr>
            <w:tcW w:w="3001" w:type="dxa"/>
          </w:tcPr>
          <w:p>
            <w:pPr>
              <w:pStyle w:val="TableParagraph"/>
              <w:spacing w:before="163"/>
              <w:ind w:left="11"/>
              <w:jc w:val="center"/>
              <w:rPr>
                <w:b/>
                <w:sz w:val="21"/>
              </w:rPr>
            </w:pPr>
            <w:r>
              <w:rPr>
                <w:b/>
                <w:spacing w:val="-2"/>
                <w:sz w:val="21"/>
              </w:rPr>
              <w:t>Label</w:t>
            </w:r>
          </w:p>
        </w:tc>
        <w:tc>
          <w:tcPr>
            <w:tcW w:w="1575" w:type="dxa"/>
          </w:tcPr>
          <w:p>
            <w:pPr>
              <w:pStyle w:val="TableParagraph"/>
              <w:spacing w:before="43"/>
              <w:ind w:left="630" w:right="256" w:hanging="360"/>
              <w:rPr>
                <w:b/>
                <w:sz w:val="21"/>
              </w:rPr>
            </w:pPr>
            <w:r>
              <w:rPr>
                <w:b/>
                <w:sz w:val="21"/>
              </w:rPr>
              <w:t>Initial</w:t>
            </w:r>
            <w:r>
              <w:rPr>
                <w:b/>
                <w:spacing w:val="-14"/>
                <w:sz w:val="21"/>
              </w:rPr>
              <w:t xml:space="preserve"> </w:t>
            </w:r>
            <w:r>
              <w:rPr>
                <w:b/>
                <w:sz w:val="21"/>
              </w:rPr>
              <w:t xml:space="preserve">June </w:t>
            </w:r>
            <w:r>
              <w:rPr>
                <w:b/>
                <w:spacing w:val="-4"/>
                <w:sz w:val="21"/>
              </w:rPr>
              <w:t>Bid</w:t>
            </w:r>
          </w:p>
        </w:tc>
        <w:tc>
          <w:tcPr>
            <w:tcW w:w="2682" w:type="dxa"/>
          </w:tcPr>
          <w:p>
            <w:pPr>
              <w:pStyle w:val="TableParagraph"/>
              <w:spacing w:before="43"/>
              <w:ind w:left="812" w:hanging="192"/>
              <w:rPr>
                <w:b/>
                <w:sz w:val="21"/>
              </w:rPr>
            </w:pPr>
            <w:r>
              <w:rPr>
                <w:b/>
                <w:sz w:val="21"/>
              </w:rPr>
              <w:t>After</w:t>
            </w:r>
            <w:r>
              <w:rPr>
                <w:b/>
                <w:spacing w:val="-14"/>
                <w:sz w:val="21"/>
              </w:rPr>
              <w:t xml:space="preserve"> </w:t>
            </w:r>
            <w:r>
              <w:rPr>
                <w:b/>
                <w:sz w:val="21"/>
              </w:rPr>
              <w:t>Release</w:t>
            </w:r>
            <w:r>
              <w:rPr>
                <w:b/>
                <w:spacing w:val="-13"/>
                <w:sz w:val="21"/>
              </w:rPr>
              <w:t xml:space="preserve"> </w:t>
            </w:r>
            <w:r>
              <w:rPr>
                <w:b/>
                <w:sz w:val="21"/>
              </w:rPr>
              <w:t xml:space="preserve">of </w:t>
            </w:r>
            <w:r>
              <w:rPr>
                <w:b/>
                <w:spacing w:val="-2"/>
                <w:sz w:val="21"/>
              </w:rPr>
              <w:t>Benchmark</w:t>
            </w:r>
          </w:p>
        </w:tc>
        <w:tc>
          <w:tcPr>
            <w:tcW w:w="1953" w:type="dxa"/>
          </w:tcPr>
          <w:p>
            <w:pPr>
              <w:pStyle w:val="TableParagraph"/>
              <w:spacing w:before="43"/>
              <w:ind w:left="528" w:firstLine="24"/>
              <w:rPr>
                <w:b/>
                <w:sz w:val="21"/>
              </w:rPr>
            </w:pPr>
            <w:r>
              <w:rPr>
                <w:b/>
                <w:spacing w:val="-2"/>
                <w:sz w:val="21"/>
              </w:rPr>
              <w:t>Premium Rounding</w:t>
            </w:r>
          </w:p>
        </w:tc>
      </w:tr>
      <w:tr>
        <w:tblPrEx>
          <w:tblW w:w="0" w:type="auto"/>
          <w:jc w:val="left"/>
          <w:tblInd w:w="514" w:type="dxa"/>
          <w:tblLayout w:type="fixed"/>
          <w:tblCellMar>
            <w:top w:w="0" w:type="dxa"/>
            <w:left w:w="0" w:type="dxa"/>
            <w:bottom w:w="0" w:type="dxa"/>
            <w:right w:w="0" w:type="dxa"/>
          </w:tblCellMar>
          <w:tblLook w:val="01E0"/>
        </w:tblPrEx>
        <w:trPr>
          <w:trHeight w:val="318"/>
          <w:jc w:val="left"/>
        </w:trPr>
        <w:tc>
          <w:tcPr>
            <w:tcW w:w="3001" w:type="dxa"/>
            <w:tcBorders>
              <w:bottom w:val="nil"/>
            </w:tcBorders>
          </w:tcPr>
          <w:p>
            <w:pPr>
              <w:pStyle w:val="TableParagraph"/>
              <w:spacing w:before="58" w:line="240" w:lineRule="exact"/>
              <w:ind w:left="107"/>
              <w:rPr>
                <w:b/>
                <w:sz w:val="21"/>
              </w:rPr>
            </w:pPr>
            <w:r>
              <w:rPr>
                <w:b/>
                <w:sz w:val="21"/>
              </w:rPr>
              <w:t>Target</w:t>
            </w:r>
            <w:r>
              <w:rPr>
                <w:b/>
                <w:spacing w:val="-6"/>
                <w:sz w:val="21"/>
              </w:rPr>
              <w:t xml:space="preserve"> </w:t>
            </w:r>
            <w:r>
              <w:rPr>
                <w:b/>
                <w:sz w:val="21"/>
              </w:rPr>
              <w:t>Plan</w:t>
            </w:r>
            <w:r>
              <w:rPr>
                <w:b/>
                <w:spacing w:val="-1"/>
                <w:sz w:val="21"/>
              </w:rPr>
              <w:t xml:space="preserve"> </w:t>
            </w:r>
            <w:r>
              <w:rPr>
                <w:b/>
                <w:spacing w:val="-2"/>
                <w:sz w:val="21"/>
              </w:rPr>
              <w:t>Intention</w:t>
            </w:r>
          </w:p>
        </w:tc>
        <w:tc>
          <w:tcPr>
            <w:tcW w:w="1575" w:type="dxa"/>
            <w:tcBorders>
              <w:bottom w:val="nil"/>
            </w:tcBorders>
          </w:tcPr>
          <w:p>
            <w:pPr>
              <w:pStyle w:val="TableParagraph"/>
              <w:spacing w:before="58" w:line="240" w:lineRule="exact"/>
              <w:ind w:left="12" w:right="4"/>
              <w:jc w:val="center"/>
              <w:rPr>
                <w:sz w:val="21"/>
              </w:rPr>
            </w:pPr>
            <w:r>
              <w:rPr>
                <w:sz w:val="21"/>
              </w:rPr>
              <w:t>Initial</w:t>
            </w:r>
            <w:r>
              <w:rPr>
                <w:spacing w:val="-5"/>
                <w:sz w:val="21"/>
              </w:rPr>
              <w:t xml:space="preserve"> </w:t>
            </w:r>
            <w:r>
              <w:rPr>
                <w:sz w:val="21"/>
              </w:rPr>
              <w:t>June</w:t>
            </w:r>
            <w:r>
              <w:rPr>
                <w:spacing w:val="-4"/>
                <w:sz w:val="21"/>
              </w:rPr>
              <w:t xml:space="preserve"> </w:t>
            </w:r>
            <w:r>
              <w:rPr>
                <w:spacing w:val="-5"/>
                <w:sz w:val="21"/>
              </w:rPr>
              <w:t>Bid</w:t>
            </w:r>
          </w:p>
        </w:tc>
        <w:tc>
          <w:tcPr>
            <w:tcW w:w="2682" w:type="dxa"/>
            <w:tcBorders>
              <w:bottom w:val="nil"/>
            </w:tcBorders>
          </w:tcPr>
          <w:p>
            <w:pPr>
              <w:pStyle w:val="TableParagraph"/>
              <w:spacing w:before="58" w:line="240" w:lineRule="exact"/>
              <w:ind w:left="4"/>
              <w:jc w:val="center"/>
              <w:rPr>
                <w:sz w:val="21"/>
              </w:rPr>
            </w:pPr>
            <w:r>
              <w:rPr>
                <w:sz w:val="21"/>
              </w:rPr>
              <w:t>Initial</w:t>
            </w:r>
            <w:r>
              <w:rPr>
                <w:spacing w:val="-5"/>
                <w:sz w:val="21"/>
              </w:rPr>
              <w:t xml:space="preserve"> </w:t>
            </w:r>
            <w:r>
              <w:rPr>
                <w:sz w:val="21"/>
              </w:rPr>
              <w:t>June</w:t>
            </w:r>
            <w:r>
              <w:rPr>
                <w:spacing w:val="-4"/>
                <w:sz w:val="21"/>
              </w:rPr>
              <w:t xml:space="preserve"> </w:t>
            </w:r>
            <w:r>
              <w:rPr>
                <w:spacing w:val="-5"/>
                <w:sz w:val="21"/>
              </w:rPr>
              <w:t>Bid</w:t>
            </w:r>
          </w:p>
        </w:tc>
        <w:tc>
          <w:tcPr>
            <w:tcW w:w="1953" w:type="dxa"/>
            <w:tcBorders>
              <w:bottom w:val="nil"/>
            </w:tcBorders>
          </w:tcPr>
          <w:p>
            <w:pPr>
              <w:pStyle w:val="TableParagraph"/>
              <w:spacing w:before="29"/>
              <w:ind w:left="7" w:right="4"/>
              <w:jc w:val="center"/>
              <w:rPr>
                <w:sz w:val="21"/>
              </w:rPr>
            </w:pPr>
            <w:r>
              <w:rPr>
                <w:sz w:val="21"/>
              </w:rPr>
              <w:t>Initial</w:t>
            </w:r>
            <w:r>
              <w:rPr>
                <w:spacing w:val="-5"/>
                <w:sz w:val="21"/>
              </w:rPr>
              <w:t xml:space="preserve"> </w:t>
            </w:r>
            <w:r>
              <w:rPr>
                <w:sz w:val="21"/>
              </w:rPr>
              <w:t>June</w:t>
            </w:r>
            <w:r>
              <w:rPr>
                <w:spacing w:val="-4"/>
                <w:sz w:val="21"/>
              </w:rPr>
              <w:t xml:space="preserve"> </w:t>
            </w:r>
            <w:r>
              <w:rPr>
                <w:spacing w:val="-5"/>
                <w:sz w:val="21"/>
              </w:rPr>
              <w:t>Bid</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39"/>
              <w:ind w:left="107"/>
              <w:rPr>
                <w:b/>
                <w:sz w:val="21"/>
              </w:rPr>
            </w:pPr>
            <w:r>
              <w:rPr>
                <w:b/>
                <w:sz w:val="21"/>
              </w:rPr>
              <w:t>Rebates</w:t>
            </w:r>
            <w:r>
              <w:rPr>
                <w:b/>
                <w:spacing w:val="-5"/>
                <w:sz w:val="21"/>
              </w:rPr>
              <w:t xml:space="preserve"> </w:t>
            </w:r>
            <w:r>
              <w:rPr>
                <w:b/>
                <w:sz w:val="21"/>
              </w:rPr>
              <w:t>for</w:t>
            </w:r>
            <w:r>
              <w:rPr>
                <w:b/>
                <w:spacing w:val="-6"/>
                <w:sz w:val="21"/>
              </w:rPr>
              <w:t xml:space="preserve"> </w:t>
            </w:r>
            <w:r>
              <w:rPr>
                <w:b/>
                <w:spacing w:val="-2"/>
                <w:sz w:val="21"/>
              </w:rPr>
              <w:t>Allocation</w:t>
            </w:r>
          </w:p>
        </w:tc>
        <w:tc>
          <w:tcPr>
            <w:tcW w:w="1575" w:type="dxa"/>
            <w:tcBorders>
              <w:top w:val="nil"/>
              <w:bottom w:val="nil"/>
            </w:tcBorders>
          </w:tcPr>
          <w:p>
            <w:pPr>
              <w:pStyle w:val="TableParagraph"/>
              <w:spacing w:before="39"/>
              <w:ind w:left="12" w:right="1"/>
              <w:jc w:val="center"/>
              <w:rPr>
                <w:sz w:val="21"/>
              </w:rPr>
            </w:pPr>
            <w:r>
              <w:rPr>
                <w:spacing w:val="-5"/>
                <w:sz w:val="21"/>
              </w:rPr>
              <w:t>N/A</w:t>
            </w:r>
          </w:p>
        </w:tc>
        <w:tc>
          <w:tcPr>
            <w:tcW w:w="2682" w:type="dxa"/>
            <w:tcBorders>
              <w:top w:val="nil"/>
              <w:bottom w:val="nil"/>
            </w:tcBorders>
          </w:tcPr>
          <w:p>
            <w:pPr>
              <w:pStyle w:val="TableParagraph"/>
              <w:spacing w:before="39"/>
              <w:ind w:left="4" w:right="1"/>
              <w:jc w:val="center"/>
              <w:rPr>
                <w:sz w:val="21"/>
              </w:rPr>
            </w:pPr>
            <w:r>
              <w:rPr>
                <w:spacing w:val="-5"/>
                <w:sz w:val="21"/>
              </w:rPr>
              <w:t>N/A</w:t>
            </w:r>
          </w:p>
        </w:tc>
        <w:tc>
          <w:tcPr>
            <w:tcW w:w="1953" w:type="dxa"/>
            <w:tcBorders>
              <w:top w:val="nil"/>
              <w:bottom w:val="nil"/>
            </w:tcBorders>
          </w:tcPr>
          <w:p>
            <w:pPr>
              <w:pStyle w:val="TableParagraph"/>
              <w:spacing w:before="11"/>
              <w:ind w:left="7"/>
              <w:jc w:val="center"/>
              <w:rPr>
                <w:sz w:val="21"/>
              </w:rPr>
            </w:pPr>
            <w:r>
              <w:rPr>
                <w:spacing w:val="-2"/>
                <w:sz w:val="21"/>
              </w:rPr>
              <w:t>$0.20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90" w:line="240" w:lineRule="exact"/>
              <w:ind w:left="107"/>
              <w:rPr>
                <w:b/>
                <w:sz w:val="21"/>
              </w:rPr>
            </w:pPr>
            <w:r>
              <w:rPr>
                <w:b/>
                <w:sz w:val="21"/>
              </w:rPr>
              <w:t>Gain/Loss</w:t>
            </w:r>
            <w:r>
              <w:rPr>
                <w:b/>
                <w:spacing w:val="-8"/>
                <w:sz w:val="21"/>
              </w:rPr>
              <w:t xml:space="preserve"> </w:t>
            </w:r>
            <w:r>
              <w:rPr>
                <w:b/>
                <w:spacing w:val="-2"/>
                <w:sz w:val="21"/>
              </w:rPr>
              <w:t>Margin</w:t>
            </w:r>
          </w:p>
        </w:tc>
        <w:tc>
          <w:tcPr>
            <w:tcW w:w="1575" w:type="dxa"/>
            <w:tcBorders>
              <w:top w:val="nil"/>
              <w:bottom w:val="nil"/>
            </w:tcBorders>
          </w:tcPr>
          <w:p>
            <w:pPr>
              <w:pStyle w:val="TableParagraph"/>
              <w:spacing w:before="190" w:line="240" w:lineRule="exact"/>
              <w:ind w:left="12"/>
              <w:jc w:val="center"/>
              <w:rPr>
                <w:sz w:val="21"/>
              </w:rPr>
            </w:pPr>
            <w:r>
              <w:rPr>
                <w:spacing w:val="-2"/>
                <w:sz w:val="21"/>
              </w:rPr>
              <w:t>$98.70</w:t>
            </w:r>
          </w:p>
        </w:tc>
        <w:tc>
          <w:tcPr>
            <w:tcW w:w="2682" w:type="dxa"/>
            <w:tcBorders>
              <w:top w:val="nil"/>
              <w:bottom w:val="nil"/>
            </w:tcBorders>
          </w:tcPr>
          <w:p>
            <w:pPr>
              <w:pStyle w:val="TableParagraph"/>
              <w:spacing w:before="190" w:line="240" w:lineRule="exact"/>
              <w:ind w:left="4"/>
              <w:jc w:val="center"/>
              <w:rPr>
                <w:sz w:val="21"/>
              </w:rPr>
            </w:pPr>
            <w:r>
              <w:rPr>
                <w:spacing w:val="-2"/>
                <w:sz w:val="21"/>
              </w:rPr>
              <w:t>$98.70</w:t>
            </w:r>
          </w:p>
        </w:tc>
        <w:tc>
          <w:tcPr>
            <w:tcW w:w="1953" w:type="dxa"/>
            <w:tcBorders>
              <w:top w:val="nil"/>
              <w:bottom w:val="nil"/>
            </w:tcBorders>
          </w:tcPr>
          <w:p>
            <w:pPr>
              <w:pStyle w:val="TableParagraph"/>
              <w:spacing w:before="161"/>
              <w:ind w:left="7"/>
              <w:jc w:val="center"/>
              <w:rPr>
                <w:b/>
                <w:i/>
                <w:sz w:val="21"/>
              </w:rPr>
            </w:pPr>
            <w:r>
              <w:rPr>
                <w:b/>
                <w:i/>
                <w:spacing w:val="-2"/>
                <w:sz w:val="21"/>
              </w:rPr>
              <w:t>$98.40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39" w:line="240" w:lineRule="exact"/>
              <w:ind w:left="107"/>
              <w:rPr>
                <w:b/>
                <w:sz w:val="21"/>
              </w:rPr>
            </w:pPr>
            <w:r>
              <w:rPr>
                <w:b/>
                <w:sz w:val="21"/>
              </w:rPr>
              <w:t>Total</w:t>
            </w:r>
            <w:r>
              <w:rPr>
                <w:b/>
                <w:spacing w:val="-6"/>
                <w:sz w:val="21"/>
              </w:rPr>
              <w:t xml:space="preserve"> </w:t>
            </w:r>
            <w:r>
              <w:rPr>
                <w:b/>
                <w:sz w:val="21"/>
              </w:rPr>
              <w:t>MA</w:t>
            </w:r>
            <w:r>
              <w:rPr>
                <w:b/>
                <w:spacing w:val="-3"/>
                <w:sz w:val="21"/>
              </w:rPr>
              <w:t xml:space="preserve"> </w:t>
            </w:r>
            <w:r>
              <w:rPr>
                <w:b/>
                <w:spacing w:val="-2"/>
                <w:sz w:val="21"/>
              </w:rPr>
              <w:t>Rebates</w:t>
            </w:r>
          </w:p>
        </w:tc>
        <w:tc>
          <w:tcPr>
            <w:tcW w:w="1575" w:type="dxa"/>
            <w:tcBorders>
              <w:top w:val="nil"/>
              <w:bottom w:val="nil"/>
            </w:tcBorders>
          </w:tcPr>
          <w:p>
            <w:pPr>
              <w:pStyle w:val="TableParagraph"/>
              <w:spacing w:before="39" w:line="240" w:lineRule="exact"/>
              <w:ind w:left="12"/>
              <w:jc w:val="center"/>
              <w:rPr>
                <w:sz w:val="21"/>
              </w:rPr>
            </w:pPr>
            <w:r>
              <w:rPr>
                <w:spacing w:val="-2"/>
                <w:sz w:val="21"/>
              </w:rPr>
              <w:t>$91.60</w:t>
            </w:r>
          </w:p>
        </w:tc>
        <w:tc>
          <w:tcPr>
            <w:tcW w:w="2682" w:type="dxa"/>
            <w:tcBorders>
              <w:top w:val="nil"/>
              <w:bottom w:val="nil"/>
            </w:tcBorders>
          </w:tcPr>
          <w:p>
            <w:pPr>
              <w:pStyle w:val="TableParagraph"/>
              <w:spacing w:before="39" w:line="240" w:lineRule="exact"/>
              <w:ind w:left="4"/>
              <w:jc w:val="center"/>
              <w:rPr>
                <w:sz w:val="21"/>
              </w:rPr>
            </w:pPr>
            <w:r>
              <w:rPr>
                <w:spacing w:val="-2"/>
                <w:sz w:val="21"/>
              </w:rPr>
              <w:t>$91.60</w:t>
            </w:r>
          </w:p>
        </w:tc>
        <w:tc>
          <w:tcPr>
            <w:tcW w:w="1953" w:type="dxa"/>
            <w:tcBorders>
              <w:top w:val="nil"/>
              <w:bottom w:val="nil"/>
            </w:tcBorders>
          </w:tcPr>
          <w:p>
            <w:pPr>
              <w:pStyle w:val="TableParagraph"/>
              <w:spacing w:before="11"/>
              <w:ind w:left="7"/>
              <w:jc w:val="center"/>
              <w:rPr>
                <w:sz w:val="21"/>
              </w:rPr>
            </w:pPr>
            <w:r>
              <w:rPr>
                <w:spacing w:val="-2"/>
                <w:sz w:val="21"/>
              </w:rPr>
              <w:t>$91.80</w:t>
            </w:r>
          </w:p>
        </w:tc>
      </w:tr>
      <w:tr>
        <w:tblPrEx>
          <w:tblW w:w="0" w:type="auto"/>
          <w:jc w:val="left"/>
          <w:tblInd w:w="514" w:type="dxa"/>
          <w:tblLayout w:type="fixed"/>
          <w:tblCellMar>
            <w:top w:w="0" w:type="dxa"/>
            <w:left w:w="0" w:type="dxa"/>
            <w:bottom w:w="0" w:type="dxa"/>
            <w:right w:w="0" w:type="dxa"/>
          </w:tblCellMar>
          <w:tblLook w:val="01E0"/>
        </w:tblPrEx>
        <w:trPr>
          <w:trHeight w:val="464"/>
          <w:jc w:val="left"/>
        </w:trPr>
        <w:tc>
          <w:tcPr>
            <w:tcW w:w="3001" w:type="dxa"/>
            <w:tcBorders>
              <w:top w:val="nil"/>
              <w:bottom w:val="nil"/>
            </w:tcBorders>
          </w:tcPr>
          <w:p>
            <w:pPr>
              <w:pStyle w:val="TableParagraph"/>
              <w:spacing w:before="39"/>
              <w:ind w:left="107"/>
              <w:rPr>
                <w:b/>
                <w:sz w:val="21"/>
              </w:rPr>
            </w:pPr>
            <w:r>
              <w:rPr>
                <w:b/>
                <w:sz w:val="21"/>
              </w:rPr>
              <w:t>Change</w:t>
            </w:r>
            <w:r>
              <w:rPr>
                <w:b/>
                <w:spacing w:val="-2"/>
                <w:sz w:val="21"/>
              </w:rPr>
              <w:t xml:space="preserve"> </w:t>
            </w:r>
            <w:r>
              <w:rPr>
                <w:b/>
                <w:sz w:val="21"/>
              </w:rPr>
              <w:t>in</w:t>
            </w:r>
            <w:r>
              <w:rPr>
                <w:b/>
                <w:spacing w:val="-5"/>
                <w:sz w:val="21"/>
              </w:rPr>
              <w:t xml:space="preserve"> </w:t>
            </w:r>
            <w:r>
              <w:rPr>
                <w:b/>
                <w:sz w:val="21"/>
              </w:rPr>
              <w:t>Total</w:t>
            </w:r>
            <w:r>
              <w:rPr>
                <w:b/>
                <w:spacing w:val="-6"/>
                <w:sz w:val="21"/>
              </w:rPr>
              <w:t xml:space="preserve"> </w:t>
            </w:r>
            <w:r>
              <w:rPr>
                <w:b/>
                <w:sz w:val="21"/>
              </w:rPr>
              <w:t>MA</w:t>
            </w:r>
            <w:r>
              <w:rPr>
                <w:b/>
                <w:spacing w:val="-3"/>
                <w:sz w:val="21"/>
              </w:rPr>
              <w:t xml:space="preserve"> </w:t>
            </w:r>
            <w:r>
              <w:rPr>
                <w:b/>
                <w:spacing w:val="-2"/>
                <w:sz w:val="21"/>
              </w:rPr>
              <w:t>Rebates</w:t>
            </w:r>
          </w:p>
        </w:tc>
        <w:tc>
          <w:tcPr>
            <w:tcW w:w="1575" w:type="dxa"/>
            <w:tcBorders>
              <w:top w:val="nil"/>
              <w:bottom w:val="nil"/>
            </w:tcBorders>
          </w:tcPr>
          <w:p>
            <w:pPr>
              <w:pStyle w:val="TableParagraph"/>
              <w:spacing w:before="39"/>
              <w:ind w:left="12" w:right="1"/>
              <w:jc w:val="center"/>
              <w:rPr>
                <w:sz w:val="21"/>
              </w:rPr>
            </w:pPr>
            <w:r>
              <w:rPr>
                <w:spacing w:val="-5"/>
                <w:sz w:val="21"/>
              </w:rPr>
              <w:t>N/A</w:t>
            </w:r>
          </w:p>
        </w:tc>
        <w:tc>
          <w:tcPr>
            <w:tcW w:w="2682" w:type="dxa"/>
            <w:tcBorders>
              <w:top w:val="nil"/>
              <w:bottom w:val="nil"/>
            </w:tcBorders>
          </w:tcPr>
          <w:p>
            <w:pPr>
              <w:pStyle w:val="TableParagraph"/>
              <w:spacing w:before="39"/>
              <w:ind w:left="4" w:right="1"/>
              <w:jc w:val="center"/>
              <w:rPr>
                <w:sz w:val="21"/>
              </w:rPr>
            </w:pPr>
            <w:r>
              <w:rPr>
                <w:spacing w:val="-5"/>
                <w:sz w:val="21"/>
              </w:rPr>
              <w:t>N/A</w:t>
            </w:r>
          </w:p>
        </w:tc>
        <w:tc>
          <w:tcPr>
            <w:tcW w:w="1953" w:type="dxa"/>
            <w:tcBorders>
              <w:top w:val="nil"/>
              <w:bottom w:val="nil"/>
            </w:tcBorders>
          </w:tcPr>
          <w:p>
            <w:pPr>
              <w:pStyle w:val="TableParagraph"/>
              <w:spacing w:before="11"/>
              <w:ind w:left="7"/>
              <w:jc w:val="center"/>
              <w:rPr>
                <w:sz w:val="21"/>
              </w:rPr>
            </w:pPr>
            <w:r>
              <w:rPr>
                <w:spacing w:val="-2"/>
                <w:sz w:val="21"/>
              </w:rPr>
              <w:t>$0.20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75"/>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575" w:type="dxa"/>
            <w:tcBorders>
              <w:top w:val="nil"/>
              <w:bottom w:val="nil"/>
            </w:tcBorders>
          </w:tcPr>
          <w:p>
            <w:pPr>
              <w:pStyle w:val="TableParagraph"/>
              <w:spacing w:before="175"/>
              <w:ind w:left="12"/>
              <w:jc w:val="center"/>
              <w:rPr>
                <w:sz w:val="21"/>
              </w:rPr>
            </w:pPr>
            <w:r>
              <w:rPr>
                <w:spacing w:val="-2"/>
                <w:sz w:val="21"/>
              </w:rPr>
              <w:t>$79.40</w:t>
            </w:r>
          </w:p>
        </w:tc>
        <w:tc>
          <w:tcPr>
            <w:tcW w:w="2682" w:type="dxa"/>
            <w:tcBorders>
              <w:top w:val="nil"/>
              <w:bottom w:val="nil"/>
            </w:tcBorders>
          </w:tcPr>
          <w:p>
            <w:pPr>
              <w:pStyle w:val="TableParagraph"/>
              <w:spacing w:before="175"/>
              <w:ind w:left="4"/>
              <w:jc w:val="center"/>
              <w:rPr>
                <w:sz w:val="21"/>
              </w:rPr>
            </w:pPr>
            <w:r>
              <w:rPr>
                <w:spacing w:val="-2"/>
                <w:sz w:val="21"/>
              </w:rPr>
              <w:t>$79.40</w:t>
            </w:r>
          </w:p>
        </w:tc>
        <w:tc>
          <w:tcPr>
            <w:tcW w:w="1953" w:type="dxa"/>
            <w:tcBorders>
              <w:top w:val="nil"/>
              <w:bottom w:val="nil"/>
            </w:tcBorders>
          </w:tcPr>
          <w:p>
            <w:pPr>
              <w:pStyle w:val="TableParagraph"/>
              <w:spacing w:before="175"/>
              <w:ind w:left="7"/>
              <w:jc w:val="center"/>
              <w:rPr>
                <w:sz w:val="21"/>
              </w:rPr>
            </w:pPr>
            <w:r>
              <w:rPr>
                <w:spacing w:val="-2"/>
                <w:sz w:val="21"/>
              </w:rPr>
              <w:t>$79.40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25"/>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575" w:type="dxa"/>
            <w:tcBorders>
              <w:top w:val="nil"/>
              <w:bottom w:val="nil"/>
            </w:tcBorders>
          </w:tcPr>
          <w:p>
            <w:pPr>
              <w:pStyle w:val="TableParagraph"/>
              <w:spacing w:before="25"/>
              <w:ind w:left="12"/>
              <w:jc w:val="center"/>
              <w:rPr>
                <w:sz w:val="21"/>
              </w:rPr>
            </w:pPr>
            <w:r>
              <w:rPr>
                <w:spacing w:val="-2"/>
                <w:sz w:val="21"/>
              </w:rPr>
              <w:t>$62.80</w:t>
            </w:r>
          </w:p>
        </w:tc>
        <w:tc>
          <w:tcPr>
            <w:tcW w:w="2682" w:type="dxa"/>
            <w:tcBorders>
              <w:top w:val="nil"/>
              <w:bottom w:val="nil"/>
            </w:tcBorders>
          </w:tcPr>
          <w:p>
            <w:pPr>
              <w:pStyle w:val="TableParagraph"/>
              <w:spacing w:before="25"/>
              <w:ind w:left="4"/>
              <w:jc w:val="center"/>
              <w:rPr>
                <w:sz w:val="21"/>
              </w:rPr>
            </w:pPr>
            <w:r>
              <w:rPr>
                <w:spacing w:val="-2"/>
                <w:sz w:val="21"/>
              </w:rPr>
              <w:t>$62.80</w:t>
            </w:r>
          </w:p>
        </w:tc>
        <w:tc>
          <w:tcPr>
            <w:tcW w:w="1953" w:type="dxa"/>
            <w:tcBorders>
              <w:top w:val="nil"/>
              <w:bottom w:val="nil"/>
            </w:tcBorders>
          </w:tcPr>
          <w:p>
            <w:pPr>
              <w:pStyle w:val="TableParagraph"/>
              <w:spacing w:before="25"/>
              <w:ind w:left="7"/>
              <w:jc w:val="center"/>
              <w:rPr>
                <w:sz w:val="21"/>
              </w:rPr>
            </w:pPr>
            <w:r>
              <w:rPr>
                <w:spacing w:val="-2"/>
                <w:sz w:val="21"/>
              </w:rPr>
              <w:t>$62.80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25"/>
              <w:ind w:left="107"/>
              <w:rPr>
                <w:b/>
                <w:sz w:val="21"/>
              </w:rPr>
            </w:pPr>
            <w:r>
              <w:rPr>
                <w:b/>
                <w:sz w:val="21"/>
              </w:rPr>
              <w:t>MA</w:t>
            </w:r>
            <w:r>
              <w:rPr>
                <w:b/>
                <w:spacing w:val="-5"/>
                <w:sz w:val="21"/>
              </w:rPr>
              <w:t xml:space="preserve"> </w:t>
            </w:r>
            <w:r>
              <w:rPr>
                <w:b/>
                <w:spacing w:val="-2"/>
                <w:sz w:val="21"/>
              </w:rPr>
              <w:t>Premium</w:t>
            </w:r>
          </w:p>
        </w:tc>
        <w:tc>
          <w:tcPr>
            <w:tcW w:w="1575" w:type="dxa"/>
            <w:tcBorders>
              <w:top w:val="nil"/>
              <w:bottom w:val="nil"/>
            </w:tcBorders>
          </w:tcPr>
          <w:p>
            <w:pPr>
              <w:pStyle w:val="TableParagraph"/>
              <w:spacing w:before="25"/>
              <w:ind w:left="12"/>
              <w:jc w:val="center"/>
              <w:rPr>
                <w:sz w:val="21"/>
              </w:rPr>
            </w:pPr>
            <w:r>
              <w:rPr>
                <w:spacing w:val="-2"/>
                <w:sz w:val="21"/>
              </w:rPr>
              <w:t>$16.60</w:t>
            </w:r>
          </w:p>
        </w:tc>
        <w:tc>
          <w:tcPr>
            <w:tcW w:w="2682" w:type="dxa"/>
            <w:tcBorders>
              <w:top w:val="nil"/>
              <w:bottom w:val="nil"/>
            </w:tcBorders>
          </w:tcPr>
          <w:p>
            <w:pPr>
              <w:pStyle w:val="TableParagraph"/>
              <w:spacing w:before="25"/>
              <w:ind w:left="4"/>
              <w:jc w:val="center"/>
              <w:rPr>
                <w:sz w:val="21"/>
              </w:rPr>
            </w:pPr>
            <w:r>
              <w:rPr>
                <w:spacing w:val="-2"/>
                <w:sz w:val="21"/>
              </w:rPr>
              <w:t>$16.60</w:t>
            </w:r>
          </w:p>
        </w:tc>
        <w:tc>
          <w:tcPr>
            <w:tcW w:w="1953" w:type="dxa"/>
            <w:tcBorders>
              <w:top w:val="nil"/>
              <w:bottom w:val="nil"/>
            </w:tcBorders>
          </w:tcPr>
          <w:p>
            <w:pPr>
              <w:pStyle w:val="TableParagraph"/>
              <w:spacing w:before="25"/>
              <w:ind w:left="7"/>
              <w:jc w:val="center"/>
              <w:rPr>
                <w:sz w:val="21"/>
              </w:rPr>
            </w:pPr>
            <w:r>
              <w:rPr>
                <w:spacing w:val="-2"/>
                <w:sz w:val="21"/>
              </w:rPr>
              <w:t>$16.60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75"/>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5"/>
                <w:sz w:val="21"/>
              </w:rPr>
              <w:t xml:space="preserve"> </w:t>
            </w:r>
            <w:r>
              <w:rPr>
                <w:spacing w:val="-2"/>
                <w:sz w:val="21"/>
              </w:rPr>
              <w:t>Rebate</w:t>
            </w:r>
          </w:p>
        </w:tc>
        <w:tc>
          <w:tcPr>
            <w:tcW w:w="1575" w:type="dxa"/>
            <w:tcBorders>
              <w:top w:val="nil"/>
              <w:bottom w:val="nil"/>
            </w:tcBorders>
          </w:tcPr>
          <w:p>
            <w:pPr>
              <w:pStyle w:val="TableParagraph"/>
              <w:spacing w:before="175"/>
              <w:ind w:left="12"/>
              <w:jc w:val="center"/>
              <w:rPr>
                <w:sz w:val="21"/>
              </w:rPr>
            </w:pPr>
            <w:r>
              <w:rPr>
                <w:spacing w:val="-2"/>
                <w:sz w:val="21"/>
              </w:rPr>
              <w:t>$28.40</w:t>
            </w:r>
          </w:p>
        </w:tc>
        <w:tc>
          <w:tcPr>
            <w:tcW w:w="2682" w:type="dxa"/>
            <w:tcBorders>
              <w:top w:val="nil"/>
              <w:bottom w:val="nil"/>
            </w:tcBorders>
          </w:tcPr>
          <w:p>
            <w:pPr>
              <w:pStyle w:val="TableParagraph"/>
              <w:spacing w:before="175"/>
              <w:ind w:left="4"/>
              <w:jc w:val="center"/>
              <w:rPr>
                <w:sz w:val="21"/>
              </w:rPr>
            </w:pPr>
            <w:r>
              <w:rPr>
                <w:spacing w:val="-2"/>
                <w:sz w:val="21"/>
              </w:rPr>
              <w:t>$28.60</w:t>
            </w:r>
          </w:p>
        </w:tc>
        <w:tc>
          <w:tcPr>
            <w:tcW w:w="1953" w:type="dxa"/>
            <w:tcBorders>
              <w:top w:val="nil"/>
              <w:bottom w:val="nil"/>
            </w:tcBorders>
          </w:tcPr>
          <w:p>
            <w:pPr>
              <w:pStyle w:val="TableParagraph"/>
              <w:spacing w:before="175"/>
              <w:ind w:left="7"/>
              <w:jc w:val="center"/>
              <w:rPr>
                <w:sz w:val="21"/>
              </w:rPr>
            </w:pPr>
            <w:r>
              <w:rPr>
                <w:spacing w:val="-2"/>
                <w:sz w:val="21"/>
              </w:rPr>
              <w:t>$28.60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5"/>
                <w:sz w:val="21"/>
              </w:rPr>
              <w:t xml:space="preserve"> </w:t>
            </w:r>
            <w:r>
              <w:rPr>
                <w:spacing w:val="-2"/>
                <w:sz w:val="21"/>
              </w:rPr>
              <w:t>Allocations</w:t>
            </w:r>
          </w:p>
        </w:tc>
        <w:tc>
          <w:tcPr>
            <w:tcW w:w="1575" w:type="dxa"/>
            <w:tcBorders>
              <w:top w:val="nil"/>
              <w:bottom w:val="nil"/>
            </w:tcBorders>
          </w:tcPr>
          <w:p>
            <w:pPr>
              <w:pStyle w:val="TableParagraph"/>
              <w:spacing w:before="25"/>
              <w:ind w:left="12"/>
              <w:jc w:val="center"/>
              <w:rPr>
                <w:sz w:val="21"/>
              </w:rPr>
            </w:pPr>
            <w:r>
              <w:rPr>
                <w:spacing w:val="-2"/>
                <w:sz w:val="21"/>
              </w:rPr>
              <w:t>$5.00</w:t>
            </w:r>
          </w:p>
        </w:tc>
        <w:tc>
          <w:tcPr>
            <w:tcW w:w="2682" w:type="dxa"/>
            <w:tcBorders>
              <w:top w:val="nil"/>
              <w:bottom w:val="nil"/>
            </w:tcBorders>
          </w:tcPr>
          <w:p>
            <w:pPr>
              <w:pStyle w:val="TableParagraph"/>
              <w:spacing w:before="25"/>
              <w:ind w:left="4"/>
              <w:jc w:val="center"/>
              <w:rPr>
                <w:sz w:val="21"/>
              </w:rPr>
            </w:pPr>
            <w:r>
              <w:rPr>
                <w:spacing w:val="-2"/>
                <w:sz w:val="21"/>
              </w:rPr>
              <w:t>$5.00</w:t>
            </w:r>
          </w:p>
        </w:tc>
        <w:tc>
          <w:tcPr>
            <w:tcW w:w="1953" w:type="dxa"/>
            <w:tcBorders>
              <w:top w:val="nil"/>
              <w:bottom w:val="nil"/>
            </w:tcBorders>
          </w:tcPr>
          <w:p>
            <w:pPr>
              <w:pStyle w:val="TableParagraph"/>
              <w:spacing w:before="25"/>
              <w:ind w:left="7"/>
              <w:jc w:val="center"/>
              <w:rPr>
                <w:b/>
                <w:i/>
                <w:sz w:val="21"/>
              </w:rPr>
            </w:pPr>
            <w:r>
              <w:rPr>
                <w:b/>
                <w:i/>
                <w:spacing w:val="-2"/>
                <w:sz w:val="21"/>
              </w:rPr>
              <w:t>$5.20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575" w:type="dxa"/>
            <w:tcBorders>
              <w:top w:val="nil"/>
              <w:bottom w:val="nil"/>
            </w:tcBorders>
          </w:tcPr>
          <w:p>
            <w:pPr>
              <w:pStyle w:val="TableParagraph"/>
              <w:spacing w:before="25"/>
              <w:ind w:left="12"/>
              <w:jc w:val="center"/>
              <w:rPr>
                <w:sz w:val="21"/>
              </w:rPr>
            </w:pPr>
            <w:r>
              <w:rPr>
                <w:spacing w:val="-2"/>
                <w:sz w:val="21"/>
              </w:rPr>
              <w:t>$23.40</w:t>
            </w:r>
          </w:p>
        </w:tc>
        <w:tc>
          <w:tcPr>
            <w:tcW w:w="2682" w:type="dxa"/>
            <w:tcBorders>
              <w:top w:val="nil"/>
              <w:bottom w:val="nil"/>
            </w:tcBorders>
          </w:tcPr>
          <w:p>
            <w:pPr>
              <w:pStyle w:val="TableParagraph"/>
              <w:spacing w:before="25"/>
              <w:ind w:left="4"/>
              <w:jc w:val="center"/>
              <w:rPr>
                <w:sz w:val="21"/>
              </w:rPr>
            </w:pPr>
            <w:r>
              <w:rPr>
                <w:spacing w:val="-2"/>
                <w:sz w:val="21"/>
              </w:rPr>
              <w:t>$23.60</w:t>
            </w:r>
          </w:p>
        </w:tc>
        <w:tc>
          <w:tcPr>
            <w:tcW w:w="1953" w:type="dxa"/>
            <w:tcBorders>
              <w:top w:val="nil"/>
              <w:bottom w:val="nil"/>
            </w:tcBorders>
          </w:tcPr>
          <w:p>
            <w:pPr>
              <w:pStyle w:val="TableParagraph"/>
              <w:spacing w:before="25"/>
              <w:ind w:left="7"/>
              <w:jc w:val="center"/>
              <w:rPr>
                <w:sz w:val="21"/>
              </w:rPr>
            </w:pPr>
            <w:r>
              <w:rPr>
                <w:spacing w:val="-2"/>
                <w:sz w:val="21"/>
              </w:rPr>
              <w:t>$23.40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575" w:type="dxa"/>
            <w:tcBorders>
              <w:top w:val="nil"/>
              <w:bottom w:val="nil"/>
            </w:tcBorders>
          </w:tcPr>
          <w:p>
            <w:pPr>
              <w:pStyle w:val="TableParagraph"/>
              <w:spacing w:before="175"/>
              <w:ind w:left="12"/>
              <w:jc w:val="center"/>
              <w:rPr>
                <w:sz w:val="21"/>
              </w:rPr>
            </w:pPr>
            <w:r>
              <w:rPr>
                <w:spacing w:val="-2"/>
                <w:sz w:val="21"/>
              </w:rPr>
              <w:t>$23.80</w:t>
            </w:r>
          </w:p>
        </w:tc>
        <w:tc>
          <w:tcPr>
            <w:tcW w:w="2682" w:type="dxa"/>
            <w:tcBorders>
              <w:top w:val="nil"/>
              <w:bottom w:val="nil"/>
            </w:tcBorders>
          </w:tcPr>
          <w:p>
            <w:pPr>
              <w:pStyle w:val="TableParagraph"/>
              <w:spacing w:before="175"/>
              <w:ind w:left="4"/>
              <w:jc w:val="center"/>
              <w:rPr>
                <w:sz w:val="21"/>
              </w:rPr>
            </w:pPr>
            <w:r>
              <w:rPr>
                <w:spacing w:val="-2"/>
                <w:sz w:val="21"/>
              </w:rPr>
              <w:t>$23.80</w:t>
            </w:r>
          </w:p>
        </w:tc>
        <w:tc>
          <w:tcPr>
            <w:tcW w:w="1953" w:type="dxa"/>
            <w:tcBorders>
              <w:top w:val="nil"/>
              <w:bottom w:val="nil"/>
            </w:tcBorders>
          </w:tcPr>
          <w:p>
            <w:pPr>
              <w:pStyle w:val="TableParagraph"/>
              <w:spacing w:before="175"/>
              <w:ind w:left="7"/>
              <w:jc w:val="center"/>
              <w:rPr>
                <w:sz w:val="21"/>
              </w:rPr>
            </w:pPr>
            <w:r>
              <w:rPr>
                <w:spacing w:val="-2"/>
                <w:sz w:val="21"/>
              </w:rPr>
              <w:t>$23.80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575" w:type="dxa"/>
            <w:tcBorders>
              <w:top w:val="nil"/>
              <w:bottom w:val="nil"/>
            </w:tcBorders>
          </w:tcPr>
          <w:p>
            <w:pPr>
              <w:pStyle w:val="TableParagraph"/>
              <w:spacing w:before="25"/>
              <w:ind w:left="12"/>
              <w:jc w:val="center"/>
              <w:rPr>
                <w:sz w:val="21"/>
              </w:rPr>
            </w:pPr>
            <w:r>
              <w:rPr>
                <w:spacing w:val="-2"/>
                <w:sz w:val="21"/>
              </w:rPr>
              <w:t>$23.80</w:t>
            </w:r>
          </w:p>
        </w:tc>
        <w:tc>
          <w:tcPr>
            <w:tcW w:w="2682" w:type="dxa"/>
            <w:tcBorders>
              <w:top w:val="nil"/>
              <w:bottom w:val="nil"/>
            </w:tcBorders>
          </w:tcPr>
          <w:p>
            <w:pPr>
              <w:pStyle w:val="TableParagraph"/>
              <w:spacing w:before="25"/>
              <w:ind w:left="4"/>
              <w:jc w:val="center"/>
              <w:rPr>
                <w:sz w:val="21"/>
              </w:rPr>
            </w:pPr>
            <w:r>
              <w:rPr>
                <w:spacing w:val="-2"/>
                <w:sz w:val="21"/>
              </w:rPr>
              <w:t>$23.80</w:t>
            </w:r>
          </w:p>
        </w:tc>
        <w:tc>
          <w:tcPr>
            <w:tcW w:w="1953" w:type="dxa"/>
            <w:tcBorders>
              <w:top w:val="nil"/>
              <w:bottom w:val="nil"/>
            </w:tcBorders>
          </w:tcPr>
          <w:p>
            <w:pPr>
              <w:pStyle w:val="TableParagraph"/>
              <w:spacing w:before="25"/>
              <w:ind w:left="7"/>
              <w:jc w:val="center"/>
              <w:rPr>
                <w:sz w:val="21"/>
              </w:rPr>
            </w:pPr>
            <w:r>
              <w:rPr>
                <w:spacing w:val="-2"/>
                <w:sz w:val="21"/>
              </w:rPr>
              <w:t>$23.80</w:t>
            </w:r>
          </w:p>
        </w:tc>
      </w:tr>
      <w:tr>
        <w:tblPrEx>
          <w:tblW w:w="0" w:type="auto"/>
          <w:jc w:val="left"/>
          <w:tblInd w:w="514" w:type="dxa"/>
          <w:tblLayout w:type="fixed"/>
          <w:tblCellMar>
            <w:top w:w="0" w:type="dxa"/>
            <w:left w:w="0" w:type="dxa"/>
            <w:bottom w:w="0" w:type="dxa"/>
            <w:right w:w="0" w:type="dxa"/>
          </w:tblCellMar>
          <w:tblLook w:val="01E0"/>
        </w:tblPrEx>
        <w:trPr>
          <w:trHeight w:val="566"/>
          <w:jc w:val="left"/>
        </w:trPr>
        <w:tc>
          <w:tcPr>
            <w:tcW w:w="3001"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575" w:type="dxa"/>
            <w:tcBorders>
              <w:top w:val="nil"/>
            </w:tcBorders>
          </w:tcPr>
          <w:p>
            <w:pPr>
              <w:pStyle w:val="TableParagraph"/>
              <w:spacing w:before="25"/>
              <w:ind w:left="12"/>
              <w:jc w:val="center"/>
              <w:rPr>
                <w:sz w:val="21"/>
              </w:rPr>
            </w:pPr>
            <w:r>
              <w:rPr>
                <w:spacing w:val="-2"/>
                <w:sz w:val="21"/>
              </w:rPr>
              <w:t>$0.00</w:t>
            </w:r>
          </w:p>
        </w:tc>
        <w:tc>
          <w:tcPr>
            <w:tcW w:w="2682" w:type="dxa"/>
            <w:tcBorders>
              <w:top w:val="nil"/>
            </w:tcBorders>
          </w:tcPr>
          <w:p>
            <w:pPr>
              <w:pStyle w:val="TableParagraph"/>
              <w:spacing w:before="25"/>
              <w:ind w:left="4"/>
              <w:jc w:val="center"/>
              <w:rPr>
                <w:sz w:val="21"/>
              </w:rPr>
            </w:pPr>
            <w:r>
              <w:rPr>
                <w:spacing w:val="-2"/>
                <w:sz w:val="21"/>
              </w:rPr>
              <w:t>$0.00</w:t>
            </w:r>
          </w:p>
        </w:tc>
        <w:tc>
          <w:tcPr>
            <w:tcW w:w="1953" w:type="dxa"/>
            <w:tcBorders>
              <w:top w:val="nil"/>
            </w:tcBorders>
          </w:tcPr>
          <w:p>
            <w:pPr>
              <w:pStyle w:val="TableParagraph"/>
              <w:spacing w:before="25"/>
              <w:ind w:left="7"/>
              <w:jc w:val="center"/>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302"/>
          <w:jc w:val="left"/>
        </w:trPr>
        <w:tc>
          <w:tcPr>
            <w:tcW w:w="3001" w:type="dxa"/>
          </w:tcPr>
          <w:p>
            <w:pPr>
              <w:pStyle w:val="TableParagraph"/>
              <w:spacing w:before="60"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575" w:type="dxa"/>
          </w:tcPr>
          <w:p>
            <w:pPr>
              <w:pStyle w:val="TableParagraph"/>
              <w:spacing w:before="60" w:line="221" w:lineRule="exact"/>
              <w:ind w:left="12"/>
              <w:jc w:val="center"/>
              <w:rPr>
                <w:sz w:val="21"/>
              </w:rPr>
            </w:pPr>
            <w:r>
              <w:rPr>
                <w:spacing w:val="-2"/>
                <w:sz w:val="21"/>
              </w:rPr>
              <w:t>$40.00</w:t>
            </w:r>
          </w:p>
        </w:tc>
        <w:tc>
          <w:tcPr>
            <w:tcW w:w="2682" w:type="dxa"/>
          </w:tcPr>
          <w:p>
            <w:pPr>
              <w:pStyle w:val="TableParagraph"/>
              <w:spacing w:before="60" w:line="221" w:lineRule="exact"/>
              <w:ind w:left="4"/>
              <w:jc w:val="center"/>
              <w:rPr>
                <w:sz w:val="21"/>
              </w:rPr>
            </w:pPr>
            <w:r>
              <w:rPr>
                <w:spacing w:val="-2"/>
                <w:sz w:val="21"/>
              </w:rPr>
              <w:t>$40.20</w:t>
            </w:r>
          </w:p>
        </w:tc>
        <w:tc>
          <w:tcPr>
            <w:tcW w:w="1953" w:type="dxa"/>
          </w:tcPr>
          <w:p>
            <w:pPr>
              <w:pStyle w:val="TableParagraph"/>
              <w:spacing w:before="60" w:line="221" w:lineRule="exact"/>
              <w:ind w:left="7"/>
              <w:jc w:val="center"/>
              <w:rPr>
                <w:sz w:val="21"/>
              </w:rPr>
            </w:pPr>
            <w:r>
              <w:rPr>
                <w:spacing w:val="-2"/>
                <w:sz w:val="21"/>
              </w:rPr>
              <w:t>$40.00</w:t>
            </w:r>
          </w:p>
        </w:tc>
      </w:tr>
    </w:tbl>
    <w:p>
      <w:pPr>
        <w:pStyle w:val="BodyText"/>
        <w:spacing w:before="85"/>
        <w:ind w:left="0"/>
        <w:rPr>
          <w:rFonts w:ascii="Arial"/>
          <w:b/>
          <w:i/>
        </w:rPr>
      </w:pPr>
    </w:p>
    <w:p>
      <w:pPr>
        <w:pStyle w:val="BodyText"/>
        <w:ind w:right="1481"/>
      </w:pPr>
      <w:r>
        <w:t>In this example, the gain/loss margin, total MA rebates and rebate allocations are the only changes permitted in the BPT. The total plan premium must equal $40.00. Changes to the gain/loss margin are automatically allocated to the Medicare-covered and A/B mandatory supplemental benefits in the BPT. Therefore, when the gain/loss margin changes for premium rounding, there</w:t>
      </w:r>
      <w:r>
        <w:rPr>
          <w:spacing w:val="-2"/>
        </w:rPr>
        <w:t xml:space="preserve"> </w:t>
      </w:r>
      <w:r>
        <w:t>are</w:t>
      </w:r>
      <w:r>
        <w:rPr>
          <w:spacing w:val="-2"/>
        </w:rPr>
        <w:t xml:space="preserve"> </w:t>
      </w:r>
      <w:r>
        <w:t>minimal changes</w:t>
      </w:r>
      <w:r>
        <w:rPr>
          <w:spacing w:val="-1"/>
        </w:rPr>
        <w:t xml:space="preserve"> </w:t>
      </w:r>
      <w:r>
        <w:t>to the</w:t>
      </w:r>
      <w:r>
        <w:rPr>
          <w:spacing w:val="-1"/>
        </w:rPr>
        <w:t xml:space="preserve"> </w:t>
      </w:r>
      <w:r>
        <w:t>MSB revenue requirement. These</w:t>
      </w:r>
      <w:r>
        <w:rPr>
          <w:spacing w:val="-1"/>
        </w:rPr>
        <w:t xml:space="preserve"> </w:t>
      </w:r>
      <w:r>
        <w:t>minimal changes to</w:t>
      </w:r>
      <w:r>
        <w:rPr>
          <w:spacing w:val="-4"/>
        </w:rPr>
        <w:t xml:space="preserve"> </w:t>
      </w:r>
      <w:r>
        <w:t>the</w:t>
      </w:r>
      <w:r>
        <w:rPr>
          <w:spacing w:val="-5"/>
        </w:rPr>
        <w:t xml:space="preserve"> </w:t>
      </w:r>
      <w:r>
        <w:t>MSB</w:t>
      </w:r>
      <w:r>
        <w:rPr>
          <w:spacing w:val="-4"/>
        </w:rPr>
        <w:t xml:space="preserve"> </w:t>
      </w:r>
      <w:r>
        <w:t>revenue</w:t>
      </w:r>
      <w:r>
        <w:rPr>
          <w:spacing w:val="-5"/>
        </w:rPr>
        <w:t xml:space="preserve"> </w:t>
      </w:r>
      <w:r>
        <w:t>requirement</w:t>
      </w:r>
      <w:r>
        <w:rPr>
          <w:spacing w:val="-4"/>
        </w:rPr>
        <w:t xml:space="preserve"> </w:t>
      </w:r>
      <w:r>
        <w:t>for</w:t>
      </w:r>
      <w:r>
        <w:rPr>
          <w:spacing w:val="-4"/>
        </w:rPr>
        <w:t xml:space="preserve"> </w:t>
      </w:r>
      <w:r>
        <w:t>premium</w:t>
      </w:r>
      <w:r>
        <w:rPr>
          <w:spacing w:val="-4"/>
        </w:rPr>
        <w:t xml:space="preserve"> </w:t>
      </w:r>
      <w:r>
        <w:t>rounding</w:t>
      </w:r>
      <w:r>
        <w:rPr>
          <w:spacing w:val="-4"/>
        </w:rPr>
        <w:t xml:space="preserve"> </w:t>
      </w:r>
      <w:r>
        <w:t>are</w:t>
      </w:r>
      <w:r>
        <w:rPr>
          <w:spacing w:val="-5"/>
        </w:rPr>
        <w:t xml:space="preserve"> </w:t>
      </w:r>
      <w:r>
        <w:t>not</w:t>
      </w:r>
      <w:r>
        <w:rPr>
          <w:spacing w:val="-4"/>
        </w:rPr>
        <w:t xml:space="preserve"> </w:t>
      </w:r>
      <w:r>
        <w:t>considered</w:t>
      </w:r>
      <w:r>
        <w:rPr>
          <w:spacing w:val="-2"/>
        </w:rPr>
        <w:t xml:space="preserve"> </w:t>
      </w:r>
      <w:r>
        <w:t>when</w:t>
      </w:r>
      <w:r>
        <w:rPr>
          <w:spacing w:val="-4"/>
        </w:rPr>
        <w:t xml:space="preserve"> </w:t>
      </w:r>
      <w:r>
        <w:t>evaluating</w:t>
      </w:r>
      <w:r>
        <w:rPr>
          <w:spacing w:val="-4"/>
        </w:rPr>
        <w:t xml:space="preserve"> </w:t>
      </w:r>
      <w:r>
        <w:t>the limit for the MSB revenue requirement during rebate reallocation.</w:t>
      </w:r>
    </w:p>
    <w:p>
      <w:pPr>
        <w:pStyle w:val="BodyText"/>
        <w:spacing w:before="140"/>
        <w:ind w:right="1498"/>
      </w:pPr>
      <w:r>
        <w:t>Because (i) achieving the target Part D basic premium results in the total plan premium rounded</w:t>
      </w:r>
      <w:r>
        <w:rPr>
          <w:spacing w:val="-3"/>
        </w:rPr>
        <w:t xml:space="preserve"> </w:t>
      </w:r>
      <w:r>
        <w:t>to</w:t>
      </w:r>
      <w:r>
        <w:rPr>
          <w:spacing w:val="-3"/>
        </w:rPr>
        <w:t xml:space="preserve"> </w:t>
      </w:r>
      <w:r>
        <w:t>a</w:t>
      </w:r>
      <w:r>
        <w:rPr>
          <w:spacing w:val="-3"/>
        </w:rPr>
        <w:t xml:space="preserve"> </w:t>
      </w:r>
      <w:r>
        <w:t>whole</w:t>
      </w:r>
      <w:r>
        <w:rPr>
          <w:spacing w:val="-3"/>
        </w:rPr>
        <w:t xml:space="preserve"> </w:t>
      </w:r>
      <w:r>
        <w:t>dollar</w:t>
      </w:r>
      <w:r>
        <w:rPr>
          <w:spacing w:val="-3"/>
        </w:rPr>
        <w:t xml:space="preserve"> </w:t>
      </w:r>
      <w:r>
        <w:t>amount;</w:t>
      </w:r>
      <w:r>
        <w:rPr>
          <w:spacing w:val="-3"/>
        </w:rPr>
        <w:t xml:space="preserve"> </w:t>
      </w:r>
      <w:r>
        <w:t>and</w:t>
      </w:r>
      <w:r>
        <w:rPr>
          <w:spacing w:val="-3"/>
        </w:rPr>
        <w:t xml:space="preserve"> </w:t>
      </w:r>
      <w:r>
        <w:t>(ii)</w:t>
      </w:r>
      <w:r>
        <w:rPr>
          <w:spacing w:val="-3"/>
        </w:rPr>
        <w:t xml:space="preserve"> </w:t>
      </w:r>
      <w:r>
        <w:t>the</w:t>
      </w:r>
      <w:r>
        <w:rPr>
          <w:spacing w:val="-4"/>
        </w:rPr>
        <w:t xml:space="preserve"> </w:t>
      </w:r>
      <w:r>
        <w:t>Part</w:t>
      </w:r>
      <w:r>
        <w:rPr>
          <w:spacing w:val="-2"/>
        </w:rPr>
        <w:t xml:space="preserve"> </w:t>
      </w:r>
      <w:r>
        <w:t>D</w:t>
      </w:r>
      <w:r>
        <w:rPr>
          <w:spacing w:val="-4"/>
        </w:rPr>
        <w:t xml:space="preserve"> </w:t>
      </w:r>
      <w:r>
        <w:t>basic</w:t>
      </w:r>
      <w:r>
        <w:rPr>
          <w:spacing w:val="-3"/>
        </w:rPr>
        <w:t xml:space="preserve"> </w:t>
      </w:r>
      <w:r>
        <w:t>premium</w:t>
      </w:r>
      <w:r>
        <w:rPr>
          <w:spacing w:val="-3"/>
        </w:rPr>
        <w:t xml:space="preserve"> </w:t>
      </w:r>
      <w:r>
        <w:t>after</w:t>
      </w:r>
      <w:r>
        <w:rPr>
          <w:spacing w:val="-2"/>
        </w:rPr>
        <w:t xml:space="preserve"> </w:t>
      </w:r>
      <w:r>
        <w:t>benchmark</w:t>
      </w:r>
      <w:r>
        <w:rPr>
          <w:spacing w:val="-1"/>
        </w:rPr>
        <w:t xml:space="preserve"> </w:t>
      </w:r>
      <w:r>
        <w:t>release</w:t>
      </w:r>
      <w:r>
        <w:rPr>
          <w:spacing w:val="-4"/>
        </w:rPr>
        <w:t xml:space="preserve"> </w:t>
      </w:r>
      <w:r>
        <w:t>is within +/</w:t>
      </w:r>
      <w:r>
        <w:rPr>
          <w:sz w:val="21"/>
        </w:rPr>
        <w:t>−</w:t>
      </w:r>
      <w:r>
        <w:t>$0.50 of the target Part D basic premium, the MAO may choose to use the premium rounding</w:t>
      </w:r>
      <w:r>
        <w:rPr>
          <w:spacing w:val="-2"/>
        </w:rPr>
        <w:t xml:space="preserve"> </w:t>
      </w:r>
      <w:r>
        <w:t>rules—rather</w:t>
      </w:r>
      <w:r>
        <w:rPr>
          <w:spacing w:val="-2"/>
        </w:rPr>
        <w:t xml:space="preserve"> </w:t>
      </w:r>
      <w:r>
        <w:t>than</w:t>
      </w:r>
      <w:r>
        <w:rPr>
          <w:spacing w:val="-2"/>
        </w:rPr>
        <w:t xml:space="preserve"> </w:t>
      </w:r>
      <w:r>
        <w:t>rebate</w:t>
      </w:r>
      <w:r>
        <w:rPr>
          <w:spacing w:val="-3"/>
        </w:rPr>
        <w:t xml:space="preserve"> </w:t>
      </w:r>
      <w:r>
        <w:t>reallocation</w:t>
      </w:r>
      <w:r>
        <w:rPr>
          <w:spacing w:val="-2"/>
        </w:rPr>
        <w:t xml:space="preserve"> </w:t>
      </w:r>
      <w:r>
        <w:t>rules—to</w:t>
      </w:r>
      <w:r>
        <w:rPr>
          <w:spacing w:val="-2"/>
        </w:rPr>
        <w:t xml:space="preserve"> </w:t>
      </w:r>
      <w:r>
        <w:t>achieve</w:t>
      </w:r>
      <w:r>
        <w:rPr>
          <w:spacing w:val="-4"/>
        </w:rPr>
        <w:t xml:space="preserve"> </w:t>
      </w:r>
      <w:r>
        <w:t>the</w:t>
      </w:r>
      <w:r>
        <w:rPr>
          <w:spacing w:val="-3"/>
        </w:rPr>
        <w:t xml:space="preserve"> </w:t>
      </w:r>
      <w:r>
        <w:t>target</w:t>
      </w:r>
      <w:r>
        <w:rPr>
          <w:spacing w:val="-2"/>
        </w:rPr>
        <w:t xml:space="preserve"> </w:t>
      </w:r>
      <w:r>
        <w:t>intention</w:t>
      </w:r>
      <w:r>
        <w:rPr>
          <w:spacing w:val="-2"/>
        </w:rPr>
        <w:t xml:space="preserve"> </w:t>
      </w:r>
      <w:r>
        <w:t>for</w:t>
      </w:r>
      <w:r>
        <w:rPr>
          <w:spacing w:val="-2"/>
        </w:rPr>
        <w:t xml:space="preserve"> </w:t>
      </w:r>
      <w:r>
        <w:t>Part</w:t>
      </w:r>
      <w:r>
        <w:rPr>
          <w:spacing w:val="-2"/>
        </w:rPr>
        <w:t xml:space="preserve"> </w:t>
      </w:r>
      <w:r>
        <w:t>D basic premium.</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pPr>
      <w:r>
        <w:t>The</w:t>
      </w:r>
      <w:r>
        <w:rPr>
          <w:spacing w:val="-4"/>
        </w:rPr>
        <w:t xml:space="preserve"> </w:t>
      </w:r>
      <w:r>
        <w:t>MAO</w:t>
      </w:r>
      <w:r>
        <w:rPr>
          <w:spacing w:val="-2"/>
        </w:rPr>
        <w:t xml:space="preserve"> </w:t>
      </w:r>
      <w:r>
        <w:t>must</w:t>
      </w:r>
      <w:r>
        <w:rPr>
          <w:spacing w:val="-1"/>
        </w:rPr>
        <w:t xml:space="preserve"> </w:t>
      </w:r>
      <w:r>
        <w:t>adjust gain/loss</w:t>
      </w:r>
      <w:r>
        <w:rPr>
          <w:spacing w:val="-2"/>
        </w:rPr>
        <w:t xml:space="preserve"> </w:t>
      </w:r>
      <w:r>
        <w:t>margin PMPM</w:t>
      </w:r>
      <w:r>
        <w:rPr>
          <w:spacing w:val="-3"/>
        </w:rPr>
        <w:t xml:space="preserve"> </w:t>
      </w:r>
      <w:r>
        <w:t>such</w:t>
      </w:r>
      <w:r>
        <w:rPr>
          <w:spacing w:val="-1"/>
        </w:rPr>
        <w:t xml:space="preserve"> </w:t>
      </w:r>
      <w:r>
        <w:rPr>
          <w:spacing w:val="-2"/>
        </w:rPr>
        <w:t>that—</w:t>
      </w:r>
    </w:p>
    <w:p>
      <w:pPr>
        <w:pStyle w:val="ListParagraph"/>
        <w:numPr>
          <w:ilvl w:val="0"/>
          <w:numId w:val="7"/>
        </w:numPr>
        <w:tabs>
          <w:tab w:val="left" w:pos="1561"/>
        </w:tabs>
        <w:spacing w:before="139" w:after="0" w:line="240" w:lineRule="auto"/>
        <w:ind w:left="1561" w:right="0" w:hanging="337"/>
        <w:jc w:val="left"/>
        <w:rPr>
          <w:sz w:val="24"/>
        </w:rPr>
      </w:pPr>
      <w:r>
        <w:rPr>
          <w:sz w:val="24"/>
        </w:rPr>
        <w:t>Change</w:t>
      </w:r>
      <w:r>
        <w:rPr>
          <w:spacing w:val="-4"/>
          <w:sz w:val="24"/>
        </w:rPr>
        <w:t xml:space="preserve"> </w:t>
      </w:r>
      <w:r>
        <w:rPr>
          <w:sz w:val="24"/>
        </w:rPr>
        <w:t>in</w:t>
      </w:r>
      <w:r>
        <w:rPr>
          <w:spacing w:val="-1"/>
          <w:sz w:val="24"/>
        </w:rPr>
        <w:t xml:space="preserve"> </w:t>
      </w:r>
      <w:r>
        <w:rPr>
          <w:sz w:val="24"/>
        </w:rPr>
        <w:t>total</w:t>
      </w:r>
      <w:r>
        <w:rPr>
          <w:spacing w:val="-1"/>
          <w:sz w:val="24"/>
        </w:rPr>
        <w:t xml:space="preserve"> </w:t>
      </w:r>
      <w:r>
        <w:rPr>
          <w:sz w:val="24"/>
        </w:rPr>
        <w:t>MA</w:t>
      </w:r>
      <w:r>
        <w:rPr>
          <w:spacing w:val="-2"/>
          <w:sz w:val="24"/>
        </w:rPr>
        <w:t xml:space="preserve"> </w:t>
      </w:r>
      <w:r>
        <w:rPr>
          <w:sz w:val="24"/>
        </w:rPr>
        <w:t>rebates</w:t>
      </w:r>
      <w:r>
        <w:rPr>
          <w:spacing w:val="-2"/>
          <w:sz w:val="24"/>
        </w:rPr>
        <w:t xml:space="preserve"> </w:t>
      </w:r>
      <w:r>
        <w:rPr>
          <w:sz w:val="24"/>
        </w:rPr>
        <w:t>is</w:t>
      </w:r>
      <w:r>
        <w:rPr>
          <w:spacing w:val="-2"/>
          <w:sz w:val="24"/>
        </w:rPr>
        <w:t xml:space="preserve"> </w:t>
      </w:r>
      <w:r>
        <w:rPr>
          <w:sz w:val="24"/>
        </w:rPr>
        <w:t>between −$0.50</w:t>
      </w:r>
      <w:r>
        <w:rPr>
          <w:spacing w:val="1"/>
          <w:sz w:val="24"/>
        </w:rPr>
        <w:t xml:space="preserve"> </w:t>
      </w:r>
      <w:r>
        <w:rPr>
          <w:sz w:val="24"/>
        </w:rPr>
        <w:t>and</w:t>
      </w:r>
      <w:r>
        <w:rPr>
          <w:spacing w:val="-1"/>
          <w:sz w:val="24"/>
        </w:rPr>
        <w:t xml:space="preserve"> </w:t>
      </w:r>
      <w:r>
        <w:rPr>
          <w:spacing w:val="-2"/>
          <w:sz w:val="24"/>
        </w:rPr>
        <w:t>$0.50.</w:t>
      </w:r>
    </w:p>
    <w:p>
      <w:pPr>
        <w:pStyle w:val="ListParagraph"/>
        <w:numPr>
          <w:ilvl w:val="0"/>
          <w:numId w:val="7"/>
        </w:numPr>
        <w:tabs>
          <w:tab w:val="left" w:pos="1561"/>
        </w:tabs>
        <w:spacing w:before="142" w:after="0" w:line="240" w:lineRule="auto"/>
        <w:ind w:left="1561" w:right="0" w:hanging="337"/>
        <w:jc w:val="left"/>
        <w:rPr>
          <w:sz w:val="24"/>
        </w:rPr>
      </w:pPr>
      <w:r>
        <w:rPr>
          <w:sz w:val="24"/>
        </w:rPr>
        <w:t>The</w:t>
      </w:r>
      <w:r>
        <w:rPr>
          <w:spacing w:val="-3"/>
          <w:sz w:val="24"/>
        </w:rPr>
        <w:t xml:space="preserve"> </w:t>
      </w:r>
      <w:r>
        <w:rPr>
          <w:sz w:val="24"/>
        </w:rPr>
        <w:t>final total plan</w:t>
      </w:r>
      <w:r>
        <w:rPr>
          <w:spacing w:val="-1"/>
          <w:sz w:val="24"/>
        </w:rPr>
        <w:t xml:space="preserve"> </w:t>
      </w:r>
      <w:r>
        <w:rPr>
          <w:sz w:val="24"/>
        </w:rPr>
        <w:t>premium is</w:t>
      </w:r>
      <w:r>
        <w:rPr>
          <w:spacing w:val="-1"/>
          <w:sz w:val="24"/>
        </w:rPr>
        <w:t xml:space="preserve"> </w:t>
      </w:r>
      <w:r>
        <w:rPr>
          <w:sz w:val="24"/>
        </w:rPr>
        <w:t>rounded</w:t>
      </w:r>
      <w:r>
        <w:rPr>
          <w:spacing w:val="-1"/>
          <w:sz w:val="24"/>
        </w:rPr>
        <w:t xml:space="preserve"> </w:t>
      </w:r>
      <w:r>
        <w:rPr>
          <w:sz w:val="24"/>
        </w:rPr>
        <w:t>to a whole</w:t>
      </w:r>
      <w:r>
        <w:rPr>
          <w:spacing w:val="-1"/>
          <w:sz w:val="24"/>
        </w:rPr>
        <w:t xml:space="preserve"> </w:t>
      </w:r>
      <w:r>
        <w:rPr>
          <w:sz w:val="24"/>
        </w:rPr>
        <w:t>dollar</w:t>
      </w:r>
      <w:r>
        <w:rPr>
          <w:spacing w:val="-2"/>
          <w:sz w:val="24"/>
        </w:rPr>
        <w:t xml:space="preserve"> </w:t>
      </w:r>
      <w:r>
        <w:rPr>
          <w:sz w:val="24"/>
        </w:rPr>
        <w:t xml:space="preserve">amount and </w:t>
      </w:r>
      <w:r>
        <w:rPr>
          <w:spacing w:val="-2"/>
          <w:sz w:val="24"/>
        </w:rPr>
        <w:t>within</w:t>
      </w:r>
    </w:p>
    <w:p>
      <w:pPr>
        <w:pStyle w:val="BodyText"/>
        <w:ind w:left="1224"/>
      </w:pPr>
      <w:r>
        <w:t>+/</w:t>
      </w:r>
      <w:r>
        <w:rPr>
          <w:sz w:val="21"/>
        </w:rPr>
        <w:t>−</w:t>
      </w:r>
      <w:r>
        <w:t>$0.50</w:t>
      </w:r>
      <w:r>
        <w:rPr>
          <w:spacing w:val="-3"/>
        </w:rPr>
        <w:t xml:space="preserve"> </w:t>
      </w:r>
      <w:r>
        <w:t>of</w:t>
      </w:r>
      <w:r>
        <w:rPr>
          <w:spacing w:val="-1"/>
        </w:rPr>
        <w:t xml:space="preserve"> </w:t>
      </w:r>
      <w:r>
        <w:t>the</w:t>
      </w:r>
      <w:r>
        <w:rPr>
          <w:spacing w:val="-1"/>
        </w:rPr>
        <w:t xml:space="preserve"> </w:t>
      </w:r>
      <w:r>
        <w:t>total plan</w:t>
      </w:r>
      <w:r>
        <w:rPr>
          <w:spacing w:val="-1"/>
        </w:rPr>
        <w:t xml:space="preserve"> </w:t>
      </w:r>
      <w:r>
        <w:t>premium</w:t>
      </w:r>
      <w:r>
        <w:rPr>
          <w:spacing w:val="-1"/>
        </w:rPr>
        <w:t xml:space="preserve"> </w:t>
      </w:r>
      <w:r>
        <w:t>after</w:t>
      </w:r>
      <w:r>
        <w:rPr>
          <w:spacing w:val="-2"/>
        </w:rPr>
        <w:t xml:space="preserve"> </w:t>
      </w:r>
      <w:r>
        <w:t xml:space="preserve">benchmark </w:t>
      </w:r>
      <w:r>
        <w:rPr>
          <w:spacing w:val="-2"/>
        </w:rPr>
        <w:t>release.</w:t>
      </w:r>
    </w:p>
    <w:p>
      <w:pPr>
        <w:pStyle w:val="BodyText"/>
        <w:spacing w:before="4"/>
        <w:ind w:left="0"/>
      </w:pPr>
    </w:p>
    <w:p>
      <w:pPr>
        <w:pStyle w:val="Heading4"/>
      </w:pPr>
      <w:bookmarkStart w:id="394" w:name="Example 15b: Premium Rounding Only and A"/>
      <w:bookmarkEnd w:id="394"/>
      <w:r>
        <w:rPr>
          <w:i/>
        </w:rPr>
        <w:t>Example</w:t>
      </w:r>
      <w:r>
        <w:rPr>
          <w:i/>
          <w:spacing w:val="-2"/>
        </w:rPr>
        <w:t xml:space="preserve"> </w:t>
      </w:r>
      <w:r>
        <w:rPr>
          <w:i/>
        </w:rPr>
        <w:t>15b:</w:t>
      </w:r>
      <w:r>
        <w:rPr>
          <w:i/>
          <w:spacing w:val="-4"/>
        </w:rPr>
        <w:t xml:space="preserve"> </w:t>
      </w:r>
      <w:r>
        <w:rPr>
          <w:i/>
        </w:rPr>
        <w:t>Premium</w:t>
      </w:r>
      <w:r>
        <w:rPr>
          <w:i/>
          <w:spacing w:val="-4"/>
        </w:rPr>
        <w:t xml:space="preserve"> </w:t>
      </w:r>
      <w:r>
        <w:rPr>
          <w:i/>
        </w:rPr>
        <w:t>Rounding</w:t>
      </w:r>
      <w:r>
        <w:rPr>
          <w:i/>
          <w:spacing w:val="-4"/>
        </w:rPr>
        <w:t xml:space="preserve"> </w:t>
      </w:r>
      <w:r>
        <w:rPr>
          <w:i/>
        </w:rPr>
        <w:t>Only</w:t>
      </w:r>
      <w:r>
        <w:rPr>
          <w:i/>
          <w:spacing w:val="-3"/>
        </w:rPr>
        <w:t xml:space="preserve"> </w:t>
      </w:r>
      <w:r>
        <w:rPr>
          <w:i/>
        </w:rPr>
        <w:t>and</w:t>
      </w:r>
      <w:r>
        <w:rPr>
          <w:i/>
          <w:spacing w:val="-4"/>
        </w:rPr>
        <w:t xml:space="preserve"> </w:t>
      </w:r>
      <w:r>
        <w:rPr>
          <w:i/>
        </w:rPr>
        <w:t>Achieving</w:t>
      </w:r>
      <w:r>
        <w:rPr>
          <w:i/>
          <w:spacing w:val="-4"/>
        </w:rPr>
        <w:t xml:space="preserve"> </w:t>
      </w:r>
      <w:r>
        <w:rPr>
          <w:i/>
        </w:rPr>
        <w:t>Part</w:t>
      </w:r>
      <w:r>
        <w:rPr>
          <w:i/>
          <w:spacing w:val="-4"/>
        </w:rPr>
        <w:t xml:space="preserve"> </w:t>
      </w:r>
      <w:r>
        <w:rPr>
          <w:i/>
        </w:rPr>
        <w:t>D</w:t>
      </w:r>
      <w:r>
        <w:rPr>
          <w:i/>
          <w:spacing w:val="-4"/>
        </w:rPr>
        <w:t xml:space="preserve"> </w:t>
      </w:r>
      <w:r>
        <w:rPr>
          <w:i/>
        </w:rPr>
        <w:t>Basic</w:t>
      </w:r>
      <w:r>
        <w:rPr>
          <w:i/>
          <w:spacing w:val="-5"/>
        </w:rPr>
        <w:t xml:space="preserve"> </w:t>
      </w:r>
      <w:r>
        <w:rPr>
          <w:i/>
        </w:rPr>
        <w:t>Premium</w:t>
      </w:r>
      <w:r>
        <w:t xml:space="preserve"> </w:t>
      </w:r>
      <w:r>
        <w:rPr>
          <w:spacing w:val="-2"/>
        </w:rPr>
        <w:t>Target.</w:t>
      </w:r>
    </w:p>
    <w:p>
      <w:pPr>
        <w:pStyle w:val="BodyText"/>
        <w:spacing w:before="129"/>
        <w:ind w:left="0"/>
        <w:rPr>
          <w:rFonts w:ascii="Arial"/>
          <w:b/>
          <w:i/>
          <w:sz w:val="20"/>
        </w:rPr>
      </w:pPr>
    </w:p>
    <w:tbl>
      <w:tblPr>
        <w:tblStyle w:val="TableNormal"/>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1"/>
        <w:gridCol w:w="1764"/>
        <w:gridCol w:w="2513"/>
        <w:gridCol w:w="1930"/>
      </w:tblGrid>
      <w:tr>
        <w:tblPrEx>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61"/>
          <w:jc w:val="left"/>
        </w:trPr>
        <w:tc>
          <w:tcPr>
            <w:tcW w:w="3001" w:type="dxa"/>
          </w:tcPr>
          <w:p>
            <w:pPr>
              <w:pStyle w:val="TableParagraph"/>
              <w:spacing w:before="159"/>
              <w:ind w:left="11"/>
              <w:jc w:val="center"/>
              <w:rPr>
                <w:b/>
                <w:sz w:val="21"/>
              </w:rPr>
            </w:pPr>
            <w:r>
              <w:rPr>
                <w:b/>
                <w:spacing w:val="-2"/>
                <w:sz w:val="21"/>
              </w:rPr>
              <w:t>Label</w:t>
            </w:r>
          </w:p>
        </w:tc>
        <w:tc>
          <w:tcPr>
            <w:tcW w:w="1764" w:type="dxa"/>
          </w:tcPr>
          <w:p>
            <w:pPr>
              <w:pStyle w:val="TableParagraph"/>
              <w:spacing w:before="159"/>
              <w:ind w:left="11" w:right="3"/>
              <w:jc w:val="center"/>
              <w:rPr>
                <w:b/>
                <w:sz w:val="21"/>
              </w:rPr>
            </w:pPr>
            <w:r>
              <w:rPr>
                <w:b/>
                <w:sz w:val="21"/>
              </w:rPr>
              <w:t>Initial</w:t>
            </w:r>
            <w:r>
              <w:rPr>
                <w:b/>
                <w:spacing w:val="-4"/>
                <w:sz w:val="21"/>
              </w:rPr>
              <w:t xml:space="preserve"> </w:t>
            </w:r>
            <w:r>
              <w:rPr>
                <w:b/>
                <w:sz w:val="21"/>
              </w:rPr>
              <w:t>June</w:t>
            </w:r>
            <w:r>
              <w:rPr>
                <w:b/>
                <w:spacing w:val="-2"/>
                <w:sz w:val="21"/>
              </w:rPr>
              <w:t xml:space="preserve"> </w:t>
            </w:r>
            <w:r>
              <w:rPr>
                <w:b/>
                <w:spacing w:val="-5"/>
                <w:sz w:val="21"/>
              </w:rPr>
              <w:t>Bid</w:t>
            </w:r>
          </w:p>
        </w:tc>
        <w:tc>
          <w:tcPr>
            <w:tcW w:w="2513" w:type="dxa"/>
          </w:tcPr>
          <w:p>
            <w:pPr>
              <w:pStyle w:val="TableParagraph"/>
              <w:spacing w:before="39"/>
              <w:ind w:left="729" w:hanging="192"/>
              <w:rPr>
                <w:b/>
                <w:sz w:val="21"/>
              </w:rPr>
            </w:pPr>
            <w:r>
              <w:rPr>
                <w:b/>
                <w:sz w:val="21"/>
              </w:rPr>
              <w:t>After</w:t>
            </w:r>
            <w:r>
              <w:rPr>
                <w:b/>
                <w:spacing w:val="-14"/>
                <w:sz w:val="21"/>
              </w:rPr>
              <w:t xml:space="preserve"> </w:t>
            </w:r>
            <w:r>
              <w:rPr>
                <w:b/>
                <w:sz w:val="21"/>
              </w:rPr>
              <w:t>Release</w:t>
            </w:r>
            <w:r>
              <w:rPr>
                <w:b/>
                <w:spacing w:val="-13"/>
                <w:sz w:val="21"/>
              </w:rPr>
              <w:t xml:space="preserve"> </w:t>
            </w:r>
            <w:r>
              <w:rPr>
                <w:b/>
                <w:sz w:val="21"/>
              </w:rPr>
              <w:t xml:space="preserve">of </w:t>
            </w:r>
            <w:r>
              <w:rPr>
                <w:b/>
                <w:spacing w:val="-2"/>
                <w:sz w:val="21"/>
              </w:rPr>
              <w:t>Benchmark</w:t>
            </w:r>
          </w:p>
        </w:tc>
        <w:tc>
          <w:tcPr>
            <w:tcW w:w="1930" w:type="dxa"/>
          </w:tcPr>
          <w:p>
            <w:pPr>
              <w:pStyle w:val="TableParagraph"/>
              <w:spacing w:before="39"/>
              <w:ind w:left="520" w:firstLine="21"/>
              <w:rPr>
                <w:b/>
                <w:sz w:val="21"/>
              </w:rPr>
            </w:pPr>
            <w:r>
              <w:rPr>
                <w:b/>
                <w:spacing w:val="-2"/>
                <w:sz w:val="21"/>
              </w:rPr>
              <w:t>Premium Rounding</w:t>
            </w:r>
          </w:p>
        </w:tc>
      </w:tr>
      <w:tr>
        <w:tblPrEx>
          <w:tblW w:w="0" w:type="auto"/>
          <w:jc w:val="left"/>
          <w:tblInd w:w="514" w:type="dxa"/>
          <w:tblLayout w:type="fixed"/>
          <w:tblCellMar>
            <w:top w:w="0" w:type="dxa"/>
            <w:left w:w="0" w:type="dxa"/>
            <w:bottom w:w="0" w:type="dxa"/>
            <w:right w:w="0" w:type="dxa"/>
          </w:tblCellMar>
          <w:tblLook w:val="01E0"/>
        </w:tblPrEx>
        <w:trPr>
          <w:trHeight w:val="360"/>
          <w:jc w:val="left"/>
        </w:trPr>
        <w:tc>
          <w:tcPr>
            <w:tcW w:w="3001" w:type="dxa"/>
            <w:tcBorders>
              <w:bottom w:val="nil"/>
            </w:tcBorders>
          </w:tcPr>
          <w:p>
            <w:pPr>
              <w:pStyle w:val="TableParagraph"/>
              <w:spacing w:before="108" w:line="232" w:lineRule="exact"/>
              <w:ind w:left="107"/>
              <w:rPr>
                <w:b/>
                <w:sz w:val="21"/>
              </w:rPr>
            </w:pPr>
            <w:r>
              <w:rPr>
                <w:b/>
                <w:sz w:val="21"/>
              </w:rPr>
              <w:t>Target</w:t>
            </w:r>
            <w:r>
              <w:rPr>
                <w:b/>
                <w:spacing w:val="-6"/>
                <w:sz w:val="21"/>
              </w:rPr>
              <w:t xml:space="preserve"> </w:t>
            </w:r>
            <w:r>
              <w:rPr>
                <w:b/>
                <w:sz w:val="21"/>
              </w:rPr>
              <w:t>Plan</w:t>
            </w:r>
            <w:r>
              <w:rPr>
                <w:b/>
                <w:spacing w:val="-1"/>
                <w:sz w:val="21"/>
              </w:rPr>
              <w:t xml:space="preserve"> </w:t>
            </w:r>
            <w:r>
              <w:rPr>
                <w:b/>
                <w:spacing w:val="-2"/>
                <w:sz w:val="21"/>
              </w:rPr>
              <w:t>Intention</w:t>
            </w:r>
          </w:p>
        </w:tc>
        <w:tc>
          <w:tcPr>
            <w:tcW w:w="1764" w:type="dxa"/>
            <w:tcBorders>
              <w:bottom w:val="nil"/>
            </w:tcBorders>
          </w:tcPr>
          <w:p>
            <w:pPr>
              <w:pStyle w:val="TableParagraph"/>
              <w:spacing w:before="108" w:line="232" w:lineRule="exact"/>
              <w:ind w:left="11" w:right="2"/>
              <w:jc w:val="center"/>
              <w:rPr>
                <w:sz w:val="21"/>
              </w:rPr>
            </w:pPr>
            <w:r>
              <w:rPr>
                <w:spacing w:val="-2"/>
                <w:sz w:val="21"/>
              </w:rPr>
              <w:t>LIPSA</w:t>
            </w:r>
          </w:p>
        </w:tc>
        <w:tc>
          <w:tcPr>
            <w:tcW w:w="2513" w:type="dxa"/>
            <w:tcBorders>
              <w:bottom w:val="nil"/>
            </w:tcBorders>
          </w:tcPr>
          <w:p>
            <w:pPr>
              <w:pStyle w:val="TableParagraph"/>
              <w:spacing w:before="108" w:line="232" w:lineRule="exact"/>
              <w:ind w:left="11" w:right="1"/>
              <w:jc w:val="center"/>
              <w:rPr>
                <w:sz w:val="21"/>
              </w:rPr>
            </w:pPr>
            <w:r>
              <w:rPr>
                <w:spacing w:val="-2"/>
                <w:sz w:val="21"/>
              </w:rPr>
              <w:t>LIPSA</w:t>
            </w:r>
          </w:p>
        </w:tc>
        <w:tc>
          <w:tcPr>
            <w:tcW w:w="1930" w:type="dxa"/>
            <w:tcBorders>
              <w:bottom w:val="nil"/>
            </w:tcBorders>
          </w:tcPr>
          <w:p>
            <w:pPr>
              <w:pStyle w:val="TableParagraph"/>
              <w:spacing w:before="53"/>
              <w:ind w:left="12" w:right="4"/>
              <w:jc w:val="center"/>
              <w:rPr>
                <w:sz w:val="21"/>
              </w:rPr>
            </w:pPr>
            <w:r>
              <w:rPr>
                <w:spacing w:val="-2"/>
                <w:sz w:val="21"/>
              </w:rPr>
              <w:t>LIPSA</w:t>
            </w:r>
          </w:p>
        </w:tc>
      </w:tr>
      <w:tr>
        <w:tblPrEx>
          <w:tblW w:w="0" w:type="auto"/>
          <w:jc w:val="left"/>
          <w:tblInd w:w="514" w:type="dxa"/>
          <w:tblLayout w:type="fixed"/>
          <w:tblCellMar>
            <w:top w:w="0" w:type="dxa"/>
            <w:left w:w="0" w:type="dxa"/>
            <w:bottom w:w="0" w:type="dxa"/>
            <w:right w:w="0" w:type="dxa"/>
          </w:tblCellMar>
          <w:tblLook w:val="01E0"/>
        </w:tblPrEx>
        <w:trPr>
          <w:trHeight w:val="342"/>
          <w:jc w:val="left"/>
        </w:trPr>
        <w:tc>
          <w:tcPr>
            <w:tcW w:w="3001" w:type="dxa"/>
            <w:tcBorders>
              <w:top w:val="nil"/>
              <w:bottom w:val="nil"/>
            </w:tcBorders>
          </w:tcPr>
          <w:p>
            <w:pPr>
              <w:pStyle w:val="TableParagraph"/>
              <w:spacing w:before="17"/>
              <w:ind w:left="107"/>
              <w:rPr>
                <w:b/>
                <w:sz w:val="21"/>
              </w:rPr>
            </w:pPr>
            <w:r>
              <w:rPr>
                <w:b/>
                <w:sz w:val="21"/>
              </w:rPr>
              <w:t>Rebates</w:t>
            </w:r>
            <w:r>
              <w:rPr>
                <w:b/>
                <w:spacing w:val="-5"/>
                <w:sz w:val="21"/>
              </w:rPr>
              <w:t xml:space="preserve"> </w:t>
            </w:r>
            <w:r>
              <w:rPr>
                <w:b/>
                <w:sz w:val="21"/>
              </w:rPr>
              <w:t>for</w:t>
            </w:r>
            <w:r>
              <w:rPr>
                <w:b/>
                <w:spacing w:val="-6"/>
                <w:sz w:val="21"/>
              </w:rPr>
              <w:t xml:space="preserve"> </w:t>
            </w:r>
            <w:r>
              <w:rPr>
                <w:b/>
                <w:spacing w:val="-2"/>
                <w:sz w:val="21"/>
              </w:rPr>
              <w:t>Allocation</w:t>
            </w:r>
          </w:p>
        </w:tc>
        <w:tc>
          <w:tcPr>
            <w:tcW w:w="1764" w:type="dxa"/>
            <w:tcBorders>
              <w:top w:val="nil"/>
              <w:bottom w:val="nil"/>
            </w:tcBorders>
          </w:tcPr>
          <w:p>
            <w:pPr>
              <w:pStyle w:val="TableParagraph"/>
              <w:spacing w:before="17"/>
              <w:ind w:left="11" w:right="2"/>
              <w:jc w:val="center"/>
              <w:rPr>
                <w:sz w:val="21"/>
              </w:rPr>
            </w:pPr>
            <w:r>
              <w:rPr>
                <w:spacing w:val="-5"/>
                <w:sz w:val="21"/>
              </w:rPr>
              <w:t>N/A</w:t>
            </w:r>
          </w:p>
        </w:tc>
        <w:tc>
          <w:tcPr>
            <w:tcW w:w="2513" w:type="dxa"/>
            <w:tcBorders>
              <w:top w:val="nil"/>
              <w:bottom w:val="nil"/>
            </w:tcBorders>
          </w:tcPr>
          <w:p>
            <w:pPr>
              <w:pStyle w:val="TableParagraph"/>
              <w:spacing w:before="17"/>
              <w:ind w:left="11" w:right="1"/>
              <w:jc w:val="center"/>
              <w:rPr>
                <w:sz w:val="21"/>
              </w:rPr>
            </w:pPr>
            <w:r>
              <w:rPr>
                <w:spacing w:val="-5"/>
                <w:sz w:val="21"/>
              </w:rPr>
              <w:t>N/A</w:t>
            </w:r>
          </w:p>
        </w:tc>
        <w:tc>
          <w:tcPr>
            <w:tcW w:w="1930" w:type="dxa"/>
            <w:tcBorders>
              <w:top w:val="nil"/>
              <w:bottom w:val="nil"/>
            </w:tcBorders>
          </w:tcPr>
          <w:p>
            <w:pPr>
              <w:pStyle w:val="TableParagraph"/>
              <w:spacing w:before="2"/>
              <w:ind w:left="12" w:right="3"/>
              <w:jc w:val="center"/>
              <w:rPr>
                <w:sz w:val="21"/>
              </w:rPr>
            </w:pPr>
            <w:r>
              <w:rPr>
                <w:spacing w:val="-2"/>
                <w:sz w:val="21"/>
              </w:rPr>
              <w:t>$0.40</w:t>
            </w:r>
          </w:p>
        </w:tc>
      </w:tr>
      <w:tr>
        <w:tblPrEx>
          <w:tblW w:w="0" w:type="auto"/>
          <w:jc w:val="left"/>
          <w:tblInd w:w="514" w:type="dxa"/>
          <w:tblLayout w:type="fixed"/>
          <w:tblCellMar>
            <w:top w:w="0" w:type="dxa"/>
            <w:left w:w="0" w:type="dxa"/>
            <w:bottom w:w="0" w:type="dxa"/>
            <w:right w:w="0" w:type="dxa"/>
          </w:tblCellMar>
          <w:tblLook w:val="01E0"/>
        </w:tblPrEx>
        <w:trPr>
          <w:trHeight w:val="418"/>
          <w:jc w:val="left"/>
        </w:trPr>
        <w:tc>
          <w:tcPr>
            <w:tcW w:w="3001" w:type="dxa"/>
            <w:tcBorders>
              <w:top w:val="nil"/>
              <w:bottom w:val="nil"/>
            </w:tcBorders>
          </w:tcPr>
          <w:p>
            <w:pPr>
              <w:pStyle w:val="TableParagraph"/>
              <w:spacing w:before="75"/>
              <w:ind w:left="107"/>
              <w:rPr>
                <w:b/>
                <w:sz w:val="21"/>
              </w:rPr>
            </w:pPr>
            <w:r>
              <w:rPr>
                <w:b/>
                <w:spacing w:val="-2"/>
                <w:sz w:val="21"/>
              </w:rPr>
              <w:t>LIPSA</w:t>
            </w:r>
          </w:p>
        </w:tc>
        <w:tc>
          <w:tcPr>
            <w:tcW w:w="1764" w:type="dxa"/>
            <w:tcBorders>
              <w:top w:val="nil"/>
              <w:bottom w:val="nil"/>
            </w:tcBorders>
          </w:tcPr>
          <w:p>
            <w:pPr>
              <w:pStyle w:val="TableParagraph"/>
              <w:spacing w:before="75"/>
              <w:ind w:left="11" w:right="2"/>
              <w:jc w:val="center"/>
              <w:rPr>
                <w:sz w:val="21"/>
              </w:rPr>
            </w:pPr>
            <w:r>
              <w:rPr>
                <w:sz w:val="21"/>
              </w:rPr>
              <w:t xml:space="preserve">$32.40 </w:t>
            </w:r>
            <w:r>
              <w:rPr>
                <w:spacing w:val="-2"/>
                <w:sz w:val="21"/>
              </w:rPr>
              <w:t>(estimate)</w:t>
            </w:r>
          </w:p>
        </w:tc>
        <w:tc>
          <w:tcPr>
            <w:tcW w:w="2513" w:type="dxa"/>
            <w:tcBorders>
              <w:top w:val="nil"/>
              <w:bottom w:val="nil"/>
            </w:tcBorders>
          </w:tcPr>
          <w:p>
            <w:pPr>
              <w:pStyle w:val="TableParagraph"/>
              <w:spacing w:before="75"/>
              <w:ind w:left="11"/>
              <w:jc w:val="center"/>
              <w:rPr>
                <w:sz w:val="21"/>
              </w:rPr>
            </w:pPr>
            <w:r>
              <w:rPr>
                <w:spacing w:val="-2"/>
                <w:sz w:val="21"/>
              </w:rPr>
              <w:t>$44.20</w:t>
            </w:r>
          </w:p>
        </w:tc>
        <w:tc>
          <w:tcPr>
            <w:tcW w:w="1930" w:type="dxa"/>
            <w:tcBorders>
              <w:top w:val="nil"/>
              <w:bottom w:val="nil"/>
            </w:tcBorders>
          </w:tcPr>
          <w:p>
            <w:pPr>
              <w:pStyle w:val="TableParagraph"/>
              <w:spacing w:before="75"/>
              <w:ind w:left="12" w:right="3"/>
              <w:jc w:val="center"/>
              <w:rPr>
                <w:sz w:val="21"/>
              </w:rPr>
            </w:pPr>
            <w:r>
              <w:rPr>
                <w:spacing w:val="-2"/>
                <w:sz w:val="21"/>
              </w:rPr>
              <w:t>$44.20</w:t>
            </w:r>
          </w:p>
        </w:tc>
      </w:tr>
      <w:tr>
        <w:tblPrEx>
          <w:tblW w:w="0" w:type="auto"/>
          <w:jc w:val="left"/>
          <w:tblInd w:w="514" w:type="dxa"/>
          <w:tblLayout w:type="fixed"/>
          <w:tblCellMar>
            <w:top w:w="0" w:type="dxa"/>
            <w:left w:w="0" w:type="dxa"/>
            <w:bottom w:w="0" w:type="dxa"/>
            <w:right w:w="0" w:type="dxa"/>
          </w:tblCellMar>
          <w:tblLook w:val="01E0"/>
        </w:tblPrEx>
        <w:trPr>
          <w:trHeight w:val="349"/>
          <w:jc w:val="left"/>
        </w:trPr>
        <w:tc>
          <w:tcPr>
            <w:tcW w:w="3001" w:type="dxa"/>
            <w:tcBorders>
              <w:top w:val="nil"/>
              <w:bottom w:val="nil"/>
            </w:tcBorders>
          </w:tcPr>
          <w:p>
            <w:pPr>
              <w:pStyle w:val="TableParagraph"/>
              <w:spacing w:before="93" w:line="236" w:lineRule="exact"/>
              <w:ind w:left="107"/>
              <w:rPr>
                <w:b/>
                <w:sz w:val="21"/>
              </w:rPr>
            </w:pPr>
            <w:r>
              <w:rPr>
                <w:b/>
                <w:sz w:val="21"/>
              </w:rPr>
              <w:t>Gain/Loss</w:t>
            </w:r>
            <w:r>
              <w:rPr>
                <w:b/>
                <w:spacing w:val="-8"/>
                <w:sz w:val="21"/>
              </w:rPr>
              <w:t xml:space="preserve"> </w:t>
            </w:r>
            <w:r>
              <w:rPr>
                <w:b/>
                <w:spacing w:val="-2"/>
                <w:sz w:val="21"/>
              </w:rPr>
              <w:t>Margin</w:t>
            </w:r>
          </w:p>
        </w:tc>
        <w:tc>
          <w:tcPr>
            <w:tcW w:w="1764" w:type="dxa"/>
            <w:tcBorders>
              <w:top w:val="nil"/>
              <w:bottom w:val="nil"/>
            </w:tcBorders>
          </w:tcPr>
          <w:p>
            <w:pPr>
              <w:pStyle w:val="TableParagraph"/>
              <w:spacing w:before="93" w:line="236" w:lineRule="exact"/>
              <w:ind w:left="11"/>
              <w:jc w:val="center"/>
              <w:rPr>
                <w:sz w:val="21"/>
              </w:rPr>
            </w:pPr>
            <w:r>
              <w:rPr>
                <w:spacing w:val="-2"/>
                <w:sz w:val="21"/>
              </w:rPr>
              <w:t>$86.80</w:t>
            </w:r>
          </w:p>
        </w:tc>
        <w:tc>
          <w:tcPr>
            <w:tcW w:w="2513" w:type="dxa"/>
            <w:tcBorders>
              <w:top w:val="nil"/>
              <w:bottom w:val="nil"/>
            </w:tcBorders>
          </w:tcPr>
          <w:p>
            <w:pPr>
              <w:pStyle w:val="TableParagraph"/>
              <w:spacing w:before="93" w:line="236" w:lineRule="exact"/>
              <w:ind w:left="11"/>
              <w:jc w:val="center"/>
              <w:rPr>
                <w:sz w:val="21"/>
              </w:rPr>
            </w:pPr>
            <w:r>
              <w:rPr>
                <w:spacing w:val="-2"/>
                <w:sz w:val="21"/>
              </w:rPr>
              <w:t>$86.80</w:t>
            </w:r>
          </w:p>
        </w:tc>
        <w:tc>
          <w:tcPr>
            <w:tcW w:w="1930" w:type="dxa"/>
            <w:tcBorders>
              <w:top w:val="nil"/>
              <w:bottom w:val="nil"/>
            </w:tcBorders>
          </w:tcPr>
          <w:p>
            <w:pPr>
              <w:pStyle w:val="TableParagraph"/>
              <w:spacing w:before="93" w:line="236" w:lineRule="exact"/>
              <w:ind w:left="12" w:right="3"/>
              <w:jc w:val="center"/>
              <w:rPr>
                <w:b/>
                <w:i/>
                <w:sz w:val="21"/>
              </w:rPr>
            </w:pPr>
            <w:r>
              <w:rPr>
                <w:b/>
                <w:i/>
                <w:spacing w:val="-2"/>
                <w:sz w:val="21"/>
              </w:rPr>
              <w:t>$86.10</w:t>
            </w:r>
          </w:p>
        </w:tc>
      </w:tr>
      <w:tr>
        <w:tblPrEx>
          <w:tblW w:w="0" w:type="auto"/>
          <w:jc w:val="left"/>
          <w:tblInd w:w="514" w:type="dxa"/>
          <w:tblLayout w:type="fixed"/>
          <w:tblCellMar>
            <w:top w:w="0" w:type="dxa"/>
            <w:left w:w="0" w:type="dxa"/>
            <w:bottom w:w="0" w:type="dxa"/>
            <w:right w:w="0" w:type="dxa"/>
          </w:tblCellMar>
          <w:tblLook w:val="01E0"/>
        </w:tblPrEx>
        <w:trPr>
          <w:trHeight w:val="280"/>
          <w:jc w:val="left"/>
        </w:trPr>
        <w:tc>
          <w:tcPr>
            <w:tcW w:w="3001" w:type="dxa"/>
            <w:tcBorders>
              <w:top w:val="nil"/>
              <w:bottom w:val="nil"/>
            </w:tcBorders>
          </w:tcPr>
          <w:p>
            <w:pPr>
              <w:pStyle w:val="TableParagraph"/>
              <w:spacing w:before="25" w:line="236" w:lineRule="exact"/>
              <w:ind w:left="107"/>
              <w:rPr>
                <w:b/>
                <w:sz w:val="21"/>
              </w:rPr>
            </w:pPr>
            <w:r>
              <w:rPr>
                <w:b/>
                <w:sz w:val="21"/>
              </w:rPr>
              <w:t>Total</w:t>
            </w:r>
            <w:r>
              <w:rPr>
                <w:b/>
                <w:spacing w:val="-6"/>
                <w:sz w:val="21"/>
              </w:rPr>
              <w:t xml:space="preserve"> </w:t>
            </w:r>
            <w:r>
              <w:rPr>
                <w:b/>
                <w:sz w:val="21"/>
              </w:rPr>
              <w:t>MA</w:t>
            </w:r>
            <w:r>
              <w:rPr>
                <w:b/>
                <w:spacing w:val="-3"/>
                <w:sz w:val="21"/>
              </w:rPr>
              <w:t xml:space="preserve"> </w:t>
            </w:r>
            <w:r>
              <w:rPr>
                <w:b/>
                <w:spacing w:val="-2"/>
                <w:sz w:val="21"/>
              </w:rPr>
              <w:t>Rebates</w:t>
            </w:r>
          </w:p>
        </w:tc>
        <w:tc>
          <w:tcPr>
            <w:tcW w:w="1764" w:type="dxa"/>
            <w:tcBorders>
              <w:top w:val="nil"/>
              <w:bottom w:val="nil"/>
            </w:tcBorders>
          </w:tcPr>
          <w:p>
            <w:pPr>
              <w:pStyle w:val="TableParagraph"/>
              <w:spacing w:before="25" w:line="236" w:lineRule="exact"/>
              <w:ind w:left="11" w:right="3"/>
              <w:jc w:val="center"/>
              <w:rPr>
                <w:sz w:val="21"/>
              </w:rPr>
            </w:pPr>
            <w:r>
              <w:rPr>
                <w:spacing w:val="-2"/>
                <w:sz w:val="21"/>
              </w:rPr>
              <w:t>$131.50</w:t>
            </w:r>
          </w:p>
        </w:tc>
        <w:tc>
          <w:tcPr>
            <w:tcW w:w="2513" w:type="dxa"/>
            <w:tcBorders>
              <w:top w:val="nil"/>
              <w:bottom w:val="nil"/>
            </w:tcBorders>
          </w:tcPr>
          <w:p>
            <w:pPr>
              <w:pStyle w:val="TableParagraph"/>
              <w:spacing w:before="25" w:line="236" w:lineRule="exact"/>
              <w:ind w:left="11" w:right="2"/>
              <w:jc w:val="center"/>
              <w:rPr>
                <w:sz w:val="21"/>
              </w:rPr>
            </w:pPr>
            <w:r>
              <w:rPr>
                <w:spacing w:val="-2"/>
                <w:sz w:val="21"/>
              </w:rPr>
              <w:t>$131.50</w:t>
            </w:r>
          </w:p>
        </w:tc>
        <w:tc>
          <w:tcPr>
            <w:tcW w:w="1930" w:type="dxa"/>
            <w:tcBorders>
              <w:top w:val="nil"/>
              <w:bottom w:val="nil"/>
            </w:tcBorders>
          </w:tcPr>
          <w:p>
            <w:pPr>
              <w:pStyle w:val="TableParagraph"/>
              <w:spacing w:before="6"/>
              <w:ind w:left="12"/>
              <w:jc w:val="center"/>
              <w:rPr>
                <w:sz w:val="21"/>
              </w:rPr>
            </w:pPr>
            <w:r>
              <w:rPr>
                <w:spacing w:val="-2"/>
                <w:sz w:val="21"/>
              </w:rPr>
              <w:t>$131.90</w:t>
            </w:r>
          </w:p>
        </w:tc>
      </w:tr>
      <w:tr>
        <w:tblPrEx>
          <w:tblW w:w="0" w:type="auto"/>
          <w:jc w:val="left"/>
          <w:tblInd w:w="514" w:type="dxa"/>
          <w:tblLayout w:type="fixed"/>
          <w:tblCellMar>
            <w:top w:w="0" w:type="dxa"/>
            <w:left w:w="0" w:type="dxa"/>
            <w:bottom w:w="0" w:type="dxa"/>
            <w:right w:w="0" w:type="dxa"/>
          </w:tblCellMar>
          <w:tblLook w:val="01E0"/>
        </w:tblPrEx>
        <w:trPr>
          <w:trHeight w:val="429"/>
          <w:jc w:val="left"/>
        </w:trPr>
        <w:tc>
          <w:tcPr>
            <w:tcW w:w="3001" w:type="dxa"/>
            <w:tcBorders>
              <w:top w:val="nil"/>
              <w:bottom w:val="nil"/>
            </w:tcBorders>
          </w:tcPr>
          <w:p>
            <w:pPr>
              <w:pStyle w:val="TableParagraph"/>
              <w:spacing w:before="25"/>
              <w:ind w:left="107"/>
              <w:rPr>
                <w:b/>
                <w:sz w:val="21"/>
              </w:rPr>
            </w:pPr>
            <w:r>
              <w:rPr>
                <w:b/>
                <w:sz w:val="21"/>
              </w:rPr>
              <w:t>Change</w:t>
            </w:r>
            <w:r>
              <w:rPr>
                <w:b/>
                <w:spacing w:val="-2"/>
                <w:sz w:val="21"/>
              </w:rPr>
              <w:t xml:space="preserve"> </w:t>
            </w:r>
            <w:r>
              <w:rPr>
                <w:b/>
                <w:sz w:val="21"/>
              </w:rPr>
              <w:t>in</w:t>
            </w:r>
            <w:r>
              <w:rPr>
                <w:b/>
                <w:spacing w:val="-5"/>
                <w:sz w:val="21"/>
              </w:rPr>
              <w:t xml:space="preserve"> </w:t>
            </w:r>
            <w:r>
              <w:rPr>
                <w:b/>
                <w:sz w:val="21"/>
              </w:rPr>
              <w:t>Total</w:t>
            </w:r>
            <w:r>
              <w:rPr>
                <w:b/>
                <w:spacing w:val="-6"/>
                <w:sz w:val="21"/>
              </w:rPr>
              <w:t xml:space="preserve"> </w:t>
            </w:r>
            <w:r>
              <w:rPr>
                <w:b/>
                <w:sz w:val="21"/>
              </w:rPr>
              <w:t>MA</w:t>
            </w:r>
            <w:r>
              <w:rPr>
                <w:b/>
                <w:spacing w:val="-3"/>
                <w:sz w:val="21"/>
              </w:rPr>
              <w:t xml:space="preserve"> </w:t>
            </w:r>
            <w:r>
              <w:rPr>
                <w:b/>
                <w:spacing w:val="-2"/>
                <w:sz w:val="21"/>
              </w:rPr>
              <w:t>Rebates</w:t>
            </w:r>
          </w:p>
        </w:tc>
        <w:tc>
          <w:tcPr>
            <w:tcW w:w="1764" w:type="dxa"/>
            <w:tcBorders>
              <w:top w:val="nil"/>
              <w:bottom w:val="nil"/>
            </w:tcBorders>
          </w:tcPr>
          <w:p>
            <w:pPr>
              <w:pStyle w:val="TableParagraph"/>
              <w:spacing w:before="25"/>
              <w:ind w:left="11" w:right="2"/>
              <w:jc w:val="center"/>
              <w:rPr>
                <w:sz w:val="21"/>
              </w:rPr>
            </w:pPr>
            <w:r>
              <w:rPr>
                <w:spacing w:val="-5"/>
                <w:sz w:val="21"/>
              </w:rPr>
              <w:t>N/A</w:t>
            </w:r>
          </w:p>
        </w:tc>
        <w:tc>
          <w:tcPr>
            <w:tcW w:w="2513" w:type="dxa"/>
            <w:tcBorders>
              <w:top w:val="nil"/>
              <w:bottom w:val="nil"/>
            </w:tcBorders>
          </w:tcPr>
          <w:p>
            <w:pPr>
              <w:pStyle w:val="TableParagraph"/>
              <w:spacing w:before="25"/>
              <w:ind w:left="11" w:right="1"/>
              <w:jc w:val="center"/>
              <w:rPr>
                <w:sz w:val="21"/>
              </w:rPr>
            </w:pPr>
            <w:r>
              <w:rPr>
                <w:spacing w:val="-5"/>
                <w:sz w:val="21"/>
              </w:rPr>
              <w:t>N/A</w:t>
            </w:r>
          </w:p>
        </w:tc>
        <w:tc>
          <w:tcPr>
            <w:tcW w:w="1930" w:type="dxa"/>
            <w:tcBorders>
              <w:top w:val="nil"/>
              <w:bottom w:val="nil"/>
            </w:tcBorders>
          </w:tcPr>
          <w:p>
            <w:pPr>
              <w:pStyle w:val="TableParagraph"/>
              <w:spacing w:before="6"/>
              <w:ind w:left="12" w:right="3"/>
              <w:jc w:val="center"/>
              <w:rPr>
                <w:sz w:val="21"/>
              </w:rPr>
            </w:pPr>
            <w:r>
              <w:rPr>
                <w:spacing w:val="-2"/>
                <w:sz w:val="21"/>
              </w:rPr>
              <w:t>$0.40</w:t>
            </w:r>
          </w:p>
        </w:tc>
      </w:tr>
      <w:tr>
        <w:tblPrEx>
          <w:tblW w:w="0" w:type="auto"/>
          <w:jc w:val="left"/>
          <w:tblInd w:w="514" w:type="dxa"/>
          <w:tblLayout w:type="fixed"/>
          <w:tblCellMar>
            <w:top w:w="0" w:type="dxa"/>
            <w:left w:w="0" w:type="dxa"/>
            <w:bottom w:w="0" w:type="dxa"/>
            <w:right w:w="0" w:type="dxa"/>
          </w:tblCellMar>
          <w:tblLook w:val="01E0"/>
        </w:tblPrEx>
        <w:trPr>
          <w:trHeight w:val="420"/>
          <w:jc w:val="left"/>
        </w:trPr>
        <w:tc>
          <w:tcPr>
            <w:tcW w:w="3001" w:type="dxa"/>
            <w:tcBorders>
              <w:top w:val="nil"/>
              <w:bottom w:val="nil"/>
            </w:tcBorders>
          </w:tcPr>
          <w:p>
            <w:pPr>
              <w:pStyle w:val="TableParagraph"/>
              <w:spacing w:before="155"/>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764" w:type="dxa"/>
            <w:tcBorders>
              <w:top w:val="nil"/>
              <w:bottom w:val="nil"/>
            </w:tcBorders>
          </w:tcPr>
          <w:p>
            <w:pPr>
              <w:pStyle w:val="TableParagraph"/>
              <w:spacing w:before="155"/>
              <w:ind w:left="11" w:right="3"/>
              <w:jc w:val="center"/>
              <w:rPr>
                <w:sz w:val="21"/>
              </w:rPr>
            </w:pPr>
            <w:r>
              <w:rPr>
                <w:spacing w:val="-2"/>
                <w:sz w:val="21"/>
              </w:rPr>
              <w:t>$131.50</w:t>
            </w:r>
          </w:p>
        </w:tc>
        <w:tc>
          <w:tcPr>
            <w:tcW w:w="2513" w:type="dxa"/>
            <w:tcBorders>
              <w:top w:val="nil"/>
              <w:bottom w:val="nil"/>
            </w:tcBorders>
          </w:tcPr>
          <w:p>
            <w:pPr>
              <w:pStyle w:val="TableParagraph"/>
              <w:spacing w:before="155"/>
              <w:ind w:left="11" w:right="2"/>
              <w:jc w:val="center"/>
              <w:rPr>
                <w:sz w:val="21"/>
              </w:rPr>
            </w:pPr>
            <w:r>
              <w:rPr>
                <w:spacing w:val="-2"/>
                <w:sz w:val="21"/>
              </w:rPr>
              <w:t>$131.50</w:t>
            </w:r>
          </w:p>
        </w:tc>
        <w:tc>
          <w:tcPr>
            <w:tcW w:w="1930" w:type="dxa"/>
            <w:tcBorders>
              <w:top w:val="nil"/>
              <w:bottom w:val="nil"/>
            </w:tcBorders>
          </w:tcPr>
          <w:p>
            <w:pPr>
              <w:pStyle w:val="TableParagraph"/>
              <w:spacing w:before="155"/>
              <w:ind w:left="12"/>
              <w:jc w:val="center"/>
              <w:rPr>
                <w:sz w:val="21"/>
              </w:rPr>
            </w:pPr>
            <w:r>
              <w:rPr>
                <w:spacing w:val="-2"/>
                <w:sz w:val="21"/>
              </w:rPr>
              <w:t>$131.50</w:t>
            </w:r>
          </w:p>
        </w:tc>
      </w:tr>
      <w:tr>
        <w:tblPrEx>
          <w:tblW w:w="0" w:type="auto"/>
          <w:jc w:val="left"/>
          <w:tblInd w:w="514" w:type="dxa"/>
          <w:tblLayout w:type="fixed"/>
          <w:tblCellMar>
            <w:top w:w="0" w:type="dxa"/>
            <w:left w:w="0" w:type="dxa"/>
            <w:bottom w:w="0" w:type="dxa"/>
            <w:right w:w="0" w:type="dxa"/>
          </w:tblCellMar>
          <w:tblLook w:val="01E0"/>
        </w:tblPrEx>
        <w:trPr>
          <w:trHeight w:val="279"/>
          <w:jc w:val="left"/>
        </w:trPr>
        <w:tc>
          <w:tcPr>
            <w:tcW w:w="3001" w:type="dxa"/>
            <w:tcBorders>
              <w:top w:val="nil"/>
              <w:bottom w:val="nil"/>
            </w:tcBorders>
          </w:tcPr>
          <w:p>
            <w:pPr>
              <w:pStyle w:val="TableParagraph"/>
              <w:spacing w:before="15"/>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764" w:type="dxa"/>
            <w:tcBorders>
              <w:top w:val="nil"/>
              <w:bottom w:val="nil"/>
            </w:tcBorders>
          </w:tcPr>
          <w:p>
            <w:pPr>
              <w:pStyle w:val="TableParagraph"/>
              <w:spacing w:before="15"/>
              <w:ind w:left="11" w:right="3"/>
              <w:jc w:val="center"/>
              <w:rPr>
                <w:sz w:val="21"/>
              </w:rPr>
            </w:pPr>
            <w:r>
              <w:rPr>
                <w:spacing w:val="-2"/>
                <w:sz w:val="21"/>
              </w:rPr>
              <w:t>$131.50</w:t>
            </w:r>
          </w:p>
        </w:tc>
        <w:tc>
          <w:tcPr>
            <w:tcW w:w="2513" w:type="dxa"/>
            <w:tcBorders>
              <w:top w:val="nil"/>
              <w:bottom w:val="nil"/>
            </w:tcBorders>
          </w:tcPr>
          <w:p>
            <w:pPr>
              <w:pStyle w:val="TableParagraph"/>
              <w:spacing w:before="15"/>
              <w:ind w:left="11" w:right="2"/>
              <w:jc w:val="center"/>
              <w:rPr>
                <w:sz w:val="21"/>
              </w:rPr>
            </w:pPr>
            <w:r>
              <w:rPr>
                <w:spacing w:val="-2"/>
                <w:sz w:val="21"/>
              </w:rPr>
              <w:t>$131.50</w:t>
            </w:r>
          </w:p>
        </w:tc>
        <w:tc>
          <w:tcPr>
            <w:tcW w:w="1930" w:type="dxa"/>
            <w:tcBorders>
              <w:top w:val="nil"/>
              <w:bottom w:val="nil"/>
            </w:tcBorders>
          </w:tcPr>
          <w:p>
            <w:pPr>
              <w:pStyle w:val="TableParagraph"/>
              <w:spacing w:before="15"/>
              <w:ind w:left="12"/>
              <w:jc w:val="center"/>
              <w:rPr>
                <w:sz w:val="21"/>
              </w:rPr>
            </w:pPr>
            <w:r>
              <w:rPr>
                <w:spacing w:val="-2"/>
                <w:sz w:val="21"/>
              </w:rPr>
              <w:t>$131.50</w:t>
            </w:r>
          </w:p>
        </w:tc>
      </w:tr>
      <w:tr>
        <w:tblPrEx>
          <w:tblW w:w="0" w:type="auto"/>
          <w:jc w:val="left"/>
          <w:tblInd w:w="514" w:type="dxa"/>
          <w:tblLayout w:type="fixed"/>
          <w:tblCellMar>
            <w:top w:w="0" w:type="dxa"/>
            <w:left w:w="0" w:type="dxa"/>
            <w:bottom w:w="0" w:type="dxa"/>
            <w:right w:w="0" w:type="dxa"/>
          </w:tblCellMar>
          <w:tblLook w:val="01E0"/>
        </w:tblPrEx>
        <w:trPr>
          <w:trHeight w:val="420"/>
          <w:jc w:val="left"/>
        </w:trPr>
        <w:tc>
          <w:tcPr>
            <w:tcW w:w="3001" w:type="dxa"/>
            <w:tcBorders>
              <w:top w:val="nil"/>
              <w:bottom w:val="nil"/>
            </w:tcBorders>
          </w:tcPr>
          <w:p>
            <w:pPr>
              <w:pStyle w:val="TableParagraph"/>
              <w:spacing w:before="14"/>
              <w:ind w:left="107"/>
              <w:rPr>
                <w:b/>
                <w:sz w:val="21"/>
              </w:rPr>
            </w:pPr>
            <w:r>
              <w:rPr>
                <w:b/>
                <w:sz w:val="21"/>
              </w:rPr>
              <w:t>MA</w:t>
            </w:r>
            <w:r>
              <w:rPr>
                <w:b/>
                <w:spacing w:val="-5"/>
                <w:sz w:val="21"/>
              </w:rPr>
              <w:t xml:space="preserve"> </w:t>
            </w:r>
            <w:r>
              <w:rPr>
                <w:b/>
                <w:spacing w:val="-2"/>
                <w:sz w:val="21"/>
              </w:rPr>
              <w:t>Premium</w:t>
            </w:r>
          </w:p>
        </w:tc>
        <w:tc>
          <w:tcPr>
            <w:tcW w:w="1764" w:type="dxa"/>
            <w:tcBorders>
              <w:top w:val="nil"/>
              <w:bottom w:val="nil"/>
            </w:tcBorders>
          </w:tcPr>
          <w:p>
            <w:pPr>
              <w:pStyle w:val="TableParagraph"/>
              <w:spacing w:before="14"/>
              <w:ind w:left="11"/>
              <w:jc w:val="center"/>
              <w:rPr>
                <w:sz w:val="21"/>
              </w:rPr>
            </w:pPr>
            <w:r>
              <w:rPr>
                <w:spacing w:val="-2"/>
                <w:sz w:val="21"/>
              </w:rPr>
              <w:t>$0.00</w:t>
            </w:r>
          </w:p>
        </w:tc>
        <w:tc>
          <w:tcPr>
            <w:tcW w:w="2513" w:type="dxa"/>
            <w:tcBorders>
              <w:top w:val="nil"/>
              <w:bottom w:val="nil"/>
            </w:tcBorders>
          </w:tcPr>
          <w:p>
            <w:pPr>
              <w:pStyle w:val="TableParagraph"/>
              <w:spacing w:before="14"/>
              <w:ind w:left="11"/>
              <w:jc w:val="center"/>
              <w:rPr>
                <w:sz w:val="21"/>
              </w:rPr>
            </w:pPr>
            <w:r>
              <w:rPr>
                <w:spacing w:val="-2"/>
                <w:sz w:val="21"/>
              </w:rPr>
              <w:t>$0.00</w:t>
            </w:r>
          </w:p>
        </w:tc>
        <w:tc>
          <w:tcPr>
            <w:tcW w:w="1930" w:type="dxa"/>
            <w:tcBorders>
              <w:top w:val="nil"/>
              <w:bottom w:val="nil"/>
            </w:tcBorders>
          </w:tcPr>
          <w:p>
            <w:pPr>
              <w:pStyle w:val="TableParagraph"/>
              <w:spacing w:before="14"/>
              <w:ind w:left="12" w:right="3"/>
              <w:jc w:val="center"/>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420"/>
          <w:jc w:val="left"/>
        </w:trPr>
        <w:tc>
          <w:tcPr>
            <w:tcW w:w="3001" w:type="dxa"/>
            <w:tcBorders>
              <w:top w:val="nil"/>
              <w:bottom w:val="nil"/>
            </w:tcBorders>
          </w:tcPr>
          <w:p>
            <w:pPr>
              <w:pStyle w:val="TableParagraph"/>
              <w:spacing w:before="156"/>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5"/>
                <w:sz w:val="21"/>
              </w:rPr>
              <w:t xml:space="preserve"> </w:t>
            </w:r>
            <w:r>
              <w:rPr>
                <w:spacing w:val="-2"/>
                <w:sz w:val="21"/>
              </w:rPr>
              <w:t>Rebate</w:t>
            </w:r>
          </w:p>
        </w:tc>
        <w:tc>
          <w:tcPr>
            <w:tcW w:w="1764" w:type="dxa"/>
            <w:tcBorders>
              <w:top w:val="nil"/>
              <w:bottom w:val="nil"/>
            </w:tcBorders>
          </w:tcPr>
          <w:p>
            <w:pPr>
              <w:pStyle w:val="TableParagraph"/>
              <w:spacing w:before="156"/>
              <w:ind w:left="11"/>
              <w:jc w:val="center"/>
              <w:rPr>
                <w:sz w:val="21"/>
              </w:rPr>
            </w:pPr>
            <w:r>
              <w:rPr>
                <w:spacing w:val="-2"/>
                <w:sz w:val="21"/>
              </w:rPr>
              <w:t>$50.70</w:t>
            </w:r>
          </w:p>
        </w:tc>
        <w:tc>
          <w:tcPr>
            <w:tcW w:w="2513" w:type="dxa"/>
            <w:tcBorders>
              <w:top w:val="nil"/>
              <w:bottom w:val="nil"/>
            </w:tcBorders>
          </w:tcPr>
          <w:p>
            <w:pPr>
              <w:pStyle w:val="TableParagraph"/>
              <w:spacing w:before="156"/>
              <w:ind w:left="11"/>
              <w:jc w:val="center"/>
              <w:rPr>
                <w:sz w:val="21"/>
              </w:rPr>
            </w:pPr>
            <w:r>
              <w:rPr>
                <w:spacing w:val="-2"/>
                <w:sz w:val="21"/>
              </w:rPr>
              <w:t>$44.60</w:t>
            </w:r>
          </w:p>
        </w:tc>
        <w:tc>
          <w:tcPr>
            <w:tcW w:w="1930" w:type="dxa"/>
            <w:tcBorders>
              <w:top w:val="nil"/>
              <w:bottom w:val="nil"/>
            </w:tcBorders>
          </w:tcPr>
          <w:p>
            <w:pPr>
              <w:pStyle w:val="TableParagraph"/>
              <w:spacing w:before="156"/>
              <w:ind w:left="12" w:right="3"/>
              <w:jc w:val="center"/>
              <w:rPr>
                <w:sz w:val="21"/>
              </w:rPr>
            </w:pPr>
            <w:r>
              <w:rPr>
                <w:spacing w:val="-2"/>
                <w:sz w:val="21"/>
              </w:rPr>
              <w:t>$44.60</w:t>
            </w:r>
          </w:p>
        </w:tc>
      </w:tr>
      <w:tr>
        <w:tblPrEx>
          <w:tblW w:w="0" w:type="auto"/>
          <w:jc w:val="left"/>
          <w:tblInd w:w="514" w:type="dxa"/>
          <w:tblLayout w:type="fixed"/>
          <w:tblCellMar>
            <w:top w:w="0" w:type="dxa"/>
            <w:left w:w="0" w:type="dxa"/>
            <w:bottom w:w="0" w:type="dxa"/>
            <w:right w:w="0" w:type="dxa"/>
          </w:tblCellMar>
          <w:tblLook w:val="01E0"/>
        </w:tblPrEx>
        <w:trPr>
          <w:trHeight w:val="279"/>
          <w:jc w:val="left"/>
        </w:trPr>
        <w:tc>
          <w:tcPr>
            <w:tcW w:w="3001" w:type="dxa"/>
            <w:tcBorders>
              <w:top w:val="nil"/>
              <w:bottom w:val="nil"/>
            </w:tcBorders>
          </w:tcPr>
          <w:p>
            <w:pPr>
              <w:pStyle w:val="TableParagraph"/>
              <w:spacing w:before="14"/>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5"/>
                <w:sz w:val="21"/>
              </w:rPr>
              <w:t xml:space="preserve"> </w:t>
            </w:r>
            <w:r>
              <w:rPr>
                <w:spacing w:val="-2"/>
                <w:sz w:val="21"/>
              </w:rPr>
              <w:t>Allocations</w:t>
            </w:r>
          </w:p>
        </w:tc>
        <w:tc>
          <w:tcPr>
            <w:tcW w:w="1764" w:type="dxa"/>
            <w:tcBorders>
              <w:top w:val="nil"/>
              <w:bottom w:val="nil"/>
            </w:tcBorders>
          </w:tcPr>
          <w:p>
            <w:pPr>
              <w:pStyle w:val="TableParagraph"/>
              <w:spacing w:before="14"/>
              <w:ind w:left="11"/>
              <w:jc w:val="center"/>
              <w:rPr>
                <w:sz w:val="21"/>
              </w:rPr>
            </w:pPr>
            <w:r>
              <w:rPr>
                <w:spacing w:val="-2"/>
                <w:sz w:val="21"/>
              </w:rPr>
              <w:t>$0.00</w:t>
            </w:r>
          </w:p>
        </w:tc>
        <w:tc>
          <w:tcPr>
            <w:tcW w:w="2513" w:type="dxa"/>
            <w:tcBorders>
              <w:top w:val="nil"/>
              <w:bottom w:val="nil"/>
            </w:tcBorders>
          </w:tcPr>
          <w:p>
            <w:pPr>
              <w:pStyle w:val="TableParagraph"/>
              <w:spacing w:before="14"/>
              <w:ind w:left="11"/>
              <w:jc w:val="center"/>
              <w:rPr>
                <w:sz w:val="21"/>
              </w:rPr>
            </w:pPr>
            <w:r>
              <w:rPr>
                <w:spacing w:val="-2"/>
                <w:sz w:val="21"/>
              </w:rPr>
              <w:t>$0.00</w:t>
            </w:r>
          </w:p>
        </w:tc>
        <w:tc>
          <w:tcPr>
            <w:tcW w:w="1930" w:type="dxa"/>
            <w:tcBorders>
              <w:top w:val="nil"/>
              <w:bottom w:val="nil"/>
            </w:tcBorders>
          </w:tcPr>
          <w:p>
            <w:pPr>
              <w:pStyle w:val="TableParagraph"/>
              <w:spacing w:before="14"/>
              <w:ind w:left="12" w:right="3"/>
              <w:jc w:val="center"/>
              <w:rPr>
                <w:b/>
                <w:i/>
                <w:sz w:val="21"/>
              </w:rPr>
            </w:pPr>
            <w:r>
              <w:rPr>
                <w:b/>
                <w:i/>
                <w:spacing w:val="-2"/>
                <w:sz w:val="21"/>
              </w:rPr>
              <w:t>$0.40</w:t>
            </w:r>
          </w:p>
        </w:tc>
      </w:tr>
      <w:tr>
        <w:tblPrEx>
          <w:tblW w:w="0" w:type="auto"/>
          <w:jc w:val="left"/>
          <w:tblInd w:w="514" w:type="dxa"/>
          <w:tblLayout w:type="fixed"/>
          <w:tblCellMar>
            <w:top w:w="0" w:type="dxa"/>
            <w:left w:w="0" w:type="dxa"/>
            <w:bottom w:w="0" w:type="dxa"/>
            <w:right w:w="0" w:type="dxa"/>
          </w:tblCellMar>
          <w:tblLook w:val="01E0"/>
        </w:tblPrEx>
        <w:trPr>
          <w:trHeight w:val="420"/>
          <w:jc w:val="left"/>
        </w:trPr>
        <w:tc>
          <w:tcPr>
            <w:tcW w:w="3001" w:type="dxa"/>
            <w:tcBorders>
              <w:top w:val="nil"/>
              <w:bottom w:val="nil"/>
            </w:tcBorders>
          </w:tcPr>
          <w:p>
            <w:pPr>
              <w:pStyle w:val="TableParagraph"/>
              <w:spacing w:before="1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764" w:type="dxa"/>
            <w:tcBorders>
              <w:top w:val="nil"/>
              <w:bottom w:val="nil"/>
            </w:tcBorders>
          </w:tcPr>
          <w:p>
            <w:pPr>
              <w:pStyle w:val="TableParagraph"/>
              <w:spacing w:before="15"/>
              <w:ind w:left="11"/>
              <w:jc w:val="center"/>
              <w:rPr>
                <w:sz w:val="21"/>
              </w:rPr>
            </w:pPr>
            <w:r>
              <w:rPr>
                <w:spacing w:val="-2"/>
                <w:sz w:val="21"/>
              </w:rPr>
              <w:t>$50.70</w:t>
            </w:r>
          </w:p>
        </w:tc>
        <w:tc>
          <w:tcPr>
            <w:tcW w:w="2513" w:type="dxa"/>
            <w:tcBorders>
              <w:top w:val="nil"/>
              <w:bottom w:val="nil"/>
            </w:tcBorders>
          </w:tcPr>
          <w:p>
            <w:pPr>
              <w:pStyle w:val="TableParagraph"/>
              <w:spacing w:before="15"/>
              <w:ind w:left="11"/>
              <w:jc w:val="center"/>
              <w:rPr>
                <w:sz w:val="21"/>
              </w:rPr>
            </w:pPr>
            <w:r>
              <w:rPr>
                <w:spacing w:val="-2"/>
                <w:sz w:val="21"/>
              </w:rPr>
              <w:t>$44.60</w:t>
            </w:r>
          </w:p>
        </w:tc>
        <w:tc>
          <w:tcPr>
            <w:tcW w:w="1930" w:type="dxa"/>
            <w:tcBorders>
              <w:top w:val="nil"/>
              <w:bottom w:val="nil"/>
            </w:tcBorders>
          </w:tcPr>
          <w:p>
            <w:pPr>
              <w:pStyle w:val="TableParagraph"/>
              <w:spacing w:before="15"/>
              <w:ind w:left="12" w:right="3"/>
              <w:jc w:val="center"/>
              <w:rPr>
                <w:sz w:val="21"/>
              </w:rPr>
            </w:pPr>
            <w:r>
              <w:rPr>
                <w:spacing w:val="-2"/>
                <w:sz w:val="21"/>
              </w:rPr>
              <w:t>$44.20</w:t>
            </w:r>
          </w:p>
        </w:tc>
      </w:tr>
      <w:tr>
        <w:tblPrEx>
          <w:tblW w:w="0" w:type="auto"/>
          <w:jc w:val="left"/>
          <w:tblInd w:w="514" w:type="dxa"/>
          <w:tblLayout w:type="fixed"/>
          <w:tblCellMar>
            <w:top w:w="0" w:type="dxa"/>
            <w:left w:w="0" w:type="dxa"/>
            <w:bottom w:w="0" w:type="dxa"/>
            <w:right w:w="0" w:type="dxa"/>
          </w:tblCellMar>
          <w:tblLook w:val="01E0"/>
        </w:tblPrEx>
        <w:trPr>
          <w:trHeight w:val="420"/>
          <w:jc w:val="left"/>
        </w:trPr>
        <w:tc>
          <w:tcPr>
            <w:tcW w:w="3001" w:type="dxa"/>
            <w:tcBorders>
              <w:top w:val="nil"/>
              <w:bottom w:val="nil"/>
            </w:tcBorders>
          </w:tcPr>
          <w:p>
            <w:pPr>
              <w:pStyle w:val="TableParagraph"/>
              <w:spacing w:before="15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764" w:type="dxa"/>
            <w:tcBorders>
              <w:top w:val="nil"/>
              <w:bottom w:val="nil"/>
            </w:tcBorders>
          </w:tcPr>
          <w:p>
            <w:pPr>
              <w:pStyle w:val="TableParagraph"/>
              <w:spacing w:before="155"/>
              <w:ind w:left="11"/>
              <w:jc w:val="center"/>
              <w:rPr>
                <w:sz w:val="21"/>
              </w:rPr>
            </w:pPr>
            <w:r>
              <w:rPr>
                <w:spacing w:val="-2"/>
                <w:sz w:val="21"/>
              </w:rPr>
              <w:t>$0.00</w:t>
            </w:r>
          </w:p>
        </w:tc>
        <w:tc>
          <w:tcPr>
            <w:tcW w:w="2513" w:type="dxa"/>
            <w:tcBorders>
              <w:top w:val="nil"/>
              <w:bottom w:val="nil"/>
            </w:tcBorders>
          </w:tcPr>
          <w:p>
            <w:pPr>
              <w:pStyle w:val="TableParagraph"/>
              <w:spacing w:before="155"/>
              <w:ind w:left="11"/>
              <w:jc w:val="center"/>
              <w:rPr>
                <w:sz w:val="21"/>
              </w:rPr>
            </w:pPr>
            <w:r>
              <w:rPr>
                <w:spacing w:val="-2"/>
                <w:sz w:val="21"/>
              </w:rPr>
              <w:t>$0.00</w:t>
            </w:r>
          </w:p>
        </w:tc>
        <w:tc>
          <w:tcPr>
            <w:tcW w:w="1930" w:type="dxa"/>
            <w:tcBorders>
              <w:top w:val="nil"/>
              <w:bottom w:val="nil"/>
            </w:tcBorders>
          </w:tcPr>
          <w:p>
            <w:pPr>
              <w:pStyle w:val="TableParagraph"/>
              <w:spacing w:before="155"/>
              <w:ind w:left="12" w:right="3"/>
              <w:jc w:val="center"/>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280"/>
          <w:jc w:val="left"/>
        </w:trPr>
        <w:tc>
          <w:tcPr>
            <w:tcW w:w="3001" w:type="dxa"/>
            <w:tcBorders>
              <w:top w:val="nil"/>
              <w:bottom w:val="nil"/>
            </w:tcBorders>
          </w:tcPr>
          <w:p>
            <w:pPr>
              <w:pStyle w:val="TableParagraph"/>
              <w:spacing w:before="1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764" w:type="dxa"/>
            <w:tcBorders>
              <w:top w:val="nil"/>
              <w:bottom w:val="nil"/>
            </w:tcBorders>
          </w:tcPr>
          <w:p>
            <w:pPr>
              <w:pStyle w:val="TableParagraph"/>
              <w:spacing w:before="15"/>
              <w:ind w:left="11"/>
              <w:jc w:val="center"/>
              <w:rPr>
                <w:sz w:val="21"/>
              </w:rPr>
            </w:pPr>
            <w:r>
              <w:rPr>
                <w:spacing w:val="-2"/>
                <w:sz w:val="21"/>
              </w:rPr>
              <w:t>$0.00</w:t>
            </w:r>
          </w:p>
        </w:tc>
        <w:tc>
          <w:tcPr>
            <w:tcW w:w="2513" w:type="dxa"/>
            <w:tcBorders>
              <w:top w:val="nil"/>
              <w:bottom w:val="nil"/>
            </w:tcBorders>
          </w:tcPr>
          <w:p>
            <w:pPr>
              <w:pStyle w:val="TableParagraph"/>
              <w:spacing w:before="15"/>
              <w:ind w:left="11"/>
              <w:jc w:val="center"/>
              <w:rPr>
                <w:sz w:val="21"/>
              </w:rPr>
            </w:pPr>
            <w:r>
              <w:rPr>
                <w:spacing w:val="-2"/>
                <w:sz w:val="21"/>
              </w:rPr>
              <w:t>$0.00</w:t>
            </w:r>
          </w:p>
        </w:tc>
        <w:tc>
          <w:tcPr>
            <w:tcW w:w="1930" w:type="dxa"/>
            <w:tcBorders>
              <w:top w:val="nil"/>
              <w:bottom w:val="nil"/>
            </w:tcBorders>
          </w:tcPr>
          <w:p>
            <w:pPr>
              <w:pStyle w:val="TableParagraph"/>
              <w:spacing w:before="15"/>
              <w:ind w:left="12" w:right="3"/>
              <w:jc w:val="center"/>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535"/>
          <w:jc w:val="left"/>
        </w:trPr>
        <w:tc>
          <w:tcPr>
            <w:tcW w:w="3001" w:type="dxa"/>
            <w:tcBorders>
              <w:top w:val="nil"/>
            </w:tcBorders>
          </w:tcPr>
          <w:p>
            <w:pPr>
              <w:pStyle w:val="TableParagraph"/>
              <w:spacing w:before="1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764" w:type="dxa"/>
            <w:tcBorders>
              <w:top w:val="nil"/>
            </w:tcBorders>
          </w:tcPr>
          <w:p>
            <w:pPr>
              <w:pStyle w:val="TableParagraph"/>
              <w:spacing w:before="15"/>
              <w:ind w:left="11"/>
              <w:jc w:val="center"/>
              <w:rPr>
                <w:sz w:val="21"/>
              </w:rPr>
            </w:pPr>
            <w:r>
              <w:rPr>
                <w:spacing w:val="-2"/>
                <w:sz w:val="21"/>
              </w:rPr>
              <w:t>$0.00</w:t>
            </w:r>
          </w:p>
        </w:tc>
        <w:tc>
          <w:tcPr>
            <w:tcW w:w="2513" w:type="dxa"/>
            <w:tcBorders>
              <w:top w:val="nil"/>
            </w:tcBorders>
          </w:tcPr>
          <w:p>
            <w:pPr>
              <w:pStyle w:val="TableParagraph"/>
              <w:spacing w:before="15"/>
              <w:ind w:left="11"/>
              <w:jc w:val="center"/>
              <w:rPr>
                <w:sz w:val="21"/>
              </w:rPr>
            </w:pPr>
            <w:r>
              <w:rPr>
                <w:spacing w:val="-2"/>
                <w:sz w:val="21"/>
              </w:rPr>
              <w:t>$0.00</w:t>
            </w:r>
          </w:p>
        </w:tc>
        <w:tc>
          <w:tcPr>
            <w:tcW w:w="1930" w:type="dxa"/>
            <w:tcBorders>
              <w:top w:val="nil"/>
            </w:tcBorders>
          </w:tcPr>
          <w:p>
            <w:pPr>
              <w:pStyle w:val="TableParagraph"/>
              <w:spacing w:before="15"/>
              <w:ind w:left="12" w:right="3"/>
              <w:jc w:val="center"/>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280"/>
          <w:jc w:val="left"/>
        </w:trPr>
        <w:tc>
          <w:tcPr>
            <w:tcW w:w="3001" w:type="dxa"/>
          </w:tcPr>
          <w:p>
            <w:pPr>
              <w:pStyle w:val="TableParagraph"/>
              <w:spacing w:before="39"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764" w:type="dxa"/>
          </w:tcPr>
          <w:p>
            <w:pPr>
              <w:pStyle w:val="TableParagraph"/>
              <w:spacing w:before="39" w:line="221" w:lineRule="exact"/>
              <w:ind w:left="11"/>
              <w:jc w:val="center"/>
              <w:rPr>
                <w:sz w:val="21"/>
              </w:rPr>
            </w:pPr>
            <w:r>
              <w:rPr>
                <w:spacing w:val="-2"/>
                <w:sz w:val="21"/>
              </w:rPr>
              <w:t>$50.70</w:t>
            </w:r>
          </w:p>
        </w:tc>
        <w:tc>
          <w:tcPr>
            <w:tcW w:w="2513" w:type="dxa"/>
          </w:tcPr>
          <w:p>
            <w:pPr>
              <w:pStyle w:val="TableParagraph"/>
              <w:spacing w:before="39" w:line="221" w:lineRule="exact"/>
              <w:ind w:left="11"/>
              <w:jc w:val="center"/>
              <w:rPr>
                <w:sz w:val="21"/>
              </w:rPr>
            </w:pPr>
            <w:r>
              <w:rPr>
                <w:spacing w:val="-2"/>
                <w:sz w:val="21"/>
              </w:rPr>
              <w:t>$44.60</w:t>
            </w:r>
          </w:p>
        </w:tc>
        <w:tc>
          <w:tcPr>
            <w:tcW w:w="1930" w:type="dxa"/>
          </w:tcPr>
          <w:p>
            <w:pPr>
              <w:pStyle w:val="TableParagraph"/>
              <w:spacing w:before="39" w:line="221" w:lineRule="exact"/>
              <w:ind w:left="12" w:right="3"/>
              <w:jc w:val="center"/>
              <w:rPr>
                <w:sz w:val="21"/>
              </w:rPr>
            </w:pPr>
            <w:r>
              <w:rPr>
                <w:spacing w:val="-2"/>
                <w:sz w:val="21"/>
              </w:rPr>
              <w:t>$44.20</w:t>
            </w:r>
          </w:p>
        </w:tc>
      </w:tr>
    </w:tbl>
    <w:p>
      <w:pPr>
        <w:pStyle w:val="BodyText"/>
        <w:spacing w:before="89"/>
        <w:ind w:left="0"/>
        <w:rPr>
          <w:rFonts w:ascii="Arial"/>
          <w:b/>
          <w:i/>
        </w:rPr>
      </w:pPr>
    </w:p>
    <w:p>
      <w:pPr>
        <w:pStyle w:val="BodyText"/>
        <w:ind w:right="1481"/>
      </w:pPr>
      <w:r>
        <w:t>In this example, the gain/loss margin, total MA rebates and rebate allocations are the only changes permitted in the BPT. The total plan premium must equal $44.20. Changes to the gain/loss margin are automatically allocated to the Medicare-covered and A/B mandatory supplemental benefits in the BPT. Therefore, when the gain/loss margin changes for premium rounding, there</w:t>
      </w:r>
      <w:r>
        <w:rPr>
          <w:spacing w:val="-1"/>
        </w:rPr>
        <w:t xml:space="preserve"> </w:t>
      </w:r>
      <w:r>
        <w:t>are</w:t>
      </w:r>
      <w:r>
        <w:rPr>
          <w:spacing w:val="-1"/>
        </w:rPr>
        <w:t xml:space="preserve"> </w:t>
      </w:r>
      <w:r>
        <w:t>minimal changes to the MSB revenue requirement. These minimal changes to</w:t>
      </w:r>
      <w:r>
        <w:rPr>
          <w:spacing w:val="-3"/>
        </w:rPr>
        <w:t xml:space="preserve"> </w:t>
      </w:r>
      <w:r>
        <w:t>the</w:t>
      </w:r>
      <w:r>
        <w:rPr>
          <w:spacing w:val="-4"/>
        </w:rPr>
        <w:t xml:space="preserve"> </w:t>
      </w:r>
      <w:r>
        <w:t>MSB</w:t>
      </w:r>
      <w:r>
        <w:rPr>
          <w:spacing w:val="-3"/>
        </w:rPr>
        <w:t xml:space="preserve"> </w:t>
      </w:r>
      <w:r>
        <w:t>revenue</w:t>
      </w:r>
      <w:r>
        <w:rPr>
          <w:spacing w:val="-4"/>
        </w:rPr>
        <w:t xml:space="preserve"> </w:t>
      </w:r>
      <w:r>
        <w:t>requirement</w:t>
      </w:r>
      <w:r>
        <w:rPr>
          <w:spacing w:val="-3"/>
        </w:rPr>
        <w:t xml:space="preserve"> </w:t>
      </w:r>
      <w:r>
        <w:t>for</w:t>
      </w:r>
      <w:r>
        <w:rPr>
          <w:spacing w:val="-3"/>
        </w:rPr>
        <w:t xml:space="preserve"> </w:t>
      </w:r>
      <w:r>
        <w:t>premium</w:t>
      </w:r>
      <w:r>
        <w:rPr>
          <w:spacing w:val="-3"/>
        </w:rPr>
        <w:t xml:space="preserve"> </w:t>
      </w:r>
      <w:r>
        <w:t>rounding</w:t>
      </w:r>
      <w:r>
        <w:rPr>
          <w:spacing w:val="-3"/>
        </w:rPr>
        <w:t xml:space="preserve"> </w:t>
      </w:r>
      <w:r>
        <w:t>are</w:t>
      </w:r>
      <w:r>
        <w:rPr>
          <w:spacing w:val="-4"/>
        </w:rPr>
        <w:t xml:space="preserve"> </w:t>
      </w:r>
      <w:r>
        <w:t>not</w:t>
      </w:r>
      <w:r>
        <w:rPr>
          <w:spacing w:val="-3"/>
        </w:rPr>
        <w:t xml:space="preserve"> </w:t>
      </w:r>
      <w:r>
        <w:t>considered</w:t>
      </w:r>
      <w:r>
        <w:rPr>
          <w:spacing w:val="-1"/>
        </w:rPr>
        <w:t xml:space="preserve"> </w:t>
      </w:r>
      <w:r>
        <w:t>when</w:t>
      </w:r>
      <w:r>
        <w:rPr>
          <w:spacing w:val="-3"/>
        </w:rPr>
        <w:t xml:space="preserve"> </w:t>
      </w:r>
      <w:r>
        <w:t>evaluating</w:t>
      </w:r>
      <w:r>
        <w:rPr>
          <w:spacing w:val="-3"/>
        </w:rPr>
        <w:t xml:space="preserve"> </w:t>
      </w:r>
      <w:r>
        <w:t>the limit for the MSB revenue requirement during rebate reallocation.</w:t>
      </w:r>
    </w:p>
    <w:p>
      <w:pPr>
        <w:pStyle w:val="BodyText"/>
        <w:spacing w:before="143"/>
        <w:ind w:right="1524"/>
      </w:pPr>
      <w:r>
        <w:t>Because (i) the total plan premium is equal to the Part D basic premium and (ii) the Part D basic</w:t>
      </w:r>
      <w:r>
        <w:rPr>
          <w:spacing w:val="-3"/>
        </w:rPr>
        <w:t xml:space="preserve"> </w:t>
      </w:r>
      <w:r>
        <w:t>premium</w:t>
      </w:r>
      <w:r>
        <w:rPr>
          <w:spacing w:val="-3"/>
        </w:rPr>
        <w:t xml:space="preserve"> </w:t>
      </w:r>
      <w:r>
        <w:t>after</w:t>
      </w:r>
      <w:r>
        <w:rPr>
          <w:spacing w:val="-3"/>
        </w:rPr>
        <w:t xml:space="preserve"> </w:t>
      </w:r>
      <w:r>
        <w:t>benchmark</w:t>
      </w:r>
      <w:r>
        <w:rPr>
          <w:spacing w:val="-3"/>
        </w:rPr>
        <w:t xml:space="preserve"> </w:t>
      </w:r>
      <w:r>
        <w:t>release</w:t>
      </w:r>
      <w:r>
        <w:rPr>
          <w:spacing w:val="-4"/>
        </w:rPr>
        <w:t xml:space="preserve"> </w:t>
      </w:r>
      <w:r>
        <w:t>is</w:t>
      </w:r>
      <w:r>
        <w:rPr>
          <w:spacing w:val="-4"/>
        </w:rPr>
        <w:t xml:space="preserve"> </w:t>
      </w:r>
      <w:r>
        <w:t>within</w:t>
      </w:r>
      <w:r>
        <w:rPr>
          <w:spacing w:val="-3"/>
        </w:rPr>
        <w:t xml:space="preserve"> </w:t>
      </w:r>
      <w:r>
        <w:t>+/</w:t>
      </w:r>
      <w:r>
        <w:rPr>
          <w:sz w:val="21"/>
        </w:rPr>
        <w:t>−</w:t>
      </w:r>
      <w:r>
        <w:t>$0.50</w:t>
      </w:r>
      <w:r>
        <w:rPr>
          <w:spacing w:val="-3"/>
        </w:rPr>
        <w:t xml:space="preserve"> </w:t>
      </w:r>
      <w:r>
        <w:t>of</w:t>
      </w:r>
      <w:r>
        <w:rPr>
          <w:spacing w:val="-4"/>
        </w:rPr>
        <w:t xml:space="preserve"> </w:t>
      </w:r>
      <w:r>
        <w:t>the</w:t>
      </w:r>
      <w:r>
        <w:rPr>
          <w:spacing w:val="-3"/>
        </w:rPr>
        <w:t xml:space="preserve"> </w:t>
      </w:r>
      <w:r>
        <w:t>LIPSA</w:t>
      </w:r>
      <w:r>
        <w:rPr>
          <w:spacing w:val="-4"/>
        </w:rPr>
        <w:t xml:space="preserve"> </w:t>
      </w:r>
      <w:r>
        <w:t>benchmark,</w:t>
      </w:r>
      <w:r>
        <w:rPr>
          <w:spacing w:val="-3"/>
        </w:rPr>
        <w:t xml:space="preserve"> </w:t>
      </w:r>
      <w:r>
        <w:t>the</w:t>
      </w:r>
      <w:r>
        <w:rPr>
          <w:spacing w:val="-3"/>
        </w:rPr>
        <w:t xml:space="preserve"> </w:t>
      </w:r>
      <w:r>
        <w:t>MAO may choose to use the premium rounding rules—rather than rebate reallocation rules—to achieve the LIPSA.</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pPr>
      <w:r>
        <w:t>The</w:t>
      </w:r>
      <w:r>
        <w:rPr>
          <w:spacing w:val="-4"/>
        </w:rPr>
        <w:t xml:space="preserve"> </w:t>
      </w:r>
      <w:r>
        <w:t>MAO</w:t>
      </w:r>
      <w:r>
        <w:rPr>
          <w:spacing w:val="-2"/>
        </w:rPr>
        <w:t xml:space="preserve"> </w:t>
      </w:r>
      <w:r>
        <w:t>must</w:t>
      </w:r>
      <w:r>
        <w:rPr>
          <w:spacing w:val="-1"/>
        </w:rPr>
        <w:t xml:space="preserve"> </w:t>
      </w:r>
      <w:r>
        <w:t>adjust gain/loss</w:t>
      </w:r>
      <w:r>
        <w:rPr>
          <w:spacing w:val="-2"/>
        </w:rPr>
        <w:t xml:space="preserve"> </w:t>
      </w:r>
      <w:r>
        <w:t>margin PMPM</w:t>
      </w:r>
      <w:r>
        <w:rPr>
          <w:spacing w:val="-3"/>
        </w:rPr>
        <w:t xml:space="preserve"> </w:t>
      </w:r>
      <w:r>
        <w:t>such</w:t>
      </w:r>
      <w:r>
        <w:rPr>
          <w:spacing w:val="-1"/>
        </w:rPr>
        <w:t xml:space="preserve"> </w:t>
      </w:r>
      <w:r>
        <w:rPr>
          <w:spacing w:val="-2"/>
        </w:rPr>
        <w:t>that—</w:t>
      </w:r>
    </w:p>
    <w:p>
      <w:pPr>
        <w:pStyle w:val="ListParagraph"/>
        <w:numPr>
          <w:ilvl w:val="0"/>
          <w:numId w:val="6"/>
        </w:numPr>
        <w:tabs>
          <w:tab w:val="left" w:pos="1561"/>
        </w:tabs>
        <w:spacing w:before="139" w:after="0" w:line="240" w:lineRule="auto"/>
        <w:ind w:left="1561" w:right="0" w:hanging="337"/>
        <w:jc w:val="left"/>
        <w:rPr>
          <w:sz w:val="24"/>
        </w:rPr>
      </w:pPr>
      <w:r>
        <w:rPr>
          <w:sz w:val="24"/>
        </w:rPr>
        <w:t>Change</w:t>
      </w:r>
      <w:r>
        <w:rPr>
          <w:spacing w:val="-4"/>
          <w:sz w:val="24"/>
        </w:rPr>
        <w:t xml:space="preserve"> </w:t>
      </w:r>
      <w:r>
        <w:rPr>
          <w:sz w:val="24"/>
        </w:rPr>
        <w:t>in</w:t>
      </w:r>
      <w:r>
        <w:rPr>
          <w:spacing w:val="-1"/>
          <w:sz w:val="24"/>
        </w:rPr>
        <w:t xml:space="preserve"> </w:t>
      </w:r>
      <w:r>
        <w:rPr>
          <w:sz w:val="24"/>
        </w:rPr>
        <w:t>total</w:t>
      </w:r>
      <w:r>
        <w:rPr>
          <w:spacing w:val="-1"/>
          <w:sz w:val="24"/>
        </w:rPr>
        <w:t xml:space="preserve"> </w:t>
      </w:r>
      <w:r>
        <w:rPr>
          <w:sz w:val="24"/>
        </w:rPr>
        <w:t>MA</w:t>
      </w:r>
      <w:r>
        <w:rPr>
          <w:spacing w:val="-2"/>
          <w:sz w:val="24"/>
        </w:rPr>
        <w:t xml:space="preserve"> </w:t>
      </w:r>
      <w:r>
        <w:rPr>
          <w:sz w:val="24"/>
        </w:rPr>
        <w:t>rebates</w:t>
      </w:r>
      <w:r>
        <w:rPr>
          <w:spacing w:val="-2"/>
          <w:sz w:val="24"/>
        </w:rPr>
        <w:t xml:space="preserve"> </w:t>
      </w:r>
      <w:r>
        <w:rPr>
          <w:sz w:val="24"/>
        </w:rPr>
        <w:t>is</w:t>
      </w:r>
      <w:r>
        <w:rPr>
          <w:spacing w:val="-2"/>
          <w:sz w:val="24"/>
        </w:rPr>
        <w:t xml:space="preserve"> </w:t>
      </w:r>
      <w:r>
        <w:rPr>
          <w:sz w:val="24"/>
        </w:rPr>
        <w:t>between −$0.50</w:t>
      </w:r>
      <w:r>
        <w:rPr>
          <w:spacing w:val="1"/>
          <w:sz w:val="24"/>
        </w:rPr>
        <w:t xml:space="preserve"> </w:t>
      </w:r>
      <w:r>
        <w:rPr>
          <w:sz w:val="24"/>
        </w:rPr>
        <w:t>and</w:t>
      </w:r>
      <w:r>
        <w:rPr>
          <w:spacing w:val="-1"/>
          <w:sz w:val="24"/>
        </w:rPr>
        <w:t xml:space="preserve"> </w:t>
      </w:r>
      <w:r>
        <w:rPr>
          <w:spacing w:val="-2"/>
          <w:sz w:val="24"/>
        </w:rPr>
        <w:t>$0.50.</w:t>
      </w:r>
    </w:p>
    <w:p>
      <w:pPr>
        <w:pStyle w:val="ListParagraph"/>
        <w:numPr>
          <w:ilvl w:val="0"/>
          <w:numId w:val="6"/>
        </w:numPr>
        <w:tabs>
          <w:tab w:val="left" w:pos="1561"/>
        </w:tabs>
        <w:spacing w:before="142" w:after="0" w:line="240" w:lineRule="auto"/>
        <w:ind w:left="1561" w:right="0" w:hanging="337"/>
        <w:jc w:val="left"/>
        <w:rPr>
          <w:sz w:val="24"/>
        </w:rPr>
      </w:pPr>
      <w:r>
        <w:rPr>
          <w:sz w:val="24"/>
        </w:rPr>
        <w:t>The</w:t>
      </w:r>
      <w:r>
        <w:rPr>
          <w:spacing w:val="-3"/>
          <w:sz w:val="24"/>
        </w:rPr>
        <w:t xml:space="preserve"> </w:t>
      </w:r>
      <w:r>
        <w:rPr>
          <w:sz w:val="24"/>
        </w:rPr>
        <w:t>final total</w:t>
      </w:r>
      <w:r>
        <w:rPr>
          <w:spacing w:val="-1"/>
          <w:sz w:val="24"/>
        </w:rPr>
        <w:t xml:space="preserve"> </w:t>
      </w:r>
      <w:r>
        <w:rPr>
          <w:sz w:val="24"/>
        </w:rPr>
        <w:t>plan premium</w:t>
      </w:r>
      <w:r>
        <w:rPr>
          <w:spacing w:val="-1"/>
          <w:sz w:val="24"/>
        </w:rPr>
        <w:t xml:space="preserve"> </w:t>
      </w:r>
      <w:r>
        <w:rPr>
          <w:sz w:val="24"/>
        </w:rPr>
        <w:t>is</w:t>
      </w:r>
      <w:r>
        <w:rPr>
          <w:spacing w:val="-1"/>
          <w:sz w:val="24"/>
        </w:rPr>
        <w:t xml:space="preserve"> </w:t>
      </w:r>
      <w:r>
        <w:rPr>
          <w:sz w:val="24"/>
        </w:rPr>
        <w:t>equal</w:t>
      </w:r>
      <w:r>
        <w:rPr>
          <w:spacing w:val="-1"/>
          <w:sz w:val="24"/>
        </w:rPr>
        <w:t xml:space="preserve"> </w:t>
      </w:r>
      <w:r>
        <w:rPr>
          <w:sz w:val="24"/>
        </w:rPr>
        <w:t>to the Part D</w:t>
      </w:r>
      <w:r>
        <w:rPr>
          <w:spacing w:val="-2"/>
          <w:sz w:val="24"/>
        </w:rPr>
        <w:t xml:space="preserve"> </w:t>
      </w:r>
      <w:r>
        <w:rPr>
          <w:sz w:val="24"/>
        </w:rPr>
        <w:t>basic premium</w:t>
      </w:r>
      <w:r>
        <w:rPr>
          <w:spacing w:val="-1"/>
          <w:sz w:val="24"/>
        </w:rPr>
        <w:t xml:space="preserve"> </w:t>
      </w:r>
      <w:r>
        <w:rPr>
          <w:sz w:val="24"/>
        </w:rPr>
        <w:t xml:space="preserve">and </w:t>
      </w:r>
      <w:r>
        <w:rPr>
          <w:spacing w:val="-2"/>
          <w:sz w:val="24"/>
        </w:rPr>
        <w:t>within</w:t>
      </w:r>
    </w:p>
    <w:p>
      <w:pPr>
        <w:pStyle w:val="BodyText"/>
        <w:ind w:left="1224"/>
      </w:pPr>
      <w:r>
        <w:t>+/</w:t>
      </w:r>
      <w:r>
        <w:rPr>
          <w:sz w:val="21"/>
        </w:rPr>
        <w:t>−</w:t>
      </w:r>
      <w:r>
        <w:t>$0.50</w:t>
      </w:r>
      <w:r>
        <w:rPr>
          <w:spacing w:val="-3"/>
        </w:rPr>
        <w:t xml:space="preserve"> </w:t>
      </w:r>
      <w:r>
        <w:t>of</w:t>
      </w:r>
      <w:r>
        <w:rPr>
          <w:spacing w:val="-1"/>
        </w:rPr>
        <w:t xml:space="preserve"> </w:t>
      </w:r>
      <w:r>
        <w:t>the</w:t>
      </w:r>
      <w:r>
        <w:rPr>
          <w:spacing w:val="-1"/>
        </w:rPr>
        <w:t xml:space="preserve"> </w:t>
      </w:r>
      <w:r>
        <w:t>total plan</w:t>
      </w:r>
      <w:r>
        <w:rPr>
          <w:spacing w:val="-1"/>
        </w:rPr>
        <w:t xml:space="preserve"> </w:t>
      </w:r>
      <w:r>
        <w:t>premium</w:t>
      </w:r>
      <w:r>
        <w:rPr>
          <w:spacing w:val="-1"/>
        </w:rPr>
        <w:t xml:space="preserve"> </w:t>
      </w:r>
      <w:r>
        <w:t>after</w:t>
      </w:r>
      <w:r>
        <w:rPr>
          <w:spacing w:val="-2"/>
        </w:rPr>
        <w:t xml:space="preserve"> </w:t>
      </w:r>
      <w:r>
        <w:t xml:space="preserve">benchmark </w:t>
      </w:r>
      <w:r>
        <w:rPr>
          <w:spacing w:val="-2"/>
        </w:rPr>
        <w:t>release.</w:t>
      </w:r>
    </w:p>
    <w:p>
      <w:pPr>
        <w:pStyle w:val="BodyText"/>
        <w:spacing w:before="4"/>
        <w:ind w:left="0"/>
      </w:pPr>
    </w:p>
    <w:p>
      <w:pPr>
        <w:pStyle w:val="Heading4"/>
        <w:ind w:right="0"/>
        <w:rPr>
          <w:i/>
        </w:rPr>
      </w:pPr>
      <w:bookmarkStart w:id="395" w:name="Example 16: Participating in Rebate Real"/>
      <w:bookmarkEnd w:id="395"/>
      <w:r>
        <w:rPr>
          <w:i/>
        </w:rPr>
        <w:t>Example</w:t>
      </w:r>
      <w:r>
        <w:rPr>
          <w:i/>
          <w:spacing w:val="-2"/>
        </w:rPr>
        <w:t xml:space="preserve"> </w:t>
      </w:r>
      <w:r>
        <w:rPr>
          <w:i/>
        </w:rPr>
        <w:t>16:</w:t>
      </w:r>
      <w:r>
        <w:rPr>
          <w:i/>
          <w:spacing w:val="-4"/>
        </w:rPr>
        <w:t xml:space="preserve"> </w:t>
      </w:r>
      <w:r>
        <w:rPr>
          <w:i/>
        </w:rPr>
        <w:t>Participating</w:t>
      </w:r>
      <w:r>
        <w:rPr>
          <w:i/>
          <w:spacing w:val="-3"/>
        </w:rPr>
        <w:t xml:space="preserve"> </w:t>
      </w:r>
      <w:r>
        <w:rPr>
          <w:i/>
        </w:rPr>
        <w:t>in</w:t>
      </w:r>
      <w:r>
        <w:rPr>
          <w:i/>
          <w:spacing w:val="-3"/>
        </w:rPr>
        <w:t xml:space="preserve"> </w:t>
      </w:r>
      <w:r>
        <w:rPr>
          <w:i/>
        </w:rPr>
        <w:t>Rebate</w:t>
      </w:r>
      <w:r>
        <w:rPr>
          <w:i/>
          <w:spacing w:val="-3"/>
        </w:rPr>
        <w:t xml:space="preserve"> </w:t>
      </w:r>
      <w:r>
        <w:rPr>
          <w:i/>
        </w:rPr>
        <w:t>Reallocation</w:t>
      </w:r>
      <w:r>
        <w:rPr>
          <w:i/>
          <w:spacing w:val="-2"/>
        </w:rPr>
        <w:t xml:space="preserve"> </w:t>
      </w:r>
      <w:r>
        <w:rPr>
          <w:i/>
        </w:rPr>
        <w:t>and</w:t>
      </w:r>
      <w:r>
        <w:rPr>
          <w:i/>
          <w:spacing w:val="-3"/>
        </w:rPr>
        <w:t xml:space="preserve"> </w:t>
      </w:r>
      <w:r>
        <w:rPr>
          <w:i/>
        </w:rPr>
        <w:t>Premium</w:t>
      </w:r>
      <w:r>
        <w:rPr>
          <w:i/>
          <w:spacing w:val="-5"/>
        </w:rPr>
        <w:t xml:space="preserve"> </w:t>
      </w:r>
      <w:r>
        <w:rPr>
          <w:i/>
          <w:spacing w:val="-2"/>
        </w:rPr>
        <w:t>Rounding.</w:t>
      </w:r>
    </w:p>
    <w:p>
      <w:pPr>
        <w:pStyle w:val="BodyText"/>
        <w:spacing w:before="129"/>
        <w:ind w:left="0"/>
        <w:rPr>
          <w:rFonts w:ascii="Arial"/>
          <w:b/>
          <w:i/>
          <w:sz w:val="20"/>
        </w:rPr>
      </w:pPr>
    </w:p>
    <w:tbl>
      <w:tblPr>
        <w:tblStyle w:val="TableNormal"/>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1"/>
        <w:gridCol w:w="1203"/>
        <w:gridCol w:w="1897"/>
        <w:gridCol w:w="1626"/>
        <w:gridCol w:w="1484"/>
      </w:tblGrid>
      <w:tr>
        <w:tblPrEx>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70"/>
          <w:jc w:val="left"/>
        </w:trPr>
        <w:tc>
          <w:tcPr>
            <w:tcW w:w="3001" w:type="dxa"/>
          </w:tcPr>
          <w:p>
            <w:pPr>
              <w:pStyle w:val="TableParagraph"/>
              <w:spacing w:before="166"/>
              <w:ind w:left="11"/>
              <w:jc w:val="center"/>
              <w:rPr>
                <w:b/>
                <w:sz w:val="21"/>
              </w:rPr>
            </w:pPr>
            <w:r>
              <w:rPr>
                <w:b/>
                <w:spacing w:val="-2"/>
                <w:sz w:val="21"/>
              </w:rPr>
              <w:t>Label</w:t>
            </w:r>
          </w:p>
        </w:tc>
        <w:tc>
          <w:tcPr>
            <w:tcW w:w="1203" w:type="dxa"/>
          </w:tcPr>
          <w:p>
            <w:pPr>
              <w:pStyle w:val="TableParagraph"/>
              <w:spacing w:before="43"/>
              <w:ind w:left="200" w:right="187" w:firstLine="124"/>
              <w:rPr>
                <w:b/>
                <w:sz w:val="21"/>
              </w:rPr>
            </w:pPr>
            <w:r>
              <w:rPr>
                <w:b/>
                <w:spacing w:val="-2"/>
                <w:sz w:val="21"/>
              </w:rPr>
              <w:t xml:space="preserve">Initial </w:t>
            </w:r>
            <w:r>
              <w:rPr>
                <w:b/>
                <w:sz w:val="21"/>
              </w:rPr>
              <w:t>June</w:t>
            </w:r>
            <w:r>
              <w:rPr>
                <w:b/>
                <w:spacing w:val="-14"/>
                <w:sz w:val="21"/>
              </w:rPr>
              <w:t xml:space="preserve"> </w:t>
            </w:r>
            <w:r>
              <w:rPr>
                <w:b/>
                <w:sz w:val="21"/>
              </w:rPr>
              <w:t>Bid</w:t>
            </w:r>
          </w:p>
        </w:tc>
        <w:tc>
          <w:tcPr>
            <w:tcW w:w="1897" w:type="dxa"/>
          </w:tcPr>
          <w:p>
            <w:pPr>
              <w:pStyle w:val="TableParagraph"/>
              <w:spacing w:before="43"/>
              <w:ind w:left="421" w:hanging="192"/>
              <w:rPr>
                <w:b/>
                <w:sz w:val="21"/>
              </w:rPr>
            </w:pPr>
            <w:r>
              <w:rPr>
                <w:b/>
                <w:sz w:val="21"/>
              </w:rPr>
              <w:t>After</w:t>
            </w:r>
            <w:r>
              <w:rPr>
                <w:b/>
                <w:spacing w:val="-14"/>
                <w:sz w:val="21"/>
              </w:rPr>
              <w:t xml:space="preserve"> </w:t>
            </w:r>
            <w:r>
              <w:rPr>
                <w:b/>
                <w:sz w:val="21"/>
              </w:rPr>
              <w:t>Release</w:t>
            </w:r>
            <w:r>
              <w:rPr>
                <w:b/>
                <w:spacing w:val="-13"/>
                <w:sz w:val="21"/>
              </w:rPr>
              <w:t xml:space="preserve"> </w:t>
            </w:r>
            <w:r>
              <w:rPr>
                <w:b/>
                <w:sz w:val="21"/>
              </w:rPr>
              <w:t xml:space="preserve">of </w:t>
            </w:r>
            <w:r>
              <w:rPr>
                <w:b/>
                <w:spacing w:val="-2"/>
                <w:sz w:val="21"/>
              </w:rPr>
              <w:t>Benchmark</w:t>
            </w:r>
          </w:p>
        </w:tc>
        <w:tc>
          <w:tcPr>
            <w:tcW w:w="1626" w:type="dxa"/>
          </w:tcPr>
          <w:p>
            <w:pPr>
              <w:pStyle w:val="TableParagraph"/>
              <w:spacing w:before="43"/>
              <w:ind w:left="250" w:firstLine="244"/>
              <w:rPr>
                <w:b/>
                <w:sz w:val="21"/>
              </w:rPr>
            </w:pPr>
            <w:r>
              <w:rPr>
                <w:b/>
                <w:spacing w:val="-2"/>
                <w:sz w:val="21"/>
              </w:rPr>
              <w:t>Rebate Reallocation</w:t>
            </w:r>
          </w:p>
        </w:tc>
        <w:tc>
          <w:tcPr>
            <w:tcW w:w="1484" w:type="dxa"/>
          </w:tcPr>
          <w:p>
            <w:pPr>
              <w:pStyle w:val="TableParagraph"/>
              <w:spacing w:before="43"/>
              <w:ind w:left="295" w:right="261" w:firstLine="21"/>
              <w:rPr>
                <w:b/>
                <w:sz w:val="21"/>
              </w:rPr>
            </w:pPr>
            <w:r>
              <w:rPr>
                <w:b/>
                <w:spacing w:val="-2"/>
                <w:sz w:val="21"/>
              </w:rPr>
              <w:t>Premium Rounding</w:t>
            </w:r>
          </w:p>
        </w:tc>
      </w:tr>
      <w:tr>
        <w:tblPrEx>
          <w:tblW w:w="0" w:type="auto"/>
          <w:jc w:val="left"/>
          <w:tblInd w:w="514" w:type="dxa"/>
          <w:tblLayout w:type="fixed"/>
          <w:tblCellMar>
            <w:top w:w="0" w:type="dxa"/>
            <w:left w:w="0" w:type="dxa"/>
            <w:bottom w:w="0" w:type="dxa"/>
            <w:right w:w="0" w:type="dxa"/>
          </w:tblCellMar>
          <w:tblLook w:val="01E0"/>
        </w:tblPrEx>
        <w:trPr>
          <w:trHeight w:val="501"/>
          <w:jc w:val="left"/>
        </w:trPr>
        <w:tc>
          <w:tcPr>
            <w:tcW w:w="3001" w:type="dxa"/>
            <w:tcBorders>
              <w:bottom w:val="nil"/>
            </w:tcBorders>
          </w:tcPr>
          <w:p>
            <w:pPr>
              <w:pStyle w:val="TableParagraph"/>
              <w:spacing w:before="240" w:line="241" w:lineRule="exact"/>
              <w:ind w:left="107"/>
              <w:rPr>
                <w:b/>
                <w:sz w:val="21"/>
              </w:rPr>
            </w:pPr>
            <w:r>
              <w:rPr>
                <w:b/>
                <w:sz w:val="21"/>
              </w:rPr>
              <w:t>Target</w:t>
            </w:r>
            <w:r>
              <w:rPr>
                <w:b/>
                <w:spacing w:val="-6"/>
                <w:sz w:val="21"/>
              </w:rPr>
              <w:t xml:space="preserve"> </w:t>
            </w:r>
            <w:r>
              <w:rPr>
                <w:b/>
                <w:sz w:val="21"/>
              </w:rPr>
              <w:t>Plan</w:t>
            </w:r>
            <w:r>
              <w:rPr>
                <w:b/>
                <w:spacing w:val="-1"/>
                <w:sz w:val="21"/>
              </w:rPr>
              <w:t xml:space="preserve"> </w:t>
            </w:r>
            <w:r>
              <w:rPr>
                <w:b/>
                <w:spacing w:val="-2"/>
                <w:sz w:val="21"/>
              </w:rPr>
              <w:t>Intention</w:t>
            </w:r>
          </w:p>
        </w:tc>
        <w:tc>
          <w:tcPr>
            <w:tcW w:w="1203" w:type="dxa"/>
            <w:tcBorders>
              <w:bottom w:val="nil"/>
            </w:tcBorders>
          </w:tcPr>
          <w:p>
            <w:pPr>
              <w:pStyle w:val="TableParagraph"/>
              <w:spacing w:before="2" w:line="237" w:lineRule="auto"/>
              <w:ind w:left="448" w:right="117" w:hanging="317"/>
              <w:rPr>
                <w:sz w:val="21"/>
              </w:rPr>
            </w:pPr>
            <w:r>
              <w:rPr>
                <w:sz w:val="21"/>
              </w:rPr>
              <w:t>Initial</w:t>
            </w:r>
            <w:r>
              <w:rPr>
                <w:spacing w:val="-14"/>
                <w:sz w:val="21"/>
              </w:rPr>
              <w:t xml:space="preserve"> </w:t>
            </w:r>
            <w:r>
              <w:rPr>
                <w:sz w:val="21"/>
              </w:rPr>
              <w:t xml:space="preserve">June </w:t>
            </w:r>
            <w:r>
              <w:rPr>
                <w:spacing w:val="-4"/>
                <w:sz w:val="21"/>
              </w:rPr>
              <w:t>Bid</w:t>
            </w:r>
          </w:p>
        </w:tc>
        <w:tc>
          <w:tcPr>
            <w:tcW w:w="1897" w:type="dxa"/>
            <w:tcBorders>
              <w:bottom w:val="nil"/>
            </w:tcBorders>
          </w:tcPr>
          <w:p>
            <w:pPr>
              <w:pStyle w:val="TableParagraph"/>
              <w:spacing w:before="240" w:line="241" w:lineRule="exact"/>
              <w:ind w:left="9" w:right="3"/>
              <w:jc w:val="center"/>
              <w:rPr>
                <w:sz w:val="21"/>
              </w:rPr>
            </w:pPr>
            <w:r>
              <w:rPr>
                <w:sz w:val="21"/>
              </w:rPr>
              <w:t>Initial</w:t>
            </w:r>
            <w:r>
              <w:rPr>
                <w:spacing w:val="-5"/>
                <w:sz w:val="21"/>
              </w:rPr>
              <w:t xml:space="preserve"> </w:t>
            </w:r>
            <w:r>
              <w:rPr>
                <w:sz w:val="21"/>
              </w:rPr>
              <w:t>June</w:t>
            </w:r>
            <w:r>
              <w:rPr>
                <w:spacing w:val="-4"/>
                <w:sz w:val="21"/>
              </w:rPr>
              <w:t xml:space="preserve"> </w:t>
            </w:r>
            <w:r>
              <w:rPr>
                <w:spacing w:val="-5"/>
                <w:sz w:val="21"/>
              </w:rPr>
              <w:t>Bid</w:t>
            </w:r>
          </w:p>
        </w:tc>
        <w:tc>
          <w:tcPr>
            <w:tcW w:w="1626" w:type="dxa"/>
            <w:tcBorders>
              <w:bottom w:val="nil"/>
            </w:tcBorders>
          </w:tcPr>
          <w:p>
            <w:pPr>
              <w:pStyle w:val="TableParagraph"/>
              <w:spacing w:before="240" w:line="241" w:lineRule="exact"/>
              <w:ind w:left="7" w:right="5"/>
              <w:jc w:val="center"/>
              <w:rPr>
                <w:sz w:val="21"/>
              </w:rPr>
            </w:pPr>
            <w:r>
              <w:rPr>
                <w:sz w:val="21"/>
              </w:rPr>
              <w:t>Initial</w:t>
            </w:r>
            <w:r>
              <w:rPr>
                <w:spacing w:val="-5"/>
                <w:sz w:val="21"/>
              </w:rPr>
              <w:t xml:space="preserve"> </w:t>
            </w:r>
            <w:r>
              <w:rPr>
                <w:sz w:val="21"/>
              </w:rPr>
              <w:t>June</w:t>
            </w:r>
            <w:r>
              <w:rPr>
                <w:spacing w:val="-4"/>
                <w:sz w:val="21"/>
              </w:rPr>
              <w:t xml:space="preserve"> </w:t>
            </w:r>
            <w:r>
              <w:rPr>
                <w:spacing w:val="-5"/>
                <w:sz w:val="21"/>
              </w:rPr>
              <w:t>Bid</w:t>
            </w:r>
          </w:p>
        </w:tc>
        <w:tc>
          <w:tcPr>
            <w:tcW w:w="1484" w:type="dxa"/>
            <w:tcBorders>
              <w:bottom w:val="nil"/>
            </w:tcBorders>
          </w:tcPr>
          <w:p>
            <w:pPr>
              <w:pStyle w:val="TableParagraph"/>
              <w:spacing w:before="2" w:line="237" w:lineRule="auto"/>
              <w:ind w:left="585" w:right="261" w:hanging="317"/>
              <w:rPr>
                <w:sz w:val="21"/>
              </w:rPr>
            </w:pPr>
            <w:r>
              <w:rPr>
                <w:sz w:val="21"/>
              </w:rPr>
              <w:t>Initial</w:t>
            </w:r>
            <w:r>
              <w:rPr>
                <w:spacing w:val="-14"/>
                <w:sz w:val="21"/>
              </w:rPr>
              <w:t xml:space="preserve"> </w:t>
            </w:r>
            <w:r>
              <w:rPr>
                <w:sz w:val="21"/>
              </w:rPr>
              <w:t xml:space="preserve">June </w:t>
            </w:r>
            <w:r>
              <w:rPr>
                <w:spacing w:val="-4"/>
                <w:sz w:val="21"/>
              </w:rPr>
              <w:t>Bid</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40"/>
              <w:ind w:left="107"/>
              <w:rPr>
                <w:b/>
                <w:sz w:val="21"/>
              </w:rPr>
            </w:pPr>
            <w:r>
              <w:rPr>
                <w:b/>
                <w:sz w:val="21"/>
              </w:rPr>
              <w:t>Rebates</w:t>
            </w:r>
            <w:r>
              <w:rPr>
                <w:b/>
                <w:spacing w:val="-5"/>
                <w:sz w:val="21"/>
              </w:rPr>
              <w:t xml:space="preserve"> </w:t>
            </w:r>
            <w:r>
              <w:rPr>
                <w:b/>
                <w:sz w:val="21"/>
              </w:rPr>
              <w:t>for</w:t>
            </w:r>
            <w:r>
              <w:rPr>
                <w:b/>
                <w:spacing w:val="-6"/>
                <w:sz w:val="21"/>
              </w:rPr>
              <w:t xml:space="preserve"> </w:t>
            </w:r>
            <w:r>
              <w:rPr>
                <w:b/>
                <w:spacing w:val="-2"/>
                <w:sz w:val="21"/>
              </w:rPr>
              <w:t>Allocation</w:t>
            </w:r>
          </w:p>
        </w:tc>
        <w:tc>
          <w:tcPr>
            <w:tcW w:w="1203" w:type="dxa"/>
            <w:tcBorders>
              <w:top w:val="nil"/>
              <w:bottom w:val="nil"/>
            </w:tcBorders>
          </w:tcPr>
          <w:p>
            <w:pPr>
              <w:pStyle w:val="TableParagraph"/>
              <w:spacing w:before="40"/>
              <w:ind w:left="10" w:right="1"/>
              <w:jc w:val="center"/>
              <w:rPr>
                <w:sz w:val="21"/>
              </w:rPr>
            </w:pPr>
            <w:r>
              <w:rPr>
                <w:spacing w:val="-5"/>
                <w:sz w:val="21"/>
              </w:rPr>
              <w:t>N/A</w:t>
            </w:r>
          </w:p>
        </w:tc>
        <w:tc>
          <w:tcPr>
            <w:tcW w:w="1897" w:type="dxa"/>
            <w:tcBorders>
              <w:top w:val="nil"/>
              <w:bottom w:val="nil"/>
            </w:tcBorders>
          </w:tcPr>
          <w:p>
            <w:pPr>
              <w:pStyle w:val="TableParagraph"/>
              <w:spacing w:before="40"/>
              <w:ind w:left="9" w:right="4"/>
              <w:jc w:val="center"/>
              <w:rPr>
                <w:sz w:val="21"/>
              </w:rPr>
            </w:pPr>
            <w:r>
              <w:rPr>
                <w:spacing w:val="-5"/>
                <w:sz w:val="21"/>
              </w:rPr>
              <w:t>N/A</w:t>
            </w:r>
          </w:p>
        </w:tc>
        <w:tc>
          <w:tcPr>
            <w:tcW w:w="1626" w:type="dxa"/>
            <w:tcBorders>
              <w:top w:val="nil"/>
              <w:bottom w:val="nil"/>
            </w:tcBorders>
          </w:tcPr>
          <w:p>
            <w:pPr>
              <w:pStyle w:val="TableParagraph"/>
              <w:spacing w:before="40"/>
              <w:ind w:left="7"/>
              <w:jc w:val="center"/>
              <w:rPr>
                <w:sz w:val="21"/>
              </w:rPr>
            </w:pPr>
            <w:r>
              <w:rPr>
                <w:spacing w:val="-2"/>
                <w:sz w:val="21"/>
              </w:rPr>
              <w:t>$4.00</w:t>
            </w:r>
          </w:p>
        </w:tc>
        <w:tc>
          <w:tcPr>
            <w:tcW w:w="1484" w:type="dxa"/>
            <w:tcBorders>
              <w:top w:val="nil"/>
              <w:bottom w:val="nil"/>
            </w:tcBorders>
          </w:tcPr>
          <w:p>
            <w:pPr>
              <w:pStyle w:val="TableParagraph"/>
              <w:spacing w:before="11"/>
              <w:ind w:left="6" w:right="2"/>
              <w:jc w:val="center"/>
              <w:rPr>
                <w:sz w:val="21"/>
              </w:rPr>
            </w:pPr>
            <w:r>
              <w:rPr>
                <w:spacing w:val="-2"/>
                <w:sz w:val="21"/>
              </w:rPr>
              <w:t>$0.30</w:t>
            </w:r>
          </w:p>
        </w:tc>
      </w:tr>
      <w:tr>
        <w:tblPrEx>
          <w:tblW w:w="0" w:type="auto"/>
          <w:jc w:val="left"/>
          <w:tblInd w:w="514" w:type="dxa"/>
          <w:tblLayout w:type="fixed"/>
          <w:tblCellMar>
            <w:top w:w="0" w:type="dxa"/>
            <w:left w:w="0" w:type="dxa"/>
            <w:bottom w:w="0" w:type="dxa"/>
            <w:right w:w="0" w:type="dxa"/>
          </w:tblCellMar>
          <w:tblLook w:val="01E0"/>
        </w:tblPrEx>
        <w:trPr>
          <w:trHeight w:val="449"/>
          <w:jc w:val="left"/>
        </w:trPr>
        <w:tc>
          <w:tcPr>
            <w:tcW w:w="3001" w:type="dxa"/>
            <w:tcBorders>
              <w:top w:val="nil"/>
              <w:bottom w:val="nil"/>
            </w:tcBorders>
          </w:tcPr>
          <w:p>
            <w:pPr>
              <w:pStyle w:val="TableParagraph"/>
              <w:spacing w:before="189" w:line="240" w:lineRule="exact"/>
              <w:ind w:left="107"/>
              <w:rPr>
                <w:b/>
                <w:sz w:val="21"/>
              </w:rPr>
            </w:pPr>
            <w:r>
              <w:rPr>
                <w:b/>
                <w:sz w:val="21"/>
              </w:rPr>
              <w:t>Gain/Loss</w:t>
            </w:r>
            <w:r>
              <w:rPr>
                <w:b/>
                <w:spacing w:val="-8"/>
                <w:sz w:val="21"/>
              </w:rPr>
              <w:t xml:space="preserve"> </w:t>
            </w:r>
            <w:r>
              <w:rPr>
                <w:b/>
                <w:spacing w:val="-2"/>
                <w:sz w:val="21"/>
              </w:rPr>
              <w:t>Margin</w:t>
            </w:r>
          </w:p>
        </w:tc>
        <w:tc>
          <w:tcPr>
            <w:tcW w:w="1203" w:type="dxa"/>
            <w:tcBorders>
              <w:top w:val="nil"/>
              <w:bottom w:val="nil"/>
            </w:tcBorders>
          </w:tcPr>
          <w:p>
            <w:pPr>
              <w:pStyle w:val="TableParagraph"/>
              <w:spacing w:before="189" w:line="240" w:lineRule="exact"/>
              <w:ind w:left="10"/>
              <w:jc w:val="center"/>
              <w:rPr>
                <w:sz w:val="21"/>
              </w:rPr>
            </w:pPr>
            <w:r>
              <w:rPr>
                <w:spacing w:val="-2"/>
                <w:sz w:val="21"/>
              </w:rPr>
              <w:t>$17.20</w:t>
            </w:r>
          </w:p>
        </w:tc>
        <w:tc>
          <w:tcPr>
            <w:tcW w:w="1897" w:type="dxa"/>
            <w:tcBorders>
              <w:top w:val="nil"/>
              <w:bottom w:val="nil"/>
            </w:tcBorders>
          </w:tcPr>
          <w:p>
            <w:pPr>
              <w:pStyle w:val="TableParagraph"/>
              <w:spacing w:before="189" w:line="240" w:lineRule="exact"/>
              <w:ind w:left="9" w:right="2"/>
              <w:jc w:val="center"/>
              <w:rPr>
                <w:sz w:val="21"/>
              </w:rPr>
            </w:pPr>
            <w:r>
              <w:rPr>
                <w:spacing w:val="-2"/>
                <w:sz w:val="21"/>
              </w:rPr>
              <w:t>$17.20</w:t>
            </w:r>
          </w:p>
        </w:tc>
        <w:tc>
          <w:tcPr>
            <w:tcW w:w="1626" w:type="dxa"/>
            <w:tcBorders>
              <w:top w:val="nil"/>
              <w:bottom w:val="nil"/>
            </w:tcBorders>
          </w:tcPr>
          <w:p>
            <w:pPr>
              <w:pStyle w:val="TableParagraph"/>
              <w:spacing w:before="189" w:line="240" w:lineRule="exact"/>
              <w:ind w:left="7"/>
              <w:jc w:val="center"/>
              <w:rPr>
                <w:sz w:val="21"/>
              </w:rPr>
            </w:pPr>
            <w:r>
              <w:rPr>
                <w:spacing w:val="-2"/>
                <w:sz w:val="21"/>
              </w:rPr>
              <w:t>$17.20</w:t>
            </w:r>
          </w:p>
        </w:tc>
        <w:tc>
          <w:tcPr>
            <w:tcW w:w="1484" w:type="dxa"/>
            <w:tcBorders>
              <w:top w:val="nil"/>
              <w:bottom w:val="nil"/>
            </w:tcBorders>
          </w:tcPr>
          <w:p>
            <w:pPr>
              <w:pStyle w:val="TableParagraph"/>
              <w:spacing w:before="161"/>
              <w:ind w:left="6" w:right="2"/>
              <w:jc w:val="center"/>
              <w:rPr>
                <w:b/>
                <w:i/>
                <w:sz w:val="21"/>
              </w:rPr>
            </w:pPr>
            <w:r>
              <w:rPr>
                <w:b/>
                <w:i/>
                <w:spacing w:val="-2"/>
                <w:sz w:val="21"/>
              </w:rPr>
              <w:t>$16.80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39" w:line="240" w:lineRule="exact"/>
              <w:ind w:left="107"/>
              <w:rPr>
                <w:b/>
                <w:sz w:val="21"/>
              </w:rPr>
            </w:pPr>
            <w:r>
              <w:rPr>
                <w:b/>
                <w:sz w:val="21"/>
              </w:rPr>
              <w:t>Total</w:t>
            </w:r>
            <w:r>
              <w:rPr>
                <w:b/>
                <w:spacing w:val="-6"/>
                <w:sz w:val="21"/>
              </w:rPr>
              <w:t xml:space="preserve"> </w:t>
            </w:r>
            <w:r>
              <w:rPr>
                <w:b/>
                <w:sz w:val="21"/>
              </w:rPr>
              <w:t>MA</w:t>
            </w:r>
            <w:r>
              <w:rPr>
                <w:b/>
                <w:spacing w:val="-3"/>
                <w:sz w:val="21"/>
              </w:rPr>
              <w:t xml:space="preserve"> </w:t>
            </w:r>
            <w:r>
              <w:rPr>
                <w:b/>
                <w:spacing w:val="-2"/>
                <w:sz w:val="21"/>
              </w:rPr>
              <w:t>Rebates</w:t>
            </w:r>
          </w:p>
        </w:tc>
        <w:tc>
          <w:tcPr>
            <w:tcW w:w="1203" w:type="dxa"/>
            <w:tcBorders>
              <w:top w:val="nil"/>
              <w:bottom w:val="nil"/>
            </w:tcBorders>
          </w:tcPr>
          <w:p>
            <w:pPr>
              <w:pStyle w:val="TableParagraph"/>
              <w:spacing w:before="39" w:line="240" w:lineRule="exact"/>
              <w:ind w:left="10" w:right="2"/>
              <w:jc w:val="center"/>
              <w:rPr>
                <w:sz w:val="21"/>
              </w:rPr>
            </w:pPr>
            <w:r>
              <w:rPr>
                <w:spacing w:val="-2"/>
                <w:sz w:val="21"/>
              </w:rPr>
              <w:t>$159.90</w:t>
            </w:r>
          </w:p>
        </w:tc>
        <w:tc>
          <w:tcPr>
            <w:tcW w:w="1897" w:type="dxa"/>
            <w:tcBorders>
              <w:top w:val="nil"/>
              <w:bottom w:val="nil"/>
            </w:tcBorders>
          </w:tcPr>
          <w:p>
            <w:pPr>
              <w:pStyle w:val="TableParagraph"/>
              <w:spacing w:before="39" w:line="240" w:lineRule="exact"/>
              <w:ind w:left="9"/>
              <w:jc w:val="center"/>
              <w:rPr>
                <w:sz w:val="21"/>
              </w:rPr>
            </w:pPr>
            <w:r>
              <w:rPr>
                <w:spacing w:val="-2"/>
                <w:sz w:val="21"/>
              </w:rPr>
              <w:t>$159.90</w:t>
            </w:r>
          </w:p>
        </w:tc>
        <w:tc>
          <w:tcPr>
            <w:tcW w:w="1626" w:type="dxa"/>
            <w:tcBorders>
              <w:top w:val="nil"/>
              <w:bottom w:val="nil"/>
            </w:tcBorders>
          </w:tcPr>
          <w:p>
            <w:pPr>
              <w:pStyle w:val="TableParagraph"/>
              <w:spacing w:before="39" w:line="240" w:lineRule="exact"/>
              <w:ind w:left="7" w:right="2"/>
              <w:jc w:val="center"/>
              <w:rPr>
                <w:sz w:val="21"/>
              </w:rPr>
            </w:pPr>
            <w:r>
              <w:rPr>
                <w:spacing w:val="-2"/>
                <w:sz w:val="21"/>
              </w:rPr>
              <w:t>$159.90</w:t>
            </w:r>
          </w:p>
        </w:tc>
        <w:tc>
          <w:tcPr>
            <w:tcW w:w="1484" w:type="dxa"/>
            <w:tcBorders>
              <w:top w:val="nil"/>
              <w:bottom w:val="nil"/>
            </w:tcBorders>
          </w:tcPr>
          <w:p>
            <w:pPr>
              <w:pStyle w:val="TableParagraph"/>
              <w:spacing w:before="11"/>
              <w:ind w:left="6"/>
              <w:jc w:val="center"/>
              <w:rPr>
                <w:sz w:val="21"/>
              </w:rPr>
            </w:pPr>
            <w:r>
              <w:rPr>
                <w:spacing w:val="-2"/>
                <w:sz w:val="21"/>
              </w:rPr>
              <w:t>$160.20</w:t>
            </w:r>
          </w:p>
        </w:tc>
      </w:tr>
      <w:tr>
        <w:tblPrEx>
          <w:tblW w:w="0" w:type="auto"/>
          <w:jc w:val="left"/>
          <w:tblInd w:w="514" w:type="dxa"/>
          <w:tblLayout w:type="fixed"/>
          <w:tblCellMar>
            <w:top w:w="0" w:type="dxa"/>
            <w:left w:w="0" w:type="dxa"/>
            <w:bottom w:w="0" w:type="dxa"/>
            <w:right w:w="0" w:type="dxa"/>
          </w:tblCellMar>
          <w:tblLook w:val="01E0"/>
        </w:tblPrEx>
        <w:trPr>
          <w:trHeight w:val="464"/>
          <w:jc w:val="left"/>
        </w:trPr>
        <w:tc>
          <w:tcPr>
            <w:tcW w:w="3001" w:type="dxa"/>
            <w:tcBorders>
              <w:top w:val="nil"/>
              <w:bottom w:val="nil"/>
            </w:tcBorders>
          </w:tcPr>
          <w:p>
            <w:pPr>
              <w:pStyle w:val="TableParagraph"/>
              <w:spacing w:before="39"/>
              <w:ind w:left="107"/>
              <w:rPr>
                <w:b/>
                <w:sz w:val="21"/>
              </w:rPr>
            </w:pPr>
            <w:r>
              <w:rPr>
                <w:b/>
                <w:sz w:val="21"/>
              </w:rPr>
              <w:t>Change</w:t>
            </w:r>
            <w:r>
              <w:rPr>
                <w:b/>
                <w:spacing w:val="-2"/>
                <w:sz w:val="21"/>
              </w:rPr>
              <w:t xml:space="preserve"> </w:t>
            </w:r>
            <w:r>
              <w:rPr>
                <w:b/>
                <w:sz w:val="21"/>
              </w:rPr>
              <w:t>in</w:t>
            </w:r>
            <w:r>
              <w:rPr>
                <w:b/>
                <w:spacing w:val="-5"/>
                <w:sz w:val="21"/>
              </w:rPr>
              <w:t xml:space="preserve"> </w:t>
            </w:r>
            <w:r>
              <w:rPr>
                <w:b/>
                <w:sz w:val="21"/>
              </w:rPr>
              <w:t>Total</w:t>
            </w:r>
            <w:r>
              <w:rPr>
                <w:b/>
                <w:spacing w:val="-6"/>
                <w:sz w:val="21"/>
              </w:rPr>
              <w:t xml:space="preserve"> </w:t>
            </w:r>
            <w:r>
              <w:rPr>
                <w:b/>
                <w:sz w:val="21"/>
              </w:rPr>
              <w:t>MA</w:t>
            </w:r>
            <w:r>
              <w:rPr>
                <w:b/>
                <w:spacing w:val="-3"/>
                <w:sz w:val="21"/>
              </w:rPr>
              <w:t xml:space="preserve"> </w:t>
            </w:r>
            <w:r>
              <w:rPr>
                <w:b/>
                <w:spacing w:val="-2"/>
                <w:sz w:val="21"/>
              </w:rPr>
              <w:t>Rebates</w:t>
            </w:r>
          </w:p>
        </w:tc>
        <w:tc>
          <w:tcPr>
            <w:tcW w:w="1203" w:type="dxa"/>
            <w:tcBorders>
              <w:top w:val="nil"/>
              <w:bottom w:val="nil"/>
            </w:tcBorders>
          </w:tcPr>
          <w:p>
            <w:pPr>
              <w:pStyle w:val="TableParagraph"/>
              <w:spacing w:before="39"/>
              <w:ind w:left="10" w:right="1"/>
              <w:jc w:val="center"/>
              <w:rPr>
                <w:sz w:val="21"/>
              </w:rPr>
            </w:pPr>
            <w:r>
              <w:rPr>
                <w:spacing w:val="-5"/>
                <w:sz w:val="21"/>
              </w:rPr>
              <w:t>N/A</w:t>
            </w:r>
          </w:p>
        </w:tc>
        <w:tc>
          <w:tcPr>
            <w:tcW w:w="1897" w:type="dxa"/>
            <w:tcBorders>
              <w:top w:val="nil"/>
              <w:bottom w:val="nil"/>
            </w:tcBorders>
          </w:tcPr>
          <w:p>
            <w:pPr>
              <w:pStyle w:val="TableParagraph"/>
              <w:spacing w:before="39"/>
              <w:ind w:left="9" w:right="4"/>
              <w:jc w:val="center"/>
              <w:rPr>
                <w:sz w:val="21"/>
              </w:rPr>
            </w:pPr>
            <w:r>
              <w:rPr>
                <w:spacing w:val="-5"/>
                <w:sz w:val="21"/>
              </w:rPr>
              <w:t>N/A</w:t>
            </w:r>
          </w:p>
        </w:tc>
        <w:tc>
          <w:tcPr>
            <w:tcW w:w="1626" w:type="dxa"/>
            <w:tcBorders>
              <w:top w:val="nil"/>
              <w:bottom w:val="nil"/>
            </w:tcBorders>
          </w:tcPr>
          <w:p>
            <w:pPr>
              <w:pStyle w:val="TableParagraph"/>
              <w:spacing w:before="39"/>
              <w:ind w:left="7"/>
              <w:jc w:val="center"/>
              <w:rPr>
                <w:sz w:val="21"/>
              </w:rPr>
            </w:pPr>
            <w:r>
              <w:rPr>
                <w:spacing w:val="-2"/>
                <w:sz w:val="21"/>
              </w:rPr>
              <w:t>$0.00</w:t>
            </w:r>
          </w:p>
        </w:tc>
        <w:tc>
          <w:tcPr>
            <w:tcW w:w="1484" w:type="dxa"/>
            <w:tcBorders>
              <w:top w:val="nil"/>
              <w:bottom w:val="nil"/>
            </w:tcBorders>
          </w:tcPr>
          <w:p>
            <w:pPr>
              <w:pStyle w:val="TableParagraph"/>
              <w:spacing w:before="11"/>
              <w:ind w:left="6" w:right="2"/>
              <w:jc w:val="center"/>
              <w:rPr>
                <w:sz w:val="21"/>
              </w:rPr>
            </w:pPr>
            <w:r>
              <w:rPr>
                <w:spacing w:val="-2"/>
                <w:sz w:val="21"/>
              </w:rPr>
              <w:t>$0.30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75"/>
              <w:ind w:left="107"/>
              <w:rPr>
                <w:sz w:val="21"/>
              </w:rPr>
            </w:pPr>
            <w:r>
              <w:rPr>
                <w:sz w:val="21"/>
              </w:rPr>
              <w:t>MSB</w:t>
            </w:r>
            <w:r>
              <w:rPr>
                <w:spacing w:val="-2"/>
                <w:sz w:val="21"/>
              </w:rPr>
              <w:t xml:space="preserve"> </w:t>
            </w:r>
            <w:r>
              <w:rPr>
                <w:sz w:val="21"/>
              </w:rPr>
              <w:t>Rev</w:t>
            </w:r>
            <w:r>
              <w:rPr>
                <w:spacing w:val="-3"/>
                <w:sz w:val="21"/>
              </w:rPr>
              <w:t xml:space="preserve"> </w:t>
            </w:r>
            <w:r>
              <w:rPr>
                <w:spacing w:val="-5"/>
                <w:sz w:val="21"/>
              </w:rPr>
              <w:t>Req</w:t>
            </w:r>
          </w:p>
        </w:tc>
        <w:tc>
          <w:tcPr>
            <w:tcW w:w="1203" w:type="dxa"/>
            <w:tcBorders>
              <w:top w:val="nil"/>
              <w:bottom w:val="nil"/>
            </w:tcBorders>
          </w:tcPr>
          <w:p>
            <w:pPr>
              <w:pStyle w:val="TableParagraph"/>
              <w:spacing w:before="175"/>
              <w:ind w:left="10" w:right="2"/>
              <w:jc w:val="center"/>
              <w:rPr>
                <w:sz w:val="21"/>
              </w:rPr>
            </w:pPr>
            <w:r>
              <w:rPr>
                <w:spacing w:val="-2"/>
                <w:sz w:val="21"/>
              </w:rPr>
              <w:t>$151.10</w:t>
            </w:r>
          </w:p>
        </w:tc>
        <w:tc>
          <w:tcPr>
            <w:tcW w:w="1897" w:type="dxa"/>
            <w:tcBorders>
              <w:top w:val="nil"/>
              <w:bottom w:val="nil"/>
            </w:tcBorders>
          </w:tcPr>
          <w:p>
            <w:pPr>
              <w:pStyle w:val="TableParagraph"/>
              <w:spacing w:before="175"/>
              <w:ind w:left="9"/>
              <w:jc w:val="center"/>
              <w:rPr>
                <w:sz w:val="21"/>
              </w:rPr>
            </w:pPr>
            <w:r>
              <w:rPr>
                <w:spacing w:val="-2"/>
                <w:sz w:val="21"/>
              </w:rPr>
              <w:t>$151.10</w:t>
            </w:r>
          </w:p>
        </w:tc>
        <w:tc>
          <w:tcPr>
            <w:tcW w:w="1626" w:type="dxa"/>
            <w:tcBorders>
              <w:top w:val="nil"/>
              <w:bottom w:val="nil"/>
            </w:tcBorders>
          </w:tcPr>
          <w:p>
            <w:pPr>
              <w:pStyle w:val="TableParagraph"/>
              <w:spacing w:before="175"/>
              <w:ind w:left="7" w:right="2"/>
              <w:jc w:val="center"/>
              <w:rPr>
                <w:b/>
                <w:i/>
                <w:sz w:val="21"/>
              </w:rPr>
            </w:pPr>
            <w:r>
              <w:rPr>
                <w:b/>
                <w:i/>
                <w:spacing w:val="-2"/>
                <w:sz w:val="21"/>
              </w:rPr>
              <w:t>$154.40</w:t>
            </w:r>
          </w:p>
        </w:tc>
        <w:tc>
          <w:tcPr>
            <w:tcW w:w="1484" w:type="dxa"/>
            <w:tcBorders>
              <w:top w:val="nil"/>
              <w:bottom w:val="nil"/>
            </w:tcBorders>
          </w:tcPr>
          <w:p>
            <w:pPr>
              <w:pStyle w:val="TableParagraph"/>
              <w:spacing w:before="175"/>
              <w:ind w:left="6"/>
              <w:jc w:val="center"/>
              <w:rPr>
                <w:sz w:val="21"/>
              </w:rPr>
            </w:pPr>
            <w:r>
              <w:rPr>
                <w:spacing w:val="-2"/>
                <w:sz w:val="21"/>
              </w:rPr>
              <w:t>$154.40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25"/>
              <w:ind w:left="107"/>
              <w:rPr>
                <w:sz w:val="21"/>
              </w:rPr>
            </w:pPr>
            <w:r>
              <w:rPr>
                <w:sz w:val="21"/>
              </w:rPr>
              <w:t>MSB</w:t>
            </w:r>
            <w:r>
              <w:rPr>
                <w:spacing w:val="-3"/>
                <w:sz w:val="21"/>
              </w:rPr>
              <w:t xml:space="preserve"> </w:t>
            </w:r>
            <w:r>
              <w:rPr>
                <w:sz w:val="21"/>
              </w:rPr>
              <w:t>Rebate</w:t>
            </w:r>
            <w:r>
              <w:rPr>
                <w:spacing w:val="-4"/>
                <w:sz w:val="21"/>
              </w:rPr>
              <w:t xml:space="preserve"> </w:t>
            </w:r>
            <w:r>
              <w:rPr>
                <w:spacing w:val="-2"/>
                <w:sz w:val="21"/>
              </w:rPr>
              <w:t>Allocations</w:t>
            </w:r>
          </w:p>
        </w:tc>
        <w:tc>
          <w:tcPr>
            <w:tcW w:w="1203" w:type="dxa"/>
            <w:tcBorders>
              <w:top w:val="nil"/>
              <w:bottom w:val="nil"/>
            </w:tcBorders>
          </w:tcPr>
          <w:p>
            <w:pPr>
              <w:pStyle w:val="TableParagraph"/>
              <w:spacing w:before="25"/>
              <w:ind w:left="10" w:right="2"/>
              <w:jc w:val="center"/>
              <w:rPr>
                <w:sz w:val="21"/>
              </w:rPr>
            </w:pPr>
            <w:r>
              <w:rPr>
                <w:spacing w:val="-2"/>
                <w:sz w:val="21"/>
              </w:rPr>
              <w:t>$127.40</w:t>
            </w:r>
          </w:p>
        </w:tc>
        <w:tc>
          <w:tcPr>
            <w:tcW w:w="1897" w:type="dxa"/>
            <w:tcBorders>
              <w:top w:val="nil"/>
              <w:bottom w:val="nil"/>
            </w:tcBorders>
          </w:tcPr>
          <w:p>
            <w:pPr>
              <w:pStyle w:val="TableParagraph"/>
              <w:spacing w:before="25"/>
              <w:ind w:left="9"/>
              <w:jc w:val="center"/>
              <w:rPr>
                <w:sz w:val="21"/>
              </w:rPr>
            </w:pPr>
            <w:r>
              <w:rPr>
                <w:spacing w:val="-2"/>
                <w:sz w:val="21"/>
              </w:rPr>
              <w:t>$127.40</w:t>
            </w:r>
          </w:p>
        </w:tc>
        <w:tc>
          <w:tcPr>
            <w:tcW w:w="1626" w:type="dxa"/>
            <w:tcBorders>
              <w:top w:val="nil"/>
              <w:bottom w:val="nil"/>
            </w:tcBorders>
          </w:tcPr>
          <w:p>
            <w:pPr>
              <w:pStyle w:val="TableParagraph"/>
              <w:spacing w:before="25"/>
              <w:ind w:left="7" w:right="2"/>
              <w:jc w:val="center"/>
              <w:rPr>
                <w:b/>
                <w:i/>
                <w:sz w:val="21"/>
              </w:rPr>
            </w:pPr>
            <w:r>
              <w:rPr>
                <w:b/>
                <w:i/>
                <w:spacing w:val="-2"/>
                <w:sz w:val="21"/>
              </w:rPr>
              <w:t>$131.40</w:t>
            </w:r>
          </w:p>
        </w:tc>
        <w:tc>
          <w:tcPr>
            <w:tcW w:w="1484" w:type="dxa"/>
            <w:tcBorders>
              <w:top w:val="nil"/>
              <w:bottom w:val="nil"/>
            </w:tcBorders>
          </w:tcPr>
          <w:p>
            <w:pPr>
              <w:pStyle w:val="TableParagraph"/>
              <w:spacing w:before="25"/>
              <w:ind w:left="6"/>
              <w:jc w:val="center"/>
              <w:rPr>
                <w:b/>
                <w:i/>
                <w:sz w:val="21"/>
              </w:rPr>
            </w:pPr>
            <w:r>
              <w:rPr>
                <w:b/>
                <w:i/>
                <w:spacing w:val="-2"/>
                <w:sz w:val="21"/>
              </w:rPr>
              <w:t>$131.70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25"/>
              <w:ind w:left="107"/>
              <w:rPr>
                <w:b/>
                <w:sz w:val="21"/>
              </w:rPr>
            </w:pPr>
            <w:r>
              <w:rPr>
                <w:b/>
                <w:sz w:val="21"/>
              </w:rPr>
              <w:t>MA</w:t>
            </w:r>
            <w:r>
              <w:rPr>
                <w:b/>
                <w:spacing w:val="-5"/>
                <w:sz w:val="21"/>
              </w:rPr>
              <w:t xml:space="preserve"> </w:t>
            </w:r>
            <w:r>
              <w:rPr>
                <w:b/>
                <w:spacing w:val="-2"/>
                <w:sz w:val="21"/>
              </w:rPr>
              <w:t>Premium</w:t>
            </w:r>
          </w:p>
        </w:tc>
        <w:tc>
          <w:tcPr>
            <w:tcW w:w="1203" w:type="dxa"/>
            <w:tcBorders>
              <w:top w:val="nil"/>
              <w:bottom w:val="nil"/>
            </w:tcBorders>
          </w:tcPr>
          <w:p>
            <w:pPr>
              <w:pStyle w:val="TableParagraph"/>
              <w:spacing w:before="25"/>
              <w:ind w:left="10"/>
              <w:jc w:val="center"/>
              <w:rPr>
                <w:sz w:val="21"/>
              </w:rPr>
            </w:pPr>
            <w:r>
              <w:rPr>
                <w:spacing w:val="-2"/>
                <w:sz w:val="21"/>
              </w:rPr>
              <w:t>$23.70</w:t>
            </w:r>
          </w:p>
        </w:tc>
        <w:tc>
          <w:tcPr>
            <w:tcW w:w="1897" w:type="dxa"/>
            <w:tcBorders>
              <w:top w:val="nil"/>
              <w:bottom w:val="nil"/>
            </w:tcBorders>
          </w:tcPr>
          <w:p>
            <w:pPr>
              <w:pStyle w:val="TableParagraph"/>
              <w:spacing w:before="25"/>
              <w:ind w:left="9" w:right="2"/>
              <w:jc w:val="center"/>
              <w:rPr>
                <w:sz w:val="21"/>
              </w:rPr>
            </w:pPr>
            <w:r>
              <w:rPr>
                <w:spacing w:val="-2"/>
                <w:sz w:val="21"/>
              </w:rPr>
              <w:t>$23.70</w:t>
            </w:r>
          </w:p>
        </w:tc>
        <w:tc>
          <w:tcPr>
            <w:tcW w:w="1626" w:type="dxa"/>
            <w:tcBorders>
              <w:top w:val="nil"/>
              <w:bottom w:val="nil"/>
            </w:tcBorders>
          </w:tcPr>
          <w:p>
            <w:pPr>
              <w:pStyle w:val="TableParagraph"/>
              <w:spacing w:before="25"/>
              <w:ind w:left="7"/>
              <w:jc w:val="center"/>
              <w:rPr>
                <w:sz w:val="21"/>
              </w:rPr>
            </w:pPr>
            <w:r>
              <w:rPr>
                <w:spacing w:val="-2"/>
                <w:sz w:val="21"/>
              </w:rPr>
              <w:t>$23.00</w:t>
            </w:r>
          </w:p>
        </w:tc>
        <w:tc>
          <w:tcPr>
            <w:tcW w:w="1484" w:type="dxa"/>
            <w:tcBorders>
              <w:top w:val="nil"/>
              <w:bottom w:val="nil"/>
            </w:tcBorders>
          </w:tcPr>
          <w:p>
            <w:pPr>
              <w:pStyle w:val="TableParagraph"/>
              <w:spacing w:before="25"/>
              <w:ind w:left="6" w:right="2"/>
              <w:jc w:val="center"/>
              <w:rPr>
                <w:sz w:val="21"/>
              </w:rPr>
            </w:pPr>
            <w:r>
              <w:rPr>
                <w:spacing w:val="-2"/>
                <w:sz w:val="21"/>
              </w:rPr>
              <w:t>$22.70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75"/>
              <w:ind w:left="107"/>
              <w:rPr>
                <w:sz w:val="21"/>
              </w:rPr>
            </w:pPr>
            <w:r>
              <w:rPr>
                <w:sz w:val="21"/>
              </w:rPr>
              <w:t>Basic</w:t>
            </w:r>
            <w:r>
              <w:rPr>
                <w:spacing w:val="-3"/>
                <w:sz w:val="21"/>
              </w:rPr>
              <w:t xml:space="preserve"> </w:t>
            </w:r>
            <w:r>
              <w:rPr>
                <w:sz w:val="21"/>
              </w:rPr>
              <w:t>Prem</w:t>
            </w:r>
            <w:r>
              <w:rPr>
                <w:spacing w:val="-3"/>
                <w:sz w:val="21"/>
              </w:rPr>
              <w:t xml:space="preserve"> </w:t>
            </w:r>
            <w:r>
              <w:rPr>
                <w:sz w:val="21"/>
              </w:rPr>
              <w:t>Prior</w:t>
            </w:r>
            <w:r>
              <w:rPr>
                <w:spacing w:val="-5"/>
                <w:sz w:val="21"/>
              </w:rPr>
              <w:t xml:space="preserve"> </w:t>
            </w:r>
            <w:r>
              <w:rPr>
                <w:spacing w:val="-2"/>
                <w:sz w:val="21"/>
              </w:rPr>
              <w:t>Rebate</w:t>
            </w:r>
          </w:p>
        </w:tc>
        <w:tc>
          <w:tcPr>
            <w:tcW w:w="1203" w:type="dxa"/>
            <w:tcBorders>
              <w:top w:val="nil"/>
              <w:bottom w:val="nil"/>
            </w:tcBorders>
          </w:tcPr>
          <w:p>
            <w:pPr>
              <w:pStyle w:val="TableParagraph"/>
              <w:spacing w:before="175"/>
              <w:ind w:left="10"/>
              <w:jc w:val="center"/>
              <w:rPr>
                <w:sz w:val="21"/>
              </w:rPr>
            </w:pPr>
            <w:r>
              <w:rPr>
                <w:spacing w:val="-2"/>
                <w:sz w:val="21"/>
              </w:rPr>
              <w:t>$50.30</w:t>
            </w:r>
          </w:p>
        </w:tc>
        <w:tc>
          <w:tcPr>
            <w:tcW w:w="1897" w:type="dxa"/>
            <w:tcBorders>
              <w:top w:val="nil"/>
              <w:bottom w:val="nil"/>
            </w:tcBorders>
          </w:tcPr>
          <w:p>
            <w:pPr>
              <w:pStyle w:val="TableParagraph"/>
              <w:spacing w:before="175"/>
              <w:ind w:left="9" w:right="2"/>
              <w:jc w:val="center"/>
              <w:rPr>
                <w:sz w:val="21"/>
              </w:rPr>
            </w:pPr>
            <w:r>
              <w:rPr>
                <w:spacing w:val="-2"/>
                <w:sz w:val="21"/>
              </w:rPr>
              <w:t>$46.30</w:t>
            </w:r>
          </w:p>
        </w:tc>
        <w:tc>
          <w:tcPr>
            <w:tcW w:w="1626" w:type="dxa"/>
            <w:tcBorders>
              <w:top w:val="nil"/>
              <w:bottom w:val="nil"/>
            </w:tcBorders>
          </w:tcPr>
          <w:p>
            <w:pPr>
              <w:pStyle w:val="TableParagraph"/>
              <w:spacing w:before="175"/>
              <w:ind w:left="7"/>
              <w:jc w:val="center"/>
              <w:rPr>
                <w:sz w:val="21"/>
              </w:rPr>
            </w:pPr>
            <w:r>
              <w:rPr>
                <w:spacing w:val="-2"/>
                <w:sz w:val="21"/>
              </w:rPr>
              <w:t>$46.30</w:t>
            </w:r>
          </w:p>
        </w:tc>
        <w:tc>
          <w:tcPr>
            <w:tcW w:w="1484" w:type="dxa"/>
            <w:tcBorders>
              <w:top w:val="nil"/>
              <w:bottom w:val="nil"/>
            </w:tcBorders>
          </w:tcPr>
          <w:p>
            <w:pPr>
              <w:pStyle w:val="TableParagraph"/>
              <w:spacing w:before="175"/>
              <w:ind w:left="6" w:right="2"/>
              <w:jc w:val="center"/>
              <w:rPr>
                <w:sz w:val="21"/>
              </w:rPr>
            </w:pPr>
            <w:r>
              <w:rPr>
                <w:spacing w:val="-2"/>
                <w:sz w:val="21"/>
              </w:rPr>
              <w:t>$46.30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25"/>
              <w:ind w:left="107"/>
              <w:rPr>
                <w:sz w:val="21"/>
              </w:rPr>
            </w:pPr>
            <w:r>
              <w:rPr>
                <w:sz w:val="21"/>
              </w:rPr>
              <w:t>Basic</w:t>
            </w:r>
            <w:r>
              <w:rPr>
                <w:spacing w:val="-3"/>
                <w:sz w:val="21"/>
              </w:rPr>
              <w:t xml:space="preserve"> </w:t>
            </w:r>
            <w:r>
              <w:rPr>
                <w:sz w:val="21"/>
              </w:rPr>
              <w:t>Prem</w:t>
            </w:r>
            <w:r>
              <w:rPr>
                <w:spacing w:val="-6"/>
                <w:sz w:val="21"/>
              </w:rPr>
              <w:t xml:space="preserve"> </w:t>
            </w:r>
            <w:r>
              <w:rPr>
                <w:sz w:val="21"/>
              </w:rPr>
              <w:t>Rebate</w:t>
            </w:r>
            <w:r>
              <w:rPr>
                <w:spacing w:val="-5"/>
                <w:sz w:val="21"/>
              </w:rPr>
              <w:t xml:space="preserve"> </w:t>
            </w:r>
            <w:r>
              <w:rPr>
                <w:spacing w:val="-2"/>
                <w:sz w:val="21"/>
              </w:rPr>
              <w:t>Allocations</w:t>
            </w:r>
          </w:p>
        </w:tc>
        <w:tc>
          <w:tcPr>
            <w:tcW w:w="1203" w:type="dxa"/>
            <w:tcBorders>
              <w:top w:val="nil"/>
              <w:bottom w:val="nil"/>
            </w:tcBorders>
          </w:tcPr>
          <w:p>
            <w:pPr>
              <w:pStyle w:val="TableParagraph"/>
              <w:spacing w:before="25"/>
              <w:ind w:left="10"/>
              <w:jc w:val="center"/>
              <w:rPr>
                <w:sz w:val="21"/>
              </w:rPr>
            </w:pPr>
            <w:r>
              <w:rPr>
                <w:spacing w:val="-2"/>
                <w:sz w:val="21"/>
              </w:rPr>
              <w:t>$4.00</w:t>
            </w:r>
          </w:p>
        </w:tc>
        <w:tc>
          <w:tcPr>
            <w:tcW w:w="1897" w:type="dxa"/>
            <w:tcBorders>
              <w:top w:val="nil"/>
              <w:bottom w:val="nil"/>
            </w:tcBorders>
          </w:tcPr>
          <w:p>
            <w:pPr>
              <w:pStyle w:val="TableParagraph"/>
              <w:spacing w:before="25"/>
              <w:ind w:left="9" w:right="2"/>
              <w:jc w:val="center"/>
              <w:rPr>
                <w:sz w:val="21"/>
              </w:rPr>
            </w:pPr>
            <w:r>
              <w:rPr>
                <w:spacing w:val="-2"/>
                <w:sz w:val="21"/>
              </w:rPr>
              <w:t>$4.00</w:t>
            </w:r>
          </w:p>
        </w:tc>
        <w:tc>
          <w:tcPr>
            <w:tcW w:w="1626" w:type="dxa"/>
            <w:tcBorders>
              <w:top w:val="nil"/>
              <w:bottom w:val="nil"/>
            </w:tcBorders>
          </w:tcPr>
          <w:p>
            <w:pPr>
              <w:pStyle w:val="TableParagraph"/>
              <w:spacing w:before="25"/>
              <w:ind w:left="7"/>
              <w:jc w:val="center"/>
              <w:rPr>
                <w:b/>
                <w:i/>
                <w:sz w:val="21"/>
              </w:rPr>
            </w:pPr>
            <w:r>
              <w:rPr>
                <w:b/>
                <w:i/>
                <w:spacing w:val="-2"/>
                <w:sz w:val="21"/>
              </w:rPr>
              <w:t>$0.00</w:t>
            </w:r>
          </w:p>
        </w:tc>
        <w:tc>
          <w:tcPr>
            <w:tcW w:w="1484" w:type="dxa"/>
            <w:tcBorders>
              <w:top w:val="nil"/>
              <w:bottom w:val="nil"/>
            </w:tcBorders>
          </w:tcPr>
          <w:p>
            <w:pPr>
              <w:pStyle w:val="TableParagraph"/>
              <w:spacing w:before="25"/>
              <w:ind w:left="6" w:right="2"/>
              <w:jc w:val="center"/>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25"/>
              <w:ind w:left="107"/>
              <w:rPr>
                <w:b/>
                <w:sz w:val="21"/>
              </w:rPr>
            </w:pPr>
            <w:r>
              <w:rPr>
                <w:b/>
                <w:sz w:val="21"/>
              </w:rPr>
              <w:t>Part</w:t>
            </w:r>
            <w:r>
              <w:rPr>
                <w:b/>
                <w:spacing w:val="-5"/>
                <w:sz w:val="21"/>
              </w:rPr>
              <w:t xml:space="preserve"> </w:t>
            </w:r>
            <w:r>
              <w:rPr>
                <w:b/>
                <w:sz w:val="21"/>
              </w:rPr>
              <w:t>D Basic</w:t>
            </w:r>
            <w:r>
              <w:rPr>
                <w:b/>
                <w:spacing w:val="-1"/>
                <w:sz w:val="21"/>
              </w:rPr>
              <w:t xml:space="preserve"> </w:t>
            </w:r>
            <w:r>
              <w:rPr>
                <w:b/>
                <w:spacing w:val="-2"/>
                <w:sz w:val="21"/>
              </w:rPr>
              <w:t>Premium</w:t>
            </w:r>
          </w:p>
        </w:tc>
        <w:tc>
          <w:tcPr>
            <w:tcW w:w="1203" w:type="dxa"/>
            <w:tcBorders>
              <w:top w:val="nil"/>
              <w:bottom w:val="nil"/>
            </w:tcBorders>
          </w:tcPr>
          <w:p>
            <w:pPr>
              <w:pStyle w:val="TableParagraph"/>
              <w:spacing w:before="25"/>
              <w:ind w:left="10"/>
              <w:jc w:val="center"/>
              <w:rPr>
                <w:sz w:val="21"/>
              </w:rPr>
            </w:pPr>
            <w:r>
              <w:rPr>
                <w:spacing w:val="-2"/>
                <w:sz w:val="21"/>
              </w:rPr>
              <w:t>$46.30</w:t>
            </w:r>
          </w:p>
        </w:tc>
        <w:tc>
          <w:tcPr>
            <w:tcW w:w="1897" w:type="dxa"/>
            <w:tcBorders>
              <w:top w:val="nil"/>
              <w:bottom w:val="nil"/>
            </w:tcBorders>
          </w:tcPr>
          <w:p>
            <w:pPr>
              <w:pStyle w:val="TableParagraph"/>
              <w:spacing w:before="25"/>
              <w:ind w:left="9" w:right="2"/>
              <w:jc w:val="center"/>
              <w:rPr>
                <w:sz w:val="21"/>
              </w:rPr>
            </w:pPr>
            <w:r>
              <w:rPr>
                <w:spacing w:val="-2"/>
                <w:sz w:val="21"/>
              </w:rPr>
              <w:t>$42.30</w:t>
            </w:r>
          </w:p>
        </w:tc>
        <w:tc>
          <w:tcPr>
            <w:tcW w:w="1626" w:type="dxa"/>
            <w:tcBorders>
              <w:top w:val="nil"/>
              <w:bottom w:val="nil"/>
            </w:tcBorders>
          </w:tcPr>
          <w:p>
            <w:pPr>
              <w:pStyle w:val="TableParagraph"/>
              <w:spacing w:before="25"/>
              <w:ind w:left="7"/>
              <w:jc w:val="center"/>
              <w:rPr>
                <w:sz w:val="21"/>
              </w:rPr>
            </w:pPr>
            <w:r>
              <w:rPr>
                <w:spacing w:val="-2"/>
                <w:sz w:val="21"/>
              </w:rPr>
              <w:t>$46.30</w:t>
            </w:r>
          </w:p>
        </w:tc>
        <w:tc>
          <w:tcPr>
            <w:tcW w:w="1484" w:type="dxa"/>
            <w:tcBorders>
              <w:top w:val="nil"/>
              <w:bottom w:val="nil"/>
            </w:tcBorders>
          </w:tcPr>
          <w:p>
            <w:pPr>
              <w:pStyle w:val="TableParagraph"/>
              <w:spacing w:before="25"/>
              <w:ind w:left="6" w:right="2"/>
              <w:jc w:val="center"/>
              <w:rPr>
                <w:sz w:val="21"/>
              </w:rPr>
            </w:pPr>
            <w:r>
              <w:rPr>
                <w:spacing w:val="-2"/>
                <w:sz w:val="21"/>
              </w:rPr>
              <w:t>$46.30</w:t>
            </w:r>
          </w:p>
        </w:tc>
      </w:tr>
      <w:tr>
        <w:tblPrEx>
          <w:tblW w:w="0" w:type="auto"/>
          <w:jc w:val="left"/>
          <w:tblInd w:w="514" w:type="dxa"/>
          <w:tblLayout w:type="fixed"/>
          <w:tblCellMar>
            <w:top w:w="0" w:type="dxa"/>
            <w:left w:w="0" w:type="dxa"/>
            <w:bottom w:w="0" w:type="dxa"/>
            <w:right w:w="0" w:type="dxa"/>
          </w:tblCellMar>
          <w:tblLook w:val="01E0"/>
        </w:tblPrEx>
        <w:trPr>
          <w:trHeight w:val="450"/>
          <w:jc w:val="left"/>
        </w:trPr>
        <w:tc>
          <w:tcPr>
            <w:tcW w:w="3001" w:type="dxa"/>
            <w:tcBorders>
              <w:top w:val="nil"/>
              <w:bottom w:val="nil"/>
            </w:tcBorders>
          </w:tcPr>
          <w:p>
            <w:pPr>
              <w:pStyle w:val="TableParagraph"/>
              <w:spacing w:before="175"/>
              <w:ind w:left="107"/>
              <w:rPr>
                <w:sz w:val="21"/>
              </w:rPr>
            </w:pPr>
            <w:r>
              <w:rPr>
                <w:sz w:val="21"/>
              </w:rPr>
              <w:t>Supp</w:t>
            </w:r>
            <w:r>
              <w:rPr>
                <w:spacing w:val="-4"/>
                <w:sz w:val="21"/>
              </w:rPr>
              <w:t xml:space="preserve"> </w:t>
            </w:r>
            <w:r>
              <w:rPr>
                <w:sz w:val="21"/>
              </w:rPr>
              <w:t>Prem</w:t>
            </w:r>
            <w:r>
              <w:rPr>
                <w:spacing w:val="-2"/>
                <w:sz w:val="21"/>
              </w:rPr>
              <w:t xml:space="preserve"> </w:t>
            </w:r>
            <w:r>
              <w:rPr>
                <w:sz w:val="21"/>
              </w:rPr>
              <w:t>Prior</w:t>
            </w:r>
            <w:r>
              <w:rPr>
                <w:spacing w:val="-2"/>
                <w:sz w:val="21"/>
              </w:rPr>
              <w:t xml:space="preserve"> Rebate</w:t>
            </w:r>
          </w:p>
        </w:tc>
        <w:tc>
          <w:tcPr>
            <w:tcW w:w="1203" w:type="dxa"/>
            <w:tcBorders>
              <w:top w:val="nil"/>
              <w:bottom w:val="nil"/>
            </w:tcBorders>
          </w:tcPr>
          <w:p>
            <w:pPr>
              <w:pStyle w:val="TableParagraph"/>
              <w:spacing w:before="175"/>
              <w:ind w:left="10"/>
              <w:jc w:val="center"/>
              <w:rPr>
                <w:sz w:val="21"/>
              </w:rPr>
            </w:pPr>
            <w:r>
              <w:rPr>
                <w:spacing w:val="-2"/>
                <w:sz w:val="21"/>
              </w:rPr>
              <w:t>$28.50</w:t>
            </w:r>
          </w:p>
        </w:tc>
        <w:tc>
          <w:tcPr>
            <w:tcW w:w="1897" w:type="dxa"/>
            <w:tcBorders>
              <w:top w:val="nil"/>
              <w:bottom w:val="nil"/>
            </w:tcBorders>
          </w:tcPr>
          <w:p>
            <w:pPr>
              <w:pStyle w:val="TableParagraph"/>
              <w:spacing w:before="175"/>
              <w:ind w:left="9" w:right="2"/>
              <w:jc w:val="center"/>
              <w:rPr>
                <w:sz w:val="21"/>
              </w:rPr>
            </w:pPr>
            <w:r>
              <w:rPr>
                <w:spacing w:val="-2"/>
                <w:sz w:val="21"/>
              </w:rPr>
              <w:t>$28.50</w:t>
            </w:r>
          </w:p>
        </w:tc>
        <w:tc>
          <w:tcPr>
            <w:tcW w:w="1626" w:type="dxa"/>
            <w:tcBorders>
              <w:top w:val="nil"/>
              <w:bottom w:val="nil"/>
            </w:tcBorders>
          </w:tcPr>
          <w:p>
            <w:pPr>
              <w:pStyle w:val="TableParagraph"/>
              <w:spacing w:before="175"/>
              <w:ind w:left="7"/>
              <w:jc w:val="center"/>
              <w:rPr>
                <w:sz w:val="21"/>
              </w:rPr>
            </w:pPr>
            <w:r>
              <w:rPr>
                <w:spacing w:val="-2"/>
                <w:sz w:val="21"/>
              </w:rPr>
              <w:t>$28.50</w:t>
            </w:r>
          </w:p>
        </w:tc>
        <w:tc>
          <w:tcPr>
            <w:tcW w:w="1484" w:type="dxa"/>
            <w:tcBorders>
              <w:top w:val="nil"/>
              <w:bottom w:val="nil"/>
            </w:tcBorders>
          </w:tcPr>
          <w:p>
            <w:pPr>
              <w:pStyle w:val="TableParagraph"/>
              <w:spacing w:before="175"/>
              <w:ind w:left="6" w:right="2"/>
              <w:jc w:val="center"/>
              <w:rPr>
                <w:sz w:val="21"/>
              </w:rPr>
            </w:pPr>
            <w:r>
              <w:rPr>
                <w:spacing w:val="-2"/>
                <w:sz w:val="21"/>
              </w:rPr>
              <w:t>$28.50</w:t>
            </w:r>
          </w:p>
        </w:tc>
      </w:tr>
      <w:tr>
        <w:tblPrEx>
          <w:tblW w:w="0" w:type="auto"/>
          <w:jc w:val="left"/>
          <w:tblInd w:w="514" w:type="dxa"/>
          <w:tblLayout w:type="fixed"/>
          <w:tblCellMar>
            <w:top w:w="0" w:type="dxa"/>
            <w:left w:w="0" w:type="dxa"/>
            <w:bottom w:w="0" w:type="dxa"/>
            <w:right w:w="0" w:type="dxa"/>
          </w:tblCellMar>
          <w:tblLook w:val="01E0"/>
        </w:tblPrEx>
        <w:trPr>
          <w:trHeight w:val="300"/>
          <w:jc w:val="left"/>
        </w:trPr>
        <w:tc>
          <w:tcPr>
            <w:tcW w:w="3001" w:type="dxa"/>
            <w:tcBorders>
              <w:top w:val="nil"/>
              <w:bottom w:val="nil"/>
            </w:tcBorders>
          </w:tcPr>
          <w:p>
            <w:pPr>
              <w:pStyle w:val="TableParagraph"/>
              <w:spacing w:before="25"/>
              <w:ind w:left="107"/>
              <w:rPr>
                <w:sz w:val="21"/>
              </w:rPr>
            </w:pPr>
            <w:r>
              <w:rPr>
                <w:sz w:val="21"/>
              </w:rPr>
              <w:t>Supp</w:t>
            </w:r>
            <w:r>
              <w:rPr>
                <w:spacing w:val="-5"/>
                <w:sz w:val="21"/>
              </w:rPr>
              <w:t xml:space="preserve"> </w:t>
            </w:r>
            <w:r>
              <w:rPr>
                <w:sz w:val="21"/>
              </w:rPr>
              <w:t>Prem</w:t>
            </w:r>
            <w:r>
              <w:rPr>
                <w:spacing w:val="-4"/>
                <w:sz w:val="21"/>
              </w:rPr>
              <w:t xml:space="preserve"> </w:t>
            </w:r>
            <w:r>
              <w:rPr>
                <w:sz w:val="21"/>
              </w:rPr>
              <w:t>Rebate</w:t>
            </w:r>
            <w:r>
              <w:rPr>
                <w:spacing w:val="-4"/>
                <w:sz w:val="21"/>
              </w:rPr>
              <w:t xml:space="preserve"> </w:t>
            </w:r>
            <w:r>
              <w:rPr>
                <w:spacing w:val="-2"/>
                <w:sz w:val="21"/>
              </w:rPr>
              <w:t>Allocations</w:t>
            </w:r>
          </w:p>
        </w:tc>
        <w:tc>
          <w:tcPr>
            <w:tcW w:w="1203" w:type="dxa"/>
            <w:tcBorders>
              <w:top w:val="nil"/>
              <w:bottom w:val="nil"/>
            </w:tcBorders>
          </w:tcPr>
          <w:p>
            <w:pPr>
              <w:pStyle w:val="TableParagraph"/>
              <w:spacing w:before="25"/>
              <w:ind w:left="10"/>
              <w:jc w:val="center"/>
              <w:rPr>
                <w:sz w:val="21"/>
              </w:rPr>
            </w:pPr>
            <w:r>
              <w:rPr>
                <w:spacing w:val="-2"/>
                <w:sz w:val="21"/>
              </w:rPr>
              <w:t>$28.50</w:t>
            </w:r>
          </w:p>
        </w:tc>
        <w:tc>
          <w:tcPr>
            <w:tcW w:w="1897" w:type="dxa"/>
            <w:tcBorders>
              <w:top w:val="nil"/>
              <w:bottom w:val="nil"/>
            </w:tcBorders>
          </w:tcPr>
          <w:p>
            <w:pPr>
              <w:pStyle w:val="TableParagraph"/>
              <w:spacing w:before="25"/>
              <w:ind w:left="9" w:right="2"/>
              <w:jc w:val="center"/>
              <w:rPr>
                <w:sz w:val="21"/>
              </w:rPr>
            </w:pPr>
            <w:r>
              <w:rPr>
                <w:spacing w:val="-2"/>
                <w:sz w:val="21"/>
              </w:rPr>
              <w:t>$28.50</w:t>
            </w:r>
          </w:p>
        </w:tc>
        <w:tc>
          <w:tcPr>
            <w:tcW w:w="1626" w:type="dxa"/>
            <w:tcBorders>
              <w:top w:val="nil"/>
              <w:bottom w:val="nil"/>
            </w:tcBorders>
          </w:tcPr>
          <w:p>
            <w:pPr>
              <w:pStyle w:val="TableParagraph"/>
              <w:spacing w:before="25"/>
              <w:ind w:left="7"/>
              <w:jc w:val="center"/>
              <w:rPr>
                <w:sz w:val="21"/>
              </w:rPr>
            </w:pPr>
            <w:r>
              <w:rPr>
                <w:spacing w:val="-2"/>
                <w:sz w:val="21"/>
              </w:rPr>
              <w:t>$28.50</w:t>
            </w:r>
          </w:p>
        </w:tc>
        <w:tc>
          <w:tcPr>
            <w:tcW w:w="1484" w:type="dxa"/>
            <w:tcBorders>
              <w:top w:val="nil"/>
              <w:bottom w:val="nil"/>
            </w:tcBorders>
          </w:tcPr>
          <w:p>
            <w:pPr>
              <w:pStyle w:val="TableParagraph"/>
              <w:spacing w:before="25"/>
              <w:ind w:left="6" w:right="2"/>
              <w:jc w:val="center"/>
              <w:rPr>
                <w:sz w:val="21"/>
              </w:rPr>
            </w:pPr>
            <w:r>
              <w:rPr>
                <w:spacing w:val="-2"/>
                <w:sz w:val="21"/>
              </w:rPr>
              <w:t>$28.50</w:t>
            </w:r>
          </w:p>
        </w:tc>
      </w:tr>
      <w:tr>
        <w:tblPrEx>
          <w:tblW w:w="0" w:type="auto"/>
          <w:jc w:val="left"/>
          <w:tblInd w:w="514" w:type="dxa"/>
          <w:tblLayout w:type="fixed"/>
          <w:tblCellMar>
            <w:top w:w="0" w:type="dxa"/>
            <w:left w:w="0" w:type="dxa"/>
            <w:bottom w:w="0" w:type="dxa"/>
            <w:right w:w="0" w:type="dxa"/>
          </w:tblCellMar>
          <w:tblLook w:val="01E0"/>
        </w:tblPrEx>
        <w:trPr>
          <w:trHeight w:val="566"/>
          <w:jc w:val="left"/>
        </w:trPr>
        <w:tc>
          <w:tcPr>
            <w:tcW w:w="3001" w:type="dxa"/>
            <w:tcBorders>
              <w:top w:val="nil"/>
            </w:tcBorders>
          </w:tcPr>
          <w:p>
            <w:pPr>
              <w:pStyle w:val="TableParagraph"/>
              <w:spacing w:before="25"/>
              <w:ind w:left="107"/>
              <w:rPr>
                <w:b/>
                <w:sz w:val="21"/>
              </w:rPr>
            </w:pPr>
            <w:r>
              <w:rPr>
                <w:b/>
                <w:sz w:val="21"/>
              </w:rPr>
              <w:t>Part</w:t>
            </w:r>
            <w:r>
              <w:rPr>
                <w:b/>
                <w:spacing w:val="-6"/>
                <w:sz w:val="21"/>
              </w:rPr>
              <w:t xml:space="preserve"> </w:t>
            </w:r>
            <w:r>
              <w:rPr>
                <w:b/>
                <w:sz w:val="21"/>
              </w:rPr>
              <w:t>D</w:t>
            </w:r>
            <w:r>
              <w:rPr>
                <w:b/>
                <w:spacing w:val="-3"/>
                <w:sz w:val="21"/>
              </w:rPr>
              <w:t xml:space="preserve"> </w:t>
            </w:r>
            <w:r>
              <w:rPr>
                <w:b/>
                <w:sz w:val="21"/>
              </w:rPr>
              <w:t>Supplemental</w:t>
            </w:r>
            <w:r>
              <w:rPr>
                <w:b/>
                <w:spacing w:val="-4"/>
                <w:sz w:val="21"/>
              </w:rPr>
              <w:t xml:space="preserve"> </w:t>
            </w:r>
            <w:r>
              <w:rPr>
                <w:b/>
                <w:spacing w:val="-2"/>
                <w:sz w:val="21"/>
              </w:rPr>
              <w:t>Premium</w:t>
            </w:r>
          </w:p>
        </w:tc>
        <w:tc>
          <w:tcPr>
            <w:tcW w:w="1203" w:type="dxa"/>
            <w:tcBorders>
              <w:top w:val="nil"/>
            </w:tcBorders>
          </w:tcPr>
          <w:p>
            <w:pPr>
              <w:pStyle w:val="TableParagraph"/>
              <w:spacing w:before="25"/>
              <w:ind w:left="10"/>
              <w:jc w:val="center"/>
              <w:rPr>
                <w:sz w:val="21"/>
              </w:rPr>
            </w:pPr>
            <w:r>
              <w:rPr>
                <w:spacing w:val="-2"/>
                <w:sz w:val="21"/>
              </w:rPr>
              <w:t>$0.00</w:t>
            </w:r>
          </w:p>
        </w:tc>
        <w:tc>
          <w:tcPr>
            <w:tcW w:w="1897" w:type="dxa"/>
            <w:tcBorders>
              <w:top w:val="nil"/>
            </w:tcBorders>
          </w:tcPr>
          <w:p>
            <w:pPr>
              <w:pStyle w:val="TableParagraph"/>
              <w:spacing w:before="25"/>
              <w:ind w:left="9" w:right="2"/>
              <w:jc w:val="center"/>
              <w:rPr>
                <w:sz w:val="21"/>
              </w:rPr>
            </w:pPr>
            <w:r>
              <w:rPr>
                <w:spacing w:val="-2"/>
                <w:sz w:val="21"/>
              </w:rPr>
              <w:t>$0.00</w:t>
            </w:r>
          </w:p>
        </w:tc>
        <w:tc>
          <w:tcPr>
            <w:tcW w:w="1626" w:type="dxa"/>
            <w:tcBorders>
              <w:top w:val="nil"/>
            </w:tcBorders>
          </w:tcPr>
          <w:p>
            <w:pPr>
              <w:pStyle w:val="TableParagraph"/>
              <w:spacing w:before="25"/>
              <w:ind w:left="7"/>
              <w:jc w:val="center"/>
              <w:rPr>
                <w:sz w:val="21"/>
              </w:rPr>
            </w:pPr>
            <w:r>
              <w:rPr>
                <w:spacing w:val="-2"/>
                <w:sz w:val="21"/>
              </w:rPr>
              <w:t>$0.00</w:t>
            </w:r>
          </w:p>
        </w:tc>
        <w:tc>
          <w:tcPr>
            <w:tcW w:w="1484" w:type="dxa"/>
            <w:tcBorders>
              <w:top w:val="nil"/>
            </w:tcBorders>
          </w:tcPr>
          <w:p>
            <w:pPr>
              <w:pStyle w:val="TableParagraph"/>
              <w:spacing w:before="25"/>
              <w:ind w:left="6" w:right="2"/>
              <w:jc w:val="center"/>
              <w:rPr>
                <w:sz w:val="21"/>
              </w:rPr>
            </w:pPr>
            <w:r>
              <w:rPr>
                <w:spacing w:val="-2"/>
                <w:sz w:val="21"/>
              </w:rPr>
              <w:t>$0.00</w:t>
            </w:r>
          </w:p>
        </w:tc>
      </w:tr>
      <w:tr>
        <w:tblPrEx>
          <w:tblW w:w="0" w:type="auto"/>
          <w:jc w:val="left"/>
          <w:tblInd w:w="514" w:type="dxa"/>
          <w:tblLayout w:type="fixed"/>
          <w:tblCellMar>
            <w:top w:w="0" w:type="dxa"/>
            <w:left w:w="0" w:type="dxa"/>
            <w:bottom w:w="0" w:type="dxa"/>
            <w:right w:w="0" w:type="dxa"/>
          </w:tblCellMar>
          <w:tblLook w:val="01E0"/>
        </w:tblPrEx>
        <w:trPr>
          <w:trHeight w:val="302"/>
          <w:jc w:val="left"/>
        </w:trPr>
        <w:tc>
          <w:tcPr>
            <w:tcW w:w="3001" w:type="dxa"/>
          </w:tcPr>
          <w:p>
            <w:pPr>
              <w:pStyle w:val="TableParagraph"/>
              <w:spacing w:before="60" w:line="221" w:lineRule="exact"/>
              <w:ind w:left="107"/>
              <w:rPr>
                <w:b/>
                <w:sz w:val="21"/>
              </w:rPr>
            </w:pPr>
            <w:r>
              <w:rPr>
                <w:b/>
                <w:sz w:val="21"/>
              </w:rPr>
              <w:t>Total</w:t>
            </w:r>
            <w:r>
              <w:rPr>
                <w:b/>
                <w:spacing w:val="-3"/>
                <w:sz w:val="21"/>
              </w:rPr>
              <w:t xml:space="preserve"> </w:t>
            </w:r>
            <w:r>
              <w:rPr>
                <w:b/>
                <w:sz w:val="21"/>
              </w:rPr>
              <w:t>Plan</w:t>
            </w:r>
            <w:r>
              <w:rPr>
                <w:b/>
                <w:spacing w:val="-2"/>
                <w:sz w:val="21"/>
              </w:rPr>
              <w:t xml:space="preserve"> Premium</w:t>
            </w:r>
          </w:p>
        </w:tc>
        <w:tc>
          <w:tcPr>
            <w:tcW w:w="1203" w:type="dxa"/>
          </w:tcPr>
          <w:p>
            <w:pPr>
              <w:pStyle w:val="TableParagraph"/>
              <w:spacing w:before="60" w:line="221" w:lineRule="exact"/>
              <w:ind w:left="10"/>
              <w:jc w:val="center"/>
              <w:rPr>
                <w:sz w:val="21"/>
              </w:rPr>
            </w:pPr>
            <w:r>
              <w:rPr>
                <w:spacing w:val="-2"/>
                <w:sz w:val="21"/>
              </w:rPr>
              <w:t>$70.00</w:t>
            </w:r>
          </w:p>
        </w:tc>
        <w:tc>
          <w:tcPr>
            <w:tcW w:w="1897" w:type="dxa"/>
          </w:tcPr>
          <w:p>
            <w:pPr>
              <w:pStyle w:val="TableParagraph"/>
              <w:spacing w:before="60" w:line="221" w:lineRule="exact"/>
              <w:ind w:left="9" w:right="2"/>
              <w:jc w:val="center"/>
              <w:rPr>
                <w:sz w:val="21"/>
              </w:rPr>
            </w:pPr>
            <w:r>
              <w:rPr>
                <w:spacing w:val="-2"/>
                <w:sz w:val="21"/>
              </w:rPr>
              <w:t>$66.00</w:t>
            </w:r>
          </w:p>
        </w:tc>
        <w:tc>
          <w:tcPr>
            <w:tcW w:w="1626" w:type="dxa"/>
          </w:tcPr>
          <w:p>
            <w:pPr>
              <w:pStyle w:val="TableParagraph"/>
              <w:spacing w:before="60" w:line="221" w:lineRule="exact"/>
              <w:ind w:left="7"/>
              <w:jc w:val="center"/>
              <w:rPr>
                <w:sz w:val="21"/>
              </w:rPr>
            </w:pPr>
            <w:r>
              <w:rPr>
                <w:spacing w:val="-2"/>
                <w:sz w:val="21"/>
              </w:rPr>
              <w:t>$69.30</w:t>
            </w:r>
          </w:p>
        </w:tc>
        <w:tc>
          <w:tcPr>
            <w:tcW w:w="1484" w:type="dxa"/>
          </w:tcPr>
          <w:p>
            <w:pPr>
              <w:pStyle w:val="TableParagraph"/>
              <w:spacing w:before="60" w:line="221" w:lineRule="exact"/>
              <w:ind w:left="6" w:right="2"/>
              <w:jc w:val="center"/>
              <w:rPr>
                <w:sz w:val="21"/>
              </w:rPr>
            </w:pPr>
            <w:r>
              <w:rPr>
                <w:spacing w:val="-2"/>
                <w:sz w:val="21"/>
              </w:rPr>
              <w:t>$69.00</w:t>
            </w:r>
          </w:p>
        </w:tc>
      </w:tr>
    </w:tbl>
    <w:p>
      <w:pPr>
        <w:pStyle w:val="BodyText"/>
        <w:spacing w:before="86"/>
        <w:ind w:left="0"/>
        <w:rPr>
          <w:rFonts w:ascii="Arial"/>
          <w:b/>
          <w:i/>
        </w:rPr>
      </w:pPr>
    </w:p>
    <w:p>
      <w:pPr>
        <w:pStyle w:val="BodyText"/>
        <w:ind w:right="1481"/>
      </w:pPr>
      <w:r>
        <w:t>After following the rebate reallocation guidelines and returning to the target Part D basic premium,</w:t>
      </w:r>
      <w:r>
        <w:rPr>
          <w:spacing w:val="-3"/>
        </w:rPr>
        <w:t xml:space="preserve"> </w:t>
      </w:r>
      <w:r>
        <w:t>the</w:t>
      </w:r>
      <w:r>
        <w:rPr>
          <w:spacing w:val="-4"/>
        </w:rPr>
        <w:t xml:space="preserve"> </w:t>
      </w:r>
      <w:r>
        <w:t>MAO</w:t>
      </w:r>
      <w:r>
        <w:rPr>
          <w:spacing w:val="-4"/>
        </w:rPr>
        <w:t xml:space="preserve"> </w:t>
      </w:r>
      <w:r>
        <w:t>may</w:t>
      </w:r>
      <w:r>
        <w:rPr>
          <w:spacing w:val="-2"/>
        </w:rPr>
        <w:t xml:space="preserve"> </w:t>
      </w:r>
      <w:r>
        <w:t>choose</w:t>
      </w:r>
      <w:r>
        <w:rPr>
          <w:spacing w:val="-4"/>
        </w:rPr>
        <w:t xml:space="preserve"> </w:t>
      </w:r>
      <w:r>
        <w:t>to</w:t>
      </w:r>
      <w:r>
        <w:rPr>
          <w:spacing w:val="-3"/>
        </w:rPr>
        <w:t xml:space="preserve"> </w:t>
      </w:r>
      <w:r>
        <w:t>round</w:t>
      </w:r>
      <w:r>
        <w:rPr>
          <w:spacing w:val="-3"/>
        </w:rPr>
        <w:t xml:space="preserve"> </w:t>
      </w:r>
      <w:r>
        <w:t>the</w:t>
      </w:r>
      <w:r>
        <w:rPr>
          <w:spacing w:val="-3"/>
        </w:rPr>
        <w:t xml:space="preserve"> </w:t>
      </w:r>
      <w:r>
        <w:t>total</w:t>
      </w:r>
      <w:r>
        <w:rPr>
          <w:spacing w:val="-2"/>
        </w:rPr>
        <w:t xml:space="preserve"> </w:t>
      </w:r>
      <w:r>
        <w:t>plan</w:t>
      </w:r>
      <w:r>
        <w:rPr>
          <w:spacing w:val="-3"/>
        </w:rPr>
        <w:t xml:space="preserve"> </w:t>
      </w:r>
      <w:r>
        <w:t>premium</w:t>
      </w:r>
      <w:r>
        <w:rPr>
          <w:spacing w:val="-3"/>
        </w:rPr>
        <w:t xml:space="preserve"> </w:t>
      </w:r>
      <w:r>
        <w:t>to</w:t>
      </w:r>
      <w:r>
        <w:rPr>
          <w:spacing w:val="-3"/>
        </w:rPr>
        <w:t xml:space="preserve"> </w:t>
      </w:r>
      <w:r>
        <w:t>a</w:t>
      </w:r>
      <w:r>
        <w:rPr>
          <w:spacing w:val="-4"/>
        </w:rPr>
        <w:t xml:space="preserve"> </w:t>
      </w:r>
      <w:r>
        <w:t>whole</w:t>
      </w:r>
      <w:r>
        <w:rPr>
          <w:spacing w:val="-2"/>
        </w:rPr>
        <w:t xml:space="preserve"> </w:t>
      </w:r>
      <w:r>
        <w:t>dollar</w:t>
      </w:r>
      <w:r>
        <w:rPr>
          <w:spacing w:val="-3"/>
        </w:rPr>
        <w:t xml:space="preserve"> </w:t>
      </w:r>
      <w:r>
        <w:t>amount.</w:t>
      </w:r>
    </w:p>
    <w:p>
      <w:pPr>
        <w:pStyle w:val="BodyText"/>
        <w:spacing w:before="140"/>
        <w:ind w:right="1443"/>
      </w:pPr>
      <w:r>
        <w:t>In this example, (i) after rebate reallocation, the total plan premium is $69.30; and (ii) for premium rounding, the total plan premium must equal $69.00. After rebate reallocation and to complete premium rounding, the gain/loss margin, total MA rebates and rebate allocations are the only additional changes permitted in the BPT. Changes to the gain/loss margin are automatically allocated to the Medicare-covered and A/B mandatory supplemental benefits in the BPT. Therefore, when the gain/loss margin changes for premium rounding, there are minimal</w:t>
      </w:r>
      <w:r>
        <w:rPr>
          <w:spacing w:val="-3"/>
        </w:rPr>
        <w:t xml:space="preserve"> </w:t>
      </w:r>
      <w:r>
        <w:t>changes</w:t>
      </w:r>
      <w:r>
        <w:rPr>
          <w:spacing w:val="-4"/>
        </w:rPr>
        <w:t xml:space="preserve"> </w:t>
      </w:r>
      <w:r>
        <w:t>to</w:t>
      </w:r>
      <w:r>
        <w:rPr>
          <w:spacing w:val="-3"/>
        </w:rPr>
        <w:t xml:space="preserve"> </w:t>
      </w:r>
      <w:r>
        <w:t>the</w:t>
      </w:r>
      <w:r>
        <w:rPr>
          <w:spacing w:val="-4"/>
        </w:rPr>
        <w:t xml:space="preserve"> </w:t>
      </w:r>
      <w:r>
        <w:t>MSB</w:t>
      </w:r>
      <w:r>
        <w:rPr>
          <w:spacing w:val="-3"/>
        </w:rPr>
        <w:t xml:space="preserve"> </w:t>
      </w:r>
      <w:r>
        <w:t>revenue</w:t>
      </w:r>
      <w:r>
        <w:rPr>
          <w:spacing w:val="-4"/>
        </w:rPr>
        <w:t xml:space="preserve"> </w:t>
      </w:r>
      <w:r>
        <w:t>requirement.</w:t>
      </w:r>
      <w:r>
        <w:rPr>
          <w:spacing w:val="-3"/>
        </w:rPr>
        <w:t xml:space="preserve"> </w:t>
      </w:r>
      <w:r>
        <w:t>These</w:t>
      </w:r>
      <w:r>
        <w:rPr>
          <w:spacing w:val="-4"/>
        </w:rPr>
        <w:t xml:space="preserve"> </w:t>
      </w:r>
      <w:r>
        <w:t>minimal</w:t>
      </w:r>
      <w:r>
        <w:rPr>
          <w:spacing w:val="-3"/>
        </w:rPr>
        <w:t xml:space="preserve"> </w:t>
      </w:r>
      <w:r>
        <w:t>changes</w:t>
      </w:r>
      <w:r>
        <w:rPr>
          <w:spacing w:val="-4"/>
        </w:rPr>
        <w:t xml:space="preserve"> </w:t>
      </w:r>
      <w:r>
        <w:t>to</w:t>
      </w:r>
      <w:r>
        <w:rPr>
          <w:spacing w:val="-3"/>
        </w:rPr>
        <w:t xml:space="preserve"> </w:t>
      </w:r>
      <w:r>
        <w:t>the</w:t>
      </w:r>
      <w:r>
        <w:rPr>
          <w:spacing w:val="-4"/>
        </w:rPr>
        <w:t xml:space="preserve"> </w:t>
      </w:r>
      <w:r>
        <w:t>MSB</w:t>
      </w:r>
      <w:r>
        <w:rPr>
          <w:spacing w:val="-3"/>
        </w:rPr>
        <w:t xml:space="preserve"> </w:t>
      </w:r>
      <w:r>
        <w:t>revenue requirement for premium rounding are not considered when evaluating the limit for the MSB revenue requirement during rebate reallocation.</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pPr>
      <w:r>
        <w:t>For</w:t>
      </w:r>
      <w:r>
        <w:rPr>
          <w:spacing w:val="-2"/>
        </w:rPr>
        <w:t xml:space="preserve"> </w:t>
      </w:r>
      <w:r>
        <w:t>premium</w:t>
      </w:r>
      <w:r>
        <w:rPr>
          <w:spacing w:val="-1"/>
        </w:rPr>
        <w:t xml:space="preserve"> </w:t>
      </w:r>
      <w:r>
        <w:t>rounding,</w:t>
      </w:r>
      <w:r>
        <w:rPr>
          <w:spacing w:val="-2"/>
        </w:rPr>
        <w:t xml:space="preserve"> </w:t>
      </w:r>
      <w:r>
        <w:t>the</w:t>
      </w:r>
      <w:r>
        <w:rPr>
          <w:spacing w:val="-2"/>
        </w:rPr>
        <w:t xml:space="preserve"> </w:t>
      </w:r>
      <w:r>
        <w:t>MAO</w:t>
      </w:r>
      <w:r>
        <w:rPr>
          <w:spacing w:val="-3"/>
        </w:rPr>
        <w:t xml:space="preserve"> </w:t>
      </w:r>
      <w:r>
        <w:t>must adjust</w:t>
      </w:r>
      <w:r>
        <w:rPr>
          <w:spacing w:val="-1"/>
        </w:rPr>
        <w:t xml:space="preserve"> </w:t>
      </w:r>
      <w:r>
        <w:t>gain/loss</w:t>
      </w:r>
      <w:r>
        <w:rPr>
          <w:spacing w:val="-1"/>
        </w:rPr>
        <w:t xml:space="preserve"> </w:t>
      </w:r>
      <w:r>
        <w:t>margin</w:t>
      </w:r>
      <w:r>
        <w:rPr>
          <w:spacing w:val="-1"/>
        </w:rPr>
        <w:t xml:space="preserve"> </w:t>
      </w:r>
      <w:r>
        <w:t>PMPM</w:t>
      </w:r>
      <w:r>
        <w:rPr>
          <w:spacing w:val="-1"/>
        </w:rPr>
        <w:t xml:space="preserve"> </w:t>
      </w:r>
      <w:r>
        <w:t>such</w:t>
      </w:r>
      <w:r>
        <w:rPr>
          <w:spacing w:val="-1"/>
        </w:rPr>
        <w:t xml:space="preserve"> </w:t>
      </w:r>
      <w:r>
        <w:rPr>
          <w:spacing w:val="-2"/>
        </w:rPr>
        <w:t>that—</w:t>
      </w:r>
    </w:p>
    <w:p>
      <w:pPr>
        <w:pStyle w:val="ListParagraph"/>
        <w:numPr>
          <w:ilvl w:val="0"/>
          <w:numId w:val="5"/>
        </w:numPr>
        <w:tabs>
          <w:tab w:val="left" w:pos="1561"/>
        </w:tabs>
        <w:spacing w:before="139" w:after="0" w:line="240" w:lineRule="auto"/>
        <w:ind w:left="1561" w:right="0" w:hanging="337"/>
        <w:jc w:val="left"/>
        <w:rPr>
          <w:sz w:val="24"/>
        </w:rPr>
      </w:pPr>
      <w:r>
        <w:rPr>
          <w:sz w:val="24"/>
        </w:rPr>
        <w:t>Change</w:t>
      </w:r>
      <w:r>
        <w:rPr>
          <w:spacing w:val="-4"/>
          <w:sz w:val="24"/>
        </w:rPr>
        <w:t xml:space="preserve"> </w:t>
      </w:r>
      <w:r>
        <w:rPr>
          <w:sz w:val="24"/>
        </w:rPr>
        <w:t>in</w:t>
      </w:r>
      <w:r>
        <w:rPr>
          <w:spacing w:val="-1"/>
          <w:sz w:val="24"/>
        </w:rPr>
        <w:t xml:space="preserve"> </w:t>
      </w:r>
      <w:r>
        <w:rPr>
          <w:sz w:val="24"/>
        </w:rPr>
        <w:t>total</w:t>
      </w:r>
      <w:r>
        <w:rPr>
          <w:spacing w:val="-1"/>
          <w:sz w:val="24"/>
        </w:rPr>
        <w:t xml:space="preserve"> </w:t>
      </w:r>
      <w:r>
        <w:rPr>
          <w:sz w:val="24"/>
        </w:rPr>
        <w:t>MA</w:t>
      </w:r>
      <w:r>
        <w:rPr>
          <w:spacing w:val="-2"/>
          <w:sz w:val="24"/>
        </w:rPr>
        <w:t xml:space="preserve"> </w:t>
      </w:r>
      <w:r>
        <w:rPr>
          <w:sz w:val="24"/>
        </w:rPr>
        <w:t>rebates</w:t>
      </w:r>
      <w:r>
        <w:rPr>
          <w:spacing w:val="-2"/>
          <w:sz w:val="24"/>
        </w:rPr>
        <w:t xml:space="preserve"> </w:t>
      </w:r>
      <w:r>
        <w:rPr>
          <w:sz w:val="24"/>
        </w:rPr>
        <w:t>is</w:t>
      </w:r>
      <w:r>
        <w:rPr>
          <w:spacing w:val="-2"/>
          <w:sz w:val="24"/>
        </w:rPr>
        <w:t xml:space="preserve"> </w:t>
      </w:r>
      <w:r>
        <w:rPr>
          <w:sz w:val="24"/>
        </w:rPr>
        <w:t xml:space="preserve">between </w:t>
      </w:r>
      <w:r>
        <w:rPr>
          <w:sz w:val="21"/>
        </w:rPr>
        <w:t>−</w:t>
      </w:r>
      <w:r>
        <w:rPr>
          <w:sz w:val="24"/>
        </w:rPr>
        <w:t>$0.50</w:t>
      </w:r>
      <w:r>
        <w:rPr>
          <w:spacing w:val="-1"/>
          <w:sz w:val="24"/>
        </w:rPr>
        <w:t xml:space="preserve"> </w:t>
      </w:r>
      <w:r>
        <w:rPr>
          <w:sz w:val="24"/>
        </w:rPr>
        <w:t xml:space="preserve">and </w:t>
      </w:r>
      <w:r>
        <w:rPr>
          <w:spacing w:val="-2"/>
          <w:sz w:val="24"/>
        </w:rPr>
        <w:t>$0.50.</w:t>
      </w:r>
    </w:p>
    <w:p>
      <w:pPr>
        <w:pStyle w:val="ListParagraph"/>
        <w:numPr>
          <w:ilvl w:val="0"/>
          <w:numId w:val="5"/>
        </w:numPr>
        <w:tabs>
          <w:tab w:val="left" w:pos="1561"/>
        </w:tabs>
        <w:spacing w:before="142" w:after="0" w:line="240" w:lineRule="auto"/>
        <w:ind w:left="1561" w:right="0" w:hanging="337"/>
        <w:jc w:val="left"/>
        <w:rPr>
          <w:sz w:val="24"/>
        </w:rPr>
      </w:pPr>
      <w:r>
        <w:rPr>
          <w:sz w:val="24"/>
        </w:rPr>
        <w:t>The</w:t>
      </w:r>
      <w:r>
        <w:rPr>
          <w:spacing w:val="-3"/>
          <w:sz w:val="24"/>
        </w:rPr>
        <w:t xml:space="preserve"> </w:t>
      </w:r>
      <w:r>
        <w:rPr>
          <w:sz w:val="24"/>
        </w:rPr>
        <w:t>final total plan</w:t>
      </w:r>
      <w:r>
        <w:rPr>
          <w:spacing w:val="-1"/>
          <w:sz w:val="24"/>
        </w:rPr>
        <w:t xml:space="preserve"> </w:t>
      </w:r>
      <w:r>
        <w:rPr>
          <w:sz w:val="24"/>
        </w:rPr>
        <w:t>premium is</w:t>
      </w:r>
      <w:r>
        <w:rPr>
          <w:spacing w:val="-1"/>
          <w:sz w:val="24"/>
        </w:rPr>
        <w:t xml:space="preserve"> </w:t>
      </w:r>
      <w:r>
        <w:rPr>
          <w:sz w:val="24"/>
        </w:rPr>
        <w:t>rounded</w:t>
      </w:r>
      <w:r>
        <w:rPr>
          <w:spacing w:val="-1"/>
          <w:sz w:val="24"/>
        </w:rPr>
        <w:t xml:space="preserve"> </w:t>
      </w:r>
      <w:r>
        <w:rPr>
          <w:sz w:val="24"/>
        </w:rPr>
        <w:t>to a whole</w:t>
      </w:r>
      <w:r>
        <w:rPr>
          <w:spacing w:val="-1"/>
          <w:sz w:val="24"/>
        </w:rPr>
        <w:t xml:space="preserve"> </w:t>
      </w:r>
      <w:r>
        <w:rPr>
          <w:sz w:val="24"/>
        </w:rPr>
        <w:t>dollar</w:t>
      </w:r>
      <w:r>
        <w:rPr>
          <w:spacing w:val="-2"/>
          <w:sz w:val="24"/>
        </w:rPr>
        <w:t xml:space="preserve"> </w:t>
      </w:r>
      <w:r>
        <w:rPr>
          <w:sz w:val="24"/>
        </w:rPr>
        <w:t xml:space="preserve">amount and </w:t>
      </w:r>
      <w:r>
        <w:rPr>
          <w:spacing w:val="-2"/>
          <w:sz w:val="24"/>
        </w:rPr>
        <w:t>within</w:t>
      </w:r>
    </w:p>
    <w:p>
      <w:pPr>
        <w:pStyle w:val="BodyText"/>
        <w:ind w:left="1224"/>
      </w:pPr>
      <w:r>
        <w:t>+/</w:t>
      </w:r>
      <w:r>
        <w:rPr>
          <w:sz w:val="21"/>
        </w:rPr>
        <w:t>−</w:t>
      </w:r>
      <w:r>
        <w:t>$0.50</w:t>
      </w:r>
      <w:r>
        <w:rPr>
          <w:spacing w:val="-2"/>
        </w:rPr>
        <w:t xml:space="preserve"> </w:t>
      </w:r>
      <w:r>
        <w:t>of</w:t>
      </w:r>
      <w:r>
        <w:rPr>
          <w:spacing w:val="-2"/>
        </w:rPr>
        <w:t xml:space="preserve"> </w:t>
      </w:r>
      <w:r>
        <w:t>the</w:t>
      </w:r>
      <w:r>
        <w:rPr>
          <w:spacing w:val="-1"/>
        </w:rPr>
        <w:t xml:space="preserve"> </w:t>
      </w:r>
      <w:r>
        <w:t>total</w:t>
      </w:r>
      <w:r>
        <w:rPr>
          <w:spacing w:val="-1"/>
        </w:rPr>
        <w:t xml:space="preserve"> </w:t>
      </w:r>
      <w:r>
        <w:t>plan</w:t>
      </w:r>
      <w:r>
        <w:rPr>
          <w:spacing w:val="-1"/>
        </w:rPr>
        <w:t xml:space="preserve"> </w:t>
      </w:r>
      <w:r>
        <w:t>premium</w:t>
      </w:r>
      <w:r>
        <w:rPr>
          <w:spacing w:val="-1"/>
        </w:rPr>
        <w:t xml:space="preserve"> </w:t>
      </w:r>
      <w:r>
        <w:t>after</w:t>
      </w:r>
      <w:r>
        <w:rPr>
          <w:spacing w:val="-1"/>
        </w:rPr>
        <w:t xml:space="preserve"> </w:t>
      </w:r>
      <w:r>
        <w:t xml:space="preserve">rebate </w:t>
      </w:r>
      <w:r>
        <w:rPr>
          <w:spacing w:val="-2"/>
        </w:rPr>
        <w:t>reallocation.</w:t>
      </w:r>
    </w:p>
    <w:p>
      <w:pPr>
        <w:pStyle w:val="BodyText"/>
        <w:spacing w:after="0"/>
        <w:sectPr>
          <w:pgSz w:w="12240" w:h="15840"/>
          <w:pgMar w:top="960" w:right="0" w:bottom="940" w:left="1080" w:header="727" w:footer="747"/>
          <w:cols w:space="720"/>
        </w:sectPr>
      </w:pPr>
    </w:p>
    <w:p>
      <w:pPr>
        <w:pStyle w:val="BodyText"/>
        <w:spacing w:before="245"/>
        <w:ind w:left="0"/>
        <w:rPr>
          <w:sz w:val="28"/>
        </w:rPr>
      </w:pPr>
    </w:p>
    <w:p>
      <w:pPr>
        <w:pStyle w:val="Heading1"/>
        <w:spacing w:line="322" w:lineRule="exact"/>
        <w:ind w:left="504"/>
        <w:rPr>
          <w:u w:val="none"/>
        </w:rPr>
      </w:pPr>
      <w:bookmarkStart w:id="396" w:name="Appendix F – Suggested Mapping of MA PBP"/>
      <w:bookmarkEnd w:id="396"/>
      <w:bookmarkStart w:id="397" w:name="_bookmark100"/>
      <w:bookmarkEnd w:id="397"/>
      <w:r>
        <w:rPr>
          <w:u w:val="none"/>
        </w:rPr>
        <w:t>APPENDIX</w:t>
      </w:r>
      <w:r>
        <w:rPr>
          <w:spacing w:val="-7"/>
          <w:u w:val="none"/>
        </w:rPr>
        <w:t xml:space="preserve"> </w:t>
      </w:r>
      <w:r>
        <w:rPr>
          <w:u w:val="none"/>
        </w:rPr>
        <w:t>F</w:t>
      </w:r>
      <w:r>
        <w:rPr>
          <w:spacing w:val="-4"/>
          <w:u w:val="none"/>
        </w:rPr>
        <w:t xml:space="preserve"> </w:t>
      </w:r>
      <w:r>
        <w:rPr>
          <w:u w:val="none"/>
        </w:rPr>
        <w:t>–</w:t>
      </w:r>
      <w:r>
        <w:rPr>
          <w:spacing w:val="-3"/>
          <w:u w:val="none"/>
        </w:rPr>
        <w:t xml:space="preserve"> </w:t>
      </w:r>
      <w:r>
        <w:rPr>
          <w:u w:val="none"/>
        </w:rPr>
        <w:t>SUGGESTED</w:t>
      </w:r>
      <w:r>
        <w:rPr>
          <w:spacing w:val="-6"/>
          <w:u w:val="none"/>
        </w:rPr>
        <w:t xml:space="preserve"> </w:t>
      </w:r>
      <w:r>
        <w:rPr>
          <w:u w:val="none"/>
        </w:rPr>
        <w:t>MAPPING</w:t>
      </w:r>
      <w:r>
        <w:rPr>
          <w:spacing w:val="-7"/>
          <w:u w:val="none"/>
        </w:rPr>
        <w:t xml:space="preserve"> </w:t>
      </w:r>
      <w:r>
        <w:rPr>
          <w:u w:val="none"/>
        </w:rPr>
        <w:t>OF</w:t>
      </w:r>
      <w:r>
        <w:rPr>
          <w:spacing w:val="-3"/>
          <w:u w:val="none"/>
        </w:rPr>
        <w:t xml:space="preserve"> </w:t>
      </w:r>
      <w:r>
        <w:rPr>
          <w:u w:val="none"/>
        </w:rPr>
        <w:t>MA</w:t>
      </w:r>
      <w:r>
        <w:rPr>
          <w:spacing w:val="-5"/>
          <w:u w:val="none"/>
        </w:rPr>
        <w:t xml:space="preserve"> </w:t>
      </w:r>
      <w:r>
        <w:rPr>
          <w:u w:val="none"/>
        </w:rPr>
        <w:t>PBP</w:t>
      </w:r>
      <w:r>
        <w:rPr>
          <w:spacing w:val="-7"/>
          <w:u w:val="none"/>
        </w:rPr>
        <w:t xml:space="preserve"> </w:t>
      </w:r>
      <w:r>
        <w:rPr>
          <w:u w:val="none"/>
        </w:rPr>
        <w:t>CATEGORIES</w:t>
      </w:r>
      <w:r>
        <w:rPr>
          <w:spacing w:val="-6"/>
          <w:u w:val="none"/>
        </w:rPr>
        <w:t xml:space="preserve"> </w:t>
      </w:r>
      <w:r>
        <w:rPr>
          <w:spacing w:val="-5"/>
          <w:u w:val="none"/>
        </w:rPr>
        <w:t>TO</w:t>
      </w:r>
    </w:p>
    <w:p>
      <w:pPr>
        <w:tabs>
          <w:tab w:val="left" w:pos="9750"/>
        </w:tabs>
        <w:spacing w:before="0"/>
        <w:ind w:left="475" w:right="0" w:firstLine="0"/>
        <w:jc w:val="left"/>
        <w:rPr>
          <w:rFonts w:ascii="Arial"/>
          <w:b/>
          <w:sz w:val="28"/>
        </w:rPr>
      </w:pPr>
      <w:r>
        <w:rPr>
          <w:rFonts w:ascii="Arial"/>
          <w:b/>
          <w:spacing w:val="-50"/>
          <w:sz w:val="28"/>
          <w:u w:val="single"/>
        </w:rPr>
        <w:t xml:space="preserve"> </w:t>
      </w:r>
      <w:r>
        <w:rPr>
          <w:rFonts w:ascii="Arial"/>
          <w:b/>
          <w:sz w:val="28"/>
          <w:u w:val="single"/>
        </w:rPr>
        <w:t>BPT</w:t>
      </w:r>
      <w:r>
        <w:rPr>
          <w:rFonts w:ascii="Arial"/>
          <w:b/>
          <w:spacing w:val="-3"/>
          <w:sz w:val="28"/>
          <w:u w:val="single"/>
        </w:rPr>
        <w:t xml:space="preserve"> </w:t>
      </w:r>
      <w:r>
        <w:rPr>
          <w:rFonts w:ascii="Arial"/>
          <w:b/>
          <w:spacing w:val="-2"/>
          <w:sz w:val="28"/>
          <w:u w:val="single"/>
        </w:rPr>
        <w:t>CATEGORIES</w:t>
      </w:r>
      <w:r>
        <w:rPr>
          <w:rFonts w:ascii="Arial"/>
          <w:b/>
          <w:sz w:val="28"/>
          <w:u w:val="single"/>
        </w:rPr>
        <w:tab/>
      </w:r>
    </w:p>
    <w:p>
      <w:pPr>
        <w:pStyle w:val="BodyText"/>
        <w:spacing w:before="268"/>
        <w:ind w:right="1481"/>
      </w:pPr>
      <w:r>
        <w:t>The</w:t>
      </w:r>
      <w:r>
        <w:rPr>
          <w:spacing w:val="-5"/>
        </w:rPr>
        <w:t xml:space="preserve"> </w:t>
      </w:r>
      <w:r>
        <w:t>MA</w:t>
      </w:r>
      <w:r>
        <w:rPr>
          <w:spacing w:val="-4"/>
        </w:rPr>
        <w:t xml:space="preserve"> </w:t>
      </w:r>
      <w:r>
        <w:t>BPT</w:t>
      </w:r>
      <w:r>
        <w:rPr>
          <w:spacing w:val="-3"/>
        </w:rPr>
        <w:t xml:space="preserve"> </w:t>
      </w:r>
      <w:r>
        <w:t>contains</w:t>
      </w:r>
      <w:r>
        <w:rPr>
          <w:spacing w:val="-4"/>
        </w:rPr>
        <w:t xml:space="preserve"> </w:t>
      </w:r>
      <w:r>
        <w:t>benefit</w:t>
      </w:r>
      <w:r>
        <w:rPr>
          <w:spacing w:val="-3"/>
        </w:rPr>
        <w:t xml:space="preserve"> </w:t>
      </w:r>
      <w:r>
        <w:t>categories</w:t>
      </w:r>
      <w:r>
        <w:rPr>
          <w:spacing w:val="-4"/>
        </w:rPr>
        <w:t xml:space="preserve"> </w:t>
      </w:r>
      <w:r>
        <w:t>that</w:t>
      </w:r>
      <w:r>
        <w:rPr>
          <w:spacing w:val="-3"/>
        </w:rPr>
        <w:t xml:space="preserve"> </w:t>
      </w:r>
      <w:r>
        <w:t>do</w:t>
      </w:r>
      <w:r>
        <w:rPr>
          <w:spacing w:val="-1"/>
        </w:rPr>
        <w:t xml:space="preserve"> </w:t>
      </w:r>
      <w:r>
        <w:t>not</w:t>
      </w:r>
      <w:r>
        <w:rPr>
          <w:spacing w:val="-3"/>
        </w:rPr>
        <w:t xml:space="preserve"> </w:t>
      </w:r>
      <w:r>
        <w:t>correlate</w:t>
      </w:r>
      <w:r>
        <w:rPr>
          <w:spacing w:val="-4"/>
        </w:rPr>
        <w:t xml:space="preserve"> </w:t>
      </w:r>
      <w:r>
        <w:t>line-by-line</w:t>
      </w:r>
      <w:r>
        <w:rPr>
          <w:spacing w:val="-2"/>
        </w:rPr>
        <w:t xml:space="preserve"> </w:t>
      </w:r>
      <w:r>
        <w:t>with</w:t>
      </w:r>
      <w:r>
        <w:rPr>
          <w:spacing w:val="-3"/>
        </w:rPr>
        <w:t xml:space="preserve"> </w:t>
      </w:r>
      <w:r>
        <w:t>the</w:t>
      </w:r>
      <w:r>
        <w:rPr>
          <w:spacing w:val="-4"/>
        </w:rPr>
        <w:t xml:space="preserve"> </w:t>
      </w:r>
      <w:r>
        <w:t>MA</w:t>
      </w:r>
      <w:r>
        <w:rPr>
          <w:spacing w:val="-4"/>
        </w:rPr>
        <w:t xml:space="preserve"> </w:t>
      </w:r>
      <w:r>
        <w:t>PBP. The BPT was developed to include a reasonable number of benefit categories for pricing purposes and to provide benefit groupings that are consistent with organizations’ accounting and claims systems.</w:t>
      </w:r>
    </w:p>
    <w:p>
      <w:pPr>
        <w:pStyle w:val="BodyText"/>
        <w:spacing w:before="120"/>
        <w:ind w:right="1481"/>
      </w:pPr>
      <w:r>
        <w:t>The chart below provides a suggested mapping of the PBP and BPT benefit categories. This mapping</w:t>
      </w:r>
      <w:r>
        <w:rPr>
          <w:spacing w:val="-3"/>
        </w:rPr>
        <w:t xml:space="preserve"> </w:t>
      </w:r>
      <w:r>
        <w:t>is</w:t>
      </w:r>
      <w:r>
        <w:rPr>
          <w:spacing w:val="-4"/>
        </w:rPr>
        <w:t xml:space="preserve"> </w:t>
      </w:r>
      <w:r>
        <w:t>not</w:t>
      </w:r>
      <w:r>
        <w:rPr>
          <w:spacing w:val="-2"/>
        </w:rPr>
        <w:t xml:space="preserve"> </w:t>
      </w:r>
      <w:r>
        <w:t>intended</w:t>
      </w:r>
      <w:r>
        <w:rPr>
          <w:spacing w:val="-3"/>
        </w:rPr>
        <w:t xml:space="preserve"> </w:t>
      </w:r>
      <w:r>
        <w:t>to</w:t>
      </w:r>
      <w:r>
        <w:rPr>
          <w:spacing w:val="-3"/>
        </w:rPr>
        <w:t xml:space="preserve"> </w:t>
      </w:r>
      <w:r>
        <w:t>represent</w:t>
      </w:r>
      <w:r>
        <w:rPr>
          <w:spacing w:val="-3"/>
        </w:rPr>
        <w:t xml:space="preserve"> </w:t>
      </w:r>
      <w:r>
        <w:t>the</w:t>
      </w:r>
      <w:r>
        <w:rPr>
          <w:spacing w:val="-4"/>
        </w:rPr>
        <w:t xml:space="preserve"> </w:t>
      </w:r>
      <w:r>
        <w:t>only</w:t>
      </w:r>
      <w:r>
        <w:rPr>
          <w:spacing w:val="-3"/>
        </w:rPr>
        <w:t xml:space="preserve"> </w:t>
      </w:r>
      <w:r>
        <w:t>method</w:t>
      </w:r>
      <w:r>
        <w:rPr>
          <w:spacing w:val="-3"/>
        </w:rPr>
        <w:t xml:space="preserve"> </w:t>
      </w:r>
      <w:r>
        <w:t>of</w:t>
      </w:r>
      <w:r>
        <w:rPr>
          <w:spacing w:val="-3"/>
        </w:rPr>
        <w:t xml:space="preserve"> </w:t>
      </w:r>
      <w:r>
        <w:t>reporting</w:t>
      </w:r>
      <w:r>
        <w:rPr>
          <w:spacing w:val="-3"/>
        </w:rPr>
        <w:t xml:space="preserve"> </w:t>
      </w:r>
      <w:r>
        <w:t>benefits</w:t>
      </w:r>
      <w:r>
        <w:rPr>
          <w:spacing w:val="-4"/>
        </w:rPr>
        <w:t xml:space="preserve"> </w:t>
      </w:r>
      <w:r>
        <w:t>in</w:t>
      </w:r>
      <w:r>
        <w:rPr>
          <w:spacing w:val="-3"/>
        </w:rPr>
        <w:t xml:space="preserve"> </w:t>
      </w:r>
      <w:r>
        <w:t>the</w:t>
      </w:r>
      <w:r>
        <w:rPr>
          <w:spacing w:val="-3"/>
        </w:rPr>
        <w:t xml:space="preserve"> </w:t>
      </w:r>
      <w:r>
        <w:t>BPT;</w:t>
      </w:r>
      <w:r>
        <w:rPr>
          <w:spacing w:val="-3"/>
        </w:rPr>
        <w:t xml:space="preserve"> </w:t>
      </w:r>
      <w:r>
        <w:t>rather,</w:t>
      </w:r>
      <w:r>
        <w:rPr>
          <w:spacing w:val="-3"/>
        </w:rPr>
        <w:t xml:space="preserve"> </w:t>
      </w:r>
      <w:r>
        <w:t>it contains one suggested method that may be</w:t>
      </w:r>
      <w:r>
        <w:rPr>
          <w:spacing w:val="-1"/>
        </w:rPr>
        <w:t xml:space="preserve"> </w:t>
      </w:r>
      <w:r>
        <w:t>used. Other</w:t>
      </w:r>
      <w:r>
        <w:rPr>
          <w:spacing w:val="-1"/>
        </w:rPr>
        <w:t xml:space="preserve"> </w:t>
      </w:r>
      <w:r>
        <w:t>reasonable mappings may also be used at the actuary’s discretion. The cost sharing reported on Worksheet 3 must clearly identify where PBP benefit service categories are priced within the BPT service categories (see Worksheet 3 instructions for more details).</w:t>
      </w:r>
    </w:p>
    <w:p>
      <w:pPr>
        <w:pStyle w:val="BodyText"/>
        <w:spacing w:before="121"/>
        <w:ind w:right="1492"/>
      </w:pPr>
      <w:r>
        <w:t>HPMS contains a “Medicare Benefit Description Report” with further information regarding the</w:t>
      </w:r>
      <w:r>
        <w:rPr>
          <w:spacing w:val="-3"/>
        </w:rPr>
        <w:t xml:space="preserve"> </w:t>
      </w:r>
      <w:r>
        <w:t>PBP</w:t>
      </w:r>
      <w:r>
        <w:rPr>
          <w:spacing w:val="-3"/>
        </w:rPr>
        <w:t xml:space="preserve"> </w:t>
      </w:r>
      <w:r>
        <w:t>service</w:t>
      </w:r>
      <w:r>
        <w:rPr>
          <w:spacing w:val="-4"/>
        </w:rPr>
        <w:t xml:space="preserve"> </w:t>
      </w:r>
      <w:r>
        <w:t>categories</w:t>
      </w:r>
      <w:r>
        <w:rPr>
          <w:spacing w:val="-2"/>
        </w:rPr>
        <w:t xml:space="preserve"> </w:t>
      </w:r>
      <w:r>
        <w:t>and</w:t>
      </w:r>
      <w:r>
        <w:rPr>
          <w:spacing w:val="-3"/>
        </w:rPr>
        <w:t xml:space="preserve"> </w:t>
      </w:r>
      <w:r>
        <w:t>a</w:t>
      </w:r>
      <w:r>
        <w:rPr>
          <w:spacing w:val="-4"/>
        </w:rPr>
        <w:t xml:space="preserve"> </w:t>
      </w:r>
      <w:r>
        <w:t>PBP</w:t>
      </w:r>
      <w:r>
        <w:rPr>
          <w:spacing w:val="-2"/>
        </w:rPr>
        <w:t xml:space="preserve"> </w:t>
      </w:r>
      <w:r>
        <w:t>list</w:t>
      </w:r>
      <w:r>
        <w:rPr>
          <w:spacing w:val="-3"/>
        </w:rPr>
        <w:t xml:space="preserve"> </w:t>
      </w:r>
      <w:r>
        <w:t>of</w:t>
      </w:r>
      <w:r>
        <w:rPr>
          <w:spacing w:val="-3"/>
        </w:rPr>
        <w:t xml:space="preserve"> </w:t>
      </w:r>
      <w:r>
        <w:t>changes.</w:t>
      </w:r>
      <w:r>
        <w:rPr>
          <w:spacing w:val="-1"/>
        </w:rPr>
        <w:t xml:space="preserve"> </w:t>
      </w:r>
      <w:r>
        <w:t>In</w:t>
      </w:r>
      <w:r>
        <w:rPr>
          <w:spacing w:val="-3"/>
        </w:rPr>
        <w:t xml:space="preserve"> </w:t>
      </w:r>
      <w:r>
        <w:t>addition,</w:t>
      </w:r>
      <w:r>
        <w:rPr>
          <w:spacing w:val="-3"/>
        </w:rPr>
        <w:t xml:space="preserve"> </w:t>
      </w:r>
      <w:r>
        <w:t>the</w:t>
      </w:r>
      <w:r>
        <w:rPr>
          <w:spacing w:val="-4"/>
        </w:rPr>
        <w:t xml:space="preserve"> </w:t>
      </w:r>
      <w:r>
        <w:rPr>
          <w:i/>
        </w:rPr>
        <w:t>Medicare</w:t>
      </w:r>
      <w:r>
        <w:rPr>
          <w:i/>
          <w:spacing w:val="-4"/>
        </w:rPr>
        <w:t xml:space="preserve"> </w:t>
      </w:r>
      <w:r>
        <w:rPr>
          <w:i/>
        </w:rPr>
        <w:t>Managed</w:t>
      </w:r>
      <w:r>
        <w:rPr>
          <w:i/>
          <w:spacing w:val="-3"/>
        </w:rPr>
        <w:t xml:space="preserve"> </w:t>
      </w:r>
      <w:r>
        <w:rPr>
          <w:i/>
        </w:rPr>
        <w:t>Care</w:t>
      </w:r>
      <w:r>
        <w:rPr>
          <w:i/>
        </w:rPr>
        <w:t xml:space="preserve"> Manual </w:t>
      </w:r>
      <w:r>
        <w:t>may be a helpful resource regarding benefit design.</w:t>
      </w:r>
    </w:p>
    <w:p>
      <w:pPr>
        <w:pStyle w:val="BodyText"/>
        <w:spacing w:before="6"/>
        <w:ind w:left="0"/>
        <w:rPr>
          <w:sz w:val="10"/>
        </w:rPr>
      </w:pPr>
    </w:p>
    <w:tbl>
      <w:tblPr>
        <w:tblStyle w:val="TableNormal"/>
        <w:tblW w:w="0" w:type="auto"/>
        <w:jc w:val="left"/>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4"/>
        <w:gridCol w:w="4174"/>
        <w:gridCol w:w="736"/>
        <w:gridCol w:w="3787"/>
      </w:tblGrid>
      <w:tr>
        <w:tblPrEx>
          <w:tblW w:w="0" w:type="auto"/>
          <w:jc w:val="left"/>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16"/>
          <w:jc w:val="left"/>
        </w:trPr>
        <w:tc>
          <w:tcPr>
            <w:tcW w:w="734" w:type="dxa"/>
          </w:tcPr>
          <w:p>
            <w:pPr>
              <w:pStyle w:val="TableParagraph"/>
              <w:spacing w:before="89"/>
              <w:ind w:left="107"/>
              <w:rPr>
                <w:b/>
                <w:sz w:val="22"/>
              </w:rPr>
            </w:pPr>
            <w:r>
              <w:rPr>
                <w:b/>
                <w:spacing w:val="-5"/>
                <w:sz w:val="22"/>
              </w:rPr>
              <w:t>PBP</w:t>
            </w:r>
          </w:p>
          <w:p>
            <w:pPr>
              <w:pStyle w:val="TableParagraph"/>
              <w:spacing w:before="2" w:line="252" w:lineRule="exact"/>
              <w:ind w:left="107"/>
              <w:rPr>
                <w:b/>
                <w:sz w:val="22"/>
              </w:rPr>
            </w:pPr>
            <w:r>
              <w:rPr>
                <w:b/>
                <w:sz w:val="22"/>
              </w:rPr>
              <w:t>line</w:t>
            </w:r>
            <w:r>
              <w:rPr>
                <w:b/>
                <w:spacing w:val="-3"/>
                <w:sz w:val="22"/>
              </w:rPr>
              <w:t xml:space="preserve"> </w:t>
            </w:r>
            <w:r>
              <w:rPr>
                <w:b/>
                <w:spacing w:val="-10"/>
                <w:sz w:val="22"/>
              </w:rPr>
              <w:t>#</w:t>
            </w:r>
          </w:p>
        </w:tc>
        <w:tc>
          <w:tcPr>
            <w:tcW w:w="4174" w:type="dxa"/>
          </w:tcPr>
          <w:p>
            <w:pPr>
              <w:pStyle w:val="TableParagraph"/>
              <w:spacing w:before="91"/>
              <w:rPr>
                <w:sz w:val="22"/>
              </w:rPr>
            </w:pPr>
          </w:p>
          <w:p>
            <w:pPr>
              <w:pStyle w:val="TableParagraph"/>
              <w:spacing w:line="252" w:lineRule="exact"/>
              <w:ind w:left="108"/>
              <w:rPr>
                <w:b/>
                <w:sz w:val="22"/>
              </w:rPr>
            </w:pPr>
            <w:r>
              <w:rPr>
                <w:b/>
                <w:sz w:val="22"/>
              </w:rPr>
              <w:t>PBP</w:t>
            </w:r>
            <w:r>
              <w:rPr>
                <w:b/>
                <w:spacing w:val="-2"/>
                <w:sz w:val="22"/>
              </w:rPr>
              <w:t xml:space="preserve"> Category</w:t>
            </w:r>
          </w:p>
        </w:tc>
        <w:tc>
          <w:tcPr>
            <w:tcW w:w="736" w:type="dxa"/>
          </w:tcPr>
          <w:p>
            <w:pPr>
              <w:pStyle w:val="TableParagraph"/>
              <w:spacing w:before="89"/>
              <w:ind w:left="108"/>
              <w:rPr>
                <w:b/>
                <w:sz w:val="22"/>
              </w:rPr>
            </w:pPr>
            <w:r>
              <w:rPr>
                <w:b/>
                <w:spacing w:val="-5"/>
                <w:sz w:val="22"/>
              </w:rPr>
              <w:t>BPT</w:t>
            </w:r>
          </w:p>
          <w:p>
            <w:pPr>
              <w:pStyle w:val="TableParagraph"/>
              <w:spacing w:before="2" w:line="252" w:lineRule="exact"/>
              <w:ind w:left="108"/>
              <w:rPr>
                <w:b/>
                <w:sz w:val="22"/>
              </w:rPr>
            </w:pPr>
            <w:r>
              <w:rPr>
                <w:b/>
                <w:sz w:val="22"/>
              </w:rPr>
              <w:t>line</w:t>
            </w:r>
            <w:r>
              <w:rPr>
                <w:b/>
                <w:spacing w:val="-3"/>
                <w:sz w:val="22"/>
              </w:rPr>
              <w:t xml:space="preserve"> </w:t>
            </w:r>
            <w:r>
              <w:rPr>
                <w:b/>
                <w:spacing w:val="-10"/>
                <w:sz w:val="22"/>
              </w:rPr>
              <w:t>#</w:t>
            </w:r>
          </w:p>
        </w:tc>
        <w:tc>
          <w:tcPr>
            <w:tcW w:w="3787" w:type="dxa"/>
          </w:tcPr>
          <w:p>
            <w:pPr>
              <w:pStyle w:val="TableParagraph"/>
              <w:spacing w:before="89" w:line="250" w:lineRule="atLeast"/>
              <w:ind w:left="109"/>
              <w:rPr>
                <w:b/>
                <w:sz w:val="22"/>
              </w:rPr>
            </w:pPr>
            <w:r>
              <w:rPr>
                <w:b/>
                <w:sz w:val="22"/>
              </w:rPr>
              <w:t>Corresponding BPT Category: Description/Note</w:t>
            </w:r>
            <w:r>
              <w:rPr>
                <w:b/>
                <w:spacing w:val="-14"/>
                <w:sz w:val="22"/>
              </w:rPr>
              <w:t xml:space="preserve"> </w:t>
            </w:r>
            <w:r>
              <w:rPr>
                <w:b/>
                <w:sz w:val="22"/>
              </w:rPr>
              <w:t>(Worksheet</w:t>
            </w:r>
            <w:r>
              <w:rPr>
                <w:b/>
                <w:spacing w:val="-14"/>
                <w:sz w:val="22"/>
              </w:rPr>
              <w:t xml:space="preserve"> </w:t>
            </w:r>
            <w:r>
              <w:rPr>
                <w:b/>
                <w:sz w:val="22"/>
              </w:rPr>
              <w:t>3)</w:t>
            </w:r>
          </w:p>
        </w:tc>
      </w:tr>
      <w:tr>
        <w:tblPrEx>
          <w:tblW w:w="0" w:type="auto"/>
          <w:jc w:val="left"/>
          <w:tblInd w:w="622" w:type="dxa"/>
          <w:tblLayout w:type="fixed"/>
          <w:tblCellMar>
            <w:top w:w="0" w:type="dxa"/>
            <w:left w:w="0" w:type="dxa"/>
            <w:bottom w:w="0" w:type="dxa"/>
            <w:right w:w="0" w:type="dxa"/>
          </w:tblCellMar>
          <w:tblLook w:val="01E0"/>
        </w:tblPrEx>
        <w:trPr>
          <w:trHeight w:val="251"/>
          <w:jc w:val="left"/>
        </w:trPr>
        <w:tc>
          <w:tcPr>
            <w:tcW w:w="4908" w:type="dxa"/>
            <w:gridSpan w:val="2"/>
          </w:tcPr>
          <w:p>
            <w:pPr>
              <w:pStyle w:val="TableParagraph"/>
              <w:spacing w:line="232" w:lineRule="exact"/>
              <w:ind w:left="107"/>
              <w:rPr>
                <w:b/>
                <w:sz w:val="22"/>
              </w:rPr>
            </w:pPr>
            <w:r>
              <w:rPr>
                <w:b/>
                <w:sz w:val="22"/>
              </w:rPr>
              <w:t>Benefit</w:t>
            </w:r>
            <w:r>
              <w:rPr>
                <w:b/>
                <w:spacing w:val="-6"/>
                <w:sz w:val="22"/>
              </w:rPr>
              <w:t xml:space="preserve"> </w:t>
            </w:r>
            <w:r>
              <w:rPr>
                <w:b/>
                <w:spacing w:val="-2"/>
                <w:sz w:val="22"/>
              </w:rPr>
              <w:t>Offerings</w:t>
            </w:r>
          </w:p>
        </w:tc>
        <w:tc>
          <w:tcPr>
            <w:tcW w:w="736" w:type="dxa"/>
          </w:tcPr>
          <w:p>
            <w:pPr>
              <w:pStyle w:val="TableParagraph"/>
              <w:rPr>
                <w:sz w:val="18"/>
              </w:rPr>
            </w:pPr>
          </w:p>
        </w:tc>
        <w:tc>
          <w:tcPr>
            <w:tcW w:w="3787" w:type="dxa"/>
          </w:tcPr>
          <w:p>
            <w:pPr>
              <w:pStyle w:val="TableParagraph"/>
              <w:rPr>
                <w:sz w:val="18"/>
              </w:rPr>
            </w:pPr>
          </w:p>
        </w:tc>
      </w:tr>
      <w:tr>
        <w:tblPrEx>
          <w:tblW w:w="0" w:type="auto"/>
          <w:jc w:val="left"/>
          <w:tblInd w:w="622" w:type="dxa"/>
          <w:tblLayout w:type="fixed"/>
          <w:tblCellMar>
            <w:top w:w="0" w:type="dxa"/>
            <w:left w:w="0" w:type="dxa"/>
            <w:bottom w:w="0" w:type="dxa"/>
            <w:right w:w="0" w:type="dxa"/>
          </w:tblCellMar>
          <w:tblLook w:val="01E0"/>
        </w:tblPrEx>
        <w:trPr>
          <w:trHeight w:val="253"/>
          <w:jc w:val="left"/>
        </w:trPr>
        <w:tc>
          <w:tcPr>
            <w:tcW w:w="734" w:type="dxa"/>
          </w:tcPr>
          <w:p>
            <w:pPr>
              <w:pStyle w:val="TableParagraph"/>
              <w:spacing w:before="1" w:line="233" w:lineRule="exact"/>
              <w:ind w:left="107"/>
              <w:rPr>
                <w:sz w:val="22"/>
              </w:rPr>
            </w:pPr>
            <w:r>
              <w:rPr>
                <w:spacing w:val="-5"/>
                <w:sz w:val="22"/>
              </w:rPr>
              <w:t>1a</w:t>
            </w:r>
          </w:p>
        </w:tc>
        <w:tc>
          <w:tcPr>
            <w:tcW w:w="4174" w:type="dxa"/>
          </w:tcPr>
          <w:p>
            <w:pPr>
              <w:pStyle w:val="TableParagraph"/>
              <w:spacing w:before="1" w:line="233" w:lineRule="exact"/>
              <w:ind w:left="108"/>
              <w:rPr>
                <w:sz w:val="22"/>
              </w:rPr>
            </w:pPr>
            <w:r>
              <w:rPr>
                <w:sz w:val="22"/>
              </w:rPr>
              <w:t>Inpatient</w:t>
            </w:r>
            <w:r>
              <w:rPr>
                <w:spacing w:val="-3"/>
                <w:sz w:val="22"/>
              </w:rPr>
              <w:t xml:space="preserve"> </w:t>
            </w:r>
            <w:r>
              <w:rPr>
                <w:sz w:val="22"/>
              </w:rPr>
              <w:t>Hospital</w:t>
            </w:r>
            <w:r>
              <w:rPr>
                <w:spacing w:val="-2"/>
                <w:sz w:val="22"/>
              </w:rPr>
              <w:t xml:space="preserve"> </w:t>
            </w:r>
            <w:r>
              <w:rPr>
                <w:sz w:val="22"/>
              </w:rPr>
              <w:t>–</w:t>
            </w:r>
            <w:r>
              <w:rPr>
                <w:spacing w:val="-3"/>
                <w:sz w:val="22"/>
              </w:rPr>
              <w:t xml:space="preserve"> </w:t>
            </w:r>
            <w:r>
              <w:rPr>
                <w:spacing w:val="-4"/>
                <w:sz w:val="22"/>
              </w:rPr>
              <w:t>Acute</w:t>
            </w:r>
          </w:p>
        </w:tc>
        <w:tc>
          <w:tcPr>
            <w:tcW w:w="736" w:type="dxa"/>
          </w:tcPr>
          <w:p>
            <w:pPr>
              <w:pStyle w:val="TableParagraph"/>
              <w:spacing w:before="1" w:line="233" w:lineRule="exact"/>
              <w:ind w:left="108"/>
              <w:rPr>
                <w:sz w:val="22"/>
              </w:rPr>
            </w:pPr>
            <w:r>
              <w:rPr>
                <w:spacing w:val="-5"/>
                <w:sz w:val="22"/>
              </w:rPr>
              <w:t>a1</w:t>
            </w:r>
          </w:p>
        </w:tc>
        <w:tc>
          <w:tcPr>
            <w:tcW w:w="3787" w:type="dxa"/>
          </w:tcPr>
          <w:p>
            <w:pPr>
              <w:pStyle w:val="TableParagraph"/>
              <w:spacing w:before="1" w:line="233" w:lineRule="exact"/>
              <w:ind w:left="109"/>
              <w:rPr>
                <w:sz w:val="22"/>
              </w:rPr>
            </w:pPr>
            <w:r>
              <w:rPr>
                <w:sz w:val="22"/>
              </w:rPr>
              <w:t>Inpatient</w:t>
            </w:r>
            <w:r>
              <w:rPr>
                <w:spacing w:val="-8"/>
                <w:sz w:val="22"/>
              </w:rPr>
              <w:t xml:space="preserve"> </w:t>
            </w:r>
            <w:r>
              <w:rPr>
                <w:sz w:val="22"/>
              </w:rPr>
              <w:t>Facility:</w:t>
            </w:r>
            <w:r>
              <w:rPr>
                <w:spacing w:val="-5"/>
                <w:sz w:val="22"/>
              </w:rPr>
              <w:t xml:space="preserve"> </w:t>
            </w:r>
            <w:r>
              <w:rPr>
                <w:spacing w:val="-4"/>
                <w:sz w:val="22"/>
              </w:rPr>
              <w:t>Acute</w:t>
            </w:r>
          </w:p>
        </w:tc>
      </w:tr>
      <w:tr>
        <w:tblPrEx>
          <w:tblW w:w="0" w:type="auto"/>
          <w:jc w:val="left"/>
          <w:tblInd w:w="6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5"/>
                <w:sz w:val="22"/>
              </w:rPr>
              <w:t>1b</w:t>
            </w:r>
          </w:p>
        </w:tc>
        <w:tc>
          <w:tcPr>
            <w:tcW w:w="4174" w:type="dxa"/>
          </w:tcPr>
          <w:p>
            <w:pPr>
              <w:pStyle w:val="TableParagraph"/>
              <w:spacing w:line="232" w:lineRule="exact"/>
              <w:ind w:left="108"/>
              <w:rPr>
                <w:sz w:val="22"/>
              </w:rPr>
            </w:pPr>
            <w:r>
              <w:rPr>
                <w:sz w:val="22"/>
              </w:rPr>
              <w:t>Inpatient</w:t>
            </w:r>
            <w:r>
              <w:rPr>
                <w:spacing w:val="-5"/>
                <w:sz w:val="22"/>
              </w:rPr>
              <w:t xml:space="preserve"> </w:t>
            </w:r>
            <w:r>
              <w:rPr>
                <w:sz w:val="22"/>
              </w:rPr>
              <w:t>Hospital</w:t>
            </w:r>
            <w:r>
              <w:rPr>
                <w:spacing w:val="-4"/>
                <w:sz w:val="22"/>
              </w:rPr>
              <w:t xml:space="preserve"> </w:t>
            </w:r>
            <w:r>
              <w:rPr>
                <w:spacing w:val="-2"/>
                <w:sz w:val="22"/>
              </w:rPr>
              <w:t>Psychiatric</w:t>
            </w:r>
          </w:p>
        </w:tc>
        <w:tc>
          <w:tcPr>
            <w:tcW w:w="736" w:type="dxa"/>
          </w:tcPr>
          <w:p>
            <w:pPr>
              <w:pStyle w:val="TableParagraph"/>
              <w:spacing w:line="232" w:lineRule="exact"/>
              <w:ind w:left="108"/>
              <w:rPr>
                <w:sz w:val="22"/>
              </w:rPr>
            </w:pPr>
            <w:r>
              <w:rPr>
                <w:spacing w:val="-5"/>
                <w:sz w:val="22"/>
              </w:rPr>
              <w:t>a2</w:t>
            </w:r>
          </w:p>
        </w:tc>
        <w:tc>
          <w:tcPr>
            <w:tcW w:w="3787" w:type="dxa"/>
          </w:tcPr>
          <w:p>
            <w:pPr>
              <w:pStyle w:val="TableParagraph"/>
              <w:spacing w:line="232" w:lineRule="exact"/>
              <w:ind w:left="109"/>
              <w:rPr>
                <w:sz w:val="22"/>
              </w:rPr>
            </w:pPr>
            <w:r>
              <w:rPr>
                <w:sz w:val="22"/>
              </w:rPr>
              <w:t>Inpatient</w:t>
            </w:r>
            <w:r>
              <w:rPr>
                <w:spacing w:val="-6"/>
                <w:sz w:val="22"/>
              </w:rPr>
              <w:t xml:space="preserve"> </w:t>
            </w:r>
            <w:r>
              <w:rPr>
                <w:sz w:val="22"/>
              </w:rPr>
              <w:t>Facility:</w:t>
            </w:r>
            <w:r>
              <w:rPr>
                <w:spacing w:val="-5"/>
                <w:sz w:val="22"/>
              </w:rPr>
              <w:t xml:space="preserve"> </w:t>
            </w:r>
            <w:r>
              <w:rPr>
                <w:sz w:val="22"/>
              </w:rPr>
              <w:t>Mental</w:t>
            </w:r>
            <w:r>
              <w:rPr>
                <w:spacing w:val="-7"/>
                <w:sz w:val="22"/>
              </w:rPr>
              <w:t xml:space="preserve"> </w:t>
            </w:r>
            <w:r>
              <w:rPr>
                <w:spacing w:val="-2"/>
                <w:sz w:val="22"/>
              </w:rPr>
              <w:t>Health</w:t>
            </w:r>
          </w:p>
        </w:tc>
      </w:tr>
      <w:tr>
        <w:tblPrEx>
          <w:tblW w:w="0" w:type="auto"/>
          <w:jc w:val="left"/>
          <w:tblInd w:w="622" w:type="dxa"/>
          <w:tblLayout w:type="fixed"/>
          <w:tblCellMar>
            <w:top w:w="0" w:type="dxa"/>
            <w:left w:w="0" w:type="dxa"/>
            <w:bottom w:w="0" w:type="dxa"/>
            <w:right w:w="0" w:type="dxa"/>
          </w:tblCellMar>
          <w:tblLook w:val="01E0"/>
        </w:tblPrEx>
        <w:trPr>
          <w:trHeight w:val="254"/>
          <w:jc w:val="left"/>
        </w:trPr>
        <w:tc>
          <w:tcPr>
            <w:tcW w:w="734" w:type="dxa"/>
          </w:tcPr>
          <w:p>
            <w:pPr>
              <w:pStyle w:val="TableParagraph"/>
              <w:spacing w:before="1" w:line="233" w:lineRule="exact"/>
              <w:ind w:left="107"/>
              <w:rPr>
                <w:sz w:val="22"/>
              </w:rPr>
            </w:pPr>
            <w:r>
              <w:rPr>
                <w:spacing w:val="-10"/>
                <w:sz w:val="22"/>
              </w:rPr>
              <w:t>2</w:t>
            </w:r>
          </w:p>
        </w:tc>
        <w:tc>
          <w:tcPr>
            <w:tcW w:w="4174" w:type="dxa"/>
          </w:tcPr>
          <w:p>
            <w:pPr>
              <w:pStyle w:val="TableParagraph"/>
              <w:spacing w:before="1" w:line="233" w:lineRule="exact"/>
              <w:ind w:left="108"/>
              <w:rPr>
                <w:sz w:val="22"/>
              </w:rPr>
            </w:pPr>
            <w:r>
              <w:rPr>
                <w:sz w:val="22"/>
              </w:rPr>
              <w:t>Skilled</w:t>
            </w:r>
            <w:r>
              <w:rPr>
                <w:spacing w:val="-5"/>
                <w:sz w:val="22"/>
              </w:rPr>
              <w:t xml:space="preserve"> </w:t>
            </w:r>
            <w:r>
              <w:rPr>
                <w:sz w:val="22"/>
              </w:rPr>
              <w:t>Nursing</w:t>
            </w:r>
            <w:r>
              <w:rPr>
                <w:spacing w:val="-5"/>
                <w:sz w:val="22"/>
              </w:rPr>
              <w:t xml:space="preserve"> </w:t>
            </w:r>
            <w:r>
              <w:rPr>
                <w:sz w:val="22"/>
              </w:rPr>
              <w:t>Facility</w:t>
            </w:r>
            <w:r>
              <w:rPr>
                <w:spacing w:val="-4"/>
                <w:sz w:val="22"/>
              </w:rPr>
              <w:t xml:space="preserve"> </w:t>
            </w:r>
            <w:r>
              <w:rPr>
                <w:spacing w:val="-2"/>
                <w:sz w:val="22"/>
              </w:rPr>
              <w:t>(SNF)</w:t>
            </w:r>
          </w:p>
        </w:tc>
        <w:tc>
          <w:tcPr>
            <w:tcW w:w="736" w:type="dxa"/>
          </w:tcPr>
          <w:p>
            <w:pPr>
              <w:pStyle w:val="TableParagraph"/>
              <w:spacing w:before="1" w:line="233" w:lineRule="exact"/>
              <w:ind w:left="108"/>
              <w:rPr>
                <w:sz w:val="22"/>
              </w:rPr>
            </w:pPr>
            <w:r>
              <w:rPr>
                <w:spacing w:val="-10"/>
                <w:sz w:val="22"/>
              </w:rPr>
              <w:t>b</w:t>
            </w:r>
          </w:p>
        </w:tc>
        <w:tc>
          <w:tcPr>
            <w:tcW w:w="3787" w:type="dxa"/>
          </w:tcPr>
          <w:p>
            <w:pPr>
              <w:pStyle w:val="TableParagraph"/>
              <w:spacing w:before="1" w:line="233" w:lineRule="exact"/>
              <w:ind w:left="109"/>
              <w:rPr>
                <w:sz w:val="22"/>
              </w:rPr>
            </w:pPr>
            <w:r>
              <w:rPr>
                <w:sz w:val="22"/>
              </w:rPr>
              <w:t>Skilled</w:t>
            </w:r>
            <w:r>
              <w:rPr>
                <w:spacing w:val="-4"/>
                <w:sz w:val="22"/>
              </w:rPr>
              <w:t xml:space="preserve"> </w:t>
            </w:r>
            <w:r>
              <w:rPr>
                <w:sz w:val="22"/>
              </w:rPr>
              <w:t>Nursing</w:t>
            </w:r>
            <w:r>
              <w:rPr>
                <w:spacing w:val="-4"/>
                <w:sz w:val="22"/>
              </w:rPr>
              <w:t xml:space="preserve"> </w:t>
            </w:r>
            <w:r>
              <w:rPr>
                <w:spacing w:val="-2"/>
                <w:sz w:val="22"/>
              </w:rPr>
              <w:t>Facility</w:t>
            </w:r>
          </w:p>
        </w:tc>
      </w:tr>
      <w:tr>
        <w:tblPrEx>
          <w:tblW w:w="0" w:type="auto"/>
          <w:jc w:val="left"/>
          <w:tblInd w:w="622" w:type="dxa"/>
          <w:tblLayout w:type="fixed"/>
          <w:tblCellMar>
            <w:top w:w="0" w:type="dxa"/>
            <w:left w:w="0" w:type="dxa"/>
            <w:bottom w:w="0" w:type="dxa"/>
            <w:right w:w="0" w:type="dxa"/>
          </w:tblCellMar>
          <w:tblLook w:val="01E0"/>
        </w:tblPrEx>
        <w:trPr>
          <w:trHeight w:val="506"/>
          <w:jc w:val="left"/>
        </w:trPr>
        <w:tc>
          <w:tcPr>
            <w:tcW w:w="734" w:type="dxa"/>
          </w:tcPr>
          <w:p>
            <w:pPr>
              <w:pStyle w:val="TableParagraph"/>
              <w:spacing w:line="252" w:lineRule="exact"/>
              <w:ind w:left="107"/>
              <w:rPr>
                <w:sz w:val="22"/>
              </w:rPr>
            </w:pPr>
            <w:r>
              <w:rPr>
                <w:spacing w:val="-10"/>
                <w:sz w:val="22"/>
              </w:rPr>
              <w:t>3</w:t>
            </w:r>
          </w:p>
        </w:tc>
        <w:tc>
          <w:tcPr>
            <w:tcW w:w="4174" w:type="dxa"/>
          </w:tcPr>
          <w:p>
            <w:pPr>
              <w:pStyle w:val="TableParagraph"/>
              <w:spacing w:line="254" w:lineRule="exact"/>
              <w:ind w:left="108" w:right="6"/>
              <w:rPr>
                <w:sz w:val="22"/>
              </w:rPr>
            </w:pPr>
            <w:r>
              <w:rPr>
                <w:sz w:val="22"/>
              </w:rPr>
              <w:t>Cardiac</w:t>
            </w:r>
            <w:r>
              <w:rPr>
                <w:spacing w:val="-12"/>
                <w:sz w:val="22"/>
              </w:rPr>
              <w:t xml:space="preserve"> </w:t>
            </w:r>
            <w:r>
              <w:rPr>
                <w:sz w:val="22"/>
              </w:rPr>
              <w:t>and</w:t>
            </w:r>
            <w:r>
              <w:rPr>
                <w:spacing w:val="-12"/>
                <w:sz w:val="22"/>
              </w:rPr>
              <w:t xml:space="preserve"> </w:t>
            </w:r>
            <w:r>
              <w:rPr>
                <w:sz w:val="22"/>
              </w:rPr>
              <w:t>Pulmonary</w:t>
            </w:r>
            <w:r>
              <w:rPr>
                <w:spacing w:val="-14"/>
                <w:sz w:val="22"/>
              </w:rPr>
              <w:t xml:space="preserve"> </w:t>
            </w:r>
            <w:r>
              <w:rPr>
                <w:sz w:val="22"/>
              </w:rPr>
              <w:t xml:space="preserve">Rehabilitation </w:t>
            </w:r>
            <w:r>
              <w:rPr>
                <w:spacing w:val="-2"/>
                <w:sz w:val="22"/>
              </w:rPr>
              <w:t>Services</w:t>
            </w:r>
          </w:p>
        </w:tc>
        <w:tc>
          <w:tcPr>
            <w:tcW w:w="736" w:type="dxa"/>
          </w:tcPr>
          <w:p>
            <w:pPr>
              <w:pStyle w:val="TableParagraph"/>
              <w:spacing w:line="252" w:lineRule="exact"/>
              <w:ind w:left="108"/>
              <w:rPr>
                <w:sz w:val="22"/>
              </w:rPr>
            </w:pPr>
            <w:r>
              <w:rPr>
                <w:spacing w:val="-5"/>
                <w:sz w:val="22"/>
              </w:rPr>
              <w:t>h5</w:t>
            </w:r>
          </w:p>
        </w:tc>
        <w:tc>
          <w:tcPr>
            <w:tcW w:w="3787" w:type="dxa"/>
          </w:tcPr>
          <w:p>
            <w:pPr>
              <w:pStyle w:val="TableParagraph"/>
              <w:spacing w:line="252" w:lineRule="exact"/>
              <w:ind w:left="109"/>
              <w:rPr>
                <w:sz w:val="22"/>
              </w:rPr>
            </w:pPr>
            <w:r>
              <w:rPr>
                <w:sz w:val="22"/>
              </w:rPr>
              <w:t>Outpatient</w:t>
            </w:r>
            <w:r>
              <w:rPr>
                <w:spacing w:val="-4"/>
                <w:sz w:val="22"/>
              </w:rPr>
              <w:t xml:space="preserve"> </w:t>
            </w:r>
            <w:r>
              <w:rPr>
                <w:sz w:val="22"/>
              </w:rPr>
              <w:t>Facility</w:t>
            </w:r>
            <w:r>
              <w:rPr>
                <w:spacing w:val="-4"/>
                <w:sz w:val="22"/>
              </w:rPr>
              <w:t xml:space="preserve"> </w:t>
            </w:r>
            <w:r>
              <w:rPr>
                <w:sz w:val="22"/>
              </w:rPr>
              <w:t>–</w:t>
            </w:r>
            <w:r>
              <w:rPr>
                <w:spacing w:val="-5"/>
                <w:sz w:val="22"/>
              </w:rPr>
              <w:t xml:space="preserve"> </w:t>
            </w:r>
            <w:r>
              <w:rPr>
                <w:sz w:val="22"/>
              </w:rPr>
              <w:t>Other:</w:t>
            </w:r>
            <w:r>
              <w:rPr>
                <w:spacing w:val="-6"/>
                <w:sz w:val="22"/>
              </w:rPr>
              <w:t xml:space="preserve"> </w:t>
            </w:r>
            <w:r>
              <w:rPr>
                <w:spacing w:val="-2"/>
                <w:sz w:val="22"/>
              </w:rPr>
              <w:t>Other</w:t>
            </w:r>
          </w:p>
        </w:tc>
      </w:tr>
      <w:tr>
        <w:tblPrEx>
          <w:tblW w:w="0" w:type="auto"/>
          <w:jc w:val="left"/>
          <w:tblInd w:w="622" w:type="dxa"/>
          <w:tblLayout w:type="fixed"/>
          <w:tblCellMar>
            <w:top w:w="0" w:type="dxa"/>
            <w:left w:w="0" w:type="dxa"/>
            <w:bottom w:w="0" w:type="dxa"/>
            <w:right w:w="0" w:type="dxa"/>
          </w:tblCellMar>
          <w:tblLook w:val="01E0"/>
        </w:tblPrEx>
        <w:trPr>
          <w:trHeight w:val="252"/>
          <w:jc w:val="left"/>
        </w:trPr>
        <w:tc>
          <w:tcPr>
            <w:tcW w:w="734" w:type="dxa"/>
          </w:tcPr>
          <w:p>
            <w:pPr>
              <w:pStyle w:val="TableParagraph"/>
              <w:spacing w:line="232" w:lineRule="exact"/>
              <w:ind w:left="107"/>
              <w:rPr>
                <w:sz w:val="22"/>
              </w:rPr>
            </w:pPr>
            <w:r>
              <w:rPr>
                <w:spacing w:val="-5"/>
                <w:sz w:val="22"/>
              </w:rPr>
              <w:t>4a</w:t>
            </w:r>
          </w:p>
        </w:tc>
        <w:tc>
          <w:tcPr>
            <w:tcW w:w="4174" w:type="dxa"/>
          </w:tcPr>
          <w:p>
            <w:pPr>
              <w:pStyle w:val="TableParagraph"/>
              <w:spacing w:line="232" w:lineRule="exact"/>
              <w:ind w:left="108"/>
              <w:rPr>
                <w:sz w:val="22"/>
              </w:rPr>
            </w:pPr>
            <w:r>
              <w:rPr>
                <w:sz w:val="22"/>
              </w:rPr>
              <w:t>Emergency</w:t>
            </w:r>
            <w:r>
              <w:rPr>
                <w:spacing w:val="-4"/>
                <w:sz w:val="22"/>
              </w:rPr>
              <w:t xml:space="preserve"> </w:t>
            </w:r>
            <w:r>
              <w:rPr>
                <w:spacing w:val="-2"/>
                <w:sz w:val="22"/>
              </w:rPr>
              <w:t>Services</w:t>
            </w:r>
          </w:p>
        </w:tc>
        <w:tc>
          <w:tcPr>
            <w:tcW w:w="736" w:type="dxa"/>
          </w:tcPr>
          <w:p>
            <w:pPr>
              <w:pStyle w:val="TableParagraph"/>
              <w:spacing w:line="232" w:lineRule="exact"/>
              <w:ind w:left="108"/>
              <w:rPr>
                <w:sz w:val="22"/>
              </w:rPr>
            </w:pPr>
            <w:r>
              <w:rPr>
                <w:spacing w:val="-10"/>
                <w:sz w:val="22"/>
              </w:rPr>
              <w:t>f</w:t>
            </w:r>
          </w:p>
        </w:tc>
        <w:tc>
          <w:tcPr>
            <w:tcW w:w="3787" w:type="dxa"/>
          </w:tcPr>
          <w:p>
            <w:pPr>
              <w:pStyle w:val="TableParagraph"/>
              <w:spacing w:line="232" w:lineRule="exact"/>
              <w:ind w:left="109"/>
              <w:rPr>
                <w:sz w:val="22"/>
              </w:rPr>
            </w:pPr>
            <w:r>
              <w:rPr>
                <w:sz w:val="22"/>
              </w:rPr>
              <w:t>Outpatient</w:t>
            </w:r>
            <w:r>
              <w:rPr>
                <w:spacing w:val="-4"/>
                <w:sz w:val="22"/>
              </w:rPr>
              <w:t xml:space="preserve"> </w:t>
            </w:r>
            <w:r>
              <w:rPr>
                <w:sz w:val="22"/>
              </w:rPr>
              <w:t>Facility</w:t>
            </w:r>
            <w:r>
              <w:rPr>
                <w:spacing w:val="-3"/>
                <w:sz w:val="22"/>
              </w:rPr>
              <w:t xml:space="preserve"> </w:t>
            </w:r>
            <w:r>
              <w:rPr>
                <w:sz w:val="22"/>
              </w:rPr>
              <w:t>–</w:t>
            </w:r>
            <w:r>
              <w:rPr>
                <w:spacing w:val="-4"/>
                <w:sz w:val="22"/>
              </w:rPr>
              <w:t xml:space="preserve"> </w:t>
            </w:r>
            <w:r>
              <w:rPr>
                <w:spacing w:val="-2"/>
                <w:sz w:val="22"/>
              </w:rPr>
              <w:t>Emergency</w:t>
            </w:r>
          </w:p>
        </w:tc>
      </w:tr>
      <w:tr>
        <w:tblPrEx>
          <w:tblW w:w="0" w:type="auto"/>
          <w:jc w:val="left"/>
          <w:tblInd w:w="6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5"/>
                <w:sz w:val="22"/>
              </w:rPr>
              <w:t>4b</w:t>
            </w:r>
          </w:p>
        </w:tc>
        <w:tc>
          <w:tcPr>
            <w:tcW w:w="4174" w:type="dxa"/>
          </w:tcPr>
          <w:p>
            <w:pPr>
              <w:pStyle w:val="TableParagraph"/>
              <w:spacing w:line="232" w:lineRule="exact"/>
              <w:ind w:left="108"/>
              <w:rPr>
                <w:sz w:val="22"/>
              </w:rPr>
            </w:pPr>
            <w:r>
              <w:rPr>
                <w:sz w:val="22"/>
              </w:rPr>
              <w:t>Urgently</w:t>
            </w:r>
            <w:r>
              <w:rPr>
                <w:spacing w:val="-4"/>
                <w:sz w:val="22"/>
              </w:rPr>
              <w:t xml:space="preserve"> </w:t>
            </w:r>
            <w:r>
              <w:rPr>
                <w:sz w:val="22"/>
              </w:rPr>
              <w:t>Needed</w:t>
            </w:r>
            <w:r>
              <w:rPr>
                <w:spacing w:val="-3"/>
                <w:sz w:val="22"/>
              </w:rPr>
              <w:t xml:space="preserve"> </w:t>
            </w:r>
            <w:r>
              <w:rPr>
                <w:spacing w:val="-2"/>
                <w:sz w:val="22"/>
              </w:rPr>
              <w:t>Services</w:t>
            </w:r>
          </w:p>
        </w:tc>
        <w:tc>
          <w:tcPr>
            <w:tcW w:w="736" w:type="dxa"/>
          </w:tcPr>
          <w:p>
            <w:pPr>
              <w:pStyle w:val="TableParagraph"/>
              <w:spacing w:line="232" w:lineRule="exact"/>
              <w:ind w:left="108"/>
              <w:rPr>
                <w:sz w:val="22"/>
              </w:rPr>
            </w:pPr>
            <w:r>
              <w:rPr>
                <w:spacing w:val="-10"/>
                <w:sz w:val="22"/>
              </w:rPr>
              <w:t>f</w:t>
            </w:r>
          </w:p>
        </w:tc>
        <w:tc>
          <w:tcPr>
            <w:tcW w:w="3787" w:type="dxa"/>
          </w:tcPr>
          <w:p>
            <w:pPr>
              <w:pStyle w:val="TableParagraph"/>
              <w:spacing w:line="232" w:lineRule="exact"/>
              <w:ind w:left="109"/>
              <w:rPr>
                <w:sz w:val="22"/>
              </w:rPr>
            </w:pPr>
            <w:r>
              <w:rPr>
                <w:sz w:val="22"/>
              </w:rPr>
              <w:t>Outpatient</w:t>
            </w:r>
            <w:r>
              <w:rPr>
                <w:spacing w:val="-4"/>
                <w:sz w:val="22"/>
              </w:rPr>
              <w:t xml:space="preserve"> </w:t>
            </w:r>
            <w:r>
              <w:rPr>
                <w:sz w:val="22"/>
              </w:rPr>
              <w:t>Facility</w:t>
            </w:r>
            <w:r>
              <w:rPr>
                <w:spacing w:val="-3"/>
                <w:sz w:val="22"/>
              </w:rPr>
              <w:t xml:space="preserve"> </w:t>
            </w:r>
            <w:r>
              <w:rPr>
                <w:sz w:val="22"/>
              </w:rPr>
              <w:t>–</w:t>
            </w:r>
            <w:r>
              <w:rPr>
                <w:spacing w:val="-4"/>
                <w:sz w:val="22"/>
              </w:rPr>
              <w:t xml:space="preserve"> </w:t>
            </w:r>
            <w:r>
              <w:rPr>
                <w:spacing w:val="-2"/>
                <w:sz w:val="22"/>
              </w:rPr>
              <w:t>Emergency</w:t>
            </w:r>
          </w:p>
        </w:tc>
      </w:tr>
      <w:tr>
        <w:tblPrEx>
          <w:tblW w:w="0" w:type="auto"/>
          <w:jc w:val="left"/>
          <w:tblInd w:w="622" w:type="dxa"/>
          <w:tblLayout w:type="fixed"/>
          <w:tblCellMar>
            <w:top w:w="0" w:type="dxa"/>
            <w:left w:w="0" w:type="dxa"/>
            <w:bottom w:w="0" w:type="dxa"/>
            <w:right w:w="0" w:type="dxa"/>
          </w:tblCellMar>
          <w:tblLook w:val="01E0"/>
        </w:tblPrEx>
        <w:trPr>
          <w:trHeight w:val="253"/>
          <w:jc w:val="left"/>
        </w:trPr>
        <w:tc>
          <w:tcPr>
            <w:tcW w:w="734" w:type="dxa"/>
          </w:tcPr>
          <w:p>
            <w:pPr>
              <w:pStyle w:val="TableParagraph"/>
              <w:spacing w:line="234" w:lineRule="exact"/>
              <w:ind w:left="107"/>
              <w:rPr>
                <w:sz w:val="22"/>
              </w:rPr>
            </w:pPr>
            <w:r>
              <w:rPr>
                <w:spacing w:val="-5"/>
                <w:sz w:val="22"/>
              </w:rPr>
              <w:t>4c</w:t>
            </w:r>
          </w:p>
        </w:tc>
        <w:tc>
          <w:tcPr>
            <w:tcW w:w="4174" w:type="dxa"/>
          </w:tcPr>
          <w:p>
            <w:pPr>
              <w:pStyle w:val="TableParagraph"/>
              <w:spacing w:line="234" w:lineRule="exact"/>
              <w:ind w:left="108"/>
              <w:rPr>
                <w:sz w:val="22"/>
              </w:rPr>
            </w:pPr>
            <w:r>
              <w:rPr>
                <w:sz w:val="22"/>
              </w:rPr>
              <w:t>Worldwide</w:t>
            </w:r>
            <w:r>
              <w:rPr>
                <w:spacing w:val="-9"/>
                <w:sz w:val="22"/>
              </w:rPr>
              <w:t xml:space="preserve"> </w:t>
            </w:r>
            <w:r>
              <w:rPr>
                <w:sz w:val="22"/>
              </w:rPr>
              <w:t>Emergency/Urgent</w:t>
            </w:r>
            <w:r>
              <w:rPr>
                <w:spacing w:val="-7"/>
                <w:sz w:val="22"/>
              </w:rPr>
              <w:t xml:space="preserve"> </w:t>
            </w:r>
            <w:r>
              <w:rPr>
                <w:spacing w:val="-2"/>
                <w:sz w:val="22"/>
              </w:rPr>
              <w:t>Coverage</w:t>
            </w:r>
          </w:p>
        </w:tc>
        <w:tc>
          <w:tcPr>
            <w:tcW w:w="736" w:type="dxa"/>
          </w:tcPr>
          <w:p>
            <w:pPr>
              <w:pStyle w:val="TableParagraph"/>
              <w:spacing w:line="234" w:lineRule="exact"/>
              <w:ind w:left="108"/>
              <w:rPr>
                <w:sz w:val="22"/>
              </w:rPr>
            </w:pPr>
            <w:r>
              <w:rPr>
                <w:spacing w:val="-10"/>
                <w:sz w:val="22"/>
              </w:rPr>
              <w:t>f</w:t>
            </w:r>
          </w:p>
        </w:tc>
        <w:tc>
          <w:tcPr>
            <w:tcW w:w="3787" w:type="dxa"/>
          </w:tcPr>
          <w:p>
            <w:pPr>
              <w:pStyle w:val="TableParagraph"/>
              <w:spacing w:line="234" w:lineRule="exact"/>
              <w:ind w:left="109"/>
              <w:rPr>
                <w:sz w:val="22"/>
              </w:rPr>
            </w:pPr>
            <w:r>
              <w:rPr>
                <w:sz w:val="22"/>
              </w:rPr>
              <w:t>Outpatient</w:t>
            </w:r>
            <w:r>
              <w:rPr>
                <w:spacing w:val="-4"/>
                <w:sz w:val="22"/>
              </w:rPr>
              <w:t xml:space="preserve"> </w:t>
            </w:r>
            <w:r>
              <w:rPr>
                <w:sz w:val="22"/>
              </w:rPr>
              <w:t>Facility</w:t>
            </w:r>
            <w:r>
              <w:rPr>
                <w:spacing w:val="-3"/>
                <w:sz w:val="22"/>
              </w:rPr>
              <w:t xml:space="preserve"> </w:t>
            </w:r>
            <w:r>
              <w:rPr>
                <w:sz w:val="22"/>
              </w:rPr>
              <w:t>–</w:t>
            </w:r>
            <w:r>
              <w:rPr>
                <w:spacing w:val="-4"/>
                <w:sz w:val="22"/>
              </w:rPr>
              <w:t xml:space="preserve"> </w:t>
            </w:r>
            <w:r>
              <w:rPr>
                <w:spacing w:val="-2"/>
                <w:sz w:val="22"/>
              </w:rPr>
              <w:t>Emergency</w:t>
            </w:r>
          </w:p>
        </w:tc>
      </w:tr>
      <w:tr>
        <w:tblPrEx>
          <w:tblW w:w="0" w:type="auto"/>
          <w:jc w:val="left"/>
          <w:tblInd w:w="622" w:type="dxa"/>
          <w:tblLayout w:type="fixed"/>
          <w:tblCellMar>
            <w:top w:w="0" w:type="dxa"/>
            <w:left w:w="0" w:type="dxa"/>
            <w:bottom w:w="0" w:type="dxa"/>
            <w:right w:w="0" w:type="dxa"/>
          </w:tblCellMar>
          <w:tblLook w:val="01E0"/>
        </w:tblPrEx>
        <w:trPr>
          <w:trHeight w:val="506"/>
          <w:jc w:val="left"/>
        </w:trPr>
        <w:tc>
          <w:tcPr>
            <w:tcW w:w="734" w:type="dxa"/>
          </w:tcPr>
          <w:p>
            <w:pPr>
              <w:pStyle w:val="TableParagraph"/>
              <w:spacing w:line="252" w:lineRule="exact"/>
              <w:ind w:left="107" w:right="346"/>
              <w:rPr>
                <w:sz w:val="22"/>
              </w:rPr>
            </w:pPr>
            <w:r>
              <w:rPr>
                <w:spacing w:val="-4"/>
                <w:sz w:val="22"/>
              </w:rPr>
              <w:t xml:space="preserve">5a, </w:t>
            </w:r>
            <w:r>
              <w:rPr>
                <w:spacing w:val="-6"/>
                <w:sz w:val="22"/>
              </w:rPr>
              <w:t>5b</w:t>
            </w:r>
          </w:p>
        </w:tc>
        <w:tc>
          <w:tcPr>
            <w:tcW w:w="4174" w:type="dxa"/>
          </w:tcPr>
          <w:p>
            <w:pPr>
              <w:pStyle w:val="TableParagraph"/>
              <w:spacing w:line="252" w:lineRule="exact"/>
              <w:ind w:left="108"/>
              <w:rPr>
                <w:sz w:val="22"/>
              </w:rPr>
            </w:pPr>
            <w:r>
              <w:rPr>
                <w:sz w:val="22"/>
              </w:rPr>
              <w:t>Partial</w:t>
            </w:r>
            <w:r>
              <w:rPr>
                <w:spacing w:val="-11"/>
                <w:sz w:val="22"/>
              </w:rPr>
              <w:t xml:space="preserve"> </w:t>
            </w:r>
            <w:r>
              <w:rPr>
                <w:sz w:val="22"/>
              </w:rPr>
              <w:t>Hospitalization</w:t>
            </w:r>
            <w:r>
              <w:rPr>
                <w:spacing w:val="-11"/>
                <w:sz w:val="22"/>
              </w:rPr>
              <w:t xml:space="preserve"> </w:t>
            </w:r>
            <w:r>
              <w:rPr>
                <w:sz w:val="22"/>
              </w:rPr>
              <w:t>and</w:t>
            </w:r>
            <w:r>
              <w:rPr>
                <w:spacing w:val="-13"/>
                <w:sz w:val="22"/>
              </w:rPr>
              <w:t xml:space="preserve"> </w:t>
            </w:r>
            <w:r>
              <w:rPr>
                <w:sz w:val="22"/>
              </w:rPr>
              <w:t>Intensive Outpatient Services</w:t>
            </w:r>
          </w:p>
        </w:tc>
        <w:tc>
          <w:tcPr>
            <w:tcW w:w="736" w:type="dxa"/>
          </w:tcPr>
          <w:p>
            <w:pPr>
              <w:pStyle w:val="TableParagraph"/>
              <w:spacing w:line="252" w:lineRule="exact"/>
              <w:ind w:left="108" w:right="153"/>
              <w:rPr>
                <w:sz w:val="22"/>
              </w:rPr>
            </w:pPr>
            <w:r>
              <w:rPr>
                <w:sz w:val="22"/>
              </w:rPr>
              <w:t>h3</w:t>
            </w:r>
            <w:r>
              <w:rPr>
                <w:spacing w:val="-14"/>
                <w:sz w:val="22"/>
              </w:rPr>
              <w:t xml:space="preserve"> </w:t>
            </w:r>
            <w:r>
              <w:rPr>
                <w:sz w:val="22"/>
              </w:rPr>
              <w:t xml:space="preserve">or </w:t>
            </w:r>
            <w:r>
              <w:rPr>
                <w:spacing w:val="-6"/>
                <w:sz w:val="22"/>
              </w:rPr>
              <w:t>h5</w:t>
            </w:r>
          </w:p>
        </w:tc>
        <w:tc>
          <w:tcPr>
            <w:tcW w:w="3787" w:type="dxa"/>
          </w:tcPr>
          <w:p>
            <w:pPr>
              <w:pStyle w:val="TableParagraph"/>
              <w:spacing w:line="252" w:lineRule="exact"/>
              <w:ind w:left="109" w:right="172"/>
              <w:rPr>
                <w:sz w:val="22"/>
              </w:rPr>
            </w:pPr>
            <w:r>
              <w:rPr>
                <w:sz w:val="22"/>
              </w:rPr>
              <w:t>OP</w:t>
            </w:r>
            <w:r>
              <w:rPr>
                <w:spacing w:val="-6"/>
                <w:sz w:val="22"/>
              </w:rPr>
              <w:t xml:space="preserve"> </w:t>
            </w:r>
            <w:r>
              <w:rPr>
                <w:sz w:val="22"/>
              </w:rPr>
              <w:t>Facility</w:t>
            </w:r>
            <w:r>
              <w:rPr>
                <w:spacing w:val="-6"/>
                <w:sz w:val="22"/>
              </w:rPr>
              <w:t xml:space="preserve"> </w:t>
            </w:r>
            <w:r>
              <w:rPr>
                <w:sz w:val="22"/>
              </w:rPr>
              <w:t>–</w:t>
            </w:r>
            <w:r>
              <w:rPr>
                <w:spacing w:val="-6"/>
                <w:sz w:val="22"/>
              </w:rPr>
              <w:t xml:space="preserve"> </w:t>
            </w:r>
            <w:r>
              <w:rPr>
                <w:sz w:val="22"/>
              </w:rPr>
              <w:t>Other:</w:t>
            </w:r>
            <w:r>
              <w:rPr>
                <w:spacing w:val="-7"/>
                <w:sz w:val="22"/>
              </w:rPr>
              <w:t xml:space="preserve"> </w:t>
            </w:r>
            <w:r>
              <w:rPr>
                <w:sz w:val="22"/>
              </w:rPr>
              <w:t>Mental</w:t>
            </w:r>
            <w:r>
              <w:rPr>
                <w:spacing w:val="-5"/>
                <w:sz w:val="22"/>
              </w:rPr>
              <w:t xml:space="preserve"> </w:t>
            </w:r>
            <w:r>
              <w:rPr>
                <w:sz w:val="22"/>
              </w:rPr>
              <w:t>Health;</w:t>
            </w:r>
            <w:r>
              <w:rPr>
                <w:spacing w:val="-5"/>
                <w:sz w:val="22"/>
              </w:rPr>
              <w:t xml:space="preserve"> </w:t>
            </w:r>
            <w:r>
              <w:rPr>
                <w:sz w:val="22"/>
              </w:rPr>
              <w:t>or OP Facility – Other: Other</w:t>
            </w:r>
          </w:p>
        </w:tc>
      </w:tr>
      <w:tr>
        <w:tblPrEx>
          <w:tblW w:w="0" w:type="auto"/>
          <w:jc w:val="left"/>
          <w:tblInd w:w="6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10"/>
                <w:sz w:val="22"/>
              </w:rPr>
              <w:t>6</w:t>
            </w:r>
          </w:p>
        </w:tc>
        <w:tc>
          <w:tcPr>
            <w:tcW w:w="4174" w:type="dxa"/>
          </w:tcPr>
          <w:p>
            <w:pPr>
              <w:pStyle w:val="TableParagraph"/>
              <w:spacing w:line="232" w:lineRule="exact"/>
              <w:ind w:left="108"/>
              <w:rPr>
                <w:sz w:val="22"/>
              </w:rPr>
            </w:pPr>
            <w:r>
              <w:rPr>
                <w:sz w:val="22"/>
              </w:rPr>
              <w:t>Home</w:t>
            </w:r>
            <w:r>
              <w:rPr>
                <w:spacing w:val="-4"/>
                <w:sz w:val="22"/>
              </w:rPr>
              <w:t xml:space="preserve"> </w:t>
            </w:r>
            <w:r>
              <w:rPr>
                <w:sz w:val="22"/>
              </w:rPr>
              <w:t>Health</w:t>
            </w:r>
            <w:r>
              <w:rPr>
                <w:spacing w:val="-3"/>
                <w:sz w:val="22"/>
              </w:rPr>
              <w:t xml:space="preserve"> </w:t>
            </w:r>
            <w:r>
              <w:rPr>
                <w:spacing w:val="-2"/>
                <w:sz w:val="22"/>
              </w:rPr>
              <w:t>Services</w:t>
            </w:r>
          </w:p>
        </w:tc>
        <w:tc>
          <w:tcPr>
            <w:tcW w:w="736" w:type="dxa"/>
          </w:tcPr>
          <w:p>
            <w:pPr>
              <w:pStyle w:val="TableParagraph"/>
              <w:spacing w:line="232" w:lineRule="exact"/>
              <w:ind w:left="108"/>
              <w:rPr>
                <w:sz w:val="22"/>
              </w:rPr>
            </w:pPr>
            <w:r>
              <w:rPr>
                <w:spacing w:val="-10"/>
                <w:sz w:val="22"/>
              </w:rPr>
              <w:t>c</w:t>
            </w:r>
          </w:p>
        </w:tc>
        <w:tc>
          <w:tcPr>
            <w:tcW w:w="3787" w:type="dxa"/>
          </w:tcPr>
          <w:p>
            <w:pPr>
              <w:pStyle w:val="TableParagraph"/>
              <w:spacing w:line="232" w:lineRule="exact"/>
              <w:ind w:left="109"/>
              <w:rPr>
                <w:sz w:val="22"/>
              </w:rPr>
            </w:pPr>
            <w:r>
              <w:rPr>
                <w:sz w:val="22"/>
              </w:rPr>
              <w:t>Home</w:t>
            </w:r>
            <w:r>
              <w:rPr>
                <w:spacing w:val="-4"/>
                <w:sz w:val="22"/>
              </w:rPr>
              <w:t xml:space="preserve"> </w:t>
            </w:r>
            <w:r>
              <w:rPr>
                <w:spacing w:val="-2"/>
                <w:sz w:val="22"/>
              </w:rPr>
              <w:t>Health</w:t>
            </w:r>
          </w:p>
        </w:tc>
      </w:tr>
      <w:tr>
        <w:tblPrEx>
          <w:tblW w:w="0" w:type="auto"/>
          <w:jc w:val="left"/>
          <w:tblInd w:w="622" w:type="dxa"/>
          <w:tblLayout w:type="fixed"/>
          <w:tblCellMar>
            <w:top w:w="0" w:type="dxa"/>
            <w:left w:w="0" w:type="dxa"/>
            <w:bottom w:w="0" w:type="dxa"/>
            <w:right w:w="0" w:type="dxa"/>
          </w:tblCellMar>
          <w:tblLook w:val="01E0"/>
        </w:tblPrEx>
        <w:trPr>
          <w:trHeight w:val="253"/>
          <w:jc w:val="left"/>
        </w:trPr>
        <w:tc>
          <w:tcPr>
            <w:tcW w:w="734" w:type="dxa"/>
          </w:tcPr>
          <w:p>
            <w:pPr>
              <w:pStyle w:val="TableParagraph"/>
              <w:spacing w:line="234" w:lineRule="exact"/>
              <w:ind w:left="107"/>
              <w:rPr>
                <w:sz w:val="22"/>
              </w:rPr>
            </w:pPr>
            <w:r>
              <w:rPr>
                <w:spacing w:val="-5"/>
                <w:sz w:val="22"/>
              </w:rPr>
              <w:t>7a</w:t>
            </w:r>
          </w:p>
        </w:tc>
        <w:tc>
          <w:tcPr>
            <w:tcW w:w="4174" w:type="dxa"/>
          </w:tcPr>
          <w:p>
            <w:pPr>
              <w:pStyle w:val="TableParagraph"/>
              <w:spacing w:line="234" w:lineRule="exact"/>
              <w:ind w:left="108"/>
              <w:rPr>
                <w:sz w:val="22"/>
              </w:rPr>
            </w:pPr>
            <w:r>
              <w:rPr>
                <w:sz w:val="22"/>
              </w:rPr>
              <w:t>Primary</w:t>
            </w:r>
            <w:r>
              <w:rPr>
                <w:spacing w:val="-5"/>
                <w:sz w:val="22"/>
              </w:rPr>
              <w:t xml:space="preserve"> </w:t>
            </w:r>
            <w:r>
              <w:rPr>
                <w:sz w:val="22"/>
              </w:rPr>
              <w:t>Care</w:t>
            </w:r>
            <w:r>
              <w:rPr>
                <w:spacing w:val="-5"/>
                <w:sz w:val="22"/>
              </w:rPr>
              <w:t xml:space="preserve"> </w:t>
            </w:r>
            <w:r>
              <w:rPr>
                <w:sz w:val="22"/>
              </w:rPr>
              <w:t>Physician</w:t>
            </w:r>
            <w:r>
              <w:rPr>
                <w:spacing w:val="-4"/>
                <w:sz w:val="22"/>
              </w:rPr>
              <w:t xml:space="preserve"> </w:t>
            </w:r>
            <w:r>
              <w:rPr>
                <w:spacing w:val="-2"/>
                <w:sz w:val="22"/>
              </w:rPr>
              <w:t>Services</w:t>
            </w:r>
          </w:p>
        </w:tc>
        <w:tc>
          <w:tcPr>
            <w:tcW w:w="736" w:type="dxa"/>
          </w:tcPr>
          <w:p>
            <w:pPr>
              <w:pStyle w:val="TableParagraph"/>
              <w:spacing w:line="234" w:lineRule="exact"/>
              <w:ind w:left="108"/>
              <w:rPr>
                <w:sz w:val="22"/>
              </w:rPr>
            </w:pPr>
            <w:r>
              <w:rPr>
                <w:spacing w:val="-5"/>
                <w:sz w:val="22"/>
              </w:rPr>
              <w:t>i1</w:t>
            </w:r>
          </w:p>
        </w:tc>
        <w:tc>
          <w:tcPr>
            <w:tcW w:w="3787" w:type="dxa"/>
          </w:tcPr>
          <w:p>
            <w:pPr>
              <w:pStyle w:val="TableParagraph"/>
              <w:spacing w:line="234" w:lineRule="exact"/>
              <w:ind w:left="109"/>
              <w:rPr>
                <w:sz w:val="22"/>
              </w:rPr>
            </w:pPr>
            <w:r>
              <w:rPr>
                <w:sz w:val="22"/>
              </w:rPr>
              <w:t>Professional:</w:t>
            </w:r>
            <w:r>
              <w:rPr>
                <w:spacing w:val="-5"/>
                <w:sz w:val="22"/>
              </w:rPr>
              <w:t xml:space="preserve"> PCP</w:t>
            </w:r>
          </w:p>
        </w:tc>
      </w:tr>
      <w:tr>
        <w:tblPrEx>
          <w:tblW w:w="0" w:type="auto"/>
          <w:jc w:val="left"/>
          <w:tblInd w:w="622" w:type="dxa"/>
          <w:tblLayout w:type="fixed"/>
          <w:tblCellMar>
            <w:top w:w="0" w:type="dxa"/>
            <w:left w:w="0" w:type="dxa"/>
            <w:bottom w:w="0" w:type="dxa"/>
            <w:right w:w="0" w:type="dxa"/>
          </w:tblCellMar>
          <w:tblLook w:val="01E0"/>
        </w:tblPrEx>
        <w:trPr>
          <w:trHeight w:val="506"/>
          <w:jc w:val="left"/>
        </w:trPr>
        <w:tc>
          <w:tcPr>
            <w:tcW w:w="734" w:type="dxa"/>
          </w:tcPr>
          <w:p>
            <w:pPr>
              <w:pStyle w:val="TableParagraph"/>
              <w:spacing w:line="251" w:lineRule="exact"/>
              <w:ind w:left="107"/>
              <w:rPr>
                <w:sz w:val="22"/>
              </w:rPr>
            </w:pPr>
            <w:r>
              <w:rPr>
                <w:spacing w:val="-5"/>
                <w:sz w:val="22"/>
              </w:rPr>
              <w:t>7b</w:t>
            </w:r>
          </w:p>
        </w:tc>
        <w:tc>
          <w:tcPr>
            <w:tcW w:w="4174" w:type="dxa"/>
          </w:tcPr>
          <w:p>
            <w:pPr>
              <w:pStyle w:val="TableParagraph"/>
              <w:spacing w:line="251" w:lineRule="exact"/>
              <w:ind w:left="108"/>
              <w:rPr>
                <w:sz w:val="22"/>
              </w:rPr>
            </w:pPr>
            <w:r>
              <w:rPr>
                <w:sz w:val="22"/>
              </w:rPr>
              <w:t>Chiropractic</w:t>
            </w:r>
            <w:r>
              <w:rPr>
                <w:spacing w:val="-10"/>
                <w:sz w:val="22"/>
              </w:rPr>
              <w:t xml:space="preserve"> </w:t>
            </w:r>
            <w:r>
              <w:rPr>
                <w:spacing w:val="-2"/>
                <w:sz w:val="22"/>
              </w:rPr>
              <w:t>Services</w:t>
            </w:r>
          </w:p>
        </w:tc>
        <w:tc>
          <w:tcPr>
            <w:tcW w:w="736" w:type="dxa"/>
          </w:tcPr>
          <w:p>
            <w:pPr>
              <w:pStyle w:val="TableParagraph"/>
              <w:spacing w:line="252" w:lineRule="exact"/>
              <w:ind w:left="108" w:right="202"/>
              <w:rPr>
                <w:sz w:val="22"/>
              </w:rPr>
            </w:pPr>
            <w:r>
              <w:rPr>
                <w:sz w:val="22"/>
              </w:rPr>
              <w:t>i2</w:t>
            </w:r>
            <w:r>
              <w:rPr>
                <w:spacing w:val="-14"/>
                <w:sz w:val="22"/>
              </w:rPr>
              <w:t xml:space="preserve"> </w:t>
            </w:r>
            <w:r>
              <w:rPr>
                <w:sz w:val="22"/>
              </w:rPr>
              <w:t xml:space="preserve">or </w:t>
            </w:r>
            <w:r>
              <w:rPr>
                <w:spacing w:val="-6"/>
                <w:sz w:val="22"/>
              </w:rPr>
              <w:t>i6</w:t>
            </w:r>
          </w:p>
        </w:tc>
        <w:tc>
          <w:tcPr>
            <w:tcW w:w="3787" w:type="dxa"/>
          </w:tcPr>
          <w:p>
            <w:pPr>
              <w:pStyle w:val="TableParagraph"/>
              <w:spacing w:line="252" w:lineRule="exact"/>
              <w:ind w:left="109"/>
              <w:rPr>
                <w:sz w:val="22"/>
              </w:rPr>
            </w:pPr>
            <w:r>
              <w:rPr>
                <w:sz w:val="22"/>
              </w:rPr>
              <w:t>Professional:</w:t>
            </w:r>
            <w:r>
              <w:rPr>
                <w:spacing w:val="-9"/>
                <w:sz w:val="22"/>
              </w:rPr>
              <w:t xml:space="preserve"> </w:t>
            </w:r>
            <w:r>
              <w:rPr>
                <w:sz w:val="22"/>
              </w:rPr>
              <w:t>Specialist</w:t>
            </w:r>
            <w:r>
              <w:rPr>
                <w:spacing w:val="-9"/>
                <w:sz w:val="22"/>
              </w:rPr>
              <w:t xml:space="preserve"> </w:t>
            </w:r>
            <w:r>
              <w:rPr>
                <w:sz w:val="22"/>
              </w:rPr>
              <w:t>excl.</w:t>
            </w:r>
            <w:r>
              <w:rPr>
                <w:spacing w:val="-10"/>
                <w:sz w:val="22"/>
              </w:rPr>
              <w:t xml:space="preserve"> </w:t>
            </w:r>
            <w:r>
              <w:rPr>
                <w:sz w:val="22"/>
              </w:rPr>
              <w:t>MH;</w:t>
            </w:r>
            <w:r>
              <w:rPr>
                <w:spacing w:val="-9"/>
                <w:sz w:val="22"/>
              </w:rPr>
              <w:t xml:space="preserve"> </w:t>
            </w:r>
            <w:r>
              <w:rPr>
                <w:sz w:val="22"/>
              </w:rPr>
              <w:t>or Professional: Other</w:t>
            </w:r>
          </w:p>
        </w:tc>
      </w:tr>
      <w:tr>
        <w:tblPrEx>
          <w:tblW w:w="0" w:type="auto"/>
          <w:jc w:val="left"/>
          <w:tblInd w:w="6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5"/>
                <w:sz w:val="22"/>
              </w:rPr>
              <w:t>7c</w:t>
            </w:r>
          </w:p>
        </w:tc>
        <w:tc>
          <w:tcPr>
            <w:tcW w:w="4174" w:type="dxa"/>
          </w:tcPr>
          <w:p>
            <w:pPr>
              <w:pStyle w:val="TableParagraph"/>
              <w:spacing w:line="232" w:lineRule="exact"/>
              <w:ind w:left="108"/>
              <w:rPr>
                <w:sz w:val="22"/>
              </w:rPr>
            </w:pPr>
            <w:r>
              <w:rPr>
                <w:sz w:val="22"/>
              </w:rPr>
              <w:t>Occupational</w:t>
            </w:r>
            <w:r>
              <w:rPr>
                <w:spacing w:val="-6"/>
                <w:sz w:val="22"/>
              </w:rPr>
              <w:t xml:space="preserve"> </w:t>
            </w:r>
            <w:r>
              <w:rPr>
                <w:sz w:val="22"/>
              </w:rPr>
              <w:t>Therapy</w:t>
            </w:r>
            <w:r>
              <w:rPr>
                <w:spacing w:val="-5"/>
                <w:sz w:val="22"/>
              </w:rPr>
              <w:t xml:space="preserve"> </w:t>
            </w:r>
            <w:r>
              <w:rPr>
                <w:spacing w:val="-2"/>
                <w:sz w:val="22"/>
              </w:rPr>
              <w:t>Services</w:t>
            </w:r>
          </w:p>
        </w:tc>
        <w:tc>
          <w:tcPr>
            <w:tcW w:w="736" w:type="dxa"/>
          </w:tcPr>
          <w:p>
            <w:pPr>
              <w:pStyle w:val="TableParagraph"/>
              <w:spacing w:line="232" w:lineRule="exact"/>
              <w:ind w:left="108"/>
              <w:rPr>
                <w:sz w:val="22"/>
              </w:rPr>
            </w:pPr>
            <w:r>
              <w:rPr>
                <w:spacing w:val="-5"/>
                <w:sz w:val="22"/>
              </w:rPr>
              <w:t>i4</w:t>
            </w:r>
          </w:p>
        </w:tc>
        <w:tc>
          <w:tcPr>
            <w:tcW w:w="3787" w:type="dxa"/>
          </w:tcPr>
          <w:p>
            <w:pPr>
              <w:pStyle w:val="TableParagraph"/>
              <w:spacing w:line="232" w:lineRule="exact"/>
              <w:ind w:left="109"/>
              <w:rPr>
                <w:sz w:val="22"/>
              </w:rPr>
            </w:pPr>
            <w:r>
              <w:rPr>
                <w:sz w:val="22"/>
              </w:rPr>
              <w:t>Professional:</w:t>
            </w:r>
            <w:r>
              <w:rPr>
                <w:spacing w:val="-5"/>
                <w:sz w:val="22"/>
              </w:rPr>
              <w:t xml:space="preserve"> </w:t>
            </w:r>
            <w:r>
              <w:rPr>
                <w:sz w:val="22"/>
              </w:rPr>
              <w:t>Therapy</w:t>
            </w:r>
            <w:r>
              <w:rPr>
                <w:spacing w:val="-7"/>
                <w:sz w:val="22"/>
              </w:rPr>
              <w:t xml:space="preserve"> </w:t>
            </w:r>
            <w:r>
              <w:rPr>
                <w:spacing w:val="-2"/>
                <w:sz w:val="22"/>
              </w:rPr>
              <w:t>(PT/OT/ST)</w:t>
            </w:r>
          </w:p>
        </w:tc>
      </w:tr>
      <w:tr>
        <w:tblPrEx>
          <w:tblW w:w="0" w:type="auto"/>
          <w:jc w:val="left"/>
          <w:tblInd w:w="622" w:type="dxa"/>
          <w:tblLayout w:type="fixed"/>
          <w:tblCellMar>
            <w:top w:w="0" w:type="dxa"/>
            <w:left w:w="0" w:type="dxa"/>
            <w:bottom w:w="0" w:type="dxa"/>
            <w:right w:w="0" w:type="dxa"/>
          </w:tblCellMar>
          <w:tblLook w:val="01E0"/>
        </w:tblPrEx>
        <w:trPr>
          <w:trHeight w:val="506"/>
          <w:jc w:val="left"/>
        </w:trPr>
        <w:tc>
          <w:tcPr>
            <w:tcW w:w="734" w:type="dxa"/>
          </w:tcPr>
          <w:p>
            <w:pPr>
              <w:pStyle w:val="TableParagraph"/>
              <w:spacing w:before="1"/>
              <w:ind w:left="107"/>
              <w:rPr>
                <w:sz w:val="22"/>
              </w:rPr>
            </w:pPr>
            <w:r>
              <w:rPr>
                <w:spacing w:val="-5"/>
                <w:sz w:val="22"/>
              </w:rPr>
              <w:t>7d</w:t>
            </w:r>
          </w:p>
        </w:tc>
        <w:tc>
          <w:tcPr>
            <w:tcW w:w="4174" w:type="dxa"/>
          </w:tcPr>
          <w:p>
            <w:pPr>
              <w:pStyle w:val="TableParagraph"/>
              <w:spacing w:line="252" w:lineRule="exact"/>
              <w:ind w:left="108"/>
              <w:rPr>
                <w:i/>
                <w:sz w:val="22"/>
              </w:rPr>
            </w:pPr>
            <w:r>
              <w:rPr>
                <w:sz w:val="22"/>
              </w:rPr>
              <w:t>Physician Specialist Services Excluding Psychiatric</w:t>
            </w:r>
            <w:r>
              <w:rPr>
                <w:spacing w:val="-11"/>
                <w:sz w:val="22"/>
              </w:rPr>
              <w:t xml:space="preserve"> </w:t>
            </w:r>
            <w:r>
              <w:rPr>
                <w:sz w:val="22"/>
              </w:rPr>
              <w:t>Services</w:t>
            </w:r>
            <w:r>
              <w:rPr>
                <w:spacing w:val="-13"/>
                <w:sz w:val="22"/>
              </w:rPr>
              <w:t xml:space="preserve"> </w:t>
            </w:r>
            <w:r>
              <w:rPr>
                <w:i/>
                <w:sz w:val="22"/>
              </w:rPr>
              <w:t>(exclude</w:t>
            </w:r>
            <w:r>
              <w:rPr>
                <w:i/>
                <w:spacing w:val="-12"/>
                <w:sz w:val="22"/>
              </w:rPr>
              <w:t xml:space="preserve"> </w:t>
            </w:r>
            <w:r>
              <w:rPr>
                <w:i/>
                <w:sz w:val="22"/>
              </w:rPr>
              <w:t>Radiology)</w:t>
            </w:r>
          </w:p>
        </w:tc>
        <w:tc>
          <w:tcPr>
            <w:tcW w:w="736" w:type="dxa"/>
          </w:tcPr>
          <w:p>
            <w:pPr>
              <w:pStyle w:val="TableParagraph"/>
              <w:spacing w:line="252" w:lineRule="exact"/>
              <w:ind w:left="108" w:right="202"/>
              <w:rPr>
                <w:sz w:val="22"/>
              </w:rPr>
            </w:pPr>
            <w:r>
              <w:rPr>
                <w:sz w:val="22"/>
              </w:rPr>
              <w:t>i2</w:t>
            </w:r>
            <w:r>
              <w:rPr>
                <w:spacing w:val="-14"/>
                <w:sz w:val="22"/>
              </w:rPr>
              <w:t xml:space="preserve"> </w:t>
            </w:r>
            <w:r>
              <w:rPr>
                <w:sz w:val="22"/>
              </w:rPr>
              <w:t xml:space="preserve">or </w:t>
            </w:r>
            <w:r>
              <w:rPr>
                <w:spacing w:val="-6"/>
                <w:sz w:val="22"/>
              </w:rPr>
              <w:t>i6</w:t>
            </w:r>
          </w:p>
        </w:tc>
        <w:tc>
          <w:tcPr>
            <w:tcW w:w="3787" w:type="dxa"/>
          </w:tcPr>
          <w:p>
            <w:pPr>
              <w:pStyle w:val="TableParagraph"/>
              <w:spacing w:line="252" w:lineRule="exact"/>
              <w:ind w:left="109"/>
              <w:rPr>
                <w:sz w:val="22"/>
              </w:rPr>
            </w:pPr>
            <w:r>
              <w:rPr>
                <w:sz w:val="22"/>
              </w:rPr>
              <w:t>Professional:</w:t>
            </w:r>
            <w:r>
              <w:rPr>
                <w:spacing w:val="-9"/>
                <w:sz w:val="22"/>
              </w:rPr>
              <w:t xml:space="preserve"> </w:t>
            </w:r>
            <w:r>
              <w:rPr>
                <w:sz w:val="22"/>
              </w:rPr>
              <w:t>Specialist</w:t>
            </w:r>
            <w:r>
              <w:rPr>
                <w:spacing w:val="-9"/>
                <w:sz w:val="22"/>
              </w:rPr>
              <w:t xml:space="preserve"> </w:t>
            </w:r>
            <w:r>
              <w:rPr>
                <w:sz w:val="22"/>
              </w:rPr>
              <w:t>excl.</w:t>
            </w:r>
            <w:r>
              <w:rPr>
                <w:spacing w:val="-10"/>
                <w:sz w:val="22"/>
              </w:rPr>
              <w:t xml:space="preserve"> </w:t>
            </w:r>
            <w:r>
              <w:rPr>
                <w:sz w:val="22"/>
              </w:rPr>
              <w:t>MH;</w:t>
            </w:r>
            <w:r>
              <w:rPr>
                <w:spacing w:val="-9"/>
                <w:sz w:val="22"/>
              </w:rPr>
              <w:t xml:space="preserve"> </w:t>
            </w:r>
            <w:r>
              <w:rPr>
                <w:sz w:val="22"/>
              </w:rPr>
              <w:t>or Professional: Other</w:t>
            </w:r>
          </w:p>
        </w:tc>
      </w:tr>
      <w:tr>
        <w:tblPrEx>
          <w:tblW w:w="0" w:type="auto"/>
          <w:jc w:val="left"/>
          <w:tblInd w:w="622" w:type="dxa"/>
          <w:tblLayout w:type="fixed"/>
          <w:tblCellMar>
            <w:top w:w="0" w:type="dxa"/>
            <w:left w:w="0" w:type="dxa"/>
            <w:bottom w:w="0" w:type="dxa"/>
            <w:right w:w="0" w:type="dxa"/>
          </w:tblCellMar>
          <w:tblLook w:val="01E0"/>
        </w:tblPrEx>
        <w:trPr>
          <w:trHeight w:val="506"/>
          <w:jc w:val="left"/>
        </w:trPr>
        <w:tc>
          <w:tcPr>
            <w:tcW w:w="734" w:type="dxa"/>
          </w:tcPr>
          <w:p>
            <w:pPr>
              <w:pStyle w:val="TableParagraph"/>
              <w:spacing w:before="1"/>
              <w:ind w:left="107"/>
              <w:rPr>
                <w:sz w:val="22"/>
              </w:rPr>
            </w:pPr>
            <w:r>
              <w:rPr>
                <w:spacing w:val="-5"/>
                <w:sz w:val="22"/>
              </w:rPr>
              <w:t>7d</w:t>
            </w:r>
          </w:p>
        </w:tc>
        <w:tc>
          <w:tcPr>
            <w:tcW w:w="4174" w:type="dxa"/>
          </w:tcPr>
          <w:p>
            <w:pPr>
              <w:pStyle w:val="TableParagraph"/>
              <w:spacing w:line="252" w:lineRule="exact"/>
              <w:ind w:left="108"/>
              <w:rPr>
                <w:i/>
                <w:sz w:val="22"/>
              </w:rPr>
            </w:pPr>
            <w:r>
              <w:rPr>
                <w:sz w:val="22"/>
              </w:rPr>
              <w:t>Physician</w:t>
            </w:r>
            <w:r>
              <w:rPr>
                <w:spacing w:val="-13"/>
                <w:sz w:val="22"/>
              </w:rPr>
              <w:t xml:space="preserve"> </w:t>
            </w:r>
            <w:r>
              <w:rPr>
                <w:sz w:val="22"/>
              </w:rPr>
              <w:t>Specialist</w:t>
            </w:r>
            <w:r>
              <w:rPr>
                <w:spacing w:val="-12"/>
                <w:sz w:val="22"/>
              </w:rPr>
              <w:t xml:space="preserve"> </w:t>
            </w:r>
            <w:r>
              <w:rPr>
                <w:sz w:val="22"/>
              </w:rPr>
              <w:t>Services</w:t>
            </w:r>
            <w:r>
              <w:rPr>
                <w:spacing w:val="-13"/>
                <w:sz w:val="22"/>
              </w:rPr>
              <w:t xml:space="preserve"> </w:t>
            </w:r>
            <w:r>
              <w:rPr>
                <w:sz w:val="22"/>
              </w:rPr>
              <w:t xml:space="preserve">Excluding Psychiatric </w:t>
            </w:r>
            <w:r>
              <w:rPr>
                <w:i/>
                <w:sz w:val="22"/>
              </w:rPr>
              <w:t>(Radiology only)</w:t>
            </w:r>
          </w:p>
        </w:tc>
        <w:tc>
          <w:tcPr>
            <w:tcW w:w="736" w:type="dxa"/>
          </w:tcPr>
          <w:p>
            <w:pPr>
              <w:pStyle w:val="TableParagraph"/>
              <w:spacing w:before="1"/>
              <w:ind w:left="108"/>
              <w:rPr>
                <w:sz w:val="22"/>
              </w:rPr>
            </w:pPr>
            <w:r>
              <w:rPr>
                <w:spacing w:val="-5"/>
                <w:sz w:val="22"/>
              </w:rPr>
              <w:t>i5</w:t>
            </w:r>
          </w:p>
        </w:tc>
        <w:tc>
          <w:tcPr>
            <w:tcW w:w="3787" w:type="dxa"/>
          </w:tcPr>
          <w:p>
            <w:pPr>
              <w:pStyle w:val="TableParagraph"/>
              <w:spacing w:before="1"/>
              <w:ind w:left="109"/>
              <w:rPr>
                <w:sz w:val="22"/>
              </w:rPr>
            </w:pPr>
            <w:r>
              <w:rPr>
                <w:sz w:val="22"/>
              </w:rPr>
              <w:t>Professional:</w:t>
            </w:r>
            <w:r>
              <w:rPr>
                <w:spacing w:val="-5"/>
                <w:sz w:val="22"/>
              </w:rPr>
              <w:t xml:space="preserve"> </w:t>
            </w:r>
            <w:r>
              <w:rPr>
                <w:spacing w:val="-2"/>
                <w:sz w:val="22"/>
              </w:rPr>
              <w:t>Radiology</w:t>
            </w:r>
          </w:p>
        </w:tc>
      </w:tr>
      <w:tr>
        <w:tblPrEx>
          <w:tblW w:w="0" w:type="auto"/>
          <w:jc w:val="left"/>
          <w:tblInd w:w="622" w:type="dxa"/>
          <w:tblLayout w:type="fixed"/>
          <w:tblCellMar>
            <w:top w:w="0" w:type="dxa"/>
            <w:left w:w="0" w:type="dxa"/>
            <w:bottom w:w="0" w:type="dxa"/>
            <w:right w:w="0" w:type="dxa"/>
          </w:tblCellMar>
          <w:tblLook w:val="01E0"/>
        </w:tblPrEx>
        <w:trPr>
          <w:trHeight w:val="505"/>
          <w:jc w:val="left"/>
        </w:trPr>
        <w:tc>
          <w:tcPr>
            <w:tcW w:w="734" w:type="dxa"/>
          </w:tcPr>
          <w:p>
            <w:pPr>
              <w:pStyle w:val="TableParagraph"/>
              <w:spacing w:before="1"/>
              <w:ind w:left="107"/>
              <w:rPr>
                <w:sz w:val="22"/>
              </w:rPr>
            </w:pPr>
            <w:r>
              <w:rPr>
                <w:spacing w:val="-5"/>
                <w:sz w:val="22"/>
              </w:rPr>
              <w:t>7e</w:t>
            </w:r>
          </w:p>
        </w:tc>
        <w:tc>
          <w:tcPr>
            <w:tcW w:w="4174" w:type="dxa"/>
          </w:tcPr>
          <w:p>
            <w:pPr>
              <w:pStyle w:val="TableParagraph"/>
              <w:spacing w:line="252" w:lineRule="exact"/>
              <w:ind w:left="108"/>
              <w:rPr>
                <w:i/>
                <w:sz w:val="22"/>
              </w:rPr>
            </w:pPr>
            <w:r>
              <w:rPr>
                <w:sz w:val="22"/>
              </w:rPr>
              <w:t>Mental</w:t>
            </w:r>
            <w:r>
              <w:rPr>
                <w:spacing w:val="-8"/>
                <w:sz w:val="22"/>
              </w:rPr>
              <w:t xml:space="preserve"> </w:t>
            </w:r>
            <w:r>
              <w:rPr>
                <w:sz w:val="22"/>
              </w:rPr>
              <w:t>Health</w:t>
            </w:r>
            <w:r>
              <w:rPr>
                <w:spacing w:val="-9"/>
                <w:sz w:val="22"/>
              </w:rPr>
              <w:t xml:space="preserve"> </w:t>
            </w:r>
            <w:r>
              <w:rPr>
                <w:sz w:val="22"/>
              </w:rPr>
              <w:t>Specialty</w:t>
            </w:r>
            <w:r>
              <w:rPr>
                <w:spacing w:val="-9"/>
                <w:sz w:val="22"/>
              </w:rPr>
              <w:t xml:space="preserve"> </w:t>
            </w:r>
            <w:r>
              <w:rPr>
                <w:sz w:val="22"/>
              </w:rPr>
              <w:t>Services</w:t>
            </w:r>
            <w:r>
              <w:rPr>
                <w:spacing w:val="-9"/>
                <w:sz w:val="22"/>
              </w:rPr>
              <w:t xml:space="preserve"> </w:t>
            </w:r>
            <w:r>
              <w:rPr>
                <w:i/>
                <w:sz w:val="22"/>
              </w:rPr>
              <w:t>(Non-</w:t>
            </w:r>
            <w:r>
              <w:rPr>
                <w:i/>
                <w:spacing w:val="-2"/>
                <w:sz w:val="22"/>
              </w:rPr>
              <w:t>Physician)</w:t>
            </w:r>
          </w:p>
        </w:tc>
        <w:tc>
          <w:tcPr>
            <w:tcW w:w="736" w:type="dxa"/>
          </w:tcPr>
          <w:p>
            <w:pPr>
              <w:pStyle w:val="TableParagraph"/>
              <w:spacing w:before="1"/>
              <w:ind w:left="108"/>
              <w:rPr>
                <w:sz w:val="22"/>
              </w:rPr>
            </w:pPr>
            <w:r>
              <w:rPr>
                <w:spacing w:val="-5"/>
                <w:sz w:val="22"/>
              </w:rPr>
              <w:t>i3</w:t>
            </w:r>
          </w:p>
        </w:tc>
        <w:tc>
          <w:tcPr>
            <w:tcW w:w="3787" w:type="dxa"/>
          </w:tcPr>
          <w:p>
            <w:pPr>
              <w:pStyle w:val="TableParagraph"/>
              <w:spacing w:before="1"/>
              <w:ind w:left="109"/>
              <w:rPr>
                <w:sz w:val="22"/>
              </w:rPr>
            </w:pPr>
            <w:r>
              <w:rPr>
                <w:sz w:val="22"/>
              </w:rPr>
              <w:t>Professional:</w:t>
            </w:r>
            <w:r>
              <w:rPr>
                <w:spacing w:val="-8"/>
                <w:sz w:val="22"/>
              </w:rPr>
              <w:t xml:space="preserve"> </w:t>
            </w:r>
            <w:r>
              <w:rPr>
                <w:sz w:val="22"/>
              </w:rPr>
              <w:t>Mental</w:t>
            </w:r>
            <w:r>
              <w:rPr>
                <w:spacing w:val="-4"/>
                <w:sz w:val="22"/>
              </w:rPr>
              <w:t xml:space="preserve"> </w:t>
            </w:r>
            <w:r>
              <w:rPr>
                <w:spacing w:val="-2"/>
                <w:sz w:val="22"/>
              </w:rPr>
              <w:t>Health</w:t>
            </w:r>
          </w:p>
        </w:tc>
      </w:tr>
      <w:tr>
        <w:tblPrEx>
          <w:tblW w:w="0" w:type="auto"/>
          <w:jc w:val="left"/>
          <w:tblInd w:w="622" w:type="dxa"/>
          <w:tblLayout w:type="fixed"/>
          <w:tblCellMar>
            <w:top w:w="0" w:type="dxa"/>
            <w:left w:w="0" w:type="dxa"/>
            <w:bottom w:w="0" w:type="dxa"/>
            <w:right w:w="0" w:type="dxa"/>
          </w:tblCellMar>
          <w:tblLook w:val="01E0"/>
        </w:tblPrEx>
        <w:trPr>
          <w:trHeight w:val="505"/>
          <w:jc w:val="left"/>
        </w:trPr>
        <w:tc>
          <w:tcPr>
            <w:tcW w:w="734" w:type="dxa"/>
          </w:tcPr>
          <w:p>
            <w:pPr>
              <w:pStyle w:val="TableParagraph"/>
              <w:spacing w:before="1"/>
              <w:ind w:left="107"/>
              <w:rPr>
                <w:sz w:val="22"/>
              </w:rPr>
            </w:pPr>
            <w:r>
              <w:rPr>
                <w:spacing w:val="-5"/>
                <w:sz w:val="22"/>
              </w:rPr>
              <w:t>7f</w:t>
            </w:r>
          </w:p>
        </w:tc>
        <w:tc>
          <w:tcPr>
            <w:tcW w:w="4174" w:type="dxa"/>
          </w:tcPr>
          <w:p>
            <w:pPr>
              <w:pStyle w:val="TableParagraph"/>
              <w:spacing w:before="1"/>
              <w:ind w:left="108"/>
              <w:rPr>
                <w:sz w:val="22"/>
              </w:rPr>
            </w:pPr>
            <w:r>
              <w:rPr>
                <w:sz w:val="22"/>
              </w:rPr>
              <w:t>Podiatry</w:t>
            </w:r>
            <w:r>
              <w:rPr>
                <w:spacing w:val="-2"/>
                <w:sz w:val="22"/>
              </w:rPr>
              <w:t xml:space="preserve"> Services</w:t>
            </w:r>
          </w:p>
        </w:tc>
        <w:tc>
          <w:tcPr>
            <w:tcW w:w="736" w:type="dxa"/>
          </w:tcPr>
          <w:p>
            <w:pPr>
              <w:pStyle w:val="TableParagraph"/>
              <w:spacing w:line="252" w:lineRule="exact"/>
              <w:ind w:left="108" w:right="202"/>
              <w:rPr>
                <w:sz w:val="22"/>
              </w:rPr>
            </w:pPr>
            <w:r>
              <w:rPr>
                <w:sz w:val="22"/>
              </w:rPr>
              <w:t>i2</w:t>
            </w:r>
            <w:r>
              <w:rPr>
                <w:spacing w:val="-14"/>
                <w:sz w:val="22"/>
              </w:rPr>
              <w:t xml:space="preserve"> </w:t>
            </w:r>
            <w:r>
              <w:rPr>
                <w:sz w:val="22"/>
              </w:rPr>
              <w:t xml:space="preserve">or </w:t>
            </w:r>
            <w:r>
              <w:rPr>
                <w:spacing w:val="-6"/>
                <w:sz w:val="22"/>
              </w:rPr>
              <w:t>i6</w:t>
            </w:r>
          </w:p>
        </w:tc>
        <w:tc>
          <w:tcPr>
            <w:tcW w:w="3787" w:type="dxa"/>
          </w:tcPr>
          <w:p>
            <w:pPr>
              <w:pStyle w:val="TableParagraph"/>
              <w:spacing w:line="252" w:lineRule="exact"/>
              <w:ind w:left="109" w:right="535"/>
              <w:rPr>
                <w:sz w:val="22"/>
              </w:rPr>
            </w:pPr>
            <w:r>
              <w:rPr>
                <w:sz w:val="22"/>
              </w:rPr>
              <w:t>Professional:</w:t>
            </w:r>
            <w:r>
              <w:rPr>
                <w:spacing w:val="-12"/>
                <w:sz w:val="22"/>
              </w:rPr>
              <w:t xml:space="preserve"> </w:t>
            </w:r>
            <w:r>
              <w:rPr>
                <w:sz w:val="22"/>
              </w:rPr>
              <w:t>Specialist</w:t>
            </w:r>
            <w:r>
              <w:rPr>
                <w:spacing w:val="-12"/>
                <w:sz w:val="22"/>
              </w:rPr>
              <w:t xml:space="preserve"> </w:t>
            </w:r>
            <w:r>
              <w:rPr>
                <w:sz w:val="22"/>
              </w:rPr>
              <w:t>excl.</w:t>
            </w:r>
            <w:r>
              <w:rPr>
                <w:spacing w:val="-13"/>
                <w:sz w:val="22"/>
              </w:rPr>
              <w:t xml:space="preserve"> </w:t>
            </w:r>
            <w:r>
              <w:rPr>
                <w:sz w:val="22"/>
              </w:rPr>
              <w:t>MH; or Professional: Other</w:t>
            </w:r>
          </w:p>
        </w:tc>
      </w:tr>
      <w:tr>
        <w:tblPrEx>
          <w:tblW w:w="0" w:type="auto"/>
          <w:jc w:val="left"/>
          <w:tblInd w:w="622" w:type="dxa"/>
          <w:tblLayout w:type="fixed"/>
          <w:tblCellMar>
            <w:top w:w="0" w:type="dxa"/>
            <w:left w:w="0" w:type="dxa"/>
            <w:bottom w:w="0" w:type="dxa"/>
            <w:right w:w="0" w:type="dxa"/>
          </w:tblCellMar>
          <w:tblLook w:val="01E0"/>
        </w:tblPrEx>
        <w:trPr>
          <w:trHeight w:val="506"/>
          <w:jc w:val="left"/>
        </w:trPr>
        <w:tc>
          <w:tcPr>
            <w:tcW w:w="734" w:type="dxa"/>
          </w:tcPr>
          <w:p>
            <w:pPr>
              <w:pStyle w:val="TableParagraph"/>
              <w:spacing w:before="1"/>
              <w:ind w:left="107"/>
              <w:rPr>
                <w:sz w:val="22"/>
              </w:rPr>
            </w:pPr>
            <w:r>
              <w:rPr>
                <w:spacing w:val="-5"/>
                <w:sz w:val="22"/>
              </w:rPr>
              <w:t>7g</w:t>
            </w:r>
          </w:p>
        </w:tc>
        <w:tc>
          <w:tcPr>
            <w:tcW w:w="4174" w:type="dxa"/>
          </w:tcPr>
          <w:p>
            <w:pPr>
              <w:pStyle w:val="TableParagraph"/>
              <w:spacing w:before="1"/>
              <w:ind w:left="108"/>
              <w:rPr>
                <w:sz w:val="22"/>
              </w:rPr>
            </w:pPr>
            <w:r>
              <w:rPr>
                <w:sz w:val="22"/>
              </w:rPr>
              <w:t>Other</w:t>
            </w:r>
            <w:r>
              <w:rPr>
                <w:spacing w:val="-5"/>
                <w:sz w:val="22"/>
              </w:rPr>
              <w:t xml:space="preserve"> </w:t>
            </w:r>
            <w:r>
              <w:rPr>
                <w:sz w:val="22"/>
              </w:rPr>
              <w:t>Health</w:t>
            </w:r>
            <w:r>
              <w:rPr>
                <w:spacing w:val="-5"/>
                <w:sz w:val="22"/>
              </w:rPr>
              <w:t xml:space="preserve"> </w:t>
            </w:r>
            <w:r>
              <w:rPr>
                <w:sz w:val="22"/>
              </w:rPr>
              <w:t>Care</w:t>
            </w:r>
            <w:r>
              <w:rPr>
                <w:spacing w:val="-6"/>
                <w:sz w:val="22"/>
              </w:rPr>
              <w:t xml:space="preserve"> </w:t>
            </w:r>
            <w:r>
              <w:rPr>
                <w:sz w:val="22"/>
              </w:rPr>
              <w:t>Professional</w:t>
            </w:r>
            <w:r>
              <w:rPr>
                <w:spacing w:val="-4"/>
                <w:sz w:val="22"/>
              </w:rPr>
              <w:t xml:space="preserve"> </w:t>
            </w:r>
            <w:r>
              <w:rPr>
                <w:spacing w:val="-2"/>
                <w:sz w:val="22"/>
              </w:rPr>
              <w:t>Services</w:t>
            </w:r>
          </w:p>
        </w:tc>
        <w:tc>
          <w:tcPr>
            <w:tcW w:w="736" w:type="dxa"/>
          </w:tcPr>
          <w:p>
            <w:pPr>
              <w:pStyle w:val="TableParagraph"/>
              <w:spacing w:line="252" w:lineRule="exact"/>
              <w:ind w:left="108" w:right="202"/>
              <w:rPr>
                <w:sz w:val="22"/>
              </w:rPr>
            </w:pPr>
            <w:r>
              <w:rPr>
                <w:sz w:val="22"/>
              </w:rPr>
              <w:t>i2</w:t>
            </w:r>
            <w:r>
              <w:rPr>
                <w:spacing w:val="-14"/>
                <w:sz w:val="22"/>
              </w:rPr>
              <w:t xml:space="preserve"> </w:t>
            </w:r>
            <w:r>
              <w:rPr>
                <w:sz w:val="22"/>
              </w:rPr>
              <w:t xml:space="preserve">or </w:t>
            </w:r>
            <w:r>
              <w:rPr>
                <w:spacing w:val="-6"/>
                <w:sz w:val="22"/>
              </w:rPr>
              <w:t>i6</w:t>
            </w:r>
          </w:p>
        </w:tc>
        <w:tc>
          <w:tcPr>
            <w:tcW w:w="3787" w:type="dxa"/>
          </w:tcPr>
          <w:p>
            <w:pPr>
              <w:pStyle w:val="TableParagraph"/>
              <w:spacing w:line="252" w:lineRule="exact"/>
              <w:ind w:left="109"/>
              <w:rPr>
                <w:sz w:val="22"/>
              </w:rPr>
            </w:pPr>
            <w:r>
              <w:rPr>
                <w:sz w:val="22"/>
              </w:rPr>
              <w:t>Professional:</w:t>
            </w:r>
            <w:r>
              <w:rPr>
                <w:spacing w:val="-9"/>
                <w:sz w:val="22"/>
              </w:rPr>
              <w:t xml:space="preserve"> </w:t>
            </w:r>
            <w:r>
              <w:rPr>
                <w:sz w:val="22"/>
              </w:rPr>
              <w:t>Specialist</w:t>
            </w:r>
            <w:r>
              <w:rPr>
                <w:spacing w:val="-9"/>
                <w:sz w:val="22"/>
              </w:rPr>
              <w:t xml:space="preserve"> </w:t>
            </w:r>
            <w:r>
              <w:rPr>
                <w:sz w:val="22"/>
              </w:rPr>
              <w:t>excl.</w:t>
            </w:r>
            <w:r>
              <w:rPr>
                <w:spacing w:val="-10"/>
                <w:sz w:val="22"/>
              </w:rPr>
              <w:t xml:space="preserve"> </w:t>
            </w:r>
            <w:r>
              <w:rPr>
                <w:sz w:val="22"/>
              </w:rPr>
              <w:t>MH;</w:t>
            </w:r>
            <w:r>
              <w:rPr>
                <w:spacing w:val="-9"/>
                <w:sz w:val="22"/>
              </w:rPr>
              <w:t xml:space="preserve"> </w:t>
            </w:r>
            <w:r>
              <w:rPr>
                <w:sz w:val="22"/>
              </w:rPr>
              <w:t>or Professional: Other</w:t>
            </w:r>
          </w:p>
        </w:tc>
      </w:tr>
      <w:tr>
        <w:tblPrEx>
          <w:tblW w:w="0" w:type="auto"/>
          <w:jc w:val="left"/>
          <w:tblInd w:w="622" w:type="dxa"/>
          <w:tblLayout w:type="fixed"/>
          <w:tblCellMar>
            <w:top w:w="0" w:type="dxa"/>
            <w:left w:w="0" w:type="dxa"/>
            <w:bottom w:w="0" w:type="dxa"/>
            <w:right w:w="0" w:type="dxa"/>
          </w:tblCellMar>
          <w:tblLook w:val="01E0"/>
        </w:tblPrEx>
        <w:trPr>
          <w:trHeight w:val="253"/>
          <w:jc w:val="left"/>
        </w:trPr>
        <w:tc>
          <w:tcPr>
            <w:tcW w:w="734" w:type="dxa"/>
          </w:tcPr>
          <w:p>
            <w:pPr>
              <w:pStyle w:val="TableParagraph"/>
              <w:spacing w:line="233" w:lineRule="exact"/>
              <w:ind w:left="107"/>
              <w:rPr>
                <w:sz w:val="22"/>
              </w:rPr>
            </w:pPr>
            <w:r>
              <w:rPr>
                <w:spacing w:val="-5"/>
                <w:sz w:val="22"/>
              </w:rPr>
              <w:t>7h</w:t>
            </w:r>
          </w:p>
        </w:tc>
        <w:tc>
          <w:tcPr>
            <w:tcW w:w="4174" w:type="dxa"/>
          </w:tcPr>
          <w:p>
            <w:pPr>
              <w:pStyle w:val="TableParagraph"/>
              <w:spacing w:line="233" w:lineRule="exact"/>
              <w:ind w:left="108"/>
              <w:rPr>
                <w:sz w:val="22"/>
              </w:rPr>
            </w:pPr>
            <w:r>
              <w:rPr>
                <w:sz w:val="22"/>
              </w:rPr>
              <w:t>Psychiatric</w:t>
            </w:r>
            <w:r>
              <w:rPr>
                <w:spacing w:val="-6"/>
                <w:sz w:val="22"/>
              </w:rPr>
              <w:t xml:space="preserve"> </w:t>
            </w:r>
            <w:r>
              <w:rPr>
                <w:spacing w:val="-2"/>
                <w:sz w:val="22"/>
              </w:rPr>
              <w:t>Services</w:t>
            </w:r>
          </w:p>
        </w:tc>
        <w:tc>
          <w:tcPr>
            <w:tcW w:w="736" w:type="dxa"/>
          </w:tcPr>
          <w:p>
            <w:pPr>
              <w:pStyle w:val="TableParagraph"/>
              <w:spacing w:line="233" w:lineRule="exact"/>
              <w:ind w:left="108"/>
              <w:rPr>
                <w:sz w:val="22"/>
              </w:rPr>
            </w:pPr>
            <w:r>
              <w:rPr>
                <w:spacing w:val="-5"/>
                <w:sz w:val="22"/>
              </w:rPr>
              <w:t>i3</w:t>
            </w:r>
          </w:p>
        </w:tc>
        <w:tc>
          <w:tcPr>
            <w:tcW w:w="3787" w:type="dxa"/>
          </w:tcPr>
          <w:p>
            <w:pPr>
              <w:pStyle w:val="TableParagraph"/>
              <w:spacing w:line="233" w:lineRule="exact"/>
              <w:ind w:left="109"/>
              <w:rPr>
                <w:sz w:val="22"/>
              </w:rPr>
            </w:pPr>
            <w:r>
              <w:rPr>
                <w:sz w:val="22"/>
              </w:rPr>
              <w:t>Professional:</w:t>
            </w:r>
            <w:r>
              <w:rPr>
                <w:spacing w:val="-8"/>
                <w:sz w:val="22"/>
              </w:rPr>
              <w:t xml:space="preserve"> </w:t>
            </w:r>
            <w:r>
              <w:rPr>
                <w:sz w:val="22"/>
              </w:rPr>
              <w:t>Mental</w:t>
            </w:r>
            <w:r>
              <w:rPr>
                <w:spacing w:val="-4"/>
                <w:sz w:val="22"/>
              </w:rPr>
              <w:t xml:space="preserve"> </w:t>
            </w:r>
            <w:r>
              <w:rPr>
                <w:spacing w:val="-2"/>
                <w:sz w:val="22"/>
              </w:rPr>
              <w:t>Health</w:t>
            </w:r>
          </w:p>
        </w:tc>
      </w:tr>
    </w:tbl>
    <w:p>
      <w:pPr>
        <w:pStyle w:val="TableParagraph"/>
        <w:spacing w:after="0" w:line="233" w:lineRule="exact"/>
        <w:rPr>
          <w:sz w:val="22"/>
        </w:rPr>
        <w:sectPr>
          <w:headerReference w:type="default" r:id="rId52"/>
          <w:footerReference w:type="default" r:id="rId53"/>
          <w:pgSz w:w="12240" w:h="15840"/>
          <w:pgMar w:top="960" w:right="0" w:bottom="940" w:left="1080" w:header="727" w:footer="747"/>
          <w:cols w:space="720"/>
        </w:sectPr>
      </w:pPr>
    </w:p>
    <w:p>
      <w:pPr>
        <w:pStyle w:val="BodyText"/>
        <w:ind w:left="0"/>
        <w:rPr>
          <w:sz w:val="20"/>
        </w:rPr>
      </w:pPr>
    </w:p>
    <w:p>
      <w:pPr>
        <w:pStyle w:val="BodyText"/>
        <w:spacing w:before="6" w:after="1"/>
        <w:ind w:left="0"/>
        <w:rPr>
          <w:sz w:val="20"/>
        </w:rPr>
      </w:pPr>
    </w:p>
    <w:tbl>
      <w:tblPr>
        <w:tblStyle w:val="TableNormal"/>
        <w:tblW w:w="0" w:type="auto"/>
        <w:jc w:val="left"/>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4"/>
        <w:gridCol w:w="4174"/>
        <w:gridCol w:w="736"/>
        <w:gridCol w:w="3787"/>
      </w:tblGrid>
      <w:tr>
        <w:tblPrEx>
          <w:tblW w:w="0" w:type="auto"/>
          <w:jc w:val="left"/>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14"/>
          <w:jc w:val="left"/>
        </w:trPr>
        <w:tc>
          <w:tcPr>
            <w:tcW w:w="734" w:type="dxa"/>
          </w:tcPr>
          <w:p>
            <w:pPr>
              <w:pStyle w:val="TableParagraph"/>
              <w:spacing w:before="87"/>
              <w:ind w:left="107"/>
              <w:rPr>
                <w:b/>
                <w:sz w:val="22"/>
              </w:rPr>
            </w:pPr>
            <w:r>
              <w:rPr>
                <w:b/>
                <w:spacing w:val="-5"/>
                <w:sz w:val="22"/>
              </w:rPr>
              <w:t>PBP</w:t>
            </w:r>
          </w:p>
          <w:p>
            <w:pPr>
              <w:pStyle w:val="TableParagraph"/>
              <w:spacing w:before="4" w:line="250" w:lineRule="exact"/>
              <w:ind w:left="107"/>
              <w:rPr>
                <w:b/>
                <w:sz w:val="22"/>
              </w:rPr>
            </w:pPr>
            <w:r>
              <w:rPr>
                <w:b/>
                <w:sz w:val="22"/>
              </w:rPr>
              <w:t>line</w:t>
            </w:r>
            <w:r>
              <w:rPr>
                <w:b/>
                <w:spacing w:val="-3"/>
                <w:sz w:val="22"/>
              </w:rPr>
              <w:t xml:space="preserve"> </w:t>
            </w:r>
            <w:r>
              <w:rPr>
                <w:b/>
                <w:spacing w:val="-10"/>
                <w:sz w:val="22"/>
              </w:rPr>
              <w:t>#</w:t>
            </w:r>
          </w:p>
        </w:tc>
        <w:tc>
          <w:tcPr>
            <w:tcW w:w="4174" w:type="dxa"/>
          </w:tcPr>
          <w:p>
            <w:pPr>
              <w:pStyle w:val="TableParagraph"/>
              <w:spacing w:before="91"/>
              <w:rPr>
                <w:sz w:val="22"/>
              </w:rPr>
            </w:pPr>
          </w:p>
          <w:p>
            <w:pPr>
              <w:pStyle w:val="TableParagraph"/>
              <w:spacing w:line="250" w:lineRule="exact"/>
              <w:ind w:left="108"/>
              <w:rPr>
                <w:b/>
                <w:sz w:val="22"/>
              </w:rPr>
            </w:pPr>
            <w:r>
              <w:rPr>
                <w:b/>
                <w:sz w:val="22"/>
              </w:rPr>
              <w:t>PBP</w:t>
            </w:r>
            <w:r>
              <w:rPr>
                <w:b/>
                <w:spacing w:val="-2"/>
                <w:sz w:val="22"/>
              </w:rPr>
              <w:t xml:space="preserve"> Category</w:t>
            </w:r>
          </w:p>
        </w:tc>
        <w:tc>
          <w:tcPr>
            <w:tcW w:w="736" w:type="dxa"/>
          </w:tcPr>
          <w:p>
            <w:pPr>
              <w:pStyle w:val="TableParagraph"/>
              <w:spacing w:before="87"/>
              <w:ind w:left="108"/>
              <w:rPr>
                <w:b/>
                <w:sz w:val="22"/>
              </w:rPr>
            </w:pPr>
            <w:r>
              <w:rPr>
                <w:b/>
                <w:spacing w:val="-5"/>
                <w:sz w:val="22"/>
              </w:rPr>
              <w:t>BPT</w:t>
            </w:r>
          </w:p>
          <w:p>
            <w:pPr>
              <w:pStyle w:val="TableParagraph"/>
              <w:spacing w:before="4" w:line="250" w:lineRule="exact"/>
              <w:ind w:left="108"/>
              <w:rPr>
                <w:b/>
                <w:sz w:val="22"/>
              </w:rPr>
            </w:pPr>
            <w:r>
              <w:rPr>
                <w:b/>
                <w:sz w:val="22"/>
              </w:rPr>
              <w:t>line</w:t>
            </w:r>
            <w:r>
              <w:rPr>
                <w:b/>
                <w:spacing w:val="-3"/>
                <w:sz w:val="22"/>
              </w:rPr>
              <w:t xml:space="preserve"> </w:t>
            </w:r>
            <w:r>
              <w:rPr>
                <w:b/>
                <w:spacing w:val="-10"/>
                <w:sz w:val="22"/>
              </w:rPr>
              <w:t>#</w:t>
            </w:r>
          </w:p>
        </w:tc>
        <w:tc>
          <w:tcPr>
            <w:tcW w:w="3787" w:type="dxa"/>
          </w:tcPr>
          <w:p>
            <w:pPr>
              <w:pStyle w:val="TableParagraph"/>
              <w:spacing w:before="87" w:line="250" w:lineRule="atLeast"/>
              <w:ind w:left="109"/>
              <w:rPr>
                <w:b/>
                <w:sz w:val="22"/>
              </w:rPr>
            </w:pPr>
            <w:r>
              <w:rPr>
                <w:b/>
                <w:sz w:val="22"/>
              </w:rPr>
              <w:t>Corresponding BPT Category: Description/Note</w:t>
            </w:r>
            <w:r>
              <w:rPr>
                <w:b/>
                <w:spacing w:val="-14"/>
                <w:sz w:val="22"/>
              </w:rPr>
              <w:t xml:space="preserve"> </w:t>
            </w:r>
            <w:r>
              <w:rPr>
                <w:b/>
                <w:sz w:val="22"/>
              </w:rPr>
              <w:t>(Worksheet</w:t>
            </w:r>
            <w:r>
              <w:rPr>
                <w:b/>
                <w:spacing w:val="-14"/>
                <w:sz w:val="22"/>
              </w:rPr>
              <w:t xml:space="preserve"> </w:t>
            </w:r>
            <w:r>
              <w:rPr>
                <w:b/>
                <w:sz w:val="22"/>
              </w:rPr>
              <w:t>3)</w:t>
            </w:r>
          </w:p>
        </w:tc>
      </w:tr>
      <w:tr>
        <w:tblPrEx>
          <w:tblW w:w="0" w:type="auto"/>
          <w:jc w:val="left"/>
          <w:tblInd w:w="622" w:type="dxa"/>
          <w:tblLayout w:type="fixed"/>
          <w:tblCellMar>
            <w:top w:w="0" w:type="dxa"/>
            <w:left w:w="0" w:type="dxa"/>
            <w:bottom w:w="0" w:type="dxa"/>
            <w:right w:w="0" w:type="dxa"/>
          </w:tblCellMar>
          <w:tblLook w:val="01E0"/>
        </w:tblPrEx>
        <w:trPr>
          <w:trHeight w:val="253"/>
          <w:jc w:val="left"/>
        </w:trPr>
        <w:tc>
          <w:tcPr>
            <w:tcW w:w="4908" w:type="dxa"/>
            <w:gridSpan w:val="2"/>
          </w:tcPr>
          <w:p>
            <w:pPr>
              <w:pStyle w:val="TableParagraph"/>
              <w:spacing w:before="1" w:line="233" w:lineRule="exact"/>
              <w:ind w:left="107"/>
              <w:rPr>
                <w:b/>
                <w:sz w:val="22"/>
              </w:rPr>
            </w:pPr>
            <w:r>
              <w:rPr>
                <w:b/>
                <w:sz w:val="22"/>
              </w:rPr>
              <w:t>Benefit</w:t>
            </w:r>
            <w:r>
              <w:rPr>
                <w:b/>
                <w:spacing w:val="-6"/>
                <w:sz w:val="22"/>
              </w:rPr>
              <w:t xml:space="preserve"> </w:t>
            </w:r>
            <w:r>
              <w:rPr>
                <w:b/>
                <w:spacing w:val="-2"/>
                <w:sz w:val="22"/>
              </w:rPr>
              <w:t>Offerings</w:t>
            </w:r>
          </w:p>
        </w:tc>
        <w:tc>
          <w:tcPr>
            <w:tcW w:w="736" w:type="dxa"/>
          </w:tcPr>
          <w:p>
            <w:pPr>
              <w:pStyle w:val="TableParagraph"/>
              <w:rPr>
                <w:sz w:val="18"/>
              </w:rPr>
            </w:pPr>
          </w:p>
        </w:tc>
        <w:tc>
          <w:tcPr>
            <w:tcW w:w="3787" w:type="dxa"/>
          </w:tcPr>
          <w:p>
            <w:pPr>
              <w:pStyle w:val="TableParagraph"/>
              <w:rPr>
                <w:sz w:val="18"/>
              </w:rPr>
            </w:pPr>
          </w:p>
        </w:tc>
      </w:tr>
      <w:tr>
        <w:tblPrEx>
          <w:tblW w:w="0" w:type="auto"/>
          <w:jc w:val="left"/>
          <w:tblInd w:w="622" w:type="dxa"/>
          <w:tblLayout w:type="fixed"/>
          <w:tblCellMar>
            <w:top w:w="0" w:type="dxa"/>
            <w:left w:w="0" w:type="dxa"/>
            <w:bottom w:w="0" w:type="dxa"/>
            <w:right w:w="0" w:type="dxa"/>
          </w:tblCellMar>
          <w:tblLook w:val="01E0"/>
        </w:tblPrEx>
        <w:trPr>
          <w:trHeight w:val="506"/>
          <w:jc w:val="left"/>
        </w:trPr>
        <w:tc>
          <w:tcPr>
            <w:tcW w:w="734" w:type="dxa"/>
          </w:tcPr>
          <w:p>
            <w:pPr>
              <w:pStyle w:val="TableParagraph"/>
              <w:spacing w:line="251" w:lineRule="exact"/>
              <w:ind w:left="107"/>
              <w:rPr>
                <w:sz w:val="22"/>
              </w:rPr>
            </w:pPr>
            <w:r>
              <w:rPr>
                <w:spacing w:val="-5"/>
                <w:sz w:val="22"/>
              </w:rPr>
              <w:t>7i</w:t>
            </w:r>
          </w:p>
        </w:tc>
        <w:tc>
          <w:tcPr>
            <w:tcW w:w="4174" w:type="dxa"/>
          </w:tcPr>
          <w:p>
            <w:pPr>
              <w:pStyle w:val="TableParagraph"/>
              <w:spacing w:line="254" w:lineRule="exact"/>
              <w:ind w:left="108"/>
              <w:rPr>
                <w:sz w:val="22"/>
              </w:rPr>
            </w:pPr>
            <w:r>
              <w:rPr>
                <w:sz w:val="22"/>
              </w:rPr>
              <w:t>Physical</w:t>
            </w:r>
            <w:r>
              <w:rPr>
                <w:spacing w:val="-13"/>
                <w:sz w:val="22"/>
              </w:rPr>
              <w:t xml:space="preserve"> </w:t>
            </w:r>
            <w:r>
              <w:rPr>
                <w:sz w:val="22"/>
              </w:rPr>
              <w:t>Therapy</w:t>
            </w:r>
            <w:r>
              <w:rPr>
                <w:spacing w:val="-13"/>
                <w:sz w:val="22"/>
              </w:rPr>
              <w:t xml:space="preserve"> </w:t>
            </w:r>
            <w:r>
              <w:rPr>
                <w:sz w:val="22"/>
              </w:rPr>
              <w:t>and</w:t>
            </w:r>
            <w:r>
              <w:rPr>
                <w:spacing w:val="-13"/>
                <w:sz w:val="22"/>
              </w:rPr>
              <w:t xml:space="preserve"> </w:t>
            </w:r>
            <w:r>
              <w:rPr>
                <w:sz w:val="22"/>
              </w:rPr>
              <w:t>Speech-</w:t>
            </w:r>
            <w:r>
              <w:rPr>
                <w:sz w:val="22"/>
              </w:rPr>
              <w:t>Language Pathology Services</w:t>
            </w:r>
          </w:p>
        </w:tc>
        <w:tc>
          <w:tcPr>
            <w:tcW w:w="736" w:type="dxa"/>
          </w:tcPr>
          <w:p>
            <w:pPr>
              <w:pStyle w:val="TableParagraph"/>
              <w:spacing w:line="251" w:lineRule="exact"/>
              <w:ind w:left="108"/>
              <w:rPr>
                <w:sz w:val="22"/>
              </w:rPr>
            </w:pPr>
            <w:r>
              <w:rPr>
                <w:spacing w:val="-5"/>
                <w:sz w:val="22"/>
              </w:rPr>
              <w:t>i4</w:t>
            </w:r>
          </w:p>
        </w:tc>
        <w:tc>
          <w:tcPr>
            <w:tcW w:w="3787" w:type="dxa"/>
          </w:tcPr>
          <w:p>
            <w:pPr>
              <w:pStyle w:val="TableParagraph"/>
              <w:spacing w:line="251" w:lineRule="exact"/>
              <w:ind w:left="109"/>
              <w:rPr>
                <w:sz w:val="22"/>
              </w:rPr>
            </w:pPr>
            <w:r>
              <w:rPr>
                <w:sz w:val="22"/>
              </w:rPr>
              <w:t>Professional:</w:t>
            </w:r>
            <w:r>
              <w:rPr>
                <w:spacing w:val="-5"/>
                <w:sz w:val="22"/>
              </w:rPr>
              <w:t xml:space="preserve"> </w:t>
            </w:r>
            <w:r>
              <w:rPr>
                <w:sz w:val="22"/>
              </w:rPr>
              <w:t>Therapy</w:t>
            </w:r>
            <w:r>
              <w:rPr>
                <w:spacing w:val="-7"/>
                <w:sz w:val="22"/>
              </w:rPr>
              <w:t xml:space="preserve"> </w:t>
            </w:r>
            <w:r>
              <w:rPr>
                <w:spacing w:val="-2"/>
                <w:sz w:val="22"/>
              </w:rPr>
              <w:t>(PT/OT/ST)</w:t>
            </w:r>
          </w:p>
        </w:tc>
      </w:tr>
      <w:tr>
        <w:tblPrEx>
          <w:tblW w:w="0" w:type="auto"/>
          <w:jc w:val="left"/>
          <w:tblInd w:w="6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5"/>
                <w:sz w:val="22"/>
              </w:rPr>
              <w:t>7j</w:t>
            </w:r>
          </w:p>
        </w:tc>
        <w:tc>
          <w:tcPr>
            <w:tcW w:w="4174" w:type="dxa"/>
          </w:tcPr>
          <w:p>
            <w:pPr>
              <w:pStyle w:val="TableParagraph"/>
              <w:spacing w:line="232" w:lineRule="exact"/>
              <w:ind w:left="108"/>
              <w:rPr>
                <w:sz w:val="22"/>
              </w:rPr>
            </w:pPr>
            <w:r>
              <w:rPr>
                <w:sz w:val="22"/>
              </w:rPr>
              <w:t>Additional</w:t>
            </w:r>
            <w:r>
              <w:rPr>
                <w:spacing w:val="-6"/>
                <w:sz w:val="22"/>
              </w:rPr>
              <w:t xml:space="preserve"> </w:t>
            </w:r>
            <w:r>
              <w:rPr>
                <w:sz w:val="22"/>
              </w:rPr>
              <w:t>Telehealth</w:t>
            </w:r>
            <w:r>
              <w:rPr>
                <w:spacing w:val="-5"/>
                <w:sz w:val="22"/>
              </w:rPr>
              <w:t xml:space="preserve"> </w:t>
            </w:r>
            <w:r>
              <w:rPr>
                <w:spacing w:val="-2"/>
                <w:sz w:val="22"/>
              </w:rPr>
              <w:t>Benefits</w:t>
            </w:r>
          </w:p>
        </w:tc>
        <w:tc>
          <w:tcPr>
            <w:tcW w:w="736" w:type="dxa"/>
          </w:tcPr>
          <w:p>
            <w:pPr>
              <w:pStyle w:val="TableParagraph"/>
              <w:spacing w:line="232" w:lineRule="exact"/>
              <w:ind w:left="108"/>
              <w:rPr>
                <w:sz w:val="22"/>
              </w:rPr>
            </w:pPr>
            <w:r>
              <w:rPr>
                <w:spacing w:val="-5"/>
                <w:sz w:val="22"/>
              </w:rPr>
              <w:t>i1</w:t>
            </w:r>
          </w:p>
        </w:tc>
        <w:tc>
          <w:tcPr>
            <w:tcW w:w="3787" w:type="dxa"/>
          </w:tcPr>
          <w:p>
            <w:pPr>
              <w:pStyle w:val="TableParagraph"/>
              <w:spacing w:line="232" w:lineRule="exact"/>
              <w:ind w:left="109"/>
              <w:rPr>
                <w:sz w:val="22"/>
              </w:rPr>
            </w:pPr>
            <w:r>
              <w:rPr>
                <w:sz w:val="22"/>
              </w:rPr>
              <w:t>Professional:</w:t>
            </w:r>
            <w:r>
              <w:rPr>
                <w:spacing w:val="-5"/>
                <w:sz w:val="22"/>
              </w:rPr>
              <w:t xml:space="preserve"> PCP</w:t>
            </w:r>
          </w:p>
        </w:tc>
      </w:tr>
      <w:tr>
        <w:tblPrEx>
          <w:tblW w:w="0" w:type="auto"/>
          <w:jc w:val="left"/>
          <w:tblInd w:w="6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5"/>
                <w:sz w:val="22"/>
              </w:rPr>
              <w:t>7k</w:t>
            </w:r>
          </w:p>
        </w:tc>
        <w:tc>
          <w:tcPr>
            <w:tcW w:w="4174" w:type="dxa"/>
          </w:tcPr>
          <w:p>
            <w:pPr>
              <w:pStyle w:val="TableParagraph"/>
              <w:spacing w:line="232" w:lineRule="exact"/>
              <w:ind w:left="108"/>
              <w:rPr>
                <w:sz w:val="22"/>
              </w:rPr>
            </w:pPr>
            <w:r>
              <w:rPr>
                <w:sz w:val="22"/>
              </w:rPr>
              <w:t>Opioid</w:t>
            </w:r>
            <w:r>
              <w:rPr>
                <w:spacing w:val="-5"/>
                <w:sz w:val="22"/>
              </w:rPr>
              <w:t xml:space="preserve"> </w:t>
            </w:r>
            <w:r>
              <w:rPr>
                <w:sz w:val="22"/>
              </w:rPr>
              <w:t>Treatment</w:t>
            </w:r>
            <w:r>
              <w:rPr>
                <w:spacing w:val="-4"/>
                <w:sz w:val="22"/>
              </w:rPr>
              <w:t xml:space="preserve"> </w:t>
            </w:r>
            <w:r>
              <w:rPr>
                <w:sz w:val="22"/>
              </w:rPr>
              <w:t>Program</w:t>
            </w:r>
            <w:r>
              <w:rPr>
                <w:spacing w:val="-5"/>
                <w:sz w:val="22"/>
              </w:rPr>
              <w:t xml:space="preserve"> </w:t>
            </w:r>
            <w:r>
              <w:rPr>
                <w:spacing w:val="-2"/>
                <w:sz w:val="22"/>
              </w:rPr>
              <w:t>Services</w:t>
            </w:r>
          </w:p>
        </w:tc>
        <w:tc>
          <w:tcPr>
            <w:tcW w:w="736" w:type="dxa"/>
          </w:tcPr>
          <w:p>
            <w:pPr>
              <w:pStyle w:val="TableParagraph"/>
              <w:spacing w:line="232" w:lineRule="exact"/>
              <w:ind w:left="108"/>
              <w:rPr>
                <w:sz w:val="22"/>
              </w:rPr>
            </w:pPr>
            <w:r>
              <w:rPr>
                <w:spacing w:val="-5"/>
                <w:sz w:val="22"/>
              </w:rPr>
              <w:t>i2</w:t>
            </w:r>
          </w:p>
        </w:tc>
        <w:tc>
          <w:tcPr>
            <w:tcW w:w="3787" w:type="dxa"/>
          </w:tcPr>
          <w:p>
            <w:pPr>
              <w:pStyle w:val="TableParagraph"/>
              <w:spacing w:line="232" w:lineRule="exact"/>
              <w:ind w:left="109"/>
              <w:rPr>
                <w:sz w:val="22"/>
              </w:rPr>
            </w:pPr>
            <w:r>
              <w:rPr>
                <w:sz w:val="22"/>
              </w:rPr>
              <w:t>Professional:</w:t>
            </w:r>
            <w:r>
              <w:rPr>
                <w:spacing w:val="-6"/>
                <w:sz w:val="22"/>
              </w:rPr>
              <w:t xml:space="preserve"> </w:t>
            </w:r>
            <w:r>
              <w:rPr>
                <w:sz w:val="22"/>
              </w:rPr>
              <w:t>Specialist</w:t>
            </w:r>
            <w:r>
              <w:rPr>
                <w:spacing w:val="-6"/>
                <w:sz w:val="22"/>
              </w:rPr>
              <w:t xml:space="preserve"> </w:t>
            </w:r>
            <w:r>
              <w:rPr>
                <w:sz w:val="22"/>
              </w:rPr>
              <w:t>excl.</w:t>
            </w:r>
            <w:r>
              <w:rPr>
                <w:spacing w:val="-6"/>
                <w:sz w:val="22"/>
              </w:rPr>
              <w:t xml:space="preserve"> </w:t>
            </w:r>
            <w:r>
              <w:rPr>
                <w:spacing w:val="-5"/>
                <w:sz w:val="22"/>
              </w:rPr>
              <w:t>MH</w:t>
            </w:r>
          </w:p>
        </w:tc>
      </w:tr>
      <w:tr>
        <w:tblPrEx>
          <w:tblW w:w="0" w:type="auto"/>
          <w:jc w:val="left"/>
          <w:tblInd w:w="622" w:type="dxa"/>
          <w:tblLayout w:type="fixed"/>
          <w:tblCellMar>
            <w:top w:w="0" w:type="dxa"/>
            <w:left w:w="0" w:type="dxa"/>
            <w:bottom w:w="0" w:type="dxa"/>
            <w:right w:w="0" w:type="dxa"/>
          </w:tblCellMar>
          <w:tblLook w:val="01E0"/>
        </w:tblPrEx>
        <w:trPr>
          <w:trHeight w:val="506"/>
          <w:jc w:val="left"/>
        </w:trPr>
        <w:tc>
          <w:tcPr>
            <w:tcW w:w="734" w:type="dxa"/>
          </w:tcPr>
          <w:p>
            <w:pPr>
              <w:pStyle w:val="TableParagraph"/>
              <w:spacing w:line="251" w:lineRule="exact"/>
              <w:ind w:left="107"/>
              <w:rPr>
                <w:sz w:val="22"/>
              </w:rPr>
            </w:pPr>
            <w:r>
              <w:rPr>
                <w:spacing w:val="-5"/>
                <w:sz w:val="22"/>
              </w:rPr>
              <w:t>8a</w:t>
            </w:r>
          </w:p>
        </w:tc>
        <w:tc>
          <w:tcPr>
            <w:tcW w:w="4174" w:type="dxa"/>
          </w:tcPr>
          <w:p>
            <w:pPr>
              <w:pStyle w:val="TableParagraph"/>
              <w:spacing w:line="254" w:lineRule="exact"/>
              <w:ind w:left="108"/>
              <w:rPr>
                <w:sz w:val="22"/>
              </w:rPr>
            </w:pPr>
            <w:r>
              <w:rPr>
                <w:sz w:val="22"/>
              </w:rPr>
              <w:t>Outpatient</w:t>
            </w:r>
            <w:r>
              <w:rPr>
                <w:spacing w:val="-14"/>
                <w:sz w:val="22"/>
              </w:rPr>
              <w:t xml:space="preserve"> </w:t>
            </w:r>
            <w:r>
              <w:rPr>
                <w:sz w:val="22"/>
              </w:rPr>
              <w:t>Diagnostic</w:t>
            </w:r>
            <w:r>
              <w:rPr>
                <w:spacing w:val="-14"/>
                <w:sz w:val="22"/>
              </w:rPr>
              <w:t xml:space="preserve"> </w:t>
            </w:r>
            <w:r>
              <w:rPr>
                <w:sz w:val="22"/>
              </w:rPr>
              <w:t xml:space="preserve">Procedures/Tests/Lab </w:t>
            </w:r>
            <w:r>
              <w:rPr>
                <w:spacing w:val="-2"/>
                <w:sz w:val="22"/>
              </w:rPr>
              <w:t>Services</w:t>
            </w:r>
          </w:p>
        </w:tc>
        <w:tc>
          <w:tcPr>
            <w:tcW w:w="736" w:type="dxa"/>
          </w:tcPr>
          <w:p>
            <w:pPr>
              <w:pStyle w:val="TableParagraph"/>
              <w:spacing w:line="251" w:lineRule="exact"/>
              <w:ind w:left="108"/>
              <w:rPr>
                <w:sz w:val="22"/>
              </w:rPr>
            </w:pPr>
            <w:r>
              <w:rPr>
                <w:spacing w:val="-5"/>
                <w:sz w:val="22"/>
              </w:rPr>
              <w:t>h1</w:t>
            </w:r>
          </w:p>
        </w:tc>
        <w:tc>
          <w:tcPr>
            <w:tcW w:w="3787" w:type="dxa"/>
          </w:tcPr>
          <w:p>
            <w:pPr>
              <w:pStyle w:val="TableParagraph"/>
              <w:spacing w:line="251" w:lineRule="exact"/>
              <w:ind w:left="109"/>
              <w:rPr>
                <w:sz w:val="22"/>
              </w:rPr>
            </w:pPr>
            <w:r>
              <w:rPr>
                <w:sz w:val="22"/>
              </w:rPr>
              <w:t>OP</w:t>
            </w:r>
            <w:r>
              <w:rPr>
                <w:spacing w:val="-6"/>
                <w:sz w:val="22"/>
              </w:rPr>
              <w:t xml:space="preserve"> </w:t>
            </w:r>
            <w:r>
              <w:rPr>
                <w:sz w:val="22"/>
              </w:rPr>
              <w:t>Facility</w:t>
            </w:r>
            <w:r>
              <w:rPr>
                <w:spacing w:val="-3"/>
                <w:sz w:val="22"/>
              </w:rPr>
              <w:t xml:space="preserve"> </w:t>
            </w:r>
            <w:r>
              <w:rPr>
                <w:sz w:val="22"/>
              </w:rPr>
              <w:t>–</w:t>
            </w:r>
            <w:r>
              <w:rPr>
                <w:spacing w:val="-3"/>
                <w:sz w:val="22"/>
              </w:rPr>
              <w:t xml:space="preserve"> </w:t>
            </w:r>
            <w:r>
              <w:rPr>
                <w:sz w:val="22"/>
              </w:rPr>
              <w:t>Other:</w:t>
            </w:r>
            <w:r>
              <w:rPr>
                <w:spacing w:val="-2"/>
                <w:sz w:val="22"/>
              </w:rPr>
              <w:t xml:space="preserve"> </w:t>
            </w:r>
            <w:r>
              <w:rPr>
                <w:spacing w:val="-5"/>
                <w:sz w:val="22"/>
              </w:rPr>
              <w:t>Lab</w:t>
            </w:r>
          </w:p>
        </w:tc>
      </w:tr>
      <w:tr>
        <w:tblPrEx>
          <w:tblW w:w="0" w:type="auto"/>
          <w:jc w:val="left"/>
          <w:tblInd w:w="622" w:type="dxa"/>
          <w:tblLayout w:type="fixed"/>
          <w:tblCellMar>
            <w:top w:w="0" w:type="dxa"/>
            <w:left w:w="0" w:type="dxa"/>
            <w:bottom w:w="0" w:type="dxa"/>
            <w:right w:w="0" w:type="dxa"/>
          </w:tblCellMar>
          <w:tblLook w:val="01E0"/>
        </w:tblPrEx>
        <w:trPr>
          <w:trHeight w:val="504"/>
          <w:jc w:val="left"/>
        </w:trPr>
        <w:tc>
          <w:tcPr>
            <w:tcW w:w="734" w:type="dxa"/>
          </w:tcPr>
          <w:p>
            <w:pPr>
              <w:pStyle w:val="TableParagraph"/>
              <w:spacing w:line="249" w:lineRule="exact"/>
              <w:ind w:left="107"/>
              <w:rPr>
                <w:sz w:val="22"/>
              </w:rPr>
            </w:pPr>
            <w:r>
              <w:rPr>
                <w:spacing w:val="-5"/>
                <w:sz w:val="22"/>
              </w:rPr>
              <w:t>8b</w:t>
            </w:r>
          </w:p>
        </w:tc>
        <w:tc>
          <w:tcPr>
            <w:tcW w:w="4174" w:type="dxa"/>
          </w:tcPr>
          <w:p>
            <w:pPr>
              <w:pStyle w:val="TableParagraph"/>
              <w:spacing w:line="249" w:lineRule="exact"/>
              <w:ind w:left="108"/>
              <w:rPr>
                <w:sz w:val="22"/>
              </w:rPr>
            </w:pPr>
            <w:r>
              <w:rPr>
                <w:sz w:val="22"/>
              </w:rPr>
              <w:t>Outpatient</w:t>
            </w:r>
            <w:r>
              <w:rPr>
                <w:spacing w:val="-5"/>
                <w:sz w:val="22"/>
              </w:rPr>
              <w:t xml:space="preserve"> </w:t>
            </w:r>
            <w:r>
              <w:rPr>
                <w:spacing w:val="-2"/>
                <w:sz w:val="22"/>
              </w:rPr>
              <w:t>Diagnostic/Therapeutic</w:t>
            </w:r>
          </w:p>
          <w:p>
            <w:pPr>
              <w:pStyle w:val="TableParagraph"/>
              <w:spacing w:before="1" w:line="233" w:lineRule="exact"/>
              <w:ind w:left="108"/>
              <w:rPr>
                <w:sz w:val="22"/>
              </w:rPr>
            </w:pPr>
            <w:r>
              <w:rPr>
                <w:sz w:val="22"/>
              </w:rPr>
              <w:t>Radiological</w:t>
            </w:r>
            <w:r>
              <w:rPr>
                <w:spacing w:val="-6"/>
                <w:sz w:val="22"/>
              </w:rPr>
              <w:t xml:space="preserve"> </w:t>
            </w:r>
            <w:r>
              <w:rPr>
                <w:spacing w:val="-2"/>
                <w:sz w:val="22"/>
              </w:rPr>
              <w:t>Services</w:t>
            </w:r>
          </w:p>
        </w:tc>
        <w:tc>
          <w:tcPr>
            <w:tcW w:w="736" w:type="dxa"/>
          </w:tcPr>
          <w:p>
            <w:pPr>
              <w:pStyle w:val="TableParagraph"/>
              <w:spacing w:line="249" w:lineRule="exact"/>
              <w:ind w:left="108"/>
              <w:rPr>
                <w:sz w:val="22"/>
              </w:rPr>
            </w:pPr>
            <w:r>
              <w:rPr>
                <w:spacing w:val="-5"/>
                <w:sz w:val="22"/>
              </w:rPr>
              <w:t>h2</w:t>
            </w:r>
          </w:p>
        </w:tc>
        <w:tc>
          <w:tcPr>
            <w:tcW w:w="3787" w:type="dxa"/>
          </w:tcPr>
          <w:p>
            <w:pPr>
              <w:pStyle w:val="TableParagraph"/>
              <w:spacing w:line="249" w:lineRule="exact"/>
              <w:ind w:left="109"/>
              <w:rPr>
                <w:sz w:val="22"/>
              </w:rPr>
            </w:pPr>
            <w:r>
              <w:rPr>
                <w:sz w:val="22"/>
              </w:rPr>
              <w:t>OP</w:t>
            </w:r>
            <w:r>
              <w:rPr>
                <w:spacing w:val="-4"/>
                <w:sz w:val="22"/>
              </w:rPr>
              <w:t xml:space="preserve"> </w:t>
            </w:r>
            <w:r>
              <w:rPr>
                <w:sz w:val="22"/>
              </w:rPr>
              <w:t>Facility</w:t>
            </w:r>
            <w:r>
              <w:rPr>
                <w:spacing w:val="-3"/>
                <w:sz w:val="22"/>
              </w:rPr>
              <w:t xml:space="preserve"> </w:t>
            </w:r>
            <w:r>
              <w:rPr>
                <w:sz w:val="22"/>
              </w:rPr>
              <w:t>–</w:t>
            </w:r>
            <w:r>
              <w:rPr>
                <w:spacing w:val="-3"/>
                <w:sz w:val="22"/>
              </w:rPr>
              <w:t xml:space="preserve"> </w:t>
            </w:r>
            <w:r>
              <w:rPr>
                <w:sz w:val="22"/>
              </w:rPr>
              <w:t>Other:</w:t>
            </w:r>
            <w:r>
              <w:rPr>
                <w:spacing w:val="-2"/>
                <w:sz w:val="22"/>
              </w:rPr>
              <w:t xml:space="preserve"> Radiology</w:t>
            </w:r>
          </w:p>
        </w:tc>
      </w:tr>
      <w:tr>
        <w:tblPrEx>
          <w:tblW w:w="0" w:type="auto"/>
          <w:jc w:val="left"/>
          <w:tblInd w:w="622" w:type="dxa"/>
          <w:tblLayout w:type="fixed"/>
          <w:tblCellMar>
            <w:top w:w="0" w:type="dxa"/>
            <w:left w:w="0" w:type="dxa"/>
            <w:bottom w:w="0" w:type="dxa"/>
            <w:right w:w="0" w:type="dxa"/>
          </w:tblCellMar>
          <w:tblLook w:val="01E0"/>
        </w:tblPrEx>
        <w:trPr>
          <w:trHeight w:val="506"/>
          <w:jc w:val="left"/>
        </w:trPr>
        <w:tc>
          <w:tcPr>
            <w:tcW w:w="734" w:type="dxa"/>
          </w:tcPr>
          <w:p>
            <w:pPr>
              <w:pStyle w:val="TableParagraph"/>
              <w:spacing w:line="251" w:lineRule="exact"/>
              <w:ind w:left="107"/>
              <w:rPr>
                <w:sz w:val="22"/>
              </w:rPr>
            </w:pPr>
            <w:r>
              <w:rPr>
                <w:spacing w:val="-5"/>
                <w:sz w:val="22"/>
              </w:rPr>
              <w:t>9a</w:t>
            </w:r>
          </w:p>
        </w:tc>
        <w:tc>
          <w:tcPr>
            <w:tcW w:w="4174" w:type="dxa"/>
          </w:tcPr>
          <w:p>
            <w:pPr>
              <w:pStyle w:val="TableParagraph"/>
              <w:spacing w:line="251" w:lineRule="exact"/>
              <w:ind w:left="108"/>
              <w:rPr>
                <w:sz w:val="22"/>
              </w:rPr>
            </w:pPr>
            <w:r>
              <w:rPr>
                <w:sz w:val="22"/>
              </w:rPr>
              <w:t>Outpatient</w:t>
            </w:r>
            <w:r>
              <w:rPr>
                <w:spacing w:val="-7"/>
                <w:sz w:val="22"/>
              </w:rPr>
              <w:t xml:space="preserve"> </w:t>
            </w:r>
            <w:r>
              <w:rPr>
                <w:sz w:val="22"/>
              </w:rPr>
              <w:t>Hospital</w:t>
            </w:r>
            <w:r>
              <w:rPr>
                <w:spacing w:val="-7"/>
                <w:sz w:val="22"/>
              </w:rPr>
              <w:t xml:space="preserve"> </w:t>
            </w:r>
            <w:r>
              <w:rPr>
                <w:spacing w:val="-2"/>
                <w:sz w:val="22"/>
              </w:rPr>
              <w:t>Services</w:t>
            </w:r>
          </w:p>
        </w:tc>
        <w:tc>
          <w:tcPr>
            <w:tcW w:w="736" w:type="dxa"/>
          </w:tcPr>
          <w:p>
            <w:pPr>
              <w:pStyle w:val="TableParagraph"/>
              <w:spacing w:line="254" w:lineRule="exact"/>
              <w:ind w:left="108" w:right="153"/>
              <w:rPr>
                <w:sz w:val="22"/>
              </w:rPr>
            </w:pPr>
            <w:r>
              <w:rPr>
                <w:sz w:val="22"/>
              </w:rPr>
              <w:t>h5</w:t>
            </w:r>
            <w:r>
              <w:rPr>
                <w:spacing w:val="-14"/>
                <w:sz w:val="22"/>
              </w:rPr>
              <w:t xml:space="preserve"> </w:t>
            </w:r>
            <w:r>
              <w:rPr>
                <w:sz w:val="22"/>
              </w:rPr>
              <w:t xml:space="preserve">or </w:t>
            </w:r>
            <w:r>
              <w:rPr>
                <w:spacing w:val="-10"/>
                <w:sz w:val="22"/>
              </w:rPr>
              <w:t>g</w:t>
            </w:r>
          </w:p>
        </w:tc>
        <w:tc>
          <w:tcPr>
            <w:tcW w:w="3787" w:type="dxa"/>
          </w:tcPr>
          <w:p>
            <w:pPr>
              <w:pStyle w:val="TableParagraph"/>
              <w:spacing w:line="251" w:lineRule="exact"/>
              <w:ind w:left="109"/>
              <w:rPr>
                <w:sz w:val="22"/>
              </w:rPr>
            </w:pPr>
            <w:r>
              <w:rPr>
                <w:sz w:val="22"/>
              </w:rPr>
              <w:t>OP</w:t>
            </w:r>
            <w:r>
              <w:rPr>
                <w:spacing w:val="-5"/>
                <w:sz w:val="22"/>
              </w:rPr>
              <w:t xml:space="preserve"> </w:t>
            </w:r>
            <w:r>
              <w:rPr>
                <w:sz w:val="22"/>
              </w:rPr>
              <w:t>Facility</w:t>
            </w:r>
            <w:r>
              <w:rPr>
                <w:spacing w:val="-3"/>
                <w:sz w:val="22"/>
              </w:rPr>
              <w:t xml:space="preserve"> </w:t>
            </w:r>
            <w:r>
              <w:rPr>
                <w:sz w:val="22"/>
              </w:rPr>
              <w:t>–</w:t>
            </w:r>
            <w:r>
              <w:rPr>
                <w:spacing w:val="-3"/>
                <w:sz w:val="22"/>
              </w:rPr>
              <w:t xml:space="preserve"> </w:t>
            </w:r>
            <w:r>
              <w:rPr>
                <w:sz w:val="22"/>
              </w:rPr>
              <w:t>Surgery;</w:t>
            </w:r>
            <w:r>
              <w:rPr>
                <w:spacing w:val="-4"/>
                <w:sz w:val="22"/>
              </w:rPr>
              <w:t xml:space="preserve"> </w:t>
            </w:r>
            <w:r>
              <w:rPr>
                <w:spacing w:val="-5"/>
                <w:sz w:val="22"/>
              </w:rPr>
              <w:t>or</w:t>
            </w:r>
          </w:p>
          <w:p>
            <w:pPr>
              <w:pStyle w:val="TableParagraph"/>
              <w:spacing w:before="1" w:line="234" w:lineRule="exact"/>
              <w:ind w:left="109"/>
              <w:rPr>
                <w:sz w:val="22"/>
              </w:rPr>
            </w:pPr>
            <w:r>
              <w:rPr>
                <w:sz w:val="22"/>
              </w:rPr>
              <w:t>OP</w:t>
            </w:r>
            <w:r>
              <w:rPr>
                <w:spacing w:val="-4"/>
                <w:sz w:val="22"/>
              </w:rPr>
              <w:t xml:space="preserve"> </w:t>
            </w:r>
            <w:r>
              <w:rPr>
                <w:sz w:val="22"/>
              </w:rPr>
              <w:t>Facility</w:t>
            </w:r>
            <w:r>
              <w:rPr>
                <w:spacing w:val="-3"/>
                <w:sz w:val="22"/>
              </w:rPr>
              <w:t xml:space="preserve"> </w:t>
            </w:r>
            <w:r>
              <w:rPr>
                <w:sz w:val="22"/>
              </w:rPr>
              <w:t>–</w:t>
            </w:r>
            <w:r>
              <w:rPr>
                <w:spacing w:val="-4"/>
                <w:sz w:val="22"/>
              </w:rPr>
              <w:t xml:space="preserve"> </w:t>
            </w:r>
            <w:r>
              <w:rPr>
                <w:sz w:val="22"/>
              </w:rPr>
              <w:t>Other</w:t>
            </w:r>
            <w:r>
              <w:rPr>
                <w:spacing w:val="-4"/>
                <w:sz w:val="22"/>
              </w:rPr>
              <w:t xml:space="preserve"> </w:t>
            </w:r>
            <w:r>
              <w:rPr>
                <w:sz w:val="22"/>
              </w:rPr>
              <w:t>(all</w:t>
            </w:r>
            <w:r>
              <w:rPr>
                <w:spacing w:val="-5"/>
                <w:sz w:val="22"/>
              </w:rPr>
              <w:t xml:space="preserve"> </w:t>
            </w:r>
            <w:r>
              <w:rPr>
                <w:sz w:val="22"/>
              </w:rPr>
              <w:t>sub-</w:t>
            </w:r>
            <w:r>
              <w:rPr>
                <w:spacing w:val="-2"/>
                <w:sz w:val="22"/>
              </w:rPr>
              <w:t>categories)</w:t>
            </w:r>
          </w:p>
        </w:tc>
      </w:tr>
      <w:tr>
        <w:tblPrEx>
          <w:tblW w:w="0" w:type="auto"/>
          <w:jc w:val="left"/>
          <w:tblInd w:w="622" w:type="dxa"/>
          <w:tblLayout w:type="fixed"/>
          <w:tblCellMar>
            <w:top w:w="0" w:type="dxa"/>
            <w:left w:w="0" w:type="dxa"/>
            <w:bottom w:w="0" w:type="dxa"/>
            <w:right w:w="0" w:type="dxa"/>
          </w:tblCellMar>
          <w:tblLook w:val="01E0"/>
        </w:tblPrEx>
        <w:trPr>
          <w:trHeight w:val="252"/>
          <w:jc w:val="left"/>
        </w:trPr>
        <w:tc>
          <w:tcPr>
            <w:tcW w:w="734" w:type="dxa"/>
          </w:tcPr>
          <w:p>
            <w:pPr>
              <w:pStyle w:val="TableParagraph"/>
              <w:spacing w:line="233" w:lineRule="exact"/>
              <w:ind w:left="107"/>
              <w:rPr>
                <w:sz w:val="22"/>
              </w:rPr>
            </w:pPr>
            <w:r>
              <w:rPr>
                <w:spacing w:val="-5"/>
                <w:sz w:val="22"/>
              </w:rPr>
              <w:t>9b</w:t>
            </w:r>
          </w:p>
        </w:tc>
        <w:tc>
          <w:tcPr>
            <w:tcW w:w="4174" w:type="dxa"/>
          </w:tcPr>
          <w:p>
            <w:pPr>
              <w:pStyle w:val="TableParagraph"/>
              <w:spacing w:line="233" w:lineRule="exact"/>
              <w:ind w:left="108"/>
              <w:rPr>
                <w:sz w:val="22"/>
              </w:rPr>
            </w:pPr>
            <w:r>
              <w:rPr>
                <w:sz w:val="22"/>
              </w:rPr>
              <w:t>Ambulatory</w:t>
            </w:r>
            <w:r>
              <w:rPr>
                <w:spacing w:val="-6"/>
                <w:sz w:val="22"/>
              </w:rPr>
              <w:t xml:space="preserve"> </w:t>
            </w:r>
            <w:r>
              <w:rPr>
                <w:sz w:val="22"/>
              </w:rPr>
              <w:t>Surgical</w:t>
            </w:r>
            <w:r>
              <w:rPr>
                <w:spacing w:val="-5"/>
                <w:sz w:val="22"/>
              </w:rPr>
              <w:t xml:space="preserve"> </w:t>
            </w:r>
            <w:r>
              <w:rPr>
                <w:sz w:val="22"/>
              </w:rPr>
              <w:t>Center</w:t>
            </w:r>
            <w:r>
              <w:rPr>
                <w:spacing w:val="-5"/>
                <w:sz w:val="22"/>
              </w:rPr>
              <w:t xml:space="preserve"> </w:t>
            </w:r>
            <w:r>
              <w:rPr>
                <w:sz w:val="22"/>
              </w:rPr>
              <w:t>(ASC)</w:t>
            </w:r>
            <w:r>
              <w:rPr>
                <w:spacing w:val="-5"/>
                <w:sz w:val="22"/>
              </w:rPr>
              <w:t xml:space="preserve"> </w:t>
            </w:r>
            <w:r>
              <w:rPr>
                <w:spacing w:val="-2"/>
                <w:sz w:val="22"/>
              </w:rPr>
              <w:t>Services</w:t>
            </w:r>
          </w:p>
        </w:tc>
        <w:tc>
          <w:tcPr>
            <w:tcW w:w="736" w:type="dxa"/>
          </w:tcPr>
          <w:p>
            <w:pPr>
              <w:pStyle w:val="TableParagraph"/>
              <w:spacing w:line="233" w:lineRule="exact"/>
              <w:ind w:left="108"/>
              <w:rPr>
                <w:sz w:val="22"/>
              </w:rPr>
            </w:pPr>
            <w:r>
              <w:rPr>
                <w:spacing w:val="-10"/>
                <w:sz w:val="22"/>
              </w:rPr>
              <w:t>g</w:t>
            </w:r>
          </w:p>
        </w:tc>
        <w:tc>
          <w:tcPr>
            <w:tcW w:w="3787" w:type="dxa"/>
          </w:tcPr>
          <w:p>
            <w:pPr>
              <w:pStyle w:val="TableParagraph"/>
              <w:spacing w:line="233" w:lineRule="exact"/>
              <w:ind w:left="109"/>
              <w:rPr>
                <w:sz w:val="22"/>
              </w:rPr>
            </w:pPr>
            <w:r>
              <w:rPr>
                <w:sz w:val="22"/>
              </w:rPr>
              <w:t>OP</w:t>
            </w:r>
            <w:r>
              <w:rPr>
                <w:spacing w:val="-3"/>
                <w:sz w:val="22"/>
              </w:rPr>
              <w:t xml:space="preserve"> </w:t>
            </w:r>
            <w:r>
              <w:rPr>
                <w:sz w:val="22"/>
              </w:rPr>
              <w:t>Facility</w:t>
            </w:r>
            <w:r>
              <w:rPr>
                <w:spacing w:val="-2"/>
                <w:sz w:val="22"/>
              </w:rPr>
              <w:t xml:space="preserve"> </w:t>
            </w:r>
            <w:r>
              <w:rPr>
                <w:sz w:val="22"/>
              </w:rPr>
              <w:t>–</w:t>
            </w:r>
            <w:r>
              <w:rPr>
                <w:spacing w:val="-2"/>
                <w:sz w:val="22"/>
              </w:rPr>
              <w:t xml:space="preserve"> Surgery</w:t>
            </w:r>
          </w:p>
        </w:tc>
      </w:tr>
      <w:tr>
        <w:tblPrEx>
          <w:tblW w:w="0" w:type="auto"/>
          <w:jc w:val="left"/>
          <w:tblInd w:w="6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5"/>
                <w:sz w:val="22"/>
              </w:rPr>
              <w:t>9c</w:t>
            </w:r>
          </w:p>
        </w:tc>
        <w:tc>
          <w:tcPr>
            <w:tcW w:w="4174" w:type="dxa"/>
          </w:tcPr>
          <w:p>
            <w:pPr>
              <w:pStyle w:val="TableParagraph"/>
              <w:spacing w:line="232" w:lineRule="exact"/>
              <w:ind w:left="108"/>
              <w:rPr>
                <w:sz w:val="22"/>
              </w:rPr>
            </w:pPr>
            <w:r>
              <w:rPr>
                <w:sz w:val="22"/>
              </w:rPr>
              <w:t>Outpatient</w:t>
            </w:r>
            <w:r>
              <w:rPr>
                <w:spacing w:val="-5"/>
                <w:sz w:val="22"/>
              </w:rPr>
              <w:t xml:space="preserve"> </w:t>
            </w:r>
            <w:r>
              <w:rPr>
                <w:sz w:val="22"/>
              </w:rPr>
              <w:t>Substance</w:t>
            </w:r>
            <w:r>
              <w:rPr>
                <w:spacing w:val="-6"/>
                <w:sz w:val="22"/>
              </w:rPr>
              <w:t xml:space="preserve"> </w:t>
            </w:r>
            <w:r>
              <w:rPr>
                <w:sz w:val="22"/>
              </w:rPr>
              <w:t>Abuse</w:t>
            </w:r>
            <w:r>
              <w:rPr>
                <w:spacing w:val="-4"/>
                <w:sz w:val="22"/>
              </w:rPr>
              <w:t xml:space="preserve"> </w:t>
            </w:r>
            <w:r>
              <w:rPr>
                <w:spacing w:val="-2"/>
                <w:sz w:val="22"/>
              </w:rPr>
              <w:t>Services</w:t>
            </w:r>
          </w:p>
        </w:tc>
        <w:tc>
          <w:tcPr>
            <w:tcW w:w="736" w:type="dxa"/>
          </w:tcPr>
          <w:p>
            <w:pPr>
              <w:pStyle w:val="TableParagraph"/>
              <w:spacing w:line="232" w:lineRule="exact"/>
              <w:ind w:left="108"/>
              <w:rPr>
                <w:sz w:val="22"/>
              </w:rPr>
            </w:pPr>
            <w:r>
              <w:rPr>
                <w:spacing w:val="-5"/>
                <w:sz w:val="22"/>
              </w:rPr>
              <w:t>h5</w:t>
            </w:r>
          </w:p>
        </w:tc>
        <w:tc>
          <w:tcPr>
            <w:tcW w:w="3787" w:type="dxa"/>
          </w:tcPr>
          <w:p>
            <w:pPr>
              <w:pStyle w:val="TableParagraph"/>
              <w:spacing w:line="232" w:lineRule="exact"/>
              <w:ind w:left="109"/>
              <w:rPr>
                <w:sz w:val="22"/>
              </w:rPr>
            </w:pPr>
            <w:r>
              <w:rPr>
                <w:sz w:val="22"/>
              </w:rPr>
              <w:t>OP</w:t>
            </w:r>
            <w:r>
              <w:rPr>
                <w:spacing w:val="-6"/>
                <w:sz w:val="22"/>
              </w:rPr>
              <w:t xml:space="preserve"> </w:t>
            </w:r>
            <w:r>
              <w:rPr>
                <w:sz w:val="22"/>
              </w:rPr>
              <w:t>Facility</w:t>
            </w:r>
            <w:r>
              <w:rPr>
                <w:spacing w:val="-3"/>
                <w:sz w:val="22"/>
              </w:rPr>
              <w:t xml:space="preserve"> </w:t>
            </w:r>
            <w:r>
              <w:rPr>
                <w:sz w:val="22"/>
              </w:rPr>
              <w:t>–</w:t>
            </w:r>
            <w:r>
              <w:rPr>
                <w:spacing w:val="-3"/>
                <w:sz w:val="22"/>
              </w:rPr>
              <w:t xml:space="preserve"> </w:t>
            </w:r>
            <w:r>
              <w:rPr>
                <w:sz w:val="22"/>
              </w:rPr>
              <w:t>Other:</w:t>
            </w:r>
            <w:r>
              <w:rPr>
                <w:spacing w:val="-2"/>
                <w:sz w:val="22"/>
              </w:rPr>
              <w:t xml:space="preserve"> Other</w:t>
            </w:r>
          </w:p>
        </w:tc>
      </w:tr>
      <w:tr>
        <w:tblPrEx>
          <w:tblW w:w="0" w:type="auto"/>
          <w:jc w:val="left"/>
          <w:tblInd w:w="622" w:type="dxa"/>
          <w:tblLayout w:type="fixed"/>
          <w:tblCellMar>
            <w:top w:w="0" w:type="dxa"/>
            <w:left w:w="0" w:type="dxa"/>
            <w:bottom w:w="0" w:type="dxa"/>
            <w:right w:w="0" w:type="dxa"/>
          </w:tblCellMar>
          <w:tblLook w:val="01E0"/>
        </w:tblPrEx>
        <w:trPr>
          <w:trHeight w:val="505"/>
          <w:jc w:val="left"/>
        </w:trPr>
        <w:tc>
          <w:tcPr>
            <w:tcW w:w="734" w:type="dxa"/>
          </w:tcPr>
          <w:p>
            <w:pPr>
              <w:pStyle w:val="TableParagraph"/>
              <w:spacing w:line="251" w:lineRule="exact"/>
              <w:ind w:left="107"/>
              <w:rPr>
                <w:sz w:val="22"/>
              </w:rPr>
            </w:pPr>
            <w:r>
              <w:rPr>
                <w:spacing w:val="-5"/>
                <w:sz w:val="22"/>
              </w:rPr>
              <w:t>9d</w:t>
            </w:r>
          </w:p>
        </w:tc>
        <w:tc>
          <w:tcPr>
            <w:tcW w:w="4174" w:type="dxa"/>
          </w:tcPr>
          <w:p>
            <w:pPr>
              <w:pStyle w:val="TableParagraph"/>
              <w:spacing w:line="251" w:lineRule="exact"/>
              <w:ind w:left="108"/>
              <w:rPr>
                <w:sz w:val="22"/>
              </w:rPr>
            </w:pPr>
            <w:r>
              <w:rPr>
                <w:sz w:val="22"/>
              </w:rPr>
              <w:t>Outpatient</w:t>
            </w:r>
            <w:r>
              <w:rPr>
                <w:spacing w:val="-4"/>
                <w:sz w:val="22"/>
              </w:rPr>
              <w:t xml:space="preserve"> </w:t>
            </w:r>
            <w:r>
              <w:rPr>
                <w:sz w:val="22"/>
              </w:rPr>
              <w:t>Blood</w:t>
            </w:r>
            <w:r>
              <w:rPr>
                <w:spacing w:val="-4"/>
                <w:sz w:val="22"/>
              </w:rPr>
              <w:t xml:space="preserve"> </w:t>
            </w:r>
            <w:r>
              <w:rPr>
                <w:spacing w:val="-2"/>
                <w:sz w:val="22"/>
              </w:rPr>
              <w:t>Services</w:t>
            </w:r>
          </w:p>
        </w:tc>
        <w:tc>
          <w:tcPr>
            <w:tcW w:w="736" w:type="dxa"/>
          </w:tcPr>
          <w:p>
            <w:pPr>
              <w:pStyle w:val="TableParagraph"/>
              <w:spacing w:line="254" w:lineRule="exact"/>
              <w:ind w:left="108" w:right="153"/>
              <w:rPr>
                <w:sz w:val="22"/>
              </w:rPr>
            </w:pPr>
            <w:r>
              <w:rPr>
                <w:sz w:val="22"/>
              </w:rPr>
              <w:t>h5</w:t>
            </w:r>
            <w:r>
              <w:rPr>
                <w:spacing w:val="-14"/>
                <w:sz w:val="22"/>
              </w:rPr>
              <w:t xml:space="preserve"> </w:t>
            </w:r>
            <w:r>
              <w:rPr>
                <w:sz w:val="22"/>
              </w:rPr>
              <w:t xml:space="preserve">or </w:t>
            </w:r>
            <w:r>
              <w:rPr>
                <w:spacing w:val="-10"/>
                <w:sz w:val="22"/>
              </w:rPr>
              <w:t>k</w:t>
            </w:r>
          </w:p>
        </w:tc>
        <w:tc>
          <w:tcPr>
            <w:tcW w:w="3787" w:type="dxa"/>
          </w:tcPr>
          <w:p>
            <w:pPr>
              <w:pStyle w:val="TableParagraph"/>
              <w:spacing w:line="254" w:lineRule="exact"/>
              <w:ind w:left="109"/>
              <w:rPr>
                <w:sz w:val="22"/>
              </w:rPr>
            </w:pPr>
            <w:r>
              <w:rPr>
                <w:sz w:val="22"/>
              </w:rPr>
              <w:t>OP</w:t>
            </w:r>
            <w:r>
              <w:rPr>
                <w:spacing w:val="-6"/>
                <w:sz w:val="22"/>
              </w:rPr>
              <w:t xml:space="preserve"> </w:t>
            </w:r>
            <w:r>
              <w:rPr>
                <w:sz w:val="22"/>
              </w:rPr>
              <w:t>Facility</w:t>
            </w:r>
            <w:r>
              <w:rPr>
                <w:spacing w:val="-6"/>
                <w:sz w:val="22"/>
              </w:rPr>
              <w:t xml:space="preserve"> </w:t>
            </w:r>
            <w:r>
              <w:rPr>
                <w:sz w:val="22"/>
              </w:rPr>
              <w:t>–</w:t>
            </w:r>
            <w:r>
              <w:rPr>
                <w:spacing w:val="-6"/>
                <w:sz w:val="22"/>
              </w:rPr>
              <w:t xml:space="preserve"> </w:t>
            </w:r>
            <w:r>
              <w:rPr>
                <w:sz w:val="22"/>
              </w:rPr>
              <w:t>Other:</w:t>
            </w:r>
            <w:r>
              <w:rPr>
                <w:spacing w:val="-6"/>
                <w:sz w:val="22"/>
              </w:rPr>
              <w:t xml:space="preserve"> </w:t>
            </w:r>
            <w:r>
              <w:rPr>
                <w:sz w:val="22"/>
              </w:rPr>
              <w:t>Other</w:t>
            </w:r>
            <w:r>
              <w:rPr>
                <w:spacing w:val="-7"/>
                <w:sz w:val="22"/>
              </w:rPr>
              <w:t xml:space="preserve"> </w:t>
            </w:r>
            <w:r>
              <w:rPr>
                <w:sz w:val="22"/>
              </w:rPr>
              <w:t>or</w:t>
            </w:r>
            <w:r>
              <w:rPr>
                <w:spacing w:val="-6"/>
                <w:sz w:val="22"/>
              </w:rPr>
              <w:t xml:space="preserve"> </w:t>
            </w:r>
            <w:r>
              <w:rPr>
                <w:sz w:val="22"/>
              </w:rPr>
              <w:t>Other Medicare Part B</w:t>
            </w:r>
          </w:p>
        </w:tc>
      </w:tr>
      <w:tr>
        <w:tblPrEx>
          <w:tblW w:w="0" w:type="auto"/>
          <w:jc w:val="left"/>
          <w:tblInd w:w="622" w:type="dxa"/>
          <w:tblLayout w:type="fixed"/>
          <w:tblCellMar>
            <w:top w:w="0" w:type="dxa"/>
            <w:left w:w="0" w:type="dxa"/>
            <w:bottom w:w="0" w:type="dxa"/>
            <w:right w:w="0" w:type="dxa"/>
          </w:tblCellMar>
          <w:tblLook w:val="01E0"/>
        </w:tblPrEx>
        <w:trPr>
          <w:trHeight w:val="252"/>
          <w:jc w:val="left"/>
        </w:trPr>
        <w:tc>
          <w:tcPr>
            <w:tcW w:w="734" w:type="dxa"/>
          </w:tcPr>
          <w:p>
            <w:pPr>
              <w:pStyle w:val="TableParagraph"/>
              <w:spacing w:line="232" w:lineRule="exact"/>
              <w:ind w:left="107"/>
              <w:rPr>
                <w:sz w:val="22"/>
              </w:rPr>
            </w:pPr>
            <w:r>
              <w:rPr>
                <w:spacing w:val="-5"/>
                <w:sz w:val="22"/>
              </w:rPr>
              <w:t>10a</w:t>
            </w:r>
          </w:p>
        </w:tc>
        <w:tc>
          <w:tcPr>
            <w:tcW w:w="4174" w:type="dxa"/>
          </w:tcPr>
          <w:p>
            <w:pPr>
              <w:pStyle w:val="TableParagraph"/>
              <w:spacing w:line="232" w:lineRule="exact"/>
              <w:ind w:left="108"/>
              <w:rPr>
                <w:sz w:val="22"/>
              </w:rPr>
            </w:pPr>
            <w:r>
              <w:rPr>
                <w:sz w:val="22"/>
              </w:rPr>
              <w:t>Ambulance</w:t>
            </w:r>
            <w:r>
              <w:rPr>
                <w:spacing w:val="-6"/>
                <w:sz w:val="22"/>
              </w:rPr>
              <w:t xml:space="preserve"> </w:t>
            </w:r>
            <w:r>
              <w:rPr>
                <w:spacing w:val="-2"/>
                <w:sz w:val="22"/>
              </w:rPr>
              <w:t>Services</w:t>
            </w:r>
          </w:p>
        </w:tc>
        <w:tc>
          <w:tcPr>
            <w:tcW w:w="736" w:type="dxa"/>
          </w:tcPr>
          <w:p>
            <w:pPr>
              <w:pStyle w:val="TableParagraph"/>
              <w:spacing w:line="232" w:lineRule="exact"/>
              <w:ind w:left="108"/>
              <w:rPr>
                <w:sz w:val="22"/>
              </w:rPr>
            </w:pPr>
            <w:r>
              <w:rPr>
                <w:spacing w:val="-10"/>
                <w:sz w:val="22"/>
              </w:rPr>
              <w:t>d</w:t>
            </w:r>
          </w:p>
        </w:tc>
        <w:tc>
          <w:tcPr>
            <w:tcW w:w="3787" w:type="dxa"/>
          </w:tcPr>
          <w:p>
            <w:pPr>
              <w:pStyle w:val="TableParagraph"/>
              <w:spacing w:line="232" w:lineRule="exact"/>
              <w:ind w:left="109"/>
              <w:rPr>
                <w:sz w:val="22"/>
              </w:rPr>
            </w:pPr>
            <w:r>
              <w:rPr>
                <w:spacing w:val="-2"/>
                <w:sz w:val="22"/>
              </w:rPr>
              <w:t>Ambulance</w:t>
            </w:r>
          </w:p>
        </w:tc>
      </w:tr>
      <w:tr>
        <w:tblPrEx>
          <w:tblW w:w="0" w:type="auto"/>
          <w:jc w:val="left"/>
          <w:tblInd w:w="6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5"/>
                <w:sz w:val="22"/>
              </w:rPr>
              <w:t>10b</w:t>
            </w:r>
          </w:p>
        </w:tc>
        <w:tc>
          <w:tcPr>
            <w:tcW w:w="4174" w:type="dxa"/>
          </w:tcPr>
          <w:p>
            <w:pPr>
              <w:pStyle w:val="TableParagraph"/>
              <w:spacing w:line="232" w:lineRule="exact"/>
              <w:ind w:left="108"/>
              <w:rPr>
                <w:sz w:val="22"/>
              </w:rPr>
            </w:pPr>
            <w:r>
              <w:rPr>
                <w:sz w:val="22"/>
              </w:rPr>
              <w:t>Transportation</w:t>
            </w:r>
            <w:r>
              <w:rPr>
                <w:spacing w:val="-5"/>
                <w:sz w:val="22"/>
              </w:rPr>
              <w:t xml:space="preserve"> </w:t>
            </w:r>
            <w:r>
              <w:rPr>
                <w:spacing w:val="-2"/>
                <w:sz w:val="22"/>
              </w:rPr>
              <w:t>Services</w:t>
            </w:r>
          </w:p>
        </w:tc>
        <w:tc>
          <w:tcPr>
            <w:tcW w:w="736" w:type="dxa"/>
          </w:tcPr>
          <w:p>
            <w:pPr>
              <w:pStyle w:val="TableParagraph"/>
              <w:spacing w:line="232" w:lineRule="exact"/>
              <w:ind w:left="108"/>
              <w:rPr>
                <w:sz w:val="22"/>
              </w:rPr>
            </w:pPr>
            <w:r>
              <w:rPr>
                <w:spacing w:val="-10"/>
                <w:sz w:val="22"/>
              </w:rPr>
              <w:t>l</w:t>
            </w:r>
          </w:p>
        </w:tc>
        <w:tc>
          <w:tcPr>
            <w:tcW w:w="3787" w:type="dxa"/>
          </w:tcPr>
          <w:p>
            <w:pPr>
              <w:pStyle w:val="TableParagraph"/>
              <w:spacing w:line="232" w:lineRule="exact"/>
              <w:ind w:left="109"/>
              <w:rPr>
                <w:sz w:val="22"/>
              </w:rPr>
            </w:pPr>
            <w:r>
              <w:rPr>
                <w:sz w:val="22"/>
              </w:rPr>
              <w:t>Transportation</w:t>
            </w:r>
            <w:r>
              <w:rPr>
                <w:spacing w:val="-12"/>
                <w:sz w:val="22"/>
              </w:rPr>
              <w:t xml:space="preserve"> </w:t>
            </w:r>
            <w:r>
              <w:rPr>
                <w:sz w:val="22"/>
              </w:rPr>
              <w:t>(Non-</w:t>
            </w:r>
            <w:r>
              <w:rPr>
                <w:spacing w:val="-2"/>
                <w:sz w:val="22"/>
              </w:rPr>
              <w:t>Covered)</w:t>
            </w:r>
          </w:p>
        </w:tc>
      </w:tr>
      <w:tr>
        <w:tblPrEx>
          <w:tblW w:w="0" w:type="auto"/>
          <w:jc w:val="left"/>
          <w:tblInd w:w="622" w:type="dxa"/>
          <w:tblLayout w:type="fixed"/>
          <w:tblCellMar>
            <w:top w:w="0" w:type="dxa"/>
            <w:left w:w="0" w:type="dxa"/>
            <w:bottom w:w="0" w:type="dxa"/>
            <w:right w:w="0" w:type="dxa"/>
          </w:tblCellMar>
          <w:tblLook w:val="01E0"/>
        </w:tblPrEx>
        <w:trPr>
          <w:trHeight w:val="254"/>
          <w:jc w:val="left"/>
        </w:trPr>
        <w:tc>
          <w:tcPr>
            <w:tcW w:w="734" w:type="dxa"/>
          </w:tcPr>
          <w:p>
            <w:pPr>
              <w:pStyle w:val="TableParagraph"/>
              <w:spacing w:before="1" w:line="233" w:lineRule="exact"/>
              <w:ind w:left="107"/>
              <w:rPr>
                <w:sz w:val="22"/>
              </w:rPr>
            </w:pPr>
            <w:r>
              <w:rPr>
                <w:spacing w:val="-5"/>
                <w:sz w:val="22"/>
              </w:rPr>
              <w:t>11a</w:t>
            </w:r>
          </w:p>
        </w:tc>
        <w:tc>
          <w:tcPr>
            <w:tcW w:w="4174" w:type="dxa"/>
          </w:tcPr>
          <w:p>
            <w:pPr>
              <w:pStyle w:val="TableParagraph"/>
              <w:spacing w:before="1" w:line="233" w:lineRule="exact"/>
              <w:ind w:left="108"/>
              <w:rPr>
                <w:sz w:val="22"/>
              </w:rPr>
            </w:pPr>
            <w:r>
              <w:rPr>
                <w:sz w:val="22"/>
              </w:rPr>
              <w:t>Durable</w:t>
            </w:r>
            <w:r>
              <w:rPr>
                <w:spacing w:val="-5"/>
                <w:sz w:val="22"/>
              </w:rPr>
              <w:t xml:space="preserve"> </w:t>
            </w:r>
            <w:r>
              <w:rPr>
                <w:sz w:val="22"/>
              </w:rPr>
              <w:t>Medical</w:t>
            </w:r>
            <w:r>
              <w:rPr>
                <w:spacing w:val="-7"/>
                <w:sz w:val="22"/>
              </w:rPr>
              <w:t xml:space="preserve"> </w:t>
            </w:r>
            <w:r>
              <w:rPr>
                <w:sz w:val="22"/>
              </w:rPr>
              <w:t>Equipment</w:t>
            </w:r>
            <w:r>
              <w:rPr>
                <w:spacing w:val="-3"/>
                <w:sz w:val="22"/>
              </w:rPr>
              <w:t xml:space="preserve"> </w:t>
            </w:r>
            <w:r>
              <w:rPr>
                <w:spacing w:val="-4"/>
                <w:sz w:val="22"/>
              </w:rPr>
              <w:t>(DME)</w:t>
            </w:r>
          </w:p>
        </w:tc>
        <w:tc>
          <w:tcPr>
            <w:tcW w:w="736" w:type="dxa"/>
          </w:tcPr>
          <w:p>
            <w:pPr>
              <w:pStyle w:val="TableParagraph"/>
              <w:spacing w:before="1" w:line="233" w:lineRule="exact"/>
              <w:ind w:left="108"/>
              <w:rPr>
                <w:sz w:val="22"/>
              </w:rPr>
            </w:pPr>
            <w:r>
              <w:rPr>
                <w:spacing w:val="-5"/>
                <w:sz w:val="22"/>
              </w:rPr>
              <w:t>e1</w:t>
            </w:r>
          </w:p>
        </w:tc>
        <w:tc>
          <w:tcPr>
            <w:tcW w:w="3787" w:type="dxa"/>
          </w:tcPr>
          <w:p>
            <w:pPr>
              <w:pStyle w:val="TableParagraph"/>
              <w:spacing w:before="1" w:line="233" w:lineRule="exact"/>
              <w:ind w:left="109"/>
              <w:rPr>
                <w:sz w:val="22"/>
              </w:rPr>
            </w:pPr>
            <w:r>
              <w:rPr>
                <w:spacing w:val="-2"/>
                <w:sz w:val="22"/>
              </w:rPr>
              <w:t>DME/Prosthetics/Diabetes:</w:t>
            </w:r>
            <w:r>
              <w:rPr>
                <w:spacing w:val="28"/>
                <w:sz w:val="22"/>
              </w:rPr>
              <w:t xml:space="preserve"> </w:t>
            </w:r>
            <w:r>
              <w:rPr>
                <w:spacing w:val="-5"/>
                <w:sz w:val="22"/>
              </w:rPr>
              <w:t>DME</w:t>
            </w:r>
          </w:p>
        </w:tc>
      </w:tr>
      <w:tr>
        <w:tblPrEx>
          <w:tblW w:w="0" w:type="auto"/>
          <w:jc w:val="left"/>
          <w:tblInd w:w="622" w:type="dxa"/>
          <w:tblLayout w:type="fixed"/>
          <w:tblCellMar>
            <w:top w:w="0" w:type="dxa"/>
            <w:left w:w="0" w:type="dxa"/>
            <w:bottom w:w="0" w:type="dxa"/>
            <w:right w:w="0" w:type="dxa"/>
          </w:tblCellMar>
          <w:tblLook w:val="01E0"/>
        </w:tblPrEx>
        <w:trPr>
          <w:trHeight w:val="505"/>
          <w:jc w:val="left"/>
        </w:trPr>
        <w:tc>
          <w:tcPr>
            <w:tcW w:w="734" w:type="dxa"/>
          </w:tcPr>
          <w:p>
            <w:pPr>
              <w:pStyle w:val="TableParagraph"/>
              <w:spacing w:line="251" w:lineRule="exact"/>
              <w:ind w:left="107"/>
              <w:rPr>
                <w:sz w:val="22"/>
              </w:rPr>
            </w:pPr>
            <w:r>
              <w:rPr>
                <w:spacing w:val="-5"/>
                <w:sz w:val="22"/>
              </w:rPr>
              <w:t>11b</w:t>
            </w:r>
          </w:p>
        </w:tc>
        <w:tc>
          <w:tcPr>
            <w:tcW w:w="4174" w:type="dxa"/>
          </w:tcPr>
          <w:p>
            <w:pPr>
              <w:pStyle w:val="TableParagraph"/>
              <w:spacing w:line="251" w:lineRule="exact"/>
              <w:ind w:left="108"/>
              <w:rPr>
                <w:sz w:val="22"/>
              </w:rPr>
            </w:pPr>
            <w:r>
              <w:rPr>
                <w:spacing w:val="-2"/>
                <w:sz w:val="22"/>
              </w:rPr>
              <w:t>Prosthetics/Medical</w:t>
            </w:r>
            <w:r>
              <w:rPr>
                <w:spacing w:val="24"/>
                <w:sz w:val="22"/>
              </w:rPr>
              <w:t xml:space="preserve"> </w:t>
            </w:r>
            <w:r>
              <w:rPr>
                <w:spacing w:val="-2"/>
                <w:sz w:val="22"/>
              </w:rPr>
              <w:t>Supplies</w:t>
            </w:r>
          </w:p>
        </w:tc>
        <w:tc>
          <w:tcPr>
            <w:tcW w:w="736" w:type="dxa"/>
          </w:tcPr>
          <w:p>
            <w:pPr>
              <w:pStyle w:val="TableParagraph"/>
              <w:spacing w:line="251" w:lineRule="exact"/>
              <w:ind w:left="108"/>
              <w:rPr>
                <w:sz w:val="22"/>
              </w:rPr>
            </w:pPr>
            <w:r>
              <w:rPr>
                <w:spacing w:val="-5"/>
                <w:sz w:val="22"/>
              </w:rPr>
              <w:t>e2</w:t>
            </w:r>
          </w:p>
        </w:tc>
        <w:tc>
          <w:tcPr>
            <w:tcW w:w="3787" w:type="dxa"/>
          </w:tcPr>
          <w:p>
            <w:pPr>
              <w:pStyle w:val="TableParagraph"/>
              <w:spacing w:line="252" w:lineRule="exact"/>
              <w:ind w:left="109" w:right="172"/>
              <w:rPr>
                <w:sz w:val="22"/>
              </w:rPr>
            </w:pPr>
            <w:r>
              <w:rPr>
                <w:sz w:val="22"/>
              </w:rPr>
              <w:t>DME/Prosthetics/Diabetes:</w:t>
            </w:r>
            <w:r>
              <w:rPr>
                <w:spacing w:val="-14"/>
                <w:sz w:val="22"/>
              </w:rPr>
              <w:t xml:space="preserve"> </w:t>
            </w:r>
            <w:r>
              <w:rPr>
                <w:sz w:val="22"/>
              </w:rPr>
              <w:t xml:space="preserve">Prosthetics/ </w:t>
            </w:r>
            <w:r>
              <w:rPr>
                <w:spacing w:val="-2"/>
                <w:sz w:val="22"/>
              </w:rPr>
              <w:t>Diabetes</w:t>
            </w:r>
          </w:p>
        </w:tc>
      </w:tr>
      <w:tr>
        <w:tblPrEx>
          <w:tblW w:w="0" w:type="auto"/>
          <w:jc w:val="left"/>
          <w:tblInd w:w="622" w:type="dxa"/>
          <w:tblLayout w:type="fixed"/>
          <w:tblCellMar>
            <w:top w:w="0" w:type="dxa"/>
            <w:left w:w="0" w:type="dxa"/>
            <w:bottom w:w="0" w:type="dxa"/>
            <w:right w:w="0" w:type="dxa"/>
          </w:tblCellMar>
          <w:tblLook w:val="01E0"/>
        </w:tblPrEx>
        <w:trPr>
          <w:trHeight w:val="506"/>
          <w:jc w:val="left"/>
        </w:trPr>
        <w:tc>
          <w:tcPr>
            <w:tcW w:w="734" w:type="dxa"/>
          </w:tcPr>
          <w:p>
            <w:pPr>
              <w:pStyle w:val="TableParagraph"/>
              <w:spacing w:line="251" w:lineRule="exact"/>
              <w:ind w:left="107"/>
              <w:rPr>
                <w:sz w:val="22"/>
              </w:rPr>
            </w:pPr>
            <w:r>
              <w:rPr>
                <w:spacing w:val="-5"/>
                <w:sz w:val="22"/>
              </w:rPr>
              <w:t>11c</w:t>
            </w:r>
          </w:p>
        </w:tc>
        <w:tc>
          <w:tcPr>
            <w:tcW w:w="4174" w:type="dxa"/>
          </w:tcPr>
          <w:p>
            <w:pPr>
              <w:pStyle w:val="TableParagraph"/>
              <w:spacing w:line="251" w:lineRule="exact"/>
              <w:ind w:left="108"/>
              <w:rPr>
                <w:sz w:val="22"/>
              </w:rPr>
            </w:pPr>
            <w:r>
              <w:rPr>
                <w:sz w:val="22"/>
              </w:rPr>
              <w:t>Diabetic</w:t>
            </w:r>
            <w:r>
              <w:rPr>
                <w:spacing w:val="-5"/>
                <w:sz w:val="22"/>
              </w:rPr>
              <w:t xml:space="preserve"> </w:t>
            </w:r>
            <w:r>
              <w:rPr>
                <w:sz w:val="22"/>
              </w:rPr>
              <w:t>Supplies</w:t>
            </w:r>
            <w:r>
              <w:rPr>
                <w:spacing w:val="-1"/>
                <w:sz w:val="22"/>
              </w:rPr>
              <w:t xml:space="preserve"> </w:t>
            </w:r>
            <w:r>
              <w:rPr>
                <w:sz w:val="22"/>
              </w:rPr>
              <w:t>and</w:t>
            </w:r>
            <w:r>
              <w:rPr>
                <w:spacing w:val="-4"/>
                <w:sz w:val="22"/>
              </w:rPr>
              <w:t xml:space="preserve"> </w:t>
            </w:r>
            <w:r>
              <w:rPr>
                <w:spacing w:val="-2"/>
                <w:sz w:val="22"/>
              </w:rPr>
              <w:t>Services</w:t>
            </w:r>
          </w:p>
        </w:tc>
        <w:tc>
          <w:tcPr>
            <w:tcW w:w="736" w:type="dxa"/>
          </w:tcPr>
          <w:p>
            <w:pPr>
              <w:pStyle w:val="TableParagraph"/>
              <w:spacing w:line="251" w:lineRule="exact"/>
              <w:ind w:left="108"/>
              <w:rPr>
                <w:sz w:val="22"/>
              </w:rPr>
            </w:pPr>
            <w:r>
              <w:rPr>
                <w:spacing w:val="-5"/>
                <w:sz w:val="22"/>
              </w:rPr>
              <w:t>e2</w:t>
            </w:r>
          </w:p>
        </w:tc>
        <w:tc>
          <w:tcPr>
            <w:tcW w:w="3787" w:type="dxa"/>
          </w:tcPr>
          <w:p>
            <w:pPr>
              <w:pStyle w:val="TableParagraph"/>
              <w:spacing w:line="252" w:lineRule="exact"/>
              <w:ind w:left="109"/>
              <w:rPr>
                <w:sz w:val="22"/>
              </w:rPr>
            </w:pPr>
            <w:r>
              <w:rPr>
                <w:sz w:val="22"/>
              </w:rPr>
              <w:t>DME/Prosthetics/</w:t>
            </w:r>
            <w:r>
              <w:rPr>
                <w:spacing w:val="-14"/>
                <w:sz w:val="22"/>
              </w:rPr>
              <w:t xml:space="preserve"> </w:t>
            </w:r>
            <w:r>
              <w:rPr>
                <w:sz w:val="22"/>
              </w:rPr>
              <w:t>Diabetes:</w:t>
            </w:r>
            <w:r>
              <w:rPr>
                <w:spacing w:val="-14"/>
                <w:sz w:val="22"/>
              </w:rPr>
              <w:t xml:space="preserve"> </w:t>
            </w:r>
            <w:r>
              <w:rPr>
                <w:sz w:val="22"/>
              </w:rPr>
              <w:t xml:space="preserve">Prosthetics/ </w:t>
            </w:r>
            <w:r>
              <w:rPr>
                <w:spacing w:val="-2"/>
                <w:sz w:val="22"/>
              </w:rPr>
              <w:t>Diabetes</w:t>
            </w:r>
          </w:p>
        </w:tc>
      </w:tr>
      <w:tr>
        <w:tblPrEx>
          <w:tblW w:w="0" w:type="auto"/>
          <w:jc w:val="left"/>
          <w:tblInd w:w="6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5"/>
                <w:sz w:val="22"/>
              </w:rPr>
              <w:t>12</w:t>
            </w:r>
          </w:p>
        </w:tc>
        <w:tc>
          <w:tcPr>
            <w:tcW w:w="4174" w:type="dxa"/>
          </w:tcPr>
          <w:p>
            <w:pPr>
              <w:pStyle w:val="TableParagraph"/>
              <w:spacing w:line="232" w:lineRule="exact"/>
              <w:ind w:left="108"/>
              <w:rPr>
                <w:sz w:val="22"/>
              </w:rPr>
            </w:pPr>
            <w:r>
              <w:rPr>
                <w:sz w:val="22"/>
              </w:rPr>
              <w:t>Dialysis</w:t>
            </w:r>
            <w:r>
              <w:rPr>
                <w:spacing w:val="-5"/>
                <w:sz w:val="22"/>
              </w:rPr>
              <w:t xml:space="preserve"> </w:t>
            </w:r>
            <w:r>
              <w:rPr>
                <w:spacing w:val="-2"/>
                <w:sz w:val="22"/>
              </w:rPr>
              <w:t>Services</w:t>
            </w:r>
          </w:p>
        </w:tc>
        <w:tc>
          <w:tcPr>
            <w:tcW w:w="736" w:type="dxa"/>
          </w:tcPr>
          <w:p>
            <w:pPr>
              <w:pStyle w:val="TableParagraph"/>
              <w:spacing w:line="232" w:lineRule="exact"/>
              <w:ind w:left="108"/>
              <w:rPr>
                <w:sz w:val="22"/>
              </w:rPr>
            </w:pPr>
            <w:r>
              <w:rPr>
                <w:spacing w:val="-5"/>
                <w:sz w:val="22"/>
              </w:rPr>
              <w:t>h4</w:t>
            </w:r>
          </w:p>
        </w:tc>
        <w:tc>
          <w:tcPr>
            <w:tcW w:w="3787" w:type="dxa"/>
          </w:tcPr>
          <w:p>
            <w:pPr>
              <w:pStyle w:val="TableParagraph"/>
              <w:spacing w:line="232" w:lineRule="exact"/>
              <w:ind w:left="109"/>
              <w:rPr>
                <w:sz w:val="22"/>
              </w:rPr>
            </w:pPr>
            <w:r>
              <w:rPr>
                <w:sz w:val="22"/>
              </w:rPr>
              <w:t>OP</w:t>
            </w:r>
            <w:r>
              <w:rPr>
                <w:spacing w:val="-4"/>
                <w:sz w:val="22"/>
              </w:rPr>
              <w:t xml:space="preserve"> </w:t>
            </w:r>
            <w:r>
              <w:rPr>
                <w:sz w:val="22"/>
              </w:rPr>
              <w:t>Facility</w:t>
            </w:r>
            <w:r>
              <w:rPr>
                <w:spacing w:val="-3"/>
                <w:sz w:val="22"/>
              </w:rPr>
              <w:t xml:space="preserve"> </w:t>
            </w:r>
            <w:r>
              <w:rPr>
                <w:sz w:val="22"/>
              </w:rPr>
              <w:t>–</w:t>
            </w:r>
            <w:r>
              <w:rPr>
                <w:spacing w:val="-3"/>
                <w:sz w:val="22"/>
              </w:rPr>
              <w:t xml:space="preserve"> </w:t>
            </w:r>
            <w:r>
              <w:rPr>
                <w:sz w:val="22"/>
              </w:rPr>
              <w:t>Other:</w:t>
            </w:r>
            <w:r>
              <w:rPr>
                <w:spacing w:val="-2"/>
                <w:sz w:val="22"/>
              </w:rPr>
              <w:t xml:space="preserve"> </w:t>
            </w:r>
            <w:r>
              <w:rPr>
                <w:sz w:val="22"/>
              </w:rPr>
              <w:t>Renal</w:t>
            </w:r>
            <w:r>
              <w:rPr>
                <w:spacing w:val="-5"/>
                <w:sz w:val="22"/>
              </w:rPr>
              <w:t xml:space="preserve"> </w:t>
            </w:r>
            <w:r>
              <w:rPr>
                <w:spacing w:val="-2"/>
                <w:sz w:val="22"/>
              </w:rPr>
              <w:t>Dialysis</w:t>
            </w:r>
          </w:p>
        </w:tc>
      </w:tr>
      <w:tr>
        <w:tblPrEx>
          <w:tblW w:w="0" w:type="auto"/>
          <w:jc w:val="left"/>
          <w:tblInd w:w="622" w:type="dxa"/>
          <w:tblLayout w:type="fixed"/>
          <w:tblCellMar>
            <w:top w:w="0" w:type="dxa"/>
            <w:left w:w="0" w:type="dxa"/>
            <w:bottom w:w="0" w:type="dxa"/>
            <w:right w:w="0" w:type="dxa"/>
          </w:tblCellMar>
          <w:tblLook w:val="01E0"/>
        </w:tblPrEx>
        <w:trPr>
          <w:trHeight w:val="506"/>
          <w:jc w:val="left"/>
        </w:trPr>
        <w:tc>
          <w:tcPr>
            <w:tcW w:w="734" w:type="dxa"/>
          </w:tcPr>
          <w:p>
            <w:pPr>
              <w:pStyle w:val="TableParagraph"/>
              <w:spacing w:before="1"/>
              <w:ind w:left="107"/>
              <w:rPr>
                <w:sz w:val="22"/>
              </w:rPr>
            </w:pPr>
            <w:r>
              <w:rPr>
                <w:spacing w:val="-5"/>
                <w:sz w:val="22"/>
              </w:rPr>
              <w:t>13a</w:t>
            </w:r>
          </w:p>
        </w:tc>
        <w:tc>
          <w:tcPr>
            <w:tcW w:w="4174" w:type="dxa"/>
          </w:tcPr>
          <w:p>
            <w:pPr>
              <w:pStyle w:val="TableParagraph"/>
              <w:spacing w:line="252" w:lineRule="exact"/>
              <w:ind w:left="108"/>
              <w:rPr>
                <w:i/>
                <w:sz w:val="22"/>
              </w:rPr>
            </w:pPr>
            <w:r>
              <w:rPr>
                <w:sz w:val="22"/>
              </w:rPr>
              <w:t>Acupuncture</w:t>
            </w:r>
            <w:r>
              <w:rPr>
                <w:spacing w:val="-14"/>
                <w:sz w:val="22"/>
              </w:rPr>
              <w:t xml:space="preserve"> </w:t>
            </w:r>
            <w:r>
              <w:rPr>
                <w:sz w:val="22"/>
              </w:rPr>
              <w:t>Treatments</w:t>
            </w:r>
            <w:r>
              <w:rPr>
                <w:spacing w:val="-14"/>
                <w:sz w:val="22"/>
              </w:rPr>
              <w:t xml:space="preserve"> </w:t>
            </w:r>
            <w:r>
              <w:rPr>
                <w:i/>
                <w:sz w:val="22"/>
              </w:rPr>
              <w:t>(non-Medicare</w:t>
            </w:r>
            <w:r>
              <w:rPr>
                <w:i/>
                <w:sz w:val="22"/>
              </w:rPr>
              <w:t xml:space="preserve"> </w:t>
            </w:r>
            <w:r>
              <w:rPr>
                <w:i/>
                <w:spacing w:val="-2"/>
                <w:sz w:val="22"/>
              </w:rPr>
              <w:t>covered)</w:t>
            </w:r>
          </w:p>
        </w:tc>
        <w:tc>
          <w:tcPr>
            <w:tcW w:w="736" w:type="dxa"/>
          </w:tcPr>
          <w:p>
            <w:pPr>
              <w:pStyle w:val="TableParagraph"/>
              <w:spacing w:before="1"/>
              <w:ind w:left="108"/>
              <w:rPr>
                <w:sz w:val="22"/>
              </w:rPr>
            </w:pPr>
            <w:r>
              <w:rPr>
                <w:spacing w:val="-10"/>
                <w:sz w:val="22"/>
              </w:rPr>
              <w:t>q</w:t>
            </w:r>
          </w:p>
        </w:tc>
        <w:tc>
          <w:tcPr>
            <w:tcW w:w="3787" w:type="dxa"/>
          </w:tcPr>
          <w:p>
            <w:pPr>
              <w:pStyle w:val="TableParagraph"/>
              <w:spacing w:before="1"/>
              <w:ind w:left="109"/>
              <w:rPr>
                <w:sz w:val="22"/>
              </w:rPr>
            </w:pPr>
            <w:r>
              <w:rPr>
                <w:sz w:val="22"/>
              </w:rPr>
              <w:t>Other</w:t>
            </w:r>
            <w:r>
              <w:rPr>
                <w:spacing w:val="-5"/>
                <w:sz w:val="22"/>
              </w:rPr>
              <w:t xml:space="preserve"> </w:t>
            </w:r>
            <w:r>
              <w:rPr>
                <w:sz w:val="22"/>
              </w:rPr>
              <w:t>Non-</w:t>
            </w:r>
            <w:r>
              <w:rPr>
                <w:spacing w:val="-2"/>
                <w:sz w:val="22"/>
              </w:rPr>
              <w:t>Covered</w:t>
            </w:r>
          </w:p>
        </w:tc>
      </w:tr>
      <w:tr>
        <w:tblPrEx>
          <w:tblW w:w="0" w:type="auto"/>
          <w:jc w:val="left"/>
          <w:tblInd w:w="622" w:type="dxa"/>
          <w:tblLayout w:type="fixed"/>
          <w:tblCellMar>
            <w:top w:w="0" w:type="dxa"/>
            <w:left w:w="0" w:type="dxa"/>
            <w:bottom w:w="0" w:type="dxa"/>
            <w:right w:w="0" w:type="dxa"/>
          </w:tblCellMar>
          <w:tblLook w:val="01E0"/>
        </w:tblPrEx>
        <w:trPr>
          <w:trHeight w:val="254"/>
          <w:jc w:val="left"/>
        </w:trPr>
        <w:tc>
          <w:tcPr>
            <w:tcW w:w="734" w:type="dxa"/>
          </w:tcPr>
          <w:p>
            <w:pPr>
              <w:pStyle w:val="TableParagraph"/>
              <w:spacing w:before="1" w:line="233" w:lineRule="exact"/>
              <w:ind w:left="107"/>
              <w:rPr>
                <w:sz w:val="22"/>
              </w:rPr>
            </w:pPr>
            <w:r>
              <w:rPr>
                <w:spacing w:val="-5"/>
                <w:sz w:val="22"/>
              </w:rPr>
              <w:t>13b</w:t>
            </w:r>
          </w:p>
        </w:tc>
        <w:tc>
          <w:tcPr>
            <w:tcW w:w="4174" w:type="dxa"/>
          </w:tcPr>
          <w:p>
            <w:pPr>
              <w:pStyle w:val="TableParagraph"/>
              <w:spacing w:before="1" w:line="233" w:lineRule="exact"/>
              <w:ind w:left="108"/>
              <w:rPr>
                <w:sz w:val="22"/>
              </w:rPr>
            </w:pPr>
            <w:r>
              <w:rPr>
                <w:sz w:val="22"/>
              </w:rPr>
              <w:t>Over-the-Counter</w:t>
            </w:r>
            <w:r>
              <w:rPr>
                <w:spacing w:val="-8"/>
                <w:sz w:val="22"/>
              </w:rPr>
              <w:t xml:space="preserve"> </w:t>
            </w:r>
            <w:r>
              <w:rPr>
                <w:sz w:val="22"/>
              </w:rPr>
              <w:t>(OTC)</w:t>
            </w:r>
            <w:r>
              <w:rPr>
                <w:spacing w:val="-5"/>
                <w:sz w:val="22"/>
              </w:rPr>
              <w:t xml:space="preserve"> </w:t>
            </w:r>
            <w:r>
              <w:rPr>
                <w:spacing w:val="-4"/>
                <w:sz w:val="22"/>
              </w:rPr>
              <w:t>Items</w:t>
            </w:r>
          </w:p>
        </w:tc>
        <w:tc>
          <w:tcPr>
            <w:tcW w:w="736" w:type="dxa"/>
          </w:tcPr>
          <w:p>
            <w:pPr>
              <w:pStyle w:val="TableParagraph"/>
              <w:spacing w:before="1" w:line="233" w:lineRule="exact"/>
              <w:ind w:left="108"/>
              <w:rPr>
                <w:sz w:val="22"/>
              </w:rPr>
            </w:pPr>
            <w:r>
              <w:rPr>
                <w:spacing w:val="-10"/>
                <w:sz w:val="22"/>
              </w:rPr>
              <w:t>q</w:t>
            </w:r>
          </w:p>
        </w:tc>
        <w:tc>
          <w:tcPr>
            <w:tcW w:w="3787" w:type="dxa"/>
          </w:tcPr>
          <w:p>
            <w:pPr>
              <w:pStyle w:val="TableParagraph"/>
              <w:spacing w:before="1" w:line="233" w:lineRule="exact"/>
              <w:ind w:left="109"/>
              <w:rPr>
                <w:sz w:val="22"/>
              </w:rPr>
            </w:pPr>
            <w:r>
              <w:rPr>
                <w:sz w:val="22"/>
              </w:rPr>
              <w:t>Other</w:t>
            </w:r>
            <w:r>
              <w:rPr>
                <w:spacing w:val="-5"/>
                <w:sz w:val="22"/>
              </w:rPr>
              <w:t xml:space="preserve"> </w:t>
            </w:r>
            <w:r>
              <w:rPr>
                <w:sz w:val="22"/>
              </w:rPr>
              <w:t>Non-</w:t>
            </w:r>
            <w:r>
              <w:rPr>
                <w:spacing w:val="-2"/>
                <w:sz w:val="22"/>
              </w:rPr>
              <w:t>Covered</w:t>
            </w:r>
          </w:p>
        </w:tc>
      </w:tr>
      <w:tr>
        <w:tblPrEx>
          <w:tblW w:w="0" w:type="auto"/>
          <w:jc w:val="left"/>
          <w:tblInd w:w="622" w:type="dxa"/>
          <w:tblLayout w:type="fixed"/>
          <w:tblCellMar>
            <w:top w:w="0" w:type="dxa"/>
            <w:left w:w="0" w:type="dxa"/>
            <w:bottom w:w="0" w:type="dxa"/>
            <w:right w:w="0" w:type="dxa"/>
          </w:tblCellMar>
          <w:tblLook w:val="01E0"/>
        </w:tblPrEx>
        <w:trPr>
          <w:trHeight w:val="253"/>
          <w:jc w:val="left"/>
        </w:trPr>
        <w:tc>
          <w:tcPr>
            <w:tcW w:w="734" w:type="dxa"/>
          </w:tcPr>
          <w:p>
            <w:pPr>
              <w:pStyle w:val="TableParagraph"/>
              <w:spacing w:line="234" w:lineRule="exact"/>
              <w:ind w:left="107"/>
              <w:rPr>
                <w:sz w:val="22"/>
              </w:rPr>
            </w:pPr>
            <w:r>
              <w:rPr>
                <w:spacing w:val="-5"/>
                <w:sz w:val="22"/>
              </w:rPr>
              <w:t>13c</w:t>
            </w:r>
          </w:p>
        </w:tc>
        <w:tc>
          <w:tcPr>
            <w:tcW w:w="4174" w:type="dxa"/>
          </w:tcPr>
          <w:p>
            <w:pPr>
              <w:pStyle w:val="TableParagraph"/>
              <w:spacing w:line="234" w:lineRule="exact"/>
              <w:ind w:left="108"/>
              <w:rPr>
                <w:sz w:val="22"/>
              </w:rPr>
            </w:pPr>
            <w:r>
              <w:rPr>
                <w:sz w:val="22"/>
              </w:rPr>
              <w:t>Meal</w:t>
            </w:r>
            <w:r>
              <w:rPr>
                <w:spacing w:val="-1"/>
                <w:sz w:val="22"/>
              </w:rPr>
              <w:t xml:space="preserve"> </w:t>
            </w:r>
            <w:r>
              <w:rPr>
                <w:spacing w:val="-2"/>
                <w:sz w:val="22"/>
              </w:rPr>
              <w:t>Benefit</w:t>
            </w:r>
          </w:p>
        </w:tc>
        <w:tc>
          <w:tcPr>
            <w:tcW w:w="736" w:type="dxa"/>
          </w:tcPr>
          <w:p>
            <w:pPr>
              <w:pStyle w:val="TableParagraph"/>
              <w:spacing w:line="234" w:lineRule="exact"/>
              <w:ind w:left="108"/>
              <w:rPr>
                <w:sz w:val="22"/>
              </w:rPr>
            </w:pPr>
            <w:r>
              <w:rPr>
                <w:spacing w:val="-10"/>
                <w:sz w:val="22"/>
              </w:rPr>
              <w:t>q</w:t>
            </w:r>
          </w:p>
        </w:tc>
        <w:tc>
          <w:tcPr>
            <w:tcW w:w="3787" w:type="dxa"/>
          </w:tcPr>
          <w:p>
            <w:pPr>
              <w:pStyle w:val="TableParagraph"/>
              <w:spacing w:line="234" w:lineRule="exact"/>
              <w:ind w:left="109"/>
              <w:rPr>
                <w:sz w:val="22"/>
              </w:rPr>
            </w:pPr>
            <w:r>
              <w:rPr>
                <w:sz w:val="22"/>
              </w:rPr>
              <w:t>Other</w:t>
            </w:r>
            <w:r>
              <w:rPr>
                <w:spacing w:val="-5"/>
                <w:sz w:val="22"/>
              </w:rPr>
              <w:t xml:space="preserve"> </w:t>
            </w:r>
            <w:r>
              <w:rPr>
                <w:sz w:val="22"/>
              </w:rPr>
              <w:t>Non-</w:t>
            </w:r>
            <w:r>
              <w:rPr>
                <w:spacing w:val="-2"/>
                <w:sz w:val="22"/>
              </w:rPr>
              <w:t>Covered</w:t>
            </w:r>
          </w:p>
        </w:tc>
      </w:tr>
      <w:tr>
        <w:tblPrEx>
          <w:tblW w:w="0" w:type="auto"/>
          <w:jc w:val="left"/>
          <w:tblInd w:w="6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5"/>
                <w:sz w:val="22"/>
              </w:rPr>
              <w:t>13d</w:t>
            </w:r>
          </w:p>
        </w:tc>
        <w:tc>
          <w:tcPr>
            <w:tcW w:w="4174" w:type="dxa"/>
          </w:tcPr>
          <w:p>
            <w:pPr>
              <w:pStyle w:val="TableParagraph"/>
              <w:spacing w:line="232" w:lineRule="exact"/>
              <w:ind w:left="108"/>
              <w:rPr>
                <w:sz w:val="22"/>
              </w:rPr>
            </w:pPr>
            <w:r>
              <w:rPr>
                <w:sz w:val="22"/>
              </w:rPr>
              <w:t>Other</w:t>
            </w:r>
            <w:r>
              <w:rPr>
                <w:spacing w:val="-5"/>
                <w:sz w:val="22"/>
              </w:rPr>
              <w:t xml:space="preserve"> </w:t>
            </w:r>
            <w:r>
              <w:rPr>
                <w:spacing w:val="-10"/>
                <w:sz w:val="22"/>
              </w:rPr>
              <w:t>1</w:t>
            </w:r>
          </w:p>
        </w:tc>
        <w:tc>
          <w:tcPr>
            <w:tcW w:w="736" w:type="dxa"/>
          </w:tcPr>
          <w:p>
            <w:pPr>
              <w:pStyle w:val="TableParagraph"/>
              <w:spacing w:line="232" w:lineRule="exact"/>
              <w:ind w:left="108"/>
              <w:rPr>
                <w:sz w:val="22"/>
              </w:rPr>
            </w:pPr>
            <w:r>
              <w:rPr>
                <w:spacing w:val="-10"/>
                <w:sz w:val="22"/>
              </w:rPr>
              <w:t>q</w:t>
            </w:r>
          </w:p>
        </w:tc>
        <w:tc>
          <w:tcPr>
            <w:tcW w:w="3787" w:type="dxa"/>
          </w:tcPr>
          <w:p>
            <w:pPr>
              <w:pStyle w:val="TableParagraph"/>
              <w:spacing w:line="232" w:lineRule="exact"/>
              <w:ind w:left="109"/>
              <w:rPr>
                <w:sz w:val="22"/>
              </w:rPr>
            </w:pPr>
            <w:r>
              <w:rPr>
                <w:sz w:val="22"/>
              </w:rPr>
              <w:t>Other</w:t>
            </w:r>
            <w:r>
              <w:rPr>
                <w:spacing w:val="-5"/>
                <w:sz w:val="22"/>
              </w:rPr>
              <w:t xml:space="preserve"> </w:t>
            </w:r>
            <w:r>
              <w:rPr>
                <w:sz w:val="22"/>
              </w:rPr>
              <w:t>Non-</w:t>
            </w:r>
            <w:r>
              <w:rPr>
                <w:spacing w:val="-2"/>
                <w:sz w:val="22"/>
              </w:rPr>
              <w:t>Covered</w:t>
            </w:r>
          </w:p>
        </w:tc>
      </w:tr>
      <w:tr>
        <w:tblPrEx>
          <w:tblW w:w="0" w:type="auto"/>
          <w:jc w:val="left"/>
          <w:tblInd w:w="622" w:type="dxa"/>
          <w:tblLayout w:type="fixed"/>
          <w:tblCellMar>
            <w:top w:w="0" w:type="dxa"/>
            <w:left w:w="0" w:type="dxa"/>
            <w:bottom w:w="0" w:type="dxa"/>
            <w:right w:w="0" w:type="dxa"/>
          </w:tblCellMar>
          <w:tblLook w:val="01E0"/>
        </w:tblPrEx>
        <w:trPr>
          <w:trHeight w:val="253"/>
          <w:jc w:val="left"/>
        </w:trPr>
        <w:tc>
          <w:tcPr>
            <w:tcW w:w="734" w:type="dxa"/>
          </w:tcPr>
          <w:p>
            <w:pPr>
              <w:pStyle w:val="TableParagraph"/>
              <w:spacing w:line="234" w:lineRule="exact"/>
              <w:ind w:left="107"/>
              <w:rPr>
                <w:sz w:val="22"/>
              </w:rPr>
            </w:pPr>
            <w:r>
              <w:rPr>
                <w:spacing w:val="-5"/>
                <w:sz w:val="22"/>
              </w:rPr>
              <w:t>13e</w:t>
            </w:r>
          </w:p>
        </w:tc>
        <w:tc>
          <w:tcPr>
            <w:tcW w:w="4174" w:type="dxa"/>
          </w:tcPr>
          <w:p>
            <w:pPr>
              <w:pStyle w:val="TableParagraph"/>
              <w:spacing w:line="234" w:lineRule="exact"/>
              <w:ind w:left="108"/>
              <w:rPr>
                <w:sz w:val="22"/>
              </w:rPr>
            </w:pPr>
            <w:r>
              <w:rPr>
                <w:sz w:val="22"/>
              </w:rPr>
              <w:t>Other</w:t>
            </w:r>
            <w:r>
              <w:rPr>
                <w:spacing w:val="-5"/>
                <w:sz w:val="22"/>
              </w:rPr>
              <w:t xml:space="preserve"> </w:t>
            </w:r>
            <w:r>
              <w:rPr>
                <w:spacing w:val="-10"/>
                <w:sz w:val="22"/>
              </w:rPr>
              <w:t>2</w:t>
            </w:r>
          </w:p>
        </w:tc>
        <w:tc>
          <w:tcPr>
            <w:tcW w:w="736" w:type="dxa"/>
          </w:tcPr>
          <w:p>
            <w:pPr>
              <w:pStyle w:val="TableParagraph"/>
              <w:spacing w:line="234" w:lineRule="exact"/>
              <w:ind w:left="108"/>
              <w:rPr>
                <w:sz w:val="22"/>
              </w:rPr>
            </w:pPr>
            <w:r>
              <w:rPr>
                <w:spacing w:val="-10"/>
                <w:sz w:val="22"/>
              </w:rPr>
              <w:t>q</w:t>
            </w:r>
          </w:p>
        </w:tc>
        <w:tc>
          <w:tcPr>
            <w:tcW w:w="3787" w:type="dxa"/>
          </w:tcPr>
          <w:p>
            <w:pPr>
              <w:pStyle w:val="TableParagraph"/>
              <w:spacing w:line="234" w:lineRule="exact"/>
              <w:ind w:left="109"/>
              <w:rPr>
                <w:sz w:val="22"/>
              </w:rPr>
            </w:pPr>
            <w:r>
              <w:rPr>
                <w:sz w:val="22"/>
              </w:rPr>
              <w:t>Other</w:t>
            </w:r>
            <w:r>
              <w:rPr>
                <w:spacing w:val="-5"/>
                <w:sz w:val="22"/>
              </w:rPr>
              <w:t xml:space="preserve"> </w:t>
            </w:r>
            <w:r>
              <w:rPr>
                <w:sz w:val="22"/>
              </w:rPr>
              <w:t>Non-</w:t>
            </w:r>
            <w:r>
              <w:rPr>
                <w:spacing w:val="-2"/>
                <w:sz w:val="22"/>
              </w:rPr>
              <w:t>Covered</w:t>
            </w:r>
          </w:p>
        </w:tc>
      </w:tr>
      <w:tr>
        <w:tblPrEx>
          <w:tblW w:w="0" w:type="auto"/>
          <w:jc w:val="left"/>
          <w:tblInd w:w="6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5"/>
                <w:sz w:val="22"/>
              </w:rPr>
              <w:t>13f</w:t>
            </w:r>
          </w:p>
        </w:tc>
        <w:tc>
          <w:tcPr>
            <w:tcW w:w="4174" w:type="dxa"/>
          </w:tcPr>
          <w:p>
            <w:pPr>
              <w:pStyle w:val="TableParagraph"/>
              <w:spacing w:line="232" w:lineRule="exact"/>
              <w:ind w:left="108"/>
              <w:rPr>
                <w:sz w:val="22"/>
              </w:rPr>
            </w:pPr>
            <w:r>
              <w:rPr>
                <w:sz w:val="22"/>
              </w:rPr>
              <w:t>Other</w:t>
            </w:r>
            <w:r>
              <w:rPr>
                <w:spacing w:val="-5"/>
                <w:sz w:val="22"/>
              </w:rPr>
              <w:t xml:space="preserve"> </w:t>
            </w:r>
            <w:r>
              <w:rPr>
                <w:spacing w:val="-10"/>
                <w:sz w:val="22"/>
              </w:rPr>
              <w:t>3</w:t>
            </w:r>
          </w:p>
        </w:tc>
        <w:tc>
          <w:tcPr>
            <w:tcW w:w="736" w:type="dxa"/>
          </w:tcPr>
          <w:p>
            <w:pPr>
              <w:pStyle w:val="TableParagraph"/>
              <w:spacing w:line="232" w:lineRule="exact"/>
              <w:ind w:left="108"/>
              <w:rPr>
                <w:sz w:val="22"/>
              </w:rPr>
            </w:pPr>
            <w:r>
              <w:rPr>
                <w:spacing w:val="-10"/>
                <w:sz w:val="22"/>
              </w:rPr>
              <w:t>q</w:t>
            </w:r>
          </w:p>
        </w:tc>
        <w:tc>
          <w:tcPr>
            <w:tcW w:w="3787" w:type="dxa"/>
          </w:tcPr>
          <w:p>
            <w:pPr>
              <w:pStyle w:val="TableParagraph"/>
              <w:spacing w:line="232" w:lineRule="exact"/>
              <w:ind w:left="109"/>
              <w:rPr>
                <w:sz w:val="22"/>
              </w:rPr>
            </w:pPr>
            <w:r>
              <w:rPr>
                <w:sz w:val="22"/>
              </w:rPr>
              <w:t>Other</w:t>
            </w:r>
            <w:r>
              <w:rPr>
                <w:spacing w:val="-5"/>
                <w:sz w:val="22"/>
              </w:rPr>
              <w:t xml:space="preserve"> </w:t>
            </w:r>
            <w:r>
              <w:rPr>
                <w:sz w:val="22"/>
              </w:rPr>
              <w:t>Non-</w:t>
            </w:r>
            <w:r>
              <w:rPr>
                <w:spacing w:val="-2"/>
                <w:sz w:val="22"/>
              </w:rPr>
              <w:t>Covered</w:t>
            </w:r>
          </w:p>
        </w:tc>
      </w:tr>
      <w:tr>
        <w:tblPrEx>
          <w:tblW w:w="0" w:type="auto"/>
          <w:jc w:val="left"/>
          <w:tblInd w:w="622" w:type="dxa"/>
          <w:tblLayout w:type="fixed"/>
          <w:tblCellMar>
            <w:top w:w="0" w:type="dxa"/>
            <w:left w:w="0" w:type="dxa"/>
            <w:bottom w:w="0" w:type="dxa"/>
            <w:right w:w="0" w:type="dxa"/>
          </w:tblCellMar>
          <w:tblLook w:val="01E0"/>
        </w:tblPrEx>
        <w:trPr>
          <w:trHeight w:val="505"/>
          <w:jc w:val="left"/>
        </w:trPr>
        <w:tc>
          <w:tcPr>
            <w:tcW w:w="734" w:type="dxa"/>
          </w:tcPr>
          <w:p>
            <w:pPr>
              <w:pStyle w:val="TableParagraph"/>
              <w:spacing w:line="251" w:lineRule="exact"/>
              <w:ind w:left="107"/>
              <w:rPr>
                <w:sz w:val="22"/>
              </w:rPr>
            </w:pPr>
            <w:r>
              <w:rPr>
                <w:spacing w:val="-5"/>
                <w:sz w:val="22"/>
              </w:rPr>
              <w:t>13g</w:t>
            </w:r>
          </w:p>
        </w:tc>
        <w:tc>
          <w:tcPr>
            <w:tcW w:w="4174" w:type="dxa"/>
          </w:tcPr>
          <w:p>
            <w:pPr>
              <w:pStyle w:val="TableParagraph"/>
              <w:spacing w:line="254" w:lineRule="exact"/>
              <w:ind w:left="108"/>
              <w:rPr>
                <w:sz w:val="22"/>
              </w:rPr>
            </w:pPr>
            <w:r>
              <w:rPr>
                <w:sz w:val="22"/>
              </w:rPr>
              <w:t>Dual</w:t>
            </w:r>
            <w:r>
              <w:rPr>
                <w:spacing w:val="-7"/>
                <w:sz w:val="22"/>
              </w:rPr>
              <w:t xml:space="preserve"> </w:t>
            </w:r>
            <w:r>
              <w:rPr>
                <w:sz w:val="22"/>
              </w:rPr>
              <w:t>Eligible</w:t>
            </w:r>
            <w:r>
              <w:rPr>
                <w:spacing w:val="-8"/>
                <w:sz w:val="22"/>
              </w:rPr>
              <w:t xml:space="preserve"> </w:t>
            </w:r>
            <w:r>
              <w:rPr>
                <w:sz w:val="22"/>
              </w:rPr>
              <w:t>SNPs</w:t>
            </w:r>
            <w:r>
              <w:rPr>
                <w:spacing w:val="-8"/>
                <w:sz w:val="22"/>
              </w:rPr>
              <w:t xml:space="preserve"> </w:t>
            </w:r>
            <w:r>
              <w:rPr>
                <w:sz w:val="22"/>
              </w:rPr>
              <w:t>with</w:t>
            </w:r>
            <w:r>
              <w:rPr>
                <w:spacing w:val="-8"/>
                <w:sz w:val="22"/>
              </w:rPr>
              <w:t xml:space="preserve"> </w:t>
            </w:r>
            <w:r>
              <w:rPr>
                <w:sz w:val="22"/>
              </w:rPr>
              <w:t>Highly</w:t>
            </w:r>
            <w:r>
              <w:rPr>
                <w:spacing w:val="-8"/>
                <w:sz w:val="22"/>
              </w:rPr>
              <w:t xml:space="preserve"> </w:t>
            </w:r>
            <w:r>
              <w:rPr>
                <w:sz w:val="22"/>
              </w:rPr>
              <w:t xml:space="preserve">Integrated </w:t>
            </w:r>
            <w:r>
              <w:rPr>
                <w:spacing w:val="-2"/>
                <w:sz w:val="22"/>
              </w:rPr>
              <w:t>Services</w:t>
            </w:r>
          </w:p>
        </w:tc>
        <w:tc>
          <w:tcPr>
            <w:tcW w:w="736" w:type="dxa"/>
          </w:tcPr>
          <w:p>
            <w:pPr>
              <w:pStyle w:val="TableParagraph"/>
              <w:spacing w:line="251" w:lineRule="exact"/>
              <w:ind w:left="108"/>
              <w:rPr>
                <w:sz w:val="22"/>
              </w:rPr>
            </w:pPr>
            <w:r>
              <w:rPr>
                <w:spacing w:val="-10"/>
                <w:sz w:val="22"/>
              </w:rPr>
              <w:t>q</w:t>
            </w:r>
          </w:p>
        </w:tc>
        <w:tc>
          <w:tcPr>
            <w:tcW w:w="3787" w:type="dxa"/>
          </w:tcPr>
          <w:p>
            <w:pPr>
              <w:pStyle w:val="TableParagraph"/>
              <w:spacing w:line="251" w:lineRule="exact"/>
              <w:ind w:left="109"/>
              <w:rPr>
                <w:sz w:val="22"/>
              </w:rPr>
            </w:pPr>
            <w:r>
              <w:rPr>
                <w:sz w:val="22"/>
              </w:rPr>
              <w:t>Other</w:t>
            </w:r>
            <w:r>
              <w:rPr>
                <w:spacing w:val="-5"/>
                <w:sz w:val="22"/>
              </w:rPr>
              <w:t xml:space="preserve"> </w:t>
            </w:r>
            <w:r>
              <w:rPr>
                <w:sz w:val="22"/>
              </w:rPr>
              <w:t>Non-</w:t>
            </w:r>
            <w:r>
              <w:rPr>
                <w:spacing w:val="-2"/>
                <w:sz w:val="22"/>
              </w:rPr>
              <w:t>Covered</w:t>
            </w:r>
          </w:p>
        </w:tc>
      </w:tr>
      <w:tr>
        <w:tblPrEx>
          <w:tblW w:w="0" w:type="auto"/>
          <w:jc w:val="left"/>
          <w:tblInd w:w="622" w:type="dxa"/>
          <w:tblLayout w:type="fixed"/>
          <w:tblCellMar>
            <w:top w:w="0" w:type="dxa"/>
            <w:left w:w="0" w:type="dxa"/>
            <w:bottom w:w="0" w:type="dxa"/>
            <w:right w:w="0" w:type="dxa"/>
          </w:tblCellMar>
          <w:tblLook w:val="01E0"/>
        </w:tblPrEx>
        <w:trPr>
          <w:trHeight w:val="252"/>
          <w:jc w:val="left"/>
        </w:trPr>
        <w:tc>
          <w:tcPr>
            <w:tcW w:w="734" w:type="dxa"/>
          </w:tcPr>
          <w:p>
            <w:pPr>
              <w:pStyle w:val="TableParagraph"/>
              <w:spacing w:line="232" w:lineRule="exact"/>
              <w:ind w:left="107"/>
              <w:rPr>
                <w:sz w:val="22"/>
              </w:rPr>
            </w:pPr>
            <w:r>
              <w:rPr>
                <w:spacing w:val="-5"/>
                <w:sz w:val="22"/>
              </w:rPr>
              <w:t>13h</w:t>
            </w:r>
          </w:p>
        </w:tc>
        <w:tc>
          <w:tcPr>
            <w:tcW w:w="4174" w:type="dxa"/>
          </w:tcPr>
          <w:p>
            <w:pPr>
              <w:pStyle w:val="TableParagraph"/>
              <w:spacing w:line="232" w:lineRule="exact"/>
              <w:ind w:left="108"/>
              <w:rPr>
                <w:sz w:val="22"/>
              </w:rPr>
            </w:pPr>
            <w:r>
              <w:rPr>
                <w:sz w:val="22"/>
              </w:rPr>
              <w:t>Additional</w:t>
            </w:r>
            <w:r>
              <w:rPr>
                <w:spacing w:val="-7"/>
                <w:sz w:val="22"/>
              </w:rPr>
              <w:t xml:space="preserve"> </w:t>
            </w:r>
            <w:r>
              <w:rPr>
                <w:spacing w:val="-2"/>
                <w:sz w:val="22"/>
              </w:rPr>
              <w:t>Services</w:t>
            </w:r>
          </w:p>
        </w:tc>
        <w:tc>
          <w:tcPr>
            <w:tcW w:w="736" w:type="dxa"/>
          </w:tcPr>
          <w:p>
            <w:pPr>
              <w:pStyle w:val="TableParagraph"/>
              <w:spacing w:line="232" w:lineRule="exact"/>
              <w:ind w:left="108"/>
              <w:rPr>
                <w:sz w:val="22"/>
              </w:rPr>
            </w:pPr>
            <w:r>
              <w:rPr>
                <w:spacing w:val="-10"/>
                <w:sz w:val="22"/>
              </w:rPr>
              <w:t>q</w:t>
            </w:r>
          </w:p>
        </w:tc>
        <w:tc>
          <w:tcPr>
            <w:tcW w:w="3787" w:type="dxa"/>
          </w:tcPr>
          <w:p>
            <w:pPr>
              <w:pStyle w:val="TableParagraph"/>
              <w:spacing w:line="232" w:lineRule="exact"/>
              <w:ind w:left="109"/>
              <w:rPr>
                <w:sz w:val="22"/>
              </w:rPr>
            </w:pPr>
            <w:r>
              <w:rPr>
                <w:sz w:val="22"/>
              </w:rPr>
              <w:t>Other</w:t>
            </w:r>
            <w:r>
              <w:rPr>
                <w:spacing w:val="-5"/>
                <w:sz w:val="22"/>
              </w:rPr>
              <w:t xml:space="preserve"> </w:t>
            </w:r>
            <w:r>
              <w:rPr>
                <w:sz w:val="22"/>
              </w:rPr>
              <w:t>Non-</w:t>
            </w:r>
            <w:r>
              <w:rPr>
                <w:spacing w:val="-2"/>
                <w:sz w:val="22"/>
              </w:rPr>
              <w:t>Covered</w:t>
            </w:r>
          </w:p>
        </w:tc>
      </w:tr>
      <w:tr>
        <w:tblPrEx>
          <w:tblW w:w="0" w:type="auto"/>
          <w:jc w:val="left"/>
          <w:tblInd w:w="622" w:type="dxa"/>
          <w:tblLayout w:type="fixed"/>
          <w:tblCellMar>
            <w:top w:w="0" w:type="dxa"/>
            <w:left w:w="0" w:type="dxa"/>
            <w:bottom w:w="0" w:type="dxa"/>
            <w:right w:w="0" w:type="dxa"/>
          </w:tblCellMar>
          <w:tblLook w:val="01E0"/>
        </w:tblPrEx>
        <w:trPr>
          <w:trHeight w:val="757"/>
          <w:jc w:val="left"/>
        </w:trPr>
        <w:tc>
          <w:tcPr>
            <w:tcW w:w="734" w:type="dxa"/>
          </w:tcPr>
          <w:p>
            <w:pPr>
              <w:pStyle w:val="TableParagraph"/>
              <w:spacing w:line="251" w:lineRule="exact"/>
              <w:ind w:left="107"/>
              <w:rPr>
                <w:sz w:val="22"/>
              </w:rPr>
            </w:pPr>
            <w:r>
              <w:rPr>
                <w:spacing w:val="-5"/>
                <w:sz w:val="22"/>
              </w:rPr>
              <w:t>14a</w:t>
            </w:r>
          </w:p>
        </w:tc>
        <w:tc>
          <w:tcPr>
            <w:tcW w:w="4174" w:type="dxa"/>
          </w:tcPr>
          <w:p>
            <w:pPr>
              <w:pStyle w:val="TableParagraph"/>
              <w:ind w:left="108"/>
              <w:rPr>
                <w:sz w:val="22"/>
              </w:rPr>
            </w:pPr>
            <w:r>
              <w:rPr>
                <w:sz w:val="22"/>
              </w:rPr>
              <w:t>Medicare-covered</w:t>
            </w:r>
            <w:r>
              <w:rPr>
                <w:spacing w:val="-12"/>
                <w:sz w:val="22"/>
              </w:rPr>
              <w:t xml:space="preserve"> </w:t>
            </w:r>
            <w:r>
              <w:rPr>
                <w:sz w:val="22"/>
              </w:rPr>
              <w:t>Zero</w:t>
            </w:r>
            <w:r>
              <w:rPr>
                <w:spacing w:val="-12"/>
                <w:sz w:val="22"/>
              </w:rPr>
              <w:t xml:space="preserve"> </w:t>
            </w:r>
            <w:r>
              <w:rPr>
                <w:sz w:val="22"/>
              </w:rPr>
              <w:t>Dollar</w:t>
            </w:r>
            <w:r>
              <w:rPr>
                <w:spacing w:val="-12"/>
                <w:sz w:val="22"/>
              </w:rPr>
              <w:t xml:space="preserve"> </w:t>
            </w:r>
            <w:r>
              <w:rPr>
                <w:sz w:val="22"/>
              </w:rPr>
              <w:t xml:space="preserve">Preventive </w:t>
            </w:r>
            <w:r>
              <w:rPr>
                <w:spacing w:val="-2"/>
                <w:sz w:val="22"/>
              </w:rPr>
              <w:t>Services</w:t>
            </w:r>
          </w:p>
        </w:tc>
        <w:tc>
          <w:tcPr>
            <w:tcW w:w="736" w:type="dxa"/>
          </w:tcPr>
          <w:p>
            <w:pPr>
              <w:pStyle w:val="TableParagraph"/>
              <w:ind w:left="108" w:right="165"/>
              <w:rPr>
                <w:sz w:val="22"/>
              </w:rPr>
            </w:pPr>
            <w:r>
              <w:rPr>
                <w:sz w:val="22"/>
              </w:rPr>
              <w:t>k,</w:t>
            </w:r>
            <w:r>
              <w:rPr>
                <w:spacing w:val="-14"/>
                <w:sz w:val="22"/>
              </w:rPr>
              <w:t xml:space="preserve"> </w:t>
            </w:r>
            <w:r>
              <w:rPr>
                <w:sz w:val="22"/>
              </w:rPr>
              <w:t xml:space="preserve">i1, i2 </w:t>
            </w:r>
            <w:r>
              <w:rPr>
                <w:spacing w:val="-5"/>
                <w:sz w:val="22"/>
              </w:rPr>
              <w:t>or</w:t>
            </w:r>
          </w:p>
          <w:p>
            <w:pPr>
              <w:pStyle w:val="TableParagraph"/>
              <w:spacing w:line="233" w:lineRule="exact"/>
              <w:ind w:left="108"/>
              <w:rPr>
                <w:sz w:val="22"/>
              </w:rPr>
            </w:pPr>
            <w:r>
              <w:rPr>
                <w:spacing w:val="-5"/>
                <w:sz w:val="22"/>
              </w:rPr>
              <w:t>i6</w:t>
            </w:r>
          </w:p>
        </w:tc>
        <w:tc>
          <w:tcPr>
            <w:tcW w:w="3787" w:type="dxa"/>
          </w:tcPr>
          <w:p>
            <w:pPr>
              <w:pStyle w:val="TableParagraph"/>
              <w:ind w:left="109"/>
              <w:rPr>
                <w:sz w:val="22"/>
              </w:rPr>
            </w:pPr>
            <w:r>
              <w:rPr>
                <w:sz w:val="22"/>
              </w:rPr>
              <w:t>Other Medicare Part B; Professional: PCP;</w:t>
            </w:r>
            <w:r>
              <w:rPr>
                <w:spacing w:val="-13"/>
                <w:sz w:val="22"/>
              </w:rPr>
              <w:t xml:space="preserve"> </w:t>
            </w:r>
            <w:r>
              <w:rPr>
                <w:sz w:val="22"/>
              </w:rPr>
              <w:t>Professional:</w:t>
            </w:r>
            <w:r>
              <w:rPr>
                <w:spacing w:val="-12"/>
                <w:sz w:val="22"/>
              </w:rPr>
              <w:t xml:space="preserve"> </w:t>
            </w:r>
            <w:r>
              <w:rPr>
                <w:sz w:val="22"/>
              </w:rPr>
              <w:t>Specialist</w:t>
            </w:r>
            <w:r>
              <w:rPr>
                <w:spacing w:val="-12"/>
                <w:sz w:val="22"/>
              </w:rPr>
              <w:t xml:space="preserve"> </w:t>
            </w:r>
            <w:r>
              <w:rPr>
                <w:sz w:val="22"/>
              </w:rPr>
              <w:t>excluding</w:t>
            </w:r>
          </w:p>
          <w:p>
            <w:pPr>
              <w:pStyle w:val="TableParagraph"/>
              <w:spacing w:line="233" w:lineRule="exact"/>
              <w:ind w:left="109"/>
              <w:rPr>
                <w:sz w:val="22"/>
              </w:rPr>
            </w:pPr>
            <w:r>
              <w:rPr>
                <w:sz w:val="22"/>
              </w:rPr>
              <w:t>MH;</w:t>
            </w:r>
            <w:r>
              <w:rPr>
                <w:spacing w:val="-6"/>
                <w:sz w:val="22"/>
              </w:rPr>
              <w:t xml:space="preserve"> </w:t>
            </w:r>
            <w:r>
              <w:rPr>
                <w:sz w:val="22"/>
              </w:rPr>
              <w:t>or</w:t>
            </w:r>
            <w:r>
              <w:rPr>
                <w:spacing w:val="-4"/>
                <w:sz w:val="22"/>
              </w:rPr>
              <w:t xml:space="preserve"> </w:t>
            </w:r>
            <w:r>
              <w:rPr>
                <w:sz w:val="22"/>
              </w:rPr>
              <w:t>Professional:</w:t>
            </w:r>
            <w:r>
              <w:rPr>
                <w:spacing w:val="-3"/>
                <w:sz w:val="22"/>
              </w:rPr>
              <w:t xml:space="preserve"> </w:t>
            </w:r>
            <w:r>
              <w:rPr>
                <w:spacing w:val="-4"/>
                <w:sz w:val="22"/>
              </w:rPr>
              <w:t>Other</w:t>
            </w:r>
          </w:p>
        </w:tc>
      </w:tr>
      <w:tr>
        <w:tblPrEx>
          <w:tblW w:w="0" w:type="auto"/>
          <w:jc w:val="left"/>
          <w:tblInd w:w="622" w:type="dxa"/>
          <w:tblLayout w:type="fixed"/>
          <w:tblCellMar>
            <w:top w:w="0" w:type="dxa"/>
            <w:left w:w="0" w:type="dxa"/>
            <w:bottom w:w="0" w:type="dxa"/>
            <w:right w:w="0" w:type="dxa"/>
          </w:tblCellMar>
          <w:tblLook w:val="01E0"/>
        </w:tblPrEx>
        <w:trPr>
          <w:trHeight w:val="761"/>
          <w:jc w:val="left"/>
        </w:trPr>
        <w:tc>
          <w:tcPr>
            <w:tcW w:w="734" w:type="dxa"/>
          </w:tcPr>
          <w:p>
            <w:pPr>
              <w:pStyle w:val="TableParagraph"/>
              <w:spacing w:line="252" w:lineRule="exact"/>
              <w:ind w:left="107"/>
              <w:rPr>
                <w:sz w:val="22"/>
              </w:rPr>
            </w:pPr>
            <w:r>
              <w:rPr>
                <w:spacing w:val="-5"/>
                <w:sz w:val="22"/>
              </w:rPr>
              <w:t>14b</w:t>
            </w:r>
          </w:p>
        </w:tc>
        <w:tc>
          <w:tcPr>
            <w:tcW w:w="4174" w:type="dxa"/>
          </w:tcPr>
          <w:p>
            <w:pPr>
              <w:pStyle w:val="TableParagraph"/>
              <w:spacing w:line="252" w:lineRule="exact"/>
              <w:ind w:left="108"/>
              <w:rPr>
                <w:sz w:val="22"/>
              </w:rPr>
            </w:pPr>
            <w:r>
              <w:rPr>
                <w:sz w:val="22"/>
              </w:rPr>
              <w:t>Annual</w:t>
            </w:r>
            <w:r>
              <w:rPr>
                <w:spacing w:val="-3"/>
                <w:sz w:val="22"/>
              </w:rPr>
              <w:t xml:space="preserve"> </w:t>
            </w:r>
            <w:r>
              <w:rPr>
                <w:sz w:val="22"/>
              </w:rPr>
              <w:t>Physical</w:t>
            </w:r>
            <w:r>
              <w:rPr>
                <w:spacing w:val="-3"/>
                <w:sz w:val="22"/>
              </w:rPr>
              <w:t xml:space="preserve"> </w:t>
            </w:r>
            <w:r>
              <w:rPr>
                <w:spacing w:val="-4"/>
                <w:sz w:val="22"/>
              </w:rPr>
              <w:t>Exam</w:t>
            </w:r>
          </w:p>
        </w:tc>
        <w:tc>
          <w:tcPr>
            <w:tcW w:w="736" w:type="dxa"/>
          </w:tcPr>
          <w:p>
            <w:pPr>
              <w:pStyle w:val="TableParagraph"/>
              <w:ind w:left="108" w:right="159"/>
              <w:rPr>
                <w:sz w:val="22"/>
              </w:rPr>
            </w:pPr>
            <w:r>
              <w:rPr>
                <w:sz w:val="22"/>
              </w:rPr>
              <w:t>i1,</w:t>
            </w:r>
            <w:r>
              <w:rPr>
                <w:spacing w:val="-14"/>
                <w:sz w:val="22"/>
              </w:rPr>
              <w:t xml:space="preserve"> </w:t>
            </w:r>
            <w:r>
              <w:rPr>
                <w:sz w:val="22"/>
              </w:rPr>
              <w:t xml:space="preserve">i2 or </w:t>
            </w:r>
            <w:r>
              <w:rPr>
                <w:spacing w:val="-5"/>
                <w:sz w:val="22"/>
              </w:rPr>
              <w:t>i6</w:t>
            </w:r>
          </w:p>
        </w:tc>
        <w:tc>
          <w:tcPr>
            <w:tcW w:w="3787" w:type="dxa"/>
          </w:tcPr>
          <w:p>
            <w:pPr>
              <w:pStyle w:val="TableParagraph"/>
              <w:spacing w:line="252" w:lineRule="exact"/>
              <w:ind w:left="109"/>
              <w:rPr>
                <w:sz w:val="22"/>
              </w:rPr>
            </w:pPr>
            <w:r>
              <w:rPr>
                <w:sz w:val="22"/>
              </w:rPr>
              <w:t>Professional:</w:t>
            </w:r>
            <w:r>
              <w:rPr>
                <w:spacing w:val="-4"/>
                <w:sz w:val="22"/>
              </w:rPr>
              <w:t xml:space="preserve"> </w:t>
            </w:r>
            <w:r>
              <w:rPr>
                <w:sz w:val="22"/>
              </w:rPr>
              <w:t>PCP;</w:t>
            </w:r>
            <w:r>
              <w:rPr>
                <w:spacing w:val="-4"/>
                <w:sz w:val="22"/>
              </w:rPr>
              <w:t xml:space="preserve"> </w:t>
            </w:r>
            <w:r>
              <w:rPr>
                <w:spacing w:val="-2"/>
                <w:sz w:val="22"/>
              </w:rPr>
              <w:t>Professional:</w:t>
            </w:r>
          </w:p>
          <w:p>
            <w:pPr>
              <w:pStyle w:val="TableParagraph"/>
              <w:spacing w:line="252" w:lineRule="exact"/>
              <w:ind w:left="109" w:right="172"/>
              <w:rPr>
                <w:sz w:val="22"/>
              </w:rPr>
            </w:pPr>
            <w:r>
              <w:rPr>
                <w:sz w:val="22"/>
              </w:rPr>
              <w:t>Specialist</w:t>
            </w:r>
            <w:r>
              <w:rPr>
                <w:spacing w:val="-11"/>
                <w:sz w:val="22"/>
              </w:rPr>
              <w:t xml:space="preserve"> </w:t>
            </w:r>
            <w:r>
              <w:rPr>
                <w:sz w:val="22"/>
              </w:rPr>
              <w:t>excluding</w:t>
            </w:r>
            <w:r>
              <w:rPr>
                <w:spacing w:val="-13"/>
                <w:sz w:val="22"/>
              </w:rPr>
              <w:t xml:space="preserve"> </w:t>
            </w:r>
            <w:r>
              <w:rPr>
                <w:sz w:val="22"/>
              </w:rPr>
              <w:t>MH;</w:t>
            </w:r>
            <w:r>
              <w:rPr>
                <w:spacing w:val="-12"/>
                <w:sz w:val="22"/>
              </w:rPr>
              <w:t xml:space="preserve"> </w:t>
            </w:r>
            <w:r>
              <w:rPr>
                <w:sz w:val="22"/>
              </w:rPr>
              <w:t>or Professional: Other</w:t>
            </w:r>
          </w:p>
        </w:tc>
      </w:tr>
      <w:tr>
        <w:tblPrEx>
          <w:tblW w:w="0" w:type="auto"/>
          <w:jc w:val="left"/>
          <w:tblInd w:w="622" w:type="dxa"/>
          <w:tblLayout w:type="fixed"/>
          <w:tblCellMar>
            <w:top w:w="0" w:type="dxa"/>
            <w:left w:w="0" w:type="dxa"/>
            <w:bottom w:w="0" w:type="dxa"/>
            <w:right w:w="0" w:type="dxa"/>
          </w:tblCellMar>
          <w:tblLook w:val="01E0"/>
        </w:tblPrEx>
        <w:trPr>
          <w:trHeight w:val="251"/>
          <w:jc w:val="left"/>
        </w:trPr>
        <w:tc>
          <w:tcPr>
            <w:tcW w:w="734" w:type="dxa"/>
          </w:tcPr>
          <w:p>
            <w:pPr>
              <w:pStyle w:val="TableParagraph"/>
              <w:spacing w:line="232" w:lineRule="exact"/>
              <w:ind w:left="107"/>
              <w:rPr>
                <w:sz w:val="22"/>
              </w:rPr>
            </w:pPr>
            <w:r>
              <w:rPr>
                <w:spacing w:val="-5"/>
                <w:sz w:val="22"/>
              </w:rPr>
              <w:t>14c</w:t>
            </w:r>
          </w:p>
        </w:tc>
        <w:tc>
          <w:tcPr>
            <w:tcW w:w="4174" w:type="dxa"/>
          </w:tcPr>
          <w:p>
            <w:pPr>
              <w:pStyle w:val="TableParagraph"/>
              <w:spacing w:line="232" w:lineRule="exact"/>
              <w:ind w:left="108"/>
              <w:rPr>
                <w:sz w:val="22"/>
              </w:rPr>
            </w:pPr>
            <w:r>
              <w:rPr>
                <w:sz w:val="22"/>
              </w:rPr>
              <w:t>Other</w:t>
            </w:r>
            <w:r>
              <w:rPr>
                <w:spacing w:val="-5"/>
                <w:sz w:val="22"/>
              </w:rPr>
              <w:t xml:space="preserve"> </w:t>
            </w:r>
            <w:r>
              <w:rPr>
                <w:sz w:val="22"/>
              </w:rPr>
              <w:t>Defined</w:t>
            </w:r>
            <w:r>
              <w:rPr>
                <w:spacing w:val="-6"/>
                <w:sz w:val="22"/>
              </w:rPr>
              <w:t xml:space="preserve"> </w:t>
            </w:r>
            <w:r>
              <w:rPr>
                <w:sz w:val="22"/>
              </w:rPr>
              <w:t>Supplemental</w:t>
            </w:r>
            <w:r>
              <w:rPr>
                <w:spacing w:val="-3"/>
                <w:sz w:val="22"/>
              </w:rPr>
              <w:t xml:space="preserve"> </w:t>
            </w:r>
            <w:r>
              <w:rPr>
                <w:spacing w:val="-2"/>
                <w:sz w:val="22"/>
              </w:rPr>
              <w:t>Benefits</w:t>
            </w:r>
          </w:p>
        </w:tc>
        <w:tc>
          <w:tcPr>
            <w:tcW w:w="736" w:type="dxa"/>
          </w:tcPr>
          <w:p>
            <w:pPr>
              <w:pStyle w:val="TableParagraph"/>
              <w:spacing w:line="232" w:lineRule="exact"/>
              <w:ind w:left="108"/>
              <w:rPr>
                <w:sz w:val="22"/>
              </w:rPr>
            </w:pPr>
            <w:r>
              <w:rPr>
                <w:spacing w:val="-10"/>
                <w:sz w:val="22"/>
              </w:rPr>
              <w:t>p</w:t>
            </w:r>
          </w:p>
        </w:tc>
        <w:tc>
          <w:tcPr>
            <w:tcW w:w="3787" w:type="dxa"/>
          </w:tcPr>
          <w:p>
            <w:pPr>
              <w:pStyle w:val="TableParagraph"/>
              <w:spacing w:line="232" w:lineRule="exact"/>
              <w:ind w:left="109"/>
              <w:rPr>
                <w:sz w:val="22"/>
              </w:rPr>
            </w:pPr>
            <w:r>
              <w:rPr>
                <w:sz w:val="22"/>
              </w:rPr>
              <w:t>Health</w:t>
            </w:r>
            <w:r>
              <w:rPr>
                <w:spacing w:val="-6"/>
                <w:sz w:val="22"/>
              </w:rPr>
              <w:t xml:space="preserve"> </w:t>
            </w:r>
            <w:r>
              <w:rPr>
                <w:sz w:val="22"/>
              </w:rPr>
              <w:t>&amp;</w:t>
            </w:r>
            <w:r>
              <w:rPr>
                <w:spacing w:val="-5"/>
                <w:sz w:val="22"/>
              </w:rPr>
              <w:t xml:space="preserve"> </w:t>
            </w:r>
            <w:r>
              <w:rPr>
                <w:sz w:val="22"/>
              </w:rPr>
              <w:t>Education</w:t>
            </w:r>
            <w:r>
              <w:rPr>
                <w:spacing w:val="-5"/>
                <w:sz w:val="22"/>
              </w:rPr>
              <w:t xml:space="preserve"> </w:t>
            </w:r>
            <w:r>
              <w:rPr>
                <w:sz w:val="22"/>
              </w:rPr>
              <w:t>(Non-</w:t>
            </w:r>
            <w:r>
              <w:rPr>
                <w:spacing w:val="-2"/>
                <w:sz w:val="22"/>
              </w:rPr>
              <w:t>Covered)</w:t>
            </w:r>
          </w:p>
        </w:tc>
      </w:tr>
      <w:tr>
        <w:tblPrEx>
          <w:tblW w:w="0" w:type="auto"/>
          <w:jc w:val="left"/>
          <w:tblInd w:w="622" w:type="dxa"/>
          <w:tblLayout w:type="fixed"/>
          <w:tblCellMar>
            <w:top w:w="0" w:type="dxa"/>
            <w:left w:w="0" w:type="dxa"/>
            <w:bottom w:w="0" w:type="dxa"/>
            <w:right w:w="0" w:type="dxa"/>
          </w:tblCellMar>
          <w:tblLook w:val="01E0"/>
        </w:tblPrEx>
        <w:trPr>
          <w:trHeight w:val="760"/>
          <w:jc w:val="left"/>
        </w:trPr>
        <w:tc>
          <w:tcPr>
            <w:tcW w:w="734" w:type="dxa"/>
          </w:tcPr>
          <w:p>
            <w:pPr>
              <w:pStyle w:val="TableParagraph"/>
              <w:spacing w:line="251" w:lineRule="exact"/>
              <w:ind w:left="107"/>
              <w:rPr>
                <w:sz w:val="22"/>
              </w:rPr>
            </w:pPr>
            <w:r>
              <w:rPr>
                <w:spacing w:val="-5"/>
                <w:sz w:val="22"/>
              </w:rPr>
              <w:t>14d</w:t>
            </w:r>
          </w:p>
        </w:tc>
        <w:tc>
          <w:tcPr>
            <w:tcW w:w="4174" w:type="dxa"/>
          </w:tcPr>
          <w:p>
            <w:pPr>
              <w:pStyle w:val="TableParagraph"/>
              <w:spacing w:line="251" w:lineRule="exact"/>
              <w:ind w:left="108"/>
              <w:rPr>
                <w:sz w:val="22"/>
              </w:rPr>
            </w:pPr>
            <w:r>
              <w:rPr>
                <w:sz w:val="22"/>
              </w:rPr>
              <w:t>Kidney</w:t>
            </w:r>
            <w:r>
              <w:rPr>
                <w:spacing w:val="-8"/>
                <w:sz w:val="22"/>
              </w:rPr>
              <w:t xml:space="preserve"> </w:t>
            </w:r>
            <w:r>
              <w:rPr>
                <w:sz w:val="22"/>
              </w:rPr>
              <w:t>Disease</w:t>
            </w:r>
            <w:r>
              <w:rPr>
                <w:spacing w:val="-5"/>
                <w:sz w:val="22"/>
              </w:rPr>
              <w:t xml:space="preserve"> </w:t>
            </w:r>
            <w:r>
              <w:rPr>
                <w:sz w:val="22"/>
              </w:rPr>
              <w:t>Education</w:t>
            </w:r>
            <w:r>
              <w:rPr>
                <w:spacing w:val="-8"/>
                <w:sz w:val="22"/>
              </w:rPr>
              <w:t xml:space="preserve"> </w:t>
            </w:r>
            <w:r>
              <w:rPr>
                <w:spacing w:val="-2"/>
                <w:sz w:val="22"/>
              </w:rPr>
              <w:t>Services</w:t>
            </w:r>
          </w:p>
        </w:tc>
        <w:tc>
          <w:tcPr>
            <w:tcW w:w="736" w:type="dxa"/>
          </w:tcPr>
          <w:p>
            <w:pPr>
              <w:pStyle w:val="TableParagraph"/>
              <w:ind w:left="108" w:right="159"/>
              <w:rPr>
                <w:sz w:val="22"/>
              </w:rPr>
            </w:pPr>
            <w:r>
              <w:rPr>
                <w:sz w:val="22"/>
              </w:rPr>
              <w:t>i1,</w:t>
            </w:r>
            <w:r>
              <w:rPr>
                <w:spacing w:val="-14"/>
                <w:sz w:val="22"/>
              </w:rPr>
              <w:t xml:space="preserve"> </w:t>
            </w:r>
            <w:r>
              <w:rPr>
                <w:sz w:val="22"/>
              </w:rPr>
              <w:t xml:space="preserve">i2 or </w:t>
            </w:r>
            <w:r>
              <w:rPr>
                <w:spacing w:val="-5"/>
                <w:sz w:val="22"/>
              </w:rPr>
              <w:t>i6</w:t>
            </w:r>
          </w:p>
        </w:tc>
        <w:tc>
          <w:tcPr>
            <w:tcW w:w="3787" w:type="dxa"/>
          </w:tcPr>
          <w:p>
            <w:pPr>
              <w:pStyle w:val="TableParagraph"/>
              <w:spacing w:line="251" w:lineRule="exact"/>
              <w:ind w:left="109"/>
              <w:rPr>
                <w:sz w:val="22"/>
              </w:rPr>
            </w:pPr>
            <w:r>
              <w:rPr>
                <w:sz w:val="22"/>
              </w:rPr>
              <w:t>Professional:</w:t>
            </w:r>
            <w:r>
              <w:rPr>
                <w:spacing w:val="-7"/>
                <w:sz w:val="22"/>
              </w:rPr>
              <w:t xml:space="preserve"> </w:t>
            </w:r>
            <w:r>
              <w:rPr>
                <w:spacing w:val="-4"/>
                <w:sz w:val="22"/>
              </w:rPr>
              <w:t>PCP;</w:t>
            </w:r>
          </w:p>
          <w:p>
            <w:pPr>
              <w:pStyle w:val="TableParagraph"/>
              <w:spacing w:line="252" w:lineRule="exact"/>
              <w:ind w:left="109" w:right="172"/>
              <w:rPr>
                <w:sz w:val="22"/>
              </w:rPr>
            </w:pPr>
            <w:r>
              <w:rPr>
                <w:sz w:val="22"/>
              </w:rPr>
              <w:t>Professional:</w:t>
            </w:r>
            <w:r>
              <w:rPr>
                <w:spacing w:val="-12"/>
                <w:sz w:val="22"/>
              </w:rPr>
              <w:t xml:space="preserve"> </w:t>
            </w:r>
            <w:r>
              <w:rPr>
                <w:sz w:val="22"/>
              </w:rPr>
              <w:t>Specialist</w:t>
            </w:r>
            <w:r>
              <w:rPr>
                <w:spacing w:val="-12"/>
                <w:sz w:val="22"/>
              </w:rPr>
              <w:t xml:space="preserve"> </w:t>
            </w:r>
            <w:r>
              <w:rPr>
                <w:sz w:val="22"/>
              </w:rPr>
              <w:t>excluding</w:t>
            </w:r>
            <w:r>
              <w:rPr>
                <w:spacing w:val="-13"/>
                <w:sz w:val="22"/>
              </w:rPr>
              <w:t xml:space="preserve"> </w:t>
            </w:r>
            <w:r>
              <w:rPr>
                <w:sz w:val="22"/>
              </w:rPr>
              <w:t>MH; or Professional: Other</w:t>
            </w:r>
          </w:p>
        </w:tc>
      </w:tr>
      <w:tr>
        <w:tblPrEx>
          <w:tblW w:w="0" w:type="auto"/>
          <w:jc w:val="left"/>
          <w:tblInd w:w="622" w:type="dxa"/>
          <w:tblLayout w:type="fixed"/>
          <w:tblCellMar>
            <w:top w:w="0" w:type="dxa"/>
            <w:left w:w="0" w:type="dxa"/>
            <w:bottom w:w="0" w:type="dxa"/>
            <w:right w:w="0" w:type="dxa"/>
          </w:tblCellMar>
          <w:tblLook w:val="01E0"/>
        </w:tblPrEx>
        <w:trPr>
          <w:trHeight w:val="757"/>
          <w:jc w:val="left"/>
        </w:trPr>
        <w:tc>
          <w:tcPr>
            <w:tcW w:w="734" w:type="dxa"/>
          </w:tcPr>
          <w:p>
            <w:pPr>
              <w:pStyle w:val="TableParagraph"/>
              <w:spacing w:line="251" w:lineRule="exact"/>
              <w:ind w:left="107"/>
              <w:rPr>
                <w:sz w:val="22"/>
              </w:rPr>
            </w:pPr>
            <w:r>
              <w:rPr>
                <w:spacing w:val="-5"/>
                <w:sz w:val="22"/>
              </w:rPr>
              <w:t>14e</w:t>
            </w:r>
          </w:p>
        </w:tc>
        <w:tc>
          <w:tcPr>
            <w:tcW w:w="4174" w:type="dxa"/>
          </w:tcPr>
          <w:p>
            <w:pPr>
              <w:pStyle w:val="TableParagraph"/>
              <w:spacing w:line="251" w:lineRule="exact"/>
              <w:ind w:left="108"/>
              <w:rPr>
                <w:sz w:val="22"/>
              </w:rPr>
            </w:pPr>
            <w:r>
              <w:rPr>
                <w:sz w:val="22"/>
              </w:rPr>
              <w:t>Other</w:t>
            </w:r>
            <w:r>
              <w:rPr>
                <w:spacing w:val="-6"/>
                <w:sz w:val="22"/>
              </w:rPr>
              <w:t xml:space="preserve"> </w:t>
            </w:r>
            <w:r>
              <w:rPr>
                <w:sz w:val="22"/>
              </w:rPr>
              <w:t>Medicare-covered</w:t>
            </w:r>
            <w:r>
              <w:rPr>
                <w:spacing w:val="-6"/>
                <w:sz w:val="22"/>
              </w:rPr>
              <w:t xml:space="preserve"> </w:t>
            </w:r>
            <w:r>
              <w:rPr>
                <w:sz w:val="22"/>
              </w:rPr>
              <w:t>Preventive</w:t>
            </w:r>
            <w:r>
              <w:rPr>
                <w:spacing w:val="-6"/>
                <w:sz w:val="22"/>
              </w:rPr>
              <w:t xml:space="preserve"> </w:t>
            </w:r>
            <w:r>
              <w:rPr>
                <w:spacing w:val="-2"/>
                <w:sz w:val="22"/>
              </w:rPr>
              <w:t>Services</w:t>
            </w:r>
          </w:p>
        </w:tc>
        <w:tc>
          <w:tcPr>
            <w:tcW w:w="736" w:type="dxa"/>
          </w:tcPr>
          <w:p>
            <w:pPr>
              <w:pStyle w:val="TableParagraph"/>
              <w:ind w:left="108" w:right="159"/>
              <w:rPr>
                <w:sz w:val="22"/>
              </w:rPr>
            </w:pPr>
            <w:r>
              <w:rPr>
                <w:sz w:val="22"/>
              </w:rPr>
              <w:t>i1,</w:t>
            </w:r>
            <w:r>
              <w:rPr>
                <w:spacing w:val="-14"/>
                <w:sz w:val="22"/>
              </w:rPr>
              <w:t xml:space="preserve"> </w:t>
            </w:r>
            <w:r>
              <w:rPr>
                <w:sz w:val="22"/>
              </w:rPr>
              <w:t xml:space="preserve">i2 or </w:t>
            </w:r>
            <w:r>
              <w:rPr>
                <w:spacing w:val="-5"/>
                <w:sz w:val="22"/>
              </w:rPr>
              <w:t>i6</w:t>
            </w:r>
          </w:p>
        </w:tc>
        <w:tc>
          <w:tcPr>
            <w:tcW w:w="3787" w:type="dxa"/>
          </w:tcPr>
          <w:p>
            <w:pPr>
              <w:pStyle w:val="TableParagraph"/>
              <w:spacing w:line="251" w:lineRule="exact"/>
              <w:ind w:left="109"/>
              <w:rPr>
                <w:sz w:val="22"/>
              </w:rPr>
            </w:pPr>
            <w:r>
              <w:rPr>
                <w:sz w:val="22"/>
              </w:rPr>
              <w:t>Professional:</w:t>
            </w:r>
            <w:r>
              <w:rPr>
                <w:spacing w:val="-7"/>
                <w:sz w:val="22"/>
              </w:rPr>
              <w:t xml:space="preserve"> </w:t>
            </w:r>
            <w:r>
              <w:rPr>
                <w:spacing w:val="-4"/>
                <w:sz w:val="22"/>
              </w:rPr>
              <w:t>PCP;</w:t>
            </w:r>
          </w:p>
          <w:p>
            <w:pPr>
              <w:pStyle w:val="TableParagraph"/>
              <w:spacing w:line="254" w:lineRule="exact"/>
              <w:ind w:left="109" w:right="172"/>
              <w:rPr>
                <w:sz w:val="22"/>
              </w:rPr>
            </w:pPr>
            <w:r>
              <w:rPr>
                <w:sz w:val="22"/>
              </w:rPr>
              <w:t>Professional:</w:t>
            </w:r>
            <w:r>
              <w:rPr>
                <w:spacing w:val="-12"/>
                <w:sz w:val="22"/>
              </w:rPr>
              <w:t xml:space="preserve"> </w:t>
            </w:r>
            <w:r>
              <w:rPr>
                <w:sz w:val="22"/>
              </w:rPr>
              <w:t>Specialist</w:t>
            </w:r>
            <w:r>
              <w:rPr>
                <w:spacing w:val="-12"/>
                <w:sz w:val="22"/>
              </w:rPr>
              <w:t xml:space="preserve"> </w:t>
            </w:r>
            <w:r>
              <w:rPr>
                <w:sz w:val="22"/>
              </w:rPr>
              <w:t>excluding</w:t>
            </w:r>
            <w:r>
              <w:rPr>
                <w:spacing w:val="-13"/>
                <w:sz w:val="22"/>
              </w:rPr>
              <w:t xml:space="preserve"> </w:t>
            </w:r>
            <w:r>
              <w:rPr>
                <w:sz w:val="22"/>
              </w:rPr>
              <w:t>MH; or Professional: Other</w:t>
            </w:r>
          </w:p>
        </w:tc>
      </w:tr>
    </w:tbl>
    <w:p>
      <w:pPr>
        <w:pStyle w:val="TableParagraph"/>
        <w:spacing w:after="0" w:line="254" w:lineRule="exact"/>
        <w:rPr>
          <w:sz w:val="22"/>
        </w:rPr>
        <w:sectPr>
          <w:pgSz w:w="12240" w:h="15840"/>
          <w:pgMar w:top="960" w:right="0" w:bottom="940" w:left="1080" w:header="727" w:footer="747"/>
          <w:cols w:space="720"/>
        </w:sectPr>
      </w:pPr>
    </w:p>
    <w:p>
      <w:pPr>
        <w:pStyle w:val="BodyText"/>
        <w:ind w:left="0"/>
        <w:rPr>
          <w:sz w:val="20"/>
        </w:rPr>
      </w:pPr>
    </w:p>
    <w:p>
      <w:pPr>
        <w:pStyle w:val="BodyText"/>
        <w:spacing w:before="6" w:after="1"/>
        <w:ind w:left="0"/>
        <w:rPr>
          <w:sz w:val="20"/>
        </w:rPr>
      </w:pPr>
    </w:p>
    <w:tbl>
      <w:tblPr>
        <w:tblStyle w:val="TableNormal"/>
        <w:tblW w:w="0" w:type="auto"/>
        <w:jc w:val="left"/>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7"/>
        <w:gridCol w:w="4186"/>
        <w:gridCol w:w="733"/>
        <w:gridCol w:w="3788"/>
      </w:tblGrid>
      <w:tr>
        <w:tblPrEx>
          <w:tblW w:w="0" w:type="auto"/>
          <w:jc w:val="left"/>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14"/>
          <w:jc w:val="left"/>
        </w:trPr>
        <w:tc>
          <w:tcPr>
            <w:tcW w:w="727" w:type="dxa"/>
          </w:tcPr>
          <w:p>
            <w:pPr>
              <w:pStyle w:val="TableParagraph"/>
              <w:spacing w:before="87"/>
              <w:ind w:left="107"/>
              <w:rPr>
                <w:b/>
                <w:sz w:val="22"/>
              </w:rPr>
            </w:pPr>
            <w:r>
              <w:rPr>
                <w:b/>
                <w:spacing w:val="-5"/>
                <w:sz w:val="22"/>
              </w:rPr>
              <w:t>PBP</w:t>
            </w:r>
          </w:p>
          <w:p>
            <w:pPr>
              <w:pStyle w:val="TableParagraph"/>
              <w:spacing w:before="4" w:line="250" w:lineRule="exact"/>
              <w:ind w:left="107"/>
              <w:rPr>
                <w:b/>
                <w:sz w:val="22"/>
              </w:rPr>
            </w:pPr>
            <w:r>
              <w:rPr>
                <w:b/>
                <w:sz w:val="22"/>
              </w:rPr>
              <w:t>line</w:t>
            </w:r>
            <w:r>
              <w:rPr>
                <w:b/>
                <w:spacing w:val="-3"/>
                <w:sz w:val="22"/>
              </w:rPr>
              <w:t xml:space="preserve"> </w:t>
            </w:r>
            <w:r>
              <w:rPr>
                <w:b/>
                <w:spacing w:val="-10"/>
                <w:sz w:val="22"/>
              </w:rPr>
              <w:t>#</w:t>
            </w:r>
          </w:p>
        </w:tc>
        <w:tc>
          <w:tcPr>
            <w:tcW w:w="4186" w:type="dxa"/>
          </w:tcPr>
          <w:p>
            <w:pPr>
              <w:pStyle w:val="TableParagraph"/>
              <w:spacing w:before="91"/>
              <w:rPr>
                <w:sz w:val="22"/>
              </w:rPr>
            </w:pPr>
          </w:p>
          <w:p>
            <w:pPr>
              <w:pStyle w:val="TableParagraph"/>
              <w:spacing w:line="250" w:lineRule="exact"/>
              <w:ind w:left="115"/>
              <w:rPr>
                <w:b/>
                <w:sz w:val="22"/>
              </w:rPr>
            </w:pPr>
            <w:r>
              <w:rPr>
                <w:b/>
                <w:sz w:val="22"/>
              </w:rPr>
              <w:t>PBP</w:t>
            </w:r>
            <w:r>
              <w:rPr>
                <w:b/>
                <w:spacing w:val="-2"/>
                <w:sz w:val="22"/>
              </w:rPr>
              <w:t xml:space="preserve"> Category</w:t>
            </w:r>
          </w:p>
        </w:tc>
        <w:tc>
          <w:tcPr>
            <w:tcW w:w="733" w:type="dxa"/>
          </w:tcPr>
          <w:p>
            <w:pPr>
              <w:pStyle w:val="TableParagraph"/>
              <w:spacing w:before="87"/>
              <w:ind w:left="103"/>
              <w:rPr>
                <w:b/>
                <w:sz w:val="22"/>
              </w:rPr>
            </w:pPr>
            <w:r>
              <w:rPr>
                <w:b/>
                <w:spacing w:val="-5"/>
                <w:sz w:val="22"/>
              </w:rPr>
              <w:t>BPT</w:t>
            </w:r>
          </w:p>
          <w:p>
            <w:pPr>
              <w:pStyle w:val="TableParagraph"/>
              <w:spacing w:before="4" w:line="250" w:lineRule="exact"/>
              <w:ind w:left="103"/>
              <w:rPr>
                <w:b/>
                <w:sz w:val="22"/>
              </w:rPr>
            </w:pPr>
            <w:r>
              <w:rPr>
                <w:b/>
                <w:sz w:val="22"/>
              </w:rPr>
              <w:t>line</w:t>
            </w:r>
            <w:r>
              <w:rPr>
                <w:b/>
                <w:spacing w:val="-3"/>
                <w:sz w:val="22"/>
              </w:rPr>
              <w:t xml:space="preserve"> </w:t>
            </w:r>
            <w:r>
              <w:rPr>
                <w:b/>
                <w:spacing w:val="-10"/>
                <w:sz w:val="22"/>
              </w:rPr>
              <w:t>#</w:t>
            </w:r>
          </w:p>
        </w:tc>
        <w:tc>
          <w:tcPr>
            <w:tcW w:w="3788" w:type="dxa"/>
          </w:tcPr>
          <w:p>
            <w:pPr>
              <w:pStyle w:val="TableParagraph"/>
              <w:spacing w:before="87" w:line="250" w:lineRule="atLeast"/>
              <w:ind w:left="107"/>
              <w:rPr>
                <w:b/>
                <w:sz w:val="22"/>
              </w:rPr>
            </w:pPr>
            <w:r>
              <w:rPr>
                <w:b/>
                <w:sz w:val="22"/>
              </w:rPr>
              <w:t>Corresponding BPT Category: Description/Note</w:t>
            </w:r>
            <w:r>
              <w:rPr>
                <w:b/>
                <w:spacing w:val="-14"/>
                <w:sz w:val="22"/>
              </w:rPr>
              <w:t xml:space="preserve"> </w:t>
            </w:r>
            <w:r>
              <w:rPr>
                <w:b/>
                <w:sz w:val="22"/>
              </w:rPr>
              <w:t>(Worksheet</w:t>
            </w:r>
            <w:r>
              <w:rPr>
                <w:b/>
                <w:spacing w:val="-14"/>
                <w:sz w:val="22"/>
              </w:rPr>
              <w:t xml:space="preserve"> </w:t>
            </w:r>
            <w:r>
              <w:rPr>
                <w:b/>
                <w:sz w:val="22"/>
              </w:rPr>
              <w:t>3)</w:t>
            </w:r>
          </w:p>
        </w:tc>
      </w:tr>
      <w:tr>
        <w:tblPrEx>
          <w:tblW w:w="0" w:type="auto"/>
          <w:jc w:val="left"/>
          <w:tblInd w:w="622" w:type="dxa"/>
          <w:tblLayout w:type="fixed"/>
          <w:tblCellMar>
            <w:top w:w="0" w:type="dxa"/>
            <w:left w:w="0" w:type="dxa"/>
            <w:bottom w:w="0" w:type="dxa"/>
            <w:right w:w="0" w:type="dxa"/>
          </w:tblCellMar>
          <w:tblLook w:val="01E0"/>
        </w:tblPrEx>
        <w:trPr>
          <w:trHeight w:val="253"/>
          <w:jc w:val="left"/>
        </w:trPr>
        <w:tc>
          <w:tcPr>
            <w:tcW w:w="4913" w:type="dxa"/>
            <w:gridSpan w:val="2"/>
          </w:tcPr>
          <w:p>
            <w:pPr>
              <w:pStyle w:val="TableParagraph"/>
              <w:spacing w:before="1" w:line="233" w:lineRule="exact"/>
              <w:ind w:left="107"/>
              <w:rPr>
                <w:b/>
                <w:sz w:val="22"/>
              </w:rPr>
            </w:pPr>
            <w:r>
              <w:rPr>
                <w:b/>
                <w:sz w:val="22"/>
              </w:rPr>
              <w:t>Benefit</w:t>
            </w:r>
            <w:r>
              <w:rPr>
                <w:b/>
                <w:spacing w:val="-6"/>
                <w:sz w:val="22"/>
              </w:rPr>
              <w:t xml:space="preserve"> </w:t>
            </w:r>
            <w:r>
              <w:rPr>
                <w:b/>
                <w:spacing w:val="-2"/>
                <w:sz w:val="22"/>
              </w:rPr>
              <w:t>Offerings</w:t>
            </w:r>
          </w:p>
        </w:tc>
        <w:tc>
          <w:tcPr>
            <w:tcW w:w="733" w:type="dxa"/>
          </w:tcPr>
          <w:p>
            <w:pPr>
              <w:pStyle w:val="TableParagraph"/>
              <w:rPr>
                <w:sz w:val="18"/>
              </w:rPr>
            </w:pPr>
          </w:p>
        </w:tc>
        <w:tc>
          <w:tcPr>
            <w:tcW w:w="3788" w:type="dxa"/>
          </w:tcPr>
          <w:p>
            <w:pPr>
              <w:pStyle w:val="TableParagraph"/>
              <w:rPr>
                <w:sz w:val="18"/>
              </w:rPr>
            </w:pPr>
          </w:p>
        </w:tc>
      </w:tr>
      <w:tr>
        <w:tblPrEx>
          <w:tblW w:w="0" w:type="auto"/>
          <w:jc w:val="left"/>
          <w:tblInd w:w="622" w:type="dxa"/>
          <w:tblLayout w:type="fixed"/>
          <w:tblCellMar>
            <w:top w:w="0" w:type="dxa"/>
            <w:left w:w="0" w:type="dxa"/>
            <w:bottom w:w="0" w:type="dxa"/>
            <w:right w:w="0" w:type="dxa"/>
          </w:tblCellMar>
          <w:tblLook w:val="01E0"/>
        </w:tblPrEx>
        <w:trPr>
          <w:trHeight w:val="757"/>
          <w:jc w:val="left"/>
        </w:trPr>
        <w:tc>
          <w:tcPr>
            <w:tcW w:w="727" w:type="dxa"/>
          </w:tcPr>
          <w:p>
            <w:pPr>
              <w:pStyle w:val="TableParagraph"/>
              <w:spacing w:line="251" w:lineRule="exact"/>
              <w:ind w:left="107"/>
              <w:rPr>
                <w:sz w:val="22"/>
              </w:rPr>
            </w:pPr>
            <w:r>
              <w:rPr>
                <w:spacing w:val="-5"/>
                <w:sz w:val="22"/>
              </w:rPr>
              <w:t>15</w:t>
            </w:r>
          </w:p>
        </w:tc>
        <w:tc>
          <w:tcPr>
            <w:tcW w:w="4186" w:type="dxa"/>
          </w:tcPr>
          <w:p>
            <w:pPr>
              <w:pStyle w:val="TableParagraph"/>
              <w:spacing w:line="251" w:lineRule="exact"/>
              <w:ind w:left="115"/>
              <w:rPr>
                <w:i/>
                <w:sz w:val="22"/>
              </w:rPr>
            </w:pPr>
            <w:r>
              <w:rPr>
                <w:sz w:val="22"/>
              </w:rPr>
              <w:t>Medicare</w:t>
            </w:r>
            <w:r>
              <w:rPr>
                <w:spacing w:val="-4"/>
                <w:sz w:val="22"/>
              </w:rPr>
              <w:t xml:space="preserve"> </w:t>
            </w:r>
            <w:r>
              <w:rPr>
                <w:sz w:val="22"/>
              </w:rPr>
              <w:t>Part</w:t>
            </w:r>
            <w:r>
              <w:rPr>
                <w:spacing w:val="-1"/>
                <w:sz w:val="22"/>
              </w:rPr>
              <w:t xml:space="preserve"> </w:t>
            </w:r>
            <w:r>
              <w:rPr>
                <w:sz w:val="22"/>
              </w:rPr>
              <w:t>B</w:t>
            </w:r>
            <w:r>
              <w:rPr>
                <w:spacing w:val="-4"/>
                <w:sz w:val="22"/>
              </w:rPr>
              <w:t xml:space="preserve"> </w:t>
            </w:r>
            <w:r>
              <w:rPr>
                <w:sz w:val="22"/>
              </w:rPr>
              <w:t>Rx</w:t>
            </w:r>
            <w:r>
              <w:rPr>
                <w:spacing w:val="-3"/>
                <w:sz w:val="22"/>
              </w:rPr>
              <w:t xml:space="preserve"> </w:t>
            </w:r>
            <w:r>
              <w:rPr>
                <w:sz w:val="22"/>
              </w:rPr>
              <w:t>Drugs</w:t>
            </w:r>
            <w:r>
              <w:rPr>
                <w:spacing w:val="-5"/>
                <w:sz w:val="22"/>
              </w:rPr>
              <w:t xml:space="preserve"> </w:t>
            </w:r>
            <w:r>
              <w:rPr>
                <w:i/>
                <w:sz w:val="22"/>
              </w:rPr>
              <w:t>(includes</w:t>
            </w:r>
            <w:r>
              <w:rPr>
                <w:i/>
                <w:spacing w:val="-3"/>
                <w:sz w:val="22"/>
              </w:rPr>
              <w:t xml:space="preserve"> </w:t>
            </w:r>
            <w:r>
              <w:rPr>
                <w:i/>
                <w:sz w:val="22"/>
              </w:rPr>
              <w:t>Part</w:t>
            </w:r>
            <w:r>
              <w:rPr>
                <w:i/>
                <w:spacing w:val="-2"/>
                <w:sz w:val="22"/>
              </w:rPr>
              <w:t xml:space="preserve"> </w:t>
            </w:r>
            <w:r>
              <w:rPr>
                <w:i/>
                <w:spacing w:val="-10"/>
                <w:sz w:val="22"/>
              </w:rPr>
              <w:t>D</w:t>
            </w:r>
          </w:p>
          <w:p>
            <w:pPr>
              <w:pStyle w:val="TableParagraph"/>
              <w:spacing w:line="252" w:lineRule="exact"/>
              <w:ind w:left="115"/>
              <w:rPr>
                <w:i/>
                <w:sz w:val="22"/>
              </w:rPr>
            </w:pPr>
            <w:r>
              <w:rPr>
                <w:i/>
                <w:sz w:val="22"/>
              </w:rPr>
              <w:t>home</w:t>
            </w:r>
            <w:r>
              <w:rPr>
                <w:i/>
                <w:spacing w:val="-7"/>
                <w:sz w:val="22"/>
              </w:rPr>
              <w:t xml:space="preserve"> </w:t>
            </w:r>
            <w:r>
              <w:rPr>
                <w:i/>
                <w:sz w:val="22"/>
              </w:rPr>
              <w:t>infusion</w:t>
            </w:r>
            <w:r>
              <w:rPr>
                <w:i/>
                <w:spacing w:val="-6"/>
                <w:sz w:val="22"/>
              </w:rPr>
              <w:t xml:space="preserve"> </w:t>
            </w:r>
            <w:r>
              <w:rPr>
                <w:i/>
                <w:sz w:val="22"/>
              </w:rPr>
              <w:t>drugs</w:t>
            </w:r>
            <w:r>
              <w:rPr>
                <w:i/>
                <w:spacing w:val="-9"/>
                <w:sz w:val="22"/>
              </w:rPr>
              <w:t xml:space="preserve"> </w:t>
            </w:r>
            <w:r>
              <w:rPr>
                <w:i/>
                <w:sz w:val="22"/>
              </w:rPr>
              <w:t>included</w:t>
            </w:r>
            <w:r>
              <w:rPr>
                <w:i/>
                <w:spacing w:val="-7"/>
                <w:sz w:val="22"/>
              </w:rPr>
              <w:t xml:space="preserve"> </w:t>
            </w:r>
            <w:r>
              <w:rPr>
                <w:i/>
                <w:sz w:val="22"/>
              </w:rPr>
              <w:t>in</w:t>
            </w:r>
            <w:r>
              <w:rPr>
                <w:i/>
                <w:spacing w:val="-7"/>
                <w:sz w:val="22"/>
              </w:rPr>
              <w:t xml:space="preserve"> </w:t>
            </w:r>
            <w:r>
              <w:rPr>
                <w:i/>
                <w:sz w:val="22"/>
              </w:rPr>
              <w:t>bundled</w:t>
            </w:r>
            <w:r>
              <w:rPr>
                <w:i/>
                <w:sz w:val="22"/>
              </w:rPr>
              <w:t xml:space="preserve"> </w:t>
            </w:r>
            <w:r>
              <w:rPr>
                <w:i/>
                <w:spacing w:val="-2"/>
                <w:sz w:val="22"/>
              </w:rPr>
              <w:t>services)</w:t>
            </w:r>
          </w:p>
        </w:tc>
        <w:tc>
          <w:tcPr>
            <w:tcW w:w="733" w:type="dxa"/>
          </w:tcPr>
          <w:p>
            <w:pPr>
              <w:pStyle w:val="TableParagraph"/>
              <w:spacing w:line="251" w:lineRule="exact"/>
              <w:ind w:left="158"/>
              <w:rPr>
                <w:sz w:val="22"/>
              </w:rPr>
            </w:pPr>
            <w:r>
              <w:rPr>
                <w:spacing w:val="-10"/>
                <w:sz w:val="22"/>
              </w:rPr>
              <w:t>j</w:t>
            </w:r>
          </w:p>
        </w:tc>
        <w:tc>
          <w:tcPr>
            <w:tcW w:w="3788" w:type="dxa"/>
          </w:tcPr>
          <w:p>
            <w:pPr>
              <w:pStyle w:val="TableParagraph"/>
              <w:spacing w:line="251" w:lineRule="exact"/>
              <w:ind w:left="107"/>
              <w:rPr>
                <w:sz w:val="22"/>
              </w:rPr>
            </w:pPr>
            <w:r>
              <w:rPr>
                <w:sz w:val="22"/>
              </w:rPr>
              <w:t>Part</w:t>
            </w:r>
            <w:r>
              <w:rPr>
                <w:spacing w:val="1"/>
                <w:sz w:val="22"/>
              </w:rPr>
              <w:t xml:space="preserve"> </w:t>
            </w:r>
            <w:r>
              <w:rPr>
                <w:sz w:val="22"/>
              </w:rPr>
              <w:t>B</w:t>
            </w:r>
            <w:r>
              <w:rPr>
                <w:spacing w:val="-1"/>
                <w:sz w:val="22"/>
              </w:rPr>
              <w:t xml:space="preserve"> </w:t>
            </w:r>
            <w:r>
              <w:rPr>
                <w:spacing w:val="-5"/>
                <w:sz w:val="22"/>
              </w:rPr>
              <w:t>Rx</w:t>
            </w:r>
          </w:p>
        </w:tc>
      </w:tr>
      <w:tr>
        <w:tblPrEx>
          <w:tblW w:w="0" w:type="auto"/>
          <w:jc w:val="left"/>
          <w:tblInd w:w="622" w:type="dxa"/>
          <w:tblLayout w:type="fixed"/>
          <w:tblCellMar>
            <w:top w:w="0" w:type="dxa"/>
            <w:left w:w="0" w:type="dxa"/>
            <w:bottom w:w="0" w:type="dxa"/>
            <w:right w:w="0" w:type="dxa"/>
          </w:tblCellMar>
          <w:tblLook w:val="01E0"/>
        </w:tblPrEx>
        <w:trPr>
          <w:trHeight w:val="506"/>
          <w:jc w:val="left"/>
        </w:trPr>
        <w:tc>
          <w:tcPr>
            <w:tcW w:w="727" w:type="dxa"/>
          </w:tcPr>
          <w:p>
            <w:pPr>
              <w:pStyle w:val="TableParagraph"/>
              <w:spacing w:before="1"/>
              <w:ind w:left="107"/>
              <w:rPr>
                <w:sz w:val="22"/>
              </w:rPr>
            </w:pPr>
            <w:r>
              <w:rPr>
                <w:spacing w:val="-5"/>
                <w:sz w:val="22"/>
              </w:rPr>
              <w:t>16a</w:t>
            </w:r>
          </w:p>
        </w:tc>
        <w:tc>
          <w:tcPr>
            <w:tcW w:w="4186" w:type="dxa"/>
          </w:tcPr>
          <w:p>
            <w:pPr>
              <w:pStyle w:val="TableParagraph"/>
              <w:spacing w:before="1"/>
              <w:ind w:left="115"/>
              <w:rPr>
                <w:sz w:val="22"/>
              </w:rPr>
            </w:pPr>
            <w:r>
              <w:rPr>
                <w:sz w:val="22"/>
              </w:rPr>
              <w:t>Medicare</w:t>
            </w:r>
            <w:r>
              <w:rPr>
                <w:spacing w:val="-5"/>
                <w:sz w:val="22"/>
              </w:rPr>
              <w:t xml:space="preserve"> </w:t>
            </w:r>
            <w:r>
              <w:rPr>
                <w:sz w:val="22"/>
              </w:rPr>
              <w:t>Dental</w:t>
            </w:r>
            <w:r>
              <w:rPr>
                <w:spacing w:val="-4"/>
                <w:sz w:val="22"/>
              </w:rPr>
              <w:t xml:space="preserve"> </w:t>
            </w:r>
            <w:r>
              <w:rPr>
                <w:spacing w:val="-2"/>
                <w:sz w:val="22"/>
              </w:rPr>
              <w:t>Services</w:t>
            </w:r>
          </w:p>
        </w:tc>
        <w:tc>
          <w:tcPr>
            <w:tcW w:w="733" w:type="dxa"/>
          </w:tcPr>
          <w:p>
            <w:pPr>
              <w:pStyle w:val="TableParagraph"/>
              <w:spacing w:before="1"/>
              <w:ind w:left="103"/>
              <w:rPr>
                <w:sz w:val="22"/>
              </w:rPr>
            </w:pPr>
            <w:r>
              <w:rPr>
                <w:sz w:val="22"/>
              </w:rPr>
              <w:t xml:space="preserve">i2, </w:t>
            </w:r>
            <w:r>
              <w:rPr>
                <w:spacing w:val="-5"/>
                <w:sz w:val="22"/>
              </w:rPr>
              <w:t>i6</w:t>
            </w:r>
          </w:p>
        </w:tc>
        <w:tc>
          <w:tcPr>
            <w:tcW w:w="3788" w:type="dxa"/>
          </w:tcPr>
          <w:p>
            <w:pPr>
              <w:pStyle w:val="TableParagraph"/>
              <w:spacing w:line="252" w:lineRule="exact"/>
              <w:ind w:left="107"/>
              <w:rPr>
                <w:sz w:val="22"/>
              </w:rPr>
            </w:pPr>
            <w:r>
              <w:rPr>
                <w:sz w:val="22"/>
              </w:rPr>
              <w:t>Professional:</w:t>
            </w:r>
            <w:r>
              <w:rPr>
                <w:spacing w:val="-9"/>
                <w:sz w:val="22"/>
              </w:rPr>
              <w:t xml:space="preserve"> </w:t>
            </w:r>
            <w:r>
              <w:rPr>
                <w:sz w:val="22"/>
              </w:rPr>
              <w:t>Specialist</w:t>
            </w:r>
            <w:r>
              <w:rPr>
                <w:spacing w:val="-9"/>
                <w:sz w:val="22"/>
              </w:rPr>
              <w:t xml:space="preserve"> </w:t>
            </w:r>
            <w:r>
              <w:rPr>
                <w:sz w:val="22"/>
              </w:rPr>
              <w:t>excl.</w:t>
            </w:r>
            <w:r>
              <w:rPr>
                <w:spacing w:val="-10"/>
                <w:sz w:val="22"/>
              </w:rPr>
              <w:t xml:space="preserve"> </w:t>
            </w:r>
            <w:r>
              <w:rPr>
                <w:sz w:val="22"/>
              </w:rPr>
              <w:t>MH;</w:t>
            </w:r>
            <w:r>
              <w:rPr>
                <w:spacing w:val="-9"/>
                <w:sz w:val="22"/>
              </w:rPr>
              <w:t xml:space="preserve"> </w:t>
            </w:r>
            <w:r>
              <w:rPr>
                <w:sz w:val="22"/>
              </w:rPr>
              <w:t>or Professional: Other</w:t>
            </w:r>
          </w:p>
        </w:tc>
      </w:tr>
      <w:tr>
        <w:tblPrEx>
          <w:tblW w:w="0" w:type="auto"/>
          <w:jc w:val="left"/>
          <w:tblInd w:w="622" w:type="dxa"/>
          <w:tblLayout w:type="fixed"/>
          <w:tblCellMar>
            <w:top w:w="0" w:type="dxa"/>
            <w:left w:w="0" w:type="dxa"/>
            <w:bottom w:w="0" w:type="dxa"/>
            <w:right w:w="0" w:type="dxa"/>
          </w:tblCellMar>
          <w:tblLook w:val="01E0"/>
        </w:tblPrEx>
        <w:trPr>
          <w:trHeight w:val="253"/>
          <w:jc w:val="left"/>
        </w:trPr>
        <w:tc>
          <w:tcPr>
            <w:tcW w:w="727" w:type="dxa"/>
          </w:tcPr>
          <w:p>
            <w:pPr>
              <w:pStyle w:val="TableParagraph"/>
              <w:spacing w:before="1" w:line="233" w:lineRule="exact"/>
              <w:ind w:left="107"/>
              <w:rPr>
                <w:sz w:val="22"/>
              </w:rPr>
            </w:pPr>
            <w:r>
              <w:rPr>
                <w:spacing w:val="-5"/>
                <w:sz w:val="22"/>
              </w:rPr>
              <w:t>16b</w:t>
            </w:r>
          </w:p>
        </w:tc>
        <w:tc>
          <w:tcPr>
            <w:tcW w:w="4186" w:type="dxa"/>
          </w:tcPr>
          <w:p>
            <w:pPr>
              <w:pStyle w:val="TableParagraph"/>
              <w:spacing w:before="1" w:line="233" w:lineRule="exact"/>
              <w:ind w:left="115"/>
              <w:rPr>
                <w:sz w:val="22"/>
              </w:rPr>
            </w:pPr>
            <w:r>
              <w:rPr>
                <w:sz w:val="22"/>
              </w:rPr>
              <w:t>Diagnostic</w:t>
            </w:r>
            <w:r>
              <w:rPr>
                <w:spacing w:val="-8"/>
                <w:sz w:val="22"/>
              </w:rPr>
              <w:t xml:space="preserve"> </w:t>
            </w:r>
            <w:r>
              <w:rPr>
                <w:sz w:val="22"/>
              </w:rPr>
              <w:t>&amp;</w:t>
            </w:r>
            <w:r>
              <w:rPr>
                <w:spacing w:val="-5"/>
                <w:sz w:val="22"/>
              </w:rPr>
              <w:t xml:space="preserve"> </w:t>
            </w:r>
            <w:r>
              <w:rPr>
                <w:sz w:val="22"/>
              </w:rPr>
              <w:t>Preventive</w:t>
            </w:r>
            <w:r>
              <w:rPr>
                <w:spacing w:val="-4"/>
                <w:sz w:val="22"/>
              </w:rPr>
              <w:t xml:space="preserve"> </w:t>
            </w:r>
            <w:r>
              <w:rPr>
                <w:spacing w:val="-2"/>
                <w:sz w:val="22"/>
              </w:rPr>
              <w:t>Dental</w:t>
            </w:r>
          </w:p>
        </w:tc>
        <w:tc>
          <w:tcPr>
            <w:tcW w:w="733" w:type="dxa"/>
          </w:tcPr>
          <w:p>
            <w:pPr>
              <w:pStyle w:val="TableParagraph"/>
              <w:spacing w:before="1" w:line="233" w:lineRule="exact"/>
              <w:ind w:left="103"/>
              <w:rPr>
                <w:sz w:val="22"/>
              </w:rPr>
            </w:pPr>
            <w:r>
              <w:rPr>
                <w:spacing w:val="-10"/>
                <w:sz w:val="22"/>
              </w:rPr>
              <w:t>m</w:t>
            </w:r>
          </w:p>
        </w:tc>
        <w:tc>
          <w:tcPr>
            <w:tcW w:w="3788" w:type="dxa"/>
          </w:tcPr>
          <w:p>
            <w:pPr>
              <w:pStyle w:val="TableParagraph"/>
              <w:spacing w:before="1" w:line="233" w:lineRule="exact"/>
              <w:ind w:left="107"/>
              <w:rPr>
                <w:sz w:val="22"/>
              </w:rPr>
            </w:pPr>
            <w:r>
              <w:rPr>
                <w:sz w:val="22"/>
              </w:rPr>
              <w:t>Dental</w:t>
            </w:r>
            <w:r>
              <w:rPr>
                <w:spacing w:val="-6"/>
                <w:sz w:val="22"/>
              </w:rPr>
              <w:t xml:space="preserve"> </w:t>
            </w:r>
            <w:r>
              <w:rPr>
                <w:sz w:val="22"/>
              </w:rPr>
              <w:t>(Non-</w:t>
            </w:r>
            <w:r>
              <w:rPr>
                <w:spacing w:val="-2"/>
                <w:sz w:val="22"/>
              </w:rPr>
              <w:t>Covered)</w:t>
            </w:r>
          </w:p>
        </w:tc>
      </w:tr>
      <w:tr>
        <w:tblPrEx>
          <w:tblW w:w="0" w:type="auto"/>
          <w:jc w:val="left"/>
          <w:tblInd w:w="622" w:type="dxa"/>
          <w:tblLayout w:type="fixed"/>
          <w:tblCellMar>
            <w:top w:w="0" w:type="dxa"/>
            <w:left w:w="0" w:type="dxa"/>
            <w:bottom w:w="0" w:type="dxa"/>
            <w:right w:w="0" w:type="dxa"/>
          </w:tblCellMar>
          <w:tblLook w:val="01E0"/>
        </w:tblPrEx>
        <w:trPr>
          <w:trHeight w:val="254"/>
          <w:jc w:val="left"/>
        </w:trPr>
        <w:tc>
          <w:tcPr>
            <w:tcW w:w="727" w:type="dxa"/>
          </w:tcPr>
          <w:p>
            <w:pPr>
              <w:pStyle w:val="TableParagraph"/>
              <w:spacing w:line="234" w:lineRule="exact"/>
              <w:ind w:left="107"/>
              <w:rPr>
                <w:sz w:val="22"/>
              </w:rPr>
            </w:pPr>
            <w:r>
              <w:rPr>
                <w:spacing w:val="-5"/>
                <w:sz w:val="22"/>
              </w:rPr>
              <w:t>16c</w:t>
            </w:r>
          </w:p>
        </w:tc>
        <w:tc>
          <w:tcPr>
            <w:tcW w:w="4186" w:type="dxa"/>
          </w:tcPr>
          <w:p>
            <w:pPr>
              <w:pStyle w:val="TableParagraph"/>
              <w:spacing w:line="234" w:lineRule="exact"/>
              <w:ind w:left="115"/>
              <w:rPr>
                <w:sz w:val="22"/>
              </w:rPr>
            </w:pPr>
            <w:r>
              <w:rPr>
                <w:sz w:val="22"/>
              </w:rPr>
              <w:t>Comprehensive</w:t>
            </w:r>
            <w:r>
              <w:rPr>
                <w:spacing w:val="-7"/>
                <w:sz w:val="22"/>
              </w:rPr>
              <w:t xml:space="preserve"> </w:t>
            </w:r>
            <w:r>
              <w:rPr>
                <w:spacing w:val="-2"/>
                <w:sz w:val="22"/>
              </w:rPr>
              <w:t>Dental</w:t>
            </w:r>
          </w:p>
        </w:tc>
        <w:tc>
          <w:tcPr>
            <w:tcW w:w="733" w:type="dxa"/>
          </w:tcPr>
          <w:p>
            <w:pPr>
              <w:pStyle w:val="TableParagraph"/>
              <w:spacing w:line="234" w:lineRule="exact"/>
              <w:ind w:left="103"/>
              <w:rPr>
                <w:sz w:val="22"/>
              </w:rPr>
            </w:pPr>
            <w:r>
              <w:rPr>
                <w:spacing w:val="-10"/>
                <w:sz w:val="22"/>
              </w:rPr>
              <w:t>m</w:t>
            </w:r>
          </w:p>
        </w:tc>
        <w:tc>
          <w:tcPr>
            <w:tcW w:w="3788" w:type="dxa"/>
          </w:tcPr>
          <w:p>
            <w:pPr>
              <w:pStyle w:val="TableParagraph"/>
              <w:spacing w:line="234" w:lineRule="exact"/>
              <w:ind w:left="107"/>
              <w:rPr>
                <w:sz w:val="22"/>
              </w:rPr>
            </w:pPr>
            <w:r>
              <w:rPr>
                <w:sz w:val="22"/>
              </w:rPr>
              <w:t>Dental</w:t>
            </w:r>
            <w:r>
              <w:rPr>
                <w:spacing w:val="-6"/>
                <w:sz w:val="22"/>
              </w:rPr>
              <w:t xml:space="preserve"> </w:t>
            </w:r>
            <w:r>
              <w:rPr>
                <w:sz w:val="22"/>
              </w:rPr>
              <w:t>(Non-</w:t>
            </w:r>
            <w:r>
              <w:rPr>
                <w:spacing w:val="-2"/>
                <w:sz w:val="22"/>
              </w:rPr>
              <w:t>Covered)</w:t>
            </w:r>
          </w:p>
        </w:tc>
      </w:tr>
      <w:tr>
        <w:tblPrEx>
          <w:tblW w:w="0" w:type="auto"/>
          <w:jc w:val="left"/>
          <w:tblInd w:w="622" w:type="dxa"/>
          <w:tblLayout w:type="fixed"/>
          <w:tblCellMar>
            <w:top w:w="0" w:type="dxa"/>
            <w:left w:w="0" w:type="dxa"/>
            <w:bottom w:w="0" w:type="dxa"/>
            <w:right w:w="0" w:type="dxa"/>
          </w:tblCellMar>
          <w:tblLook w:val="01E0"/>
        </w:tblPrEx>
        <w:trPr>
          <w:trHeight w:val="251"/>
          <w:jc w:val="left"/>
        </w:trPr>
        <w:tc>
          <w:tcPr>
            <w:tcW w:w="727" w:type="dxa"/>
          </w:tcPr>
          <w:p>
            <w:pPr>
              <w:pStyle w:val="TableParagraph"/>
              <w:spacing w:line="232" w:lineRule="exact"/>
              <w:ind w:left="107"/>
              <w:rPr>
                <w:sz w:val="22"/>
              </w:rPr>
            </w:pPr>
            <w:r>
              <w:rPr>
                <w:spacing w:val="-5"/>
                <w:sz w:val="22"/>
              </w:rPr>
              <w:t>17a</w:t>
            </w:r>
          </w:p>
        </w:tc>
        <w:tc>
          <w:tcPr>
            <w:tcW w:w="4186" w:type="dxa"/>
          </w:tcPr>
          <w:p>
            <w:pPr>
              <w:pStyle w:val="TableParagraph"/>
              <w:spacing w:line="232" w:lineRule="exact"/>
              <w:ind w:left="115"/>
              <w:rPr>
                <w:sz w:val="22"/>
              </w:rPr>
            </w:pPr>
            <w:r>
              <w:rPr>
                <w:sz w:val="22"/>
              </w:rPr>
              <w:t xml:space="preserve">Eye </w:t>
            </w:r>
            <w:r>
              <w:rPr>
                <w:spacing w:val="-2"/>
                <w:sz w:val="22"/>
              </w:rPr>
              <w:t>Exams</w:t>
            </w:r>
          </w:p>
        </w:tc>
        <w:tc>
          <w:tcPr>
            <w:tcW w:w="733" w:type="dxa"/>
          </w:tcPr>
          <w:p>
            <w:pPr>
              <w:pStyle w:val="TableParagraph"/>
              <w:spacing w:line="232" w:lineRule="exact"/>
              <w:ind w:left="103"/>
              <w:rPr>
                <w:sz w:val="22"/>
              </w:rPr>
            </w:pPr>
            <w:r>
              <w:rPr>
                <w:spacing w:val="-5"/>
                <w:sz w:val="22"/>
              </w:rPr>
              <w:t>n1</w:t>
            </w:r>
          </w:p>
        </w:tc>
        <w:tc>
          <w:tcPr>
            <w:tcW w:w="3788" w:type="dxa"/>
          </w:tcPr>
          <w:p>
            <w:pPr>
              <w:pStyle w:val="TableParagraph"/>
              <w:spacing w:line="232" w:lineRule="exact"/>
              <w:ind w:left="107"/>
              <w:rPr>
                <w:sz w:val="22"/>
              </w:rPr>
            </w:pPr>
            <w:r>
              <w:rPr>
                <w:sz w:val="22"/>
              </w:rPr>
              <w:t>Vision</w:t>
            </w:r>
            <w:r>
              <w:rPr>
                <w:spacing w:val="-7"/>
                <w:sz w:val="22"/>
              </w:rPr>
              <w:t xml:space="preserve"> </w:t>
            </w:r>
            <w:r>
              <w:rPr>
                <w:sz w:val="22"/>
              </w:rPr>
              <w:t>(Non-Covered):</w:t>
            </w:r>
            <w:r>
              <w:rPr>
                <w:spacing w:val="-5"/>
                <w:sz w:val="22"/>
              </w:rPr>
              <w:t xml:space="preserve"> </w:t>
            </w:r>
            <w:r>
              <w:rPr>
                <w:spacing w:val="-2"/>
                <w:sz w:val="22"/>
              </w:rPr>
              <w:t>Professional</w:t>
            </w:r>
          </w:p>
        </w:tc>
      </w:tr>
      <w:tr>
        <w:tblPrEx>
          <w:tblW w:w="0" w:type="auto"/>
          <w:jc w:val="left"/>
          <w:tblInd w:w="622" w:type="dxa"/>
          <w:tblLayout w:type="fixed"/>
          <w:tblCellMar>
            <w:top w:w="0" w:type="dxa"/>
            <w:left w:w="0" w:type="dxa"/>
            <w:bottom w:w="0" w:type="dxa"/>
            <w:right w:w="0" w:type="dxa"/>
          </w:tblCellMar>
          <w:tblLook w:val="01E0"/>
        </w:tblPrEx>
        <w:trPr>
          <w:trHeight w:val="253"/>
          <w:jc w:val="left"/>
        </w:trPr>
        <w:tc>
          <w:tcPr>
            <w:tcW w:w="727" w:type="dxa"/>
          </w:tcPr>
          <w:p>
            <w:pPr>
              <w:pStyle w:val="TableParagraph"/>
              <w:spacing w:line="234" w:lineRule="exact"/>
              <w:ind w:left="107"/>
              <w:rPr>
                <w:sz w:val="22"/>
              </w:rPr>
            </w:pPr>
            <w:r>
              <w:rPr>
                <w:spacing w:val="-5"/>
                <w:sz w:val="22"/>
              </w:rPr>
              <w:t>17b</w:t>
            </w:r>
          </w:p>
        </w:tc>
        <w:tc>
          <w:tcPr>
            <w:tcW w:w="4186" w:type="dxa"/>
          </w:tcPr>
          <w:p>
            <w:pPr>
              <w:pStyle w:val="TableParagraph"/>
              <w:spacing w:line="234" w:lineRule="exact"/>
              <w:ind w:left="115"/>
              <w:rPr>
                <w:sz w:val="22"/>
              </w:rPr>
            </w:pPr>
            <w:r>
              <w:rPr>
                <w:spacing w:val="-2"/>
                <w:sz w:val="22"/>
              </w:rPr>
              <w:t>Eyewear</w:t>
            </w:r>
          </w:p>
        </w:tc>
        <w:tc>
          <w:tcPr>
            <w:tcW w:w="733" w:type="dxa"/>
          </w:tcPr>
          <w:p>
            <w:pPr>
              <w:pStyle w:val="TableParagraph"/>
              <w:spacing w:line="234" w:lineRule="exact"/>
              <w:ind w:left="103"/>
              <w:rPr>
                <w:sz w:val="22"/>
              </w:rPr>
            </w:pPr>
            <w:r>
              <w:rPr>
                <w:spacing w:val="-5"/>
                <w:sz w:val="22"/>
              </w:rPr>
              <w:t>n2</w:t>
            </w:r>
          </w:p>
        </w:tc>
        <w:tc>
          <w:tcPr>
            <w:tcW w:w="3788" w:type="dxa"/>
          </w:tcPr>
          <w:p>
            <w:pPr>
              <w:pStyle w:val="TableParagraph"/>
              <w:spacing w:line="234" w:lineRule="exact"/>
              <w:ind w:left="107"/>
              <w:rPr>
                <w:sz w:val="22"/>
              </w:rPr>
            </w:pPr>
            <w:r>
              <w:rPr>
                <w:sz w:val="22"/>
              </w:rPr>
              <w:t>Vision</w:t>
            </w:r>
            <w:r>
              <w:rPr>
                <w:spacing w:val="-7"/>
                <w:sz w:val="22"/>
              </w:rPr>
              <w:t xml:space="preserve"> </w:t>
            </w:r>
            <w:r>
              <w:rPr>
                <w:sz w:val="22"/>
              </w:rPr>
              <w:t>(Non-Covered):</w:t>
            </w:r>
            <w:r>
              <w:rPr>
                <w:spacing w:val="-5"/>
                <w:sz w:val="22"/>
              </w:rPr>
              <w:t xml:space="preserve"> </w:t>
            </w:r>
            <w:r>
              <w:rPr>
                <w:spacing w:val="-2"/>
                <w:sz w:val="22"/>
              </w:rPr>
              <w:t>Hardware</w:t>
            </w:r>
          </w:p>
        </w:tc>
      </w:tr>
      <w:tr>
        <w:tblPrEx>
          <w:tblW w:w="0" w:type="auto"/>
          <w:jc w:val="left"/>
          <w:tblInd w:w="622" w:type="dxa"/>
          <w:tblLayout w:type="fixed"/>
          <w:tblCellMar>
            <w:top w:w="0" w:type="dxa"/>
            <w:left w:w="0" w:type="dxa"/>
            <w:bottom w:w="0" w:type="dxa"/>
            <w:right w:w="0" w:type="dxa"/>
          </w:tblCellMar>
          <w:tblLook w:val="01E0"/>
        </w:tblPrEx>
        <w:trPr>
          <w:trHeight w:val="252"/>
          <w:jc w:val="left"/>
        </w:trPr>
        <w:tc>
          <w:tcPr>
            <w:tcW w:w="727" w:type="dxa"/>
          </w:tcPr>
          <w:p>
            <w:pPr>
              <w:pStyle w:val="TableParagraph"/>
              <w:spacing w:line="232" w:lineRule="exact"/>
              <w:ind w:left="107"/>
              <w:rPr>
                <w:sz w:val="22"/>
              </w:rPr>
            </w:pPr>
            <w:r>
              <w:rPr>
                <w:spacing w:val="-5"/>
                <w:sz w:val="22"/>
              </w:rPr>
              <w:t>18a</w:t>
            </w:r>
          </w:p>
        </w:tc>
        <w:tc>
          <w:tcPr>
            <w:tcW w:w="4186" w:type="dxa"/>
          </w:tcPr>
          <w:p>
            <w:pPr>
              <w:pStyle w:val="TableParagraph"/>
              <w:spacing w:line="232" w:lineRule="exact"/>
              <w:ind w:left="115"/>
              <w:rPr>
                <w:sz w:val="22"/>
              </w:rPr>
            </w:pPr>
            <w:r>
              <w:rPr>
                <w:sz w:val="22"/>
              </w:rPr>
              <w:t>Hearing</w:t>
            </w:r>
            <w:r>
              <w:rPr>
                <w:spacing w:val="-4"/>
                <w:sz w:val="22"/>
              </w:rPr>
              <w:t xml:space="preserve"> </w:t>
            </w:r>
            <w:r>
              <w:rPr>
                <w:spacing w:val="-2"/>
                <w:sz w:val="22"/>
              </w:rPr>
              <w:t>Exams</w:t>
            </w:r>
          </w:p>
        </w:tc>
        <w:tc>
          <w:tcPr>
            <w:tcW w:w="733" w:type="dxa"/>
          </w:tcPr>
          <w:p>
            <w:pPr>
              <w:pStyle w:val="TableParagraph"/>
              <w:spacing w:line="232" w:lineRule="exact"/>
              <w:ind w:left="103"/>
              <w:rPr>
                <w:sz w:val="22"/>
              </w:rPr>
            </w:pPr>
            <w:r>
              <w:rPr>
                <w:spacing w:val="-5"/>
                <w:sz w:val="22"/>
              </w:rPr>
              <w:t>o1</w:t>
            </w:r>
          </w:p>
        </w:tc>
        <w:tc>
          <w:tcPr>
            <w:tcW w:w="3788" w:type="dxa"/>
          </w:tcPr>
          <w:p>
            <w:pPr>
              <w:pStyle w:val="TableParagraph"/>
              <w:spacing w:line="232" w:lineRule="exact"/>
              <w:ind w:left="107"/>
              <w:rPr>
                <w:sz w:val="22"/>
              </w:rPr>
            </w:pPr>
            <w:r>
              <w:rPr>
                <w:sz w:val="22"/>
              </w:rPr>
              <w:t>Hearing</w:t>
            </w:r>
            <w:r>
              <w:rPr>
                <w:spacing w:val="-7"/>
                <w:sz w:val="22"/>
              </w:rPr>
              <w:t xml:space="preserve"> </w:t>
            </w:r>
            <w:r>
              <w:rPr>
                <w:sz w:val="22"/>
              </w:rPr>
              <w:t>(Non-Covered):</w:t>
            </w:r>
            <w:r>
              <w:rPr>
                <w:spacing w:val="-5"/>
                <w:sz w:val="22"/>
              </w:rPr>
              <w:t xml:space="preserve"> </w:t>
            </w:r>
            <w:r>
              <w:rPr>
                <w:spacing w:val="-2"/>
                <w:sz w:val="22"/>
              </w:rPr>
              <w:t>Professional</w:t>
            </w:r>
          </w:p>
        </w:tc>
      </w:tr>
      <w:tr>
        <w:tblPrEx>
          <w:tblW w:w="0" w:type="auto"/>
          <w:jc w:val="left"/>
          <w:tblInd w:w="622" w:type="dxa"/>
          <w:tblLayout w:type="fixed"/>
          <w:tblCellMar>
            <w:top w:w="0" w:type="dxa"/>
            <w:left w:w="0" w:type="dxa"/>
            <w:bottom w:w="0" w:type="dxa"/>
            <w:right w:w="0" w:type="dxa"/>
          </w:tblCellMar>
          <w:tblLook w:val="01E0"/>
        </w:tblPrEx>
        <w:trPr>
          <w:trHeight w:val="253"/>
          <w:jc w:val="left"/>
        </w:trPr>
        <w:tc>
          <w:tcPr>
            <w:tcW w:w="727" w:type="dxa"/>
          </w:tcPr>
          <w:p>
            <w:pPr>
              <w:pStyle w:val="TableParagraph"/>
              <w:spacing w:line="234" w:lineRule="exact"/>
              <w:ind w:left="107"/>
              <w:rPr>
                <w:sz w:val="22"/>
              </w:rPr>
            </w:pPr>
            <w:r>
              <w:rPr>
                <w:spacing w:val="-5"/>
                <w:sz w:val="22"/>
              </w:rPr>
              <w:t>18b</w:t>
            </w:r>
          </w:p>
        </w:tc>
        <w:tc>
          <w:tcPr>
            <w:tcW w:w="4186" w:type="dxa"/>
          </w:tcPr>
          <w:p>
            <w:pPr>
              <w:pStyle w:val="TableParagraph"/>
              <w:spacing w:line="234" w:lineRule="exact"/>
              <w:ind w:left="115"/>
              <w:rPr>
                <w:sz w:val="22"/>
              </w:rPr>
            </w:pPr>
            <w:r>
              <w:rPr>
                <w:sz w:val="22"/>
              </w:rPr>
              <w:t>Prescription</w:t>
            </w:r>
            <w:r>
              <w:rPr>
                <w:spacing w:val="-8"/>
                <w:sz w:val="22"/>
              </w:rPr>
              <w:t xml:space="preserve"> </w:t>
            </w:r>
            <w:r>
              <w:rPr>
                <w:sz w:val="22"/>
              </w:rPr>
              <w:t>Hearing</w:t>
            </w:r>
            <w:r>
              <w:rPr>
                <w:spacing w:val="-6"/>
                <w:sz w:val="22"/>
              </w:rPr>
              <w:t xml:space="preserve"> </w:t>
            </w:r>
            <w:r>
              <w:rPr>
                <w:spacing w:val="-4"/>
                <w:sz w:val="22"/>
              </w:rPr>
              <w:t>Aids</w:t>
            </w:r>
          </w:p>
        </w:tc>
        <w:tc>
          <w:tcPr>
            <w:tcW w:w="733" w:type="dxa"/>
          </w:tcPr>
          <w:p>
            <w:pPr>
              <w:pStyle w:val="TableParagraph"/>
              <w:spacing w:line="234" w:lineRule="exact"/>
              <w:ind w:left="103"/>
              <w:rPr>
                <w:sz w:val="22"/>
              </w:rPr>
            </w:pPr>
            <w:r>
              <w:rPr>
                <w:spacing w:val="-5"/>
                <w:sz w:val="22"/>
              </w:rPr>
              <w:t>o2</w:t>
            </w:r>
          </w:p>
        </w:tc>
        <w:tc>
          <w:tcPr>
            <w:tcW w:w="3788" w:type="dxa"/>
          </w:tcPr>
          <w:p>
            <w:pPr>
              <w:pStyle w:val="TableParagraph"/>
              <w:spacing w:line="234" w:lineRule="exact"/>
              <w:ind w:left="107"/>
              <w:rPr>
                <w:sz w:val="22"/>
              </w:rPr>
            </w:pPr>
            <w:r>
              <w:rPr>
                <w:sz w:val="22"/>
              </w:rPr>
              <w:t>Hearing</w:t>
            </w:r>
            <w:r>
              <w:rPr>
                <w:spacing w:val="-7"/>
                <w:sz w:val="22"/>
              </w:rPr>
              <w:t xml:space="preserve"> </w:t>
            </w:r>
            <w:r>
              <w:rPr>
                <w:sz w:val="22"/>
              </w:rPr>
              <w:t>(Non-Covered):</w:t>
            </w:r>
            <w:r>
              <w:rPr>
                <w:spacing w:val="-5"/>
                <w:sz w:val="22"/>
              </w:rPr>
              <w:t xml:space="preserve"> </w:t>
            </w:r>
            <w:r>
              <w:rPr>
                <w:spacing w:val="-2"/>
                <w:sz w:val="22"/>
              </w:rPr>
              <w:t>Hardware</w:t>
            </w:r>
          </w:p>
        </w:tc>
      </w:tr>
      <w:tr>
        <w:tblPrEx>
          <w:tblW w:w="0" w:type="auto"/>
          <w:jc w:val="left"/>
          <w:tblInd w:w="622" w:type="dxa"/>
          <w:tblLayout w:type="fixed"/>
          <w:tblCellMar>
            <w:top w:w="0" w:type="dxa"/>
            <w:left w:w="0" w:type="dxa"/>
            <w:bottom w:w="0" w:type="dxa"/>
            <w:right w:w="0" w:type="dxa"/>
          </w:tblCellMar>
          <w:tblLook w:val="01E0"/>
        </w:tblPrEx>
        <w:trPr>
          <w:trHeight w:val="251"/>
          <w:jc w:val="left"/>
        </w:trPr>
        <w:tc>
          <w:tcPr>
            <w:tcW w:w="727" w:type="dxa"/>
          </w:tcPr>
          <w:p>
            <w:pPr>
              <w:pStyle w:val="TableParagraph"/>
              <w:spacing w:line="232" w:lineRule="exact"/>
              <w:ind w:left="107"/>
              <w:rPr>
                <w:sz w:val="22"/>
              </w:rPr>
            </w:pPr>
            <w:r>
              <w:rPr>
                <w:spacing w:val="-5"/>
                <w:sz w:val="22"/>
              </w:rPr>
              <w:t>18c</w:t>
            </w:r>
          </w:p>
        </w:tc>
        <w:tc>
          <w:tcPr>
            <w:tcW w:w="4186" w:type="dxa"/>
          </w:tcPr>
          <w:p>
            <w:pPr>
              <w:pStyle w:val="TableParagraph"/>
              <w:spacing w:line="232" w:lineRule="exact"/>
              <w:ind w:left="115"/>
              <w:rPr>
                <w:sz w:val="22"/>
              </w:rPr>
            </w:pPr>
            <w:r>
              <w:rPr>
                <w:sz w:val="22"/>
              </w:rPr>
              <w:t>OTC</w:t>
            </w:r>
            <w:r>
              <w:rPr>
                <w:spacing w:val="-7"/>
                <w:sz w:val="22"/>
              </w:rPr>
              <w:t xml:space="preserve"> </w:t>
            </w:r>
            <w:r>
              <w:rPr>
                <w:sz w:val="22"/>
              </w:rPr>
              <w:t>Hearing</w:t>
            </w:r>
            <w:r>
              <w:rPr>
                <w:spacing w:val="-4"/>
                <w:sz w:val="22"/>
              </w:rPr>
              <w:t xml:space="preserve"> Aids</w:t>
            </w:r>
          </w:p>
        </w:tc>
        <w:tc>
          <w:tcPr>
            <w:tcW w:w="733" w:type="dxa"/>
          </w:tcPr>
          <w:p>
            <w:pPr>
              <w:pStyle w:val="TableParagraph"/>
              <w:spacing w:line="232" w:lineRule="exact"/>
              <w:ind w:left="103"/>
              <w:rPr>
                <w:sz w:val="22"/>
              </w:rPr>
            </w:pPr>
            <w:r>
              <w:rPr>
                <w:spacing w:val="-5"/>
                <w:sz w:val="22"/>
              </w:rPr>
              <w:t>o2</w:t>
            </w:r>
          </w:p>
        </w:tc>
        <w:tc>
          <w:tcPr>
            <w:tcW w:w="3788" w:type="dxa"/>
          </w:tcPr>
          <w:p>
            <w:pPr>
              <w:pStyle w:val="TableParagraph"/>
              <w:spacing w:line="232" w:lineRule="exact"/>
              <w:ind w:left="107"/>
              <w:rPr>
                <w:sz w:val="22"/>
              </w:rPr>
            </w:pPr>
            <w:r>
              <w:rPr>
                <w:sz w:val="22"/>
              </w:rPr>
              <w:t>Hearing</w:t>
            </w:r>
            <w:r>
              <w:rPr>
                <w:spacing w:val="-7"/>
                <w:sz w:val="22"/>
              </w:rPr>
              <w:t xml:space="preserve"> </w:t>
            </w:r>
            <w:r>
              <w:rPr>
                <w:sz w:val="22"/>
              </w:rPr>
              <w:t>(Non-Covered):</w:t>
            </w:r>
            <w:r>
              <w:rPr>
                <w:spacing w:val="-5"/>
                <w:sz w:val="22"/>
              </w:rPr>
              <w:t xml:space="preserve"> </w:t>
            </w:r>
            <w:r>
              <w:rPr>
                <w:spacing w:val="-2"/>
                <w:sz w:val="22"/>
              </w:rPr>
              <w:t>Hardware</w:t>
            </w:r>
          </w:p>
        </w:tc>
      </w:tr>
      <w:tr>
        <w:tblPrEx>
          <w:tblW w:w="0" w:type="auto"/>
          <w:jc w:val="left"/>
          <w:tblInd w:w="622" w:type="dxa"/>
          <w:tblLayout w:type="fixed"/>
          <w:tblCellMar>
            <w:top w:w="0" w:type="dxa"/>
            <w:left w:w="0" w:type="dxa"/>
            <w:bottom w:w="0" w:type="dxa"/>
            <w:right w:w="0" w:type="dxa"/>
          </w:tblCellMar>
          <w:tblLook w:val="01E0"/>
        </w:tblPrEx>
        <w:trPr>
          <w:trHeight w:val="254"/>
          <w:jc w:val="left"/>
        </w:trPr>
        <w:tc>
          <w:tcPr>
            <w:tcW w:w="727" w:type="dxa"/>
          </w:tcPr>
          <w:p>
            <w:pPr>
              <w:pStyle w:val="TableParagraph"/>
              <w:rPr>
                <w:sz w:val="18"/>
              </w:rPr>
            </w:pPr>
          </w:p>
        </w:tc>
        <w:tc>
          <w:tcPr>
            <w:tcW w:w="4186" w:type="dxa"/>
          </w:tcPr>
          <w:p>
            <w:pPr>
              <w:pStyle w:val="TableParagraph"/>
              <w:rPr>
                <w:sz w:val="18"/>
              </w:rPr>
            </w:pPr>
          </w:p>
        </w:tc>
        <w:tc>
          <w:tcPr>
            <w:tcW w:w="733" w:type="dxa"/>
          </w:tcPr>
          <w:p>
            <w:pPr>
              <w:pStyle w:val="TableParagraph"/>
              <w:rPr>
                <w:sz w:val="18"/>
              </w:rPr>
            </w:pPr>
          </w:p>
        </w:tc>
        <w:tc>
          <w:tcPr>
            <w:tcW w:w="3788" w:type="dxa"/>
          </w:tcPr>
          <w:p>
            <w:pPr>
              <w:pStyle w:val="TableParagraph"/>
              <w:rPr>
                <w:sz w:val="18"/>
              </w:rPr>
            </w:pPr>
          </w:p>
        </w:tc>
      </w:tr>
      <w:tr>
        <w:tblPrEx>
          <w:tblW w:w="0" w:type="auto"/>
          <w:jc w:val="left"/>
          <w:tblInd w:w="622" w:type="dxa"/>
          <w:tblLayout w:type="fixed"/>
          <w:tblCellMar>
            <w:top w:w="0" w:type="dxa"/>
            <w:left w:w="0" w:type="dxa"/>
            <w:bottom w:w="0" w:type="dxa"/>
            <w:right w:w="0" w:type="dxa"/>
          </w:tblCellMar>
          <w:tblLook w:val="01E0"/>
        </w:tblPrEx>
        <w:trPr>
          <w:trHeight w:val="254"/>
          <w:jc w:val="left"/>
        </w:trPr>
        <w:tc>
          <w:tcPr>
            <w:tcW w:w="727" w:type="dxa"/>
          </w:tcPr>
          <w:p>
            <w:pPr>
              <w:pStyle w:val="TableParagraph"/>
              <w:rPr>
                <w:sz w:val="18"/>
              </w:rPr>
            </w:pPr>
          </w:p>
        </w:tc>
        <w:tc>
          <w:tcPr>
            <w:tcW w:w="4186" w:type="dxa"/>
          </w:tcPr>
          <w:p>
            <w:pPr>
              <w:pStyle w:val="TableParagraph"/>
              <w:rPr>
                <w:sz w:val="18"/>
              </w:rPr>
            </w:pPr>
          </w:p>
        </w:tc>
        <w:tc>
          <w:tcPr>
            <w:tcW w:w="733" w:type="dxa"/>
          </w:tcPr>
          <w:p>
            <w:pPr>
              <w:pStyle w:val="TableParagraph"/>
              <w:rPr>
                <w:sz w:val="18"/>
              </w:rPr>
            </w:pPr>
          </w:p>
        </w:tc>
        <w:tc>
          <w:tcPr>
            <w:tcW w:w="3788" w:type="dxa"/>
          </w:tcPr>
          <w:p>
            <w:pPr>
              <w:pStyle w:val="TableParagraph"/>
              <w:rPr>
                <w:sz w:val="18"/>
              </w:rPr>
            </w:pPr>
          </w:p>
        </w:tc>
      </w:tr>
      <w:tr>
        <w:tblPrEx>
          <w:tblW w:w="0" w:type="auto"/>
          <w:jc w:val="left"/>
          <w:tblInd w:w="622" w:type="dxa"/>
          <w:tblLayout w:type="fixed"/>
          <w:tblCellMar>
            <w:top w:w="0" w:type="dxa"/>
            <w:left w:w="0" w:type="dxa"/>
            <w:bottom w:w="0" w:type="dxa"/>
            <w:right w:w="0" w:type="dxa"/>
          </w:tblCellMar>
          <w:tblLook w:val="01E0"/>
        </w:tblPrEx>
        <w:trPr>
          <w:trHeight w:val="251"/>
          <w:jc w:val="left"/>
        </w:trPr>
        <w:tc>
          <w:tcPr>
            <w:tcW w:w="727" w:type="dxa"/>
          </w:tcPr>
          <w:p>
            <w:pPr>
              <w:pStyle w:val="TableParagraph"/>
              <w:rPr>
                <w:sz w:val="18"/>
              </w:rPr>
            </w:pPr>
          </w:p>
        </w:tc>
        <w:tc>
          <w:tcPr>
            <w:tcW w:w="4186" w:type="dxa"/>
          </w:tcPr>
          <w:p>
            <w:pPr>
              <w:pStyle w:val="TableParagraph"/>
              <w:rPr>
                <w:sz w:val="18"/>
              </w:rPr>
            </w:pPr>
          </w:p>
        </w:tc>
        <w:tc>
          <w:tcPr>
            <w:tcW w:w="733" w:type="dxa"/>
          </w:tcPr>
          <w:p>
            <w:pPr>
              <w:pStyle w:val="TableParagraph"/>
              <w:rPr>
                <w:sz w:val="18"/>
              </w:rPr>
            </w:pPr>
          </w:p>
        </w:tc>
        <w:tc>
          <w:tcPr>
            <w:tcW w:w="3788" w:type="dxa"/>
          </w:tcPr>
          <w:p>
            <w:pPr>
              <w:pStyle w:val="TableParagraph"/>
              <w:rPr>
                <w:sz w:val="18"/>
              </w:rPr>
            </w:pPr>
          </w:p>
        </w:tc>
      </w:tr>
      <w:tr>
        <w:tblPrEx>
          <w:tblW w:w="0" w:type="auto"/>
          <w:jc w:val="left"/>
          <w:tblInd w:w="622" w:type="dxa"/>
          <w:tblLayout w:type="fixed"/>
          <w:tblCellMar>
            <w:top w:w="0" w:type="dxa"/>
            <w:left w:w="0" w:type="dxa"/>
            <w:bottom w:w="0" w:type="dxa"/>
            <w:right w:w="0" w:type="dxa"/>
          </w:tblCellMar>
          <w:tblLook w:val="01E0"/>
        </w:tblPrEx>
        <w:trPr>
          <w:trHeight w:val="254"/>
          <w:jc w:val="left"/>
        </w:trPr>
        <w:tc>
          <w:tcPr>
            <w:tcW w:w="9434" w:type="dxa"/>
            <w:gridSpan w:val="4"/>
          </w:tcPr>
          <w:p>
            <w:pPr>
              <w:pStyle w:val="TableParagraph"/>
              <w:spacing w:line="234" w:lineRule="exact"/>
              <w:ind w:left="107"/>
              <w:rPr>
                <w:b/>
                <w:sz w:val="22"/>
              </w:rPr>
            </w:pPr>
            <w:r>
              <w:rPr>
                <w:b/>
                <w:sz w:val="22"/>
              </w:rPr>
              <w:t>Visitor</w:t>
            </w:r>
            <w:r>
              <w:rPr>
                <w:b/>
                <w:spacing w:val="-4"/>
                <w:sz w:val="22"/>
              </w:rPr>
              <w:t xml:space="preserve"> </w:t>
            </w:r>
            <w:r>
              <w:rPr>
                <w:b/>
                <w:spacing w:val="-2"/>
                <w:sz w:val="22"/>
              </w:rPr>
              <w:t>Travel</w:t>
            </w:r>
          </w:p>
        </w:tc>
      </w:tr>
      <w:tr>
        <w:tblPrEx>
          <w:tblW w:w="0" w:type="auto"/>
          <w:jc w:val="left"/>
          <w:tblInd w:w="622" w:type="dxa"/>
          <w:tblLayout w:type="fixed"/>
          <w:tblCellMar>
            <w:top w:w="0" w:type="dxa"/>
            <w:left w:w="0" w:type="dxa"/>
            <w:bottom w:w="0" w:type="dxa"/>
            <w:right w:w="0" w:type="dxa"/>
          </w:tblCellMar>
          <w:tblLook w:val="01E0"/>
        </w:tblPrEx>
        <w:trPr>
          <w:trHeight w:val="251"/>
          <w:jc w:val="left"/>
        </w:trPr>
        <w:tc>
          <w:tcPr>
            <w:tcW w:w="727" w:type="dxa"/>
          </w:tcPr>
          <w:p>
            <w:pPr>
              <w:pStyle w:val="TableParagraph"/>
              <w:spacing w:line="232" w:lineRule="exact"/>
              <w:ind w:left="107"/>
              <w:rPr>
                <w:sz w:val="22"/>
              </w:rPr>
            </w:pPr>
            <w:r>
              <w:rPr>
                <w:spacing w:val="-5"/>
                <w:sz w:val="22"/>
              </w:rPr>
              <w:t>V/T</w:t>
            </w:r>
          </w:p>
        </w:tc>
        <w:tc>
          <w:tcPr>
            <w:tcW w:w="4186" w:type="dxa"/>
          </w:tcPr>
          <w:p>
            <w:pPr>
              <w:pStyle w:val="TableParagraph"/>
              <w:spacing w:line="232" w:lineRule="exact"/>
              <w:ind w:left="115"/>
              <w:rPr>
                <w:sz w:val="22"/>
              </w:rPr>
            </w:pPr>
            <w:r>
              <w:rPr>
                <w:spacing w:val="-2"/>
                <w:sz w:val="22"/>
              </w:rPr>
              <w:t>Visitor/Travel</w:t>
            </w:r>
          </w:p>
        </w:tc>
        <w:tc>
          <w:tcPr>
            <w:tcW w:w="733" w:type="dxa"/>
          </w:tcPr>
          <w:p>
            <w:pPr>
              <w:pStyle w:val="TableParagraph"/>
              <w:spacing w:line="155" w:lineRule="exact"/>
              <w:ind w:left="103"/>
              <w:rPr>
                <w:sz w:val="14"/>
              </w:rPr>
            </w:pPr>
            <w:r>
              <w:rPr>
                <w:spacing w:val="-10"/>
                <w:sz w:val="14"/>
              </w:rPr>
              <w:t>1</w:t>
            </w:r>
          </w:p>
        </w:tc>
        <w:tc>
          <w:tcPr>
            <w:tcW w:w="3788" w:type="dxa"/>
          </w:tcPr>
          <w:p>
            <w:pPr>
              <w:pStyle w:val="TableParagraph"/>
              <w:spacing w:line="232" w:lineRule="exact"/>
              <w:ind w:left="107"/>
              <w:rPr>
                <w:sz w:val="22"/>
              </w:rPr>
            </w:pPr>
            <w:r>
              <w:rPr>
                <w:sz w:val="22"/>
              </w:rPr>
              <w:t>Actuary’s</w:t>
            </w:r>
            <w:r>
              <w:rPr>
                <w:spacing w:val="-5"/>
                <w:sz w:val="22"/>
              </w:rPr>
              <w:t xml:space="preserve"> </w:t>
            </w:r>
            <w:r>
              <w:rPr>
                <w:spacing w:val="-2"/>
                <w:sz w:val="22"/>
              </w:rPr>
              <w:t>discretion</w:t>
            </w:r>
          </w:p>
        </w:tc>
      </w:tr>
      <w:tr>
        <w:tblPrEx>
          <w:tblW w:w="0" w:type="auto"/>
          <w:jc w:val="left"/>
          <w:tblInd w:w="622" w:type="dxa"/>
          <w:tblLayout w:type="fixed"/>
          <w:tblCellMar>
            <w:top w:w="0" w:type="dxa"/>
            <w:left w:w="0" w:type="dxa"/>
            <w:bottom w:w="0" w:type="dxa"/>
            <w:right w:w="0" w:type="dxa"/>
          </w:tblCellMar>
          <w:tblLook w:val="01E0"/>
        </w:tblPrEx>
        <w:trPr>
          <w:trHeight w:val="254"/>
          <w:jc w:val="left"/>
        </w:trPr>
        <w:tc>
          <w:tcPr>
            <w:tcW w:w="9434" w:type="dxa"/>
            <w:gridSpan w:val="4"/>
          </w:tcPr>
          <w:p>
            <w:pPr>
              <w:pStyle w:val="TableParagraph"/>
              <w:spacing w:line="234" w:lineRule="exact"/>
              <w:ind w:left="107"/>
              <w:rPr>
                <w:b/>
                <w:sz w:val="22"/>
              </w:rPr>
            </w:pPr>
            <w:r>
              <w:rPr>
                <w:b/>
                <w:sz w:val="22"/>
              </w:rPr>
              <w:t>MA</w:t>
            </w:r>
            <w:r>
              <w:rPr>
                <w:b/>
                <w:spacing w:val="-5"/>
                <w:sz w:val="22"/>
              </w:rPr>
              <w:t xml:space="preserve"> </w:t>
            </w:r>
            <w:r>
              <w:rPr>
                <w:b/>
                <w:sz w:val="22"/>
              </w:rPr>
              <w:t>Uniformity,</w:t>
            </w:r>
            <w:r>
              <w:rPr>
                <w:b/>
                <w:spacing w:val="-5"/>
                <w:sz w:val="22"/>
              </w:rPr>
              <w:t xml:space="preserve"> </w:t>
            </w:r>
            <w:r>
              <w:rPr>
                <w:b/>
                <w:spacing w:val="-4"/>
                <w:sz w:val="22"/>
              </w:rPr>
              <w:t>SSBCI</w:t>
            </w:r>
          </w:p>
        </w:tc>
      </w:tr>
      <w:tr>
        <w:tblPrEx>
          <w:tblW w:w="0" w:type="auto"/>
          <w:jc w:val="left"/>
          <w:tblInd w:w="622" w:type="dxa"/>
          <w:tblLayout w:type="fixed"/>
          <w:tblCellMar>
            <w:top w:w="0" w:type="dxa"/>
            <w:left w:w="0" w:type="dxa"/>
            <w:bottom w:w="0" w:type="dxa"/>
            <w:right w:w="0" w:type="dxa"/>
          </w:tblCellMar>
          <w:tblLook w:val="01E0"/>
        </w:tblPrEx>
        <w:trPr>
          <w:trHeight w:val="757"/>
          <w:jc w:val="left"/>
        </w:trPr>
        <w:tc>
          <w:tcPr>
            <w:tcW w:w="727" w:type="dxa"/>
          </w:tcPr>
          <w:p>
            <w:pPr>
              <w:pStyle w:val="TableParagraph"/>
              <w:spacing w:line="251" w:lineRule="exact"/>
              <w:ind w:left="107"/>
              <w:rPr>
                <w:sz w:val="22"/>
              </w:rPr>
            </w:pPr>
            <w:r>
              <w:rPr>
                <w:spacing w:val="-5"/>
                <w:sz w:val="22"/>
              </w:rPr>
              <w:t>19a</w:t>
            </w:r>
          </w:p>
        </w:tc>
        <w:tc>
          <w:tcPr>
            <w:tcW w:w="4186" w:type="dxa"/>
          </w:tcPr>
          <w:p>
            <w:pPr>
              <w:pStyle w:val="TableParagraph"/>
              <w:ind w:left="76"/>
              <w:rPr>
                <w:sz w:val="22"/>
              </w:rPr>
            </w:pPr>
            <w:r>
              <w:rPr>
                <w:sz w:val="22"/>
              </w:rPr>
              <w:t>Reduced Cost Sharing for MA Uniformity/Special</w:t>
            </w:r>
            <w:r>
              <w:rPr>
                <w:spacing w:val="-14"/>
                <w:sz w:val="22"/>
              </w:rPr>
              <w:t xml:space="preserve"> </w:t>
            </w:r>
            <w:r>
              <w:rPr>
                <w:sz w:val="22"/>
              </w:rPr>
              <w:t>Supplemental</w:t>
            </w:r>
            <w:r>
              <w:rPr>
                <w:spacing w:val="-14"/>
                <w:sz w:val="22"/>
              </w:rPr>
              <w:t xml:space="preserve"> </w:t>
            </w:r>
            <w:r>
              <w:rPr>
                <w:sz w:val="22"/>
              </w:rPr>
              <w:t>Benefits</w:t>
            </w:r>
          </w:p>
          <w:p>
            <w:pPr>
              <w:pStyle w:val="TableParagraph"/>
              <w:spacing w:line="233" w:lineRule="exact"/>
              <w:ind w:left="76"/>
              <w:rPr>
                <w:sz w:val="22"/>
              </w:rPr>
            </w:pPr>
            <w:r>
              <w:rPr>
                <w:sz w:val="22"/>
              </w:rPr>
              <w:t>for</w:t>
            </w:r>
            <w:r>
              <w:rPr>
                <w:spacing w:val="-5"/>
                <w:sz w:val="22"/>
              </w:rPr>
              <w:t xml:space="preserve"> </w:t>
            </w:r>
            <w:r>
              <w:rPr>
                <w:sz w:val="22"/>
              </w:rPr>
              <w:t>the</w:t>
            </w:r>
            <w:r>
              <w:rPr>
                <w:spacing w:val="-3"/>
                <w:sz w:val="22"/>
              </w:rPr>
              <w:t xml:space="preserve"> </w:t>
            </w:r>
            <w:r>
              <w:rPr>
                <w:sz w:val="22"/>
              </w:rPr>
              <w:t>Chronically</w:t>
            </w:r>
            <w:r>
              <w:rPr>
                <w:spacing w:val="-6"/>
                <w:sz w:val="22"/>
              </w:rPr>
              <w:t xml:space="preserve"> </w:t>
            </w:r>
            <w:r>
              <w:rPr>
                <w:sz w:val="22"/>
              </w:rPr>
              <w:t>Ill</w:t>
            </w:r>
            <w:r>
              <w:rPr>
                <w:spacing w:val="-4"/>
                <w:sz w:val="22"/>
              </w:rPr>
              <w:t xml:space="preserve"> </w:t>
            </w:r>
            <w:r>
              <w:rPr>
                <w:spacing w:val="-2"/>
                <w:sz w:val="22"/>
              </w:rPr>
              <w:t>(SSBCI)</w:t>
            </w:r>
          </w:p>
        </w:tc>
        <w:tc>
          <w:tcPr>
            <w:tcW w:w="733" w:type="dxa"/>
          </w:tcPr>
          <w:p>
            <w:pPr>
              <w:pStyle w:val="TableParagraph"/>
              <w:spacing w:line="155" w:lineRule="exact"/>
              <w:ind w:left="120"/>
              <w:rPr>
                <w:sz w:val="14"/>
              </w:rPr>
            </w:pPr>
            <w:r>
              <w:rPr>
                <w:spacing w:val="-10"/>
                <w:sz w:val="14"/>
              </w:rPr>
              <w:t>1</w:t>
            </w:r>
          </w:p>
        </w:tc>
        <w:tc>
          <w:tcPr>
            <w:tcW w:w="3788" w:type="dxa"/>
          </w:tcPr>
          <w:p>
            <w:pPr>
              <w:pStyle w:val="TableParagraph"/>
              <w:spacing w:line="251" w:lineRule="exact"/>
              <w:ind w:left="107"/>
              <w:rPr>
                <w:sz w:val="22"/>
              </w:rPr>
            </w:pPr>
            <w:r>
              <w:rPr>
                <w:sz w:val="22"/>
              </w:rPr>
              <w:t>Actuary’s</w:t>
            </w:r>
            <w:r>
              <w:rPr>
                <w:spacing w:val="-5"/>
                <w:sz w:val="22"/>
              </w:rPr>
              <w:t xml:space="preserve"> </w:t>
            </w:r>
            <w:r>
              <w:rPr>
                <w:spacing w:val="-2"/>
                <w:sz w:val="22"/>
              </w:rPr>
              <w:t>discretion</w:t>
            </w:r>
          </w:p>
        </w:tc>
      </w:tr>
      <w:tr>
        <w:tblPrEx>
          <w:tblW w:w="0" w:type="auto"/>
          <w:jc w:val="left"/>
          <w:tblInd w:w="622" w:type="dxa"/>
          <w:tblLayout w:type="fixed"/>
          <w:tblCellMar>
            <w:top w:w="0" w:type="dxa"/>
            <w:left w:w="0" w:type="dxa"/>
            <w:bottom w:w="0" w:type="dxa"/>
            <w:right w:w="0" w:type="dxa"/>
          </w:tblCellMar>
          <w:tblLook w:val="01E0"/>
        </w:tblPrEx>
        <w:trPr>
          <w:trHeight w:val="254"/>
          <w:jc w:val="left"/>
        </w:trPr>
        <w:tc>
          <w:tcPr>
            <w:tcW w:w="727" w:type="dxa"/>
          </w:tcPr>
          <w:p>
            <w:pPr>
              <w:pStyle w:val="TableParagraph"/>
              <w:spacing w:line="234" w:lineRule="exact"/>
              <w:ind w:left="107"/>
              <w:rPr>
                <w:sz w:val="22"/>
              </w:rPr>
            </w:pPr>
            <w:r>
              <w:rPr>
                <w:spacing w:val="-5"/>
                <w:sz w:val="22"/>
              </w:rPr>
              <w:t>19b</w:t>
            </w:r>
          </w:p>
        </w:tc>
        <w:tc>
          <w:tcPr>
            <w:tcW w:w="4186" w:type="dxa"/>
          </w:tcPr>
          <w:p>
            <w:pPr>
              <w:pStyle w:val="TableParagraph"/>
              <w:spacing w:line="234" w:lineRule="exact"/>
              <w:ind w:left="76"/>
              <w:rPr>
                <w:sz w:val="22"/>
              </w:rPr>
            </w:pPr>
            <w:r>
              <w:rPr>
                <w:sz w:val="22"/>
              </w:rPr>
              <w:t>Additional</w:t>
            </w:r>
            <w:r>
              <w:rPr>
                <w:spacing w:val="-4"/>
                <w:sz w:val="22"/>
              </w:rPr>
              <w:t xml:space="preserve"> </w:t>
            </w:r>
            <w:r>
              <w:rPr>
                <w:sz w:val="22"/>
              </w:rPr>
              <w:t>Benefits</w:t>
            </w:r>
            <w:r>
              <w:rPr>
                <w:spacing w:val="-7"/>
                <w:sz w:val="22"/>
              </w:rPr>
              <w:t xml:space="preserve"> </w:t>
            </w:r>
            <w:r>
              <w:rPr>
                <w:sz w:val="22"/>
              </w:rPr>
              <w:t>for</w:t>
            </w:r>
            <w:r>
              <w:rPr>
                <w:spacing w:val="-2"/>
                <w:sz w:val="22"/>
              </w:rPr>
              <w:t xml:space="preserve"> Uniformity/SSBCI</w:t>
            </w:r>
          </w:p>
        </w:tc>
        <w:tc>
          <w:tcPr>
            <w:tcW w:w="733" w:type="dxa"/>
          </w:tcPr>
          <w:p>
            <w:pPr>
              <w:pStyle w:val="TableParagraph"/>
              <w:spacing w:line="155" w:lineRule="exact"/>
              <w:ind w:left="120"/>
              <w:rPr>
                <w:sz w:val="14"/>
              </w:rPr>
            </w:pPr>
            <w:r>
              <w:rPr>
                <w:spacing w:val="-10"/>
                <w:sz w:val="14"/>
              </w:rPr>
              <w:t>1</w:t>
            </w:r>
          </w:p>
        </w:tc>
        <w:tc>
          <w:tcPr>
            <w:tcW w:w="3788" w:type="dxa"/>
          </w:tcPr>
          <w:p>
            <w:pPr>
              <w:pStyle w:val="TableParagraph"/>
              <w:spacing w:line="234" w:lineRule="exact"/>
              <w:ind w:left="107"/>
              <w:rPr>
                <w:sz w:val="22"/>
              </w:rPr>
            </w:pPr>
            <w:r>
              <w:rPr>
                <w:sz w:val="22"/>
              </w:rPr>
              <w:t>Actuary’s</w:t>
            </w:r>
            <w:r>
              <w:rPr>
                <w:spacing w:val="-5"/>
                <w:sz w:val="22"/>
              </w:rPr>
              <w:t xml:space="preserve"> </w:t>
            </w:r>
            <w:r>
              <w:rPr>
                <w:spacing w:val="-2"/>
                <w:sz w:val="22"/>
              </w:rPr>
              <w:t>discretion</w:t>
            </w:r>
          </w:p>
        </w:tc>
      </w:tr>
      <w:tr>
        <w:tblPrEx>
          <w:tblW w:w="0" w:type="auto"/>
          <w:jc w:val="left"/>
          <w:tblInd w:w="622" w:type="dxa"/>
          <w:tblLayout w:type="fixed"/>
          <w:tblCellMar>
            <w:top w:w="0" w:type="dxa"/>
            <w:left w:w="0" w:type="dxa"/>
            <w:bottom w:w="0" w:type="dxa"/>
            <w:right w:w="0" w:type="dxa"/>
          </w:tblCellMar>
          <w:tblLook w:val="01E0"/>
        </w:tblPrEx>
        <w:trPr>
          <w:trHeight w:val="251"/>
          <w:jc w:val="left"/>
        </w:trPr>
        <w:tc>
          <w:tcPr>
            <w:tcW w:w="9434" w:type="dxa"/>
            <w:gridSpan w:val="4"/>
          </w:tcPr>
          <w:p>
            <w:pPr>
              <w:pStyle w:val="TableParagraph"/>
              <w:spacing w:line="232" w:lineRule="exact"/>
              <w:ind w:left="107"/>
              <w:rPr>
                <w:b/>
                <w:sz w:val="22"/>
              </w:rPr>
            </w:pPr>
            <w:r>
              <w:rPr>
                <w:b/>
                <w:sz w:val="22"/>
              </w:rPr>
              <w:t>Cost</w:t>
            </w:r>
            <w:r>
              <w:rPr>
                <w:b/>
                <w:spacing w:val="-3"/>
                <w:sz w:val="22"/>
              </w:rPr>
              <w:t xml:space="preserve"> </w:t>
            </w:r>
            <w:r>
              <w:rPr>
                <w:b/>
                <w:sz w:val="22"/>
              </w:rPr>
              <w:t>Share</w:t>
            </w:r>
            <w:r>
              <w:rPr>
                <w:b/>
                <w:spacing w:val="-2"/>
                <w:sz w:val="22"/>
              </w:rPr>
              <w:t xml:space="preserve"> Groups</w:t>
            </w:r>
          </w:p>
        </w:tc>
      </w:tr>
      <w:tr>
        <w:tblPrEx>
          <w:tblW w:w="0" w:type="auto"/>
          <w:jc w:val="left"/>
          <w:tblInd w:w="622" w:type="dxa"/>
          <w:tblLayout w:type="fixed"/>
          <w:tblCellMar>
            <w:top w:w="0" w:type="dxa"/>
            <w:left w:w="0" w:type="dxa"/>
            <w:bottom w:w="0" w:type="dxa"/>
            <w:right w:w="0" w:type="dxa"/>
          </w:tblCellMar>
          <w:tblLook w:val="01E0"/>
        </w:tblPrEx>
        <w:trPr>
          <w:trHeight w:val="506"/>
          <w:jc w:val="left"/>
        </w:trPr>
        <w:tc>
          <w:tcPr>
            <w:tcW w:w="727" w:type="dxa"/>
          </w:tcPr>
          <w:p>
            <w:pPr>
              <w:pStyle w:val="TableParagraph"/>
              <w:spacing w:line="252" w:lineRule="exact"/>
              <w:ind w:left="107"/>
              <w:rPr>
                <w:sz w:val="22"/>
              </w:rPr>
            </w:pPr>
            <w:r>
              <w:rPr>
                <w:spacing w:val="-4"/>
                <w:sz w:val="22"/>
              </w:rPr>
              <w:t>Com. Ben.</w:t>
            </w:r>
          </w:p>
        </w:tc>
        <w:tc>
          <w:tcPr>
            <w:tcW w:w="4186" w:type="dxa"/>
          </w:tcPr>
          <w:p>
            <w:pPr>
              <w:pStyle w:val="TableParagraph"/>
              <w:spacing w:before="1"/>
              <w:ind w:left="115"/>
              <w:rPr>
                <w:sz w:val="22"/>
              </w:rPr>
            </w:pPr>
            <w:r>
              <w:rPr>
                <w:sz w:val="22"/>
              </w:rPr>
              <w:t>Combined</w:t>
            </w:r>
            <w:r>
              <w:rPr>
                <w:spacing w:val="-6"/>
                <w:sz w:val="22"/>
              </w:rPr>
              <w:t xml:space="preserve"> </w:t>
            </w:r>
            <w:r>
              <w:rPr>
                <w:sz w:val="22"/>
              </w:rPr>
              <w:t>Supplemental</w:t>
            </w:r>
            <w:r>
              <w:rPr>
                <w:spacing w:val="-4"/>
                <w:sz w:val="22"/>
              </w:rPr>
              <w:t xml:space="preserve"> </w:t>
            </w:r>
            <w:r>
              <w:rPr>
                <w:spacing w:val="-2"/>
                <w:sz w:val="22"/>
              </w:rPr>
              <w:t>Benefits</w:t>
            </w:r>
          </w:p>
        </w:tc>
        <w:tc>
          <w:tcPr>
            <w:tcW w:w="733" w:type="dxa"/>
          </w:tcPr>
          <w:p>
            <w:pPr>
              <w:pStyle w:val="TableParagraph"/>
              <w:spacing w:line="157" w:lineRule="exact"/>
              <w:ind w:left="103"/>
              <w:rPr>
                <w:sz w:val="14"/>
              </w:rPr>
            </w:pPr>
            <w:r>
              <w:rPr>
                <w:spacing w:val="-10"/>
                <w:sz w:val="14"/>
              </w:rPr>
              <w:t>1</w:t>
            </w:r>
          </w:p>
        </w:tc>
        <w:tc>
          <w:tcPr>
            <w:tcW w:w="3788" w:type="dxa"/>
          </w:tcPr>
          <w:p>
            <w:pPr>
              <w:pStyle w:val="TableParagraph"/>
              <w:spacing w:before="1"/>
              <w:ind w:left="107"/>
              <w:rPr>
                <w:sz w:val="22"/>
              </w:rPr>
            </w:pPr>
            <w:r>
              <w:rPr>
                <w:sz w:val="22"/>
              </w:rPr>
              <w:t>Actuary’s</w:t>
            </w:r>
            <w:r>
              <w:rPr>
                <w:spacing w:val="-5"/>
                <w:sz w:val="22"/>
              </w:rPr>
              <w:t xml:space="preserve"> </w:t>
            </w:r>
            <w:r>
              <w:rPr>
                <w:spacing w:val="-2"/>
                <w:sz w:val="22"/>
              </w:rPr>
              <w:t>discretion</w:t>
            </w:r>
          </w:p>
        </w:tc>
      </w:tr>
      <w:tr>
        <w:tblPrEx>
          <w:tblW w:w="0" w:type="auto"/>
          <w:jc w:val="left"/>
          <w:tblInd w:w="622" w:type="dxa"/>
          <w:tblLayout w:type="fixed"/>
          <w:tblCellMar>
            <w:top w:w="0" w:type="dxa"/>
            <w:left w:w="0" w:type="dxa"/>
            <w:bottom w:w="0" w:type="dxa"/>
            <w:right w:w="0" w:type="dxa"/>
          </w:tblCellMar>
          <w:tblLook w:val="01E0"/>
        </w:tblPrEx>
        <w:trPr>
          <w:trHeight w:val="253"/>
          <w:jc w:val="left"/>
        </w:trPr>
        <w:tc>
          <w:tcPr>
            <w:tcW w:w="727" w:type="dxa"/>
          </w:tcPr>
          <w:p>
            <w:pPr>
              <w:pStyle w:val="TableParagraph"/>
              <w:spacing w:before="1" w:line="233" w:lineRule="exact"/>
              <w:ind w:left="107"/>
              <w:rPr>
                <w:sz w:val="22"/>
              </w:rPr>
            </w:pPr>
            <w:r>
              <w:rPr>
                <w:spacing w:val="-4"/>
                <w:sz w:val="22"/>
              </w:rPr>
              <w:t>RICS</w:t>
            </w:r>
          </w:p>
        </w:tc>
        <w:tc>
          <w:tcPr>
            <w:tcW w:w="4186" w:type="dxa"/>
          </w:tcPr>
          <w:p>
            <w:pPr>
              <w:pStyle w:val="TableParagraph"/>
              <w:spacing w:before="1" w:line="233" w:lineRule="exact"/>
              <w:ind w:left="115"/>
              <w:rPr>
                <w:sz w:val="22"/>
              </w:rPr>
            </w:pPr>
            <w:r>
              <w:rPr>
                <w:sz w:val="22"/>
              </w:rPr>
              <w:t>Reduction</w:t>
            </w:r>
            <w:r>
              <w:rPr>
                <w:spacing w:val="-8"/>
                <w:sz w:val="22"/>
              </w:rPr>
              <w:t xml:space="preserve"> </w:t>
            </w:r>
            <w:r>
              <w:rPr>
                <w:sz w:val="22"/>
              </w:rPr>
              <w:t>in</w:t>
            </w:r>
            <w:r>
              <w:rPr>
                <w:spacing w:val="-3"/>
                <w:sz w:val="22"/>
              </w:rPr>
              <w:t xml:space="preserve"> </w:t>
            </w:r>
            <w:r>
              <w:rPr>
                <w:sz w:val="22"/>
              </w:rPr>
              <w:t>Cost</w:t>
            </w:r>
            <w:r>
              <w:rPr>
                <w:spacing w:val="-1"/>
                <w:sz w:val="22"/>
              </w:rPr>
              <w:t xml:space="preserve"> </w:t>
            </w:r>
            <w:r>
              <w:rPr>
                <w:spacing w:val="-2"/>
                <w:sz w:val="22"/>
              </w:rPr>
              <w:t>Sharing</w:t>
            </w:r>
          </w:p>
        </w:tc>
        <w:tc>
          <w:tcPr>
            <w:tcW w:w="733" w:type="dxa"/>
          </w:tcPr>
          <w:p>
            <w:pPr>
              <w:pStyle w:val="TableParagraph"/>
              <w:spacing w:line="157" w:lineRule="exact"/>
              <w:ind w:left="103"/>
              <w:rPr>
                <w:sz w:val="14"/>
              </w:rPr>
            </w:pPr>
            <w:r>
              <w:rPr>
                <w:spacing w:val="-10"/>
                <w:sz w:val="14"/>
              </w:rPr>
              <w:t>1</w:t>
            </w:r>
          </w:p>
        </w:tc>
        <w:tc>
          <w:tcPr>
            <w:tcW w:w="3788" w:type="dxa"/>
          </w:tcPr>
          <w:p>
            <w:pPr>
              <w:pStyle w:val="TableParagraph"/>
              <w:spacing w:before="1" w:line="233" w:lineRule="exact"/>
              <w:ind w:left="107"/>
              <w:rPr>
                <w:sz w:val="22"/>
              </w:rPr>
            </w:pPr>
            <w:r>
              <w:rPr>
                <w:sz w:val="22"/>
              </w:rPr>
              <w:t>Actuary’s</w:t>
            </w:r>
            <w:r>
              <w:rPr>
                <w:spacing w:val="-5"/>
                <w:sz w:val="22"/>
              </w:rPr>
              <w:t xml:space="preserve"> </w:t>
            </w:r>
            <w:r>
              <w:rPr>
                <w:spacing w:val="-2"/>
                <w:sz w:val="22"/>
              </w:rPr>
              <w:t>discretion</w:t>
            </w:r>
          </w:p>
        </w:tc>
      </w:tr>
    </w:tbl>
    <w:p>
      <w:pPr>
        <w:pStyle w:val="TableParagraph"/>
        <w:spacing w:after="0" w:line="233" w:lineRule="exact"/>
        <w:rPr>
          <w:sz w:val="22"/>
        </w:rPr>
        <w:sectPr>
          <w:pgSz w:w="12240" w:h="15840"/>
          <w:pgMar w:top="960" w:right="0" w:bottom="940" w:left="1080" w:header="727" w:footer="747"/>
          <w:cols w:space="720"/>
        </w:sectPr>
      </w:pPr>
    </w:p>
    <w:p>
      <w:pPr>
        <w:pStyle w:val="BodyText"/>
        <w:spacing w:before="144"/>
        <w:ind w:left="0"/>
        <w:rPr>
          <w:sz w:val="28"/>
        </w:rPr>
      </w:pPr>
    </w:p>
    <w:p>
      <w:pPr>
        <w:pStyle w:val="Heading1"/>
        <w:tabs>
          <w:tab w:val="left" w:pos="9750"/>
        </w:tabs>
        <w:rPr>
          <w:u w:val="none"/>
        </w:rPr>
      </w:pPr>
      <w:bookmarkStart w:id="398" w:name="Appendix G – DE# Summary"/>
      <w:bookmarkEnd w:id="398"/>
      <w:bookmarkStart w:id="399" w:name="_bookmark101"/>
      <w:bookmarkEnd w:id="399"/>
      <w:r>
        <w:rPr>
          <w:spacing w:val="-50"/>
          <w:u w:val="single"/>
        </w:rPr>
        <w:t xml:space="preserve"> </w:t>
      </w:r>
      <w:r>
        <w:rPr>
          <w:u w:val="single"/>
        </w:rPr>
        <w:t>APPENDIX</w:t>
      </w:r>
      <w:r>
        <w:rPr>
          <w:spacing w:val="-4"/>
          <w:u w:val="single"/>
        </w:rPr>
        <w:t xml:space="preserve"> </w:t>
      </w:r>
      <w:r>
        <w:rPr>
          <w:u w:val="single"/>
        </w:rPr>
        <w:t>G</w:t>
      </w:r>
      <w:r>
        <w:rPr>
          <w:spacing w:val="-4"/>
          <w:u w:val="single"/>
        </w:rPr>
        <w:t xml:space="preserve"> </w:t>
      </w:r>
      <w:r>
        <w:rPr>
          <w:u w:val="single"/>
        </w:rPr>
        <w:t>–</w:t>
      </w:r>
      <w:r>
        <w:rPr>
          <w:spacing w:val="-5"/>
          <w:u w:val="single"/>
        </w:rPr>
        <w:t xml:space="preserve"> </w:t>
      </w:r>
      <w:r>
        <w:rPr>
          <w:u w:val="single"/>
        </w:rPr>
        <w:t>DE#</w:t>
      </w:r>
      <w:r>
        <w:rPr>
          <w:spacing w:val="-2"/>
          <w:u w:val="single"/>
        </w:rPr>
        <w:t xml:space="preserve"> SUMMARY</w:t>
      </w:r>
      <w:r>
        <w:rPr>
          <w:u w:val="single"/>
        </w:rPr>
        <w:tab/>
      </w:r>
    </w:p>
    <w:p>
      <w:pPr>
        <w:pStyle w:val="BodyText"/>
        <w:spacing w:before="110"/>
        <w:ind w:left="0"/>
        <w:rPr>
          <w:rFonts w:ascii="Arial"/>
          <w:b/>
          <w:sz w:val="21"/>
        </w:rPr>
      </w:pPr>
    </w:p>
    <w:p>
      <w:pPr>
        <w:pStyle w:val="Heading2"/>
      </w:pPr>
      <w:bookmarkStart w:id="400" w:name="Medicaid Eligibility Data"/>
      <w:bookmarkEnd w:id="400"/>
      <w:r>
        <w:rPr>
          <w:smallCaps/>
        </w:rPr>
        <w:t>Medicaid</w:t>
      </w:r>
      <w:r>
        <w:rPr>
          <w:smallCaps/>
          <w:spacing w:val="-11"/>
        </w:rPr>
        <w:t xml:space="preserve"> </w:t>
      </w:r>
      <w:r>
        <w:rPr>
          <w:smallCaps/>
        </w:rPr>
        <w:t>Eligibility</w:t>
      </w:r>
      <w:r>
        <w:rPr>
          <w:smallCaps/>
          <w:spacing w:val="-12"/>
        </w:rPr>
        <w:t xml:space="preserve"> </w:t>
      </w:r>
      <w:r>
        <w:rPr>
          <w:smallCaps/>
          <w:spacing w:val="-4"/>
        </w:rPr>
        <w:t>Data</w:t>
      </w:r>
    </w:p>
    <w:p>
      <w:pPr>
        <w:pStyle w:val="BodyText"/>
        <w:spacing w:before="180"/>
        <w:ind w:right="1515"/>
      </w:pPr>
      <w:r>
        <w:t>The</w:t>
      </w:r>
      <w:r>
        <w:rPr>
          <w:spacing w:val="-5"/>
        </w:rPr>
        <w:t xml:space="preserve"> </w:t>
      </w:r>
      <w:r>
        <w:t>Medicaid</w:t>
      </w:r>
      <w:r>
        <w:rPr>
          <w:spacing w:val="-3"/>
        </w:rPr>
        <w:t xml:space="preserve"> </w:t>
      </w:r>
      <w:r>
        <w:t>status</w:t>
      </w:r>
      <w:r>
        <w:rPr>
          <w:spacing w:val="-4"/>
        </w:rPr>
        <w:t xml:space="preserve"> </w:t>
      </w:r>
      <w:r>
        <w:t>codes</w:t>
      </w:r>
      <w:r>
        <w:rPr>
          <w:spacing w:val="-4"/>
        </w:rPr>
        <w:t xml:space="preserve"> </w:t>
      </w:r>
      <w:r>
        <w:t>in</w:t>
      </w:r>
      <w:r>
        <w:rPr>
          <w:spacing w:val="-3"/>
        </w:rPr>
        <w:t xml:space="preserve"> </w:t>
      </w:r>
      <w:r>
        <w:t>the</w:t>
      </w:r>
      <w:r>
        <w:rPr>
          <w:spacing w:val="-3"/>
        </w:rPr>
        <w:t xml:space="preserve"> </w:t>
      </w:r>
      <w:r>
        <w:t>beneficiary-level</w:t>
      </w:r>
      <w:r>
        <w:rPr>
          <w:spacing w:val="-3"/>
        </w:rPr>
        <w:t xml:space="preserve"> </w:t>
      </w:r>
      <w:r>
        <w:t>file</w:t>
      </w:r>
      <w:r>
        <w:rPr>
          <w:spacing w:val="-3"/>
        </w:rPr>
        <w:t xml:space="preserve"> </w:t>
      </w:r>
      <w:r>
        <w:t>provided</w:t>
      </w:r>
      <w:r>
        <w:rPr>
          <w:spacing w:val="-3"/>
        </w:rPr>
        <w:t xml:space="preserve"> </w:t>
      </w:r>
      <w:r>
        <w:t>by</w:t>
      </w:r>
      <w:r>
        <w:rPr>
          <w:spacing w:val="-3"/>
        </w:rPr>
        <w:t xml:space="preserve"> </w:t>
      </w:r>
      <w:r>
        <w:t>CMS</w:t>
      </w:r>
      <w:r>
        <w:rPr>
          <w:spacing w:val="-2"/>
        </w:rPr>
        <w:t xml:space="preserve"> </w:t>
      </w:r>
      <w:r>
        <w:t>indicate</w:t>
      </w:r>
      <w:r>
        <w:rPr>
          <w:spacing w:val="-4"/>
        </w:rPr>
        <w:t xml:space="preserve"> </w:t>
      </w:r>
      <w:r>
        <w:t>the</w:t>
      </w:r>
      <w:r>
        <w:rPr>
          <w:spacing w:val="-3"/>
        </w:rPr>
        <w:t xml:space="preserve"> </w:t>
      </w:r>
      <w:r>
        <w:t xml:space="preserve">Medicaid eligibility status of the beneficiary as reported by the respective state Medicaid agency. These codes are shown in the table below. For descriptions of the dual-eligible Medicaid programs, and of the types of Medicaid benefits to which these beneficiaries are entitled, see </w:t>
      </w:r>
      <w:hyperlink r:id="rId54">
        <w:r>
          <w:rPr>
            <w:color w:val="0000FF"/>
            <w:spacing w:val="-2"/>
            <w:u w:val="single" w:color="0000FF"/>
          </w:rPr>
          <w:t>https://www.cms.gov/Outreach-and-Education/Medicare-Learning-Network-MLN/</w:t>
        </w:r>
      </w:hyperlink>
      <w:r>
        <w:rPr>
          <w:color w:val="0000FF"/>
          <w:spacing w:val="-2"/>
          <w:u w:val="none"/>
        </w:rPr>
        <w:t xml:space="preserve"> </w:t>
      </w:r>
      <w:hyperlink r:id="rId54">
        <w:r>
          <w:rPr>
            <w:color w:val="0000FF"/>
            <w:u w:val="single" w:color="0000FF"/>
          </w:rPr>
          <w:t>MLNProducts/Downloads/Medicare_Beneficiaries_Dual_Eligibles_At_a_Glance.pdf</w:t>
        </w:r>
      </w:hyperlink>
      <w:r>
        <w:rPr>
          <w:u w:val="none"/>
        </w:rPr>
        <w:t>. For plans operating in the territories and not eligible for the Medicaid programs, determine eligibility based on the definitions in the Pricing Considerations section of these instructions.</w:t>
      </w:r>
    </w:p>
    <w:p>
      <w:pPr>
        <w:pStyle w:val="BodyText"/>
        <w:spacing w:before="82"/>
        <w:ind w:left="0"/>
      </w:pPr>
    </w:p>
    <w:p>
      <w:pPr>
        <w:pStyle w:val="BodyText"/>
        <w:ind w:left="950"/>
      </w:pPr>
      <w:r>
        <w:t>Table</w:t>
      </w:r>
      <w:r>
        <w:rPr>
          <w:spacing w:val="-2"/>
        </w:rPr>
        <w:t xml:space="preserve"> </w:t>
      </w:r>
      <w:r>
        <w:rPr>
          <w:spacing w:val="-10"/>
        </w:rPr>
        <w:t>1</w:t>
      </w:r>
    </w:p>
    <w:tbl>
      <w:tblPr>
        <w:tblStyle w:val="TableNormal"/>
        <w:tblW w:w="0" w:type="auto"/>
        <w:jc w:val="left"/>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1"/>
        <w:gridCol w:w="6750"/>
      </w:tblGrid>
      <w:tr>
        <w:tblPrEx>
          <w:tblW w:w="0" w:type="auto"/>
          <w:jc w:val="left"/>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27"/>
          <w:jc w:val="left"/>
        </w:trPr>
        <w:tc>
          <w:tcPr>
            <w:tcW w:w="1351" w:type="dxa"/>
          </w:tcPr>
          <w:p>
            <w:pPr>
              <w:pStyle w:val="TableParagraph"/>
              <w:spacing w:line="254" w:lineRule="exact"/>
              <w:ind w:left="107" w:right="97"/>
              <w:rPr>
                <w:b/>
                <w:sz w:val="22"/>
              </w:rPr>
            </w:pPr>
            <w:r>
              <w:rPr>
                <w:b/>
                <w:spacing w:val="-2"/>
                <w:sz w:val="22"/>
              </w:rPr>
              <w:t xml:space="preserve">Medicaid </w:t>
            </w:r>
            <w:r>
              <w:rPr>
                <w:b/>
                <w:sz w:val="22"/>
              </w:rPr>
              <w:t>Status</w:t>
            </w:r>
            <w:r>
              <w:rPr>
                <w:b/>
                <w:spacing w:val="-14"/>
                <w:sz w:val="22"/>
              </w:rPr>
              <w:t xml:space="preserve"> </w:t>
            </w:r>
            <w:r>
              <w:rPr>
                <w:b/>
                <w:sz w:val="22"/>
              </w:rPr>
              <w:t>Code</w:t>
            </w:r>
          </w:p>
        </w:tc>
        <w:tc>
          <w:tcPr>
            <w:tcW w:w="6750" w:type="dxa"/>
          </w:tcPr>
          <w:p>
            <w:pPr>
              <w:pStyle w:val="TableParagraph"/>
              <w:spacing w:before="2"/>
              <w:rPr>
                <w:sz w:val="22"/>
              </w:rPr>
            </w:pPr>
          </w:p>
          <w:p>
            <w:pPr>
              <w:pStyle w:val="TableParagraph"/>
              <w:spacing w:line="252" w:lineRule="exact"/>
              <w:ind w:left="107"/>
              <w:rPr>
                <w:b/>
                <w:sz w:val="22"/>
              </w:rPr>
            </w:pPr>
            <w:r>
              <w:rPr>
                <w:b/>
                <w:sz w:val="22"/>
              </w:rPr>
              <w:t>Medicaid</w:t>
            </w:r>
            <w:r>
              <w:rPr>
                <w:b/>
                <w:spacing w:val="-9"/>
                <w:sz w:val="22"/>
              </w:rPr>
              <w:t xml:space="preserve"> </w:t>
            </w:r>
            <w:r>
              <w:rPr>
                <w:b/>
                <w:sz w:val="22"/>
              </w:rPr>
              <w:t>State-Reported</w:t>
            </w:r>
            <w:r>
              <w:rPr>
                <w:b/>
                <w:spacing w:val="-9"/>
                <w:sz w:val="22"/>
              </w:rPr>
              <w:t xml:space="preserve"> </w:t>
            </w:r>
            <w:r>
              <w:rPr>
                <w:b/>
                <w:sz w:val="22"/>
              </w:rPr>
              <w:t>Code</w:t>
            </w:r>
            <w:r>
              <w:rPr>
                <w:b/>
                <w:spacing w:val="-6"/>
                <w:sz w:val="22"/>
              </w:rPr>
              <w:t xml:space="preserve"> </w:t>
            </w:r>
            <w:r>
              <w:rPr>
                <w:b/>
                <w:sz w:val="22"/>
              </w:rPr>
              <w:t>(Dual-Eligible</w:t>
            </w:r>
            <w:r>
              <w:rPr>
                <w:b/>
                <w:spacing w:val="-8"/>
                <w:sz w:val="22"/>
              </w:rPr>
              <w:t xml:space="preserve"> </w:t>
            </w:r>
            <w:r>
              <w:rPr>
                <w:b/>
                <w:sz w:val="22"/>
              </w:rPr>
              <w:t>Medicaid</w:t>
            </w:r>
            <w:r>
              <w:rPr>
                <w:b/>
                <w:spacing w:val="-6"/>
                <w:sz w:val="22"/>
              </w:rPr>
              <w:t xml:space="preserve"> </w:t>
            </w:r>
            <w:r>
              <w:rPr>
                <w:b/>
                <w:spacing w:val="-2"/>
                <w:sz w:val="22"/>
              </w:rPr>
              <w:t>Program)</w:t>
            </w:r>
          </w:p>
        </w:tc>
      </w:tr>
      <w:tr>
        <w:tblPrEx>
          <w:tblW w:w="0" w:type="auto"/>
          <w:jc w:val="left"/>
          <w:tblInd w:w="982" w:type="dxa"/>
          <w:tblLayout w:type="fixed"/>
          <w:tblCellMar>
            <w:top w:w="0" w:type="dxa"/>
            <w:left w:w="0" w:type="dxa"/>
            <w:bottom w:w="0" w:type="dxa"/>
            <w:right w:w="0" w:type="dxa"/>
          </w:tblCellMar>
          <w:tblLook w:val="01E0"/>
        </w:tblPrEx>
        <w:trPr>
          <w:trHeight w:val="251"/>
          <w:jc w:val="left"/>
        </w:trPr>
        <w:tc>
          <w:tcPr>
            <w:tcW w:w="1351" w:type="dxa"/>
          </w:tcPr>
          <w:p>
            <w:pPr>
              <w:pStyle w:val="TableParagraph"/>
              <w:spacing w:line="232" w:lineRule="exact"/>
              <w:ind w:left="107"/>
              <w:rPr>
                <w:sz w:val="22"/>
              </w:rPr>
            </w:pPr>
            <w:r>
              <w:rPr>
                <w:spacing w:val="-5"/>
                <w:sz w:val="22"/>
              </w:rPr>
              <w:t>01</w:t>
            </w:r>
          </w:p>
        </w:tc>
        <w:tc>
          <w:tcPr>
            <w:tcW w:w="6750" w:type="dxa"/>
          </w:tcPr>
          <w:p>
            <w:pPr>
              <w:pStyle w:val="TableParagraph"/>
              <w:spacing w:line="232" w:lineRule="exact"/>
              <w:ind w:left="107"/>
              <w:rPr>
                <w:sz w:val="22"/>
              </w:rPr>
            </w:pPr>
            <w:r>
              <w:rPr>
                <w:sz w:val="22"/>
              </w:rPr>
              <w:t>QMB</w:t>
            </w:r>
            <w:r>
              <w:rPr>
                <w:spacing w:val="-5"/>
                <w:sz w:val="22"/>
              </w:rPr>
              <w:t xml:space="preserve"> </w:t>
            </w:r>
            <w:r>
              <w:rPr>
                <w:sz w:val="22"/>
              </w:rPr>
              <w:t>(Qualified</w:t>
            </w:r>
            <w:r>
              <w:rPr>
                <w:spacing w:val="-7"/>
                <w:sz w:val="22"/>
              </w:rPr>
              <w:t xml:space="preserve"> </w:t>
            </w:r>
            <w:r>
              <w:rPr>
                <w:sz w:val="22"/>
              </w:rPr>
              <w:t>Medicare</w:t>
            </w:r>
            <w:r>
              <w:rPr>
                <w:spacing w:val="-9"/>
                <w:sz w:val="22"/>
              </w:rPr>
              <w:t xml:space="preserve"> </w:t>
            </w:r>
            <w:r>
              <w:rPr>
                <w:sz w:val="22"/>
              </w:rPr>
              <w:t>Beneficiary)</w:t>
            </w:r>
            <w:r>
              <w:rPr>
                <w:spacing w:val="-2"/>
                <w:sz w:val="22"/>
              </w:rPr>
              <w:t xml:space="preserve"> </w:t>
            </w:r>
            <w:r>
              <w:rPr>
                <w:spacing w:val="-4"/>
                <w:sz w:val="22"/>
              </w:rPr>
              <w:t>only</w:t>
            </w:r>
          </w:p>
        </w:tc>
      </w:tr>
      <w:tr>
        <w:tblPrEx>
          <w:tblW w:w="0" w:type="auto"/>
          <w:jc w:val="left"/>
          <w:tblInd w:w="982" w:type="dxa"/>
          <w:tblLayout w:type="fixed"/>
          <w:tblCellMar>
            <w:top w:w="0" w:type="dxa"/>
            <w:left w:w="0" w:type="dxa"/>
            <w:bottom w:w="0" w:type="dxa"/>
            <w:right w:w="0" w:type="dxa"/>
          </w:tblCellMar>
          <w:tblLook w:val="01E0"/>
        </w:tblPrEx>
        <w:trPr>
          <w:trHeight w:val="253"/>
          <w:jc w:val="left"/>
        </w:trPr>
        <w:tc>
          <w:tcPr>
            <w:tcW w:w="1351" w:type="dxa"/>
          </w:tcPr>
          <w:p>
            <w:pPr>
              <w:pStyle w:val="TableParagraph"/>
              <w:spacing w:before="1" w:line="233" w:lineRule="exact"/>
              <w:ind w:left="107"/>
              <w:rPr>
                <w:sz w:val="22"/>
              </w:rPr>
            </w:pPr>
            <w:r>
              <w:rPr>
                <w:spacing w:val="-5"/>
                <w:sz w:val="22"/>
              </w:rPr>
              <w:t>02</w:t>
            </w:r>
          </w:p>
        </w:tc>
        <w:tc>
          <w:tcPr>
            <w:tcW w:w="6750" w:type="dxa"/>
          </w:tcPr>
          <w:p>
            <w:pPr>
              <w:pStyle w:val="TableParagraph"/>
              <w:spacing w:before="1" w:line="233" w:lineRule="exact"/>
              <w:ind w:left="107"/>
              <w:rPr>
                <w:sz w:val="22"/>
              </w:rPr>
            </w:pPr>
            <w:r>
              <w:rPr>
                <w:sz w:val="22"/>
              </w:rPr>
              <w:t>QMB</w:t>
            </w:r>
            <w:r>
              <w:rPr>
                <w:spacing w:val="-3"/>
                <w:sz w:val="22"/>
              </w:rPr>
              <w:t xml:space="preserve"> </w:t>
            </w:r>
            <w:r>
              <w:rPr>
                <w:sz w:val="22"/>
              </w:rPr>
              <w:t>Plus</w:t>
            </w:r>
            <w:r>
              <w:rPr>
                <w:spacing w:val="-5"/>
                <w:sz w:val="22"/>
              </w:rPr>
              <w:t xml:space="preserve"> </w:t>
            </w:r>
            <w:r>
              <w:rPr>
                <w:sz w:val="22"/>
              </w:rPr>
              <w:t>full</w:t>
            </w:r>
            <w:r>
              <w:rPr>
                <w:spacing w:val="-5"/>
                <w:sz w:val="22"/>
              </w:rPr>
              <w:t xml:space="preserve"> </w:t>
            </w:r>
            <w:r>
              <w:rPr>
                <w:sz w:val="22"/>
              </w:rPr>
              <w:t>Medicaid</w:t>
            </w:r>
            <w:r>
              <w:rPr>
                <w:spacing w:val="-2"/>
                <w:sz w:val="22"/>
              </w:rPr>
              <w:t xml:space="preserve"> benefits</w:t>
            </w:r>
          </w:p>
        </w:tc>
      </w:tr>
      <w:tr>
        <w:tblPrEx>
          <w:tblW w:w="0" w:type="auto"/>
          <w:jc w:val="left"/>
          <w:tblInd w:w="982" w:type="dxa"/>
          <w:tblLayout w:type="fixed"/>
          <w:tblCellMar>
            <w:top w:w="0" w:type="dxa"/>
            <w:left w:w="0" w:type="dxa"/>
            <w:bottom w:w="0" w:type="dxa"/>
            <w:right w:w="0" w:type="dxa"/>
          </w:tblCellMar>
          <w:tblLook w:val="01E0"/>
        </w:tblPrEx>
        <w:trPr>
          <w:trHeight w:val="254"/>
          <w:jc w:val="left"/>
        </w:trPr>
        <w:tc>
          <w:tcPr>
            <w:tcW w:w="1351" w:type="dxa"/>
          </w:tcPr>
          <w:p>
            <w:pPr>
              <w:pStyle w:val="TableParagraph"/>
              <w:spacing w:line="234" w:lineRule="exact"/>
              <w:ind w:left="107"/>
              <w:rPr>
                <w:sz w:val="22"/>
              </w:rPr>
            </w:pPr>
            <w:r>
              <w:rPr>
                <w:spacing w:val="-5"/>
                <w:sz w:val="22"/>
              </w:rPr>
              <w:t>03</w:t>
            </w:r>
          </w:p>
        </w:tc>
        <w:tc>
          <w:tcPr>
            <w:tcW w:w="6750" w:type="dxa"/>
          </w:tcPr>
          <w:p>
            <w:pPr>
              <w:pStyle w:val="TableParagraph"/>
              <w:spacing w:line="234" w:lineRule="exact"/>
              <w:ind w:left="107"/>
              <w:rPr>
                <w:sz w:val="22"/>
              </w:rPr>
            </w:pPr>
            <w:r>
              <w:rPr>
                <w:sz w:val="22"/>
              </w:rPr>
              <w:t>SLMB</w:t>
            </w:r>
            <w:r>
              <w:rPr>
                <w:spacing w:val="-6"/>
                <w:sz w:val="22"/>
              </w:rPr>
              <w:t xml:space="preserve"> </w:t>
            </w:r>
            <w:r>
              <w:rPr>
                <w:sz w:val="22"/>
              </w:rPr>
              <w:t>(Special</w:t>
            </w:r>
            <w:r>
              <w:rPr>
                <w:spacing w:val="-5"/>
                <w:sz w:val="22"/>
              </w:rPr>
              <w:t xml:space="preserve"> </w:t>
            </w:r>
            <w:r>
              <w:rPr>
                <w:sz w:val="22"/>
              </w:rPr>
              <w:t>Low-Income</w:t>
            </w:r>
            <w:r>
              <w:rPr>
                <w:spacing w:val="-8"/>
                <w:sz w:val="22"/>
              </w:rPr>
              <w:t xml:space="preserve"> </w:t>
            </w:r>
            <w:r>
              <w:rPr>
                <w:sz w:val="22"/>
              </w:rPr>
              <w:t>Medicare</w:t>
            </w:r>
            <w:r>
              <w:rPr>
                <w:spacing w:val="-6"/>
                <w:sz w:val="22"/>
              </w:rPr>
              <w:t xml:space="preserve"> </w:t>
            </w:r>
            <w:r>
              <w:rPr>
                <w:sz w:val="22"/>
              </w:rPr>
              <w:t>Beneficiary)</w:t>
            </w:r>
            <w:r>
              <w:rPr>
                <w:spacing w:val="-7"/>
                <w:sz w:val="22"/>
              </w:rPr>
              <w:t xml:space="preserve"> </w:t>
            </w:r>
            <w:r>
              <w:rPr>
                <w:spacing w:val="-4"/>
                <w:sz w:val="22"/>
              </w:rPr>
              <w:t>only</w:t>
            </w:r>
          </w:p>
        </w:tc>
      </w:tr>
      <w:tr>
        <w:tblPrEx>
          <w:tblW w:w="0" w:type="auto"/>
          <w:jc w:val="left"/>
          <w:tblInd w:w="982" w:type="dxa"/>
          <w:tblLayout w:type="fixed"/>
          <w:tblCellMar>
            <w:top w:w="0" w:type="dxa"/>
            <w:left w:w="0" w:type="dxa"/>
            <w:bottom w:w="0" w:type="dxa"/>
            <w:right w:w="0" w:type="dxa"/>
          </w:tblCellMar>
          <w:tblLook w:val="01E0"/>
        </w:tblPrEx>
        <w:trPr>
          <w:trHeight w:val="251"/>
          <w:jc w:val="left"/>
        </w:trPr>
        <w:tc>
          <w:tcPr>
            <w:tcW w:w="1351" w:type="dxa"/>
          </w:tcPr>
          <w:p>
            <w:pPr>
              <w:pStyle w:val="TableParagraph"/>
              <w:spacing w:line="232" w:lineRule="exact"/>
              <w:ind w:left="107"/>
              <w:rPr>
                <w:sz w:val="22"/>
              </w:rPr>
            </w:pPr>
            <w:r>
              <w:rPr>
                <w:spacing w:val="-5"/>
                <w:sz w:val="22"/>
              </w:rPr>
              <w:t>04</w:t>
            </w:r>
          </w:p>
        </w:tc>
        <w:tc>
          <w:tcPr>
            <w:tcW w:w="6750" w:type="dxa"/>
          </w:tcPr>
          <w:p>
            <w:pPr>
              <w:pStyle w:val="TableParagraph"/>
              <w:spacing w:line="232" w:lineRule="exact"/>
              <w:ind w:left="107"/>
              <w:rPr>
                <w:sz w:val="22"/>
              </w:rPr>
            </w:pPr>
            <w:r>
              <w:rPr>
                <w:sz w:val="22"/>
              </w:rPr>
              <w:t>SLMB</w:t>
            </w:r>
            <w:r>
              <w:rPr>
                <w:spacing w:val="-3"/>
                <w:sz w:val="22"/>
              </w:rPr>
              <w:t xml:space="preserve"> </w:t>
            </w:r>
            <w:r>
              <w:rPr>
                <w:sz w:val="22"/>
              </w:rPr>
              <w:t>Plus</w:t>
            </w:r>
            <w:r>
              <w:rPr>
                <w:spacing w:val="-5"/>
                <w:sz w:val="22"/>
              </w:rPr>
              <w:t xml:space="preserve"> </w:t>
            </w:r>
            <w:r>
              <w:rPr>
                <w:sz w:val="22"/>
              </w:rPr>
              <w:t>full</w:t>
            </w:r>
            <w:r>
              <w:rPr>
                <w:spacing w:val="-5"/>
                <w:sz w:val="22"/>
              </w:rPr>
              <w:t xml:space="preserve"> </w:t>
            </w:r>
            <w:r>
              <w:rPr>
                <w:sz w:val="22"/>
              </w:rPr>
              <w:t>Medicaid</w:t>
            </w:r>
            <w:r>
              <w:rPr>
                <w:spacing w:val="-2"/>
                <w:sz w:val="22"/>
              </w:rPr>
              <w:t xml:space="preserve"> benefits</w:t>
            </w:r>
          </w:p>
        </w:tc>
      </w:tr>
      <w:tr>
        <w:tblPrEx>
          <w:tblW w:w="0" w:type="auto"/>
          <w:jc w:val="left"/>
          <w:tblInd w:w="982" w:type="dxa"/>
          <w:tblLayout w:type="fixed"/>
          <w:tblCellMar>
            <w:top w:w="0" w:type="dxa"/>
            <w:left w:w="0" w:type="dxa"/>
            <w:bottom w:w="0" w:type="dxa"/>
            <w:right w:w="0" w:type="dxa"/>
          </w:tblCellMar>
          <w:tblLook w:val="01E0"/>
        </w:tblPrEx>
        <w:trPr>
          <w:trHeight w:val="254"/>
          <w:jc w:val="left"/>
        </w:trPr>
        <w:tc>
          <w:tcPr>
            <w:tcW w:w="1351" w:type="dxa"/>
          </w:tcPr>
          <w:p>
            <w:pPr>
              <w:pStyle w:val="TableParagraph"/>
              <w:spacing w:line="234" w:lineRule="exact"/>
              <w:ind w:left="107"/>
              <w:rPr>
                <w:sz w:val="22"/>
              </w:rPr>
            </w:pPr>
            <w:r>
              <w:rPr>
                <w:spacing w:val="-5"/>
                <w:sz w:val="22"/>
              </w:rPr>
              <w:t>05</w:t>
            </w:r>
          </w:p>
        </w:tc>
        <w:tc>
          <w:tcPr>
            <w:tcW w:w="6750" w:type="dxa"/>
          </w:tcPr>
          <w:p>
            <w:pPr>
              <w:pStyle w:val="TableParagraph"/>
              <w:spacing w:line="234" w:lineRule="exact"/>
              <w:ind w:left="107"/>
              <w:rPr>
                <w:sz w:val="22"/>
              </w:rPr>
            </w:pPr>
            <w:r>
              <w:rPr>
                <w:sz w:val="22"/>
              </w:rPr>
              <w:t>QDWI</w:t>
            </w:r>
            <w:r>
              <w:rPr>
                <w:spacing w:val="-5"/>
                <w:sz w:val="22"/>
              </w:rPr>
              <w:t xml:space="preserve"> </w:t>
            </w:r>
            <w:r>
              <w:rPr>
                <w:sz w:val="22"/>
              </w:rPr>
              <w:t>(Qualified</w:t>
            </w:r>
            <w:r>
              <w:rPr>
                <w:spacing w:val="-5"/>
                <w:sz w:val="22"/>
              </w:rPr>
              <w:t xml:space="preserve"> </w:t>
            </w:r>
            <w:r>
              <w:rPr>
                <w:sz w:val="22"/>
              </w:rPr>
              <w:t>Disabled</w:t>
            </w:r>
            <w:r>
              <w:rPr>
                <w:spacing w:val="-5"/>
                <w:sz w:val="22"/>
              </w:rPr>
              <w:t xml:space="preserve"> </w:t>
            </w:r>
            <w:r>
              <w:rPr>
                <w:sz w:val="22"/>
              </w:rPr>
              <w:t>and</w:t>
            </w:r>
            <w:r>
              <w:rPr>
                <w:spacing w:val="-4"/>
                <w:sz w:val="22"/>
              </w:rPr>
              <w:t xml:space="preserve"> </w:t>
            </w:r>
            <w:r>
              <w:rPr>
                <w:sz w:val="22"/>
              </w:rPr>
              <w:t>Working</w:t>
            </w:r>
            <w:r>
              <w:rPr>
                <w:spacing w:val="-4"/>
                <w:sz w:val="22"/>
              </w:rPr>
              <w:t xml:space="preserve"> </w:t>
            </w:r>
            <w:r>
              <w:rPr>
                <w:spacing w:val="-2"/>
                <w:sz w:val="22"/>
              </w:rPr>
              <w:t>Individual)</w:t>
            </w:r>
          </w:p>
        </w:tc>
      </w:tr>
      <w:tr>
        <w:tblPrEx>
          <w:tblW w:w="0" w:type="auto"/>
          <w:jc w:val="left"/>
          <w:tblInd w:w="982" w:type="dxa"/>
          <w:tblLayout w:type="fixed"/>
          <w:tblCellMar>
            <w:top w:w="0" w:type="dxa"/>
            <w:left w:w="0" w:type="dxa"/>
            <w:bottom w:w="0" w:type="dxa"/>
            <w:right w:w="0" w:type="dxa"/>
          </w:tblCellMar>
          <w:tblLook w:val="01E0"/>
        </w:tblPrEx>
        <w:trPr>
          <w:trHeight w:val="251"/>
          <w:jc w:val="left"/>
        </w:trPr>
        <w:tc>
          <w:tcPr>
            <w:tcW w:w="1351" w:type="dxa"/>
          </w:tcPr>
          <w:p>
            <w:pPr>
              <w:pStyle w:val="TableParagraph"/>
              <w:spacing w:line="232" w:lineRule="exact"/>
              <w:ind w:left="107"/>
              <w:rPr>
                <w:sz w:val="22"/>
              </w:rPr>
            </w:pPr>
            <w:r>
              <w:rPr>
                <w:spacing w:val="-5"/>
                <w:sz w:val="22"/>
              </w:rPr>
              <w:t>06</w:t>
            </w:r>
          </w:p>
        </w:tc>
        <w:tc>
          <w:tcPr>
            <w:tcW w:w="6750" w:type="dxa"/>
          </w:tcPr>
          <w:p>
            <w:pPr>
              <w:pStyle w:val="TableParagraph"/>
              <w:spacing w:line="232" w:lineRule="exact"/>
              <w:ind w:left="107"/>
              <w:rPr>
                <w:sz w:val="22"/>
              </w:rPr>
            </w:pPr>
            <w:r>
              <w:rPr>
                <w:sz w:val="22"/>
              </w:rPr>
              <w:t>QI</w:t>
            </w:r>
            <w:r>
              <w:rPr>
                <w:spacing w:val="-5"/>
                <w:sz w:val="22"/>
              </w:rPr>
              <w:t xml:space="preserve"> </w:t>
            </w:r>
            <w:r>
              <w:rPr>
                <w:sz w:val="22"/>
              </w:rPr>
              <w:t>(Qualified</w:t>
            </w:r>
            <w:r>
              <w:rPr>
                <w:spacing w:val="-3"/>
                <w:sz w:val="22"/>
              </w:rPr>
              <w:t xml:space="preserve"> </w:t>
            </w:r>
            <w:r>
              <w:rPr>
                <w:spacing w:val="-2"/>
                <w:sz w:val="22"/>
              </w:rPr>
              <w:t>Individual)</w:t>
            </w:r>
          </w:p>
        </w:tc>
      </w:tr>
      <w:tr>
        <w:tblPrEx>
          <w:tblW w:w="0" w:type="auto"/>
          <w:jc w:val="left"/>
          <w:tblInd w:w="982" w:type="dxa"/>
          <w:tblLayout w:type="fixed"/>
          <w:tblCellMar>
            <w:top w:w="0" w:type="dxa"/>
            <w:left w:w="0" w:type="dxa"/>
            <w:bottom w:w="0" w:type="dxa"/>
            <w:right w:w="0" w:type="dxa"/>
          </w:tblCellMar>
          <w:tblLook w:val="01E0"/>
        </w:tblPrEx>
        <w:trPr>
          <w:trHeight w:val="506"/>
          <w:jc w:val="left"/>
        </w:trPr>
        <w:tc>
          <w:tcPr>
            <w:tcW w:w="1351" w:type="dxa"/>
          </w:tcPr>
          <w:p>
            <w:pPr>
              <w:pStyle w:val="TableParagraph"/>
              <w:spacing w:before="253" w:line="233" w:lineRule="exact"/>
              <w:ind w:left="107"/>
              <w:rPr>
                <w:sz w:val="22"/>
              </w:rPr>
            </w:pPr>
            <w:r>
              <w:rPr>
                <w:spacing w:val="-5"/>
                <w:sz w:val="22"/>
              </w:rPr>
              <w:t>08</w:t>
            </w:r>
          </w:p>
        </w:tc>
        <w:tc>
          <w:tcPr>
            <w:tcW w:w="6750" w:type="dxa"/>
          </w:tcPr>
          <w:p>
            <w:pPr>
              <w:pStyle w:val="TableParagraph"/>
              <w:spacing w:line="254" w:lineRule="exact"/>
              <w:ind w:left="107"/>
              <w:rPr>
                <w:sz w:val="22"/>
              </w:rPr>
            </w:pPr>
            <w:r>
              <w:rPr>
                <w:sz w:val="22"/>
              </w:rPr>
              <w:t>Full-benefit</w:t>
            </w:r>
            <w:r>
              <w:rPr>
                <w:spacing w:val="-4"/>
                <w:sz w:val="22"/>
              </w:rPr>
              <w:t xml:space="preserve"> </w:t>
            </w:r>
            <w:r>
              <w:rPr>
                <w:sz w:val="22"/>
              </w:rPr>
              <w:t>dual-eligible</w:t>
            </w:r>
            <w:r>
              <w:rPr>
                <w:spacing w:val="-4"/>
                <w:sz w:val="22"/>
              </w:rPr>
              <w:t xml:space="preserve"> </w:t>
            </w:r>
            <w:r>
              <w:rPr>
                <w:sz w:val="22"/>
              </w:rPr>
              <w:t>beneficiaries</w:t>
            </w:r>
            <w:r>
              <w:rPr>
                <w:spacing w:val="-4"/>
                <w:sz w:val="22"/>
              </w:rPr>
              <w:t xml:space="preserve"> </w:t>
            </w:r>
            <w:r>
              <w:rPr>
                <w:sz w:val="22"/>
              </w:rPr>
              <w:t>who</w:t>
            </w:r>
            <w:r>
              <w:rPr>
                <w:spacing w:val="-4"/>
                <w:sz w:val="22"/>
              </w:rPr>
              <w:t xml:space="preserve"> </w:t>
            </w:r>
            <w:r>
              <w:rPr>
                <w:sz w:val="22"/>
              </w:rPr>
              <w:t>do</w:t>
            </w:r>
            <w:r>
              <w:rPr>
                <w:spacing w:val="-5"/>
                <w:sz w:val="22"/>
              </w:rPr>
              <w:t xml:space="preserve"> </w:t>
            </w:r>
            <w:r>
              <w:rPr>
                <w:sz w:val="22"/>
              </w:rPr>
              <w:t>not</w:t>
            </w:r>
            <w:r>
              <w:rPr>
                <w:spacing w:val="-4"/>
                <w:sz w:val="22"/>
              </w:rPr>
              <w:t xml:space="preserve"> </w:t>
            </w:r>
            <w:r>
              <w:rPr>
                <w:sz w:val="22"/>
              </w:rPr>
              <w:t>have</w:t>
            </w:r>
            <w:r>
              <w:rPr>
                <w:spacing w:val="-4"/>
                <w:sz w:val="22"/>
              </w:rPr>
              <w:t xml:space="preserve"> </w:t>
            </w:r>
            <w:r>
              <w:rPr>
                <w:sz w:val="22"/>
              </w:rPr>
              <w:t>QMB</w:t>
            </w:r>
            <w:r>
              <w:rPr>
                <w:spacing w:val="-5"/>
                <w:sz w:val="22"/>
              </w:rPr>
              <w:t xml:space="preserve"> </w:t>
            </w:r>
            <w:r>
              <w:rPr>
                <w:sz w:val="22"/>
              </w:rPr>
              <w:t>or</w:t>
            </w:r>
            <w:r>
              <w:rPr>
                <w:spacing w:val="-4"/>
                <w:sz w:val="22"/>
              </w:rPr>
              <w:t xml:space="preserve"> </w:t>
            </w:r>
            <w:r>
              <w:rPr>
                <w:sz w:val="22"/>
              </w:rPr>
              <w:t xml:space="preserve">SLMB </w:t>
            </w:r>
            <w:r>
              <w:rPr>
                <w:spacing w:val="-2"/>
                <w:sz w:val="22"/>
              </w:rPr>
              <w:t>status</w:t>
            </w:r>
          </w:p>
        </w:tc>
      </w:tr>
      <w:tr>
        <w:tblPrEx>
          <w:tblW w:w="0" w:type="auto"/>
          <w:jc w:val="left"/>
          <w:tblInd w:w="982" w:type="dxa"/>
          <w:tblLayout w:type="fixed"/>
          <w:tblCellMar>
            <w:top w:w="0" w:type="dxa"/>
            <w:left w:w="0" w:type="dxa"/>
            <w:bottom w:w="0" w:type="dxa"/>
            <w:right w:w="0" w:type="dxa"/>
          </w:tblCellMar>
          <w:tblLook w:val="01E0"/>
        </w:tblPrEx>
        <w:trPr>
          <w:trHeight w:val="504"/>
          <w:jc w:val="left"/>
        </w:trPr>
        <w:tc>
          <w:tcPr>
            <w:tcW w:w="1351" w:type="dxa"/>
          </w:tcPr>
          <w:p>
            <w:pPr>
              <w:pStyle w:val="TableParagraph"/>
              <w:spacing w:before="251" w:line="233" w:lineRule="exact"/>
              <w:ind w:left="107"/>
              <w:rPr>
                <w:sz w:val="22"/>
              </w:rPr>
            </w:pPr>
            <w:r>
              <w:rPr>
                <w:spacing w:val="-5"/>
                <w:sz w:val="22"/>
              </w:rPr>
              <w:t>09</w:t>
            </w:r>
          </w:p>
        </w:tc>
        <w:tc>
          <w:tcPr>
            <w:tcW w:w="6750" w:type="dxa"/>
          </w:tcPr>
          <w:p>
            <w:pPr>
              <w:pStyle w:val="TableParagraph"/>
              <w:spacing w:line="250" w:lineRule="exact"/>
              <w:ind w:left="107"/>
              <w:rPr>
                <w:sz w:val="22"/>
              </w:rPr>
            </w:pPr>
            <w:r>
              <w:rPr>
                <w:sz w:val="22"/>
              </w:rPr>
              <w:t>Other</w:t>
            </w:r>
            <w:r>
              <w:rPr>
                <w:spacing w:val="-9"/>
                <w:sz w:val="22"/>
              </w:rPr>
              <w:t xml:space="preserve"> </w:t>
            </w:r>
            <w:r>
              <w:rPr>
                <w:sz w:val="22"/>
              </w:rPr>
              <w:t>dual-eligible</w:t>
            </w:r>
            <w:r>
              <w:rPr>
                <w:spacing w:val="-7"/>
                <w:sz w:val="22"/>
              </w:rPr>
              <w:t xml:space="preserve"> </w:t>
            </w:r>
            <w:r>
              <w:rPr>
                <w:sz w:val="22"/>
              </w:rPr>
              <w:t>beneficiaries</w:t>
            </w:r>
            <w:r>
              <w:rPr>
                <w:spacing w:val="-6"/>
                <w:sz w:val="22"/>
              </w:rPr>
              <w:t xml:space="preserve"> </w:t>
            </w:r>
            <w:r>
              <w:rPr>
                <w:sz w:val="22"/>
              </w:rPr>
              <w:t>without</w:t>
            </w:r>
            <w:r>
              <w:rPr>
                <w:spacing w:val="-6"/>
                <w:sz w:val="22"/>
              </w:rPr>
              <w:t xml:space="preserve"> </w:t>
            </w:r>
            <w:r>
              <w:rPr>
                <w:sz w:val="22"/>
              </w:rPr>
              <w:t>full</w:t>
            </w:r>
            <w:r>
              <w:rPr>
                <w:spacing w:val="-7"/>
                <w:sz w:val="22"/>
              </w:rPr>
              <w:t xml:space="preserve"> </w:t>
            </w:r>
            <w:r>
              <w:rPr>
                <w:sz w:val="22"/>
              </w:rPr>
              <w:t>Medicaid</w:t>
            </w:r>
            <w:r>
              <w:rPr>
                <w:spacing w:val="-9"/>
                <w:sz w:val="22"/>
              </w:rPr>
              <w:t xml:space="preserve"> </w:t>
            </w:r>
            <w:r>
              <w:rPr>
                <w:sz w:val="22"/>
              </w:rPr>
              <w:t>benefits—</w:t>
            </w:r>
            <w:r>
              <w:rPr>
                <w:spacing w:val="-5"/>
                <w:sz w:val="22"/>
              </w:rPr>
              <w:t>for</w:t>
            </w:r>
          </w:p>
          <w:p>
            <w:pPr>
              <w:pStyle w:val="TableParagraph"/>
              <w:spacing w:before="1" w:line="233" w:lineRule="exact"/>
              <w:ind w:left="107"/>
              <w:rPr>
                <w:sz w:val="22"/>
              </w:rPr>
            </w:pPr>
            <w:r>
              <w:rPr>
                <w:sz w:val="22"/>
              </w:rPr>
              <w:t>example,</w:t>
            </w:r>
            <w:r>
              <w:rPr>
                <w:spacing w:val="-4"/>
                <w:sz w:val="22"/>
              </w:rPr>
              <w:t xml:space="preserve"> </w:t>
            </w:r>
            <w:r>
              <w:rPr>
                <w:sz w:val="22"/>
              </w:rPr>
              <w:t>those</w:t>
            </w:r>
            <w:r>
              <w:rPr>
                <w:spacing w:val="-5"/>
                <w:sz w:val="22"/>
              </w:rPr>
              <w:t xml:space="preserve"> </w:t>
            </w:r>
            <w:r>
              <w:rPr>
                <w:sz w:val="22"/>
              </w:rPr>
              <w:t>in</w:t>
            </w:r>
            <w:r>
              <w:rPr>
                <w:spacing w:val="-3"/>
                <w:sz w:val="22"/>
              </w:rPr>
              <w:t xml:space="preserve"> </w:t>
            </w:r>
            <w:r>
              <w:rPr>
                <w:sz w:val="22"/>
              </w:rPr>
              <w:t>Pharmacy</w:t>
            </w:r>
            <w:r>
              <w:rPr>
                <w:spacing w:val="-3"/>
                <w:sz w:val="22"/>
              </w:rPr>
              <w:t xml:space="preserve"> </w:t>
            </w:r>
            <w:r>
              <w:rPr>
                <w:sz w:val="22"/>
              </w:rPr>
              <w:t>Plus</w:t>
            </w:r>
            <w:r>
              <w:rPr>
                <w:spacing w:val="-4"/>
                <w:sz w:val="22"/>
              </w:rPr>
              <w:t xml:space="preserve"> </w:t>
            </w:r>
            <w:r>
              <w:rPr>
                <w:sz w:val="22"/>
              </w:rPr>
              <w:t>and</w:t>
            </w:r>
            <w:r>
              <w:rPr>
                <w:spacing w:val="-3"/>
                <w:sz w:val="22"/>
              </w:rPr>
              <w:t xml:space="preserve"> </w:t>
            </w:r>
            <w:r>
              <w:rPr>
                <w:sz w:val="22"/>
              </w:rPr>
              <w:t>1115</w:t>
            </w:r>
            <w:r>
              <w:rPr>
                <w:spacing w:val="-3"/>
                <w:sz w:val="22"/>
              </w:rPr>
              <w:t xml:space="preserve"> </w:t>
            </w:r>
            <w:r>
              <w:rPr>
                <w:sz w:val="22"/>
              </w:rPr>
              <w:t>drug-only</w:t>
            </w:r>
            <w:r>
              <w:rPr>
                <w:spacing w:val="-5"/>
                <w:sz w:val="22"/>
              </w:rPr>
              <w:t xml:space="preserve"> </w:t>
            </w:r>
            <w:r>
              <w:rPr>
                <w:spacing w:val="-2"/>
                <w:sz w:val="22"/>
              </w:rPr>
              <w:t>demonstrations</w:t>
            </w:r>
          </w:p>
        </w:tc>
      </w:tr>
      <w:tr>
        <w:tblPrEx>
          <w:tblW w:w="0" w:type="auto"/>
          <w:jc w:val="left"/>
          <w:tblInd w:w="982" w:type="dxa"/>
          <w:tblLayout w:type="fixed"/>
          <w:tblCellMar>
            <w:top w:w="0" w:type="dxa"/>
            <w:left w:w="0" w:type="dxa"/>
            <w:bottom w:w="0" w:type="dxa"/>
            <w:right w:w="0" w:type="dxa"/>
          </w:tblCellMar>
          <w:tblLook w:val="01E0"/>
        </w:tblPrEx>
        <w:trPr>
          <w:trHeight w:val="431"/>
          <w:jc w:val="left"/>
        </w:trPr>
        <w:tc>
          <w:tcPr>
            <w:tcW w:w="1351" w:type="dxa"/>
          </w:tcPr>
          <w:p>
            <w:pPr>
              <w:pStyle w:val="TableParagraph"/>
              <w:spacing w:before="178" w:line="233" w:lineRule="exact"/>
              <w:ind w:left="107"/>
              <w:rPr>
                <w:sz w:val="22"/>
              </w:rPr>
            </w:pPr>
            <w:r>
              <w:rPr>
                <w:spacing w:val="-5"/>
                <w:sz w:val="22"/>
              </w:rPr>
              <w:t>10</w:t>
            </w:r>
          </w:p>
        </w:tc>
        <w:tc>
          <w:tcPr>
            <w:tcW w:w="6750" w:type="dxa"/>
          </w:tcPr>
          <w:p>
            <w:pPr>
              <w:pStyle w:val="TableParagraph"/>
              <w:spacing w:before="166" w:line="245" w:lineRule="exact"/>
              <w:ind w:left="107"/>
              <w:rPr>
                <w:sz w:val="23"/>
              </w:rPr>
            </w:pPr>
            <w:r>
              <w:rPr>
                <w:sz w:val="23"/>
              </w:rPr>
              <w:t>Other</w:t>
            </w:r>
            <w:r>
              <w:rPr>
                <w:spacing w:val="-2"/>
                <w:sz w:val="23"/>
              </w:rPr>
              <w:t xml:space="preserve"> </w:t>
            </w:r>
            <w:r>
              <w:rPr>
                <w:sz w:val="23"/>
              </w:rPr>
              <w:t>full</w:t>
            </w:r>
            <w:r>
              <w:rPr>
                <w:spacing w:val="-2"/>
                <w:sz w:val="23"/>
              </w:rPr>
              <w:t xml:space="preserve"> </w:t>
            </w:r>
            <w:r>
              <w:rPr>
                <w:sz w:val="23"/>
              </w:rPr>
              <w:t>dual</w:t>
            </w:r>
            <w:r>
              <w:rPr>
                <w:spacing w:val="-2"/>
                <w:sz w:val="23"/>
              </w:rPr>
              <w:t xml:space="preserve"> </w:t>
            </w:r>
            <w:r>
              <w:rPr>
                <w:sz w:val="23"/>
              </w:rPr>
              <w:t>(on</w:t>
            </w:r>
            <w:r>
              <w:rPr>
                <w:spacing w:val="-1"/>
                <w:sz w:val="23"/>
              </w:rPr>
              <w:t xml:space="preserve"> </w:t>
            </w:r>
            <w:r>
              <w:rPr>
                <w:sz w:val="23"/>
              </w:rPr>
              <w:t>Puerto</w:t>
            </w:r>
            <w:r>
              <w:rPr>
                <w:spacing w:val="-5"/>
                <w:sz w:val="23"/>
              </w:rPr>
              <w:t xml:space="preserve"> </w:t>
            </w:r>
            <w:r>
              <w:rPr>
                <w:sz w:val="23"/>
              </w:rPr>
              <w:t>Rico</w:t>
            </w:r>
            <w:r>
              <w:rPr>
                <w:spacing w:val="-2"/>
                <w:sz w:val="23"/>
              </w:rPr>
              <w:t xml:space="preserve"> </w:t>
            </w:r>
            <w:r>
              <w:rPr>
                <w:sz w:val="23"/>
              </w:rPr>
              <w:t>monthly</w:t>
            </w:r>
            <w:r>
              <w:rPr>
                <w:spacing w:val="-1"/>
                <w:sz w:val="23"/>
              </w:rPr>
              <w:t xml:space="preserve"> </w:t>
            </w:r>
            <w:r>
              <w:rPr>
                <w:spacing w:val="-4"/>
                <w:sz w:val="23"/>
              </w:rPr>
              <w:t>file)</w:t>
            </w:r>
          </w:p>
        </w:tc>
      </w:tr>
      <w:tr>
        <w:tblPrEx>
          <w:tblW w:w="0" w:type="auto"/>
          <w:jc w:val="left"/>
          <w:tblInd w:w="982" w:type="dxa"/>
          <w:tblLayout w:type="fixed"/>
          <w:tblCellMar>
            <w:top w:w="0" w:type="dxa"/>
            <w:left w:w="0" w:type="dxa"/>
            <w:bottom w:w="0" w:type="dxa"/>
            <w:right w:w="0" w:type="dxa"/>
          </w:tblCellMar>
          <w:tblLook w:val="01E0"/>
        </w:tblPrEx>
        <w:trPr>
          <w:trHeight w:val="506"/>
          <w:jc w:val="left"/>
        </w:trPr>
        <w:tc>
          <w:tcPr>
            <w:tcW w:w="1351" w:type="dxa"/>
          </w:tcPr>
          <w:p>
            <w:pPr>
              <w:pStyle w:val="TableParagraph"/>
              <w:spacing w:before="253" w:line="233" w:lineRule="exact"/>
              <w:ind w:left="107"/>
              <w:rPr>
                <w:sz w:val="22"/>
              </w:rPr>
            </w:pPr>
            <w:r>
              <w:rPr>
                <w:spacing w:val="-5"/>
                <w:sz w:val="22"/>
              </w:rPr>
              <w:t>99</w:t>
            </w:r>
          </w:p>
        </w:tc>
        <w:tc>
          <w:tcPr>
            <w:tcW w:w="6750" w:type="dxa"/>
          </w:tcPr>
          <w:p>
            <w:pPr>
              <w:pStyle w:val="TableParagraph"/>
              <w:spacing w:line="252" w:lineRule="exact"/>
              <w:ind w:left="107" w:right="181"/>
              <w:rPr>
                <w:sz w:val="22"/>
              </w:rPr>
            </w:pPr>
            <w:r>
              <w:rPr>
                <w:sz w:val="22"/>
              </w:rPr>
              <w:t>Unknown,</w:t>
            </w:r>
            <w:r>
              <w:rPr>
                <w:spacing w:val="-5"/>
                <w:sz w:val="22"/>
              </w:rPr>
              <w:t xml:space="preserve"> </w:t>
            </w:r>
            <w:r>
              <w:rPr>
                <w:sz w:val="22"/>
              </w:rPr>
              <w:t>including</w:t>
            </w:r>
            <w:r>
              <w:rPr>
                <w:spacing w:val="-8"/>
                <w:sz w:val="22"/>
              </w:rPr>
              <w:t xml:space="preserve"> </w:t>
            </w:r>
            <w:r>
              <w:rPr>
                <w:sz w:val="22"/>
              </w:rPr>
              <w:t>Medicaid-eligible</w:t>
            </w:r>
            <w:r>
              <w:rPr>
                <w:spacing w:val="-5"/>
                <w:sz w:val="22"/>
              </w:rPr>
              <w:t xml:space="preserve"> </w:t>
            </w:r>
            <w:r>
              <w:rPr>
                <w:sz w:val="22"/>
              </w:rPr>
              <w:t>beneficiaries</w:t>
            </w:r>
            <w:r>
              <w:rPr>
                <w:spacing w:val="-7"/>
                <w:sz w:val="22"/>
              </w:rPr>
              <w:t xml:space="preserve"> </w:t>
            </w:r>
            <w:r>
              <w:rPr>
                <w:sz w:val="22"/>
              </w:rPr>
              <w:t>reported</w:t>
            </w:r>
            <w:r>
              <w:rPr>
                <w:spacing w:val="-5"/>
                <w:sz w:val="22"/>
              </w:rPr>
              <w:t xml:space="preserve"> </w:t>
            </w:r>
            <w:r>
              <w:rPr>
                <w:sz w:val="22"/>
              </w:rPr>
              <w:t>by</w:t>
            </w:r>
            <w:r>
              <w:rPr>
                <w:spacing w:val="-5"/>
                <w:sz w:val="22"/>
              </w:rPr>
              <w:t xml:space="preserve"> </w:t>
            </w:r>
            <w:r>
              <w:rPr>
                <w:sz w:val="22"/>
              </w:rPr>
              <w:t>plans and territories</w:t>
            </w:r>
          </w:p>
        </w:tc>
      </w:tr>
      <w:tr>
        <w:tblPrEx>
          <w:tblW w:w="0" w:type="auto"/>
          <w:jc w:val="left"/>
          <w:tblInd w:w="982" w:type="dxa"/>
          <w:tblLayout w:type="fixed"/>
          <w:tblCellMar>
            <w:top w:w="0" w:type="dxa"/>
            <w:left w:w="0" w:type="dxa"/>
            <w:bottom w:w="0" w:type="dxa"/>
            <w:right w:w="0" w:type="dxa"/>
          </w:tblCellMar>
          <w:tblLook w:val="01E0"/>
        </w:tblPrEx>
        <w:trPr>
          <w:trHeight w:val="253"/>
          <w:jc w:val="left"/>
        </w:trPr>
        <w:tc>
          <w:tcPr>
            <w:tcW w:w="1351" w:type="dxa"/>
          </w:tcPr>
          <w:p>
            <w:pPr>
              <w:pStyle w:val="TableParagraph"/>
              <w:spacing w:before="1" w:line="233" w:lineRule="exact"/>
              <w:ind w:left="107"/>
              <w:rPr>
                <w:sz w:val="22"/>
              </w:rPr>
            </w:pPr>
            <w:r>
              <w:rPr>
                <w:spacing w:val="-2"/>
                <w:sz w:val="22"/>
              </w:rPr>
              <w:t>Blank</w:t>
            </w:r>
          </w:p>
        </w:tc>
        <w:tc>
          <w:tcPr>
            <w:tcW w:w="6750" w:type="dxa"/>
          </w:tcPr>
          <w:p>
            <w:pPr>
              <w:pStyle w:val="TableParagraph"/>
              <w:spacing w:before="1" w:line="233" w:lineRule="exact"/>
              <w:ind w:left="107"/>
              <w:rPr>
                <w:sz w:val="22"/>
              </w:rPr>
            </w:pPr>
            <w:r>
              <w:rPr>
                <w:spacing w:val="-2"/>
                <w:sz w:val="22"/>
              </w:rPr>
              <w:t>Non-Medicaid</w:t>
            </w:r>
          </w:p>
        </w:tc>
      </w:tr>
    </w:tbl>
    <w:p>
      <w:pPr>
        <w:spacing w:before="245"/>
        <w:ind w:left="504" w:right="0" w:firstLine="0"/>
        <w:jc w:val="left"/>
        <w:rPr>
          <w:rFonts w:ascii="Arial"/>
          <w:b/>
          <w:sz w:val="21"/>
        </w:rPr>
      </w:pPr>
      <w:bookmarkStart w:id="401" w:name="Classifying Dual-Eligible Data"/>
      <w:bookmarkEnd w:id="401"/>
      <w:r>
        <w:rPr>
          <w:rFonts w:ascii="Arial"/>
          <w:b/>
          <w:sz w:val="21"/>
        </w:rPr>
        <w:t>Classifying</w:t>
      </w:r>
      <w:r>
        <w:rPr>
          <w:rFonts w:ascii="Arial"/>
          <w:b/>
          <w:spacing w:val="-12"/>
          <w:sz w:val="21"/>
        </w:rPr>
        <w:t xml:space="preserve"> </w:t>
      </w:r>
      <w:r>
        <w:rPr>
          <w:rFonts w:ascii="Arial"/>
          <w:b/>
          <w:sz w:val="21"/>
        </w:rPr>
        <w:t>Dual-Eligible</w:t>
      </w:r>
      <w:r>
        <w:rPr>
          <w:rFonts w:ascii="Arial"/>
          <w:b/>
          <w:spacing w:val="-12"/>
          <w:sz w:val="21"/>
        </w:rPr>
        <w:t xml:space="preserve"> </w:t>
      </w:r>
      <w:r>
        <w:rPr>
          <w:rFonts w:ascii="Arial"/>
          <w:b/>
          <w:spacing w:val="-4"/>
          <w:sz w:val="21"/>
        </w:rPr>
        <w:t>Data</w:t>
      </w:r>
    </w:p>
    <w:p>
      <w:pPr>
        <w:pStyle w:val="BodyText"/>
        <w:spacing w:before="120"/>
        <w:ind w:right="1477"/>
      </w:pPr>
      <w:r>
        <w:t>The HPMS plan-level data also include a Medicaid pricing indicator as shown in the table below.</w:t>
      </w:r>
      <w:r>
        <w:rPr>
          <w:spacing w:val="-3"/>
        </w:rPr>
        <w:t xml:space="preserve"> </w:t>
      </w:r>
      <w:r>
        <w:t>This</w:t>
      </w:r>
      <w:r>
        <w:rPr>
          <w:spacing w:val="-3"/>
        </w:rPr>
        <w:t xml:space="preserve"> </w:t>
      </w:r>
      <w:r>
        <w:t>table</w:t>
      </w:r>
      <w:r>
        <w:rPr>
          <w:spacing w:val="-4"/>
        </w:rPr>
        <w:t xml:space="preserve"> </w:t>
      </w:r>
      <w:r>
        <w:t>illustrates</w:t>
      </w:r>
      <w:r>
        <w:rPr>
          <w:spacing w:val="-4"/>
        </w:rPr>
        <w:t xml:space="preserve"> </w:t>
      </w:r>
      <w:r>
        <w:t>how</w:t>
      </w:r>
      <w:r>
        <w:rPr>
          <w:spacing w:val="-3"/>
        </w:rPr>
        <w:t xml:space="preserve"> </w:t>
      </w:r>
      <w:r>
        <w:t>the</w:t>
      </w:r>
      <w:r>
        <w:rPr>
          <w:spacing w:val="-4"/>
        </w:rPr>
        <w:t xml:space="preserve"> </w:t>
      </w:r>
      <w:r>
        <w:t>data</w:t>
      </w:r>
      <w:r>
        <w:rPr>
          <w:spacing w:val="-2"/>
        </w:rPr>
        <w:t xml:space="preserve"> </w:t>
      </w:r>
      <w:r>
        <w:t>for</w:t>
      </w:r>
      <w:r>
        <w:rPr>
          <w:spacing w:val="-5"/>
        </w:rPr>
        <w:t xml:space="preserve"> </w:t>
      </w:r>
      <w:r>
        <w:t>dual-eligible</w:t>
      </w:r>
      <w:r>
        <w:rPr>
          <w:spacing w:val="-4"/>
        </w:rPr>
        <w:t xml:space="preserve"> </w:t>
      </w:r>
      <w:r>
        <w:t>beneficiaries</w:t>
      </w:r>
      <w:r>
        <w:rPr>
          <w:spacing w:val="-4"/>
        </w:rPr>
        <w:t xml:space="preserve"> </w:t>
      </w:r>
      <w:r>
        <w:t>are</w:t>
      </w:r>
      <w:r>
        <w:rPr>
          <w:spacing w:val="-2"/>
        </w:rPr>
        <w:t xml:space="preserve"> </w:t>
      </w:r>
      <w:r>
        <w:t>classified</w:t>
      </w:r>
      <w:r>
        <w:rPr>
          <w:spacing w:val="-3"/>
        </w:rPr>
        <w:t xml:space="preserve"> </w:t>
      </w:r>
      <w:r>
        <w:t>as</w:t>
      </w:r>
      <w:r>
        <w:rPr>
          <w:spacing w:val="-4"/>
        </w:rPr>
        <w:t xml:space="preserve"> </w:t>
      </w:r>
      <w:r>
        <w:t>DE#</w:t>
      </w:r>
      <w:r>
        <w:rPr>
          <w:spacing w:val="-3"/>
        </w:rPr>
        <w:t xml:space="preserve"> </w:t>
      </w:r>
      <w:r>
        <w:t>or non-DE#. The certifying actuary must consider the Medicaid cost-sharing policy for the states or territories in the plan’s service area when determining which beneficiaries associated with Medicaid pricing indicator “B” are in the DE# population.</w:t>
      </w:r>
    </w:p>
    <w:p>
      <w:pPr>
        <w:pStyle w:val="BodyText"/>
        <w:spacing w:before="84"/>
        <w:ind w:left="0"/>
      </w:pPr>
    </w:p>
    <w:p>
      <w:pPr>
        <w:pStyle w:val="BodyText"/>
        <w:ind w:left="691"/>
      </w:pPr>
      <w:r>
        <w:t>Table</w:t>
      </w:r>
      <w:r>
        <w:rPr>
          <w:spacing w:val="-2"/>
        </w:rPr>
        <w:t xml:space="preserve"> </w:t>
      </w:r>
      <w:r>
        <w:rPr>
          <w:spacing w:val="-10"/>
        </w:rPr>
        <w:t>2</w:t>
      </w:r>
    </w:p>
    <w:tbl>
      <w:tblPr>
        <w:tblStyle w:val="TableNormal"/>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9"/>
        <w:gridCol w:w="1172"/>
        <w:gridCol w:w="1800"/>
        <w:gridCol w:w="1440"/>
        <w:gridCol w:w="2407"/>
        <w:gridCol w:w="1079"/>
      </w:tblGrid>
      <w:tr>
        <w:tblPrEx>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31"/>
          <w:jc w:val="left"/>
        </w:trPr>
        <w:tc>
          <w:tcPr>
            <w:tcW w:w="1169" w:type="dxa"/>
          </w:tcPr>
          <w:p>
            <w:pPr>
              <w:pStyle w:val="TableParagraph"/>
              <w:spacing w:before="250" w:line="250" w:lineRule="atLeast"/>
              <w:ind w:left="141" w:right="130" w:hanging="2"/>
              <w:jc w:val="center"/>
              <w:rPr>
                <w:b/>
                <w:sz w:val="22"/>
              </w:rPr>
            </w:pPr>
            <w:r>
              <w:rPr>
                <w:b/>
                <w:spacing w:val="-2"/>
                <w:sz w:val="22"/>
              </w:rPr>
              <w:t>Medicaid Pricing Indicator</w:t>
            </w:r>
          </w:p>
        </w:tc>
        <w:tc>
          <w:tcPr>
            <w:tcW w:w="1172" w:type="dxa"/>
          </w:tcPr>
          <w:p>
            <w:pPr>
              <w:pStyle w:val="TableParagraph"/>
              <w:spacing w:before="251"/>
              <w:rPr>
                <w:sz w:val="22"/>
              </w:rPr>
            </w:pPr>
          </w:p>
          <w:p>
            <w:pPr>
              <w:pStyle w:val="TableParagraph"/>
              <w:spacing w:before="1" w:line="250" w:lineRule="atLeast"/>
              <w:ind w:left="222" w:firstLine="134"/>
              <w:rPr>
                <w:b/>
                <w:sz w:val="22"/>
              </w:rPr>
            </w:pPr>
            <w:r>
              <w:rPr>
                <w:b/>
                <w:spacing w:val="-4"/>
                <w:sz w:val="22"/>
              </w:rPr>
              <w:t xml:space="preserve">Dual </w:t>
            </w:r>
            <w:r>
              <w:rPr>
                <w:b/>
                <w:spacing w:val="-2"/>
                <w:sz w:val="22"/>
              </w:rPr>
              <w:t>Eligible</w:t>
            </w:r>
          </w:p>
        </w:tc>
        <w:tc>
          <w:tcPr>
            <w:tcW w:w="1800" w:type="dxa"/>
          </w:tcPr>
          <w:p>
            <w:pPr>
              <w:pStyle w:val="TableParagraph"/>
              <w:ind w:left="282" w:right="275" w:firstLine="1"/>
              <w:jc w:val="center"/>
              <w:rPr>
                <w:b/>
                <w:sz w:val="22"/>
              </w:rPr>
            </w:pPr>
            <w:r>
              <w:rPr>
                <w:b/>
                <w:sz w:val="22"/>
              </w:rPr>
              <w:t>Category of Dual</w:t>
            </w:r>
            <w:r>
              <w:rPr>
                <w:b/>
                <w:spacing w:val="-14"/>
                <w:sz w:val="22"/>
              </w:rPr>
              <w:t xml:space="preserve"> </w:t>
            </w:r>
            <w:r>
              <w:rPr>
                <w:b/>
                <w:sz w:val="22"/>
              </w:rPr>
              <w:t xml:space="preserve">Eligible </w:t>
            </w:r>
            <w:r>
              <w:rPr>
                <w:b/>
                <w:spacing w:val="-2"/>
                <w:sz w:val="22"/>
              </w:rPr>
              <w:t>Medicaid Program</w:t>
            </w:r>
          </w:p>
        </w:tc>
        <w:tc>
          <w:tcPr>
            <w:tcW w:w="1440" w:type="dxa"/>
          </w:tcPr>
          <w:p>
            <w:pPr>
              <w:pStyle w:val="TableParagraph"/>
              <w:spacing w:before="251"/>
              <w:rPr>
                <w:sz w:val="22"/>
              </w:rPr>
            </w:pPr>
          </w:p>
          <w:p>
            <w:pPr>
              <w:pStyle w:val="TableParagraph"/>
              <w:spacing w:before="1" w:line="250" w:lineRule="atLeast"/>
              <w:ind w:left="152" w:firstLine="124"/>
              <w:rPr>
                <w:b/>
                <w:sz w:val="22"/>
              </w:rPr>
            </w:pPr>
            <w:r>
              <w:rPr>
                <w:b/>
                <w:spacing w:val="-2"/>
                <w:sz w:val="22"/>
              </w:rPr>
              <w:t xml:space="preserve">Medicaid </w:t>
            </w:r>
            <w:r>
              <w:rPr>
                <w:b/>
                <w:sz w:val="22"/>
              </w:rPr>
              <w:t>Status</w:t>
            </w:r>
            <w:r>
              <w:rPr>
                <w:b/>
                <w:spacing w:val="-3"/>
                <w:sz w:val="22"/>
              </w:rPr>
              <w:t xml:space="preserve"> </w:t>
            </w:r>
            <w:r>
              <w:rPr>
                <w:b/>
                <w:spacing w:val="-4"/>
                <w:sz w:val="22"/>
              </w:rPr>
              <w:t>Code</w:t>
            </w:r>
          </w:p>
        </w:tc>
        <w:tc>
          <w:tcPr>
            <w:tcW w:w="2407" w:type="dxa"/>
          </w:tcPr>
          <w:p>
            <w:pPr>
              <w:pStyle w:val="TableParagraph"/>
              <w:spacing w:before="251"/>
              <w:rPr>
                <w:sz w:val="22"/>
              </w:rPr>
            </w:pPr>
          </w:p>
          <w:p>
            <w:pPr>
              <w:pStyle w:val="TableParagraph"/>
              <w:spacing w:before="1" w:line="250" w:lineRule="atLeast"/>
              <w:ind w:left="398" w:firstLine="81"/>
              <w:rPr>
                <w:b/>
                <w:sz w:val="22"/>
              </w:rPr>
            </w:pPr>
            <w:r>
              <w:rPr>
                <w:b/>
                <w:sz w:val="22"/>
              </w:rPr>
              <w:t>Medicare Cost-Sharing</w:t>
            </w:r>
            <w:r>
              <w:rPr>
                <w:b/>
                <w:spacing w:val="-1"/>
                <w:sz w:val="22"/>
              </w:rPr>
              <w:t xml:space="preserve"> </w:t>
            </w:r>
            <w:r>
              <w:rPr>
                <w:b/>
                <w:spacing w:val="-2"/>
                <w:sz w:val="22"/>
              </w:rPr>
              <w:t>Liability</w:t>
            </w:r>
          </w:p>
        </w:tc>
        <w:tc>
          <w:tcPr>
            <w:tcW w:w="1079" w:type="dxa"/>
          </w:tcPr>
          <w:p>
            <w:pPr>
              <w:pStyle w:val="TableParagraph"/>
              <w:spacing w:before="251"/>
              <w:rPr>
                <w:sz w:val="22"/>
              </w:rPr>
            </w:pPr>
          </w:p>
          <w:p>
            <w:pPr>
              <w:pStyle w:val="TableParagraph"/>
              <w:spacing w:before="1"/>
              <w:ind w:left="329"/>
              <w:rPr>
                <w:b/>
                <w:sz w:val="22"/>
              </w:rPr>
            </w:pPr>
            <w:r>
              <w:rPr>
                <w:b/>
                <w:spacing w:val="-5"/>
                <w:sz w:val="22"/>
              </w:rPr>
              <w:t>DE#</w:t>
            </w:r>
          </w:p>
          <w:p>
            <w:pPr>
              <w:pStyle w:val="TableParagraph"/>
              <w:spacing w:before="1" w:line="252" w:lineRule="exact"/>
              <w:ind w:left="242"/>
              <w:rPr>
                <w:b/>
                <w:sz w:val="22"/>
              </w:rPr>
            </w:pPr>
            <w:r>
              <w:rPr>
                <w:b/>
                <w:spacing w:val="-2"/>
                <w:sz w:val="22"/>
              </w:rPr>
              <w:t>Status</w:t>
            </w:r>
          </w:p>
        </w:tc>
      </w:tr>
      <w:tr>
        <w:tblPrEx>
          <w:tblW w:w="0" w:type="auto"/>
          <w:jc w:val="left"/>
          <w:tblInd w:w="713" w:type="dxa"/>
          <w:tblLayout w:type="fixed"/>
          <w:tblCellMar>
            <w:top w:w="0" w:type="dxa"/>
            <w:left w:w="0" w:type="dxa"/>
            <w:bottom w:w="0" w:type="dxa"/>
            <w:right w:w="0" w:type="dxa"/>
          </w:tblCellMar>
          <w:tblLook w:val="01E0"/>
        </w:tblPrEx>
        <w:trPr>
          <w:trHeight w:val="505"/>
          <w:jc w:val="left"/>
        </w:trPr>
        <w:tc>
          <w:tcPr>
            <w:tcW w:w="1169" w:type="dxa"/>
          </w:tcPr>
          <w:p>
            <w:pPr>
              <w:pStyle w:val="TableParagraph"/>
              <w:spacing w:before="250" w:line="236" w:lineRule="exact"/>
              <w:ind w:left="107"/>
              <w:rPr>
                <w:sz w:val="22"/>
              </w:rPr>
            </w:pPr>
            <w:r>
              <w:rPr>
                <w:spacing w:val="-10"/>
                <w:sz w:val="22"/>
              </w:rPr>
              <w:t>A</w:t>
            </w:r>
          </w:p>
        </w:tc>
        <w:tc>
          <w:tcPr>
            <w:tcW w:w="1172" w:type="dxa"/>
          </w:tcPr>
          <w:p>
            <w:pPr>
              <w:pStyle w:val="TableParagraph"/>
              <w:spacing w:before="250" w:line="236" w:lineRule="exact"/>
              <w:ind w:left="107"/>
              <w:rPr>
                <w:sz w:val="22"/>
              </w:rPr>
            </w:pPr>
            <w:r>
              <w:rPr>
                <w:spacing w:val="-4"/>
                <w:sz w:val="22"/>
              </w:rPr>
              <w:t>Dual</w:t>
            </w:r>
          </w:p>
        </w:tc>
        <w:tc>
          <w:tcPr>
            <w:tcW w:w="1800" w:type="dxa"/>
          </w:tcPr>
          <w:p>
            <w:pPr>
              <w:pStyle w:val="TableParagraph"/>
              <w:spacing w:line="252" w:lineRule="exact"/>
              <w:ind w:left="107"/>
              <w:rPr>
                <w:sz w:val="22"/>
              </w:rPr>
            </w:pPr>
            <w:r>
              <w:rPr>
                <w:sz w:val="22"/>
              </w:rPr>
              <w:t>QMB</w:t>
            </w:r>
            <w:r>
              <w:rPr>
                <w:spacing w:val="-14"/>
                <w:sz w:val="22"/>
              </w:rPr>
              <w:t xml:space="preserve"> </w:t>
            </w:r>
            <w:r>
              <w:rPr>
                <w:sz w:val="22"/>
              </w:rPr>
              <w:t>and</w:t>
            </w:r>
            <w:r>
              <w:rPr>
                <w:spacing w:val="-14"/>
                <w:sz w:val="22"/>
              </w:rPr>
              <w:t xml:space="preserve"> </w:t>
            </w:r>
            <w:r>
              <w:rPr>
                <w:sz w:val="22"/>
              </w:rPr>
              <w:t xml:space="preserve">QMB </w:t>
            </w:r>
            <w:r>
              <w:rPr>
                <w:spacing w:val="-4"/>
                <w:sz w:val="22"/>
              </w:rPr>
              <w:t>Plus</w:t>
            </w:r>
          </w:p>
        </w:tc>
        <w:tc>
          <w:tcPr>
            <w:tcW w:w="1440" w:type="dxa"/>
          </w:tcPr>
          <w:p>
            <w:pPr>
              <w:pStyle w:val="TableParagraph"/>
              <w:spacing w:before="250" w:line="236" w:lineRule="exact"/>
              <w:ind w:left="107"/>
              <w:rPr>
                <w:sz w:val="22"/>
              </w:rPr>
            </w:pPr>
            <w:r>
              <w:rPr>
                <w:sz w:val="22"/>
              </w:rPr>
              <w:t xml:space="preserve">01, </w:t>
            </w:r>
            <w:r>
              <w:rPr>
                <w:spacing w:val="-5"/>
                <w:sz w:val="22"/>
              </w:rPr>
              <w:t>02</w:t>
            </w:r>
          </w:p>
        </w:tc>
        <w:tc>
          <w:tcPr>
            <w:tcW w:w="2407" w:type="dxa"/>
          </w:tcPr>
          <w:p>
            <w:pPr>
              <w:pStyle w:val="TableParagraph"/>
              <w:spacing w:before="250" w:line="236" w:lineRule="exact"/>
              <w:ind w:left="107"/>
              <w:rPr>
                <w:sz w:val="22"/>
              </w:rPr>
            </w:pPr>
            <w:r>
              <w:rPr>
                <w:spacing w:val="-4"/>
                <w:sz w:val="22"/>
              </w:rPr>
              <w:t>None</w:t>
            </w:r>
          </w:p>
        </w:tc>
        <w:tc>
          <w:tcPr>
            <w:tcW w:w="1079" w:type="dxa"/>
          </w:tcPr>
          <w:p>
            <w:pPr>
              <w:pStyle w:val="TableParagraph"/>
              <w:spacing w:before="250" w:line="236" w:lineRule="exact"/>
              <w:ind w:left="106"/>
              <w:rPr>
                <w:sz w:val="22"/>
              </w:rPr>
            </w:pPr>
            <w:r>
              <w:rPr>
                <w:spacing w:val="-5"/>
                <w:sz w:val="22"/>
              </w:rPr>
              <w:t>DE#</w:t>
            </w:r>
          </w:p>
        </w:tc>
      </w:tr>
    </w:tbl>
    <w:p>
      <w:pPr>
        <w:pStyle w:val="TableParagraph"/>
        <w:spacing w:after="0" w:line="236" w:lineRule="exact"/>
        <w:rPr>
          <w:sz w:val="22"/>
        </w:rPr>
        <w:sectPr>
          <w:headerReference w:type="default" r:id="rId55"/>
          <w:footerReference w:type="default" r:id="rId56"/>
          <w:pgSz w:w="12240" w:h="15840"/>
          <w:pgMar w:top="960" w:right="0" w:bottom="940" w:left="1080" w:header="727" w:footer="747"/>
          <w:cols w:space="720"/>
        </w:sectPr>
      </w:pPr>
    </w:p>
    <w:p>
      <w:pPr>
        <w:pStyle w:val="BodyText"/>
        <w:ind w:left="0"/>
        <w:rPr>
          <w:sz w:val="20"/>
        </w:rPr>
      </w:pPr>
    </w:p>
    <w:p>
      <w:pPr>
        <w:pStyle w:val="BodyText"/>
        <w:spacing w:before="6" w:after="1"/>
        <w:ind w:left="0"/>
        <w:rPr>
          <w:sz w:val="20"/>
        </w:rPr>
      </w:pPr>
    </w:p>
    <w:tbl>
      <w:tblPr>
        <w:tblStyle w:val="TableNormal"/>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9"/>
        <w:gridCol w:w="1172"/>
        <w:gridCol w:w="1800"/>
        <w:gridCol w:w="1440"/>
        <w:gridCol w:w="2407"/>
        <w:gridCol w:w="1079"/>
      </w:tblGrid>
      <w:tr>
        <w:tblPrEx>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32"/>
          <w:jc w:val="left"/>
        </w:trPr>
        <w:tc>
          <w:tcPr>
            <w:tcW w:w="1169" w:type="dxa"/>
          </w:tcPr>
          <w:p>
            <w:pPr>
              <w:pStyle w:val="TableParagraph"/>
              <w:rPr>
                <w:sz w:val="22"/>
              </w:rPr>
            </w:pPr>
          </w:p>
          <w:p>
            <w:pPr>
              <w:pStyle w:val="TableParagraph"/>
              <w:ind w:left="239" w:hanging="99"/>
              <w:rPr>
                <w:b/>
                <w:sz w:val="22"/>
              </w:rPr>
            </w:pPr>
            <w:r>
              <w:rPr>
                <w:b/>
                <w:spacing w:val="-2"/>
                <w:sz w:val="22"/>
              </w:rPr>
              <w:t>Medicaid Pricing</w:t>
            </w:r>
          </w:p>
          <w:p>
            <w:pPr>
              <w:pStyle w:val="TableParagraph"/>
              <w:spacing w:line="252" w:lineRule="exact"/>
              <w:ind w:left="143"/>
              <w:rPr>
                <w:b/>
                <w:sz w:val="22"/>
              </w:rPr>
            </w:pPr>
            <w:r>
              <w:rPr>
                <w:b/>
                <w:spacing w:val="-2"/>
                <w:sz w:val="22"/>
              </w:rPr>
              <w:t>Indicator</w:t>
            </w:r>
          </w:p>
        </w:tc>
        <w:tc>
          <w:tcPr>
            <w:tcW w:w="1172" w:type="dxa"/>
          </w:tcPr>
          <w:p>
            <w:pPr>
              <w:pStyle w:val="TableParagraph"/>
              <w:spacing w:before="252"/>
              <w:rPr>
                <w:sz w:val="22"/>
              </w:rPr>
            </w:pPr>
          </w:p>
          <w:p>
            <w:pPr>
              <w:pStyle w:val="TableParagraph"/>
              <w:spacing w:line="250" w:lineRule="atLeast"/>
              <w:ind w:left="222" w:firstLine="134"/>
              <w:rPr>
                <w:b/>
                <w:sz w:val="22"/>
              </w:rPr>
            </w:pPr>
            <w:r>
              <w:rPr>
                <w:b/>
                <w:spacing w:val="-4"/>
                <w:sz w:val="22"/>
              </w:rPr>
              <w:t xml:space="preserve">Dual </w:t>
            </w:r>
            <w:r>
              <w:rPr>
                <w:b/>
                <w:spacing w:val="-2"/>
                <w:sz w:val="22"/>
              </w:rPr>
              <w:t>Eligible</w:t>
            </w:r>
          </w:p>
        </w:tc>
        <w:tc>
          <w:tcPr>
            <w:tcW w:w="1800" w:type="dxa"/>
          </w:tcPr>
          <w:p>
            <w:pPr>
              <w:pStyle w:val="TableParagraph"/>
              <w:ind w:left="282" w:right="275" w:firstLine="1"/>
              <w:jc w:val="center"/>
              <w:rPr>
                <w:b/>
                <w:sz w:val="22"/>
              </w:rPr>
            </w:pPr>
            <w:r>
              <w:rPr>
                <w:b/>
                <w:sz w:val="22"/>
              </w:rPr>
              <w:t>Category of Dual</w:t>
            </w:r>
            <w:r>
              <w:rPr>
                <w:b/>
                <w:spacing w:val="-14"/>
                <w:sz w:val="22"/>
              </w:rPr>
              <w:t xml:space="preserve"> </w:t>
            </w:r>
            <w:r>
              <w:rPr>
                <w:b/>
                <w:sz w:val="22"/>
              </w:rPr>
              <w:t xml:space="preserve">Eligible </w:t>
            </w:r>
            <w:r>
              <w:rPr>
                <w:b/>
                <w:spacing w:val="-2"/>
                <w:sz w:val="22"/>
              </w:rPr>
              <w:t>Medicaid Program</w:t>
            </w:r>
          </w:p>
        </w:tc>
        <w:tc>
          <w:tcPr>
            <w:tcW w:w="1440" w:type="dxa"/>
          </w:tcPr>
          <w:p>
            <w:pPr>
              <w:pStyle w:val="TableParagraph"/>
              <w:spacing w:before="252"/>
              <w:rPr>
                <w:sz w:val="22"/>
              </w:rPr>
            </w:pPr>
          </w:p>
          <w:p>
            <w:pPr>
              <w:pStyle w:val="TableParagraph"/>
              <w:spacing w:line="250" w:lineRule="atLeast"/>
              <w:ind w:left="152" w:firstLine="124"/>
              <w:rPr>
                <w:b/>
                <w:sz w:val="22"/>
              </w:rPr>
            </w:pPr>
            <w:r>
              <w:rPr>
                <w:b/>
                <w:spacing w:val="-2"/>
                <w:sz w:val="22"/>
              </w:rPr>
              <w:t xml:space="preserve">Medicaid </w:t>
            </w:r>
            <w:r>
              <w:rPr>
                <w:b/>
                <w:sz w:val="22"/>
              </w:rPr>
              <w:t>Status</w:t>
            </w:r>
            <w:r>
              <w:rPr>
                <w:b/>
                <w:spacing w:val="-3"/>
                <w:sz w:val="22"/>
              </w:rPr>
              <w:t xml:space="preserve"> </w:t>
            </w:r>
            <w:r>
              <w:rPr>
                <w:b/>
                <w:spacing w:val="-4"/>
                <w:sz w:val="22"/>
              </w:rPr>
              <w:t>Code</w:t>
            </w:r>
          </w:p>
        </w:tc>
        <w:tc>
          <w:tcPr>
            <w:tcW w:w="2407" w:type="dxa"/>
          </w:tcPr>
          <w:p>
            <w:pPr>
              <w:pStyle w:val="TableParagraph"/>
              <w:spacing w:before="252"/>
              <w:rPr>
                <w:sz w:val="22"/>
              </w:rPr>
            </w:pPr>
          </w:p>
          <w:p>
            <w:pPr>
              <w:pStyle w:val="TableParagraph"/>
              <w:spacing w:line="250" w:lineRule="atLeast"/>
              <w:ind w:left="398" w:firstLine="81"/>
              <w:rPr>
                <w:b/>
                <w:sz w:val="22"/>
              </w:rPr>
            </w:pPr>
            <w:r>
              <w:rPr>
                <w:b/>
                <w:sz w:val="22"/>
              </w:rPr>
              <w:t>Medicare Cost-Sharing</w:t>
            </w:r>
            <w:r>
              <w:rPr>
                <w:b/>
                <w:spacing w:val="-1"/>
                <w:sz w:val="22"/>
              </w:rPr>
              <w:t xml:space="preserve"> </w:t>
            </w:r>
            <w:r>
              <w:rPr>
                <w:b/>
                <w:spacing w:val="-2"/>
                <w:sz w:val="22"/>
              </w:rPr>
              <w:t>Liability</w:t>
            </w:r>
          </w:p>
        </w:tc>
        <w:tc>
          <w:tcPr>
            <w:tcW w:w="1079" w:type="dxa"/>
          </w:tcPr>
          <w:p>
            <w:pPr>
              <w:pStyle w:val="TableParagraph"/>
              <w:spacing w:before="252"/>
              <w:rPr>
                <w:sz w:val="22"/>
              </w:rPr>
            </w:pPr>
          </w:p>
          <w:p>
            <w:pPr>
              <w:pStyle w:val="TableParagraph"/>
              <w:ind w:left="329"/>
              <w:rPr>
                <w:b/>
                <w:sz w:val="22"/>
              </w:rPr>
            </w:pPr>
            <w:r>
              <w:rPr>
                <w:b/>
                <w:spacing w:val="-5"/>
                <w:sz w:val="22"/>
              </w:rPr>
              <w:t>DE#</w:t>
            </w:r>
          </w:p>
          <w:p>
            <w:pPr>
              <w:pStyle w:val="TableParagraph"/>
              <w:spacing w:before="1" w:line="252" w:lineRule="exact"/>
              <w:ind w:left="242"/>
              <w:rPr>
                <w:b/>
                <w:sz w:val="22"/>
              </w:rPr>
            </w:pPr>
            <w:r>
              <w:rPr>
                <w:b/>
                <w:spacing w:val="-2"/>
                <w:sz w:val="22"/>
              </w:rPr>
              <w:t>Status</w:t>
            </w:r>
          </w:p>
        </w:tc>
      </w:tr>
      <w:tr>
        <w:tblPrEx>
          <w:tblW w:w="0" w:type="auto"/>
          <w:jc w:val="left"/>
          <w:tblInd w:w="713" w:type="dxa"/>
          <w:tblLayout w:type="fixed"/>
          <w:tblCellMar>
            <w:top w:w="0" w:type="dxa"/>
            <w:left w:w="0" w:type="dxa"/>
            <w:bottom w:w="0" w:type="dxa"/>
            <w:right w:w="0" w:type="dxa"/>
          </w:tblCellMar>
          <w:tblLook w:val="01E0"/>
        </w:tblPrEx>
        <w:trPr>
          <w:trHeight w:val="760"/>
          <w:jc w:val="left"/>
        </w:trPr>
        <w:tc>
          <w:tcPr>
            <w:tcW w:w="1169" w:type="dxa"/>
          </w:tcPr>
          <w:p>
            <w:pPr>
              <w:pStyle w:val="TableParagraph"/>
              <w:spacing w:before="253"/>
              <w:ind w:left="107"/>
              <w:rPr>
                <w:sz w:val="22"/>
              </w:rPr>
            </w:pPr>
            <w:r>
              <w:rPr>
                <w:spacing w:val="-10"/>
                <w:sz w:val="22"/>
              </w:rPr>
              <w:t>B</w:t>
            </w:r>
          </w:p>
        </w:tc>
        <w:tc>
          <w:tcPr>
            <w:tcW w:w="1172" w:type="dxa"/>
          </w:tcPr>
          <w:p>
            <w:pPr>
              <w:pStyle w:val="TableParagraph"/>
              <w:spacing w:before="253"/>
              <w:ind w:left="107"/>
              <w:rPr>
                <w:sz w:val="22"/>
              </w:rPr>
            </w:pPr>
            <w:r>
              <w:rPr>
                <w:spacing w:val="-4"/>
                <w:sz w:val="22"/>
              </w:rPr>
              <w:t>Dual</w:t>
            </w:r>
          </w:p>
        </w:tc>
        <w:tc>
          <w:tcPr>
            <w:tcW w:w="1800" w:type="dxa"/>
          </w:tcPr>
          <w:p>
            <w:pPr>
              <w:pStyle w:val="TableParagraph"/>
              <w:spacing w:before="253"/>
              <w:ind w:left="107"/>
              <w:rPr>
                <w:sz w:val="22"/>
              </w:rPr>
            </w:pPr>
            <w:r>
              <w:rPr>
                <w:sz w:val="22"/>
              </w:rPr>
              <w:t>Other</w:t>
            </w:r>
            <w:r>
              <w:rPr>
                <w:spacing w:val="-4"/>
                <w:sz w:val="22"/>
              </w:rPr>
              <w:t xml:space="preserve"> </w:t>
            </w:r>
            <w:r>
              <w:rPr>
                <w:spacing w:val="-2"/>
                <w:sz w:val="22"/>
              </w:rPr>
              <w:t>Medicaid</w:t>
            </w:r>
          </w:p>
        </w:tc>
        <w:tc>
          <w:tcPr>
            <w:tcW w:w="1440" w:type="dxa"/>
          </w:tcPr>
          <w:p>
            <w:pPr>
              <w:pStyle w:val="TableParagraph"/>
              <w:spacing w:line="251" w:lineRule="exact"/>
              <w:ind w:left="107"/>
              <w:rPr>
                <w:sz w:val="22"/>
              </w:rPr>
            </w:pPr>
            <w:r>
              <w:rPr>
                <w:sz w:val="22"/>
              </w:rPr>
              <w:t xml:space="preserve">03, 04, </w:t>
            </w:r>
            <w:r>
              <w:rPr>
                <w:spacing w:val="-5"/>
                <w:sz w:val="22"/>
              </w:rPr>
              <w:t>05,</w:t>
            </w:r>
          </w:p>
          <w:p>
            <w:pPr>
              <w:pStyle w:val="TableParagraph"/>
              <w:spacing w:before="1" w:line="252" w:lineRule="exact"/>
              <w:ind w:left="107"/>
              <w:rPr>
                <w:sz w:val="22"/>
              </w:rPr>
            </w:pPr>
            <w:r>
              <w:rPr>
                <w:sz w:val="22"/>
              </w:rPr>
              <w:t xml:space="preserve">06, 08, </w:t>
            </w:r>
            <w:r>
              <w:rPr>
                <w:spacing w:val="-5"/>
                <w:sz w:val="22"/>
              </w:rPr>
              <w:t>09,</w:t>
            </w:r>
          </w:p>
          <w:p>
            <w:pPr>
              <w:pStyle w:val="TableParagraph"/>
              <w:spacing w:line="235" w:lineRule="exact"/>
              <w:ind w:left="107"/>
              <w:rPr>
                <w:sz w:val="22"/>
              </w:rPr>
            </w:pPr>
            <w:r>
              <w:rPr>
                <w:sz w:val="22"/>
              </w:rPr>
              <w:t xml:space="preserve">10, </w:t>
            </w:r>
            <w:r>
              <w:rPr>
                <w:spacing w:val="-5"/>
                <w:sz w:val="22"/>
              </w:rPr>
              <w:t>99</w:t>
            </w:r>
          </w:p>
        </w:tc>
        <w:tc>
          <w:tcPr>
            <w:tcW w:w="2407" w:type="dxa"/>
          </w:tcPr>
          <w:p>
            <w:pPr>
              <w:pStyle w:val="TableParagraph"/>
              <w:spacing w:line="251" w:lineRule="exact"/>
              <w:ind w:left="107"/>
              <w:rPr>
                <w:sz w:val="22"/>
              </w:rPr>
            </w:pPr>
            <w:r>
              <w:rPr>
                <w:sz w:val="22"/>
              </w:rPr>
              <w:t>Reduced</w:t>
            </w:r>
            <w:r>
              <w:rPr>
                <w:spacing w:val="-3"/>
                <w:sz w:val="22"/>
              </w:rPr>
              <w:t xml:space="preserve"> </w:t>
            </w:r>
            <w:r>
              <w:rPr>
                <w:sz w:val="22"/>
              </w:rPr>
              <w:t>(as</w:t>
            </w:r>
            <w:r>
              <w:rPr>
                <w:spacing w:val="-3"/>
                <w:sz w:val="22"/>
              </w:rPr>
              <w:t xml:space="preserve"> </w:t>
            </w:r>
            <w:r>
              <w:rPr>
                <w:spacing w:val="-2"/>
                <w:sz w:val="22"/>
              </w:rPr>
              <w:t>determined</w:t>
            </w:r>
          </w:p>
          <w:p>
            <w:pPr>
              <w:pStyle w:val="TableParagraph"/>
              <w:spacing w:line="252" w:lineRule="exact"/>
              <w:ind w:left="107" w:right="179"/>
              <w:rPr>
                <w:sz w:val="22"/>
              </w:rPr>
            </w:pPr>
            <w:r>
              <w:rPr>
                <w:sz w:val="22"/>
              </w:rPr>
              <w:t>by</w:t>
            </w:r>
            <w:r>
              <w:rPr>
                <w:spacing w:val="-14"/>
                <w:sz w:val="22"/>
              </w:rPr>
              <w:t xml:space="preserve"> </w:t>
            </w:r>
            <w:r>
              <w:rPr>
                <w:sz w:val="22"/>
              </w:rPr>
              <w:t>the</w:t>
            </w:r>
            <w:r>
              <w:rPr>
                <w:spacing w:val="-14"/>
                <w:sz w:val="22"/>
              </w:rPr>
              <w:t xml:space="preserve"> </w:t>
            </w:r>
            <w:r>
              <w:rPr>
                <w:sz w:val="22"/>
              </w:rPr>
              <w:t xml:space="preserve">certifying </w:t>
            </w:r>
            <w:r>
              <w:rPr>
                <w:spacing w:val="-2"/>
                <w:sz w:val="22"/>
              </w:rPr>
              <w:t>actuary)</w:t>
            </w:r>
          </w:p>
        </w:tc>
        <w:tc>
          <w:tcPr>
            <w:tcW w:w="1079" w:type="dxa"/>
          </w:tcPr>
          <w:p>
            <w:pPr>
              <w:pStyle w:val="TableParagraph"/>
              <w:spacing w:before="253"/>
              <w:ind w:left="106"/>
              <w:rPr>
                <w:sz w:val="22"/>
              </w:rPr>
            </w:pPr>
            <w:r>
              <w:rPr>
                <w:spacing w:val="-5"/>
                <w:sz w:val="22"/>
              </w:rPr>
              <w:t>DE#</w:t>
            </w:r>
          </w:p>
        </w:tc>
      </w:tr>
      <w:tr>
        <w:tblPrEx>
          <w:tblW w:w="0" w:type="auto"/>
          <w:jc w:val="left"/>
          <w:tblInd w:w="713" w:type="dxa"/>
          <w:tblLayout w:type="fixed"/>
          <w:tblCellMar>
            <w:top w:w="0" w:type="dxa"/>
            <w:left w:w="0" w:type="dxa"/>
            <w:bottom w:w="0" w:type="dxa"/>
            <w:right w:w="0" w:type="dxa"/>
          </w:tblCellMar>
          <w:tblLook w:val="01E0"/>
        </w:tblPrEx>
        <w:trPr>
          <w:trHeight w:val="757"/>
          <w:jc w:val="left"/>
        </w:trPr>
        <w:tc>
          <w:tcPr>
            <w:tcW w:w="1169" w:type="dxa"/>
          </w:tcPr>
          <w:p>
            <w:pPr>
              <w:pStyle w:val="TableParagraph"/>
              <w:spacing w:before="250"/>
              <w:ind w:left="107"/>
              <w:rPr>
                <w:sz w:val="22"/>
              </w:rPr>
            </w:pPr>
            <w:r>
              <w:rPr>
                <w:spacing w:val="-10"/>
                <w:sz w:val="22"/>
              </w:rPr>
              <w:t>B</w:t>
            </w:r>
          </w:p>
        </w:tc>
        <w:tc>
          <w:tcPr>
            <w:tcW w:w="1172" w:type="dxa"/>
          </w:tcPr>
          <w:p>
            <w:pPr>
              <w:pStyle w:val="TableParagraph"/>
              <w:spacing w:before="250"/>
              <w:ind w:left="107"/>
              <w:rPr>
                <w:sz w:val="22"/>
              </w:rPr>
            </w:pPr>
            <w:r>
              <w:rPr>
                <w:spacing w:val="-4"/>
                <w:sz w:val="22"/>
              </w:rPr>
              <w:t>Dual</w:t>
            </w:r>
          </w:p>
        </w:tc>
        <w:tc>
          <w:tcPr>
            <w:tcW w:w="1800" w:type="dxa"/>
          </w:tcPr>
          <w:p>
            <w:pPr>
              <w:pStyle w:val="TableParagraph"/>
              <w:spacing w:before="250"/>
              <w:ind w:left="107"/>
              <w:rPr>
                <w:sz w:val="22"/>
              </w:rPr>
            </w:pPr>
            <w:r>
              <w:rPr>
                <w:sz w:val="22"/>
              </w:rPr>
              <w:t>Other</w:t>
            </w:r>
            <w:r>
              <w:rPr>
                <w:spacing w:val="-4"/>
                <w:sz w:val="22"/>
              </w:rPr>
              <w:t xml:space="preserve"> </w:t>
            </w:r>
            <w:r>
              <w:rPr>
                <w:spacing w:val="-2"/>
                <w:sz w:val="22"/>
              </w:rPr>
              <w:t>Medicaid</w:t>
            </w:r>
          </w:p>
        </w:tc>
        <w:tc>
          <w:tcPr>
            <w:tcW w:w="1440" w:type="dxa"/>
          </w:tcPr>
          <w:p>
            <w:pPr>
              <w:pStyle w:val="TableParagraph"/>
              <w:spacing w:line="251" w:lineRule="exact"/>
              <w:ind w:left="107"/>
              <w:rPr>
                <w:sz w:val="22"/>
              </w:rPr>
            </w:pPr>
            <w:r>
              <w:rPr>
                <w:sz w:val="22"/>
              </w:rPr>
              <w:t xml:space="preserve">03, 04, </w:t>
            </w:r>
            <w:r>
              <w:rPr>
                <w:spacing w:val="-5"/>
                <w:sz w:val="22"/>
              </w:rPr>
              <w:t>05,</w:t>
            </w:r>
          </w:p>
          <w:p>
            <w:pPr>
              <w:pStyle w:val="TableParagraph"/>
              <w:spacing w:line="252" w:lineRule="exact"/>
              <w:ind w:left="107"/>
              <w:rPr>
                <w:sz w:val="22"/>
              </w:rPr>
            </w:pPr>
            <w:r>
              <w:rPr>
                <w:sz w:val="22"/>
              </w:rPr>
              <w:t xml:space="preserve">06, 08, </w:t>
            </w:r>
            <w:r>
              <w:rPr>
                <w:spacing w:val="-5"/>
                <w:sz w:val="22"/>
              </w:rPr>
              <w:t>09,</w:t>
            </w:r>
          </w:p>
          <w:p>
            <w:pPr>
              <w:pStyle w:val="TableParagraph"/>
              <w:spacing w:before="1" w:line="233" w:lineRule="exact"/>
              <w:ind w:left="107"/>
              <w:rPr>
                <w:sz w:val="22"/>
              </w:rPr>
            </w:pPr>
            <w:r>
              <w:rPr>
                <w:sz w:val="22"/>
              </w:rPr>
              <w:t xml:space="preserve">10, </w:t>
            </w:r>
            <w:r>
              <w:rPr>
                <w:spacing w:val="-5"/>
                <w:sz w:val="22"/>
              </w:rPr>
              <w:t>99</w:t>
            </w:r>
          </w:p>
        </w:tc>
        <w:tc>
          <w:tcPr>
            <w:tcW w:w="2407" w:type="dxa"/>
          </w:tcPr>
          <w:p>
            <w:pPr>
              <w:pStyle w:val="TableParagraph"/>
              <w:spacing w:before="123"/>
              <w:ind w:left="107" w:right="179"/>
              <w:rPr>
                <w:sz w:val="22"/>
              </w:rPr>
            </w:pPr>
            <w:r>
              <w:rPr>
                <w:sz w:val="22"/>
              </w:rPr>
              <w:t>Full</w:t>
            </w:r>
            <w:r>
              <w:rPr>
                <w:spacing w:val="-12"/>
                <w:sz w:val="22"/>
              </w:rPr>
              <w:t xml:space="preserve"> </w:t>
            </w:r>
            <w:r>
              <w:rPr>
                <w:sz w:val="22"/>
              </w:rPr>
              <w:t>(as</w:t>
            </w:r>
            <w:r>
              <w:rPr>
                <w:spacing w:val="-13"/>
                <w:sz w:val="22"/>
              </w:rPr>
              <w:t xml:space="preserve"> </w:t>
            </w:r>
            <w:r>
              <w:rPr>
                <w:sz w:val="22"/>
              </w:rPr>
              <w:t>determined</w:t>
            </w:r>
            <w:r>
              <w:rPr>
                <w:spacing w:val="-12"/>
                <w:sz w:val="22"/>
              </w:rPr>
              <w:t xml:space="preserve"> </w:t>
            </w:r>
            <w:r>
              <w:rPr>
                <w:sz w:val="22"/>
              </w:rPr>
              <w:t>by the</w:t>
            </w:r>
            <w:r>
              <w:rPr>
                <w:spacing w:val="-4"/>
                <w:sz w:val="22"/>
              </w:rPr>
              <w:t xml:space="preserve"> </w:t>
            </w:r>
            <w:r>
              <w:rPr>
                <w:sz w:val="22"/>
              </w:rPr>
              <w:t>certifying</w:t>
            </w:r>
            <w:r>
              <w:rPr>
                <w:spacing w:val="-4"/>
                <w:sz w:val="22"/>
              </w:rPr>
              <w:t xml:space="preserve"> </w:t>
            </w:r>
            <w:r>
              <w:rPr>
                <w:spacing w:val="-2"/>
                <w:sz w:val="22"/>
              </w:rPr>
              <w:t>actuary)</w:t>
            </w:r>
          </w:p>
        </w:tc>
        <w:tc>
          <w:tcPr>
            <w:tcW w:w="1079" w:type="dxa"/>
          </w:tcPr>
          <w:p>
            <w:pPr>
              <w:pStyle w:val="TableParagraph"/>
              <w:spacing w:before="250"/>
              <w:ind w:left="106"/>
              <w:rPr>
                <w:sz w:val="22"/>
              </w:rPr>
            </w:pPr>
            <w:r>
              <w:rPr>
                <w:spacing w:val="-2"/>
                <w:sz w:val="22"/>
              </w:rPr>
              <w:t>Non-</w:t>
            </w:r>
            <w:r>
              <w:rPr>
                <w:spacing w:val="-5"/>
                <w:sz w:val="22"/>
              </w:rPr>
              <w:t>DE#</w:t>
            </w:r>
          </w:p>
        </w:tc>
      </w:tr>
      <w:tr>
        <w:tblPrEx>
          <w:tblW w:w="0" w:type="auto"/>
          <w:jc w:val="left"/>
          <w:tblInd w:w="713" w:type="dxa"/>
          <w:tblLayout w:type="fixed"/>
          <w:tblCellMar>
            <w:top w:w="0" w:type="dxa"/>
            <w:left w:w="0" w:type="dxa"/>
            <w:bottom w:w="0" w:type="dxa"/>
            <w:right w:w="0" w:type="dxa"/>
          </w:tblCellMar>
          <w:tblLook w:val="01E0"/>
        </w:tblPrEx>
        <w:trPr>
          <w:trHeight w:val="254"/>
          <w:jc w:val="left"/>
        </w:trPr>
        <w:tc>
          <w:tcPr>
            <w:tcW w:w="1169" w:type="dxa"/>
          </w:tcPr>
          <w:p>
            <w:pPr>
              <w:pStyle w:val="TableParagraph"/>
              <w:spacing w:line="234" w:lineRule="exact"/>
              <w:ind w:left="107"/>
              <w:rPr>
                <w:sz w:val="22"/>
              </w:rPr>
            </w:pPr>
            <w:r>
              <w:rPr>
                <w:spacing w:val="-10"/>
                <w:sz w:val="22"/>
              </w:rPr>
              <w:t>C</w:t>
            </w:r>
          </w:p>
        </w:tc>
        <w:tc>
          <w:tcPr>
            <w:tcW w:w="1172" w:type="dxa"/>
          </w:tcPr>
          <w:p>
            <w:pPr>
              <w:pStyle w:val="TableParagraph"/>
              <w:spacing w:line="234" w:lineRule="exact"/>
              <w:ind w:left="107"/>
              <w:rPr>
                <w:sz w:val="22"/>
              </w:rPr>
            </w:pPr>
            <w:r>
              <w:rPr>
                <w:spacing w:val="-2"/>
                <w:sz w:val="22"/>
              </w:rPr>
              <w:t>Non-</w:t>
            </w:r>
            <w:r>
              <w:rPr>
                <w:spacing w:val="-4"/>
                <w:sz w:val="22"/>
              </w:rPr>
              <w:t>Dual</w:t>
            </w:r>
          </w:p>
        </w:tc>
        <w:tc>
          <w:tcPr>
            <w:tcW w:w="1800" w:type="dxa"/>
          </w:tcPr>
          <w:p>
            <w:pPr>
              <w:pStyle w:val="TableParagraph"/>
              <w:spacing w:line="234" w:lineRule="exact"/>
              <w:ind w:left="107"/>
              <w:rPr>
                <w:sz w:val="22"/>
              </w:rPr>
            </w:pPr>
            <w:r>
              <w:rPr>
                <w:spacing w:val="-2"/>
                <w:sz w:val="22"/>
              </w:rPr>
              <w:t>Non-Medicaid</w:t>
            </w:r>
          </w:p>
        </w:tc>
        <w:tc>
          <w:tcPr>
            <w:tcW w:w="1440" w:type="dxa"/>
          </w:tcPr>
          <w:p>
            <w:pPr>
              <w:pStyle w:val="TableParagraph"/>
              <w:spacing w:line="234" w:lineRule="exact"/>
              <w:ind w:left="107"/>
              <w:rPr>
                <w:sz w:val="22"/>
              </w:rPr>
            </w:pPr>
            <w:r>
              <w:rPr>
                <w:spacing w:val="-2"/>
                <w:sz w:val="22"/>
              </w:rPr>
              <w:t>Blank</w:t>
            </w:r>
          </w:p>
        </w:tc>
        <w:tc>
          <w:tcPr>
            <w:tcW w:w="2407" w:type="dxa"/>
          </w:tcPr>
          <w:p>
            <w:pPr>
              <w:pStyle w:val="TableParagraph"/>
              <w:spacing w:line="234" w:lineRule="exact"/>
              <w:ind w:left="107"/>
              <w:rPr>
                <w:sz w:val="22"/>
              </w:rPr>
            </w:pPr>
            <w:r>
              <w:rPr>
                <w:spacing w:val="-4"/>
                <w:sz w:val="22"/>
              </w:rPr>
              <w:t>Full</w:t>
            </w:r>
          </w:p>
        </w:tc>
        <w:tc>
          <w:tcPr>
            <w:tcW w:w="1079" w:type="dxa"/>
          </w:tcPr>
          <w:p>
            <w:pPr>
              <w:pStyle w:val="TableParagraph"/>
              <w:spacing w:line="234" w:lineRule="exact"/>
              <w:ind w:left="106"/>
              <w:rPr>
                <w:sz w:val="22"/>
              </w:rPr>
            </w:pPr>
            <w:r>
              <w:rPr>
                <w:spacing w:val="-2"/>
                <w:sz w:val="22"/>
              </w:rPr>
              <w:t>Non-</w:t>
            </w:r>
            <w:r>
              <w:rPr>
                <w:spacing w:val="-5"/>
                <w:sz w:val="22"/>
              </w:rPr>
              <w:t>DE#</w:t>
            </w:r>
          </w:p>
        </w:tc>
      </w:tr>
    </w:tbl>
    <w:p>
      <w:pPr>
        <w:pStyle w:val="BodyText"/>
        <w:spacing w:before="120"/>
        <w:ind w:right="1481"/>
      </w:pPr>
      <w:r>
        <w:t>The</w:t>
      </w:r>
      <w:r>
        <w:rPr>
          <w:spacing w:val="-5"/>
        </w:rPr>
        <w:t xml:space="preserve"> </w:t>
      </w:r>
      <w:r>
        <w:t>table</w:t>
      </w:r>
      <w:r>
        <w:rPr>
          <w:spacing w:val="-5"/>
        </w:rPr>
        <w:t xml:space="preserve"> </w:t>
      </w:r>
      <w:r>
        <w:t>below</w:t>
      </w:r>
      <w:r>
        <w:rPr>
          <w:spacing w:val="-3"/>
        </w:rPr>
        <w:t xml:space="preserve"> </w:t>
      </w:r>
      <w:r>
        <w:t>outlines</w:t>
      </w:r>
      <w:r>
        <w:rPr>
          <w:spacing w:val="-2"/>
        </w:rPr>
        <w:t xml:space="preserve"> </w:t>
      </w:r>
      <w:r>
        <w:t>the</w:t>
      </w:r>
      <w:r>
        <w:rPr>
          <w:spacing w:val="-3"/>
        </w:rPr>
        <w:t xml:space="preserve"> </w:t>
      </w:r>
      <w:r>
        <w:t>requirements</w:t>
      </w:r>
      <w:r>
        <w:rPr>
          <w:spacing w:val="-4"/>
        </w:rPr>
        <w:t xml:space="preserve"> </w:t>
      </w:r>
      <w:r>
        <w:t>for</w:t>
      </w:r>
      <w:r>
        <w:rPr>
          <w:spacing w:val="-4"/>
        </w:rPr>
        <w:t xml:space="preserve"> </w:t>
      </w:r>
      <w:r>
        <w:t>classifying</w:t>
      </w:r>
      <w:r>
        <w:rPr>
          <w:spacing w:val="-3"/>
        </w:rPr>
        <w:t xml:space="preserve"> </w:t>
      </w:r>
      <w:r>
        <w:t>dual-eligible</w:t>
      </w:r>
      <w:r>
        <w:rPr>
          <w:spacing w:val="-4"/>
        </w:rPr>
        <w:t xml:space="preserve"> </w:t>
      </w:r>
      <w:r>
        <w:t>beneficiaries</w:t>
      </w:r>
      <w:r>
        <w:rPr>
          <w:spacing w:val="-4"/>
        </w:rPr>
        <w:t xml:space="preserve"> </w:t>
      </w:r>
      <w:r>
        <w:t>that</w:t>
      </w:r>
      <w:r>
        <w:rPr>
          <w:spacing w:val="-3"/>
        </w:rPr>
        <w:t xml:space="preserve"> </w:t>
      </w:r>
      <w:r>
        <w:t>are</w:t>
      </w:r>
      <w:r>
        <w:rPr>
          <w:spacing w:val="-5"/>
        </w:rPr>
        <w:t xml:space="preserve"> </w:t>
      </w:r>
      <w:r>
        <w:t>not QMB or QMB Plus (that is, Medicaid Pricing Indicator B: Other Medicaid) as DE# or</w:t>
      </w:r>
    </w:p>
    <w:p>
      <w:pPr>
        <w:pStyle w:val="BodyText"/>
        <w:ind w:right="1481"/>
      </w:pPr>
      <w:r>
        <w:t>non-DE#.</w:t>
      </w:r>
      <w:r>
        <w:rPr>
          <w:spacing w:val="-3"/>
        </w:rPr>
        <w:t xml:space="preserve"> </w:t>
      </w:r>
      <w:r>
        <w:t>The</w:t>
      </w:r>
      <w:r>
        <w:rPr>
          <w:spacing w:val="-4"/>
        </w:rPr>
        <w:t xml:space="preserve"> </w:t>
      </w:r>
      <w:r>
        <w:t>percentages</w:t>
      </w:r>
      <w:r>
        <w:rPr>
          <w:spacing w:val="-4"/>
        </w:rPr>
        <w:t xml:space="preserve"> </w:t>
      </w:r>
      <w:r>
        <w:t>in</w:t>
      </w:r>
      <w:r>
        <w:rPr>
          <w:spacing w:val="-3"/>
        </w:rPr>
        <w:t xml:space="preserve"> </w:t>
      </w:r>
      <w:r>
        <w:t>the</w:t>
      </w:r>
      <w:r>
        <w:rPr>
          <w:spacing w:val="-4"/>
        </w:rPr>
        <w:t xml:space="preserve"> </w:t>
      </w:r>
      <w:r>
        <w:t>table</w:t>
      </w:r>
      <w:r>
        <w:rPr>
          <w:spacing w:val="-4"/>
        </w:rPr>
        <w:t xml:space="preserve"> </w:t>
      </w:r>
      <w:r>
        <w:t>below</w:t>
      </w:r>
      <w:r>
        <w:rPr>
          <w:spacing w:val="-4"/>
        </w:rPr>
        <w:t xml:space="preserve"> </w:t>
      </w:r>
      <w:r>
        <w:t>represent</w:t>
      </w:r>
      <w:r>
        <w:rPr>
          <w:spacing w:val="-3"/>
        </w:rPr>
        <w:t xml:space="preserve"> </w:t>
      </w:r>
      <w:r>
        <w:t>the</w:t>
      </w:r>
      <w:r>
        <w:rPr>
          <w:spacing w:val="-2"/>
        </w:rPr>
        <w:t xml:space="preserve"> </w:t>
      </w:r>
      <w:r>
        <w:t>number</w:t>
      </w:r>
      <w:r>
        <w:rPr>
          <w:spacing w:val="-5"/>
        </w:rPr>
        <w:t xml:space="preserve"> </w:t>
      </w:r>
      <w:r>
        <w:t>of</w:t>
      </w:r>
      <w:r>
        <w:rPr>
          <w:spacing w:val="-3"/>
        </w:rPr>
        <w:t xml:space="preserve"> </w:t>
      </w:r>
      <w:r>
        <w:t>total</w:t>
      </w:r>
      <w:r>
        <w:rPr>
          <w:spacing w:val="-2"/>
        </w:rPr>
        <w:t xml:space="preserve"> </w:t>
      </w:r>
      <w:r>
        <w:t>dual-eligible beneficiaries relative to total members per the HPMS plan-level data.</w:t>
      </w:r>
    </w:p>
    <w:p>
      <w:pPr>
        <w:pStyle w:val="BodyText"/>
        <w:spacing w:before="84"/>
        <w:ind w:left="0"/>
      </w:pPr>
    </w:p>
    <w:p>
      <w:pPr>
        <w:pStyle w:val="BodyText"/>
        <w:spacing w:before="1"/>
        <w:ind w:left="0" w:right="9049"/>
        <w:jc w:val="center"/>
      </w:pPr>
      <w:r>
        <w:t>Table</w:t>
      </w:r>
      <w:r>
        <w:rPr>
          <w:spacing w:val="-2"/>
        </w:rPr>
        <w:t xml:space="preserve"> </w:t>
      </w:r>
      <w:r>
        <w:rPr>
          <w:spacing w:val="-10"/>
        </w:rPr>
        <w:t>3</w:t>
      </w:r>
    </w:p>
    <w:tbl>
      <w:tblPr>
        <w:tblStyle w:val="TableNormal"/>
        <w:tblW w:w="0" w:type="auto"/>
        <w:jc w:val="left"/>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1"/>
        <w:gridCol w:w="2458"/>
        <w:gridCol w:w="3507"/>
      </w:tblGrid>
      <w:tr>
        <w:tblPrEx>
          <w:tblW w:w="0" w:type="auto"/>
          <w:jc w:val="left"/>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25"/>
          <w:jc w:val="left"/>
        </w:trPr>
        <w:tc>
          <w:tcPr>
            <w:tcW w:w="3061" w:type="dxa"/>
          </w:tcPr>
          <w:p>
            <w:pPr>
              <w:pStyle w:val="TableParagraph"/>
              <w:spacing w:line="254" w:lineRule="exact"/>
              <w:ind w:left="494" w:right="184" w:hanging="303"/>
              <w:rPr>
                <w:b/>
                <w:sz w:val="22"/>
              </w:rPr>
            </w:pPr>
            <w:r>
              <w:rPr>
                <w:b/>
                <w:sz w:val="22"/>
              </w:rPr>
              <w:t>Medicaid</w:t>
            </w:r>
            <w:r>
              <w:rPr>
                <w:b/>
                <w:spacing w:val="-11"/>
                <w:sz w:val="22"/>
              </w:rPr>
              <w:t xml:space="preserve"> </w:t>
            </w:r>
            <w:r>
              <w:rPr>
                <w:b/>
                <w:sz w:val="22"/>
              </w:rPr>
              <w:t>Pricing</w:t>
            </w:r>
            <w:r>
              <w:rPr>
                <w:b/>
                <w:spacing w:val="-14"/>
                <w:sz w:val="22"/>
              </w:rPr>
              <w:t xml:space="preserve"> </w:t>
            </w:r>
            <w:r>
              <w:rPr>
                <w:b/>
                <w:sz w:val="22"/>
              </w:rPr>
              <w:t>Indicator</w:t>
            </w:r>
            <w:r>
              <w:rPr>
                <w:b/>
                <w:spacing w:val="-11"/>
                <w:sz w:val="22"/>
              </w:rPr>
              <w:t xml:space="preserve"> </w:t>
            </w:r>
            <w:r>
              <w:rPr>
                <w:b/>
                <w:sz w:val="22"/>
              </w:rPr>
              <w:t>/ Medicaid Status Code</w:t>
            </w:r>
          </w:p>
        </w:tc>
        <w:tc>
          <w:tcPr>
            <w:tcW w:w="2458" w:type="dxa"/>
          </w:tcPr>
          <w:p>
            <w:pPr>
              <w:pStyle w:val="TableParagraph"/>
              <w:spacing w:before="253" w:line="252" w:lineRule="exact"/>
              <w:ind w:left="10"/>
              <w:jc w:val="center"/>
              <w:rPr>
                <w:b/>
                <w:sz w:val="22"/>
              </w:rPr>
            </w:pPr>
            <w:r>
              <w:rPr>
                <w:b/>
                <w:spacing w:val="-2"/>
                <w:sz w:val="22"/>
              </w:rPr>
              <w:t>Condition</w:t>
            </w:r>
          </w:p>
        </w:tc>
        <w:tc>
          <w:tcPr>
            <w:tcW w:w="3507" w:type="dxa"/>
          </w:tcPr>
          <w:p>
            <w:pPr>
              <w:pStyle w:val="TableParagraph"/>
              <w:spacing w:line="254" w:lineRule="exact"/>
              <w:ind w:left="772" w:right="564" w:firstLine="60"/>
              <w:rPr>
                <w:b/>
                <w:sz w:val="22"/>
              </w:rPr>
            </w:pPr>
            <w:r>
              <w:rPr>
                <w:b/>
                <w:sz w:val="22"/>
              </w:rPr>
              <w:t>DE# Determination for</w:t>
            </w:r>
            <w:r>
              <w:rPr>
                <w:b/>
                <w:spacing w:val="-13"/>
                <w:sz w:val="22"/>
              </w:rPr>
              <w:t xml:space="preserve"> </w:t>
            </w:r>
            <w:r>
              <w:rPr>
                <w:b/>
                <w:sz w:val="22"/>
              </w:rPr>
              <w:t>Base</w:t>
            </w:r>
            <w:r>
              <w:rPr>
                <w:b/>
                <w:spacing w:val="-13"/>
                <w:sz w:val="22"/>
              </w:rPr>
              <w:t xml:space="preserve"> </w:t>
            </w:r>
            <w:r>
              <w:rPr>
                <w:b/>
                <w:sz w:val="22"/>
              </w:rPr>
              <w:t>Period</w:t>
            </w:r>
            <w:r>
              <w:rPr>
                <w:b/>
                <w:spacing w:val="-13"/>
                <w:sz w:val="22"/>
              </w:rPr>
              <w:t xml:space="preserve"> </w:t>
            </w:r>
            <w:r>
              <w:rPr>
                <w:b/>
                <w:sz w:val="22"/>
              </w:rPr>
              <w:t>Data</w:t>
            </w:r>
          </w:p>
        </w:tc>
      </w:tr>
      <w:tr>
        <w:tblPrEx>
          <w:tblW w:w="0" w:type="auto"/>
          <w:jc w:val="left"/>
          <w:tblInd w:w="689" w:type="dxa"/>
          <w:tblLayout w:type="fixed"/>
          <w:tblCellMar>
            <w:top w:w="0" w:type="dxa"/>
            <w:left w:w="0" w:type="dxa"/>
            <w:bottom w:w="0" w:type="dxa"/>
            <w:right w:w="0" w:type="dxa"/>
          </w:tblCellMar>
          <w:tblLook w:val="01E0"/>
        </w:tblPrEx>
        <w:trPr>
          <w:trHeight w:val="251"/>
          <w:jc w:val="left"/>
        </w:trPr>
        <w:tc>
          <w:tcPr>
            <w:tcW w:w="3061" w:type="dxa"/>
          </w:tcPr>
          <w:p>
            <w:pPr>
              <w:pStyle w:val="TableParagraph"/>
              <w:spacing w:line="232" w:lineRule="exact"/>
              <w:ind w:left="107"/>
              <w:rPr>
                <w:sz w:val="22"/>
              </w:rPr>
            </w:pPr>
            <w:r>
              <w:rPr>
                <w:sz w:val="22"/>
              </w:rPr>
              <w:t>A: 01,</w:t>
            </w:r>
            <w:r>
              <w:rPr>
                <w:spacing w:val="-1"/>
                <w:sz w:val="22"/>
              </w:rPr>
              <w:t xml:space="preserve"> </w:t>
            </w:r>
            <w:r>
              <w:rPr>
                <w:spacing w:val="-5"/>
                <w:sz w:val="22"/>
              </w:rPr>
              <w:t>02</w:t>
            </w:r>
          </w:p>
        </w:tc>
        <w:tc>
          <w:tcPr>
            <w:tcW w:w="2458" w:type="dxa"/>
          </w:tcPr>
          <w:p>
            <w:pPr>
              <w:pStyle w:val="TableParagraph"/>
              <w:spacing w:line="232" w:lineRule="exact"/>
              <w:ind w:left="10" w:right="5"/>
              <w:jc w:val="center"/>
              <w:rPr>
                <w:sz w:val="22"/>
              </w:rPr>
            </w:pPr>
            <w:r>
              <w:rPr>
                <w:spacing w:val="-4"/>
                <w:sz w:val="22"/>
              </w:rPr>
              <w:t>None</w:t>
            </w:r>
          </w:p>
        </w:tc>
        <w:tc>
          <w:tcPr>
            <w:tcW w:w="3507" w:type="dxa"/>
          </w:tcPr>
          <w:p>
            <w:pPr>
              <w:pStyle w:val="TableParagraph"/>
              <w:spacing w:line="232" w:lineRule="exact"/>
              <w:ind w:left="7" w:right="1"/>
              <w:jc w:val="center"/>
              <w:rPr>
                <w:sz w:val="22"/>
              </w:rPr>
            </w:pPr>
            <w:r>
              <w:rPr>
                <w:spacing w:val="-5"/>
                <w:sz w:val="22"/>
              </w:rPr>
              <w:t>DE#</w:t>
            </w:r>
          </w:p>
        </w:tc>
      </w:tr>
      <w:tr>
        <w:tblPrEx>
          <w:tblW w:w="0" w:type="auto"/>
          <w:jc w:val="left"/>
          <w:tblInd w:w="689" w:type="dxa"/>
          <w:tblLayout w:type="fixed"/>
          <w:tblCellMar>
            <w:top w:w="0" w:type="dxa"/>
            <w:left w:w="0" w:type="dxa"/>
            <w:bottom w:w="0" w:type="dxa"/>
            <w:right w:w="0" w:type="dxa"/>
          </w:tblCellMar>
          <w:tblLook w:val="01E0"/>
        </w:tblPrEx>
        <w:trPr>
          <w:trHeight w:val="506"/>
          <w:jc w:val="left"/>
        </w:trPr>
        <w:tc>
          <w:tcPr>
            <w:tcW w:w="3061" w:type="dxa"/>
          </w:tcPr>
          <w:p>
            <w:pPr>
              <w:pStyle w:val="TableParagraph"/>
              <w:spacing w:before="125"/>
              <w:ind w:left="107"/>
              <w:rPr>
                <w:sz w:val="22"/>
              </w:rPr>
            </w:pPr>
            <w:r>
              <w:rPr>
                <w:sz w:val="22"/>
              </w:rPr>
              <w:t>B: 03,</w:t>
            </w:r>
            <w:r>
              <w:rPr>
                <w:spacing w:val="-1"/>
                <w:sz w:val="22"/>
              </w:rPr>
              <w:t xml:space="preserve"> </w:t>
            </w:r>
            <w:r>
              <w:rPr>
                <w:sz w:val="22"/>
              </w:rPr>
              <w:t>04,</w:t>
            </w:r>
            <w:r>
              <w:rPr>
                <w:spacing w:val="-3"/>
                <w:sz w:val="22"/>
              </w:rPr>
              <w:t xml:space="preserve"> </w:t>
            </w:r>
            <w:r>
              <w:rPr>
                <w:sz w:val="22"/>
              </w:rPr>
              <w:t>05,</w:t>
            </w:r>
            <w:r>
              <w:rPr>
                <w:spacing w:val="-1"/>
                <w:sz w:val="22"/>
              </w:rPr>
              <w:t xml:space="preserve"> </w:t>
            </w:r>
            <w:r>
              <w:rPr>
                <w:sz w:val="22"/>
              </w:rPr>
              <w:t>06,</w:t>
            </w:r>
            <w:r>
              <w:rPr>
                <w:spacing w:val="-3"/>
                <w:sz w:val="22"/>
              </w:rPr>
              <w:t xml:space="preserve"> </w:t>
            </w:r>
            <w:r>
              <w:rPr>
                <w:sz w:val="22"/>
              </w:rPr>
              <w:t>08, 09,</w:t>
            </w:r>
            <w:r>
              <w:rPr>
                <w:spacing w:val="-4"/>
                <w:sz w:val="22"/>
              </w:rPr>
              <w:t xml:space="preserve"> </w:t>
            </w:r>
            <w:r>
              <w:rPr>
                <w:sz w:val="22"/>
              </w:rPr>
              <w:t xml:space="preserve">10, </w:t>
            </w:r>
            <w:r>
              <w:rPr>
                <w:spacing w:val="-5"/>
                <w:sz w:val="22"/>
              </w:rPr>
              <w:t>99</w:t>
            </w:r>
          </w:p>
        </w:tc>
        <w:tc>
          <w:tcPr>
            <w:tcW w:w="2458" w:type="dxa"/>
          </w:tcPr>
          <w:p>
            <w:pPr>
              <w:pStyle w:val="TableParagraph"/>
              <w:spacing w:line="252" w:lineRule="exact"/>
              <w:ind w:left="664" w:right="147" w:hanging="509"/>
              <w:rPr>
                <w:sz w:val="22"/>
              </w:rPr>
            </w:pPr>
            <w:r>
              <w:rPr>
                <w:sz w:val="22"/>
              </w:rPr>
              <w:t>&lt;10%</w:t>
            </w:r>
            <w:r>
              <w:rPr>
                <w:spacing w:val="-14"/>
                <w:sz w:val="22"/>
              </w:rPr>
              <w:t xml:space="preserve"> </w:t>
            </w:r>
            <w:r>
              <w:rPr>
                <w:sz w:val="22"/>
              </w:rPr>
              <w:t>total</w:t>
            </w:r>
            <w:r>
              <w:rPr>
                <w:spacing w:val="-14"/>
                <w:sz w:val="22"/>
              </w:rPr>
              <w:t xml:space="preserve"> </w:t>
            </w:r>
            <w:r>
              <w:rPr>
                <w:sz w:val="22"/>
              </w:rPr>
              <w:t xml:space="preserve">dual-eligible </w:t>
            </w:r>
            <w:r>
              <w:rPr>
                <w:spacing w:val="-2"/>
                <w:sz w:val="22"/>
              </w:rPr>
              <w:t>beneficiaries</w:t>
            </w:r>
          </w:p>
        </w:tc>
        <w:tc>
          <w:tcPr>
            <w:tcW w:w="3507" w:type="dxa"/>
          </w:tcPr>
          <w:p>
            <w:pPr>
              <w:pStyle w:val="TableParagraph"/>
              <w:spacing w:line="252" w:lineRule="exact"/>
              <w:ind w:left="414" w:firstLine="64"/>
              <w:rPr>
                <w:sz w:val="22"/>
              </w:rPr>
            </w:pPr>
            <w:r>
              <w:rPr>
                <w:sz w:val="22"/>
              </w:rPr>
              <w:t>May consider as non-DE# or determine</w:t>
            </w:r>
            <w:r>
              <w:rPr>
                <w:spacing w:val="-14"/>
                <w:sz w:val="22"/>
              </w:rPr>
              <w:t xml:space="preserve"> </w:t>
            </w:r>
            <w:r>
              <w:rPr>
                <w:sz w:val="22"/>
              </w:rPr>
              <w:t>actual</w:t>
            </w:r>
            <w:r>
              <w:rPr>
                <w:spacing w:val="-14"/>
                <w:sz w:val="22"/>
              </w:rPr>
              <w:t xml:space="preserve"> </w:t>
            </w:r>
            <w:r>
              <w:rPr>
                <w:sz w:val="22"/>
              </w:rPr>
              <w:t>classification</w:t>
            </w:r>
          </w:p>
        </w:tc>
      </w:tr>
      <w:tr>
        <w:tblPrEx>
          <w:tblW w:w="0" w:type="auto"/>
          <w:jc w:val="left"/>
          <w:tblInd w:w="689" w:type="dxa"/>
          <w:tblLayout w:type="fixed"/>
          <w:tblCellMar>
            <w:top w:w="0" w:type="dxa"/>
            <w:left w:w="0" w:type="dxa"/>
            <w:bottom w:w="0" w:type="dxa"/>
            <w:right w:w="0" w:type="dxa"/>
          </w:tblCellMar>
          <w:tblLook w:val="01E0"/>
        </w:tblPrEx>
        <w:trPr>
          <w:trHeight w:val="505"/>
          <w:jc w:val="left"/>
        </w:trPr>
        <w:tc>
          <w:tcPr>
            <w:tcW w:w="3061" w:type="dxa"/>
          </w:tcPr>
          <w:p>
            <w:pPr>
              <w:pStyle w:val="TableParagraph"/>
              <w:spacing w:before="125"/>
              <w:ind w:left="107"/>
              <w:rPr>
                <w:sz w:val="22"/>
              </w:rPr>
            </w:pPr>
            <w:r>
              <w:rPr>
                <w:sz w:val="22"/>
              </w:rPr>
              <w:t>B: 03,</w:t>
            </w:r>
            <w:r>
              <w:rPr>
                <w:spacing w:val="-1"/>
                <w:sz w:val="22"/>
              </w:rPr>
              <w:t xml:space="preserve"> </w:t>
            </w:r>
            <w:r>
              <w:rPr>
                <w:sz w:val="22"/>
              </w:rPr>
              <w:t>04,</w:t>
            </w:r>
            <w:r>
              <w:rPr>
                <w:spacing w:val="-3"/>
                <w:sz w:val="22"/>
              </w:rPr>
              <w:t xml:space="preserve"> </w:t>
            </w:r>
            <w:r>
              <w:rPr>
                <w:sz w:val="22"/>
              </w:rPr>
              <w:t>05,</w:t>
            </w:r>
            <w:r>
              <w:rPr>
                <w:spacing w:val="-1"/>
                <w:sz w:val="22"/>
              </w:rPr>
              <w:t xml:space="preserve"> </w:t>
            </w:r>
            <w:r>
              <w:rPr>
                <w:sz w:val="22"/>
              </w:rPr>
              <w:t>06,</w:t>
            </w:r>
            <w:r>
              <w:rPr>
                <w:spacing w:val="-3"/>
                <w:sz w:val="22"/>
              </w:rPr>
              <w:t xml:space="preserve"> </w:t>
            </w:r>
            <w:r>
              <w:rPr>
                <w:sz w:val="22"/>
              </w:rPr>
              <w:t>08, 09,</w:t>
            </w:r>
            <w:r>
              <w:rPr>
                <w:spacing w:val="-4"/>
                <w:sz w:val="22"/>
              </w:rPr>
              <w:t xml:space="preserve"> </w:t>
            </w:r>
            <w:r>
              <w:rPr>
                <w:sz w:val="22"/>
              </w:rPr>
              <w:t xml:space="preserve">10, </w:t>
            </w:r>
            <w:r>
              <w:rPr>
                <w:spacing w:val="-5"/>
                <w:sz w:val="22"/>
              </w:rPr>
              <w:t>99</w:t>
            </w:r>
          </w:p>
        </w:tc>
        <w:tc>
          <w:tcPr>
            <w:tcW w:w="2458" w:type="dxa"/>
          </w:tcPr>
          <w:p>
            <w:pPr>
              <w:pStyle w:val="TableParagraph"/>
              <w:spacing w:line="252" w:lineRule="exact"/>
              <w:ind w:left="308" w:hanging="156"/>
              <w:rPr>
                <w:sz w:val="22"/>
              </w:rPr>
            </w:pPr>
            <w:r>
              <w:rPr>
                <w:sz w:val="22"/>
              </w:rPr>
              <w:t>10%</w:t>
            </w:r>
            <w:r>
              <w:rPr>
                <w:spacing w:val="-10"/>
                <w:sz w:val="22"/>
              </w:rPr>
              <w:t xml:space="preserve"> </w:t>
            </w:r>
            <w:r>
              <w:rPr>
                <w:sz w:val="22"/>
              </w:rPr>
              <w:t>to</w:t>
            </w:r>
            <w:r>
              <w:rPr>
                <w:spacing w:val="-8"/>
                <w:sz w:val="22"/>
              </w:rPr>
              <w:t xml:space="preserve"> </w:t>
            </w:r>
            <w:r>
              <w:rPr>
                <w:sz w:val="22"/>
              </w:rPr>
              <w:t>100%</w:t>
            </w:r>
            <w:r>
              <w:rPr>
                <w:spacing w:val="-10"/>
                <w:sz w:val="22"/>
              </w:rPr>
              <w:t xml:space="preserve"> </w:t>
            </w:r>
            <w:r>
              <w:rPr>
                <w:sz w:val="22"/>
              </w:rPr>
              <w:t>total</w:t>
            </w:r>
            <w:r>
              <w:rPr>
                <w:spacing w:val="-7"/>
                <w:sz w:val="22"/>
              </w:rPr>
              <w:t xml:space="preserve"> </w:t>
            </w:r>
            <w:r>
              <w:rPr>
                <w:sz w:val="22"/>
              </w:rPr>
              <w:t>dual-eligible beneficiaries</w:t>
            </w:r>
          </w:p>
        </w:tc>
        <w:tc>
          <w:tcPr>
            <w:tcW w:w="3507" w:type="dxa"/>
          </w:tcPr>
          <w:p>
            <w:pPr>
              <w:pStyle w:val="TableParagraph"/>
              <w:spacing w:before="125"/>
              <w:ind w:left="7"/>
              <w:jc w:val="center"/>
              <w:rPr>
                <w:sz w:val="22"/>
              </w:rPr>
            </w:pPr>
            <w:r>
              <w:rPr>
                <w:sz w:val="22"/>
              </w:rPr>
              <w:t>Must</w:t>
            </w:r>
            <w:r>
              <w:rPr>
                <w:spacing w:val="-4"/>
                <w:sz w:val="22"/>
              </w:rPr>
              <w:t xml:space="preserve"> </w:t>
            </w:r>
            <w:r>
              <w:rPr>
                <w:sz w:val="22"/>
              </w:rPr>
              <w:t>determine</w:t>
            </w:r>
            <w:r>
              <w:rPr>
                <w:spacing w:val="-5"/>
                <w:sz w:val="22"/>
              </w:rPr>
              <w:t xml:space="preserve"> </w:t>
            </w:r>
            <w:r>
              <w:rPr>
                <w:sz w:val="22"/>
              </w:rPr>
              <w:t>actual</w:t>
            </w:r>
            <w:r>
              <w:rPr>
                <w:spacing w:val="-4"/>
                <w:sz w:val="22"/>
              </w:rPr>
              <w:t xml:space="preserve"> </w:t>
            </w:r>
            <w:r>
              <w:rPr>
                <w:spacing w:val="-2"/>
                <w:sz w:val="22"/>
              </w:rPr>
              <w:t>classification</w:t>
            </w:r>
          </w:p>
        </w:tc>
      </w:tr>
      <w:tr>
        <w:tblPrEx>
          <w:tblW w:w="0" w:type="auto"/>
          <w:jc w:val="left"/>
          <w:tblInd w:w="689" w:type="dxa"/>
          <w:tblLayout w:type="fixed"/>
          <w:tblCellMar>
            <w:top w:w="0" w:type="dxa"/>
            <w:left w:w="0" w:type="dxa"/>
            <w:bottom w:w="0" w:type="dxa"/>
            <w:right w:w="0" w:type="dxa"/>
          </w:tblCellMar>
          <w:tblLook w:val="01E0"/>
        </w:tblPrEx>
        <w:trPr>
          <w:trHeight w:val="254"/>
          <w:jc w:val="left"/>
        </w:trPr>
        <w:tc>
          <w:tcPr>
            <w:tcW w:w="3061" w:type="dxa"/>
          </w:tcPr>
          <w:p>
            <w:pPr>
              <w:pStyle w:val="TableParagraph"/>
              <w:spacing w:before="1" w:line="233" w:lineRule="exact"/>
              <w:ind w:left="107"/>
              <w:rPr>
                <w:sz w:val="22"/>
              </w:rPr>
            </w:pPr>
            <w:r>
              <w:rPr>
                <w:sz w:val="22"/>
              </w:rPr>
              <w:t xml:space="preserve">C: </w:t>
            </w:r>
            <w:r>
              <w:rPr>
                <w:spacing w:val="-2"/>
                <w:sz w:val="22"/>
              </w:rPr>
              <w:t>Blank</w:t>
            </w:r>
          </w:p>
        </w:tc>
        <w:tc>
          <w:tcPr>
            <w:tcW w:w="2458" w:type="dxa"/>
          </w:tcPr>
          <w:p>
            <w:pPr>
              <w:pStyle w:val="TableParagraph"/>
              <w:spacing w:before="1" w:line="233" w:lineRule="exact"/>
              <w:ind w:left="10" w:right="5"/>
              <w:jc w:val="center"/>
              <w:rPr>
                <w:sz w:val="22"/>
              </w:rPr>
            </w:pPr>
            <w:r>
              <w:rPr>
                <w:spacing w:val="-4"/>
                <w:sz w:val="22"/>
              </w:rPr>
              <w:t>None</w:t>
            </w:r>
          </w:p>
        </w:tc>
        <w:tc>
          <w:tcPr>
            <w:tcW w:w="3507" w:type="dxa"/>
          </w:tcPr>
          <w:p>
            <w:pPr>
              <w:pStyle w:val="TableParagraph"/>
              <w:spacing w:before="1" w:line="233" w:lineRule="exact"/>
              <w:ind w:left="7" w:right="1"/>
              <w:jc w:val="center"/>
              <w:rPr>
                <w:sz w:val="22"/>
              </w:rPr>
            </w:pPr>
            <w:r>
              <w:rPr>
                <w:spacing w:val="-2"/>
                <w:sz w:val="22"/>
              </w:rPr>
              <w:t>Non-</w:t>
            </w:r>
            <w:r>
              <w:rPr>
                <w:spacing w:val="-5"/>
                <w:sz w:val="22"/>
              </w:rPr>
              <w:t>DE#</w:t>
            </w:r>
          </w:p>
        </w:tc>
      </w:tr>
    </w:tbl>
    <w:p>
      <w:pPr>
        <w:spacing w:before="241"/>
        <w:ind w:left="57" w:right="9049" w:firstLine="0"/>
        <w:jc w:val="center"/>
        <w:rPr>
          <w:rFonts w:ascii="Arial"/>
          <w:b/>
          <w:sz w:val="21"/>
        </w:rPr>
      </w:pPr>
      <w:bookmarkStart w:id="402" w:name="BPT Values"/>
      <w:bookmarkEnd w:id="402"/>
      <w:r>
        <w:rPr>
          <w:rFonts w:ascii="Arial"/>
          <w:b/>
          <w:sz w:val="21"/>
        </w:rPr>
        <w:t>BPT</w:t>
      </w:r>
      <w:r>
        <w:rPr>
          <w:rFonts w:ascii="Arial"/>
          <w:b/>
          <w:spacing w:val="-4"/>
          <w:sz w:val="21"/>
        </w:rPr>
        <w:t xml:space="preserve"> </w:t>
      </w:r>
      <w:r>
        <w:rPr>
          <w:rFonts w:ascii="Arial"/>
          <w:b/>
          <w:spacing w:val="-2"/>
          <w:sz w:val="21"/>
        </w:rPr>
        <w:t>Values</w:t>
      </w:r>
    </w:p>
    <w:p>
      <w:pPr>
        <w:pStyle w:val="BodyText"/>
        <w:spacing w:before="121"/>
        <w:ind w:right="1481"/>
      </w:pPr>
      <w:r>
        <w:t>The</w:t>
      </w:r>
      <w:r>
        <w:rPr>
          <w:spacing w:val="-4"/>
        </w:rPr>
        <w:t xml:space="preserve"> </w:t>
      </w:r>
      <w:r>
        <w:t>table</w:t>
      </w:r>
      <w:r>
        <w:rPr>
          <w:spacing w:val="-4"/>
        </w:rPr>
        <w:t xml:space="preserve"> </w:t>
      </w:r>
      <w:r>
        <w:t>below</w:t>
      </w:r>
      <w:r>
        <w:rPr>
          <w:spacing w:val="-2"/>
        </w:rPr>
        <w:t xml:space="preserve"> </w:t>
      </w:r>
      <w:r>
        <w:t>outlines</w:t>
      </w:r>
      <w:r>
        <w:rPr>
          <w:spacing w:val="-1"/>
        </w:rPr>
        <w:t xml:space="preserve"> </w:t>
      </w:r>
      <w:r>
        <w:t>the</w:t>
      </w:r>
      <w:r>
        <w:rPr>
          <w:spacing w:val="-2"/>
        </w:rPr>
        <w:t xml:space="preserve"> </w:t>
      </w:r>
      <w:r>
        <w:t>determination</w:t>
      </w:r>
      <w:r>
        <w:rPr>
          <w:spacing w:val="-2"/>
        </w:rPr>
        <w:t xml:space="preserve"> </w:t>
      </w:r>
      <w:r>
        <w:t>of</w:t>
      </w:r>
      <w:r>
        <w:rPr>
          <w:spacing w:val="-2"/>
        </w:rPr>
        <w:t xml:space="preserve"> </w:t>
      </w:r>
      <w:r>
        <w:t>certain</w:t>
      </w:r>
      <w:r>
        <w:rPr>
          <w:spacing w:val="-1"/>
        </w:rPr>
        <w:t xml:space="preserve"> </w:t>
      </w:r>
      <w:r>
        <w:t>BPT</w:t>
      </w:r>
      <w:r>
        <w:rPr>
          <w:spacing w:val="-2"/>
        </w:rPr>
        <w:t xml:space="preserve"> </w:t>
      </w:r>
      <w:r>
        <w:t>values</w:t>
      </w:r>
      <w:r>
        <w:rPr>
          <w:spacing w:val="-2"/>
        </w:rPr>
        <w:t xml:space="preserve"> </w:t>
      </w:r>
      <w:r>
        <w:t>when</w:t>
      </w:r>
      <w:r>
        <w:rPr>
          <w:spacing w:val="-2"/>
        </w:rPr>
        <w:t xml:space="preserve"> </w:t>
      </w:r>
      <w:r>
        <w:t>the</w:t>
      </w:r>
      <w:r>
        <w:rPr>
          <w:spacing w:val="-1"/>
        </w:rPr>
        <w:t xml:space="preserve"> </w:t>
      </w:r>
      <w:r>
        <w:t>certifying</w:t>
      </w:r>
      <w:r>
        <w:rPr>
          <w:spacing w:val="-2"/>
        </w:rPr>
        <w:t xml:space="preserve"> </w:t>
      </w:r>
      <w:r>
        <w:t>actuary chooses</w:t>
      </w:r>
      <w:r>
        <w:rPr>
          <w:spacing w:val="-5"/>
        </w:rPr>
        <w:t xml:space="preserve"> </w:t>
      </w:r>
      <w:r>
        <w:t>to</w:t>
      </w:r>
      <w:r>
        <w:rPr>
          <w:spacing w:val="-1"/>
        </w:rPr>
        <w:t xml:space="preserve"> </w:t>
      </w:r>
      <w:r>
        <w:t>set</w:t>
      </w:r>
      <w:r>
        <w:rPr>
          <w:spacing w:val="-1"/>
        </w:rPr>
        <w:t xml:space="preserve"> </w:t>
      </w:r>
      <w:r>
        <w:t>the</w:t>
      </w:r>
      <w:r>
        <w:rPr>
          <w:spacing w:val="-2"/>
        </w:rPr>
        <w:t xml:space="preserve"> </w:t>
      </w:r>
      <w:r>
        <w:t>projected</w:t>
      </w:r>
      <w:r>
        <w:rPr>
          <w:spacing w:val="-1"/>
        </w:rPr>
        <w:t xml:space="preserve"> </w:t>
      </w:r>
      <w:r>
        <w:t>DE#,</w:t>
      </w:r>
      <w:r>
        <w:rPr>
          <w:spacing w:val="-2"/>
        </w:rPr>
        <w:t xml:space="preserve"> </w:t>
      </w:r>
      <w:r>
        <w:t>non-DE#,</w:t>
      </w:r>
      <w:r>
        <w:rPr>
          <w:spacing w:val="1"/>
        </w:rPr>
        <w:t xml:space="preserve"> </w:t>
      </w:r>
      <w:r>
        <w:t>and</w:t>
      </w:r>
      <w:r>
        <w:rPr>
          <w:spacing w:val="-1"/>
        </w:rPr>
        <w:t xml:space="preserve"> </w:t>
      </w:r>
      <w:r>
        <w:t>total</w:t>
      </w:r>
      <w:r>
        <w:rPr>
          <w:spacing w:val="-1"/>
        </w:rPr>
        <w:t xml:space="preserve"> </w:t>
      </w:r>
      <w:r>
        <w:t>allowed</w:t>
      </w:r>
      <w:r>
        <w:rPr>
          <w:spacing w:val="-1"/>
        </w:rPr>
        <w:t xml:space="preserve"> </w:t>
      </w:r>
      <w:r>
        <w:t>costs</w:t>
      </w:r>
      <w:r>
        <w:rPr>
          <w:spacing w:val="-2"/>
        </w:rPr>
        <w:t xml:space="preserve"> </w:t>
      </w:r>
      <w:r>
        <w:t>all</w:t>
      </w:r>
      <w:r>
        <w:rPr>
          <w:spacing w:val="-1"/>
        </w:rPr>
        <w:t xml:space="preserve"> </w:t>
      </w:r>
      <w:r>
        <w:t>equal</w:t>
      </w:r>
      <w:r>
        <w:rPr>
          <w:spacing w:val="1"/>
        </w:rPr>
        <w:t xml:space="preserve"> </w:t>
      </w:r>
      <w:r>
        <w:t>on</w:t>
      </w:r>
      <w:r>
        <w:rPr>
          <w:spacing w:val="-1"/>
        </w:rPr>
        <w:t xml:space="preserve"> </w:t>
      </w:r>
      <w:r>
        <w:t>Worksheet</w:t>
      </w:r>
      <w:r>
        <w:rPr>
          <w:spacing w:val="-1"/>
        </w:rPr>
        <w:t xml:space="preserve"> </w:t>
      </w:r>
      <w:r>
        <w:rPr>
          <w:spacing w:val="-5"/>
        </w:rPr>
        <w:t>2.</w:t>
      </w:r>
    </w:p>
    <w:p>
      <w:pPr>
        <w:pStyle w:val="BodyText"/>
        <w:spacing w:before="83"/>
        <w:ind w:left="0"/>
      </w:pPr>
    </w:p>
    <w:p>
      <w:pPr>
        <w:pStyle w:val="BodyText"/>
        <w:spacing w:before="1"/>
        <w:ind w:left="0" w:right="9049"/>
        <w:jc w:val="center"/>
      </w:pPr>
      <w:r>
        <w:t>Table</w:t>
      </w:r>
      <w:r>
        <w:rPr>
          <w:spacing w:val="-2"/>
        </w:rPr>
        <w:t xml:space="preserve"> </w:t>
      </w:r>
      <w:r>
        <w:rPr>
          <w:spacing w:val="-10"/>
        </w:rPr>
        <w:t>4</w:t>
      </w:r>
    </w:p>
    <w:tbl>
      <w:tblPr>
        <w:tblStyle w:val="TableNormal"/>
        <w:tblW w:w="0" w:type="auto"/>
        <w:jc w:val="left"/>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1"/>
        <w:gridCol w:w="2340"/>
        <w:gridCol w:w="1980"/>
        <w:gridCol w:w="2093"/>
        <w:gridCol w:w="1260"/>
      </w:tblGrid>
      <w:tr>
        <w:tblPrEx>
          <w:tblW w:w="0" w:type="auto"/>
          <w:jc w:val="left"/>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25"/>
          <w:jc w:val="left"/>
        </w:trPr>
        <w:tc>
          <w:tcPr>
            <w:tcW w:w="1171" w:type="dxa"/>
          </w:tcPr>
          <w:p>
            <w:pPr>
              <w:pStyle w:val="TableParagraph"/>
              <w:spacing w:before="253" w:line="252" w:lineRule="exact"/>
              <w:ind w:left="110"/>
              <w:rPr>
                <w:b/>
                <w:sz w:val="22"/>
              </w:rPr>
            </w:pPr>
            <w:r>
              <w:rPr>
                <w:b/>
                <w:sz w:val="22"/>
              </w:rPr>
              <w:t>BPT</w:t>
            </w:r>
            <w:r>
              <w:rPr>
                <w:b/>
                <w:spacing w:val="-3"/>
                <w:sz w:val="22"/>
              </w:rPr>
              <w:t xml:space="preserve"> </w:t>
            </w:r>
            <w:r>
              <w:rPr>
                <w:b/>
                <w:spacing w:val="-4"/>
                <w:sz w:val="22"/>
              </w:rPr>
              <w:t>Area</w:t>
            </w:r>
          </w:p>
        </w:tc>
        <w:tc>
          <w:tcPr>
            <w:tcW w:w="2340" w:type="dxa"/>
          </w:tcPr>
          <w:p>
            <w:pPr>
              <w:pStyle w:val="TableParagraph"/>
              <w:spacing w:before="253" w:line="252" w:lineRule="exact"/>
              <w:ind w:left="3" w:right="1"/>
              <w:jc w:val="center"/>
              <w:rPr>
                <w:b/>
                <w:sz w:val="22"/>
              </w:rPr>
            </w:pPr>
            <w:r>
              <w:rPr>
                <w:b/>
                <w:sz w:val="22"/>
              </w:rPr>
              <w:t>Input</w:t>
            </w:r>
            <w:r>
              <w:rPr>
                <w:b/>
                <w:spacing w:val="-2"/>
                <w:sz w:val="22"/>
              </w:rPr>
              <w:t xml:space="preserve"> </w:t>
            </w:r>
            <w:r>
              <w:rPr>
                <w:b/>
                <w:spacing w:val="-4"/>
                <w:sz w:val="22"/>
              </w:rPr>
              <w:t>Item</w:t>
            </w:r>
          </w:p>
        </w:tc>
        <w:tc>
          <w:tcPr>
            <w:tcW w:w="1980" w:type="dxa"/>
          </w:tcPr>
          <w:p>
            <w:pPr>
              <w:pStyle w:val="TableParagraph"/>
              <w:spacing w:before="253" w:line="252" w:lineRule="exact"/>
              <w:ind w:left="8" w:right="6"/>
              <w:jc w:val="center"/>
              <w:rPr>
                <w:b/>
                <w:sz w:val="22"/>
              </w:rPr>
            </w:pPr>
            <w:r>
              <w:rPr>
                <w:b/>
                <w:sz w:val="22"/>
              </w:rPr>
              <w:t>&lt;10%</w:t>
            </w:r>
            <w:r>
              <w:rPr>
                <w:b/>
                <w:spacing w:val="-2"/>
                <w:sz w:val="22"/>
              </w:rPr>
              <w:t xml:space="preserve"> </w:t>
            </w:r>
            <w:r>
              <w:rPr>
                <w:b/>
                <w:spacing w:val="-5"/>
                <w:sz w:val="22"/>
              </w:rPr>
              <w:t>DE#</w:t>
            </w:r>
          </w:p>
        </w:tc>
        <w:tc>
          <w:tcPr>
            <w:tcW w:w="2093" w:type="dxa"/>
          </w:tcPr>
          <w:p>
            <w:pPr>
              <w:pStyle w:val="TableParagraph"/>
              <w:spacing w:before="253" w:line="252" w:lineRule="exact"/>
              <w:ind w:left="5"/>
              <w:jc w:val="center"/>
              <w:rPr>
                <w:b/>
                <w:sz w:val="22"/>
              </w:rPr>
            </w:pPr>
            <w:r>
              <w:rPr>
                <w:b/>
                <w:sz w:val="22"/>
              </w:rPr>
              <w:t>&gt;90%</w:t>
            </w:r>
            <w:r>
              <w:rPr>
                <w:b/>
                <w:spacing w:val="-2"/>
                <w:sz w:val="22"/>
              </w:rPr>
              <w:t xml:space="preserve"> </w:t>
            </w:r>
            <w:r>
              <w:rPr>
                <w:b/>
                <w:spacing w:val="-5"/>
                <w:sz w:val="22"/>
              </w:rPr>
              <w:t>DE#</w:t>
            </w:r>
          </w:p>
        </w:tc>
        <w:tc>
          <w:tcPr>
            <w:tcW w:w="1260" w:type="dxa"/>
          </w:tcPr>
          <w:p>
            <w:pPr>
              <w:pStyle w:val="TableParagraph"/>
              <w:spacing w:line="251" w:lineRule="exact"/>
              <w:ind w:left="289"/>
              <w:rPr>
                <w:b/>
                <w:sz w:val="22"/>
              </w:rPr>
            </w:pPr>
            <w:r>
              <w:rPr>
                <w:b/>
                <w:sz w:val="22"/>
              </w:rPr>
              <w:t xml:space="preserve">10% </w:t>
            </w:r>
            <w:r>
              <w:rPr>
                <w:b/>
                <w:spacing w:val="-5"/>
                <w:sz w:val="22"/>
              </w:rPr>
              <w:t>to</w:t>
            </w:r>
          </w:p>
          <w:p>
            <w:pPr>
              <w:pStyle w:val="TableParagraph"/>
              <w:spacing w:before="1" w:line="252" w:lineRule="exact"/>
              <w:ind w:left="176"/>
              <w:rPr>
                <w:b/>
                <w:sz w:val="22"/>
              </w:rPr>
            </w:pPr>
            <w:r>
              <w:rPr>
                <w:b/>
                <w:sz w:val="22"/>
              </w:rPr>
              <w:t xml:space="preserve">90% </w:t>
            </w:r>
            <w:r>
              <w:rPr>
                <w:b/>
                <w:spacing w:val="-5"/>
                <w:sz w:val="22"/>
              </w:rPr>
              <w:t>DE#</w:t>
            </w:r>
          </w:p>
        </w:tc>
      </w:tr>
      <w:tr>
        <w:tblPrEx>
          <w:tblW w:w="0" w:type="auto"/>
          <w:jc w:val="left"/>
          <w:tblInd w:w="689" w:type="dxa"/>
          <w:tblLayout w:type="fixed"/>
          <w:tblCellMar>
            <w:top w:w="0" w:type="dxa"/>
            <w:left w:w="0" w:type="dxa"/>
            <w:bottom w:w="0" w:type="dxa"/>
            <w:right w:w="0" w:type="dxa"/>
          </w:tblCellMar>
          <w:tblLook w:val="01E0"/>
        </w:tblPrEx>
        <w:trPr>
          <w:trHeight w:val="506"/>
          <w:jc w:val="left"/>
        </w:trPr>
        <w:tc>
          <w:tcPr>
            <w:tcW w:w="1171" w:type="dxa"/>
          </w:tcPr>
          <w:p>
            <w:pPr>
              <w:pStyle w:val="TableParagraph"/>
              <w:spacing w:before="125"/>
              <w:ind w:left="107"/>
              <w:rPr>
                <w:sz w:val="22"/>
              </w:rPr>
            </w:pPr>
            <w:r>
              <w:rPr>
                <w:spacing w:val="-5"/>
                <w:sz w:val="22"/>
              </w:rPr>
              <w:t>WS3</w:t>
            </w:r>
          </w:p>
        </w:tc>
        <w:tc>
          <w:tcPr>
            <w:tcW w:w="2340" w:type="dxa"/>
          </w:tcPr>
          <w:p>
            <w:pPr>
              <w:pStyle w:val="TableParagraph"/>
              <w:spacing w:line="254" w:lineRule="exact"/>
              <w:ind w:left="886" w:hanging="723"/>
              <w:rPr>
                <w:sz w:val="22"/>
              </w:rPr>
            </w:pPr>
            <w:r>
              <w:rPr>
                <w:sz w:val="22"/>
              </w:rPr>
              <w:t>Utilization</w:t>
            </w:r>
            <w:r>
              <w:rPr>
                <w:spacing w:val="-14"/>
                <w:sz w:val="22"/>
              </w:rPr>
              <w:t xml:space="preserve"> </w:t>
            </w:r>
            <w:r>
              <w:rPr>
                <w:sz w:val="22"/>
              </w:rPr>
              <w:t>and</w:t>
            </w:r>
            <w:r>
              <w:rPr>
                <w:spacing w:val="-14"/>
                <w:sz w:val="22"/>
              </w:rPr>
              <w:t xml:space="preserve"> </w:t>
            </w:r>
            <w:r>
              <w:rPr>
                <w:sz w:val="22"/>
              </w:rPr>
              <w:t xml:space="preserve">PMPM </w:t>
            </w:r>
            <w:r>
              <w:rPr>
                <w:spacing w:val="-2"/>
                <w:sz w:val="22"/>
              </w:rPr>
              <w:t>values</w:t>
            </w:r>
          </w:p>
        </w:tc>
        <w:tc>
          <w:tcPr>
            <w:tcW w:w="1980" w:type="dxa"/>
          </w:tcPr>
          <w:p>
            <w:pPr>
              <w:pStyle w:val="TableParagraph"/>
              <w:spacing w:line="254" w:lineRule="exact"/>
              <w:ind w:left="482" w:right="133" w:hanging="286"/>
              <w:rPr>
                <w:sz w:val="22"/>
              </w:rPr>
            </w:pPr>
            <w:r>
              <w:rPr>
                <w:sz w:val="22"/>
              </w:rPr>
              <w:t>Enter</w:t>
            </w:r>
            <w:r>
              <w:rPr>
                <w:spacing w:val="-14"/>
                <w:sz w:val="22"/>
              </w:rPr>
              <w:t xml:space="preserve"> </w:t>
            </w:r>
            <w:r>
              <w:rPr>
                <w:sz w:val="22"/>
              </w:rPr>
              <w:t>non-DE#</w:t>
            </w:r>
            <w:r>
              <w:rPr>
                <w:spacing w:val="-14"/>
                <w:sz w:val="22"/>
              </w:rPr>
              <w:t xml:space="preserve"> </w:t>
            </w:r>
            <w:r>
              <w:rPr>
                <w:sz w:val="22"/>
              </w:rPr>
              <w:t>or total values</w:t>
            </w:r>
          </w:p>
        </w:tc>
        <w:tc>
          <w:tcPr>
            <w:tcW w:w="2093" w:type="dxa"/>
          </w:tcPr>
          <w:p>
            <w:pPr>
              <w:pStyle w:val="TableParagraph"/>
              <w:spacing w:line="254" w:lineRule="exact"/>
              <w:ind w:left="540" w:hanging="286"/>
              <w:rPr>
                <w:sz w:val="22"/>
              </w:rPr>
            </w:pPr>
            <w:r>
              <w:rPr>
                <w:sz w:val="22"/>
              </w:rPr>
              <w:t>Enter</w:t>
            </w:r>
            <w:r>
              <w:rPr>
                <w:spacing w:val="-14"/>
                <w:sz w:val="22"/>
              </w:rPr>
              <w:t xml:space="preserve"> </w:t>
            </w:r>
            <w:r>
              <w:rPr>
                <w:sz w:val="22"/>
              </w:rPr>
              <w:t>non-DE#</w:t>
            </w:r>
            <w:r>
              <w:rPr>
                <w:spacing w:val="-14"/>
                <w:sz w:val="22"/>
              </w:rPr>
              <w:t xml:space="preserve"> </w:t>
            </w:r>
            <w:r>
              <w:rPr>
                <w:sz w:val="22"/>
              </w:rPr>
              <w:t>or total values</w:t>
            </w:r>
          </w:p>
        </w:tc>
        <w:tc>
          <w:tcPr>
            <w:tcW w:w="1260" w:type="dxa"/>
          </w:tcPr>
          <w:p>
            <w:pPr>
              <w:pStyle w:val="TableParagraph"/>
              <w:spacing w:before="125"/>
              <w:ind w:left="11"/>
              <w:jc w:val="center"/>
              <w:rPr>
                <w:sz w:val="22"/>
              </w:rPr>
            </w:pPr>
            <w:r>
              <w:rPr>
                <w:spacing w:val="-5"/>
                <w:sz w:val="22"/>
              </w:rPr>
              <w:t>N/A</w:t>
            </w:r>
          </w:p>
        </w:tc>
      </w:tr>
      <w:tr>
        <w:tblPrEx>
          <w:tblW w:w="0" w:type="auto"/>
          <w:jc w:val="left"/>
          <w:tblInd w:w="689" w:type="dxa"/>
          <w:tblLayout w:type="fixed"/>
          <w:tblCellMar>
            <w:top w:w="0" w:type="dxa"/>
            <w:left w:w="0" w:type="dxa"/>
            <w:bottom w:w="0" w:type="dxa"/>
            <w:right w:w="0" w:type="dxa"/>
          </w:tblCellMar>
          <w:tblLook w:val="01E0"/>
        </w:tblPrEx>
        <w:trPr>
          <w:trHeight w:val="756"/>
          <w:jc w:val="left"/>
        </w:trPr>
        <w:tc>
          <w:tcPr>
            <w:tcW w:w="1171" w:type="dxa"/>
          </w:tcPr>
          <w:p>
            <w:pPr>
              <w:pStyle w:val="TableParagraph"/>
              <w:spacing w:before="251"/>
              <w:ind w:left="107"/>
              <w:rPr>
                <w:sz w:val="22"/>
              </w:rPr>
            </w:pPr>
            <w:r>
              <w:rPr>
                <w:sz w:val="22"/>
              </w:rPr>
              <w:t xml:space="preserve">WS4 </w:t>
            </w:r>
            <w:r>
              <w:rPr>
                <w:spacing w:val="-5"/>
                <w:sz w:val="22"/>
              </w:rPr>
              <w:t>IIB</w:t>
            </w:r>
          </w:p>
        </w:tc>
        <w:tc>
          <w:tcPr>
            <w:tcW w:w="2340" w:type="dxa"/>
          </w:tcPr>
          <w:p>
            <w:pPr>
              <w:pStyle w:val="TableParagraph"/>
              <w:spacing w:line="249" w:lineRule="exact"/>
              <w:ind w:left="115" w:hanging="8"/>
              <w:rPr>
                <w:sz w:val="22"/>
              </w:rPr>
            </w:pPr>
            <w:r>
              <w:rPr>
                <w:sz w:val="22"/>
              </w:rPr>
              <w:t>State</w:t>
            </w:r>
            <w:r>
              <w:rPr>
                <w:spacing w:val="-4"/>
                <w:sz w:val="22"/>
              </w:rPr>
              <w:t xml:space="preserve"> </w:t>
            </w:r>
            <w:r>
              <w:rPr>
                <w:sz w:val="22"/>
              </w:rPr>
              <w:t>Medicaid</w:t>
            </w:r>
            <w:r>
              <w:rPr>
                <w:spacing w:val="-4"/>
                <w:sz w:val="22"/>
              </w:rPr>
              <w:t xml:space="preserve"> </w:t>
            </w:r>
            <w:r>
              <w:rPr>
                <w:spacing w:val="-2"/>
                <w:sz w:val="22"/>
              </w:rPr>
              <w:t>required</w:t>
            </w:r>
          </w:p>
          <w:p>
            <w:pPr>
              <w:pStyle w:val="TableParagraph"/>
              <w:spacing w:line="252" w:lineRule="exact"/>
              <w:ind w:left="681" w:hanging="567"/>
              <w:rPr>
                <w:sz w:val="22"/>
              </w:rPr>
            </w:pPr>
            <w:r>
              <w:rPr>
                <w:sz w:val="22"/>
              </w:rPr>
              <w:t>beneficiary</w:t>
            </w:r>
            <w:r>
              <w:rPr>
                <w:spacing w:val="-14"/>
                <w:sz w:val="22"/>
              </w:rPr>
              <w:t xml:space="preserve"> </w:t>
            </w:r>
            <w:r>
              <w:rPr>
                <w:sz w:val="22"/>
              </w:rPr>
              <w:t>cost</w:t>
            </w:r>
            <w:r>
              <w:rPr>
                <w:spacing w:val="-14"/>
                <w:sz w:val="22"/>
              </w:rPr>
              <w:t xml:space="preserve"> </w:t>
            </w:r>
            <w:r>
              <w:rPr>
                <w:sz w:val="22"/>
              </w:rPr>
              <w:t>sharing (column k)</w:t>
            </w:r>
          </w:p>
        </w:tc>
        <w:tc>
          <w:tcPr>
            <w:tcW w:w="1980" w:type="dxa"/>
          </w:tcPr>
          <w:p>
            <w:pPr>
              <w:pStyle w:val="TableParagraph"/>
              <w:spacing w:before="123"/>
              <w:ind w:left="142" w:right="133" w:firstLine="271"/>
              <w:rPr>
                <w:sz w:val="22"/>
              </w:rPr>
            </w:pPr>
            <w:r>
              <w:rPr>
                <w:sz w:val="22"/>
              </w:rPr>
              <w:t>Enter zero or appropriate</w:t>
            </w:r>
            <w:r>
              <w:rPr>
                <w:spacing w:val="-14"/>
                <w:sz w:val="22"/>
              </w:rPr>
              <w:t xml:space="preserve"> </w:t>
            </w:r>
            <w:r>
              <w:rPr>
                <w:sz w:val="22"/>
              </w:rPr>
              <w:t>values</w:t>
            </w:r>
            <w:hyperlink w:anchor="_bookmark102" w:history="1">
              <w:r>
                <w:rPr>
                  <w:sz w:val="22"/>
                  <w:vertAlign w:val="superscript"/>
                </w:rPr>
                <w:t>1</w:t>
              </w:r>
            </w:hyperlink>
          </w:p>
        </w:tc>
        <w:tc>
          <w:tcPr>
            <w:tcW w:w="2093" w:type="dxa"/>
          </w:tcPr>
          <w:p>
            <w:pPr>
              <w:pStyle w:val="TableParagraph"/>
              <w:spacing w:before="123"/>
              <w:ind w:left="728" w:right="267" w:hanging="452"/>
              <w:rPr>
                <w:sz w:val="22"/>
              </w:rPr>
            </w:pPr>
            <w:r>
              <w:rPr>
                <w:sz w:val="22"/>
              </w:rPr>
              <w:t>Enter</w:t>
            </w:r>
            <w:r>
              <w:rPr>
                <w:spacing w:val="-14"/>
                <w:sz w:val="22"/>
              </w:rPr>
              <w:t xml:space="preserve"> </w:t>
            </w:r>
            <w:r>
              <w:rPr>
                <w:sz w:val="22"/>
              </w:rPr>
              <w:t xml:space="preserve">appropriate </w:t>
            </w:r>
            <w:r>
              <w:rPr>
                <w:spacing w:val="-2"/>
                <w:sz w:val="22"/>
              </w:rPr>
              <w:t>values</w:t>
            </w:r>
            <w:r>
              <w:rPr>
                <w:spacing w:val="-2"/>
                <w:sz w:val="22"/>
                <w:vertAlign w:val="superscript"/>
              </w:rPr>
              <w:t>1</w:t>
            </w:r>
          </w:p>
        </w:tc>
        <w:tc>
          <w:tcPr>
            <w:tcW w:w="1260" w:type="dxa"/>
          </w:tcPr>
          <w:p>
            <w:pPr>
              <w:pStyle w:val="TableParagraph"/>
              <w:spacing w:before="251"/>
              <w:ind w:left="11"/>
              <w:jc w:val="center"/>
              <w:rPr>
                <w:sz w:val="22"/>
              </w:rPr>
            </w:pPr>
            <w:r>
              <w:rPr>
                <w:spacing w:val="-5"/>
                <w:sz w:val="22"/>
              </w:rPr>
              <w:t>N/A</w:t>
            </w:r>
          </w:p>
        </w:tc>
      </w:tr>
      <w:tr>
        <w:tblPrEx>
          <w:tblW w:w="0" w:type="auto"/>
          <w:jc w:val="left"/>
          <w:tblInd w:w="689" w:type="dxa"/>
          <w:tblLayout w:type="fixed"/>
          <w:tblCellMar>
            <w:top w:w="0" w:type="dxa"/>
            <w:left w:w="0" w:type="dxa"/>
            <w:bottom w:w="0" w:type="dxa"/>
            <w:right w:w="0" w:type="dxa"/>
          </w:tblCellMar>
          <w:tblLook w:val="01E0"/>
        </w:tblPrEx>
        <w:trPr>
          <w:trHeight w:val="491"/>
          <w:jc w:val="left"/>
        </w:trPr>
        <w:tc>
          <w:tcPr>
            <w:tcW w:w="1171" w:type="dxa"/>
          </w:tcPr>
          <w:p>
            <w:pPr>
              <w:pStyle w:val="TableParagraph"/>
              <w:spacing w:before="118"/>
              <w:ind w:left="107"/>
              <w:rPr>
                <w:sz w:val="22"/>
              </w:rPr>
            </w:pPr>
            <w:r>
              <w:rPr>
                <w:sz w:val="22"/>
              </w:rPr>
              <w:t xml:space="preserve">WS5 </w:t>
            </w:r>
            <w:r>
              <w:rPr>
                <w:spacing w:val="-5"/>
                <w:sz w:val="22"/>
              </w:rPr>
              <w:t>II</w:t>
            </w:r>
          </w:p>
        </w:tc>
        <w:tc>
          <w:tcPr>
            <w:tcW w:w="2340" w:type="dxa"/>
          </w:tcPr>
          <w:p>
            <w:pPr>
              <w:pStyle w:val="TableParagraph"/>
              <w:spacing w:before="118"/>
              <w:ind w:left="3"/>
              <w:jc w:val="center"/>
              <w:rPr>
                <w:sz w:val="22"/>
              </w:rPr>
            </w:pPr>
            <w:r>
              <w:rPr>
                <w:sz w:val="22"/>
              </w:rPr>
              <w:t>Non-DE#</w:t>
            </w:r>
            <w:r>
              <w:rPr>
                <w:spacing w:val="-5"/>
                <w:sz w:val="22"/>
              </w:rPr>
              <w:t xml:space="preserve"> </w:t>
            </w:r>
            <w:r>
              <w:rPr>
                <w:sz w:val="22"/>
              </w:rPr>
              <w:t>risk</w:t>
            </w:r>
            <w:r>
              <w:rPr>
                <w:spacing w:val="-4"/>
                <w:sz w:val="22"/>
              </w:rPr>
              <w:t xml:space="preserve"> </w:t>
            </w:r>
            <w:r>
              <w:rPr>
                <w:spacing w:val="-2"/>
                <w:sz w:val="22"/>
              </w:rPr>
              <w:t>factor</w:t>
            </w:r>
          </w:p>
        </w:tc>
        <w:tc>
          <w:tcPr>
            <w:tcW w:w="1980" w:type="dxa"/>
          </w:tcPr>
          <w:p>
            <w:pPr>
              <w:pStyle w:val="TableParagraph"/>
              <w:spacing w:before="118"/>
              <w:ind w:left="8"/>
              <w:jc w:val="center"/>
              <w:rPr>
                <w:sz w:val="22"/>
              </w:rPr>
            </w:pPr>
            <w:r>
              <w:rPr>
                <w:sz w:val="22"/>
              </w:rPr>
              <w:t>Enter</w:t>
            </w:r>
            <w:r>
              <w:rPr>
                <w:spacing w:val="-5"/>
                <w:sz w:val="22"/>
              </w:rPr>
              <w:t xml:space="preserve"> </w:t>
            </w:r>
            <w:r>
              <w:rPr>
                <w:sz w:val="22"/>
              </w:rPr>
              <w:t>total</w:t>
            </w:r>
            <w:r>
              <w:rPr>
                <w:spacing w:val="-1"/>
                <w:sz w:val="22"/>
              </w:rPr>
              <w:t xml:space="preserve"> </w:t>
            </w:r>
            <w:r>
              <w:rPr>
                <w:spacing w:val="-2"/>
                <w:sz w:val="22"/>
              </w:rPr>
              <w:t>values</w:t>
            </w:r>
          </w:p>
        </w:tc>
        <w:tc>
          <w:tcPr>
            <w:tcW w:w="2093" w:type="dxa"/>
          </w:tcPr>
          <w:p>
            <w:pPr>
              <w:pStyle w:val="TableParagraph"/>
              <w:spacing w:before="118"/>
              <w:ind w:left="5"/>
              <w:jc w:val="center"/>
              <w:rPr>
                <w:sz w:val="22"/>
              </w:rPr>
            </w:pPr>
            <w:r>
              <w:rPr>
                <w:sz w:val="22"/>
              </w:rPr>
              <w:t>Enter</w:t>
            </w:r>
            <w:r>
              <w:rPr>
                <w:spacing w:val="-5"/>
                <w:sz w:val="22"/>
              </w:rPr>
              <w:t xml:space="preserve"> </w:t>
            </w:r>
            <w:r>
              <w:rPr>
                <w:sz w:val="22"/>
              </w:rPr>
              <w:t>total</w:t>
            </w:r>
            <w:r>
              <w:rPr>
                <w:spacing w:val="-1"/>
                <w:sz w:val="22"/>
              </w:rPr>
              <w:t xml:space="preserve"> </w:t>
            </w:r>
            <w:r>
              <w:rPr>
                <w:spacing w:val="-2"/>
                <w:sz w:val="22"/>
              </w:rPr>
              <w:t>values</w:t>
            </w:r>
          </w:p>
        </w:tc>
        <w:tc>
          <w:tcPr>
            <w:tcW w:w="1260" w:type="dxa"/>
          </w:tcPr>
          <w:p>
            <w:pPr>
              <w:pStyle w:val="TableParagraph"/>
              <w:spacing w:before="118"/>
              <w:ind w:left="11"/>
              <w:jc w:val="center"/>
              <w:rPr>
                <w:sz w:val="22"/>
              </w:rPr>
            </w:pPr>
            <w:r>
              <w:rPr>
                <w:spacing w:val="-5"/>
                <w:sz w:val="22"/>
              </w:rPr>
              <w:t>N/A</w:t>
            </w:r>
          </w:p>
        </w:tc>
      </w:tr>
    </w:tbl>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30"/>
        <w:ind w:left="0"/>
        <w:rPr>
          <w:sz w:val="20"/>
        </w:rPr>
      </w:pPr>
      <w:r>
        <w:rPr>
          <w:sz w:val="20"/>
        </w:rPr>
        <mc:AlternateContent>
          <mc:Choice Requires="wps">
            <w:drawing>
              <wp:anchor distT="0" distB="0" distL="0" distR="0" simplePos="0" relativeHeight="251672576" behindDoc="1" locked="0" layoutInCell="1" allowOverlap="1">
                <wp:simplePos x="0" y="0"/>
                <wp:positionH relativeFrom="page">
                  <wp:posOffset>1006144</wp:posOffset>
                </wp:positionH>
                <wp:positionV relativeFrom="paragraph">
                  <wp:posOffset>244232</wp:posOffset>
                </wp:positionV>
                <wp:extent cx="1829435" cy="6350"/>
                <wp:effectExtent l="0" t="0" r="0" b="0"/>
                <wp:wrapTopAndBottom/>
                <wp:docPr id="74" name="Graphic 74"/>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4" style="width:144.02pt;height:0.48pt;margin-top:19.23pt;margin-left:79.22pt;mso-position-horizontal-relative:page;mso-wrap-distance-left:0;mso-wrap-distance-right:0;position:absolute;z-index:-251642880" filled="t" fillcolor="black" stroked="f">
                <v:fill type="solid"/>
                <w10:wrap type="topAndBottom"/>
              </v:rect>
            </w:pict>
          </mc:Fallback>
        </mc:AlternateContent>
      </w:r>
    </w:p>
    <w:p>
      <w:pPr>
        <w:spacing w:before="250"/>
        <w:ind w:left="504" w:right="0" w:firstLine="0"/>
        <w:jc w:val="left"/>
        <w:rPr>
          <w:sz w:val="20"/>
        </w:rPr>
      </w:pPr>
      <w:bookmarkStart w:id="403" w:name="_bookmark102"/>
      <w:bookmarkEnd w:id="403"/>
      <w:r>
        <w:rPr>
          <w:sz w:val="20"/>
          <w:vertAlign w:val="superscript"/>
        </w:rPr>
        <w:t>1</w:t>
      </w:r>
      <w:r>
        <w:rPr>
          <w:spacing w:val="-5"/>
          <w:sz w:val="20"/>
          <w:vertAlign w:val="baseline"/>
        </w:rPr>
        <w:t xml:space="preserve"> </w:t>
      </w:r>
      <w:r>
        <w:rPr>
          <w:sz w:val="20"/>
          <w:vertAlign w:val="baseline"/>
        </w:rPr>
        <w:t>Plus</w:t>
      </w:r>
      <w:r>
        <w:rPr>
          <w:spacing w:val="-5"/>
          <w:sz w:val="20"/>
          <w:vertAlign w:val="baseline"/>
        </w:rPr>
        <w:t xml:space="preserve"> </w:t>
      </w:r>
      <w:r>
        <w:rPr>
          <w:sz w:val="20"/>
          <w:vertAlign w:val="baseline"/>
        </w:rPr>
        <w:t>plan</w:t>
      </w:r>
      <w:r>
        <w:rPr>
          <w:spacing w:val="-4"/>
          <w:sz w:val="20"/>
          <w:vertAlign w:val="baseline"/>
        </w:rPr>
        <w:t xml:space="preserve"> </w:t>
      </w:r>
      <w:r>
        <w:rPr>
          <w:sz w:val="20"/>
          <w:vertAlign w:val="baseline"/>
        </w:rPr>
        <w:t>cost</w:t>
      </w:r>
      <w:r>
        <w:rPr>
          <w:spacing w:val="-5"/>
          <w:sz w:val="20"/>
          <w:vertAlign w:val="baseline"/>
        </w:rPr>
        <w:t xml:space="preserve"> </w:t>
      </w:r>
      <w:r>
        <w:rPr>
          <w:sz w:val="20"/>
          <w:vertAlign w:val="baseline"/>
        </w:rPr>
        <w:t>sharing</w:t>
      </w:r>
      <w:r>
        <w:rPr>
          <w:spacing w:val="-3"/>
          <w:sz w:val="20"/>
          <w:vertAlign w:val="baseline"/>
        </w:rPr>
        <w:t xml:space="preserve"> </w:t>
      </w:r>
      <w:r>
        <w:rPr>
          <w:sz w:val="20"/>
          <w:vertAlign w:val="baseline"/>
        </w:rPr>
        <w:t>for</w:t>
      </w:r>
      <w:r>
        <w:rPr>
          <w:spacing w:val="-5"/>
          <w:sz w:val="20"/>
          <w:vertAlign w:val="baseline"/>
        </w:rPr>
        <w:t xml:space="preserve"> </w:t>
      </w:r>
      <w:r>
        <w:rPr>
          <w:sz w:val="20"/>
          <w:vertAlign w:val="baseline"/>
        </w:rPr>
        <w:t>non-covered,</w:t>
      </w:r>
      <w:r>
        <w:rPr>
          <w:spacing w:val="-4"/>
          <w:sz w:val="20"/>
          <w:vertAlign w:val="baseline"/>
        </w:rPr>
        <w:t xml:space="preserve"> </w:t>
      </w:r>
      <w:r>
        <w:rPr>
          <w:sz w:val="20"/>
          <w:vertAlign w:val="baseline"/>
        </w:rPr>
        <w:t>non-Medicaid</w:t>
      </w:r>
      <w:r>
        <w:rPr>
          <w:spacing w:val="-5"/>
          <w:sz w:val="20"/>
          <w:vertAlign w:val="baseline"/>
        </w:rPr>
        <w:t xml:space="preserve"> </w:t>
      </w:r>
      <w:r>
        <w:rPr>
          <w:spacing w:val="-2"/>
          <w:sz w:val="20"/>
          <w:vertAlign w:val="baseline"/>
        </w:rPr>
        <w:t>benefits.</w:t>
      </w:r>
    </w:p>
    <w:p>
      <w:pPr>
        <w:spacing w:after="0"/>
        <w:jc w:val="left"/>
        <w:rPr>
          <w:sz w:val="20"/>
        </w:rPr>
        <w:sectPr>
          <w:pgSz w:w="12240" w:h="15840"/>
          <w:pgMar w:top="960" w:right="0" w:bottom="940" w:left="1080" w:header="727" w:footer="747"/>
          <w:cols w:space="720"/>
        </w:sectPr>
      </w:pPr>
    </w:p>
    <w:p>
      <w:pPr>
        <w:pStyle w:val="BodyText"/>
        <w:spacing w:before="190"/>
        <w:ind w:left="0"/>
      </w:pPr>
    </w:p>
    <w:p>
      <w:pPr>
        <w:pStyle w:val="BodyText"/>
        <w:ind w:right="1690"/>
      </w:pPr>
      <w:r>
        <w:t>The</w:t>
      </w:r>
      <w:r>
        <w:rPr>
          <w:spacing w:val="-5"/>
        </w:rPr>
        <w:t xml:space="preserve"> </w:t>
      </w:r>
      <w:r>
        <w:t>next</w:t>
      </w:r>
      <w:r>
        <w:rPr>
          <w:spacing w:val="-3"/>
        </w:rPr>
        <w:t xml:space="preserve"> </w:t>
      </w:r>
      <w:r>
        <w:t>table</w:t>
      </w:r>
      <w:r>
        <w:rPr>
          <w:spacing w:val="-3"/>
        </w:rPr>
        <w:t xml:space="preserve"> </w:t>
      </w:r>
      <w:r>
        <w:t>summarizes</w:t>
      </w:r>
      <w:r>
        <w:rPr>
          <w:spacing w:val="-4"/>
        </w:rPr>
        <w:t xml:space="preserve"> </w:t>
      </w:r>
      <w:r>
        <w:t>the</w:t>
      </w:r>
      <w:r>
        <w:rPr>
          <w:spacing w:val="-3"/>
        </w:rPr>
        <w:t xml:space="preserve"> </w:t>
      </w:r>
      <w:r>
        <w:t>determination</w:t>
      </w:r>
      <w:r>
        <w:rPr>
          <w:spacing w:val="-3"/>
        </w:rPr>
        <w:t xml:space="preserve"> </w:t>
      </w:r>
      <w:r>
        <w:t>of</w:t>
      </w:r>
      <w:r>
        <w:rPr>
          <w:spacing w:val="-2"/>
        </w:rPr>
        <w:t xml:space="preserve"> </w:t>
      </w:r>
      <w:r>
        <w:t>certain</w:t>
      </w:r>
      <w:r>
        <w:rPr>
          <w:spacing w:val="-3"/>
        </w:rPr>
        <w:t xml:space="preserve"> </w:t>
      </w:r>
      <w:r>
        <w:t>BPT</w:t>
      </w:r>
      <w:r>
        <w:rPr>
          <w:spacing w:val="-3"/>
        </w:rPr>
        <w:t xml:space="preserve"> </w:t>
      </w:r>
      <w:r>
        <w:t>values</w:t>
      </w:r>
      <w:r>
        <w:rPr>
          <w:spacing w:val="-4"/>
        </w:rPr>
        <w:t xml:space="preserve"> </w:t>
      </w:r>
      <w:r>
        <w:t>when</w:t>
      </w:r>
      <w:r>
        <w:rPr>
          <w:spacing w:val="-3"/>
        </w:rPr>
        <w:t xml:space="preserve"> </w:t>
      </w:r>
      <w:r>
        <w:t>(i)</w:t>
      </w:r>
      <w:r>
        <w:rPr>
          <w:spacing w:val="-4"/>
        </w:rPr>
        <w:t xml:space="preserve"> </w:t>
      </w:r>
      <w:r>
        <w:t>the</w:t>
      </w:r>
      <w:r>
        <w:rPr>
          <w:spacing w:val="-3"/>
        </w:rPr>
        <w:t xml:space="preserve"> </w:t>
      </w:r>
      <w:r>
        <w:t>value</w:t>
      </w:r>
      <w:r>
        <w:rPr>
          <w:spacing w:val="-3"/>
        </w:rPr>
        <w:t xml:space="preserve"> </w:t>
      </w:r>
      <w:r>
        <w:t>for</w:t>
      </w:r>
      <w:r>
        <w:rPr>
          <w:spacing w:val="-3"/>
        </w:rPr>
        <w:t xml:space="preserve"> </w:t>
      </w:r>
      <w:r>
        <w:t>the DE#</w:t>
      </w:r>
      <w:r>
        <w:rPr>
          <w:spacing w:val="-1"/>
        </w:rPr>
        <w:t xml:space="preserve"> </w:t>
      </w:r>
      <w:r>
        <w:t>projected</w:t>
      </w:r>
      <w:r>
        <w:rPr>
          <w:spacing w:val="-1"/>
        </w:rPr>
        <w:t xml:space="preserve"> </w:t>
      </w:r>
      <w:r>
        <w:t>member</w:t>
      </w:r>
      <w:r>
        <w:rPr>
          <w:spacing w:val="-1"/>
        </w:rPr>
        <w:t xml:space="preserve"> </w:t>
      </w:r>
      <w:r>
        <w:t>months is</w:t>
      </w:r>
      <w:r>
        <w:rPr>
          <w:spacing w:val="-1"/>
        </w:rPr>
        <w:t xml:space="preserve"> </w:t>
      </w:r>
      <w:r>
        <w:t>less</w:t>
      </w:r>
      <w:r>
        <w:rPr>
          <w:spacing w:val="-2"/>
        </w:rPr>
        <w:t xml:space="preserve"> </w:t>
      </w:r>
      <w:r>
        <w:t>than</w:t>
      </w:r>
      <w:r>
        <w:rPr>
          <w:spacing w:val="-1"/>
        </w:rPr>
        <w:t xml:space="preserve"> </w:t>
      </w:r>
      <w:r>
        <w:t>10</w:t>
      </w:r>
      <w:r>
        <w:rPr>
          <w:spacing w:val="-2"/>
        </w:rPr>
        <w:t xml:space="preserve"> </w:t>
      </w:r>
      <w:r>
        <w:t>percent,</w:t>
      </w:r>
      <w:r>
        <w:rPr>
          <w:spacing w:val="-1"/>
        </w:rPr>
        <w:t xml:space="preserve"> </w:t>
      </w:r>
      <w:r>
        <w:t>or</w:t>
      </w:r>
      <w:r>
        <w:rPr>
          <w:spacing w:val="-1"/>
        </w:rPr>
        <w:t xml:space="preserve"> </w:t>
      </w:r>
      <w:r>
        <w:t>greater</w:t>
      </w:r>
      <w:r>
        <w:rPr>
          <w:spacing w:val="-1"/>
        </w:rPr>
        <w:t xml:space="preserve"> </w:t>
      </w:r>
      <w:r>
        <w:t>than</w:t>
      </w:r>
      <w:r>
        <w:rPr>
          <w:spacing w:val="-1"/>
        </w:rPr>
        <w:t xml:space="preserve"> </w:t>
      </w:r>
      <w:r>
        <w:t>90 percent,</w:t>
      </w:r>
      <w:r>
        <w:rPr>
          <w:spacing w:val="-1"/>
        </w:rPr>
        <w:t xml:space="preserve"> </w:t>
      </w:r>
      <w:r>
        <w:t>of</w:t>
      </w:r>
      <w:r>
        <w:rPr>
          <w:spacing w:val="-1"/>
        </w:rPr>
        <w:t xml:space="preserve"> </w:t>
      </w:r>
      <w:r>
        <w:t>the</w:t>
      </w:r>
      <w:r>
        <w:rPr>
          <w:spacing w:val="-3"/>
        </w:rPr>
        <w:t xml:space="preserve"> </w:t>
      </w:r>
      <w:r>
        <w:t>total projected</w:t>
      </w:r>
      <w:r>
        <w:rPr>
          <w:spacing w:val="-2"/>
        </w:rPr>
        <w:t xml:space="preserve"> </w:t>
      </w:r>
      <w:r>
        <w:t>member</w:t>
      </w:r>
      <w:r>
        <w:rPr>
          <w:spacing w:val="-2"/>
        </w:rPr>
        <w:t xml:space="preserve"> </w:t>
      </w:r>
      <w:r>
        <w:t>months</w:t>
      </w:r>
      <w:r>
        <w:rPr>
          <w:spacing w:val="-1"/>
        </w:rPr>
        <w:t xml:space="preserve"> </w:t>
      </w:r>
      <w:r>
        <w:t>and</w:t>
      </w:r>
      <w:r>
        <w:rPr>
          <w:spacing w:val="-2"/>
        </w:rPr>
        <w:t xml:space="preserve"> </w:t>
      </w:r>
      <w:r>
        <w:t>the</w:t>
      </w:r>
      <w:r>
        <w:rPr>
          <w:spacing w:val="-2"/>
        </w:rPr>
        <w:t xml:space="preserve"> </w:t>
      </w:r>
      <w:r>
        <w:t>certifying</w:t>
      </w:r>
      <w:r>
        <w:rPr>
          <w:spacing w:val="-2"/>
        </w:rPr>
        <w:t xml:space="preserve"> </w:t>
      </w:r>
      <w:r>
        <w:t>actuary</w:t>
      </w:r>
      <w:r>
        <w:rPr>
          <w:spacing w:val="-2"/>
        </w:rPr>
        <w:t xml:space="preserve"> </w:t>
      </w:r>
      <w:r>
        <w:t>chooses</w:t>
      </w:r>
      <w:r>
        <w:rPr>
          <w:spacing w:val="-3"/>
        </w:rPr>
        <w:t xml:space="preserve"> </w:t>
      </w:r>
      <w:r>
        <w:t>to</w:t>
      </w:r>
      <w:r>
        <w:rPr>
          <w:spacing w:val="-2"/>
        </w:rPr>
        <w:t xml:space="preserve"> </w:t>
      </w:r>
      <w:r>
        <w:t>separately calculate</w:t>
      </w:r>
      <w:r>
        <w:rPr>
          <w:spacing w:val="-1"/>
        </w:rPr>
        <w:t xml:space="preserve"> </w:t>
      </w:r>
      <w:r>
        <w:t>DE#</w:t>
      </w:r>
      <w:r>
        <w:rPr>
          <w:spacing w:val="-2"/>
        </w:rPr>
        <w:t xml:space="preserve"> </w:t>
      </w:r>
      <w:r>
        <w:t>and non-DE# projected allowed costs; or (ii) the value for the DE# projected member months is between 10 percent and 90 percent of the total projected member months.</w:t>
      </w:r>
    </w:p>
    <w:p>
      <w:pPr>
        <w:pStyle w:val="BodyText"/>
        <w:spacing w:before="84"/>
        <w:ind w:left="0"/>
      </w:pPr>
    </w:p>
    <w:p>
      <w:pPr>
        <w:pStyle w:val="BodyText"/>
        <w:ind w:left="1044"/>
      </w:pPr>
      <w:r>
        <w:t>Table</w:t>
      </w:r>
      <w:r>
        <w:rPr>
          <w:spacing w:val="-2"/>
        </w:rPr>
        <w:t xml:space="preserve"> </w:t>
      </w:r>
      <w:r>
        <w:rPr>
          <w:spacing w:val="-10"/>
        </w:rPr>
        <w:t>5</w:t>
      </w:r>
    </w:p>
    <w:tbl>
      <w:tblPr>
        <w:tblStyle w:val="TableNormal"/>
        <w:tblW w:w="0" w:type="auto"/>
        <w:jc w:val="left"/>
        <w:tblInd w:w="1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6"/>
        <w:gridCol w:w="3464"/>
        <w:gridCol w:w="3060"/>
      </w:tblGrid>
      <w:tr>
        <w:tblPrEx>
          <w:tblW w:w="0" w:type="auto"/>
          <w:jc w:val="left"/>
          <w:tblInd w:w="1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87"/>
          <w:jc w:val="left"/>
        </w:trPr>
        <w:tc>
          <w:tcPr>
            <w:tcW w:w="1166" w:type="dxa"/>
          </w:tcPr>
          <w:p>
            <w:pPr>
              <w:pStyle w:val="TableParagraph"/>
              <w:spacing w:before="1"/>
              <w:ind w:left="107"/>
              <w:rPr>
                <w:b/>
                <w:sz w:val="22"/>
              </w:rPr>
            </w:pPr>
            <w:r>
              <w:rPr>
                <w:b/>
                <w:sz w:val="22"/>
              </w:rPr>
              <w:t>BPT</w:t>
            </w:r>
            <w:r>
              <w:rPr>
                <w:b/>
                <w:spacing w:val="-3"/>
                <w:sz w:val="22"/>
              </w:rPr>
              <w:t xml:space="preserve"> </w:t>
            </w:r>
            <w:r>
              <w:rPr>
                <w:b/>
                <w:spacing w:val="-4"/>
                <w:sz w:val="22"/>
              </w:rPr>
              <w:t>Area</w:t>
            </w:r>
          </w:p>
        </w:tc>
        <w:tc>
          <w:tcPr>
            <w:tcW w:w="3464" w:type="dxa"/>
          </w:tcPr>
          <w:p>
            <w:pPr>
              <w:pStyle w:val="TableParagraph"/>
              <w:spacing w:before="15" w:line="252" w:lineRule="exact"/>
              <w:ind w:left="9" w:right="2"/>
              <w:jc w:val="center"/>
              <w:rPr>
                <w:b/>
                <w:sz w:val="22"/>
              </w:rPr>
            </w:pPr>
            <w:r>
              <w:rPr>
                <w:b/>
                <w:sz w:val="22"/>
              </w:rPr>
              <w:t>Input</w:t>
            </w:r>
            <w:r>
              <w:rPr>
                <w:b/>
                <w:spacing w:val="-2"/>
                <w:sz w:val="22"/>
              </w:rPr>
              <w:t xml:space="preserve"> </w:t>
            </w:r>
            <w:r>
              <w:rPr>
                <w:b/>
                <w:spacing w:val="-4"/>
                <w:sz w:val="22"/>
              </w:rPr>
              <w:t>Item</w:t>
            </w:r>
          </w:p>
        </w:tc>
        <w:tc>
          <w:tcPr>
            <w:tcW w:w="3060" w:type="dxa"/>
          </w:tcPr>
          <w:p>
            <w:pPr>
              <w:pStyle w:val="TableParagraph"/>
              <w:spacing w:before="15" w:line="252" w:lineRule="exact"/>
              <w:ind w:left="11"/>
              <w:jc w:val="center"/>
              <w:rPr>
                <w:b/>
                <w:sz w:val="22"/>
              </w:rPr>
            </w:pPr>
            <w:r>
              <w:rPr>
                <w:b/>
                <w:sz w:val="22"/>
              </w:rPr>
              <w:t>Determination</w:t>
            </w:r>
            <w:r>
              <w:rPr>
                <w:b/>
                <w:spacing w:val="-4"/>
                <w:sz w:val="22"/>
              </w:rPr>
              <w:t xml:space="preserve"> </w:t>
            </w:r>
            <w:r>
              <w:rPr>
                <w:b/>
                <w:sz w:val="22"/>
              </w:rPr>
              <w:t>of</w:t>
            </w:r>
            <w:r>
              <w:rPr>
                <w:b/>
                <w:spacing w:val="-5"/>
                <w:sz w:val="22"/>
              </w:rPr>
              <w:t xml:space="preserve"> </w:t>
            </w:r>
            <w:r>
              <w:rPr>
                <w:b/>
                <w:sz w:val="22"/>
              </w:rPr>
              <w:t>BPT</w:t>
            </w:r>
            <w:r>
              <w:rPr>
                <w:b/>
                <w:spacing w:val="-5"/>
                <w:sz w:val="22"/>
              </w:rPr>
              <w:t xml:space="preserve"> </w:t>
            </w:r>
            <w:r>
              <w:rPr>
                <w:b/>
                <w:spacing w:val="-2"/>
                <w:sz w:val="22"/>
              </w:rPr>
              <w:t>Values</w:t>
            </w:r>
          </w:p>
        </w:tc>
      </w:tr>
      <w:tr>
        <w:tblPrEx>
          <w:tblW w:w="0" w:type="auto"/>
          <w:jc w:val="left"/>
          <w:tblInd w:w="1032" w:type="dxa"/>
          <w:tblLayout w:type="fixed"/>
          <w:tblCellMar>
            <w:top w:w="0" w:type="dxa"/>
            <w:left w:w="0" w:type="dxa"/>
            <w:bottom w:w="0" w:type="dxa"/>
            <w:right w:w="0" w:type="dxa"/>
          </w:tblCellMar>
          <w:tblLook w:val="01E0"/>
        </w:tblPrEx>
        <w:trPr>
          <w:trHeight w:val="489"/>
          <w:jc w:val="left"/>
        </w:trPr>
        <w:tc>
          <w:tcPr>
            <w:tcW w:w="1166" w:type="dxa"/>
          </w:tcPr>
          <w:p>
            <w:pPr>
              <w:pStyle w:val="TableParagraph"/>
              <w:spacing w:before="118"/>
              <w:ind w:left="107"/>
              <w:rPr>
                <w:sz w:val="22"/>
              </w:rPr>
            </w:pPr>
            <w:r>
              <w:rPr>
                <w:spacing w:val="-5"/>
                <w:sz w:val="22"/>
              </w:rPr>
              <w:t>WS3</w:t>
            </w:r>
          </w:p>
        </w:tc>
        <w:tc>
          <w:tcPr>
            <w:tcW w:w="3464" w:type="dxa"/>
          </w:tcPr>
          <w:p>
            <w:pPr>
              <w:pStyle w:val="TableParagraph"/>
              <w:spacing w:before="118"/>
              <w:ind w:left="9" w:right="1"/>
              <w:jc w:val="center"/>
              <w:rPr>
                <w:sz w:val="22"/>
              </w:rPr>
            </w:pPr>
            <w:r>
              <w:rPr>
                <w:sz w:val="22"/>
              </w:rPr>
              <w:t>Utilization</w:t>
            </w:r>
            <w:r>
              <w:rPr>
                <w:spacing w:val="-4"/>
                <w:sz w:val="22"/>
              </w:rPr>
              <w:t xml:space="preserve"> </w:t>
            </w:r>
            <w:r>
              <w:rPr>
                <w:sz w:val="22"/>
              </w:rPr>
              <w:t>and</w:t>
            </w:r>
            <w:r>
              <w:rPr>
                <w:spacing w:val="-4"/>
                <w:sz w:val="22"/>
              </w:rPr>
              <w:t xml:space="preserve"> </w:t>
            </w:r>
            <w:r>
              <w:rPr>
                <w:sz w:val="22"/>
              </w:rPr>
              <w:t>PMPM</w:t>
            </w:r>
            <w:r>
              <w:rPr>
                <w:spacing w:val="-4"/>
                <w:sz w:val="22"/>
              </w:rPr>
              <w:t xml:space="preserve"> </w:t>
            </w:r>
            <w:r>
              <w:rPr>
                <w:spacing w:val="-2"/>
                <w:sz w:val="22"/>
              </w:rPr>
              <w:t>values</w:t>
            </w:r>
          </w:p>
        </w:tc>
        <w:tc>
          <w:tcPr>
            <w:tcW w:w="3060" w:type="dxa"/>
          </w:tcPr>
          <w:p>
            <w:pPr>
              <w:pStyle w:val="TableParagraph"/>
              <w:spacing w:before="118"/>
              <w:ind w:left="11"/>
              <w:jc w:val="center"/>
              <w:rPr>
                <w:sz w:val="22"/>
              </w:rPr>
            </w:pPr>
            <w:r>
              <w:rPr>
                <w:sz w:val="22"/>
              </w:rPr>
              <w:t>Enter</w:t>
            </w:r>
            <w:r>
              <w:rPr>
                <w:spacing w:val="-4"/>
                <w:sz w:val="22"/>
              </w:rPr>
              <w:t xml:space="preserve"> </w:t>
            </w:r>
            <w:r>
              <w:rPr>
                <w:sz w:val="22"/>
              </w:rPr>
              <w:t>non-DE#</w:t>
            </w:r>
            <w:r>
              <w:rPr>
                <w:spacing w:val="-2"/>
                <w:sz w:val="22"/>
              </w:rPr>
              <w:t xml:space="preserve"> values</w:t>
            </w:r>
          </w:p>
        </w:tc>
      </w:tr>
      <w:tr>
        <w:tblPrEx>
          <w:tblW w:w="0" w:type="auto"/>
          <w:jc w:val="left"/>
          <w:tblInd w:w="1032" w:type="dxa"/>
          <w:tblLayout w:type="fixed"/>
          <w:tblCellMar>
            <w:top w:w="0" w:type="dxa"/>
            <w:left w:w="0" w:type="dxa"/>
            <w:bottom w:w="0" w:type="dxa"/>
            <w:right w:w="0" w:type="dxa"/>
          </w:tblCellMar>
          <w:tblLook w:val="01E0"/>
        </w:tblPrEx>
        <w:trPr>
          <w:trHeight w:val="506"/>
          <w:jc w:val="left"/>
        </w:trPr>
        <w:tc>
          <w:tcPr>
            <w:tcW w:w="1166" w:type="dxa"/>
          </w:tcPr>
          <w:p>
            <w:pPr>
              <w:pStyle w:val="TableParagraph"/>
              <w:spacing w:before="125"/>
              <w:ind w:left="107"/>
              <w:rPr>
                <w:sz w:val="22"/>
              </w:rPr>
            </w:pPr>
            <w:r>
              <w:rPr>
                <w:sz w:val="22"/>
              </w:rPr>
              <w:t xml:space="preserve">WS4 </w:t>
            </w:r>
            <w:r>
              <w:rPr>
                <w:spacing w:val="-5"/>
                <w:sz w:val="22"/>
              </w:rPr>
              <w:t>IIB</w:t>
            </w:r>
          </w:p>
        </w:tc>
        <w:tc>
          <w:tcPr>
            <w:tcW w:w="3464" w:type="dxa"/>
          </w:tcPr>
          <w:p>
            <w:pPr>
              <w:pStyle w:val="TableParagraph"/>
              <w:spacing w:line="252" w:lineRule="exact"/>
              <w:ind w:left="689" w:hanging="539"/>
              <w:rPr>
                <w:sz w:val="22"/>
              </w:rPr>
            </w:pPr>
            <w:r>
              <w:rPr>
                <w:sz w:val="22"/>
              </w:rPr>
              <w:t>State</w:t>
            </w:r>
            <w:r>
              <w:rPr>
                <w:spacing w:val="-12"/>
                <w:sz w:val="22"/>
              </w:rPr>
              <w:t xml:space="preserve"> </w:t>
            </w:r>
            <w:r>
              <w:rPr>
                <w:sz w:val="22"/>
              </w:rPr>
              <w:t>Medicaid</w:t>
            </w:r>
            <w:r>
              <w:rPr>
                <w:spacing w:val="-12"/>
                <w:sz w:val="22"/>
              </w:rPr>
              <w:t xml:space="preserve"> </w:t>
            </w:r>
            <w:r>
              <w:rPr>
                <w:sz w:val="22"/>
              </w:rPr>
              <w:t>required</w:t>
            </w:r>
            <w:r>
              <w:rPr>
                <w:spacing w:val="-11"/>
                <w:sz w:val="22"/>
              </w:rPr>
              <w:t xml:space="preserve"> </w:t>
            </w:r>
            <w:r>
              <w:rPr>
                <w:sz w:val="22"/>
              </w:rPr>
              <w:t>beneficiary cost sharing (column k)</w:t>
            </w:r>
          </w:p>
        </w:tc>
        <w:tc>
          <w:tcPr>
            <w:tcW w:w="3060" w:type="dxa"/>
          </w:tcPr>
          <w:p>
            <w:pPr>
              <w:pStyle w:val="TableParagraph"/>
              <w:spacing w:line="252" w:lineRule="exact"/>
              <w:ind w:left="790" w:right="4" w:hanging="562"/>
              <w:rPr>
                <w:sz w:val="22"/>
              </w:rPr>
            </w:pPr>
            <w:r>
              <w:rPr>
                <w:sz w:val="22"/>
              </w:rPr>
              <w:t>Determine</w:t>
            </w:r>
            <w:r>
              <w:rPr>
                <w:spacing w:val="-14"/>
                <w:sz w:val="22"/>
              </w:rPr>
              <w:t xml:space="preserve"> </w:t>
            </w:r>
            <w:r>
              <w:rPr>
                <w:sz w:val="22"/>
              </w:rPr>
              <w:t>appropriate</w:t>
            </w:r>
            <w:r>
              <w:rPr>
                <w:spacing w:val="-14"/>
                <w:sz w:val="22"/>
              </w:rPr>
              <w:t xml:space="preserve"> </w:t>
            </w:r>
            <w:r>
              <w:rPr>
                <w:sz w:val="22"/>
              </w:rPr>
              <w:t>values (including zero)</w:t>
            </w:r>
            <w:r>
              <w:rPr>
                <w:sz w:val="22"/>
                <w:vertAlign w:val="superscript"/>
              </w:rPr>
              <w:t>2</w:t>
            </w:r>
          </w:p>
        </w:tc>
      </w:tr>
      <w:tr>
        <w:tblPrEx>
          <w:tblW w:w="0" w:type="auto"/>
          <w:jc w:val="left"/>
          <w:tblInd w:w="1032" w:type="dxa"/>
          <w:tblLayout w:type="fixed"/>
          <w:tblCellMar>
            <w:top w:w="0" w:type="dxa"/>
            <w:left w:w="0" w:type="dxa"/>
            <w:bottom w:w="0" w:type="dxa"/>
            <w:right w:w="0" w:type="dxa"/>
          </w:tblCellMar>
          <w:tblLook w:val="01E0"/>
        </w:tblPrEx>
        <w:trPr>
          <w:trHeight w:val="508"/>
          <w:jc w:val="left"/>
        </w:trPr>
        <w:tc>
          <w:tcPr>
            <w:tcW w:w="1166" w:type="dxa"/>
          </w:tcPr>
          <w:p>
            <w:pPr>
              <w:pStyle w:val="TableParagraph"/>
              <w:spacing w:before="126"/>
              <w:ind w:left="107"/>
              <w:rPr>
                <w:sz w:val="22"/>
              </w:rPr>
            </w:pPr>
            <w:r>
              <w:rPr>
                <w:sz w:val="22"/>
              </w:rPr>
              <w:t xml:space="preserve">WS5 </w:t>
            </w:r>
            <w:r>
              <w:rPr>
                <w:spacing w:val="-5"/>
                <w:sz w:val="22"/>
              </w:rPr>
              <w:t>II</w:t>
            </w:r>
          </w:p>
        </w:tc>
        <w:tc>
          <w:tcPr>
            <w:tcW w:w="3464" w:type="dxa"/>
          </w:tcPr>
          <w:p>
            <w:pPr>
              <w:pStyle w:val="TableParagraph"/>
              <w:spacing w:before="126"/>
              <w:ind w:left="9"/>
              <w:jc w:val="center"/>
              <w:rPr>
                <w:sz w:val="22"/>
              </w:rPr>
            </w:pPr>
            <w:r>
              <w:rPr>
                <w:sz w:val="22"/>
              </w:rPr>
              <w:t>Non-DE#</w:t>
            </w:r>
            <w:r>
              <w:rPr>
                <w:spacing w:val="-5"/>
                <w:sz w:val="22"/>
              </w:rPr>
              <w:t xml:space="preserve"> </w:t>
            </w:r>
            <w:r>
              <w:rPr>
                <w:sz w:val="22"/>
              </w:rPr>
              <w:t>risk</w:t>
            </w:r>
            <w:r>
              <w:rPr>
                <w:spacing w:val="-4"/>
                <w:sz w:val="22"/>
              </w:rPr>
              <w:t xml:space="preserve"> </w:t>
            </w:r>
            <w:r>
              <w:rPr>
                <w:spacing w:val="-2"/>
                <w:sz w:val="22"/>
              </w:rPr>
              <w:t>factor</w:t>
            </w:r>
          </w:p>
        </w:tc>
        <w:tc>
          <w:tcPr>
            <w:tcW w:w="3060" w:type="dxa"/>
          </w:tcPr>
          <w:p>
            <w:pPr>
              <w:pStyle w:val="TableParagraph"/>
              <w:spacing w:line="252" w:lineRule="exact"/>
              <w:ind w:left="833" w:right="4" w:hanging="550"/>
              <w:rPr>
                <w:sz w:val="22"/>
              </w:rPr>
            </w:pPr>
            <w:r>
              <w:rPr>
                <w:sz w:val="22"/>
              </w:rPr>
              <w:t>Determine</w:t>
            </w:r>
            <w:r>
              <w:rPr>
                <w:spacing w:val="-14"/>
                <w:sz w:val="22"/>
              </w:rPr>
              <w:t xml:space="preserve"> </w:t>
            </w:r>
            <w:r>
              <w:rPr>
                <w:sz w:val="22"/>
              </w:rPr>
              <w:t>distinct</w:t>
            </w:r>
            <w:r>
              <w:rPr>
                <w:spacing w:val="-14"/>
                <w:sz w:val="22"/>
              </w:rPr>
              <w:t xml:space="preserve"> </w:t>
            </w:r>
            <w:r>
              <w:rPr>
                <w:sz w:val="22"/>
              </w:rPr>
              <w:t>non-DE# and DE# values</w:t>
            </w:r>
          </w:p>
        </w:tc>
      </w:tr>
    </w:tbl>
    <w:p>
      <w:pPr>
        <w:pStyle w:val="BodyText"/>
        <w:spacing w:before="120"/>
        <w:ind w:right="1481"/>
      </w:pPr>
      <w:r>
        <w:t>The</w:t>
      </w:r>
      <w:r>
        <w:rPr>
          <w:spacing w:val="-5"/>
        </w:rPr>
        <w:t xml:space="preserve"> </w:t>
      </w:r>
      <w:r>
        <w:t>table</w:t>
      </w:r>
      <w:r>
        <w:rPr>
          <w:spacing w:val="-4"/>
        </w:rPr>
        <w:t xml:space="preserve"> </w:t>
      </w:r>
      <w:r>
        <w:t>below</w:t>
      </w:r>
      <w:r>
        <w:rPr>
          <w:spacing w:val="-4"/>
        </w:rPr>
        <w:t xml:space="preserve"> </w:t>
      </w:r>
      <w:r>
        <w:t>outlines</w:t>
      </w:r>
      <w:r>
        <w:rPr>
          <w:spacing w:val="-2"/>
        </w:rPr>
        <w:t xml:space="preserve"> </w:t>
      </w:r>
      <w:r>
        <w:t>the</w:t>
      </w:r>
      <w:r>
        <w:rPr>
          <w:spacing w:val="-3"/>
        </w:rPr>
        <w:t xml:space="preserve"> </w:t>
      </w:r>
      <w:r>
        <w:t>determination</w:t>
      </w:r>
      <w:r>
        <w:rPr>
          <w:spacing w:val="-3"/>
        </w:rPr>
        <w:t xml:space="preserve"> </w:t>
      </w:r>
      <w:r>
        <w:t>of</w:t>
      </w:r>
      <w:r>
        <w:rPr>
          <w:spacing w:val="-4"/>
        </w:rPr>
        <w:t xml:space="preserve"> </w:t>
      </w:r>
      <w:r>
        <w:t>BPT</w:t>
      </w:r>
      <w:r>
        <w:rPr>
          <w:spacing w:val="-3"/>
        </w:rPr>
        <w:t xml:space="preserve"> </w:t>
      </w:r>
      <w:r>
        <w:t>values</w:t>
      </w:r>
      <w:r>
        <w:rPr>
          <w:spacing w:val="-1"/>
        </w:rPr>
        <w:t xml:space="preserve"> </w:t>
      </w:r>
      <w:r>
        <w:t>in</w:t>
      </w:r>
      <w:r>
        <w:rPr>
          <w:spacing w:val="-3"/>
        </w:rPr>
        <w:t xml:space="preserve"> </w:t>
      </w:r>
      <w:r>
        <w:t>which</w:t>
      </w:r>
      <w:r>
        <w:rPr>
          <w:spacing w:val="-4"/>
        </w:rPr>
        <w:t xml:space="preserve"> </w:t>
      </w:r>
      <w:r>
        <w:t>the</w:t>
      </w:r>
      <w:r>
        <w:rPr>
          <w:spacing w:val="-3"/>
        </w:rPr>
        <w:t xml:space="preserve"> </w:t>
      </w:r>
      <w:r>
        <w:t>requirements</w:t>
      </w:r>
      <w:r>
        <w:rPr>
          <w:spacing w:val="-4"/>
        </w:rPr>
        <w:t xml:space="preserve"> </w:t>
      </w:r>
      <w:r>
        <w:t>are</w:t>
      </w:r>
      <w:r>
        <w:rPr>
          <w:spacing w:val="-4"/>
        </w:rPr>
        <w:t xml:space="preserve"> </w:t>
      </w:r>
      <w:r>
        <w:t>the same for all bids regardless of the percentage of DE# members.</w:t>
      </w:r>
    </w:p>
    <w:p>
      <w:pPr>
        <w:pStyle w:val="BodyText"/>
        <w:spacing w:before="84"/>
        <w:ind w:left="0"/>
      </w:pPr>
    </w:p>
    <w:p>
      <w:pPr>
        <w:pStyle w:val="BodyText"/>
        <w:ind w:left="955"/>
      </w:pPr>
      <w:r>
        <w:t>Table</w:t>
      </w:r>
      <w:r>
        <w:rPr>
          <w:spacing w:val="-2"/>
        </w:rPr>
        <w:t xml:space="preserve"> </w:t>
      </w:r>
      <w:r>
        <w:rPr>
          <w:spacing w:val="-10"/>
        </w:rPr>
        <w:t>6</w:t>
      </w:r>
    </w:p>
    <w:tbl>
      <w:tblPr>
        <w:tblStyle w:val="TableNormal"/>
        <w:tblW w:w="0" w:type="auto"/>
        <w:jc w:val="left"/>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6"/>
        <w:gridCol w:w="3514"/>
        <w:gridCol w:w="3151"/>
      </w:tblGrid>
      <w:tr>
        <w:tblPrEx>
          <w:tblW w:w="0" w:type="auto"/>
          <w:jc w:val="left"/>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87"/>
          <w:jc w:val="left"/>
        </w:trPr>
        <w:tc>
          <w:tcPr>
            <w:tcW w:w="1166" w:type="dxa"/>
          </w:tcPr>
          <w:p>
            <w:pPr>
              <w:pStyle w:val="TableParagraph"/>
              <w:spacing w:before="1"/>
              <w:ind w:left="107"/>
              <w:rPr>
                <w:b/>
                <w:sz w:val="22"/>
              </w:rPr>
            </w:pPr>
            <w:r>
              <w:rPr>
                <w:b/>
                <w:sz w:val="22"/>
              </w:rPr>
              <w:t>BPT</w:t>
            </w:r>
            <w:r>
              <w:rPr>
                <w:b/>
                <w:spacing w:val="-3"/>
                <w:sz w:val="22"/>
              </w:rPr>
              <w:t xml:space="preserve"> </w:t>
            </w:r>
            <w:r>
              <w:rPr>
                <w:b/>
                <w:spacing w:val="-4"/>
                <w:sz w:val="22"/>
              </w:rPr>
              <w:t>Area</w:t>
            </w:r>
          </w:p>
        </w:tc>
        <w:tc>
          <w:tcPr>
            <w:tcW w:w="3514" w:type="dxa"/>
          </w:tcPr>
          <w:p>
            <w:pPr>
              <w:pStyle w:val="TableParagraph"/>
              <w:spacing w:before="15" w:line="252" w:lineRule="exact"/>
              <w:ind w:left="10"/>
              <w:jc w:val="center"/>
              <w:rPr>
                <w:b/>
                <w:sz w:val="22"/>
              </w:rPr>
            </w:pPr>
            <w:r>
              <w:rPr>
                <w:b/>
                <w:sz w:val="22"/>
              </w:rPr>
              <w:t>Input</w:t>
            </w:r>
            <w:r>
              <w:rPr>
                <w:b/>
                <w:spacing w:val="-2"/>
                <w:sz w:val="22"/>
              </w:rPr>
              <w:t xml:space="preserve"> </w:t>
            </w:r>
            <w:r>
              <w:rPr>
                <w:b/>
                <w:spacing w:val="-4"/>
                <w:sz w:val="22"/>
              </w:rPr>
              <w:t>Item</w:t>
            </w:r>
          </w:p>
        </w:tc>
        <w:tc>
          <w:tcPr>
            <w:tcW w:w="3151" w:type="dxa"/>
          </w:tcPr>
          <w:p>
            <w:pPr>
              <w:pStyle w:val="TableParagraph"/>
              <w:spacing w:before="15" w:line="252" w:lineRule="exact"/>
              <w:ind w:left="10" w:right="3"/>
              <w:jc w:val="center"/>
              <w:rPr>
                <w:b/>
                <w:sz w:val="22"/>
              </w:rPr>
            </w:pPr>
            <w:r>
              <w:rPr>
                <w:b/>
                <w:sz w:val="22"/>
              </w:rPr>
              <w:t>Determination</w:t>
            </w:r>
            <w:r>
              <w:rPr>
                <w:b/>
                <w:spacing w:val="-4"/>
                <w:sz w:val="22"/>
              </w:rPr>
              <w:t xml:space="preserve"> </w:t>
            </w:r>
            <w:r>
              <w:rPr>
                <w:b/>
                <w:sz w:val="22"/>
              </w:rPr>
              <w:t>of</w:t>
            </w:r>
            <w:r>
              <w:rPr>
                <w:b/>
                <w:spacing w:val="-5"/>
                <w:sz w:val="22"/>
              </w:rPr>
              <w:t xml:space="preserve"> </w:t>
            </w:r>
            <w:r>
              <w:rPr>
                <w:b/>
                <w:sz w:val="22"/>
              </w:rPr>
              <w:t>BPT</w:t>
            </w:r>
            <w:r>
              <w:rPr>
                <w:b/>
                <w:spacing w:val="-5"/>
                <w:sz w:val="22"/>
              </w:rPr>
              <w:t xml:space="preserve"> </w:t>
            </w:r>
            <w:r>
              <w:rPr>
                <w:b/>
                <w:spacing w:val="-2"/>
                <w:sz w:val="22"/>
              </w:rPr>
              <w:t>Values</w:t>
            </w:r>
          </w:p>
        </w:tc>
      </w:tr>
      <w:tr>
        <w:tblPrEx>
          <w:tblW w:w="0" w:type="auto"/>
          <w:jc w:val="left"/>
          <w:tblInd w:w="982" w:type="dxa"/>
          <w:tblLayout w:type="fixed"/>
          <w:tblCellMar>
            <w:top w:w="0" w:type="dxa"/>
            <w:left w:w="0" w:type="dxa"/>
            <w:bottom w:w="0" w:type="dxa"/>
            <w:right w:w="0" w:type="dxa"/>
          </w:tblCellMar>
          <w:tblLook w:val="01E0"/>
        </w:tblPrEx>
        <w:trPr>
          <w:trHeight w:val="489"/>
          <w:jc w:val="left"/>
        </w:trPr>
        <w:tc>
          <w:tcPr>
            <w:tcW w:w="1166" w:type="dxa"/>
          </w:tcPr>
          <w:p>
            <w:pPr>
              <w:pStyle w:val="TableParagraph"/>
              <w:spacing w:before="116"/>
              <w:ind w:left="107"/>
              <w:rPr>
                <w:sz w:val="22"/>
              </w:rPr>
            </w:pPr>
            <w:r>
              <w:rPr>
                <w:spacing w:val="-5"/>
                <w:sz w:val="22"/>
              </w:rPr>
              <w:t>WS3</w:t>
            </w:r>
          </w:p>
        </w:tc>
        <w:tc>
          <w:tcPr>
            <w:tcW w:w="3514" w:type="dxa"/>
          </w:tcPr>
          <w:p>
            <w:pPr>
              <w:pStyle w:val="TableParagraph"/>
              <w:spacing w:before="116"/>
              <w:ind w:left="10" w:right="1"/>
              <w:jc w:val="center"/>
              <w:rPr>
                <w:sz w:val="22"/>
              </w:rPr>
            </w:pPr>
            <w:r>
              <w:rPr>
                <w:sz w:val="22"/>
              </w:rPr>
              <w:t>Cost-sharing</w:t>
            </w:r>
            <w:r>
              <w:rPr>
                <w:spacing w:val="-5"/>
                <w:sz w:val="22"/>
              </w:rPr>
              <w:t xml:space="preserve"> </w:t>
            </w:r>
            <w:r>
              <w:rPr>
                <w:sz w:val="22"/>
              </w:rPr>
              <w:t>values</w:t>
            </w:r>
            <w:r>
              <w:rPr>
                <w:spacing w:val="-4"/>
                <w:sz w:val="22"/>
              </w:rPr>
              <w:t xml:space="preserve"> </w:t>
            </w:r>
            <w:r>
              <w:rPr>
                <w:sz w:val="22"/>
              </w:rPr>
              <w:t>and</w:t>
            </w:r>
            <w:r>
              <w:rPr>
                <w:spacing w:val="-2"/>
                <w:sz w:val="22"/>
              </w:rPr>
              <w:t xml:space="preserve"> description</w:t>
            </w:r>
          </w:p>
        </w:tc>
        <w:tc>
          <w:tcPr>
            <w:tcW w:w="3151" w:type="dxa"/>
          </w:tcPr>
          <w:p>
            <w:pPr>
              <w:pStyle w:val="TableParagraph"/>
              <w:spacing w:before="116"/>
              <w:ind w:left="10"/>
              <w:jc w:val="center"/>
              <w:rPr>
                <w:sz w:val="22"/>
              </w:rPr>
            </w:pPr>
            <w:r>
              <w:rPr>
                <w:sz w:val="22"/>
              </w:rPr>
              <w:t>Reflect</w:t>
            </w:r>
            <w:r>
              <w:rPr>
                <w:spacing w:val="-2"/>
                <w:sz w:val="22"/>
              </w:rPr>
              <w:t xml:space="preserve"> </w:t>
            </w:r>
            <w:r>
              <w:rPr>
                <w:sz w:val="22"/>
              </w:rPr>
              <w:t>PBP</w:t>
            </w:r>
            <w:r>
              <w:rPr>
                <w:spacing w:val="-4"/>
                <w:sz w:val="22"/>
              </w:rPr>
              <w:t xml:space="preserve"> </w:t>
            </w:r>
            <w:r>
              <w:rPr>
                <w:spacing w:val="-2"/>
                <w:sz w:val="22"/>
              </w:rPr>
              <w:t>package</w:t>
            </w:r>
          </w:p>
        </w:tc>
      </w:tr>
      <w:tr>
        <w:tblPrEx>
          <w:tblW w:w="0" w:type="auto"/>
          <w:jc w:val="left"/>
          <w:tblInd w:w="982" w:type="dxa"/>
          <w:tblLayout w:type="fixed"/>
          <w:tblCellMar>
            <w:top w:w="0" w:type="dxa"/>
            <w:left w:w="0" w:type="dxa"/>
            <w:bottom w:w="0" w:type="dxa"/>
            <w:right w:w="0" w:type="dxa"/>
          </w:tblCellMar>
          <w:tblLook w:val="01E0"/>
        </w:tblPrEx>
        <w:trPr>
          <w:trHeight w:val="506"/>
          <w:jc w:val="left"/>
        </w:trPr>
        <w:tc>
          <w:tcPr>
            <w:tcW w:w="1166" w:type="dxa"/>
          </w:tcPr>
          <w:p>
            <w:pPr>
              <w:pStyle w:val="TableParagraph"/>
              <w:spacing w:before="125"/>
              <w:ind w:left="107"/>
              <w:rPr>
                <w:sz w:val="22"/>
              </w:rPr>
            </w:pPr>
            <w:r>
              <w:rPr>
                <w:sz w:val="22"/>
              </w:rPr>
              <w:t xml:space="preserve">WS4 </w:t>
            </w:r>
            <w:r>
              <w:rPr>
                <w:spacing w:val="-5"/>
                <w:sz w:val="22"/>
              </w:rPr>
              <w:t>IIB</w:t>
            </w:r>
          </w:p>
        </w:tc>
        <w:tc>
          <w:tcPr>
            <w:tcW w:w="3514" w:type="dxa"/>
          </w:tcPr>
          <w:p>
            <w:pPr>
              <w:pStyle w:val="TableParagraph"/>
              <w:spacing w:before="125"/>
              <w:ind w:left="10" w:right="4"/>
              <w:jc w:val="center"/>
              <w:rPr>
                <w:sz w:val="22"/>
              </w:rPr>
            </w:pPr>
            <w:r>
              <w:rPr>
                <w:sz w:val="22"/>
              </w:rPr>
              <w:t>Plan</w:t>
            </w:r>
            <w:r>
              <w:rPr>
                <w:spacing w:val="-5"/>
                <w:sz w:val="22"/>
              </w:rPr>
              <w:t xml:space="preserve"> </w:t>
            </w:r>
            <w:r>
              <w:rPr>
                <w:sz w:val="22"/>
              </w:rPr>
              <w:t>cost</w:t>
            </w:r>
            <w:r>
              <w:rPr>
                <w:spacing w:val="-4"/>
                <w:sz w:val="22"/>
              </w:rPr>
              <w:t xml:space="preserve"> </w:t>
            </w:r>
            <w:r>
              <w:rPr>
                <w:sz w:val="22"/>
              </w:rPr>
              <w:t>sharing</w:t>
            </w:r>
            <w:r>
              <w:rPr>
                <w:spacing w:val="-3"/>
                <w:sz w:val="22"/>
              </w:rPr>
              <w:t xml:space="preserve"> </w:t>
            </w:r>
            <w:r>
              <w:rPr>
                <w:sz w:val="22"/>
              </w:rPr>
              <w:t>(column</w:t>
            </w:r>
            <w:r>
              <w:rPr>
                <w:spacing w:val="-5"/>
                <w:sz w:val="22"/>
              </w:rPr>
              <w:t xml:space="preserve"> f)</w:t>
            </w:r>
          </w:p>
        </w:tc>
        <w:tc>
          <w:tcPr>
            <w:tcW w:w="3151" w:type="dxa"/>
          </w:tcPr>
          <w:p>
            <w:pPr>
              <w:pStyle w:val="TableParagraph"/>
              <w:spacing w:line="254" w:lineRule="exact"/>
              <w:ind w:left="113" w:firstLine="21"/>
              <w:rPr>
                <w:sz w:val="22"/>
              </w:rPr>
            </w:pPr>
            <w:r>
              <w:rPr>
                <w:sz w:val="22"/>
              </w:rPr>
              <w:t>Default</w:t>
            </w:r>
            <w:r>
              <w:rPr>
                <w:spacing w:val="-4"/>
                <w:sz w:val="22"/>
              </w:rPr>
              <w:t xml:space="preserve"> </w:t>
            </w:r>
            <w:r>
              <w:rPr>
                <w:sz w:val="22"/>
              </w:rPr>
              <w:t>to</w:t>
            </w:r>
            <w:r>
              <w:rPr>
                <w:spacing w:val="-2"/>
                <w:sz w:val="22"/>
              </w:rPr>
              <w:t xml:space="preserve"> </w:t>
            </w:r>
            <w:r>
              <w:rPr>
                <w:sz w:val="22"/>
              </w:rPr>
              <w:t>non-DE#</w:t>
            </w:r>
            <w:r>
              <w:rPr>
                <w:spacing w:val="-2"/>
                <w:sz w:val="22"/>
              </w:rPr>
              <w:t xml:space="preserve"> </w:t>
            </w:r>
            <w:r>
              <w:rPr>
                <w:sz w:val="22"/>
              </w:rPr>
              <w:t>ratio</w:t>
            </w:r>
            <w:r>
              <w:rPr>
                <w:spacing w:val="-2"/>
                <w:sz w:val="22"/>
              </w:rPr>
              <w:t xml:space="preserve"> </w:t>
            </w:r>
            <w:r>
              <w:rPr>
                <w:sz w:val="22"/>
              </w:rPr>
              <w:t>of</w:t>
            </w:r>
            <w:r>
              <w:rPr>
                <w:spacing w:val="-4"/>
                <w:sz w:val="22"/>
              </w:rPr>
              <w:t xml:space="preserve"> </w:t>
            </w:r>
            <w:r>
              <w:rPr>
                <w:sz w:val="22"/>
              </w:rPr>
              <w:t>plan cost</w:t>
            </w:r>
            <w:r>
              <w:rPr>
                <w:spacing w:val="-6"/>
                <w:sz w:val="22"/>
              </w:rPr>
              <w:t xml:space="preserve"> </w:t>
            </w:r>
            <w:r>
              <w:rPr>
                <w:sz w:val="22"/>
              </w:rPr>
              <w:t>sharing</w:t>
            </w:r>
            <w:r>
              <w:rPr>
                <w:spacing w:val="-3"/>
                <w:sz w:val="22"/>
              </w:rPr>
              <w:t xml:space="preserve"> </w:t>
            </w:r>
            <w:r>
              <w:rPr>
                <w:sz w:val="22"/>
              </w:rPr>
              <w:t>or</w:t>
            </w:r>
            <w:r>
              <w:rPr>
                <w:spacing w:val="-3"/>
                <w:sz w:val="22"/>
              </w:rPr>
              <w:t xml:space="preserve"> </w:t>
            </w:r>
            <w:r>
              <w:rPr>
                <w:sz w:val="22"/>
              </w:rPr>
              <w:t>override</w:t>
            </w:r>
            <w:r>
              <w:rPr>
                <w:spacing w:val="-3"/>
                <w:sz w:val="22"/>
              </w:rPr>
              <w:t xml:space="preserve"> </w:t>
            </w:r>
            <w:r>
              <w:rPr>
                <w:spacing w:val="-2"/>
                <w:sz w:val="22"/>
              </w:rPr>
              <w:t>formulas</w:t>
            </w:r>
          </w:p>
        </w:tc>
      </w:tr>
      <w:tr>
        <w:tblPrEx>
          <w:tblW w:w="0" w:type="auto"/>
          <w:jc w:val="left"/>
          <w:tblInd w:w="982" w:type="dxa"/>
          <w:tblLayout w:type="fixed"/>
          <w:tblCellMar>
            <w:top w:w="0" w:type="dxa"/>
            <w:left w:w="0" w:type="dxa"/>
            <w:bottom w:w="0" w:type="dxa"/>
            <w:right w:w="0" w:type="dxa"/>
          </w:tblCellMar>
          <w:tblLook w:val="01E0"/>
        </w:tblPrEx>
        <w:trPr>
          <w:trHeight w:val="504"/>
          <w:jc w:val="left"/>
        </w:trPr>
        <w:tc>
          <w:tcPr>
            <w:tcW w:w="1166" w:type="dxa"/>
          </w:tcPr>
          <w:p>
            <w:pPr>
              <w:pStyle w:val="TableParagraph"/>
              <w:spacing w:before="123"/>
              <w:ind w:left="107"/>
              <w:rPr>
                <w:sz w:val="22"/>
              </w:rPr>
            </w:pPr>
            <w:r>
              <w:rPr>
                <w:sz w:val="22"/>
              </w:rPr>
              <w:t xml:space="preserve">WS5 </w:t>
            </w:r>
            <w:r>
              <w:rPr>
                <w:spacing w:val="-5"/>
                <w:sz w:val="22"/>
              </w:rPr>
              <w:t>II</w:t>
            </w:r>
          </w:p>
        </w:tc>
        <w:tc>
          <w:tcPr>
            <w:tcW w:w="3514" w:type="dxa"/>
          </w:tcPr>
          <w:p>
            <w:pPr>
              <w:pStyle w:val="TableParagraph"/>
              <w:spacing w:before="123"/>
              <w:ind w:left="10" w:right="1"/>
              <w:jc w:val="center"/>
              <w:rPr>
                <w:sz w:val="22"/>
              </w:rPr>
            </w:pPr>
            <w:r>
              <w:rPr>
                <w:sz w:val="22"/>
              </w:rPr>
              <w:t>Non-DE#</w:t>
            </w:r>
            <w:r>
              <w:rPr>
                <w:spacing w:val="-6"/>
                <w:sz w:val="22"/>
              </w:rPr>
              <w:t xml:space="preserve"> </w:t>
            </w:r>
            <w:r>
              <w:rPr>
                <w:sz w:val="22"/>
              </w:rPr>
              <w:t>member</w:t>
            </w:r>
            <w:r>
              <w:rPr>
                <w:spacing w:val="-5"/>
                <w:sz w:val="22"/>
              </w:rPr>
              <w:t xml:space="preserve"> </w:t>
            </w:r>
            <w:r>
              <w:rPr>
                <w:spacing w:val="-2"/>
                <w:sz w:val="22"/>
              </w:rPr>
              <w:t>months</w:t>
            </w:r>
          </w:p>
        </w:tc>
        <w:tc>
          <w:tcPr>
            <w:tcW w:w="3151" w:type="dxa"/>
          </w:tcPr>
          <w:p>
            <w:pPr>
              <w:pStyle w:val="TableParagraph"/>
              <w:spacing w:line="249" w:lineRule="exact"/>
              <w:ind w:left="10" w:right="4"/>
              <w:jc w:val="center"/>
              <w:rPr>
                <w:sz w:val="22"/>
              </w:rPr>
            </w:pPr>
            <w:r>
              <w:rPr>
                <w:sz w:val="22"/>
              </w:rPr>
              <w:t>Determine</w:t>
            </w:r>
            <w:r>
              <w:rPr>
                <w:spacing w:val="-6"/>
                <w:sz w:val="22"/>
              </w:rPr>
              <w:t xml:space="preserve"> </w:t>
            </w:r>
            <w:r>
              <w:rPr>
                <w:sz w:val="22"/>
              </w:rPr>
              <w:t>distinct</w:t>
            </w:r>
            <w:r>
              <w:rPr>
                <w:spacing w:val="-7"/>
                <w:sz w:val="22"/>
              </w:rPr>
              <w:t xml:space="preserve"> </w:t>
            </w:r>
            <w:r>
              <w:rPr>
                <w:sz w:val="22"/>
              </w:rPr>
              <w:t>non-DE#</w:t>
            </w:r>
            <w:r>
              <w:rPr>
                <w:spacing w:val="-5"/>
                <w:sz w:val="22"/>
              </w:rPr>
              <w:t xml:space="preserve"> and</w:t>
            </w:r>
          </w:p>
          <w:p>
            <w:pPr>
              <w:pStyle w:val="TableParagraph"/>
              <w:spacing w:before="2" w:line="233" w:lineRule="exact"/>
              <w:ind w:left="10" w:right="2"/>
              <w:jc w:val="center"/>
              <w:rPr>
                <w:sz w:val="22"/>
              </w:rPr>
            </w:pPr>
            <w:r>
              <w:rPr>
                <w:sz w:val="22"/>
              </w:rPr>
              <w:t>DE#</w:t>
            </w:r>
            <w:r>
              <w:rPr>
                <w:spacing w:val="-2"/>
                <w:sz w:val="22"/>
              </w:rPr>
              <w:t xml:space="preserve"> values</w:t>
            </w:r>
          </w:p>
        </w:tc>
      </w:tr>
    </w:tbl>
    <w:p>
      <w:pPr>
        <w:pStyle w:val="TableParagraph"/>
        <w:spacing w:after="0" w:line="233" w:lineRule="exact"/>
        <w:jc w:val="center"/>
        <w:rPr>
          <w:sz w:val="22"/>
        </w:rPr>
        <w:sectPr>
          <w:pgSz w:w="12240" w:h="15840"/>
          <w:pgMar w:top="960" w:right="0" w:bottom="940" w:left="1080" w:header="727" w:footer="747"/>
          <w:cols w:space="720"/>
        </w:sectPr>
      </w:pPr>
    </w:p>
    <w:p>
      <w:pPr>
        <w:pStyle w:val="BodyText"/>
        <w:spacing w:before="144"/>
        <w:ind w:left="0"/>
        <w:rPr>
          <w:sz w:val="28"/>
        </w:rPr>
      </w:pPr>
    </w:p>
    <w:p>
      <w:pPr>
        <w:pStyle w:val="Heading1"/>
        <w:tabs>
          <w:tab w:val="left" w:pos="9750"/>
        </w:tabs>
        <w:rPr>
          <w:u w:val="none"/>
        </w:rPr>
      </w:pPr>
      <w:bookmarkStart w:id="404" w:name="Appendix H – Medical Savings Account BPT"/>
      <w:bookmarkEnd w:id="404"/>
      <w:bookmarkStart w:id="405" w:name="_bookmark103"/>
      <w:bookmarkEnd w:id="405"/>
      <w:r>
        <w:rPr>
          <w:spacing w:val="-50"/>
          <w:u w:val="single"/>
        </w:rPr>
        <w:t xml:space="preserve"> </w:t>
      </w:r>
      <w:r>
        <w:rPr>
          <w:u w:val="single"/>
        </w:rPr>
        <w:t>APPENDIX</w:t>
      </w:r>
      <w:r>
        <w:rPr>
          <w:spacing w:val="-9"/>
          <w:u w:val="single"/>
        </w:rPr>
        <w:t xml:space="preserve"> </w:t>
      </w:r>
      <w:r>
        <w:rPr>
          <w:u w:val="single"/>
        </w:rPr>
        <w:t>H</w:t>
      </w:r>
      <w:r>
        <w:rPr>
          <w:spacing w:val="-5"/>
          <w:u w:val="single"/>
        </w:rPr>
        <w:t xml:space="preserve"> </w:t>
      </w:r>
      <w:r>
        <w:rPr>
          <w:u w:val="single"/>
        </w:rPr>
        <w:t>–</w:t>
      </w:r>
      <w:r>
        <w:rPr>
          <w:spacing w:val="-7"/>
          <w:u w:val="single"/>
        </w:rPr>
        <w:t xml:space="preserve"> </w:t>
      </w:r>
      <w:r>
        <w:rPr>
          <w:u w:val="single"/>
        </w:rPr>
        <w:t>MEDICAL</w:t>
      </w:r>
      <w:r>
        <w:rPr>
          <w:spacing w:val="-2"/>
          <w:u w:val="single"/>
        </w:rPr>
        <w:t xml:space="preserve"> </w:t>
      </w:r>
      <w:r>
        <w:rPr>
          <w:u w:val="single"/>
        </w:rPr>
        <w:t>SAVINGS</w:t>
      </w:r>
      <w:r>
        <w:rPr>
          <w:spacing w:val="-9"/>
          <w:u w:val="single"/>
        </w:rPr>
        <w:t xml:space="preserve"> </w:t>
      </w:r>
      <w:r>
        <w:rPr>
          <w:u w:val="single"/>
        </w:rPr>
        <w:t>ACCOUNT</w:t>
      </w:r>
      <w:r>
        <w:rPr>
          <w:spacing w:val="-4"/>
          <w:u w:val="single"/>
        </w:rPr>
        <w:t xml:space="preserve"> </w:t>
      </w:r>
      <w:r>
        <w:rPr>
          <w:spacing w:val="-5"/>
          <w:u w:val="single"/>
        </w:rPr>
        <w:t>BPT</w:t>
      </w:r>
      <w:r>
        <w:rPr>
          <w:u w:val="single"/>
        </w:rPr>
        <w:tab/>
      </w:r>
    </w:p>
    <w:p>
      <w:pPr>
        <w:pStyle w:val="BodyText"/>
        <w:spacing w:before="271"/>
        <w:ind w:right="1481"/>
      </w:pPr>
      <w:r>
        <w:t>This appendix provides guidance for completing the MSA BPT for MSA plans offered to Medicare</w:t>
      </w:r>
      <w:r>
        <w:rPr>
          <w:spacing w:val="-5"/>
        </w:rPr>
        <w:t xml:space="preserve"> </w:t>
      </w:r>
      <w:r>
        <w:t>beneficiaries.</w:t>
      </w:r>
      <w:r>
        <w:rPr>
          <w:spacing w:val="-2"/>
        </w:rPr>
        <w:t xml:space="preserve"> </w:t>
      </w:r>
      <w:r>
        <w:t>This</w:t>
      </w:r>
      <w:r>
        <w:rPr>
          <w:spacing w:val="-5"/>
        </w:rPr>
        <w:t xml:space="preserve"> </w:t>
      </w:r>
      <w:r>
        <w:t>appendix</w:t>
      </w:r>
      <w:r>
        <w:rPr>
          <w:spacing w:val="-4"/>
        </w:rPr>
        <w:t xml:space="preserve"> </w:t>
      </w:r>
      <w:r>
        <w:t>highlights</w:t>
      </w:r>
      <w:r>
        <w:rPr>
          <w:spacing w:val="-6"/>
        </w:rPr>
        <w:t xml:space="preserve"> </w:t>
      </w:r>
      <w:r>
        <w:t>only</w:t>
      </w:r>
      <w:r>
        <w:rPr>
          <w:spacing w:val="-4"/>
        </w:rPr>
        <w:t xml:space="preserve"> </w:t>
      </w:r>
      <w:r>
        <w:t>the</w:t>
      </w:r>
      <w:r>
        <w:rPr>
          <w:spacing w:val="-5"/>
        </w:rPr>
        <w:t xml:space="preserve"> </w:t>
      </w:r>
      <w:r>
        <w:t>differences</w:t>
      </w:r>
      <w:r>
        <w:rPr>
          <w:spacing w:val="-3"/>
        </w:rPr>
        <w:t xml:space="preserve"> </w:t>
      </w:r>
      <w:r>
        <w:t>between</w:t>
      </w:r>
      <w:r>
        <w:rPr>
          <w:spacing w:val="-3"/>
        </w:rPr>
        <w:t xml:space="preserve"> </w:t>
      </w:r>
      <w:r>
        <w:t>the</w:t>
      </w:r>
      <w:r>
        <w:rPr>
          <w:spacing w:val="-4"/>
        </w:rPr>
        <w:t xml:space="preserve"> </w:t>
      </w:r>
      <w:r>
        <w:t>MSA</w:t>
      </w:r>
      <w:r>
        <w:rPr>
          <w:spacing w:val="-5"/>
        </w:rPr>
        <w:t xml:space="preserve"> </w:t>
      </w:r>
      <w:r>
        <w:t>BPT and the MA BPT.</w:t>
      </w:r>
    </w:p>
    <w:p>
      <w:pPr>
        <w:pStyle w:val="BodyText"/>
        <w:spacing w:before="120"/>
      </w:pPr>
      <w:r>
        <w:t>The</w:t>
      </w:r>
      <w:r>
        <w:rPr>
          <w:spacing w:val="-5"/>
        </w:rPr>
        <w:t xml:space="preserve"> </w:t>
      </w:r>
      <w:r>
        <w:t>MSA</w:t>
      </w:r>
      <w:r>
        <w:rPr>
          <w:spacing w:val="-2"/>
        </w:rPr>
        <w:t xml:space="preserve"> </w:t>
      </w:r>
      <w:r>
        <w:t>BPT</w:t>
      </w:r>
      <w:r>
        <w:rPr>
          <w:spacing w:val="-1"/>
        </w:rPr>
        <w:t xml:space="preserve"> </w:t>
      </w:r>
      <w:r>
        <w:t>is</w:t>
      </w:r>
      <w:r>
        <w:rPr>
          <w:spacing w:val="-2"/>
        </w:rPr>
        <w:t xml:space="preserve"> </w:t>
      </w:r>
      <w:r>
        <w:t>organized</w:t>
      </w:r>
      <w:r>
        <w:rPr>
          <w:spacing w:val="-1"/>
        </w:rPr>
        <w:t xml:space="preserve"> </w:t>
      </w:r>
      <w:r>
        <w:t>as</w:t>
      </w:r>
      <w:r>
        <w:rPr>
          <w:spacing w:val="-2"/>
        </w:rPr>
        <w:t xml:space="preserve"> </w:t>
      </w:r>
      <w:r>
        <w:t>outlined</w:t>
      </w:r>
      <w:r>
        <w:rPr>
          <w:spacing w:val="-1"/>
        </w:rPr>
        <w:t xml:space="preserve"> </w:t>
      </w:r>
      <w:r>
        <w:rPr>
          <w:spacing w:val="-2"/>
        </w:rPr>
        <w:t>below:</w:t>
      </w:r>
    </w:p>
    <w:p>
      <w:pPr>
        <w:pStyle w:val="ListParagraph"/>
        <w:numPr>
          <w:ilvl w:val="0"/>
          <w:numId w:val="4"/>
        </w:numPr>
        <w:tabs>
          <w:tab w:val="left" w:pos="1584"/>
        </w:tabs>
        <w:spacing w:before="120" w:after="0" w:line="240" w:lineRule="auto"/>
        <w:ind w:left="1584" w:right="0" w:hanging="360"/>
        <w:jc w:val="left"/>
        <w:rPr>
          <w:sz w:val="24"/>
        </w:rPr>
      </w:pPr>
      <w:r>
        <w:rPr>
          <w:sz w:val="24"/>
        </w:rPr>
        <w:t>Worksheet</w:t>
      </w:r>
      <w:r>
        <w:rPr>
          <w:spacing w:val="-2"/>
          <w:sz w:val="24"/>
        </w:rPr>
        <w:t xml:space="preserve"> </w:t>
      </w:r>
      <w:r>
        <w:rPr>
          <w:sz w:val="24"/>
        </w:rPr>
        <w:t>1</w:t>
      </w:r>
      <w:r>
        <w:rPr>
          <w:spacing w:val="-1"/>
          <w:sz w:val="24"/>
        </w:rPr>
        <w:t xml:space="preserve"> </w:t>
      </w:r>
      <w:r>
        <w:rPr>
          <w:sz w:val="24"/>
        </w:rPr>
        <w:t>–</w:t>
      </w:r>
      <w:r>
        <w:rPr>
          <w:spacing w:val="-1"/>
          <w:sz w:val="24"/>
        </w:rPr>
        <w:t xml:space="preserve"> </w:t>
      </w:r>
      <w:r>
        <w:rPr>
          <w:sz w:val="24"/>
        </w:rPr>
        <w:t>MSA</w:t>
      </w:r>
      <w:r>
        <w:rPr>
          <w:spacing w:val="-3"/>
          <w:sz w:val="24"/>
        </w:rPr>
        <w:t xml:space="preserve"> </w:t>
      </w:r>
      <w:r>
        <w:rPr>
          <w:sz w:val="24"/>
        </w:rPr>
        <w:t>Base</w:t>
      </w:r>
      <w:r>
        <w:rPr>
          <w:spacing w:val="-2"/>
          <w:sz w:val="24"/>
        </w:rPr>
        <w:t xml:space="preserve"> </w:t>
      </w:r>
      <w:r>
        <w:rPr>
          <w:sz w:val="24"/>
        </w:rPr>
        <w:t>Period</w:t>
      </w:r>
      <w:r>
        <w:rPr>
          <w:spacing w:val="-1"/>
          <w:sz w:val="24"/>
        </w:rPr>
        <w:t xml:space="preserve"> </w:t>
      </w:r>
      <w:r>
        <w:rPr>
          <w:sz w:val="24"/>
        </w:rPr>
        <w:t>Experience</w:t>
      </w:r>
      <w:r>
        <w:rPr>
          <w:spacing w:val="-1"/>
          <w:sz w:val="24"/>
        </w:rPr>
        <w:t xml:space="preserve"> </w:t>
      </w:r>
      <w:r>
        <w:rPr>
          <w:sz w:val="24"/>
        </w:rPr>
        <w:t>and</w:t>
      </w:r>
      <w:r>
        <w:rPr>
          <w:spacing w:val="1"/>
          <w:sz w:val="24"/>
        </w:rPr>
        <w:t xml:space="preserve"> </w:t>
      </w:r>
      <w:r>
        <w:rPr>
          <w:sz w:val="24"/>
        </w:rPr>
        <w:t>Projection</w:t>
      </w:r>
      <w:r>
        <w:rPr>
          <w:spacing w:val="-1"/>
          <w:sz w:val="24"/>
        </w:rPr>
        <w:t xml:space="preserve"> </w:t>
      </w:r>
      <w:r>
        <w:rPr>
          <w:spacing w:val="-2"/>
          <w:sz w:val="24"/>
        </w:rPr>
        <w:t>Assumptions</w:t>
      </w:r>
    </w:p>
    <w:p>
      <w:pPr>
        <w:pStyle w:val="ListParagraph"/>
        <w:numPr>
          <w:ilvl w:val="0"/>
          <w:numId w:val="4"/>
        </w:numPr>
        <w:tabs>
          <w:tab w:val="left" w:pos="1584"/>
        </w:tabs>
        <w:spacing w:before="0" w:after="0" w:line="240" w:lineRule="auto"/>
        <w:ind w:left="1584" w:right="0" w:hanging="360"/>
        <w:jc w:val="left"/>
        <w:rPr>
          <w:sz w:val="24"/>
        </w:rPr>
      </w:pPr>
      <w:r>
        <w:rPr>
          <w:sz w:val="24"/>
        </w:rPr>
        <w:t>Worksheet</w:t>
      </w:r>
      <w:r>
        <w:rPr>
          <w:spacing w:val="-2"/>
          <w:sz w:val="24"/>
        </w:rPr>
        <w:t xml:space="preserve"> </w:t>
      </w:r>
      <w:r>
        <w:rPr>
          <w:sz w:val="24"/>
        </w:rPr>
        <w:t>2</w:t>
      </w:r>
      <w:r>
        <w:rPr>
          <w:spacing w:val="-1"/>
          <w:sz w:val="24"/>
        </w:rPr>
        <w:t xml:space="preserve"> </w:t>
      </w:r>
      <w:r>
        <w:rPr>
          <w:sz w:val="24"/>
        </w:rPr>
        <w:t>–</w:t>
      </w:r>
      <w:r>
        <w:rPr>
          <w:spacing w:val="-1"/>
          <w:sz w:val="24"/>
        </w:rPr>
        <w:t xml:space="preserve"> </w:t>
      </w:r>
      <w:r>
        <w:rPr>
          <w:sz w:val="24"/>
        </w:rPr>
        <w:t>MSA</w:t>
      </w:r>
      <w:r>
        <w:rPr>
          <w:spacing w:val="-2"/>
          <w:sz w:val="24"/>
        </w:rPr>
        <w:t xml:space="preserve"> </w:t>
      </w:r>
      <w:r>
        <w:rPr>
          <w:sz w:val="24"/>
        </w:rPr>
        <w:t>Total</w:t>
      </w:r>
      <w:r>
        <w:rPr>
          <w:spacing w:val="-2"/>
          <w:sz w:val="24"/>
        </w:rPr>
        <w:t xml:space="preserve"> </w:t>
      </w:r>
      <w:r>
        <w:rPr>
          <w:sz w:val="24"/>
        </w:rPr>
        <w:t>Projected</w:t>
      </w:r>
      <w:r>
        <w:rPr>
          <w:spacing w:val="-1"/>
          <w:sz w:val="24"/>
        </w:rPr>
        <w:t xml:space="preserve"> </w:t>
      </w:r>
      <w:r>
        <w:rPr>
          <w:sz w:val="24"/>
        </w:rPr>
        <w:t>Allowed</w:t>
      </w:r>
      <w:r>
        <w:rPr>
          <w:spacing w:val="-1"/>
          <w:sz w:val="24"/>
        </w:rPr>
        <w:t xml:space="preserve"> </w:t>
      </w:r>
      <w:r>
        <w:rPr>
          <w:sz w:val="24"/>
        </w:rPr>
        <w:t>Costs</w:t>
      </w:r>
      <w:r>
        <w:rPr>
          <w:spacing w:val="-1"/>
          <w:sz w:val="24"/>
        </w:rPr>
        <w:t xml:space="preserve"> </w:t>
      </w:r>
      <w:r>
        <w:rPr>
          <w:spacing w:val="-4"/>
          <w:sz w:val="24"/>
        </w:rPr>
        <w:t>PMPM</w:t>
      </w:r>
    </w:p>
    <w:p>
      <w:pPr>
        <w:pStyle w:val="ListParagraph"/>
        <w:numPr>
          <w:ilvl w:val="0"/>
          <w:numId w:val="4"/>
        </w:numPr>
        <w:tabs>
          <w:tab w:val="left" w:pos="1584"/>
        </w:tabs>
        <w:spacing w:before="0" w:after="0" w:line="240" w:lineRule="auto"/>
        <w:ind w:left="1584" w:right="0" w:hanging="360"/>
        <w:jc w:val="left"/>
        <w:rPr>
          <w:sz w:val="24"/>
        </w:rPr>
      </w:pPr>
      <w:r>
        <w:rPr>
          <w:sz w:val="24"/>
        </w:rPr>
        <w:t>Worksheet</w:t>
      </w:r>
      <w:r>
        <w:rPr>
          <w:spacing w:val="-2"/>
          <w:sz w:val="24"/>
        </w:rPr>
        <w:t xml:space="preserve"> </w:t>
      </w:r>
      <w:r>
        <w:rPr>
          <w:sz w:val="24"/>
        </w:rPr>
        <w:t>3</w:t>
      </w:r>
      <w:r>
        <w:rPr>
          <w:spacing w:val="-1"/>
          <w:sz w:val="24"/>
        </w:rPr>
        <w:t xml:space="preserve"> </w:t>
      </w:r>
      <w:r>
        <w:rPr>
          <w:sz w:val="24"/>
        </w:rPr>
        <w:t>–</w:t>
      </w:r>
      <w:r>
        <w:rPr>
          <w:spacing w:val="-2"/>
          <w:sz w:val="24"/>
        </w:rPr>
        <w:t xml:space="preserve"> </w:t>
      </w:r>
      <w:r>
        <w:rPr>
          <w:sz w:val="24"/>
        </w:rPr>
        <w:t>MSA</w:t>
      </w:r>
      <w:r>
        <w:rPr>
          <w:spacing w:val="-2"/>
          <w:sz w:val="24"/>
        </w:rPr>
        <w:t xml:space="preserve"> </w:t>
      </w:r>
      <w:r>
        <w:rPr>
          <w:sz w:val="24"/>
        </w:rPr>
        <w:t>Benchmark</w:t>
      </w:r>
      <w:r>
        <w:rPr>
          <w:spacing w:val="-1"/>
          <w:sz w:val="24"/>
        </w:rPr>
        <w:t xml:space="preserve"> </w:t>
      </w:r>
      <w:r>
        <w:rPr>
          <w:spacing w:val="-4"/>
          <w:sz w:val="24"/>
        </w:rPr>
        <w:t>PMPM</w:t>
      </w:r>
    </w:p>
    <w:p>
      <w:pPr>
        <w:pStyle w:val="ListParagraph"/>
        <w:numPr>
          <w:ilvl w:val="0"/>
          <w:numId w:val="4"/>
        </w:numPr>
        <w:tabs>
          <w:tab w:val="left" w:pos="1584"/>
        </w:tabs>
        <w:spacing w:before="0" w:after="0" w:line="240" w:lineRule="auto"/>
        <w:ind w:left="1584" w:right="0" w:hanging="360"/>
        <w:jc w:val="left"/>
        <w:rPr>
          <w:sz w:val="24"/>
        </w:rPr>
      </w:pPr>
      <w:r>
        <w:rPr>
          <w:sz w:val="24"/>
        </w:rPr>
        <w:t>Worksheet</w:t>
      </w:r>
      <w:r>
        <w:rPr>
          <w:spacing w:val="-1"/>
          <w:sz w:val="24"/>
        </w:rPr>
        <w:t xml:space="preserve"> </w:t>
      </w:r>
      <w:r>
        <w:rPr>
          <w:sz w:val="24"/>
        </w:rPr>
        <w:t>4</w:t>
      </w:r>
      <w:r>
        <w:rPr>
          <w:spacing w:val="-1"/>
          <w:sz w:val="24"/>
        </w:rPr>
        <w:t xml:space="preserve"> </w:t>
      </w:r>
      <w:r>
        <w:rPr>
          <w:sz w:val="24"/>
        </w:rPr>
        <w:t>–</w:t>
      </w:r>
      <w:r>
        <w:rPr>
          <w:spacing w:val="-2"/>
          <w:sz w:val="24"/>
        </w:rPr>
        <w:t xml:space="preserve"> </w:t>
      </w:r>
      <w:r>
        <w:rPr>
          <w:sz w:val="24"/>
        </w:rPr>
        <w:t>MSA</w:t>
      </w:r>
      <w:r>
        <w:rPr>
          <w:spacing w:val="-1"/>
          <w:sz w:val="24"/>
        </w:rPr>
        <w:t xml:space="preserve"> </w:t>
      </w:r>
      <w:r>
        <w:rPr>
          <w:sz w:val="24"/>
        </w:rPr>
        <w:t>Enrollee</w:t>
      </w:r>
      <w:r>
        <w:rPr>
          <w:spacing w:val="-2"/>
          <w:sz w:val="24"/>
        </w:rPr>
        <w:t xml:space="preserve"> </w:t>
      </w:r>
      <w:r>
        <w:rPr>
          <w:sz w:val="24"/>
        </w:rPr>
        <w:t>Deposit</w:t>
      </w:r>
      <w:r>
        <w:rPr>
          <w:spacing w:val="-1"/>
          <w:sz w:val="24"/>
        </w:rPr>
        <w:t xml:space="preserve"> </w:t>
      </w:r>
      <w:r>
        <w:rPr>
          <w:sz w:val="24"/>
        </w:rPr>
        <w:t>and</w:t>
      </w:r>
      <w:r>
        <w:rPr>
          <w:spacing w:val="-1"/>
          <w:sz w:val="24"/>
        </w:rPr>
        <w:t xml:space="preserve"> </w:t>
      </w:r>
      <w:r>
        <w:rPr>
          <w:sz w:val="24"/>
        </w:rPr>
        <w:t>Plan</w:t>
      </w:r>
      <w:r>
        <w:rPr>
          <w:spacing w:val="-1"/>
          <w:sz w:val="24"/>
        </w:rPr>
        <w:t xml:space="preserve"> </w:t>
      </w:r>
      <w:r>
        <w:rPr>
          <w:sz w:val="24"/>
        </w:rPr>
        <w:t>Payment</w:t>
      </w:r>
      <w:r>
        <w:rPr>
          <w:spacing w:val="-1"/>
          <w:sz w:val="24"/>
        </w:rPr>
        <w:t xml:space="preserve"> </w:t>
      </w:r>
      <w:r>
        <w:rPr>
          <w:spacing w:val="-4"/>
          <w:sz w:val="24"/>
        </w:rPr>
        <w:t>PMPM</w:t>
      </w:r>
    </w:p>
    <w:p>
      <w:pPr>
        <w:pStyle w:val="ListParagraph"/>
        <w:numPr>
          <w:ilvl w:val="0"/>
          <w:numId w:val="4"/>
        </w:numPr>
        <w:tabs>
          <w:tab w:val="left" w:pos="1584"/>
        </w:tabs>
        <w:spacing w:before="0" w:after="0" w:line="240" w:lineRule="auto"/>
        <w:ind w:left="1584" w:right="0" w:hanging="360"/>
        <w:jc w:val="left"/>
        <w:rPr>
          <w:sz w:val="24"/>
        </w:rPr>
      </w:pPr>
      <w:r>
        <w:rPr>
          <w:sz w:val="24"/>
        </w:rPr>
        <w:t>Worksheet</w:t>
      </w:r>
      <w:r>
        <w:rPr>
          <w:spacing w:val="-1"/>
          <w:sz w:val="24"/>
        </w:rPr>
        <w:t xml:space="preserve"> </w:t>
      </w:r>
      <w:r>
        <w:rPr>
          <w:sz w:val="24"/>
        </w:rPr>
        <w:t>5</w:t>
      </w:r>
      <w:r>
        <w:rPr>
          <w:spacing w:val="-1"/>
          <w:sz w:val="24"/>
        </w:rPr>
        <w:t xml:space="preserve"> </w:t>
      </w:r>
      <w:r>
        <w:rPr>
          <w:sz w:val="24"/>
        </w:rPr>
        <w:t>– MSA</w:t>
      </w:r>
      <w:r>
        <w:rPr>
          <w:spacing w:val="-2"/>
          <w:sz w:val="24"/>
        </w:rPr>
        <w:t xml:space="preserve"> </w:t>
      </w:r>
      <w:r>
        <w:rPr>
          <w:sz w:val="24"/>
        </w:rPr>
        <w:t>Optional</w:t>
      </w:r>
      <w:r>
        <w:rPr>
          <w:spacing w:val="-1"/>
          <w:sz w:val="24"/>
        </w:rPr>
        <w:t xml:space="preserve"> </w:t>
      </w:r>
      <w:r>
        <w:rPr>
          <w:sz w:val="24"/>
        </w:rPr>
        <w:t xml:space="preserve">Supplemental </w:t>
      </w:r>
      <w:r>
        <w:rPr>
          <w:spacing w:val="-2"/>
          <w:sz w:val="24"/>
        </w:rPr>
        <w:t>Benefits</w:t>
      </w:r>
    </w:p>
    <w:p>
      <w:pPr>
        <w:pStyle w:val="BodyText"/>
        <w:spacing w:before="43"/>
        <w:ind w:left="0"/>
      </w:pPr>
    </w:p>
    <w:p>
      <w:pPr>
        <w:pStyle w:val="Heading2"/>
      </w:pPr>
      <w:bookmarkStart w:id="406" w:name="Worksheet 1 – MSA Base Period Experience"/>
      <w:bookmarkEnd w:id="406"/>
      <w:bookmarkStart w:id="407" w:name="_bookmark104"/>
      <w:bookmarkEnd w:id="407"/>
      <w:r>
        <w:rPr>
          <w:smallCaps/>
        </w:rPr>
        <w:t>Worksheet</w:t>
      </w:r>
      <w:r>
        <w:rPr>
          <w:smallCaps/>
          <w:spacing w:val="17"/>
        </w:rPr>
        <w:t xml:space="preserve"> </w:t>
      </w:r>
      <w:r>
        <w:rPr>
          <w:smallCaps/>
        </w:rPr>
        <w:t>1</w:t>
      </w:r>
      <w:r>
        <w:rPr>
          <w:smallCaps/>
          <w:spacing w:val="-15"/>
        </w:rPr>
        <w:t xml:space="preserve"> </w:t>
      </w:r>
      <w:r>
        <w:rPr>
          <w:smallCaps/>
        </w:rPr>
        <w:t>–</w:t>
      </w:r>
      <w:r>
        <w:rPr>
          <w:smallCaps/>
          <w:spacing w:val="-15"/>
        </w:rPr>
        <w:t xml:space="preserve"> </w:t>
      </w:r>
      <w:r>
        <w:rPr>
          <w:smallCaps/>
        </w:rPr>
        <w:t>MSA</w:t>
      </w:r>
      <w:r>
        <w:rPr>
          <w:smallCaps/>
          <w:spacing w:val="-15"/>
        </w:rPr>
        <w:t xml:space="preserve"> </w:t>
      </w:r>
      <w:r>
        <w:rPr>
          <w:smallCaps/>
        </w:rPr>
        <w:t>Base Period Experience</w:t>
      </w:r>
      <w:r>
        <w:rPr>
          <w:smallCaps/>
          <w:spacing w:val="-3"/>
        </w:rPr>
        <w:t xml:space="preserve"> </w:t>
      </w:r>
      <w:r>
        <w:rPr>
          <w:smallCaps/>
        </w:rPr>
        <w:t>and Projection Assumptions (Corresponding to MA Worksheet 1)</w:t>
      </w:r>
    </w:p>
    <w:p>
      <w:pPr>
        <w:pStyle w:val="BodyText"/>
        <w:spacing w:before="80"/>
        <w:ind w:left="0"/>
        <w:rPr>
          <w:rFonts w:ascii="Arial"/>
          <w:b/>
          <w:sz w:val="21"/>
        </w:rPr>
      </w:pPr>
    </w:p>
    <w:p>
      <w:pPr>
        <w:pStyle w:val="Heading2"/>
      </w:pPr>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spacing w:before="240"/>
        <w:ind w:left="504" w:right="0" w:firstLine="0"/>
        <w:jc w:val="left"/>
        <w:rPr>
          <w:rFonts w:ascii="Arial" w:hAnsi="Arial"/>
          <w:b/>
          <w:sz w:val="21"/>
        </w:rPr>
      </w:pPr>
      <w:r>
        <w:rPr>
          <w:rFonts w:ascii="Arial" w:hAnsi="Arial"/>
          <w:b/>
          <w:sz w:val="21"/>
        </w:rPr>
        <w:t>Line</w:t>
      </w:r>
      <w:r>
        <w:rPr>
          <w:rFonts w:ascii="Arial" w:hAnsi="Arial"/>
          <w:b/>
          <w:spacing w:val="-6"/>
          <w:sz w:val="21"/>
        </w:rPr>
        <w:t xml:space="preserve"> </w:t>
      </w:r>
      <w:r>
        <w:rPr>
          <w:rFonts w:ascii="Arial" w:hAnsi="Arial"/>
          <w:b/>
          <w:sz w:val="21"/>
        </w:rPr>
        <w:t>7</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4"/>
          <w:sz w:val="21"/>
        </w:rPr>
        <w:t xml:space="preserve"> Type</w:t>
      </w:r>
    </w:p>
    <w:p>
      <w:pPr>
        <w:pStyle w:val="BodyText"/>
        <w:spacing w:before="120"/>
      </w:pPr>
      <w:r>
        <w:t>MSA</w:t>
      </w:r>
      <w:r>
        <w:rPr>
          <w:spacing w:val="-2"/>
        </w:rPr>
        <w:t xml:space="preserve"> </w:t>
      </w:r>
      <w:r>
        <w:t>is</w:t>
      </w:r>
      <w:r>
        <w:rPr>
          <w:spacing w:val="-2"/>
        </w:rPr>
        <w:t xml:space="preserve"> </w:t>
      </w:r>
      <w:r>
        <w:t>the</w:t>
      </w:r>
      <w:r>
        <w:rPr>
          <w:spacing w:val="-1"/>
        </w:rPr>
        <w:t xml:space="preserve"> </w:t>
      </w:r>
      <w:r>
        <w:t>only</w:t>
      </w:r>
      <w:r>
        <w:rPr>
          <w:spacing w:val="-1"/>
        </w:rPr>
        <w:t xml:space="preserve"> </w:t>
      </w:r>
      <w:r>
        <w:t>valid</w:t>
      </w:r>
      <w:r>
        <w:rPr>
          <w:spacing w:val="-1"/>
        </w:rPr>
        <w:t xml:space="preserve"> </w:t>
      </w:r>
      <w:r>
        <w:t xml:space="preserve">plan </w:t>
      </w:r>
      <w:r>
        <w:rPr>
          <w:spacing w:val="-2"/>
        </w:rPr>
        <w:t>type.</w:t>
      </w:r>
    </w:p>
    <w:p>
      <w:pPr>
        <w:spacing w:before="241"/>
        <w:ind w:left="504" w:right="0" w:firstLine="0"/>
        <w:jc w:val="left"/>
        <w:rPr>
          <w:rFonts w:ascii="Arial" w:hAnsi="Arial"/>
          <w:b/>
          <w:sz w:val="21"/>
        </w:rPr>
      </w:pPr>
      <w:bookmarkStart w:id="408" w:name="Line 8 – Deductible Amount"/>
      <w:bookmarkEnd w:id="408"/>
      <w:r>
        <w:rPr>
          <w:rFonts w:ascii="Arial" w:hAnsi="Arial"/>
          <w:b/>
          <w:sz w:val="21"/>
        </w:rPr>
        <w:t>Line</w:t>
      </w:r>
      <w:r>
        <w:rPr>
          <w:rFonts w:ascii="Arial" w:hAnsi="Arial"/>
          <w:b/>
          <w:spacing w:val="-5"/>
          <w:sz w:val="21"/>
        </w:rPr>
        <w:t xml:space="preserve"> </w:t>
      </w:r>
      <w:r>
        <w:rPr>
          <w:rFonts w:ascii="Arial" w:hAnsi="Arial"/>
          <w:b/>
          <w:sz w:val="21"/>
        </w:rPr>
        <w:t>8</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Deductible</w:t>
      </w:r>
      <w:r>
        <w:rPr>
          <w:rFonts w:ascii="Arial" w:hAnsi="Arial"/>
          <w:b/>
          <w:spacing w:val="-4"/>
          <w:sz w:val="21"/>
        </w:rPr>
        <w:t xml:space="preserve"> </w:t>
      </w:r>
      <w:r>
        <w:rPr>
          <w:rFonts w:ascii="Arial" w:hAnsi="Arial"/>
          <w:b/>
          <w:spacing w:val="-2"/>
          <w:sz w:val="21"/>
        </w:rPr>
        <w:t>Amount</w:t>
      </w:r>
    </w:p>
    <w:p>
      <w:pPr>
        <w:pStyle w:val="BodyText"/>
        <w:spacing w:before="118"/>
        <w:ind w:right="1443"/>
      </w:pPr>
      <w:r>
        <w:t>Enter the deductible amount that each beneficiary will pay for Medicare-covered benefits. The maximum deductible for CY2027 for MSA plans can be found in the Announcement of Calendar</w:t>
      </w:r>
      <w:r>
        <w:rPr>
          <w:spacing w:val="-3"/>
        </w:rPr>
        <w:t xml:space="preserve"> </w:t>
      </w:r>
      <w:r>
        <w:t>Year</w:t>
      </w:r>
      <w:r>
        <w:rPr>
          <w:spacing w:val="-4"/>
        </w:rPr>
        <w:t xml:space="preserve"> </w:t>
      </w:r>
      <w:r>
        <w:t>2027</w:t>
      </w:r>
      <w:r>
        <w:rPr>
          <w:spacing w:val="-3"/>
        </w:rPr>
        <w:t xml:space="preserve"> </w:t>
      </w:r>
      <w:r>
        <w:t>Medicare</w:t>
      </w:r>
      <w:r>
        <w:rPr>
          <w:spacing w:val="-5"/>
        </w:rPr>
        <w:t xml:space="preserve"> </w:t>
      </w:r>
      <w:r>
        <w:t>Advantage</w:t>
      </w:r>
      <w:r>
        <w:rPr>
          <w:spacing w:val="-5"/>
        </w:rPr>
        <w:t xml:space="preserve"> </w:t>
      </w:r>
      <w:r>
        <w:t>Capitation</w:t>
      </w:r>
      <w:r>
        <w:rPr>
          <w:spacing w:val="-3"/>
        </w:rPr>
        <w:t xml:space="preserve"> </w:t>
      </w:r>
      <w:r>
        <w:t>Rates</w:t>
      </w:r>
      <w:r>
        <w:rPr>
          <w:spacing w:val="-4"/>
        </w:rPr>
        <w:t xml:space="preserve"> </w:t>
      </w:r>
      <w:r>
        <w:t>and</w:t>
      </w:r>
      <w:r>
        <w:rPr>
          <w:spacing w:val="-3"/>
        </w:rPr>
        <w:t xml:space="preserve"> </w:t>
      </w:r>
      <w:r>
        <w:t>Medicare</w:t>
      </w:r>
      <w:r>
        <w:rPr>
          <w:spacing w:val="-5"/>
        </w:rPr>
        <w:t xml:space="preserve"> </w:t>
      </w:r>
      <w:r>
        <w:t>Advantage</w:t>
      </w:r>
      <w:r>
        <w:rPr>
          <w:spacing w:val="-5"/>
        </w:rPr>
        <w:t xml:space="preserve"> </w:t>
      </w:r>
      <w:r>
        <w:t>and Part</w:t>
      </w:r>
      <w:r>
        <w:rPr>
          <w:spacing w:val="-3"/>
        </w:rPr>
        <w:t xml:space="preserve"> </w:t>
      </w:r>
      <w:r>
        <w:t>D Payment Policies.</w:t>
      </w:r>
    </w:p>
    <w:p>
      <w:pPr>
        <w:spacing w:before="241"/>
        <w:ind w:left="504" w:right="0" w:firstLine="0"/>
        <w:jc w:val="left"/>
        <w:rPr>
          <w:rFonts w:ascii="Arial" w:hAnsi="Arial"/>
          <w:b/>
          <w:sz w:val="21"/>
        </w:rPr>
      </w:pPr>
      <w:r>
        <w:rPr>
          <w:rFonts w:ascii="Arial" w:hAnsi="Arial"/>
          <w:b/>
          <w:sz w:val="21"/>
        </w:rPr>
        <w:t>Line</w:t>
      </w:r>
      <w:r>
        <w:rPr>
          <w:rFonts w:ascii="Arial" w:hAnsi="Arial"/>
          <w:b/>
          <w:spacing w:val="-5"/>
          <w:sz w:val="21"/>
        </w:rPr>
        <w:t xml:space="preserve"> </w:t>
      </w:r>
      <w:r>
        <w:rPr>
          <w:rFonts w:ascii="Arial" w:hAnsi="Arial"/>
          <w:b/>
          <w:sz w:val="21"/>
        </w:rPr>
        <w:t>9</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Enrollee</w:t>
      </w:r>
      <w:r>
        <w:rPr>
          <w:rFonts w:ascii="Arial" w:hAnsi="Arial"/>
          <w:b/>
          <w:spacing w:val="-5"/>
          <w:sz w:val="21"/>
        </w:rPr>
        <w:t xml:space="preserve"> </w:t>
      </w:r>
      <w:r>
        <w:rPr>
          <w:rFonts w:ascii="Arial" w:hAnsi="Arial"/>
          <w:b/>
          <w:spacing w:val="-4"/>
          <w:sz w:val="21"/>
        </w:rPr>
        <w:t>Type</w:t>
      </w:r>
    </w:p>
    <w:p>
      <w:pPr>
        <w:pStyle w:val="BodyText"/>
        <w:spacing w:before="120"/>
      </w:pPr>
      <w:r>
        <w:t>This</w:t>
      </w:r>
      <w:r>
        <w:rPr>
          <w:spacing w:val="-3"/>
        </w:rPr>
        <w:t xml:space="preserve"> </w:t>
      </w:r>
      <w:r>
        <w:t>cell</w:t>
      </w:r>
      <w:r>
        <w:rPr>
          <w:spacing w:val="-2"/>
        </w:rPr>
        <w:t xml:space="preserve"> </w:t>
      </w:r>
      <w:r>
        <w:t>is</w:t>
      </w:r>
      <w:r>
        <w:rPr>
          <w:spacing w:val="-3"/>
        </w:rPr>
        <w:t xml:space="preserve"> </w:t>
      </w:r>
      <w:r>
        <w:t>pre-populated with</w:t>
      </w:r>
      <w:r>
        <w:rPr>
          <w:spacing w:val="-1"/>
        </w:rPr>
        <w:t xml:space="preserve"> </w:t>
      </w:r>
      <w:r>
        <w:rPr>
          <w:spacing w:val="-2"/>
        </w:rPr>
        <w:t>“A/B.”</w:t>
      </w:r>
    </w:p>
    <w:p>
      <w:pPr>
        <w:pStyle w:val="BodyText"/>
        <w:spacing w:before="45"/>
        <w:ind w:left="0"/>
      </w:pPr>
    </w:p>
    <w:p>
      <w:pPr>
        <w:pStyle w:val="Heading2"/>
      </w:pPr>
      <w:bookmarkStart w:id="409" w:name="Sections II, III and IV"/>
      <w:bookmarkEnd w:id="409"/>
      <w:r>
        <w:rPr>
          <w:smallCaps/>
        </w:rPr>
        <w:t>Sections</w:t>
      </w:r>
      <w:r>
        <w:rPr>
          <w:smallCaps/>
          <w:spacing w:val="-15"/>
        </w:rPr>
        <w:t xml:space="preserve"> </w:t>
      </w:r>
      <w:r>
        <w:rPr>
          <w:smallCaps/>
        </w:rPr>
        <w:t>II,</w:t>
      </w:r>
      <w:r>
        <w:rPr>
          <w:smallCaps/>
          <w:spacing w:val="-15"/>
        </w:rPr>
        <w:t xml:space="preserve"> </w:t>
      </w:r>
      <w:r>
        <w:rPr>
          <w:smallCaps/>
        </w:rPr>
        <w:t>III</w:t>
      </w:r>
      <w:r>
        <w:rPr>
          <w:smallCaps/>
          <w:spacing w:val="-15"/>
        </w:rPr>
        <w:t xml:space="preserve"> </w:t>
      </w:r>
      <w:r>
        <w:rPr>
          <w:smallCaps/>
        </w:rPr>
        <w:t>and</w:t>
      </w:r>
      <w:r>
        <w:rPr>
          <w:smallCaps/>
          <w:spacing w:val="-6"/>
        </w:rPr>
        <w:t xml:space="preserve"> </w:t>
      </w:r>
      <w:r>
        <w:rPr>
          <w:smallCaps/>
          <w:spacing w:val="-5"/>
        </w:rPr>
        <w:t>IV</w:t>
      </w:r>
    </w:p>
    <w:p>
      <w:pPr>
        <w:pStyle w:val="BodyText"/>
        <w:spacing w:before="179"/>
        <w:ind w:right="1481"/>
      </w:pPr>
      <w:r>
        <w:t>Base</w:t>
      </w:r>
      <w:r>
        <w:rPr>
          <w:spacing w:val="-4"/>
        </w:rPr>
        <w:t xml:space="preserve"> </w:t>
      </w:r>
      <w:r>
        <w:t>period</w:t>
      </w:r>
      <w:r>
        <w:rPr>
          <w:spacing w:val="-3"/>
        </w:rPr>
        <w:t xml:space="preserve"> </w:t>
      </w:r>
      <w:r>
        <w:t>data</w:t>
      </w:r>
      <w:r>
        <w:rPr>
          <w:spacing w:val="-3"/>
        </w:rPr>
        <w:t xml:space="preserve"> </w:t>
      </w:r>
      <w:r>
        <w:t>in</w:t>
      </w:r>
      <w:r>
        <w:rPr>
          <w:spacing w:val="-3"/>
        </w:rPr>
        <w:t xml:space="preserve"> </w:t>
      </w:r>
      <w:r>
        <w:t>Sections</w:t>
      </w:r>
      <w:r>
        <w:rPr>
          <w:spacing w:val="-4"/>
        </w:rPr>
        <w:t xml:space="preserve"> </w:t>
      </w:r>
      <w:r>
        <w:t>II,</w:t>
      </w:r>
      <w:r>
        <w:rPr>
          <w:spacing w:val="-2"/>
        </w:rPr>
        <w:t xml:space="preserve"> </w:t>
      </w:r>
      <w:r>
        <w:t>III</w:t>
      </w:r>
      <w:r>
        <w:rPr>
          <w:spacing w:val="-4"/>
        </w:rPr>
        <w:t xml:space="preserve"> </w:t>
      </w:r>
      <w:r>
        <w:t>and</w:t>
      </w:r>
      <w:r>
        <w:rPr>
          <w:spacing w:val="-1"/>
        </w:rPr>
        <w:t xml:space="preserve"> </w:t>
      </w:r>
      <w:r>
        <w:t>IV</w:t>
      </w:r>
      <w:r>
        <w:rPr>
          <w:spacing w:val="-4"/>
        </w:rPr>
        <w:t xml:space="preserve"> </w:t>
      </w:r>
      <w:r>
        <w:t>must</w:t>
      </w:r>
      <w:r>
        <w:rPr>
          <w:spacing w:val="-2"/>
        </w:rPr>
        <w:t xml:space="preserve"> </w:t>
      </w:r>
      <w:r>
        <w:t>include</w:t>
      </w:r>
      <w:r>
        <w:rPr>
          <w:spacing w:val="-3"/>
        </w:rPr>
        <w:t xml:space="preserve"> </w:t>
      </w:r>
      <w:r>
        <w:t>only</w:t>
      </w:r>
      <w:r>
        <w:rPr>
          <w:spacing w:val="-3"/>
        </w:rPr>
        <w:t xml:space="preserve"> </w:t>
      </w:r>
      <w:r>
        <w:t>Medicare-covered</w:t>
      </w:r>
      <w:r>
        <w:rPr>
          <w:spacing w:val="-3"/>
        </w:rPr>
        <w:t xml:space="preserve"> </w:t>
      </w:r>
      <w:r>
        <w:t xml:space="preserve">medical </w:t>
      </w:r>
      <w:r>
        <w:rPr>
          <w:spacing w:val="-2"/>
        </w:rPr>
        <w:t>expenses.</w:t>
      </w:r>
    </w:p>
    <w:p>
      <w:pPr>
        <w:pStyle w:val="BodyText"/>
        <w:spacing w:before="46"/>
        <w:ind w:left="0"/>
      </w:pPr>
    </w:p>
    <w:p>
      <w:pPr>
        <w:pStyle w:val="Heading2"/>
        <w:ind w:right="3159"/>
      </w:pPr>
      <w:bookmarkStart w:id="410" w:name="Worksheet 2 – MSA Total Projected Allowe"/>
      <w:bookmarkEnd w:id="410"/>
      <w:bookmarkStart w:id="411" w:name="_bookmark105"/>
      <w:bookmarkEnd w:id="411"/>
      <w:r>
        <w:rPr>
          <w:smallCaps/>
        </w:rPr>
        <w:t>Worksheet</w:t>
      </w:r>
      <w:r>
        <w:rPr>
          <w:smallCaps/>
          <w:spacing w:val="17"/>
        </w:rPr>
        <w:t xml:space="preserve"> </w:t>
      </w:r>
      <w:r>
        <w:rPr>
          <w:smallCaps/>
        </w:rPr>
        <w:t>2</w:t>
      </w:r>
      <w:r>
        <w:rPr>
          <w:smallCaps/>
          <w:spacing w:val="-15"/>
        </w:rPr>
        <w:t xml:space="preserve"> </w:t>
      </w:r>
      <w:r>
        <w:rPr>
          <w:smallCaps/>
        </w:rPr>
        <w:t>–</w:t>
      </w:r>
      <w:r>
        <w:rPr>
          <w:smallCaps/>
          <w:spacing w:val="-15"/>
        </w:rPr>
        <w:t xml:space="preserve"> </w:t>
      </w:r>
      <w:r>
        <w:rPr>
          <w:smallCaps/>
        </w:rPr>
        <w:t>MSA</w:t>
      </w:r>
      <w:r>
        <w:rPr>
          <w:smallCaps/>
          <w:spacing w:val="-15"/>
        </w:rPr>
        <w:t xml:space="preserve"> </w:t>
      </w:r>
      <w:r>
        <w:rPr>
          <w:smallCaps/>
        </w:rPr>
        <w:t>Total Projected</w:t>
      </w:r>
      <w:r>
        <w:rPr>
          <w:smallCaps/>
          <w:spacing w:val="-2"/>
        </w:rPr>
        <w:t xml:space="preserve"> </w:t>
      </w:r>
      <w:r>
        <w:rPr>
          <w:smallCaps/>
        </w:rPr>
        <w:t>Allowed Costs PMPM (Corresponding to MA Worksheet 2)</w:t>
      </w:r>
    </w:p>
    <w:p>
      <w:pPr>
        <w:pStyle w:val="BodyText"/>
        <w:spacing w:before="77"/>
        <w:ind w:left="0"/>
        <w:rPr>
          <w:rFonts w:ascii="Arial"/>
          <w:b/>
          <w:sz w:val="21"/>
        </w:rPr>
      </w:pPr>
    </w:p>
    <w:p>
      <w:pPr>
        <w:spacing w:before="1"/>
        <w:ind w:left="504" w:right="0" w:firstLine="0"/>
        <w:jc w:val="left"/>
        <w:rPr>
          <w:rFonts w:ascii="Arial" w:hAnsi="Arial"/>
          <w:b/>
          <w:sz w:val="26"/>
        </w:rPr>
      </w:pPr>
      <w:r>
        <w:rPr>
          <w:rFonts w:ascii="Arial" w:hAnsi="Arial"/>
          <w:b/>
          <w:smallCaps/>
          <w:sz w:val="26"/>
        </w:rPr>
        <w:t>Section</w:t>
      </w:r>
      <w:r>
        <w:rPr>
          <w:rFonts w:ascii="Arial" w:hAnsi="Arial"/>
          <w:b/>
          <w:smallCaps/>
          <w:spacing w:val="-15"/>
          <w:sz w:val="26"/>
        </w:rPr>
        <w:t xml:space="preserve"> </w:t>
      </w:r>
      <w:r>
        <w:rPr>
          <w:rFonts w:ascii="Arial" w:hAnsi="Arial"/>
          <w:b/>
          <w:smallCaps/>
          <w:sz w:val="26"/>
        </w:rPr>
        <w:t>II</w:t>
      </w:r>
      <w:r>
        <w:rPr>
          <w:rFonts w:ascii="Arial" w:hAnsi="Arial"/>
          <w:b/>
          <w:smallCaps/>
          <w:spacing w:val="-15"/>
          <w:sz w:val="26"/>
        </w:rPr>
        <w:t xml:space="preserve"> </w:t>
      </w:r>
      <w:r>
        <w:rPr>
          <w:rFonts w:ascii="Arial" w:hAnsi="Arial"/>
          <w:b/>
          <w:smallCaps/>
          <w:sz w:val="26"/>
        </w:rPr>
        <w:t>–</w:t>
      </w:r>
      <w:r>
        <w:rPr>
          <w:rFonts w:ascii="Arial" w:hAnsi="Arial"/>
          <w:b/>
          <w:smallCaps/>
          <w:spacing w:val="-15"/>
          <w:sz w:val="26"/>
        </w:rPr>
        <w:t xml:space="preserve"> </w:t>
      </w:r>
      <w:r>
        <w:rPr>
          <w:rFonts w:ascii="Arial" w:hAnsi="Arial"/>
          <w:b/>
          <w:smallCaps/>
          <w:sz w:val="26"/>
        </w:rPr>
        <w:t>Projected</w:t>
      </w:r>
      <w:r>
        <w:rPr>
          <w:rFonts w:ascii="Arial" w:hAnsi="Arial"/>
          <w:b/>
          <w:smallCaps/>
          <w:spacing w:val="-10"/>
          <w:sz w:val="26"/>
        </w:rPr>
        <w:t xml:space="preserve"> </w:t>
      </w:r>
      <w:r>
        <w:rPr>
          <w:rFonts w:ascii="Arial" w:hAnsi="Arial"/>
          <w:b/>
          <w:smallCaps/>
          <w:sz w:val="26"/>
        </w:rPr>
        <w:t>Allowed</w:t>
      </w:r>
      <w:r>
        <w:rPr>
          <w:rFonts w:ascii="Arial" w:hAnsi="Arial"/>
          <w:b/>
          <w:smallCaps/>
          <w:spacing w:val="-8"/>
          <w:sz w:val="26"/>
        </w:rPr>
        <w:t xml:space="preserve"> </w:t>
      </w:r>
      <w:r>
        <w:rPr>
          <w:rFonts w:ascii="Arial" w:hAnsi="Arial"/>
          <w:b/>
          <w:smallCaps/>
          <w:spacing w:val="-4"/>
          <w:sz w:val="26"/>
        </w:rPr>
        <w:t>Costs</w:t>
      </w:r>
    </w:p>
    <w:p>
      <w:pPr>
        <w:pStyle w:val="BodyText"/>
        <w:spacing w:before="179"/>
      </w:pPr>
      <w:r>
        <w:t>Data</w:t>
      </w:r>
      <w:r>
        <w:rPr>
          <w:spacing w:val="-3"/>
        </w:rPr>
        <w:t xml:space="preserve"> </w:t>
      </w:r>
      <w:r>
        <w:t>in</w:t>
      </w:r>
      <w:r>
        <w:rPr>
          <w:spacing w:val="-2"/>
        </w:rPr>
        <w:t xml:space="preserve"> </w:t>
      </w:r>
      <w:r>
        <w:t>Section</w:t>
      </w:r>
      <w:r>
        <w:rPr>
          <w:spacing w:val="1"/>
        </w:rPr>
        <w:t xml:space="preserve"> </w:t>
      </w:r>
      <w:r>
        <w:t>II</w:t>
      </w:r>
      <w:r>
        <w:rPr>
          <w:spacing w:val="-5"/>
        </w:rPr>
        <w:t xml:space="preserve"> </w:t>
      </w:r>
      <w:r>
        <w:t>must include</w:t>
      </w:r>
      <w:r>
        <w:rPr>
          <w:spacing w:val="-2"/>
        </w:rPr>
        <w:t xml:space="preserve"> </w:t>
      </w:r>
      <w:r>
        <w:t>only</w:t>
      </w:r>
      <w:r>
        <w:rPr>
          <w:spacing w:val="-1"/>
        </w:rPr>
        <w:t xml:space="preserve"> </w:t>
      </w:r>
      <w:r>
        <w:t>Medicare-covered</w:t>
      </w:r>
      <w:r>
        <w:rPr>
          <w:spacing w:val="-1"/>
        </w:rPr>
        <w:t xml:space="preserve"> </w:t>
      </w:r>
      <w:r>
        <w:t xml:space="preserve">medical </w:t>
      </w:r>
      <w:r>
        <w:rPr>
          <w:spacing w:val="-2"/>
        </w:rPr>
        <w:t>expenses.</w:t>
      </w:r>
    </w:p>
    <w:p>
      <w:pPr>
        <w:pStyle w:val="BodyText"/>
        <w:spacing w:after="0"/>
        <w:sectPr>
          <w:headerReference w:type="default" r:id="rId57"/>
          <w:footerReference w:type="default" r:id="rId58"/>
          <w:pgSz w:w="12240" w:h="15840"/>
          <w:pgMar w:top="960" w:right="0" w:bottom="940" w:left="1080" w:header="727" w:footer="747"/>
          <w:cols w:space="720"/>
        </w:sectPr>
      </w:pPr>
    </w:p>
    <w:p>
      <w:pPr>
        <w:pStyle w:val="BodyText"/>
        <w:spacing w:before="226"/>
        <w:ind w:left="0"/>
        <w:rPr>
          <w:sz w:val="21"/>
        </w:rPr>
      </w:pPr>
    </w:p>
    <w:p>
      <w:pPr>
        <w:pStyle w:val="Heading2"/>
        <w:ind w:right="1841"/>
      </w:pPr>
      <w:bookmarkStart w:id="412" w:name="Worksheet 3 – MSA Benchmark PMPM (Corres"/>
      <w:bookmarkEnd w:id="412"/>
      <w:bookmarkStart w:id="413" w:name="_bookmark106"/>
      <w:bookmarkEnd w:id="413"/>
      <w:r>
        <w:rPr>
          <w:smallCaps/>
        </w:rPr>
        <w:t>Worksheet</w:t>
      </w:r>
      <w:r>
        <w:rPr>
          <w:smallCaps/>
          <w:spacing w:val="21"/>
        </w:rPr>
        <w:t xml:space="preserve"> </w:t>
      </w:r>
      <w:r>
        <w:rPr>
          <w:smallCaps/>
        </w:rPr>
        <w:t>3</w:t>
      </w:r>
      <w:r>
        <w:rPr>
          <w:smallCaps/>
          <w:spacing w:val="-13"/>
        </w:rPr>
        <w:t xml:space="preserve"> </w:t>
      </w:r>
      <w:r>
        <w:rPr>
          <w:smallCaps/>
        </w:rPr>
        <w:t>–</w:t>
      </w:r>
      <w:r>
        <w:rPr>
          <w:smallCaps/>
          <w:spacing w:val="-13"/>
        </w:rPr>
        <w:t xml:space="preserve"> </w:t>
      </w:r>
      <w:r>
        <w:rPr>
          <w:smallCaps/>
        </w:rPr>
        <w:t>MSA</w:t>
      </w:r>
      <w:r>
        <w:rPr>
          <w:smallCaps/>
          <w:spacing w:val="-13"/>
        </w:rPr>
        <w:t xml:space="preserve"> </w:t>
      </w:r>
      <w:r>
        <w:rPr>
          <w:smallCaps/>
        </w:rPr>
        <w:t>Benchmark PMPM</w:t>
      </w:r>
      <w:r>
        <w:rPr>
          <w:smallCaps/>
          <w:spacing w:val="-12"/>
        </w:rPr>
        <w:t xml:space="preserve"> </w:t>
      </w:r>
      <w:r>
        <w:rPr>
          <w:smallCaps/>
        </w:rPr>
        <w:t>(Corresponding to MA Worksheet 5)</w:t>
      </w:r>
    </w:p>
    <w:p>
      <w:pPr>
        <w:pStyle w:val="BodyText"/>
        <w:spacing w:before="178"/>
      </w:pPr>
      <w:r>
        <w:t>Follow</w:t>
      </w:r>
      <w:r>
        <w:rPr>
          <w:spacing w:val="-5"/>
        </w:rPr>
        <w:t xml:space="preserve"> </w:t>
      </w:r>
      <w:r>
        <w:t>the</w:t>
      </w:r>
      <w:r>
        <w:rPr>
          <w:spacing w:val="-2"/>
        </w:rPr>
        <w:t xml:space="preserve"> </w:t>
      </w:r>
      <w:r>
        <w:t>instructions for</w:t>
      </w:r>
      <w:r>
        <w:rPr>
          <w:spacing w:val="-2"/>
        </w:rPr>
        <w:t xml:space="preserve"> </w:t>
      </w:r>
      <w:r>
        <w:t>MA</w:t>
      </w:r>
      <w:r>
        <w:rPr>
          <w:spacing w:val="-2"/>
        </w:rPr>
        <w:t xml:space="preserve"> </w:t>
      </w:r>
      <w:r>
        <w:t>Worksheets</w:t>
      </w:r>
      <w:r>
        <w:rPr>
          <w:spacing w:val="-1"/>
        </w:rPr>
        <w:t xml:space="preserve"> </w:t>
      </w:r>
      <w:r>
        <w:t>5</w:t>
      </w:r>
      <w:r>
        <w:rPr>
          <w:spacing w:val="-1"/>
        </w:rPr>
        <w:t xml:space="preserve"> </w:t>
      </w:r>
      <w:r>
        <w:t>and</w:t>
      </w:r>
      <w:r>
        <w:rPr>
          <w:spacing w:val="1"/>
        </w:rPr>
        <w:t xml:space="preserve"> </w:t>
      </w:r>
      <w:r>
        <w:t>6</w:t>
      </w:r>
      <w:r>
        <w:rPr>
          <w:spacing w:val="-1"/>
        </w:rPr>
        <w:t xml:space="preserve"> </w:t>
      </w:r>
      <w:r>
        <w:t>for</w:t>
      </w:r>
      <w:r>
        <w:rPr>
          <w:spacing w:val="-3"/>
        </w:rPr>
        <w:t xml:space="preserve"> </w:t>
      </w:r>
      <w:r>
        <w:t>the</w:t>
      </w:r>
      <w:r>
        <w:rPr>
          <w:spacing w:val="-1"/>
        </w:rPr>
        <w:t xml:space="preserve"> </w:t>
      </w:r>
      <w:r>
        <w:t>appropriate</w:t>
      </w:r>
      <w:r>
        <w:rPr>
          <w:spacing w:val="-1"/>
        </w:rPr>
        <w:t xml:space="preserve"> </w:t>
      </w:r>
      <w:r>
        <w:rPr>
          <w:spacing w:val="-2"/>
        </w:rPr>
        <w:t>inputs.</w:t>
      </w:r>
    </w:p>
    <w:p>
      <w:pPr>
        <w:pStyle w:val="BodyText"/>
        <w:spacing w:before="45"/>
        <w:ind w:left="0"/>
      </w:pPr>
    </w:p>
    <w:p>
      <w:pPr>
        <w:pStyle w:val="Heading2"/>
        <w:ind w:right="1481"/>
      </w:pPr>
      <w:bookmarkStart w:id="414" w:name="Worksheet 4 – MSA Enrollee Deposit and P"/>
      <w:bookmarkEnd w:id="414"/>
      <w:bookmarkStart w:id="415" w:name="_bookmark107"/>
      <w:bookmarkEnd w:id="415"/>
      <w:r>
        <w:rPr>
          <w:smallCaps/>
        </w:rPr>
        <w:t>Worksheet</w:t>
      </w:r>
      <w:r>
        <w:rPr>
          <w:smallCaps/>
          <w:spacing w:val="17"/>
        </w:rPr>
        <w:t xml:space="preserve"> </w:t>
      </w:r>
      <w:r>
        <w:rPr>
          <w:smallCaps/>
        </w:rPr>
        <w:t>4</w:t>
      </w:r>
      <w:r>
        <w:rPr>
          <w:smallCaps/>
          <w:spacing w:val="-15"/>
        </w:rPr>
        <w:t xml:space="preserve"> </w:t>
      </w:r>
      <w:r>
        <w:rPr>
          <w:smallCaps/>
        </w:rPr>
        <w:t>–</w:t>
      </w:r>
      <w:r>
        <w:rPr>
          <w:smallCaps/>
          <w:spacing w:val="-15"/>
        </w:rPr>
        <w:t xml:space="preserve"> </w:t>
      </w:r>
      <w:r>
        <w:rPr>
          <w:smallCaps/>
        </w:rPr>
        <w:t>MSA</w:t>
      </w:r>
      <w:r>
        <w:rPr>
          <w:smallCaps/>
          <w:spacing w:val="-15"/>
        </w:rPr>
        <w:t xml:space="preserve"> </w:t>
      </w:r>
      <w:r>
        <w:rPr>
          <w:smallCaps/>
        </w:rPr>
        <w:t>Enrollee Deposit</w:t>
      </w:r>
      <w:r>
        <w:rPr>
          <w:smallCaps/>
          <w:spacing w:val="-3"/>
        </w:rPr>
        <w:t xml:space="preserve"> </w:t>
      </w:r>
      <w:r>
        <w:rPr>
          <w:smallCaps/>
        </w:rPr>
        <w:t>and Plan Payment (No corresponding MA Worksheet)</w:t>
      </w:r>
    </w:p>
    <w:p>
      <w:pPr>
        <w:pStyle w:val="BodyText"/>
        <w:spacing w:before="181"/>
      </w:pPr>
      <w:r>
        <w:t>This</w:t>
      </w:r>
      <w:r>
        <w:rPr>
          <w:spacing w:val="-5"/>
        </w:rPr>
        <w:t xml:space="preserve"> </w:t>
      </w:r>
      <w:r>
        <w:t>worksheet</w:t>
      </w:r>
      <w:r>
        <w:rPr>
          <w:spacing w:val="-1"/>
        </w:rPr>
        <w:t xml:space="preserve"> </w:t>
      </w:r>
      <w:r>
        <w:t>calculates</w:t>
      </w:r>
      <w:r>
        <w:rPr>
          <w:spacing w:val="-3"/>
        </w:rPr>
        <w:t xml:space="preserve"> </w:t>
      </w:r>
      <w:r>
        <w:t>the</w:t>
      </w:r>
      <w:r>
        <w:rPr>
          <w:spacing w:val="-1"/>
        </w:rPr>
        <w:t xml:space="preserve"> </w:t>
      </w:r>
      <w:r>
        <w:t>MSA</w:t>
      </w:r>
      <w:r>
        <w:rPr>
          <w:spacing w:val="-2"/>
        </w:rPr>
        <w:t xml:space="preserve"> </w:t>
      </w:r>
      <w:r>
        <w:t>monthly</w:t>
      </w:r>
      <w:r>
        <w:rPr>
          <w:spacing w:val="-2"/>
        </w:rPr>
        <w:t xml:space="preserve"> </w:t>
      </w:r>
      <w:r>
        <w:t>plan</w:t>
      </w:r>
      <w:r>
        <w:rPr>
          <w:spacing w:val="-4"/>
        </w:rPr>
        <w:t xml:space="preserve"> </w:t>
      </w:r>
      <w:r>
        <w:t>revenue requirement</w:t>
      </w:r>
      <w:r>
        <w:rPr>
          <w:spacing w:val="-2"/>
        </w:rPr>
        <w:t xml:space="preserve"> </w:t>
      </w:r>
      <w:r>
        <w:t>and</w:t>
      </w:r>
      <w:r>
        <w:rPr>
          <w:spacing w:val="1"/>
        </w:rPr>
        <w:t xml:space="preserve"> </w:t>
      </w:r>
      <w:r>
        <w:t>enrollee</w:t>
      </w:r>
      <w:r>
        <w:rPr>
          <w:spacing w:val="-2"/>
        </w:rPr>
        <w:t xml:space="preserve"> deposit.</w:t>
      </w:r>
    </w:p>
    <w:p>
      <w:pPr>
        <w:pStyle w:val="BodyText"/>
        <w:spacing w:before="120"/>
        <w:ind w:right="1481"/>
      </w:pPr>
      <w:r>
        <w:t>Consistent</w:t>
      </w:r>
      <w:r>
        <w:rPr>
          <w:spacing w:val="-4"/>
        </w:rPr>
        <w:t xml:space="preserve"> </w:t>
      </w:r>
      <w:r>
        <w:t>with</w:t>
      </w:r>
      <w:r>
        <w:rPr>
          <w:spacing w:val="-4"/>
        </w:rPr>
        <w:t xml:space="preserve"> </w:t>
      </w:r>
      <w:r>
        <w:t>other</w:t>
      </w:r>
      <w:r>
        <w:rPr>
          <w:spacing w:val="-5"/>
        </w:rPr>
        <w:t xml:space="preserve"> </w:t>
      </w:r>
      <w:r>
        <w:t>MSA</w:t>
      </w:r>
      <w:r>
        <w:rPr>
          <w:spacing w:val="-4"/>
        </w:rPr>
        <w:t xml:space="preserve"> </w:t>
      </w:r>
      <w:r>
        <w:t>worksheets,</w:t>
      </w:r>
      <w:r>
        <w:rPr>
          <w:spacing w:val="-4"/>
        </w:rPr>
        <w:t xml:space="preserve"> </w:t>
      </w:r>
      <w:r>
        <w:t>information</w:t>
      </w:r>
      <w:r>
        <w:rPr>
          <w:spacing w:val="-4"/>
        </w:rPr>
        <w:t xml:space="preserve"> </w:t>
      </w:r>
      <w:r>
        <w:t>provided</w:t>
      </w:r>
      <w:r>
        <w:rPr>
          <w:spacing w:val="-4"/>
        </w:rPr>
        <w:t xml:space="preserve"> </w:t>
      </w:r>
      <w:r>
        <w:t>on</w:t>
      </w:r>
      <w:r>
        <w:rPr>
          <w:spacing w:val="-4"/>
        </w:rPr>
        <w:t xml:space="preserve"> </w:t>
      </w:r>
      <w:r>
        <w:t>Worksheet</w:t>
      </w:r>
      <w:r>
        <w:rPr>
          <w:spacing w:val="-3"/>
        </w:rPr>
        <w:t xml:space="preserve"> </w:t>
      </w:r>
      <w:r>
        <w:t>4</w:t>
      </w:r>
      <w:r>
        <w:rPr>
          <w:spacing w:val="-4"/>
        </w:rPr>
        <w:t xml:space="preserve"> </w:t>
      </w:r>
      <w:r>
        <w:t>must</w:t>
      </w:r>
      <w:r>
        <w:rPr>
          <w:spacing w:val="-3"/>
        </w:rPr>
        <w:t xml:space="preserve"> </w:t>
      </w:r>
      <w:r>
        <w:t>exclude ESRD enrollees.</w:t>
      </w:r>
    </w:p>
    <w:p>
      <w:pPr>
        <w:pStyle w:val="BodyText"/>
        <w:spacing w:before="43"/>
        <w:ind w:left="0"/>
      </w:pPr>
    </w:p>
    <w:p>
      <w:pPr>
        <w:pStyle w:val="Heading2"/>
        <w:ind w:right="1481"/>
      </w:pPr>
      <w:bookmarkStart w:id="416" w:name="Section II – Development of Claim Inform"/>
      <w:bookmarkEnd w:id="416"/>
      <w:r>
        <w:rPr>
          <w:smallCaps/>
        </w:rPr>
        <w:t>Section</w:t>
      </w:r>
      <w:r>
        <w:rPr>
          <w:smallCaps/>
          <w:spacing w:val="-1"/>
        </w:rPr>
        <w:t xml:space="preserve"> </w:t>
      </w:r>
      <w:r>
        <w:rPr>
          <w:smallCaps/>
        </w:rPr>
        <w:t>II</w:t>
      </w:r>
      <w:r>
        <w:rPr>
          <w:smallCaps/>
          <w:spacing w:val="-15"/>
        </w:rPr>
        <w:t xml:space="preserve"> </w:t>
      </w:r>
      <w:r>
        <w:rPr>
          <w:smallCaps/>
        </w:rPr>
        <w:t>–</w:t>
      </w:r>
      <w:r>
        <w:rPr>
          <w:smallCaps/>
          <w:spacing w:val="-15"/>
        </w:rPr>
        <w:t xml:space="preserve"> </w:t>
      </w:r>
      <w:r>
        <w:rPr>
          <w:smallCaps/>
        </w:rPr>
        <w:t>Development of Claim</w:t>
      </w:r>
      <w:r>
        <w:rPr>
          <w:smallCaps/>
          <w:spacing w:val="-3"/>
        </w:rPr>
        <w:t xml:space="preserve"> </w:t>
      </w:r>
      <w:r>
        <w:rPr>
          <w:smallCaps/>
        </w:rPr>
        <w:t>Information Intervals</w:t>
      </w:r>
      <w:r>
        <w:rPr>
          <w:smallCaps/>
          <w:spacing w:val="-1"/>
        </w:rPr>
        <w:t xml:space="preserve"> </w:t>
      </w:r>
      <w:r>
        <w:rPr>
          <w:smallCaps/>
        </w:rPr>
        <w:t>(Plan’s</w:t>
      </w:r>
      <w:r>
        <w:rPr>
          <w:smallCaps/>
          <w:spacing w:val="-4"/>
        </w:rPr>
        <w:t xml:space="preserve"> </w:t>
      </w:r>
      <w:r>
        <w:rPr>
          <w:smallCaps/>
        </w:rPr>
        <w:t>risk factor and Exclude Services Covered Within the Deductible)</w:t>
      </w:r>
    </w:p>
    <w:p>
      <w:pPr>
        <w:spacing w:before="241"/>
        <w:ind w:left="504" w:right="0" w:firstLine="0"/>
        <w:jc w:val="left"/>
        <w:rPr>
          <w:rFonts w:ascii="Arial" w:hAnsi="Arial"/>
          <w:b/>
          <w:sz w:val="21"/>
        </w:rPr>
      </w:pPr>
      <w:bookmarkStart w:id="417" w:name="Column c – Annual Projected Claim Interv"/>
      <w:bookmarkEnd w:id="417"/>
      <w:r>
        <w:rPr>
          <w:rFonts w:ascii="Arial" w:hAnsi="Arial"/>
          <w:b/>
          <w:sz w:val="21"/>
        </w:rPr>
        <w:t>Column</w:t>
      </w:r>
      <w:r>
        <w:rPr>
          <w:rFonts w:ascii="Arial" w:hAnsi="Arial"/>
          <w:b/>
          <w:spacing w:val="-3"/>
          <w:sz w:val="21"/>
        </w:rPr>
        <w:t xml:space="preserve"> </w:t>
      </w:r>
      <w:r>
        <w:rPr>
          <w:rFonts w:ascii="Arial" w:hAnsi="Arial"/>
          <w:b/>
          <w:sz w:val="21"/>
        </w:rPr>
        <w:t>c</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Annual</w:t>
      </w:r>
      <w:r>
        <w:rPr>
          <w:rFonts w:ascii="Arial" w:hAnsi="Arial"/>
          <w:b/>
          <w:spacing w:val="-5"/>
          <w:sz w:val="21"/>
        </w:rPr>
        <w:t xml:space="preserve"> </w:t>
      </w:r>
      <w:r>
        <w:rPr>
          <w:rFonts w:ascii="Arial" w:hAnsi="Arial"/>
          <w:b/>
          <w:sz w:val="21"/>
        </w:rPr>
        <w:t>Projected</w:t>
      </w:r>
      <w:r>
        <w:rPr>
          <w:rFonts w:ascii="Arial" w:hAnsi="Arial"/>
          <w:b/>
          <w:spacing w:val="-5"/>
          <w:sz w:val="21"/>
        </w:rPr>
        <w:t xml:space="preserve"> </w:t>
      </w:r>
      <w:r>
        <w:rPr>
          <w:rFonts w:ascii="Arial" w:hAnsi="Arial"/>
          <w:b/>
          <w:sz w:val="21"/>
        </w:rPr>
        <w:t>Claim</w:t>
      </w:r>
      <w:r>
        <w:rPr>
          <w:rFonts w:ascii="Arial" w:hAnsi="Arial"/>
          <w:b/>
          <w:spacing w:val="-4"/>
          <w:sz w:val="21"/>
        </w:rPr>
        <w:t xml:space="preserve"> </w:t>
      </w:r>
      <w:r>
        <w:rPr>
          <w:rFonts w:ascii="Arial" w:hAnsi="Arial"/>
          <w:b/>
          <w:spacing w:val="-2"/>
          <w:sz w:val="21"/>
        </w:rPr>
        <w:t>Interval</w:t>
      </w:r>
    </w:p>
    <w:p>
      <w:pPr>
        <w:pStyle w:val="BodyText"/>
        <w:spacing w:before="120"/>
      </w:pPr>
      <w:r>
        <w:t>The</w:t>
      </w:r>
      <w:r>
        <w:rPr>
          <w:spacing w:val="-5"/>
        </w:rPr>
        <w:t xml:space="preserve"> </w:t>
      </w:r>
      <w:r>
        <w:t>column</w:t>
      </w:r>
      <w:r>
        <w:rPr>
          <w:spacing w:val="-1"/>
        </w:rPr>
        <w:t xml:space="preserve"> </w:t>
      </w:r>
      <w:r>
        <w:t>is</w:t>
      </w:r>
      <w:r>
        <w:rPr>
          <w:spacing w:val="-2"/>
        </w:rPr>
        <w:t xml:space="preserve"> </w:t>
      </w:r>
      <w:r>
        <w:t>pre-populated</w:t>
      </w:r>
      <w:r>
        <w:rPr>
          <w:spacing w:val="-1"/>
        </w:rPr>
        <w:t xml:space="preserve"> </w:t>
      </w:r>
      <w:r>
        <w:t>with</w:t>
      </w:r>
      <w:r>
        <w:rPr>
          <w:spacing w:val="-1"/>
        </w:rPr>
        <w:t xml:space="preserve"> </w:t>
      </w:r>
      <w:r>
        <w:t>annual</w:t>
      </w:r>
      <w:r>
        <w:rPr>
          <w:spacing w:val="-1"/>
        </w:rPr>
        <w:t xml:space="preserve"> </w:t>
      </w:r>
      <w:r>
        <w:t>projected</w:t>
      </w:r>
      <w:r>
        <w:rPr>
          <w:spacing w:val="-1"/>
        </w:rPr>
        <w:t xml:space="preserve"> </w:t>
      </w:r>
      <w:r>
        <w:t xml:space="preserve">claim </w:t>
      </w:r>
      <w:r>
        <w:rPr>
          <w:spacing w:val="-2"/>
        </w:rPr>
        <w:t>intervals.</w:t>
      </w:r>
    </w:p>
    <w:p>
      <w:pPr>
        <w:spacing w:before="241"/>
        <w:ind w:left="504" w:right="0" w:firstLine="0"/>
        <w:jc w:val="left"/>
        <w:rPr>
          <w:rFonts w:ascii="Arial" w:hAnsi="Arial"/>
          <w:b/>
          <w:sz w:val="21"/>
        </w:rPr>
      </w:pPr>
      <w:bookmarkStart w:id="418" w:name="Column d – Annual Average Claim Amount"/>
      <w:bookmarkEnd w:id="418"/>
      <w:r>
        <w:rPr>
          <w:rFonts w:ascii="Arial" w:hAnsi="Arial"/>
          <w:b/>
          <w:sz w:val="21"/>
        </w:rPr>
        <w:t>Column</w:t>
      </w:r>
      <w:r>
        <w:rPr>
          <w:rFonts w:ascii="Arial" w:hAnsi="Arial"/>
          <w:b/>
          <w:spacing w:val="-6"/>
          <w:sz w:val="21"/>
        </w:rPr>
        <w:t xml:space="preserve"> </w:t>
      </w:r>
      <w:r>
        <w:rPr>
          <w:rFonts w:ascii="Arial" w:hAnsi="Arial"/>
          <w:b/>
          <w:sz w:val="21"/>
        </w:rPr>
        <w:t>d</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Annual</w:t>
      </w:r>
      <w:r>
        <w:rPr>
          <w:rFonts w:ascii="Arial" w:hAnsi="Arial"/>
          <w:b/>
          <w:spacing w:val="-5"/>
          <w:sz w:val="21"/>
        </w:rPr>
        <w:t xml:space="preserve"> </w:t>
      </w:r>
      <w:r>
        <w:rPr>
          <w:rFonts w:ascii="Arial" w:hAnsi="Arial"/>
          <w:b/>
          <w:sz w:val="21"/>
        </w:rPr>
        <w:t>Average</w:t>
      </w:r>
      <w:r>
        <w:rPr>
          <w:rFonts w:ascii="Arial" w:hAnsi="Arial"/>
          <w:b/>
          <w:spacing w:val="-6"/>
          <w:sz w:val="21"/>
        </w:rPr>
        <w:t xml:space="preserve"> </w:t>
      </w:r>
      <w:r>
        <w:rPr>
          <w:rFonts w:ascii="Arial" w:hAnsi="Arial"/>
          <w:b/>
          <w:sz w:val="21"/>
        </w:rPr>
        <w:t>Claim</w:t>
      </w:r>
      <w:r>
        <w:rPr>
          <w:rFonts w:ascii="Arial" w:hAnsi="Arial"/>
          <w:b/>
          <w:spacing w:val="-5"/>
          <w:sz w:val="21"/>
        </w:rPr>
        <w:t xml:space="preserve"> </w:t>
      </w:r>
      <w:r>
        <w:rPr>
          <w:rFonts w:ascii="Arial" w:hAnsi="Arial"/>
          <w:b/>
          <w:spacing w:val="-2"/>
          <w:sz w:val="21"/>
        </w:rPr>
        <w:t>Amount</w:t>
      </w:r>
    </w:p>
    <w:p>
      <w:pPr>
        <w:pStyle w:val="BodyText"/>
        <w:spacing w:before="118"/>
      </w:pPr>
      <w:r>
        <w:t>Enter</w:t>
      </w:r>
      <w:r>
        <w:rPr>
          <w:spacing w:val="-1"/>
        </w:rPr>
        <w:t xml:space="preserve"> </w:t>
      </w:r>
      <w:r>
        <w:t>the</w:t>
      </w:r>
      <w:r>
        <w:rPr>
          <w:spacing w:val="-3"/>
        </w:rPr>
        <w:t xml:space="preserve"> </w:t>
      </w:r>
      <w:r>
        <w:t>annual average claim amount</w:t>
      </w:r>
      <w:r>
        <w:rPr>
          <w:spacing w:val="-1"/>
        </w:rPr>
        <w:t xml:space="preserve"> </w:t>
      </w:r>
      <w:r>
        <w:t>paid</w:t>
      </w:r>
      <w:r>
        <w:rPr>
          <w:spacing w:val="-1"/>
        </w:rPr>
        <w:t xml:space="preserve"> </w:t>
      </w:r>
      <w:r>
        <w:t>in each</w:t>
      </w:r>
      <w:r>
        <w:rPr>
          <w:spacing w:val="-1"/>
        </w:rPr>
        <w:t xml:space="preserve"> </w:t>
      </w:r>
      <w:r>
        <w:t xml:space="preserve">claim </w:t>
      </w:r>
      <w:r>
        <w:rPr>
          <w:spacing w:val="-2"/>
        </w:rPr>
        <w:t>interval.</w:t>
      </w:r>
    </w:p>
    <w:p>
      <w:pPr>
        <w:spacing w:before="240"/>
        <w:ind w:left="504" w:right="0" w:firstLine="0"/>
        <w:jc w:val="left"/>
        <w:rPr>
          <w:rFonts w:ascii="Arial" w:hAnsi="Arial"/>
          <w:b/>
          <w:sz w:val="21"/>
        </w:rPr>
      </w:pPr>
      <w:bookmarkStart w:id="419" w:name="Column e – Percentage of Member Months ("/>
      <w:bookmarkEnd w:id="419"/>
      <w:r>
        <w:rPr>
          <w:rFonts w:ascii="Arial" w:hAnsi="Arial"/>
          <w:b/>
          <w:sz w:val="21"/>
        </w:rPr>
        <w:t>Column</w:t>
      </w:r>
      <w:r>
        <w:rPr>
          <w:rFonts w:ascii="Arial" w:hAnsi="Arial"/>
          <w:b/>
          <w:spacing w:val="-6"/>
          <w:sz w:val="21"/>
        </w:rPr>
        <w:t xml:space="preserve"> </w:t>
      </w:r>
      <w:r>
        <w:rPr>
          <w:rFonts w:ascii="Arial" w:hAnsi="Arial"/>
          <w:b/>
          <w:sz w:val="21"/>
        </w:rPr>
        <w:t>e</w:t>
      </w:r>
      <w:r>
        <w:rPr>
          <w:rFonts w:ascii="Arial" w:hAnsi="Arial"/>
          <w:b/>
          <w:spacing w:val="-6"/>
          <w:sz w:val="21"/>
        </w:rPr>
        <w:t xml:space="preserve"> </w:t>
      </w:r>
      <w:r>
        <w:rPr>
          <w:rFonts w:ascii="Arial" w:hAnsi="Arial"/>
          <w:b/>
          <w:sz w:val="21"/>
        </w:rPr>
        <w:t>–</w:t>
      </w:r>
      <w:r>
        <w:rPr>
          <w:rFonts w:ascii="Arial" w:hAnsi="Arial"/>
          <w:b/>
          <w:spacing w:val="-7"/>
          <w:sz w:val="21"/>
        </w:rPr>
        <w:t xml:space="preserve"> </w:t>
      </w:r>
      <w:r>
        <w:rPr>
          <w:rFonts w:ascii="Arial" w:hAnsi="Arial"/>
          <w:b/>
          <w:sz w:val="21"/>
        </w:rPr>
        <w:t>Percentage</w:t>
      </w:r>
      <w:r>
        <w:rPr>
          <w:rFonts w:ascii="Arial" w:hAnsi="Arial"/>
          <w:b/>
          <w:spacing w:val="-6"/>
          <w:sz w:val="21"/>
        </w:rPr>
        <w:t xml:space="preserve"> </w:t>
      </w:r>
      <w:r>
        <w:rPr>
          <w:rFonts w:ascii="Arial" w:hAnsi="Arial"/>
          <w:b/>
          <w:sz w:val="21"/>
        </w:rPr>
        <w:t>of</w:t>
      </w:r>
      <w:r>
        <w:rPr>
          <w:rFonts w:ascii="Arial" w:hAnsi="Arial"/>
          <w:b/>
          <w:spacing w:val="-5"/>
          <w:sz w:val="21"/>
        </w:rPr>
        <w:t xml:space="preserve"> </w:t>
      </w:r>
      <w:r>
        <w:rPr>
          <w:rFonts w:ascii="Arial" w:hAnsi="Arial"/>
          <w:b/>
          <w:sz w:val="21"/>
        </w:rPr>
        <w:t>Member</w:t>
      </w:r>
      <w:r>
        <w:rPr>
          <w:rFonts w:ascii="Arial" w:hAnsi="Arial"/>
          <w:b/>
          <w:spacing w:val="-5"/>
          <w:sz w:val="21"/>
        </w:rPr>
        <w:t xml:space="preserve"> </w:t>
      </w:r>
      <w:r>
        <w:rPr>
          <w:rFonts w:ascii="Arial" w:hAnsi="Arial"/>
          <w:b/>
          <w:sz w:val="21"/>
        </w:rPr>
        <w:t>Months</w:t>
      </w:r>
      <w:r>
        <w:rPr>
          <w:rFonts w:ascii="Arial" w:hAnsi="Arial"/>
          <w:b/>
          <w:spacing w:val="-5"/>
          <w:sz w:val="21"/>
        </w:rPr>
        <w:t xml:space="preserve"> </w:t>
      </w:r>
      <w:r>
        <w:rPr>
          <w:rFonts w:ascii="Arial" w:hAnsi="Arial"/>
          <w:b/>
          <w:sz w:val="21"/>
        </w:rPr>
        <w:t>(Use</w:t>
      </w:r>
      <w:r>
        <w:rPr>
          <w:rFonts w:ascii="Arial" w:hAnsi="Arial"/>
          <w:b/>
          <w:spacing w:val="-7"/>
          <w:sz w:val="21"/>
        </w:rPr>
        <w:t xml:space="preserve"> </w:t>
      </w:r>
      <w:r>
        <w:rPr>
          <w:rFonts w:ascii="Arial" w:hAnsi="Arial"/>
          <w:b/>
          <w:sz w:val="21"/>
        </w:rPr>
        <w:t>Only</w:t>
      </w:r>
      <w:r>
        <w:rPr>
          <w:rFonts w:ascii="Arial" w:hAnsi="Arial"/>
          <w:b/>
          <w:spacing w:val="-5"/>
          <w:sz w:val="21"/>
        </w:rPr>
        <w:t xml:space="preserve"> </w:t>
      </w:r>
      <w:r>
        <w:rPr>
          <w:rFonts w:ascii="Arial" w:hAnsi="Arial"/>
          <w:b/>
          <w:sz w:val="21"/>
        </w:rPr>
        <w:t>the</w:t>
      </w:r>
      <w:r>
        <w:rPr>
          <w:rFonts w:ascii="Arial" w:hAnsi="Arial"/>
          <w:b/>
          <w:spacing w:val="-5"/>
          <w:sz w:val="21"/>
        </w:rPr>
        <w:t xml:space="preserve"> </w:t>
      </w:r>
      <w:r>
        <w:rPr>
          <w:rFonts w:ascii="Arial" w:hAnsi="Arial"/>
          <w:b/>
          <w:sz w:val="21"/>
        </w:rPr>
        <w:t>Highest</w:t>
      </w:r>
      <w:r>
        <w:rPr>
          <w:rFonts w:ascii="Arial" w:hAnsi="Arial"/>
          <w:b/>
          <w:spacing w:val="-6"/>
          <w:sz w:val="21"/>
        </w:rPr>
        <w:t xml:space="preserve"> </w:t>
      </w:r>
      <w:r>
        <w:rPr>
          <w:rFonts w:ascii="Arial" w:hAnsi="Arial"/>
          <w:b/>
          <w:sz w:val="21"/>
        </w:rPr>
        <w:t>Claim</w:t>
      </w:r>
      <w:r>
        <w:rPr>
          <w:rFonts w:ascii="Arial" w:hAnsi="Arial"/>
          <w:b/>
          <w:spacing w:val="-5"/>
          <w:sz w:val="21"/>
        </w:rPr>
        <w:t xml:space="preserve"> </w:t>
      </w:r>
      <w:r>
        <w:rPr>
          <w:rFonts w:ascii="Arial" w:hAnsi="Arial"/>
          <w:b/>
          <w:spacing w:val="-2"/>
          <w:sz w:val="21"/>
        </w:rPr>
        <w:t>Interval)</w:t>
      </w:r>
    </w:p>
    <w:p>
      <w:pPr>
        <w:pStyle w:val="BodyText"/>
        <w:spacing w:before="120"/>
        <w:ind w:right="1481"/>
      </w:pPr>
      <w:r>
        <w:t>Allocate</w:t>
      </w:r>
      <w:r>
        <w:rPr>
          <w:spacing w:val="-4"/>
        </w:rPr>
        <w:t xml:space="preserve"> </w:t>
      </w:r>
      <w:r>
        <w:t>total</w:t>
      </w:r>
      <w:r>
        <w:rPr>
          <w:spacing w:val="-4"/>
        </w:rPr>
        <w:t xml:space="preserve"> </w:t>
      </w:r>
      <w:r>
        <w:t>projected</w:t>
      </w:r>
      <w:r>
        <w:rPr>
          <w:spacing w:val="-2"/>
        </w:rPr>
        <w:t xml:space="preserve"> </w:t>
      </w:r>
      <w:r>
        <w:t>member</w:t>
      </w:r>
      <w:r>
        <w:rPr>
          <w:spacing w:val="-4"/>
        </w:rPr>
        <w:t xml:space="preserve"> </w:t>
      </w:r>
      <w:r>
        <w:t>months</w:t>
      </w:r>
      <w:r>
        <w:rPr>
          <w:spacing w:val="-5"/>
        </w:rPr>
        <w:t xml:space="preserve"> </w:t>
      </w:r>
      <w:r>
        <w:t>to</w:t>
      </w:r>
      <w:r>
        <w:rPr>
          <w:spacing w:val="-4"/>
        </w:rPr>
        <w:t xml:space="preserve"> </w:t>
      </w:r>
      <w:r>
        <w:t>the</w:t>
      </w:r>
      <w:r>
        <w:rPr>
          <w:spacing w:val="-4"/>
        </w:rPr>
        <w:t xml:space="preserve"> </w:t>
      </w:r>
      <w:r>
        <w:t>highest</w:t>
      </w:r>
      <w:r>
        <w:rPr>
          <w:spacing w:val="-4"/>
        </w:rPr>
        <w:t xml:space="preserve"> </w:t>
      </w:r>
      <w:r>
        <w:t>claim</w:t>
      </w:r>
      <w:r>
        <w:rPr>
          <w:spacing w:val="-4"/>
        </w:rPr>
        <w:t xml:space="preserve"> </w:t>
      </w:r>
      <w:r>
        <w:t>interval</w:t>
      </w:r>
      <w:r>
        <w:rPr>
          <w:spacing w:val="-4"/>
        </w:rPr>
        <w:t xml:space="preserve"> </w:t>
      </w:r>
      <w:r>
        <w:t>expected</w:t>
      </w:r>
      <w:r>
        <w:rPr>
          <w:spacing w:val="-4"/>
        </w:rPr>
        <w:t xml:space="preserve"> </w:t>
      </w:r>
      <w:r>
        <w:t>by</w:t>
      </w:r>
      <w:r>
        <w:rPr>
          <w:spacing w:val="-2"/>
        </w:rPr>
        <w:t xml:space="preserve"> </w:t>
      </w:r>
      <w:r>
        <w:t>members</w:t>
      </w:r>
      <w:r>
        <w:rPr>
          <w:spacing w:val="-3"/>
        </w:rPr>
        <w:t xml:space="preserve"> </w:t>
      </w:r>
      <w:r>
        <w:t>and enter the allocation as a percentage.</w:t>
      </w:r>
    </w:p>
    <w:p>
      <w:pPr>
        <w:pStyle w:val="BodyText"/>
        <w:spacing w:before="121"/>
      </w:pPr>
      <w:r>
        <w:t>For</w:t>
      </w:r>
      <w:r>
        <w:rPr>
          <w:spacing w:val="-2"/>
        </w:rPr>
        <w:t xml:space="preserve"> </w:t>
      </w:r>
      <w:r>
        <w:t>example,</w:t>
      </w:r>
      <w:r>
        <w:rPr>
          <w:spacing w:val="-1"/>
        </w:rPr>
        <w:t xml:space="preserve"> </w:t>
      </w:r>
      <w:r>
        <w:t>if</w:t>
      </w:r>
      <w:r>
        <w:rPr>
          <w:spacing w:val="-1"/>
        </w:rPr>
        <w:t xml:space="preserve"> </w:t>
      </w:r>
      <w:r>
        <w:t>projected</w:t>
      </w:r>
      <w:r>
        <w:rPr>
          <w:spacing w:val="1"/>
        </w:rPr>
        <w:t xml:space="preserve"> </w:t>
      </w:r>
      <w:r>
        <w:t>member</w:t>
      </w:r>
      <w:r>
        <w:rPr>
          <w:spacing w:val="-1"/>
        </w:rPr>
        <w:t xml:space="preserve"> </w:t>
      </w:r>
      <w:r>
        <w:t>months</w:t>
      </w:r>
      <w:r>
        <w:rPr>
          <w:spacing w:val="-1"/>
        </w:rPr>
        <w:t xml:space="preserve"> </w:t>
      </w:r>
      <w:r>
        <w:t>for</w:t>
      </w:r>
      <w:r>
        <w:rPr>
          <w:spacing w:val="-4"/>
        </w:rPr>
        <w:t xml:space="preserve"> </w:t>
      </w:r>
      <w:r>
        <w:t>members</w:t>
      </w:r>
      <w:r>
        <w:rPr>
          <w:spacing w:val="-1"/>
        </w:rPr>
        <w:t xml:space="preserve"> </w:t>
      </w:r>
      <w:r>
        <w:t>expected</w:t>
      </w:r>
      <w:r>
        <w:rPr>
          <w:spacing w:val="-1"/>
        </w:rPr>
        <w:t xml:space="preserve"> </w:t>
      </w:r>
      <w:r>
        <w:t>to</w:t>
      </w:r>
      <w:r>
        <w:rPr>
          <w:spacing w:val="-1"/>
        </w:rPr>
        <w:t xml:space="preserve"> </w:t>
      </w:r>
      <w:r>
        <w:t>incur</w:t>
      </w:r>
      <w:r>
        <w:rPr>
          <w:spacing w:val="-1"/>
        </w:rPr>
        <w:t xml:space="preserve"> </w:t>
      </w:r>
      <w:r>
        <w:t>annual</w:t>
      </w:r>
      <w:r>
        <w:rPr>
          <w:spacing w:val="-1"/>
        </w:rPr>
        <w:t xml:space="preserve"> </w:t>
      </w:r>
      <w:r>
        <w:t>claims</w:t>
      </w:r>
      <w:r>
        <w:rPr>
          <w:spacing w:val="-2"/>
        </w:rPr>
        <w:t xml:space="preserve"> </w:t>
      </w:r>
      <w:r>
        <w:rPr>
          <w:spacing w:val="-5"/>
        </w:rPr>
        <w:t>of</w:t>
      </w:r>
    </w:p>
    <w:p>
      <w:pPr>
        <w:pStyle w:val="BodyText"/>
        <w:ind w:right="1481"/>
      </w:pPr>
      <w:r>
        <w:t>$11,500</w:t>
      </w:r>
      <w:r>
        <w:rPr>
          <w:spacing w:val="-4"/>
        </w:rPr>
        <w:t xml:space="preserve"> </w:t>
      </w:r>
      <w:r>
        <w:t>represent</w:t>
      </w:r>
      <w:r>
        <w:rPr>
          <w:spacing w:val="-3"/>
        </w:rPr>
        <w:t xml:space="preserve"> </w:t>
      </w:r>
      <w:r>
        <w:t>20</w:t>
      </w:r>
      <w:r>
        <w:rPr>
          <w:spacing w:val="-3"/>
        </w:rPr>
        <w:t xml:space="preserve"> </w:t>
      </w:r>
      <w:r>
        <w:t>percent</w:t>
      </w:r>
      <w:r>
        <w:rPr>
          <w:spacing w:val="-3"/>
        </w:rPr>
        <w:t xml:space="preserve"> </w:t>
      </w:r>
      <w:r>
        <w:t>of</w:t>
      </w:r>
      <w:r>
        <w:rPr>
          <w:spacing w:val="-3"/>
        </w:rPr>
        <w:t xml:space="preserve"> </w:t>
      </w:r>
      <w:r>
        <w:t>total</w:t>
      </w:r>
      <w:r>
        <w:rPr>
          <w:spacing w:val="-3"/>
        </w:rPr>
        <w:t xml:space="preserve"> </w:t>
      </w:r>
      <w:r>
        <w:t>projected</w:t>
      </w:r>
      <w:r>
        <w:rPr>
          <w:spacing w:val="-3"/>
        </w:rPr>
        <w:t xml:space="preserve"> </w:t>
      </w:r>
      <w:r>
        <w:t>member</w:t>
      </w:r>
      <w:r>
        <w:rPr>
          <w:spacing w:val="-5"/>
        </w:rPr>
        <w:t xml:space="preserve"> </w:t>
      </w:r>
      <w:r>
        <w:t>months,</w:t>
      </w:r>
      <w:r>
        <w:rPr>
          <w:spacing w:val="-3"/>
        </w:rPr>
        <w:t xml:space="preserve"> </w:t>
      </w:r>
      <w:r>
        <w:t>and</w:t>
      </w:r>
      <w:r>
        <w:rPr>
          <w:spacing w:val="-3"/>
        </w:rPr>
        <w:t xml:space="preserve"> </w:t>
      </w:r>
      <w:r>
        <w:t>projected</w:t>
      </w:r>
      <w:r>
        <w:rPr>
          <w:spacing w:val="-3"/>
        </w:rPr>
        <w:t xml:space="preserve"> </w:t>
      </w:r>
      <w:r>
        <w:t>member</w:t>
      </w:r>
      <w:r>
        <w:rPr>
          <w:spacing w:val="-3"/>
        </w:rPr>
        <w:t xml:space="preserve"> </w:t>
      </w:r>
      <w:r>
        <w:t>months for members expected to incur annual claims of $4,400 represent 10 percent of total projected member months, then enter 20 percent only in the interval containing $11,500 and 10 percent only in the interval containing $4,400. The sum of column e must equal 100 percent.</w:t>
      </w:r>
    </w:p>
    <w:p>
      <w:pPr>
        <w:spacing w:before="241"/>
        <w:ind w:left="504" w:right="0" w:firstLine="0"/>
        <w:jc w:val="left"/>
        <w:rPr>
          <w:rFonts w:ascii="Arial" w:hAnsi="Arial"/>
          <w:b/>
          <w:sz w:val="21"/>
        </w:rPr>
      </w:pPr>
      <w:bookmarkStart w:id="420" w:name="Column f – Gross Claims (PMPM)"/>
      <w:bookmarkEnd w:id="420"/>
      <w:r>
        <w:rPr>
          <w:rFonts w:ascii="Arial" w:hAnsi="Arial"/>
          <w:b/>
          <w:sz w:val="21"/>
        </w:rPr>
        <w:t>Column</w:t>
      </w:r>
      <w:r>
        <w:rPr>
          <w:rFonts w:ascii="Arial" w:hAnsi="Arial"/>
          <w:b/>
          <w:spacing w:val="-4"/>
          <w:sz w:val="21"/>
        </w:rPr>
        <w:t xml:space="preserve"> </w:t>
      </w:r>
      <w:r>
        <w:rPr>
          <w:rFonts w:ascii="Arial" w:hAnsi="Arial"/>
          <w:b/>
          <w:sz w:val="21"/>
        </w:rPr>
        <w:t>f</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Gross</w:t>
      </w:r>
      <w:r>
        <w:rPr>
          <w:rFonts w:ascii="Arial" w:hAnsi="Arial"/>
          <w:b/>
          <w:spacing w:val="-4"/>
          <w:sz w:val="21"/>
        </w:rPr>
        <w:t xml:space="preserve"> </w:t>
      </w:r>
      <w:r>
        <w:rPr>
          <w:rFonts w:ascii="Arial" w:hAnsi="Arial"/>
          <w:b/>
          <w:sz w:val="21"/>
        </w:rPr>
        <w:t>Claims</w:t>
      </w:r>
      <w:r>
        <w:rPr>
          <w:rFonts w:ascii="Arial" w:hAnsi="Arial"/>
          <w:b/>
          <w:spacing w:val="-4"/>
          <w:sz w:val="21"/>
        </w:rPr>
        <w:t xml:space="preserve"> </w:t>
      </w:r>
      <w:r>
        <w:rPr>
          <w:rFonts w:ascii="Arial" w:hAnsi="Arial"/>
          <w:b/>
          <w:spacing w:val="-2"/>
          <w:sz w:val="21"/>
        </w:rPr>
        <w:t>(PMPM)</w:t>
      </w:r>
    </w:p>
    <w:p>
      <w:pPr>
        <w:pStyle w:val="BodyText"/>
        <w:spacing w:before="118"/>
        <w:ind w:right="1443"/>
      </w:pPr>
      <w:r>
        <w:t>This</w:t>
      </w:r>
      <w:r>
        <w:rPr>
          <w:spacing w:val="-4"/>
        </w:rPr>
        <w:t xml:space="preserve"> </w:t>
      </w:r>
      <w:r>
        <w:t>column</w:t>
      </w:r>
      <w:r>
        <w:rPr>
          <w:spacing w:val="-3"/>
        </w:rPr>
        <w:t xml:space="preserve"> </w:t>
      </w:r>
      <w:r>
        <w:t>calculates</w:t>
      </w:r>
      <w:r>
        <w:rPr>
          <w:spacing w:val="-4"/>
        </w:rPr>
        <w:t xml:space="preserve"> </w:t>
      </w:r>
      <w:r>
        <w:t>total</w:t>
      </w:r>
      <w:r>
        <w:rPr>
          <w:spacing w:val="-3"/>
        </w:rPr>
        <w:t xml:space="preserve"> </w:t>
      </w:r>
      <w:r>
        <w:t>allowed</w:t>
      </w:r>
      <w:r>
        <w:rPr>
          <w:spacing w:val="-3"/>
        </w:rPr>
        <w:t xml:space="preserve"> </w:t>
      </w:r>
      <w:r>
        <w:t>Medicare-covered</w:t>
      </w:r>
      <w:r>
        <w:rPr>
          <w:spacing w:val="-3"/>
        </w:rPr>
        <w:t xml:space="preserve"> </w:t>
      </w:r>
      <w:r>
        <w:t>claims</w:t>
      </w:r>
      <w:r>
        <w:rPr>
          <w:spacing w:val="-4"/>
        </w:rPr>
        <w:t xml:space="preserve"> </w:t>
      </w:r>
      <w:r>
        <w:t>on</w:t>
      </w:r>
      <w:r>
        <w:rPr>
          <w:spacing w:val="-3"/>
        </w:rPr>
        <w:t xml:space="preserve"> </w:t>
      </w:r>
      <w:r>
        <w:t>a</w:t>
      </w:r>
      <w:r>
        <w:rPr>
          <w:spacing w:val="-3"/>
        </w:rPr>
        <w:t xml:space="preserve"> </w:t>
      </w:r>
      <w:r>
        <w:t>PMPM</w:t>
      </w:r>
      <w:r>
        <w:rPr>
          <w:spacing w:val="-3"/>
        </w:rPr>
        <w:t xml:space="preserve"> </w:t>
      </w:r>
      <w:r>
        <w:t>basis</w:t>
      </w:r>
      <w:r>
        <w:rPr>
          <w:spacing w:val="-3"/>
        </w:rPr>
        <w:t xml:space="preserve"> </w:t>
      </w:r>
      <w:r>
        <w:t>for</w:t>
      </w:r>
      <w:r>
        <w:rPr>
          <w:spacing w:val="-5"/>
        </w:rPr>
        <w:t xml:space="preserve"> </w:t>
      </w:r>
      <w:r>
        <w:t>each</w:t>
      </w:r>
      <w:r>
        <w:rPr>
          <w:spacing w:val="-3"/>
        </w:rPr>
        <w:t xml:space="preserve"> </w:t>
      </w:r>
      <w:r>
        <w:t>claim interval. No entry is required. The sum of column f must equal the total Medicare-covered medical expenses shown in column o of Worksheet 2.</w:t>
      </w:r>
    </w:p>
    <w:p>
      <w:pPr>
        <w:spacing w:before="241"/>
        <w:ind w:left="504" w:right="0" w:firstLine="0"/>
        <w:jc w:val="left"/>
        <w:rPr>
          <w:rFonts w:ascii="Arial" w:hAnsi="Arial"/>
          <w:b/>
          <w:sz w:val="21"/>
        </w:rPr>
      </w:pPr>
      <w:bookmarkStart w:id="421" w:name="Column g – Gross Claims over Deductible "/>
      <w:bookmarkEnd w:id="421"/>
      <w:r>
        <w:rPr>
          <w:rFonts w:ascii="Arial" w:hAnsi="Arial"/>
          <w:b/>
          <w:sz w:val="21"/>
        </w:rPr>
        <w:t>Column</w:t>
      </w:r>
      <w:r>
        <w:rPr>
          <w:rFonts w:ascii="Arial" w:hAnsi="Arial"/>
          <w:b/>
          <w:spacing w:val="-7"/>
          <w:sz w:val="21"/>
        </w:rPr>
        <w:t xml:space="preserve"> </w:t>
      </w:r>
      <w:r>
        <w:rPr>
          <w:rFonts w:ascii="Arial" w:hAnsi="Arial"/>
          <w:b/>
          <w:sz w:val="21"/>
        </w:rPr>
        <w:t>g</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Gross</w:t>
      </w:r>
      <w:r>
        <w:rPr>
          <w:rFonts w:ascii="Arial" w:hAnsi="Arial"/>
          <w:b/>
          <w:spacing w:val="-7"/>
          <w:sz w:val="21"/>
        </w:rPr>
        <w:t xml:space="preserve"> </w:t>
      </w:r>
      <w:r>
        <w:rPr>
          <w:rFonts w:ascii="Arial" w:hAnsi="Arial"/>
          <w:b/>
          <w:sz w:val="21"/>
        </w:rPr>
        <w:t>Claims</w:t>
      </w:r>
      <w:r>
        <w:rPr>
          <w:rFonts w:ascii="Arial" w:hAnsi="Arial"/>
          <w:b/>
          <w:spacing w:val="-3"/>
          <w:sz w:val="21"/>
        </w:rPr>
        <w:t xml:space="preserve"> </w:t>
      </w:r>
      <w:r>
        <w:rPr>
          <w:rFonts w:ascii="Arial" w:hAnsi="Arial"/>
          <w:b/>
          <w:sz w:val="21"/>
        </w:rPr>
        <w:t>over</w:t>
      </w:r>
      <w:r>
        <w:rPr>
          <w:rFonts w:ascii="Arial" w:hAnsi="Arial"/>
          <w:b/>
          <w:spacing w:val="-8"/>
          <w:sz w:val="21"/>
        </w:rPr>
        <w:t xml:space="preserve"> </w:t>
      </w:r>
      <w:r>
        <w:rPr>
          <w:rFonts w:ascii="Arial" w:hAnsi="Arial"/>
          <w:b/>
          <w:sz w:val="21"/>
        </w:rPr>
        <w:t>Deductible</w:t>
      </w:r>
      <w:r>
        <w:rPr>
          <w:rFonts w:ascii="Arial" w:hAnsi="Arial"/>
          <w:b/>
          <w:spacing w:val="-5"/>
          <w:sz w:val="21"/>
        </w:rPr>
        <w:t xml:space="preserve"> </w:t>
      </w:r>
      <w:r>
        <w:rPr>
          <w:rFonts w:ascii="Arial" w:hAnsi="Arial"/>
          <w:b/>
          <w:spacing w:val="-2"/>
          <w:sz w:val="21"/>
        </w:rPr>
        <w:t>(PMPM)</w:t>
      </w:r>
    </w:p>
    <w:p>
      <w:pPr>
        <w:pStyle w:val="BodyText"/>
        <w:spacing w:before="120"/>
        <w:ind w:right="1488"/>
      </w:pPr>
      <w:r>
        <w:t>Enter</w:t>
      </w:r>
      <w:r>
        <w:rPr>
          <w:spacing w:val="-3"/>
        </w:rPr>
        <w:t xml:space="preserve"> </w:t>
      </w:r>
      <w:r>
        <w:t>the</w:t>
      </w:r>
      <w:r>
        <w:rPr>
          <w:spacing w:val="-5"/>
        </w:rPr>
        <w:t xml:space="preserve"> </w:t>
      </w:r>
      <w:r>
        <w:t>total</w:t>
      </w:r>
      <w:r>
        <w:rPr>
          <w:spacing w:val="-3"/>
        </w:rPr>
        <w:t xml:space="preserve"> </w:t>
      </w:r>
      <w:r>
        <w:t>allowed</w:t>
      </w:r>
      <w:r>
        <w:rPr>
          <w:spacing w:val="-3"/>
        </w:rPr>
        <w:t xml:space="preserve"> </w:t>
      </w:r>
      <w:r>
        <w:t>Medicare-covered</w:t>
      </w:r>
      <w:r>
        <w:rPr>
          <w:spacing w:val="-1"/>
        </w:rPr>
        <w:t xml:space="preserve"> </w:t>
      </w:r>
      <w:r>
        <w:t>claims</w:t>
      </w:r>
      <w:r>
        <w:rPr>
          <w:spacing w:val="-3"/>
        </w:rPr>
        <w:t xml:space="preserve"> </w:t>
      </w:r>
      <w:r>
        <w:t>on</w:t>
      </w:r>
      <w:r>
        <w:rPr>
          <w:spacing w:val="-3"/>
        </w:rPr>
        <w:t xml:space="preserve"> </w:t>
      </w:r>
      <w:r>
        <w:t>a</w:t>
      </w:r>
      <w:r>
        <w:rPr>
          <w:spacing w:val="-3"/>
        </w:rPr>
        <w:t xml:space="preserve"> </w:t>
      </w:r>
      <w:r>
        <w:t>PMPM</w:t>
      </w:r>
      <w:r>
        <w:rPr>
          <w:spacing w:val="-3"/>
        </w:rPr>
        <w:t xml:space="preserve"> </w:t>
      </w:r>
      <w:r>
        <w:t>basis</w:t>
      </w:r>
      <w:r>
        <w:rPr>
          <w:spacing w:val="-3"/>
        </w:rPr>
        <w:t xml:space="preserve"> </w:t>
      </w:r>
      <w:r>
        <w:t>over</w:t>
      </w:r>
      <w:r>
        <w:rPr>
          <w:spacing w:val="-3"/>
        </w:rPr>
        <w:t xml:space="preserve"> </w:t>
      </w:r>
      <w:r>
        <w:t>the</w:t>
      </w:r>
      <w:r>
        <w:rPr>
          <w:spacing w:val="-5"/>
        </w:rPr>
        <w:t xml:space="preserve"> </w:t>
      </w:r>
      <w:r>
        <w:t>deductible</w:t>
      </w:r>
      <w:r>
        <w:rPr>
          <w:spacing w:val="-3"/>
        </w:rPr>
        <w:t xml:space="preserve"> </w:t>
      </w:r>
      <w:r>
        <w:t>for</w:t>
      </w:r>
      <w:r>
        <w:rPr>
          <w:spacing w:val="-2"/>
        </w:rPr>
        <w:t xml:space="preserve"> </w:t>
      </w:r>
      <w:r>
        <w:t>each claim interval expected to be paid by the MSA plan. Enter zero (0) for claim intervals below the deductible.</w:t>
      </w:r>
    </w:p>
    <w:p>
      <w:pPr>
        <w:pStyle w:val="BodyText"/>
        <w:spacing w:before="45"/>
        <w:ind w:left="0"/>
      </w:pPr>
    </w:p>
    <w:p>
      <w:pPr>
        <w:pStyle w:val="Heading2"/>
      </w:pPr>
      <w:bookmarkStart w:id="422" w:name="Section III – Development of Summary Inf"/>
      <w:bookmarkEnd w:id="422"/>
      <w:r>
        <w:rPr>
          <w:smallCaps/>
        </w:rPr>
        <w:t>Section</w:t>
      </w:r>
      <w:r>
        <w:rPr>
          <w:smallCaps/>
          <w:spacing w:val="-15"/>
        </w:rPr>
        <w:t xml:space="preserve"> </w:t>
      </w:r>
      <w:r>
        <w:rPr>
          <w:smallCaps/>
        </w:rPr>
        <w:t>III</w:t>
      </w:r>
      <w:r>
        <w:rPr>
          <w:smallCaps/>
          <w:spacing w:val="-15"/>
        </w:rPr>
        <w:t xml:space="preserve"> </w:t>
      </w:r>
      <w:r>
        <w:rPr>
          <w:smallCaps/>
        </w:rPr>
        <w:t>–</w:t>
      </w:r>
      <w:r>
        <w:rPr>
          <w:smallCaps/>
          <w:spacing w:val="-15"/>
        </w:rPr>
        <w:t xml:space="preserve"> </w:t>
      </w:r>
      <w:r>
        <w:rPr>
          <w:smallCaps/>
        </w:rPr>
        <w:t>Development</w:t>
      </w:r>
      <w:r>
        <w:rPr>
          <w:smallCaps/>
          <w:spacing w:val="-12"/>
        </w:rPr>
        <w:t xml:space="preserve"> </w:t>
      </w:r>
      <w:r>
        <w:rPr>
          <w:smallCaps/>
        </w:rPr>
        <w:t>of</w:t>
      </w:r>
      <w:r>
        <w:rPr>
          <w:smallCaps/>
          <w:spacing w:val="-7"/>
        </w:rPr>
        <w:t xml:space="preserve"> </w:t>
      </w:r>
      <w:r>
        <w:rPr>
          <w:smallCaps/>
        </w:rPr>
        <w:t>Summary</w:t>
      </w:r>
      <w:r>
        <w:rPr>
          <w:smallCaps/>
          <w:spacing w:val="-8"/>
        </w:rPr>
        <w:t xml:space="preserve"> </w:t>
      </w:r>
      <w:r>
        <w:rPr>
          <w:smallCaps/>
        </w:rPr>
        <w:t>Information</w:t>
      </w:r>
      <w:r>
        <w:rPr>
          <w:smallCaps/>
          <w:spacing w:val="-8"/>
        </w:rPr>
        <w:t xml:space="preserve"> </w:t>
      </w:r>
      <w:r>
        <w:rPr>
          <w:smallCaps/>
        </w:rPr>
        <w:t>(Plan’s</w:t>
      </w:r>
      <w:r>
        <w:rPr>
          <w:smallCaps/>
          <w:spacing w:val="-10"/>
        </w:rPr>
        <w:t xml:space="preserve"> </w:t>
      </w:r>
      <w:r>
        <w:rPr>
          <w:smallCaps/>
        </w:rPr>
        <w:t>Risk</w:t>
      </w:r>
      <w:r>
        <w:rPr>
          <w:smallCaps/>
          <w:spacing w:val="-8"/>
        </w:rPr>
        <w:t xml:space="preserve"> </w:t>
      </w:r>
      <w:r>
        <w:rPr>
          <w:smallCaps/>
          <w:spacing w:val="-2"/>
        </w:rPr>
        <w:t>Factor)</w:t>
      </w:r>
    </w:p>
    <w:p>
      <w:pPr>
        <w:spacing w:before="240"/>
        <w:ind w:left="504" w:right="0" w:firstLine="0"/>
        <w:jc w:val="left"/>
        <w:rPr>
          <w:rFonts w:ascii="Arial" w:hAnsi="Arial"/>
          <w:b/>
          <w:sz w:val="21"/>
        </w:rPr>
      </w:pPr>
      <w:bookmarkStart w:id="423" w:name="Line a – Medicare-Covered Plan Medical E"/>
      <w:bookmarkEnd w:id="423"/>
      <w:r>
        <w:rPr>
          <w:rFonts w:ascii="Arial" w:hAnsi="Arial"/>
          <w:b/>
          <w:sz w:val="21"/>
        </w:rPr>
        <w:t>Line</w:t>
      </w:r>
      <w:r>
        <w:rPr>
          <w:rFonts w:ascii="Arial" w:hAnsi="Arial"/>
          <w:b/>
          <w:spacing w:val="-8"/>
          <w:sz w:val="21"/>
        </w:rPr>
        <w:t xml:space="preserve"> </w:t>
      </w:r>
      <w:r>
        <w:rPr>
          <w:rFonts w:ascii="Arial" w:hAnsi="Arial"/>
          <w:b/>
          <w:sz w:val="21"/>
        </w:rPr>
        <w:t>a</w:t>
      </w:r>
      <w:r>
        <w:rPr>
          <w:rFonts w:ascii="Arial" w:hAnsi="Arial"/>
          <w:b/>
          <w:spacing w:val="-7"/>
          <w:sz w:val="21"/>
        </w:rPr>
        <w:t xml:space="preserve"> </w:t>
      </w:r>
      <w:r>
        <w:rPr>
          <w:rFonts w:ascii="Arial" w:hAnsi="Arial"/>
          <w:b/>
          <w:sz w:val="21"/>
        </w:rPr>
        <w:t>–</w:t>
      </w:r>
      <w:r>
        <w:rPr>
          <w:rFonts w:ascii="Arial" w:hAnsi="Arial"/>
          <w:b/>
          <w:spacing w:val="-7"/>
          <w:sz w:val="21"/>
        </w:rPr>
        <w:t xml:space="preserve"> </w:t>
      </w:r>
      <w:r>
        <w:rPr>
          <w:rFonts w:ascii="Arial" w:hAnsi="Arial"/>
          <w:b/>
          <w:sz w:val="21"/>
        </w:rPr>
        <w:t>Medicare-Covered</w:t>
      </w:r>
      <w:r>
        <w:rPr>
          <w:rFonts w:ascii="Arial" w:hAnsi="Arial"/>
          <w:b/>
          <w:spacing w:val="-7"/>
          <w:sz w:val="21"/>
        </w:rPr>
        <w:t xml:space="preserve"> </w:t>
      </w:r>
      <w:r>
        <w:rPr>
          <w:rFonts w:ascii="Arial" w:hAnsi="Arial"/>
          <w:b/>
          <w:sz w:val="21"/>
        </w:rPr>
        <w:t>Plan</w:t>
      </w:r>
      <w:r>
        <w:rPr>
          <w:rFonts w:ascii="Arial" w:hAnsi="Arial"/>
          <w:b/>
          <w:spacing w:val="-6"/>
          <w:sz w:val="21"/>
        </w:rPr>
        <w:t xml:space="preserve"> </w:t>
      </w:r>
      <w:r>
        <w:rPr>
          <w:rFonts w:ascii="Arial" w:hAnsi="Arial"/>
          <w:b/>
          <w:sz w:val="21"/>
        </w:rPr>
        <w:t>Medical</w:t>
      </w:r>
      <w:r>
        <w:rPr>
          <w:rFonts w:ascii="Arial" w:hAnsi="Arial"/>
          <w:b/>
          <w:spacing w:val="-8"/>
          <w:sz w:val="21"/>
        </w:rPr>
        <w:t xml:space="preserve"> </w:t>
      </w:r>
      <w:r>
        <w:rPr>
          <w:rFonts w:ascii="Arial" w:hAnsi="Arial"/>
          <w:b/>
          <w:sz w:val="21"/>
        </w:rPr>
        <w:t>Expenses</w:t>
      </w:r>
      <w:r>
        <w:rPr>
          <w:rFonts w:ascii="Arial" w:hAnsi="Arial"/>
          <w:b/>
          <w:spacing w:val="-7"/>
          <w:sz w:val="21"/>
        </w:rPr>
        <w:t xml:space="preserve"> </w:t>
      </w:r>
      <w:r>
        <w:rPr>
          <w:rFonts w:ascii="Arial" w:hAnsi="Arial"/>
          <w:b/>
          <w:spacing w:val="-4"/>
          <w:sz w:val="21"/>
        </w:rPr>
        <w:t>PMPM</w:t>
      </w:r>
    </w:p>
    <w:p>
      <w:pPr>
        <w:pStyle w:val="BodyText"/>
        <w:spacing w:before="120"/>
      </w:pPr>
      <w:r>
        <w:t>This</w:t>
      </w:r>
      <w:r>
        <w:rPr>
          <w:spacing w:val="-2"/>
        </w:rPr>
        <w:t xml:space="preserve"> </w:t>
      </w:r>
      <w:r>
        <w:t>cell</w:t>
      </w:r>
      <w:r>
        <w:rPr>
          <w:spacing w:val="-1"/>
        </w:rPr>
        <w:t xml:space="preserve"> </w:t>
      </w:r>
      <w:r>
        <w:t>displays</w:t>
      </w:r>
      <w:r>
        <w:rPr>
          <w:spacing w:val="-2"/>
        </w:rPr>
        <w:t xml:space="preserve"> </w:t>
      </w:r>
      <w:r>
        <w:t>the</w:t>
      </w:r>
      <w:r>
        <w:rPr>
          <w:spacing w:val="-2"/>
        </w:rPr>
        <w:t xml:space="preserve"> </w:t>
      </w:r>
      <w:r>
        <w:t>sum</w:t>
      </w:r>
      <w:r>
        <w:rPr>
          <w:spacing w:val="-1"/>
        </w:rPr>
        <w:t xml:space="preserve"> </w:t>
      </w:r>
      <w:r>
        <w:t>of</w:t>
      </w:r>
      <w:r>
        <w:rPr>
          <w:spacing w:val="-1"/>
        </w:rPr>
        <w:t xml:space="preserve"> </w:t>
      </w:r>
      <w:r>
        <w:t>column</w:t>
      </w:r>
      <w:r>
        <w:rPr>
          <w:spacing w:val="-1"/>
        </w:rPr>
        <w:t xml:space="preserve"> </w:t>
      </w:r>
      <w:r>
        <w:t>g</w:t>
      </w:r>
      <w:r>
        <w:rPr>
          <w:spacing w:val="-1"/>
        </w:rPr>
        <w:t xml:space="preserve"> </w:t>
      </w:r>
      <w:r>
        <w:t>of</w:t>
      </w:r>
      <w:r>
        <w:rPr>
          <w:spacing w:val="-1"/>
        </w:rPr>
        <w:t xml:space="preserve"> </w:t>
      </w:r>
      <w:r>
        <w:t>Section</w:t>
      </w:r>
      <w:r>
        <w:rPr>
          <w:spacing w:val="-1"/>
        </w:rPr>
        <w:t xml:space="preserve"> </w:t>
      </w:r>
      <w:r>
        <w:rPr>
          <w:spacing w:val="-5"/>
        </w:rPr>
        <w:t>II.</w:t>
      </w:r>
    </w:p>
    <w:p>
      <w:pPr>
        <w:pStyle w:val="BodyText"/>
        <w:spacing w:after="0"/>
        <w:sectPr>
          <w:pgSz w:w="12240" w:h="15840"/>
          <w:pgMar w:top="960" w:right="0" w:bottom="940" w:left="1080" w:header="727" w:footer="747"/>
          <w:cols w:space="720"/>
        </w:sectPr>
      </w:pPr>
    </w:p>
    <w:p>
      <w:pPr>
        <w:pStyle w:val="BodyText"/>
        <w:spacing w:before="225"/>
        <w:ind w:left="0"/>
        <w:rPr>
          <w:sz w:val="21"/>
        </w:rPr>
      </w:pPr>
    </w:p>
    <w:p>
      <w:pPr>
        <w:spacing w:before="0"/>
        <w:ind w:left="504" w:right="0" w:firstLine="0"/>
        <w:jc w:val="left"/>
        <w:rPr>
          <w:rFonts w:ascii="Arial" w:hAnsi="Arial"/>
          <w:b/>
          <w:sz w:val="21"/>
        </w:rPr>
      </w:pPr>
      <w:bookmarkStart w:id="424" w:name="Line b – Non-Benefit Expenses"/>
      <w:bookmarkEnd w:id="424"/>
      <w:r>
        <w:rPr>
          <w:rFonts w:ascii="Arial" w:hAnsi="Arial"/>
          <w:b/>
          <w:sz w:val="21"/>
        </w:rPr>
        <w:t>Line</w:t>
      </w:r>
      <w:r>
        <w:rPr>
          <w:rFonts w:ascii="Arial" w:hAnsi="Arial"/>
          <w:b/>
          <w:spacing w:val="-6"/>
          <w:sz w:val="21"/>
        </w:rPr>
        <w:t xml:space="preserve"> </w:t>
      </w:r>
      <w:r>
        <w:rPr>
          <w:rFonts w:ascii="Arial" w:hAnsi="Arial"/>
          <w:b/>
          <w:sz w:val="21"/>
        </w:rPr>
        <w:t>b</w:t>
      </w:r>
      <w:r>
        <w:rPr>
          <w:rFonts w:ascii="Arial" w:hAnsi="Arial"/>
          <w:b/>
          <w:spacing w:val="-5"/>
          <w:sz w:val="21"/>
        </w:rPr>
        <w:t xml:space="preserve"> </w:t>
      </w:r>
      <w:r>
        <w:rPr>
          <w:rFonts w:ascii="Arial" w:hAnsi="Arial"/>
          <w:b/>
          <w:sz w:val="21"/>
        </w:rPr>
        <w:t>–</w:t>
      </w:r>
      <w:r>
        <w:rPr>
          <w:rFonts w:ascii="Arial" w:hAnsi="Arial"/>
          <w:b/>
          <w:spacing w:val="-7"/>
          <w:sz w:val="21"/>
        </w:rPr>
        <w:t xml:space="preserve"> </w:t>
      </w:r>
      <w:r>
        <w:rPr>
          <w:rFonts w:ascii="Arial" w:hAnsi="Arial"/>
          <w:b/>
          <w:sz w:val="21"/>
        </w:rPr>
        <w:t>Non-Benefit</w:t>
      </w:r>
      <w:r>
        <w:rPr>
          <w:rFonts w:ascii="Arial" w:hAnsi="Arial"/>
          <w:b/>
          <w:spacing w:val="-5"/>
          <w:sz w:val="21"/>
        </w:rPr>
        <w:t xml:space="preserve"> </w:t>
      </w:r>
      <w:r>
        <w:rPr>
          <w:rFonts w:ascii="Arial" w:hAnsi="Arial"/>
          <w:b/>
          <w:spacing w:val="-2"/>
          <w:sz w:val="21"/>
        </w:rPr>
        <w:t>Expenses</w:t>
      </w:r>
    </w:p>
    <w:p>
      <w:pPr>
        <w:pStyle w:val="BodyText"/>
        <w:spacing w:before="120"/>
        <w:jc w:val="both"/>
      </w:pPr>
      <w:r>
        <w:t>Enter</w:t>
      </w:r>
      <w:r>
        <w:rPr>
          <w:spacing w:val="-1"/>
        </w:rPr>
        <w:t xml:space="preserve"> </w:t>
      </w:r>
      <w:r>
        <w:t>the</w:t>
      </w:r>
      <w:r>
        <w:rPr>
          <w:spacing w:val="-3"/>
        </w:rPr>
        <w:t xml:space="preserve"> </w:t>
      </w:r>
      <w:r>
        <w:t>non-benefit</w:t>
      </w:r>
      <w:r>
        <w:rPr>
          <w:spacing w:val="-1"/>
        </w:rPr>
        <w:t xml:space="preserve"> </w:t>
      </w:r>
      <w:r>
        <w:t>expense</w:t>
      </w:r>
      <w:r>
        <w:rPr>
          <w:spacing w:val="-1"/>
        </w:rPr>
        <w:t xml:space="preserve"> </w:t>
      </w:r>
      <w:r>
        <w:rPr>
          <w:spacing w:val="-2"/>
        </w:rPr>
        <w:t>information.</w:t>
      </w:r>
    </w:p>
    <w:p>
      <w:pPr>
        <w:pStyle w:val="BodyText"/>
        <w:spacing w:before="121"/>
        <w:ind w:right="1476"/>
        <w:jc w:val="both"/>
      </w:pPr>
      <w:r>
        <w:t>Do</w:t>
      </w:r>
      <w:r>
        <w:rPr>
          <w:spacing w:val="-2"/>
        </w:rPr>
        <w:t xml:space="preserve"> </w:t>
      </w:r>
      <w:r>
        <w:t>not</w:t>
      </w:r>
      <w:r>
        <w:rPr>
          <w:spacing w:val="-2"/>
        </w:rPr>
        <w:t xml:space="preserve"> </w:t>
      </w:r>
      <w:r>
        <w:t>leave</w:t>
      </w:r>
      <w:r>
        <w:rPr>
          <w:spacing w:val="-3"/>
        </w:rPr>
        <w:t xml:space="preserve"> </w:t>
      </w:r>
      <w:r>
        <w:t>a</w:t>
      </w:r>
      <w:r>
        <w:rPr>
          <w:spacing w:val="-1"/>
        </w:rPr>
        <w:t xml:space="preserve"> </w:t>
      </w:r>
      <w:r>
        <w:t>field</w:t>
      </w:r>
      <w:r>
        <w:rPr>
          <w:spacing w:val="-2"/>
        </w:rPr>
        <w:t xml:space="preserve"> </w:t>
      </w:r>
      <w:r>
        <w:t>blank</w:t>
      </w:r>
      <w:r>
        <w:rPr>
          <w:spacing w:val="-2"/>
        </w:rPr>
        <w:t xml:space="preserve"> </w:t>
      </w:r>
      <w:r>
        <w:t>to</w:t>
      </w:r>
      <w:r>
        <w:rPr>
          <w:spacing w:val="-2"/>
        </w:rPr>
        <w:t xml:space="preserve"> </w:t>
      </w:r>
      <w:r>
        <w:t>indicate</w:t>
      </w:r>
      <w:r>
        <w:rPr>
          <w:spacing w:val="-2"/>
        </w:rPr>
        <w:t xml:space="preserve"> </w:t>
      </w:r>
      <w:r>
        <w:t>a</w:t>
      </w:r>
      <w:r>
        <w:rPr>
          <w:spacing w:val="-4"/>
        </w:rPr>
        <w:t xml:space="preserve"> </w:t>
      </w:r>
      <w:r>
        <w:t>zero</w:t>
      </w:r>
      <w:r>
        <w:rPr>
          <w:spacing w:val="-2"/>
        </w:rPr>
        <w:t xml:space="preserve"> </w:t>
      </w:r>
      <w:r>
        <w:t>amount.</w:t>
      </w:r>
      <w:r>
        <w:rPr>
          <w:spacing w:val="-2"/>
        </w:rPr>
        <w:t xml:space="preserve"> </w:t>
      </w:r>
      <w:r>
        <w:t>If</w:t>
      </w:r>
      <w:r>
        <w:rPr>
          <w:spacing w:val="-1"/>
        </w:rPr>
        <w:t xml:space="preserve"> </w:t>
      </w:r>
      <w:r>
        <w:t>zero</w:t>
      </w:r>
      <w:r>
        <w:rPr>
          <w:spacing w:val="-2"/>
        </w:rPr>
        <w:t xml:space="preserve"> </w:t>
      </w:r>
      <w:r>
        <w:t>is</w:t>
      </w:r>
      <w:r>
        <w:rPr>
          <w:spacing w:val="-3"/>
        </w:rPr>
        <w:t xml:space="preserve"> </w:t>
      </w:r>
      <w:r>
        <w:t>the</w:t>
      </w:r>
      <w:r>
        <w:rPr>
          <w:spacing w:val="-2"/>
        </w:rPr>
        <w:t xml:space="preserve"> </w:t>
      </w:r>
      <w:r>
        <w:t>intended</w:t>
      </w:r>
      <w:r>
        <w:rPr>
          <w:spacing w:val="-1"/>
        </w:rPr>
        <w:t xml:space="preserve"> </w:t>
      </w:r>
      <w:r>
        <w:t>value,</w:t>
      </w:r>
      <w:r>
        <w:rPr>
          <w:spacing w:val="-2"/>
        </w:rPr>
        <w:t xml:space="preserve"> </w:t>
      </w:r>
      <w:r>
        <w:t>enter</w:t>
      </w:r>
      <w:r>
        <w:rPr>
          <w:spacing w:val="-1"/>
        </w:rPr>
        <w:t xml:space="preserve"> </w:t>
      </w:r>
      <w:r>
        <w:t>zero</w:t>
      </w:r>
      <w:r>
        <w:rPr>
          <w:spacing w:val="-3"/>
        </w:rPr>
        <w:t xml:space="preserve"> </w:t>
      </w:r>
      <w:r>
        <w:t>(0) in the cell.</w:t>
      </w:r>
    </w:p>
    <w:p>
      <w:pPr>
        <w:spacing w:before="240"/>
        <w:ind w:left="504" w:right="0" w:firstLine="0"/>
        <w:jc w:val="left"/>
        <w:rPr>
          <w:rFonts w:ascii="Arial" w:hAnsi="Arial"/>
          <w:b/>
          <w:sz w:val="21"/>
        </w:rPr>
      </w:pPr>
      <w:bookmarkStart w:id="425" w:name="Line c – Gain/Loss Margin"/>
      <w:bookmarkEnd w:id="425"/>
      <w:r>
        <w:rPr>
          <w:rFonts w:ascii="Arial" w:hAnsi="Arial"/>
          <w:b/>
          <w:sz w:val="21"/>
        </w:rPr>
        <w:t>Line</w:t>
      </w:r>
      <w:r>
        <w:rPr>
          <w:rFonts w:ascii="Arial" w:hAnsi="Arial"/>
          <w:b/>
          <w:spacing w:val="-4"/>
          <w:sz w:val="21"/>
        </w:rPr>
        <w:t xml:space="preserve"> </w:t>
      </w:r>
      <w:r>
        <w:rPr>
          <w:rFonts w:ascii="Arial" w:hAnsi="Arial"/>
          <w:b/>
          <w:sz w:val="21"/>
        </w:rPr>
        <w:t>c</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Gain/Loss</w:t>
      </w:r>
      <w:r>
        <w:rPr>
          <w:rFonts w:ascii="Arial" w:hAnsi="Arial"/>
          <w:b/>
          <w:spacing w:val="-4"/>
          <w:sz w:val="21"/>
        </w:rPr>
        <w:t xml:space="preserve"> </w:t>
      </w:r>
      <w:r>
        <w:rPr>
          <w:rFonts w:ascii="Arial" w:hAnsi="Arial"/>
          <w:b/>
          <w:spacing w:val="-2"/>
          <w:sz w:val="21"/>
        </w:rPr>
        <w:t>Margin</w:t>
      </w:r>
    </w:p>
    <w:p>
      <w:pPr>
        <w:pStyle w:val="BodyText"/>
        <w:spacing w:before="118"/>
        <w:ind w:right="1788"/>
        <w:jc w:val="both"/>
      </w:pPr>
      <w:r>
        <w:t>Input</w:t>
      </w:r>
      <w:r>
        <w:rPr>
          <w:spacing w:val="-3"/>
        </w:rPr>
        <w:t xml:space="preserve"> </w:t>
      </w:r>
      <w:r>
        <w:t>the</w:t>
      </w:r>
      <w:r>
        <w:rPr>
          <w:spacing w:val="-4"/>
        </w:rPr>
        <w:t xml:space="preserve"> </w:t>
      </w:r>
      <w:r>
        <w:t>projected</w:t>
      </w:r>
      <w:r>
        <w:rPr>
          <w:spacing w:val="-3"/>
        </w:rPr>
        <w:t xml:space="preserve"> </w:t>
      </w:r>
      <w:r>
        <w:t>PMPM</w:t>
      </w:r>
      <w:r>
        <w:rPr>
          <w:spacing w:val="-4"/>
        </w:rPr>
        <w:t xml:space="preserve"> </w:t>
      </w:r>
      <w:r>
        <w:t>for</w:t>
      </w:r>
      <w:r>
        <w:rPr>
          <w:spacing w:val="-5"/>
        </w:rPr>
        <w:t xml:space="preserve"> </w:t>
      </w:r>
      <w:r>
        <w:t>the</w:t>
      </w:r>
      <w:r>
        <w:rPr>
          <w:spacing w:val="-3"/>
        </w:rPr>
        <w:t xml:space="preserve"> </w:t>
      </w:r>
      <w:r>
        <w:t>gain/loss</w:t>
      </w:r>
      <w:r>
        <w:rPr>
          <w:spacing w:val="-2"/>
        </w:rPr>
        <w:t xml:space="preserve"> </w:t>
      </w:r>
      <w:r>
        <w:t>margin</w:t>
      </w:r>
      <w:r>
        <w:rPr>
          <w:spacing w:val="-3"/>
        </w:rPr>
        <w:t xml:space="preserve"> </w:t>
      </w:r>
      <w:r>
        <w:t>for</w:t>
      </w:r>
      <w:r>
        <w:rPr>
          <w:spacing w:val="-5"/>
        </w:rPr>
        <w:t xml:space="preserve"> </w:t>
      </w:r>
      <w:r>
        <w:t>Medicare-covered</w:t>
      </w:r>
      <w:r>
        <w:rPr>
          <w:spacing w:val="-3"/>
        </w:rPr>
        <w:t xml:space="preserve"> </w:t>
      </w:r>
      <w:r>
        <w:t>services</w:t>
      </w:r>
      <w:r>
        <w:rPr>
          <w:spacing w:val="-4"/>
        </w:rPr>
        <w:t xml:space="preserve"> </w:t>
      </w:r>
      <w:r>
        <w:t xml:space="preserve">provided. See the “Gain/Loss Margin” pricing consideration for more information regarding gain/loss </w:t>
      </w:r>
      <w:r>
        <w:rPr>
          <w:spacing w:val="-2"/>
        </w:rPr>
        <w:t>margin.</w:t>
      </w:r>
    </w:p>
    <w:p>
      <w:pPr>
        <w:pStyle w:val="BodyText"/>
        <w:spacing w:before="120"/>
        <w:ind w:right="1476"/>
        <w:jc w:val="both"/>
      </w:pPr>
      <w:r>
        <w:t>Do</w:t>
      </w:r>
      <w:r>
        <w:rPr>
          <w:spacing w:val="-2"/>
        </w:rPr>
        <w:t xml:space="preserve"> </w:t>
      </w:r>
      <w:r>
        <w:t>not</w:t>
      </w:r>
      <w:r>
        <w:rPr>
          <w:spacing w:val="-2"/>
        </w:rPr>
        <w:t xml:space="preserve"> </w:t>
      </w:r>
      <w:r>
        <w:t>leave</w:t>
      </w:r>
      <w:r>
        <w:rPr>
          <w:spacing w:val="-3"/>
        </w:rPr>
        <w:t xml:space="preserve"> </w:t>
      </w:r>
      <w:r>
        <w:t>a</w:t>
      </w:r>
      <w:r>
        <w:rPr>
          <w:spacing w:val="-1"/>
        </w:rPr>
        <w:t xml:space="preserve"> </w:t>
      </w:r>
      <w:r>
        <w:t>field</w:t>
      </w:r>
      <w:r>
        <w:rPr>
          <w:spacing w:val="-2"/>
        </w:rPr>
        <w:t xml:space="preserve"> </w:t>
      </w:r>
      <w:r>
        <w:t>blank</w:t>
      </w:r>
      <w:r>
        <w:rPr>
          <w:spacing w:val="-2"/>
        </w:rPr>
        <w:t xml:space="preserve"> </w:t>
      </w:r>
      <w:r>
        <w:t>to</w:t>
      </w:r>
      <w:r>
        <w:rPr>
          <w:spacing w:val="-2"/>
        </w:rPr>
        <w:t xml:space="preserve"> </w:t>
      </w:r>
      <w:r>
        <w:t>indicate</w:t>
      </w:r>
      <w:r>
        <w:rPr>
          <w:spacing w:val="-2"/>
        </w:rPr>
        <w:t xml:space="preserve"> </w:t>
      </w:r>
      <w:r>
        <w:t>a</w:t>
      </w:r>
      <w:r>
        <w:rPr>
          <w:spacing w:val="-4"/>
        </w:rPr>
        <w:t xml:space="preserve"> </w:t>
      </w:r>
      <w:r>
        <w:t>zero</w:t>
      </w:r>
      <w:r>
        <w:rPr>
          <w:spacing w:val="-2"/>
        </w:rPr>
        <w:t xml:space="preserve"> </w:t>
      </w:r>
      <w:r>
        <w:t>amount.</w:t>
      </w:r>
      <w:r>
        <w:rPr>
          <w:spacing w:val="-2"/>
        </w:rPr>
        <w:t xml:space="preserve"> </w:t>
      </w:r>
      <w:r>
        <w:t>If</w:t>
      </w:r>
      <w:r>
        <w:rPr>
          <w:spacing w:val="-1"/>
        </w:rPr>
        <w:t xml:space="preserve"> </w:t>
      </w:r>
      <w:r>
        <w:t>zero</w:t>
      </w:r>
      <w:r>
        <w:rPr>
          <w:spacing w:val="-2"/>
        </w:rPr>
        <w:t xml:space="preserve"> </w:t>
      </w:r>
      <w:r>
        <w:t>is</w:t>
      </w:r>
      <w:r>
        <w:rPr>
          <w:spacing w:val="-3"/>
        </w:rPr>
        <w:t xml:space="preserve"> </w:t>
      </w:r>
      <w:r>
        <w:t>the</w:t>
      </w:r>
      <w:r>
        <w:rPr>
          <w:spacing w:val="-2"/>
        </w:rPr>
        <w:t xml:space="preserve"> </w:t>
      </w:r>
      <w:r>
        <w:t>intended</w:t>
      </w:r>
      <w:r>
        <w:rPr>
          <w:spacing w:val="-1"/>
        </w:rPr>
        <w:t xml:space="preserve"> </w:t>
      </w:r>
      <w:r>
        <w:t>value,</w:t>
      </w:r>
      <w:r>
        <w:rPr>
          <w:spacing w:val="-2"/>
        </w:rPr>
        <w:t xml:space="preserve"> </w:t>
      </w:r>
      <w:r>
        <w:t>enter</w:t>
      </w:r>
      <w:r>
        <w:rPr>
          <w:spacing w:val="-1"/>
        </w:rPr>
        <w:t xml:space="preserve"> </w:t>
      </w:r>
      <w:r>
        <w:t>zero</w:t>
      </w:r>
      <w:r>
        <w:rPr>
          <w:spacing w:val="-3"/>
        </w:rPr>
        <w:t xml:space="preserve"> </w:t>
      </w:r>
      <w:r>
        <w:t>(0) in the cell.</w:t>
      </w:r>
    </w:p>
    <w:p>
      <w:pPr>
        <w:spacing w:before="241"/>
        <w:ind w:left="504" w:right="0" w:firstLine="0"/>
        <w:jc w:val="left"/>
        <w:rPr>
          <w:rFonts w:ascii="Arial" w:hAnsi="Arial"/>
          <w:b/>
          <w:sz w:val="21"/>
        </w:rPr>
      </w:pPr>
      <w:bookmarkStart w:id="426" w:name="Line d – Total Plan Revenue Requirement"/>
      <w:bookmarkEnd w:id="426"/>
      <w:r>
        <w:rPr>
          <w:rFonts w:ascii="Arial" w:hAnsi="Arial"/>
          <w:b/>
          <w:sz w:val="21"/>
        </w:rPr>
        <w:t>Line</w:t>
      </w:r>
      <w:r>
        <w:rPr>
          <w:rFonts w:ascii="Arial" w:hAnsi="Arial"/>
          <w:b/>
          <w:spacing w:val="-4"/>
          <w:sz w:val="21"/>
        </w:rPr>
        <w:t xml:space="preserve"> </w:t>
      </w:r>
      <w:r>
        <w:rPr>
          <w:rFonts w:ascii="Arial" w:hAnsi="Arial"/>
          <w:b/>
          <w:sz w:val="21"/>
        </w:rPr>
        <w:t>d</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5"/>
          <w:sz w:val="21"/>
        </w:rPr>
        <w:t xml:space="preserve"> </w:t>
      </w:r>
      <w:r>
        <w:rPr>
          <w:rFonts w:ascii="Arial" w:hAnsi="Arial"/>
          <w:b/>
          <w:sz w:val="21"/>
        </w:rPr>
        <w:t>Plan</w:t>
      </w:r>
      <w:r>
        <w:rPr>
          <w:rFonts w:ascii="Arial" w:hAnsi="Arial"/>
          <w:b/>
          <w:spacing w:val="-2"/>
          <w:sz w:val="21"/>
        </w:rPr>
        <w:t xml:space="preserve"> </w:t>
      </w:r>
      <w:r>
        <w:rPr>
          <w:rFonts w:ascii="Arial" w:hAnsi="Arial"/>
          <w:b/>
          <w:sz w:val="21"/>
        </w:rPr>
        <w:t>Revenue</w:t>
      </w:r>
      <w:r>
        <w:rPr>
          <w:rFonts w:ascii="Arial" w:hAnsi="Arial"/>
          <w:b/>
          <w:spacing w:val="-6"/>
          <w:sz w:val="21"/>
        </w:rPr>
        <w:t xml:space="preserve"> </w:t>
      </w:r>
      <w:r>
        <w:rPr>
          <w:rFonts w:ascii="Arial" w:hAnsi="Arial"/>
          <w:b/>
          <w:spacing w:val="-2"/>
          <w:sz w:val="21"/>
        </w:rPr>
        <w:t>Requirement</w:t>
      </w:r>
    </w:p>
    <w:p>
      <w:pPr>
        <w:pStyle w:val="BodyText"/>
        <w:spacing w:before="121"/>
        <w:ind w:right="1841"/>
      </w:pPr>
      <w:r>
        <w:t>This</w:t>
      </w:r>
      <w:r>
        <w:rPr>
          <w:spacing w:val="-5"/>
        </w:rPr>
        <w:t xml:space="preserve"> </w:t>
      </w:r>
      <w:r>
        <w:t>cell</w:t>
      </w:r>
      <w:r>
        <w:rPr>
          <w:spacing w:val="-4"/>
        </w:rPr>
        <w:t xml:space="preserve"> </w:t>
      </w:r>
      <w:r>
        <w:t>is</w:t>
      </w:r>
      <w:r>
        <w:rPr>
          <w:spacing w:val="-5"/>
        </w:rPr>
        <w:t xml:space="preserve"> </w:t>
      </w:r>
      <w:r>
        <w:t>calculated</w:t>
      </w:r>
      <w:r>
        <w:rPr>
          <w:spacing w:val="-3"/>
        </w:rPr>
        <w:t xml:space="preserve"> </w:t>
      </w:r>
      <w:r>
        <w:t>automatically</w:t>
      </w:r>
      <w:r>
        <w:rPr>
          <w:spacing w:val="-4"/>
        </w:rPr>
        <w:t xml:space="preserve"> </w:t>
      </w:r>
      <w:r>
        <w:t>as</w:t>
      </w:r>
      <w:r>
        <w:rPr>
          <w:spacing w:val="-5"/>
        </w:rPr>
        <w:t xml:space="preserve"> </w:t>
      </w:r>
      <w:r>
        <w:t>the</w:t>
      </w:r>
      <w:r>
        <w:rPr>
          <w:spacing w:val="-4"/>
        </w:rPr>
        <w:t xml:space="preserve"> </w:t>
      </w:r>
      <w:r>
        <w:t>sum</w:t>
      </w:r>
      <w:r>
        <w:rPr>
          <w:spacing w:val="-4"/>
        </w:rPr>
        <w:t xml:space="preserve"> </w:t>
      </w:r>
      <w:r>
        <w:t>of</w:t>
      </w:r>
      <w:r>
        <w:rPr>
          <w:spacing w:val="-3"/>
        </w:rPr>
        <w:t xml:space="preserve"> </w:t>
      </w:r>
      <w:r>
        <w:t>projected</w:t>
      </w:r>
      <w:r>
        <w:rPr>
          <w:spacing w:val="-4"/>
        </w:rPr>
        <w:t xml:space="preserve"> </w:t>
      </w:r>
      <w:r>
        <w:t>Medicare-covered</w:t>
      </w:r>
      <w:r>
        <w:rPr>
          <w:spacing w:val="-4"/>
        </w:rPr>
        <w:t xml:space="preserve"> </w:t>
      </w:r>
      <w:r>
        <w:t>medical expense, non-benefit expense, and gain/loss margin.</w:t>
      </w:r>
    </w:p>
    <w:p>
      <w:pPr>
        <w:spacing w:before="240"/>
        <w:ind w:left="504" w:right="0" w:firstLine="0"/>
        <w:jc w:val="left"/>
        <w:rPr>
          <w:rFonts w:ascii="Arial" w:hAnsi="Arial"/>
          <w:b/>
          <w:sz w:val="21"/>
        </w:rPr>
      </w:pPr>
      <w:bookmarkStart w:id="427" w:name="Line e – Projected Plan Benchmark"/>
      <w:bookmarkEnd w:id="427"/>
      <w:r>
        <w:rPr>
          <w:rFonts w:ascii="Arial" w:hAnsi="Arial"/>
          <w:b/>
          <w:sz w:val="21"/>
        </w:rPr>
        <w:t>Line</w:t>
      </w:r>
      <w:r>
        <w:rPr>
          <w:rFonts w:ascii="Arial" w:hAnsi="Arial"/>
          <w:b/>
          <w:spacing w:val="-5"/>
          <w:sz w:val="21"/>
        </w:rPr>
        <w:t xml:space="preserve"> </w:t>
      </w:r>
      <w:r>
        <w:rPr>
          <w:rFonts w:ascii="Arial" w:hAnsi="Arial"/>
          <w:b/>
          <w:sz w:val="21"/>
        </w:rPr>
        <w:t>e</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Projected</w:t>
      </w:r>
      <w:r>
        <w:rPr>
          <w:rFonts w:ascii="Arial" w:hAnsi="Arial"/>
          <w:b/>
          <w:spacing w:val="-4"/>
          <w:sz w:val="21"/>
        </w:rPr>
        <w:t xml:space="preserve"> </w:t>
      </w:r>
      <w:r>
        <w:rPr>
          <w:rFonts w:ascii="Arial" w:hAnsi="Arial"/>
          <w:b/>
          <w:sz w:val="21"/>
        </w:rPr>
        <w:t>Plan</w:t>
      </w:r>
      <w:r>
        <w:rPr>
          <w:rFonts w:ascii="Arial" w:hAnsi="Arial"/>
          <w:b/>
          <w:spacing w:val="-5"/>
          <w:sz w:val="21"/>
        </w:rPr>
        <w:t xml:space="preserve"> </w:t>
      </w:r>
      <w:r>
        <w:rPr>
          <w:rFonts w:ascii="Arial" w:hAnsi="Arial"/>
          <w:b/>
          <w:spacing w:val="-2"/>
          <w:sz w:val="21"/>
        </w:rPr>
        <w:t>Benchmark</w:t>
      </w:r>
    </w:p>
    <w:p>
      <w:pPr>
        <w:pStyle w:val="BodyText"/>
        <w:spacing w:before="118"/>
        <w:ind w:right="1481"/>
      </w:pPr>
      <w:r>
        <w:t>This</w:t>
      </w:r>
      <w:r>
        <w:rPr>
          <w:spacing w:val="-4"/>
        </w:rPr>
        <w:t xml:space="preserve"> </w:t>
      </w:r>
      <w:r>
        <w:t>cell</w:t>
      </w:r>
      <w:r>
        <w:rPr>
          <w:spacing w:val="-3"/>
        </w:rPr>
        <w:t xml:space="preserve"> </w:t>
      </w:r>
      <w:r>
        <w:t>displays</w:t>
      </w:r>
      <w:r>
        <w:rPr>
          <w:spacing w:val="-4"/>
        </w:rPr>
        <w:t xml:space="preserve"> </w:t>
      </w:r>
      <w:r>
        <w:t>the</w:t>
      </w:r>
      <w:r>
        <w:rPr>
          <w:spacing w:val="-4"/>
        </w:rPr>
        <w:t xml:space="preserve"> </w:t>
      </w:r>
      <w:r>
        <w:t>value</w:t>
      </w:r>
      <w:r>
        <w:rPr>
          <w:spacing w:val="-3"/>
        </w:rPr>
        <w:t xml:space="preserve"> </w:t>
      </w:r>
      <w:r>
        <w:t>from</w:t>
      </w:r>
      <w:r>
        <w:rPr>
          <w:spacing w:val="-3"/>
        </w:rPr>
        <w:t xml:space="preserve"> </w:t>
      </w:r>
      <w:r>
        <w:t>Section</w:t>
      </w:r>
      <w:r>
        <w:rPr>
          <w:spacing w:val="-1"/>
        </w:rPr>
        <w:t xml:space="preserve"> </w:t>
      </w:r>
      <w:r>
        <w:t>III,</w:t>
      </w:r>
      <w:r>
        <w:rPr>
          <w:spacing w:val="-3"/>
        </w:rPr>
        <w:t xml:space="preserve"> </w:t>
      </w:r>
      <w:r>
        <w:t>column</w:t>
      </w:r>
      <w:r>
        <w:rPr>
          <w:spacing w:val="-3"/>
        </w:rPr>
        <w:t xml:space="preserve"> </w:t>
      </w:r>
      <w:r>
        <w:t>h,</w:t>
      </w:r>
      <w:r>
        <w:rPr>
          <w:spacing w:val="-3"/>
        </w:rPr>
        <w:t xml:space="preserve"> </w:t>
      </w:r>
      <w:r>
        <w:t>line</w:t>
      </w:r>
      <w:r>
        <w:rPr>
          <w:spacing w:val="-4"/>
        </w:rPr>
        <w:t xml:space="preserve"> </w:t>
      </w:r>
      <w:r>
        <w:t>1</w:t>
      </w:r>
      <w:r>
        <w:rPr>
          <w:spacing w:val="-3"/>
        </w:rPr>
        <w:t xml:space="preserve"> </w:t>
      </w:r>
      <w:r>
        <w:t>of</w:t>
      </w:r>
      <w:r>
        <w:rPr>
          <w:spacing w:val="-4"/>
        </w:rPr>
        <w:t xml:space="preserve"> </w:t>
      </w:r>
      <w:r>
        <w:t>Worksheet</w:t>
      </w:r>
      <w:r>
        <w:rPr>
          <w:spacing w:val="-3"/>
        </w:rPr>
        <w:t xml:space="preserve"> </w:t>
      </w:r>
      <w:r>
        <w:t>3—the</w:t>
      </w:r>
      <w:r>
        <w:rPr>
          <w:spacing w:val="-3"/>
        </w:rPr>
        <w:t xml:space="preserve"> </w:t>
      </w:r>
      <w:r>
        <w:t>weighted average for the service area of the risk-adjusted ratebook values.</w:t>
      </w:r>
    </w:p>
    <w:p>
      <w:pPr>
        <w:spacing w:before="241"/>
        <w:ind w:left="504" w:right="0" w:firstLine="0"/>
        <w:jc w:val="left"/>
        <w:rPr>
          <w:rFonts w:ascii="Arial" w:hAnsi="Arial"/>
          <w:b/>
          <w:sz w:val="21"/>
        </w:rPr>
      </w:pPr>
      <w:bookmarkStart w:id="428" w:name="Line f – Projected Monthly Enrollee Depo"/>
      <w:bookmarkEnd w:id="428"/>
      <w:r>
        <w:rPr>
          <w:rFonts w:ascii="Arial" w:hAnsi="Arial"/>
          <w:b/>
          <w:sz w:val="21"/>
        </w:rPr>
        <w:t>Line</w:t>
      </w:r>
      <w:r>
        <w:rPr>
          <w:rFonts w:ascii="Arial" w:hAnsi="Arial"/>
          <w:b/>
          <w:spacing w:val="-6"/>
          <w:sz w:val="21"/>
        </w:rPr>
        <w:t xml:space="preserve"> </w:t>
      </w:r>
      <w:r>
        <w:rPr>
          <w:rFonts w:ascii="Arial" w:hAnsi="Arial"/>
          <w:b/>
          <w:sz w:val="21"/>
        </w:rPr>
        <w:t>f</w:t>
      </w:r>
      <w:r>
        <w:rPr>
          <w:rFonts w:ascii="Arial" w:hAnsi="Arial"/>
          <w:b/>
          <w:spacing w:val="-6"/>
          <w:sz w:val="21"/>
        </w:rPr>
        <w:t xml:space="preserve"> </w:t>
      </w:r>
      <w:r>
        <w:rPr>
          <w:rFonts w:ascii="Arial" w:hAnsi="Arial"/>
          <w:b/>
          <w:sz w:val="21"/>
        </w:rPr>
        <w:t>–</w:t>
      </w:r>
      <w:r>
        <w:rPr>
          <w:rFonts w:ascii="Arial" w:hAnsi="Arial"/>
          <w:b/>
          <w:spacing w:val="-5"/>
          <w:sz w:val="21"/>
        </w:rPr>
        <w:t xml:space="preserve"> </w:t>
      </w:r>
      <w:r>
        <w:rPr>
          <w:rFonts w:ascii="Arial" w:hAnsi="Arial"/>
          <w:b/>
          <w:sz w:val="21"/>
        </w:rPr>
        <w:t>Projected</w:t>
      </w:r>
      <w:r>
        <w:rPr>
          <w:rFonts w:ascii="Arial" w:hAnsi="Arial"/>
          <w:b/>
          <w:spacing w:val="-5"/>
          <w:sz w:val="21"/>
        </w:rPr>
        <w:t xml:space="preserve"> </w:t>
      </w:r>
      <w:r>
        <w:rPr>
          <w:rFonts w:ascii="Arial" w:hAnsi="Arial"/>
          <w:b/>
          <w:sz w:val="21"/>
        </w:rPr>
        <w:t>Monthly</w:t>
      </w:r>
      <w:r>
        <w:rPr>
          <w:rFonts w:ascii="Arial" w:hAnsi="Arial"/>
          <w:b/>
          <w:spacing w:val="-5"/>
          <w:sz w:val="21"/>
        </w:rPr>
        <w:t xml:space="preserve"> </w:t>
      </w:r>
      <w:r>
        <w:rPr>
          <w:rFonts w:ascii="Arial" w:hAnsi="Arial"/>
          <w:b/>
          <w:sz w:val="21"/>
        </w:rPr>
        <w:t>Enrollee</w:t>
      </w:r>
      <w:r>
        <w:rPr>
          <w:rFonts w:ascii="Arial" w:hAnsi="Arial"/>
          <w:b/>
          <w:spacing w:val="-7"/>
          <w:sz w:val="21"/>
        </w:rPr>
        <w:t xml:space="preserve"> </w:t>
      </w:r>
      <w:r>
        <w:rPr>
          <w:rFonts w:ascii="Arial" w:hAnsi="Arial"/>
          <w:b/>
          <w:spacing w:val="-2"/>
          <w:sz w:val="21"/>
        </w:rPr>
        <w:t>Deposit</w:t>
      </w:r>
    </w:p>
    <w:p>
      <w:pPr>
        <w:pStyle w:val="BodyText"/>
        <w:spacing w:before="120"/>
        <w:ind w:right="1481"/>
      </w:pPr>
      <w:r>
        <w:t>This</w:t>
      </w:r>
      <w:r>
        <w:rPr>
          <w:spacing w:val="-5"/>
        </w:rPr>
        <w:t xml:space="preserve"> </w:t>
      </w:r>
      <w:r>
        <w:t>cell</w:t>
      </w:r>
      <w:r>
        <w:rPr>
          <w:spacing w:val="-4"/>
        </w:rPr>
        <w:t xml:space="preserve"> </w:t>
      </w:r>
      <w:r>
        <w:t>calculates</w:t>
      </w:r>
      <w:r>
        <w:rPr>
          <w:spacing w:val="-5"/>
        </w:rPr>
        <w:t xml:space="preserve"> </w:t>
      </w:r>
      <w:r>
        <w:t>the</w:t>
      </w:r>
      <w:r>
        <w:rPr>
          <w:spacing w:val="-5"/>
        </w:rPr>
        <w:t xml:space="preserve"> </w:t>
      </w:r>
      <w:r>
        <w:t>monthly</w:t>
      </w:r>
      <w:r>
        <w:rPr>
          <w:spacing w:val="-4"/>
        </w:rPr>
        <w:t xml:space="preserve"> </w:t>
      </w:r>
      <w:r>
        <w:t>enrollee</w:t>
      </w:r>
      <w:r>
        <w:rPr>
          <w:spacing w:val="-5"/>
        </w:rPr>
        <w:t xml:space="preserve"> </w:t>
      </w:r>
      <w:r>
        <w:t>deposit</w:t>
      </w:r>
      <w:r>
        <w:rPr>
          <w:spacing w:val="-4"/>
        </w:rPr>
        <w:t xml:space="preserve"> </w:t>
      </w:r>
      <w:r>
        <w:t>by</w:t>
      </w:r>
      <w:r>
        <w:rPr>
          <w:spacing w:val="-4"/>
        </w:rPr>
        <w:t xml:space="preserve"> </w:t>
      </w:r>
      <w:r>
        <w:t>subtracting</w:t>
      </w:r>
      <w:r>
        <w:rPr>
          <w:spacing w:val="-4"/>
        </w:rPr>
        <w:t xml:space="preserve"> </w:t>
      </w:r>
      <w:r>
        <w:t>the</w:t>
      </w:r>
      <w:r>
        <w:rPr>
          <w:spacing w:val="-4"/>
        </w:rPr>
        <w:t xml:space="preserve"> </w:t>
      </w:r>
      <w:r>
        <w:t>total</w:t>
      </w:r>
      <w:r>
        <w:rPr>
          <w:spacing w:val="-4"/>
        </w:rPr>
        <w:t xml:space="preserve"> </w:t>
      </w:r>
      <w:r>
        <w:t>plan</w:t>
      </w:r>
      <w:r>
        <w:rPr>
          <w:spacing w:val="-4"/>
        </w:rPr>
        <w:t xml:space="preserve"> </w:t>
      </w:r>
      <w:r>
        <w:t>revenue requirement from the projected plan benchmark.</w:t>
      </w:r>
    </w:p>
    <w:p>
      <w:pPr>
        <w:spacing w:before="241"/>
        <w:ind w:left="504" w:right="0" w:firstLine="0"/>
        <w:jc w:val="left"/>
        <w:rPr>
          <w:rFonts w:ascii="Arial" w:hAnsi="Arial"/>
          <w:b/>
          <w:sz w:val="21"/>
        </w:rPr>
      </w:pPr>
      <w:bookmarkStart w:id="429" w:name="Line g – Percent of Plan Revenue Ratios"/>
      <w:bookmarkEnd w:id="429"/>
      <w:r>
        <w:rPr>
          <w:rFonts w:ascii="Arial" w:hAnsi="Arial"/>
          <w:b/>
          <w:sz w:val="21"/>
        </w:rPr>
        <w:t>Line</w:t>
      </w:r>
      <w:r>
        <w:rPr>
          <w:rFonts w:ascii="Arial" w:hAnsi="Arial"/>
          <w:b/>
          <w:spacing w:val="-6"/>
          <w:sz w:val="21"/>
        </w:rPr>
        <w:t xml:space="preserve"> </w:t>
      </w:r>
      <w:r>
        <w:rPr>
          <w:rFonts w:ascii="Arial" w:hAnsi="Arial"/>
          <w:b/>
          <w:sz w:val="21"/>
        </w:rPr>
        <w:t>g</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Percent</w:t>
      </w:r>
      <w:r>
        <w:rPr>
          <w:rFonts w:ascii="Arial" w:hAnsi="Arial"/>
          <w:b/>
          <w:spacing w:val="-5"/>
          <w:sz w:val="21"/>
        </w:rPr>
        <w:t xml:space="preserve"> </w:t>
      </w:r>
      <w:r>
        <w:rPr>
          <w:rFonts w:ascii="Arial" w:hAnsi="Arial"/>
          <w:b/>
          <w:sz w:val="21"/>
        </w:rPr>
        <w:t>of</w:t>
      </w:r>
      <w:r>
        <w:rPr>
          <w:rFonts w:ascii="Arial" w:hAnsi="Arial"/>
          <w:b/>
          <w:spacing w:val="-4"/>
          <w:sz w:val="21"/>
        </w:rPr>
        <w:t xml:space="preserve"> </w:t>
      </w:r>
      <w:r>
        <w:rPr>
          <w:rFonts w:ascii="Arial" w:hAnsi="Arial"/>
          <w:b/>
          <w:sz w:val="21"/>
        </w:rPr>
        <w:t>Plan</w:t>
      </w:r>
      <w:r>
        <w:rPr>
          <w:rFonts w:ascii="Arial" w:hAnsi="Arial"/>
          <w:b/>
          <w:spacing w:val="-6"/>
          <w:sz w:val="21"/>
        </w:rPr>
        <w:t xml:space="preserve"> </w:t>
      </w:r>
      <w:r>
        <w:rPr>
          <w:rFonts w:ascii="Arial" w:hAnsi="Arial"/>
          <w:b/>
          <w:sz w:val="21"/>
        </w:rPr>
        <w:t>Revenue</w:t>
      </w:r>
      <w:r>
        <w:rPr>
          <w:rFonts w:ascii="Arial" w:hAnsi="Arial"/>
          <w:b/>
          <w:spacing w:val="-5"/>
          <w:sz w:val="21"/>
        </w:rPr>
        <w:t xml:space="preserve"> </w:t>
      </w:r>
      <w:r>
        <w:rPr>
          <w:rFonts w:ascii="Arial" w:hAnsi="Arial"/>
          <w:b/>
          <w:spacing w:val="-2"/>
          <w:sz w:val="21"/>
        </w:rPr>
        <w:t>Ratios</w:t>
      </w:r>
    </w:p>
    <w:p>
      <w:pPr>
        <w:pStyle w:val="BodyText"/>
        <w:spacing w:before="121"/>
        <w:ind w:right="1443"/>
      </w:pPr>
      <w:r>
        <w:t>These</w:t>
      </w:r>
      <w:r>
        <w:rPr>
          <w:spacing w:val="-4"/>
        </w:rPr>
        <w:t xml:space="preserve"> </w:t>
      </w:r>
      <w:r>
        <w:t>cells</w:t>
      </w:r>
      <w:r>
        <w:rPr>
          <w:spacing w:val="-4"/>
        </w:rPr>
        <w:t xml:space="preserve"> </w:t>
      </w:r>
      <w:r>
        <w:t>calculate</w:t>
      </w:r>
      <w:r>
        <w:rPr>
          <w:spacing w:val="-3"/>
        </w:rPr>
        <w:t xml:space="preserve"> </w:t>
      </w:r>
      <w:r>
        <w:t>the</w:t>
      </w:r>
      <w:r>
        <w:rPr>
          <w:spacing w:val="-3"/>
        </w:rPr>
        <w:t xml:space="preserve"> </w:t>
      </w:r>
      <w:r>
        <w:t>ratio</w:t>
      </w:r>
      <w:r>
        <w:rPr>
          <w:spacing w:val="-3"/>
        </w:rPr>
        <w:t xml:space="preserve"> </w:t>
      </w:r>
      <w:r>
        <w:t>of</w:t>
      </w:r>
      <w:r>
        <w:rPr>
          <w:spacing w:val="-3"/>
        </w:rPr>
        <w:t xml:space="preserve"> </w:t>
      </w:r>
      <w:r>
        <w:t>medical</w:t>
      </w:r>
      <w:r>
        <w:rPr>
          <w:spacing w:val="-3"/>
        </w:rPr>
        <w:t xml:space="preserve"> </w:t>
      </w:r>
      <w:r>
        <w:t>expense,</w:t>
      </w:r>
      <w:r>
        <w:rPr>
          <w:spacing w:val="-2"/>
        </w:rPr>
        <w:t xml:space="preserve"> </w:t>
      </w:r>
      <w:r>
        <w:t>non-benefit</w:t>
      </w:r>
      <w:r>
        <w:rPr>
          <w:spacing w:val="-3"/>
        </w:rPr>
        <w:t xml:space="preserve"> </w:t>
      </w:r>
      <w:r>
        <w:t>expense,</w:t>
      </w:r>
      <w:r>
        <w:rPr>
          <w:spacing w:val="-3"/>
        </w:rPr>
        <w:t xml:space="preserve"> </w:t>
      </w:r>
      <w:r>
        <w:t>and</w:t>
      </w:r>
      <w:r>
        <w:rPr>
          <w:spacing w:val="-3"/>
        </w:rPr>
        <w:t xml:space="preserve"> </w:t>
      </w:r>
      <w:r>
        <w:t>gain/loss</w:t>
      </w:r>
      <w:r>
        <w:rPr>
          <w:spacing w:val="-2"/>
        </w:rPr>
        <w:t xml:space="preserve"> </w:t>
      </w:r>
      <w:r>
        <w:t>margin</w:t>
      </w:r>
      <w:r>
        <w:rPr>
          <w:spacing w:val="-3"/>
        </w:rPr>
        <w:t xml:space="preserve"> </w:t>
      </w:r>
      <w:r>
        <w:t>as a percentage of revenue.</w:t>
      </w:r>
    </w:p>
    <w:p>
      <w:pPr>
        <w:spacing w:before="240"/>
        <w:ind w:left="504" w:right="0" w:firstLine="0"/>
        <w:jc w:val="left"/>
        <w:rPr>
          <w:rFonts w:ascii="Arial" w:hAnsi="Arial"/>
          <w:b/>
          <w:sz w:val="21"/>
        </w:rPr>
      </w:pPr>
      <w:bookmarkStart w:id="430" w:name="Line h – Standardized Plan Benchmark"/>
      <w:bookmarkEnd w:id="430"/>
      <w:r>
        <w:rPr>
          <w:rFonts w:ascii="Arial" w:hAnsi="Arial"/>
          <w:b/>
          <w:sz w:val="21"/>
        </w:rPr>
        <w:t>Line</w:t>
      </w:r>
      <w:r>
        <w:rPr>
          <w:rFonts w:ascii="Arial" w:hAnsi="Arial"/>
          <w:b/>
          <w:spacing w:val="-6"/>
          <w:sz w:val="21"/>
        </w:rPr>
        <w:t xml:space="preserve"> </w:t>
      </w:r>
      <w:r>
        <w:rPr>
          <w:rFonts w:ascii="Arial" w:hAnsi="Arial"/>
          <w:b/>
          <w:sz w:val="21"/>
        </w:rPr>
        <w:t>h</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Standardized</w:t>
      </w:r>
      <w:r>
        <w:rPr>
          <w:rFonts w:ascii="Arial" w:hAnsi="Arial"/>
          <w:b/>
          <w:spacing w:val="-4"/>
          <w:sz w:val="21"/>
        </w:rPr>
        <w:t xml:space="preserve"> </w:t>
      </w:r>
      <w:r>
        <w:rPr>
          <w:rFonts w:ascii="Arial" w:hAnsi="Arial"/>
          <w:b/>
          <w:sz w:val="21"/>
        </w:rPr>
        <w:t>Plan</w:t>
      </w:r>
      <w:r>
        <w:rPr>
          <w:rFonts w:ascii="Arial" w:hAnsi="Arial"/>
          <w:b/>
          <w:spacing w:val="-5"/>
          <w:sz w:val="21"/>
        </w:rPr>
        <w:t xml:space="preserve"> </w:t>
      </w:r>
      <w:r>
        <w:rPr>
          <w:rFonts w:ascii="Arial" w:hAnsi="Arial"/>
          <w:b/>
          <w:spacing w:val="-2"/>
          <w:sz w:val="21"/>
        </w:rPr>
        <w:t>Benchmark</w:t>
      </w:r>
    </w:p>
    <w:p>
      <w:pPr>
        <w:pStyle w:val="BodyText"/>
        <w:spacing w:before="118"/>
        <w:ind w:right="1481"/>
      </w:pPr>
      <w:r>
        <w:t>This</w:t>
      </w:r>
      <w:r>
        <w:rPr>
          <w:spacing w:val="-4"/>
        </w:rPr>
        <w:t xml:space="preserve"> </w:t>
      </w:r>
      <w:r>
        <w:t>cell</w:t>
      </w:r>
      <w:r>
        <w:rPr>
          <w:spacing w:val="-3"/>
        </w:rPr>
        <w:t xml:space="preserve"> </w:t>
      </w:r>
      <w:r>
        <w:t>displays</w:t>
      </w:r>
      <w:r>
        <w:rPr>
          <w:spacing w:val="-4"/>
        </w:rPr>
        <w:t xml:space="preserve"> </w:t>
      </w:r>
      <w:r>
        <w:t>the</w:t>
      </w:r>
      <w:r>
        <w:rPr>
          <w:spacing w:val="-4"/>
        </w:rPr>
        <w:t xml:space="preserve"> </w:t>
      </w:r>
      <w:r>
        <w:t>value</w:t>
      </w:r>
      <w:r>
        <w:rPr>
          <w:spacing w:val="-3"/>
        </w:rPr>
        <w:t xml:space="preserve"> </w:t>
      </w:r>
      <w:r>
        <w:t>from</w:t>
      </w:r>
      <w:r>
        <w:rPr>
          <w:spacing w:val="-3"/>
        </w:rPr>
        <w:t xml:space="preserve"> </w:t>
      </w:r>
      <w:r>
        <w:t>Section</w:t>
      </w:r>
      <w:r>
        <w:rPr>
          <w:spacing w:val="-1"/>
        </w:rPr>
        <w:t xml:space="preserve"> </w:t>
      </w:r>
      <w:r>
        <w:t>III,</w:t>
      </w:r>
      <w:r>
        <w:rPr>
          <w:spacing w:val="-3"/>
        </w:rPr>
        <w:t xml:space="preserve"> </w:t>
      </w:r>
      <w:r>
        <w:t>column</w:t>
      </w:r>
      <w:r>
        <w:rPr>
          <w:spacing w:val="-3"/>
        </w:rPr>
        <w:t xml:space="preserve"> </w:t>
      </w:r>
      <w:r>
        <w:t>g,</w:t>
      </w:r>
      <w:r>
        <w:rPr>
          <w:spacing w:val="-3"/>
        </w:rPr>
        <w:t xml:space="preserve"> </w:t>
      </w:r>
      <w:r>
        <w:t>line</w:t>
      </w:r>
      <w:r>
        <w:rPr>
          <w:spacing w:val="-4"/>
        </w:rPr>
        <w:t xml:space="preserve"> </w:t>
      </w:r>
      <w:r>
        <w:t>1</w:t>
      </w:r>
      <w:r>
        <w:rPr>
          <w:spacing w:val="-3"/>
        </w:rPr>
        <w:t xml:space="preserve"> </w:t>
      </w:r>
      <w:r>
        <w:t>of</w:t>
      </w:r>
      <w:r>
        <w:rPr>
          <w:spacing w:val="-4"/>
        </w:rPr>
        <w:t xml:space="preserve"> </w:t>
      </w:r>
      <w:r>
        <w:t>Worksheet</w:t>
      </w:r>
      <w:r>
        <w:rPr>
          <w:spacing w:val="-3"/>
        </w:rPr>
        <w:t xml:space="preserve"> </w:t>
      </w:r>
      <w:r>
        <w:t>3—the</w:t>
      </w:r>
      <w:r>
        <w:rPr>
          <w:spacing w:val="-3"/>
        </w:rPr>
        <w:t xml:space="preserve"> </w:t>
      </w:r>
      <w:r>
        <w:t>weighted average for the service area of the unadjusted ratebook values.</w:t>
      </w:r>
    </w:p>
    <w:p>
      <w:pPr>
        <w:pStyle w:val="BodyText"/>
        <w:spacing w:before="45"/>
        <w:ind w:left="0"/>
      </w:pPr>
    </w:p>
    <w:p>
      <w:pPr>
        <w:pStyle w:val="Heading2"/>
        <w:jc w:val="both"/>
      </w:pPr>
      <w:bookmarkStart w:id="431" w:name="Worksheet 5 – MSA Optional Supplemental "/>
      <w:bookmarkEnd w:id="431"/>
      <w:bookmarkStart w:id="432" w:name="_bookmark108"/>
      <w:bookmarkEnd w:id="432"/>
      <w:r>
        <w:rPr>
          <w:smallCaps/>
        </w:rPr>
        <w:t>Worksheet</w:t>
      </w:r>
      <w:r>
        <w:rPr>
          <w:smallCaps/>
          <w:spacing w:val="-10"/>
        </w:rPr>
        <w:t xml:space="preserve"> </w:t>
      </w:r>
      <w:r>
        <w:rPr>
          <w:smallCaps/>
        </w:rPr>
        <w:t>5</w:t>
      </w:r>
      <w:r>
        <w:rPr>
          <w:smallCaps/>
          <w:spacing w:val="-15"/>
        </w:rPr>
        <w:t xml:space="preserve"> </w:t>
      </w:r>
      <w:r>
        <w:rPr>
          <w:smallCaps/>
        </w:rPr>
        <w:t>–</w:t>
      </w:r>
      <w:r>
        <w:rPr>
          <w:smallCaps/>
          <w:spacing w:val="-15"/>
        </w:rPr>
        <w:t xml:space="preserve"> </w:t>
      </w:r>
      <w:r>
        <w:rPr>
          <w:smallCaps/>
        </w:rPr>
        <w:t>MSA</w:t>
      </w:r>
      <w:r>
        <w:rPr>
          <w:smallCaps/>
          <w:spacing w:val="-15"/>
        </w:rPr>
        <w:t xml:space="preserve"> </w:t>
      </w:r>
      <w:r>
        <w:rPr>
          <w:smallCaps/>
        </w:rPr>
        <w:t>Optional</w:t>
      </w:r>
      <w:r>
        <w:rPr>
          <w:smallCaps/>
          <w:spacing w:val="-14"/>
        </w:rPr>
        <w:t xml:space="preserve"> </w:t>
      </w:r>
      <w:r>
        <w:rPr>
          <w:smallCaps/>
        </w:rPr>
        <w:t>Supplemental</w:t>
      </w:r>
      <w:r>
        <w:rPr>
          <w:smallCaps/>
          <w:spacing w:val="-15"/>
        </w:rPr>
        <w:t xml:space="preserve"> </w:t>
      </w:r>
      <w:r>
        <w:rPr>
          <w:smallCaps/>
        </w:rPr>
        <w:t>Benefits</w:t>
      </w:r>
      <w:r>
        <w:rPr>
          <w:smallCaps/>
          <w:spacing w:val="-11"/>
        </w:rPr>
        <w:t xml:space="preserve"> </w:t>
      </w:r>
      <w:r>
        <w:rPr>
          <w:smallCaps/>
        </w:rPr>
        <w:t>(Corresponding</w:t>
      </w:r>
      <w:r>
        <w:rPr>
          <w:smallCaps/>
          <w:spacing w:val="-14"/>
        </w:rPr>
        <w:t xml:space="preserve"> </w:t>
      </w:r>
      <w:r>
        <w:rPr>
          <w:smallCaps/>
          <w:spacing w:val="-5"/>
        </w:rPr>
        <w:t>to</w:t>
      </w:r>
    </w:p>
    <w:p>
      <w:pPr>
        <w:spacing w:before="1"/>
        <w:ind w:left="504" w:right="0" w:firstLine="0"/>
        <w:jc w:val="both"/>
        <w:rPr>
          <w:rFonts w:ascii="Arial"/>
          <w:b/>
          <w:sz w:val="26"/>
        </w:rPr>
      </w:pPr>
      <w:r>
        <w:rPr>
          <w:rFonts w:ascii="Arial"/>
          <w:b/>
          <w:smallCaps/>
          <w:sz w:val="26"/>
        </w:rPr>
        <w:t>MA</w:t>
      </w:r>
      <w:r>
        <w:rPr>
          <w:rFonts w:ascii="Arial"/>
          <w:b/>
          <w:smallCaps/>
          <w:spacing w:val="-15"/>
          <w:sz w:val="26"/>
        </w:rPr>
        <w:t xml:space="preserve"> </w:t>
      </w:r>
      <w:r>
        <w:rPr>
          <w:rFonts w:ascii="Arial"/>
          <w:b/>
          <w:smallCaps/>
          <w:sz w:val="26"/>
        </w:rPr>
        <w:t xml:space="preserve">Worksheet </w:t>
      </w:r>
      <w:r>
        <w:rPr>
          <w:rFonts w:ascii="Arial"/>
          <w:b/>
          <w:smallCaps/>
          <w:spacing w:val="-5"/>
          <w:sz w:val="26"/>
        </w:rPr>
        <w:t>7)</w:t>
      </w:r>
    </w:p>
    <w:p>
      <w:pPr>
        <w:pStyle w:val="BodyText"/>
        <w:spacing w:before="180"/>
      </w:pPr>
      <w:r>
        <w:t>Follow</w:t>
      </w:r>
      <w:r>
        <w:rPr>
          <w:spacing w:val="-4"/>
        </w:rPr>
        <w:t xml:space="preserve"> </w:t>
      </w:r>
      <w:r>
        <w:t>the</w:t>
      </w:r>
      <w:r>
        <w:rPr>
          <w:spacing w:val="-2"/>
        </w:rPr>
        <w:t xml:space="preserve"> </w:t>
      </w:r>
      <w:r>
        <w:t>instructions for</w:t>
      </w:r>
      <w:r>
        <w:rPr>
          <w:spacing w:val="-2"/>
        </w:rPr>
        <w:t xml:space="preserve"> </w:t>
      </w:r>
      <w:r>
        <w:t>MA</w:t>
      </w:r>
      <w:r>
        <w:rPr>
          <w:spacing w:val="-1"/>
        </w:rPr>
        <w:t xml:space="preserve"> </w:t>
      </w:r>
      <w:r>
        <w:t>Worksheet</w:t>
      </w:r>
      <w:r>
        <w:rPr>
          <w:spacing w:val="-1"/>
        </w:rPr>
        <w:t xml:space="preserve"> </w:t>
      </w:r>
      <w:r>
        <w:t>7</w:t>
      </w:r>
      <w:r>
        <w:rPr>
          <w:spacing w:val="-1"/>
        </w:rPr>
        <w:t xml:space="preserve"> </w:t>
      </w:r>
      <w:r>
        <w:t>for</w:t>
      </w:r>
      <w:r>
        <w:rPr>
          <w:spacing w:val="-3"/>
        </w:rPr>
        <w:t xml:space="preserve"> </w:t>
      </w:r>
      <w:r>
        <w:t>the</w:t>
      </w:r>
      <w:r>
        <w:rPr>
          <w:spacing w:val="-2"/>
        </w:rPr>
        <w:t xml:space="preserve"> </w:t>
      </w:r>
      <w:r>
        <w:t xml:space="preserve">appropriate </w:t>
      </w:r>
      <w:r>
        <w:rPr>
          <w:spacing w:val="-2"/>
        </w:rPr>
        <w:t>inputs.</w:t>
      </w:r>
    </w:p>
    <w:p>
      <w:pPr>
        <w:pStyle w:val="BodyText"/>
        <w:spacing w:after="0"/>
        <w:sectPr>
          <w:pgSz w:w="12240" w:h="15840"/>
          <w:pgMar w:top="960" w:right="0" w:bottom="940" w:left="1080" w:header="727" w:footer="747"/>
          <w:cols w:space="720"/>
        </w:sectPr>
      </w:pPr>
    </w:p>
    <w:p>
      <w:pPr>
        <w:pStyle w:val="BodyText"/>
        <w:spacing w:before="264"/>
        <w:ind w:left="0"/>
        <w:rPr>
          <w:sz w:val="28"/>
        </w:rPr>
      </w:pPr>
    </w:p>
    <w:p>
      <w:pPr>
        <w:pStyle w:val="Heading1"/>
        <w:tabs>
          <w:tab w:val="left" w:pos="9930"/>
        </w:tabs>
        <w:rPr>
          <w:u w:val="none"/>
        </w:rPr>
      </w:pPr>
      <w:bookmarkStart w:id="433" w:name="Appendix I – Trending Risk Scores"/>
      <w:bookmarkEnd w:id="433"/>
      <w:bookmarkStart w:id="434" w:name="_bookmark109"/>
      <w:bookmarkEnd w:id="434"/>
      <w:r>
        <w:rPr>
          <w:spacing w:val="-50"/>
          <w:u w:val="single"/>
        </w:rPr>
        <w:t xml:space="preserve"> </w:t>
      </w:r>
      <w:r>
        <w:rPr>
          <w:u w:val="single"/>
        </w:rPr>
        <w:t>APPENDIX</w:t>
      </w:r>
      <w:r>
        <w:rPr>
          <w:spacing w:val="-6"/>
          <w:u w:val="single"/>
        </w:rPr>
        <w:t xml:space="preserve"> </w:t>
      </w:r>
      <w:r>
        <w:rPr>
          <w:u w:val="single"/>
        </w:rPr>
        <w:t>I</w:t>
      </w:r>
      <w:r>
        <w:rPr>
          <w:spacing w:val="-2"/>
          <w:u w:val="single"/>
        </w:rPr>
        <w:t xml:space="preserve"> </w:t>
      </w:r>
      <w:r>
        <w:rPr>
          <w:u w:val="single"/>
        </w:rPr>
        <w:t>–</w:t>
      </w:r>
      <w:r>
        <w:rPr>
          <w:spacing w:val="-7"/>
          <w:u w:val="single"/>
        </w:rPr>
        <w:t xml:space="preserve"> </w:t>
      </w:r>
      <w:r>
        <w:rPr>
          <w:u w:val="single"/>
        </w:rPr>
        <w:t>TRENDING</w:t>
      </w:r>
      <w:r>
        <w:rPr>
          <w:spacing w:val="-8"/>
          <w:u w:val="single"/>
        </w:rPr>
        <w:t xml:space="preserve"> </w:t>
      </w:r>
      <w:r>
        <w:rPr>
          <w:u w:val="single"/>
        </w:rPr>
        <w:t>RISK</w:t>
      </w:r>
      <w:r>
        <w:rPr>
          <w:spacing w:val="-4"/>
          <w:u w:val="single"/>
        </w:rPr>
        <w:t xml:space="preserve"> </w:t>
      </w:r>
      <w:r>
        <w:rPr>
          <w:spacing w:val="-2"/>
          <w:u w:val="single"/>
        </w:rPr>
        <w:t>SCORES</w:t>
      </w:r>
      <w:r>
        <w:rPr>
          <w:u w:val="single"/>
        </w:rPr>
        <w:tab/>
      </w:r>
    </w:p>
    <w:p>
      <w:pPr>
        <w:pStyle w:val="BodyText"/>
        <w:spacing w:before="271"/>
        <w:ind w:right="1481"/>
      </w:pPr>
      <w:r>
        <w:t>This</w:t>
      </w:r>
      <w:r>
        <w:rPr>
          <w:spacing w:val="-5"/>
        </w:rPr>
        <w:t xml:space="preserve"> </w:t>
      </w:r>
      <w:r>
        <w:t>appendix</w:t>
      </w:r>
      <w:r>
        <w:rPr>
          <w:spacing w:val="-4"/>
        </w:rPr>
        <w:t xml:space="preserve"> </w:t>
      </w:r>
      <w:r>
        <w:t>includes</w:t>
      </w:r>
      <w:r>
        <w:rPr>
          <w:spacing w:val="-4"/>
        </w:rPr>
        <w:t xml:space="preserve"> </w:t>
      </w:r>
      <w:r>
        <w:t>the</w:t>
      </w:r>
      <w:r>
        <w:rPr>
          <w:spacing w:val="-4"/>
        </w:rPr>
        <w:t xml:space="preserve"> </w:t>
      </w:r>
      <w:r>
        <w:t>following</w:t>
      </w:r>
      <w:r>
        <w:rPr>
          <w:spacing w:val="-4"/>
        </w:rPr>
        <w:t xml:space="preserve"> </w:t>
      </w:r>
      <w:r>
        <w:t>considerations</w:t>
      </w:r>
      <w:r>
        <w:rPr>
          <w:spacing w:val="-5"/>
        </w:rPr>
        <w:t xml:space="preserve"> </w:t>
      </w:r>
      <w:r>
        <w:t>for</w:t>
      </w:r>
      <w:r>
        <w:rPr>
          <w:spacing w:val="-5"/>
        </w:rPr>
        <w:t xml:space="preserve"> </w:t>
      </w:r>
      <w:r>
        <w:t>developing</w:t>
      </w:r>
      <w:r>
        <w:rPr>
          <w:spacing w:val="-4"/>
        </w:rPr>
        <w:t xml:space="preserve"> </w:t>
      </w:r>
      <w:r>
        <w:t>trends</w:t>
      </w:r>
      <w:r>
        <w:rPr>
          <w:spacing w:val="-2"/>
        </w:rPr>
        <w:t xml:space="preserve"> </w:t>
      </w:r>
      <w:r>
        <w:t>for</w:t>
      </w:r>
      <w:r>
        <w:rPr>
          <w:spacing w:val="-6"/>
        </w:rPr>
        <w:t xml:space="preserve"> </w:t>
      </w:r>
      <w:r>
        <w:t>coding</w:t>
      </w:r>
      <w:r>
        <w:rPr>
          <w:spacing w:val="-3"/>
        </w:rPr>
        <w:t xml:space="preserve"> </w:t>
      </w:r>
      <w:r>
        <w:t>and population change trends to project CY2027 risk scores:</w:t>
      </w:r>
    </w:p>
    <w:p>
      <w:pPr>
        <w:pStyle w:val="ListParagraph"/>
        <w:numPr>
          <w:ilvl w:val="0"/>
          <w:numId w:val="3"/>
        </w:numPr>
        <w:tabs>
          <w:tab w:val="left" w:pos="1584"/>
        </w:tabs>
        <w:spacing w:before="120" w:after="0" w:line="240" w:lineRule="auto"/>
        <w:ind w:left="1584" w:right="0" w:hanging="360"/>
        <w:jc w:val="left"/>
        <w:rPr>
          <w:sz w:val="24"/>
        </w:rPr>
      </w:pPr>
      <w:r>
        <w:rPr>
          <w:sz w:val="24"/>
        </w:rPr>
        <w:t>Include</w:t>
      </w:r>
      <w:r>
        <w:rPr>
          <w:spacing w:val="-2"/>
          <w:sz w:val="24"/>
        </w:rPr>
        <w:t xml:space="preserve"> </w:t>
      </w:r>
      <w:r>
        <w:rPr>
          <w:sz w:val="24"/>
        </w:rPr>
        <w:t>the</w:t>
      </w:r>
      <w:r>
        <w:rPr>
          <w:spacing w:val="-2"/>
          <w:sz w:val="24"/>
        </w:rPr>
        <w:t xml:space="preserve"> </w:t>
      </w:r>
      <w:r>
        <w:rPr>
          <w:sz w:val="24"/>
        </w:rPr>
        <w:t>most recent</w:t>
      </w:r>
      <w:r>
        <w:rPr>
          <w:spacing w:val="-1"/>
          <w:sz w:val="24"/>
        </w:rPr>
        <w:t xml:space="preserve"> </w:t>
      </w:r>
      <w:r>
        <w:rPr>
          <w:sz w:val="24"/>
        </w:rPr>
        <w:t>annual</w:t>
      </w:r>
      <w:r>
        <w:rPr>
          <w:spacing w:val="-1"/>
          <w:sz w:val="24"/>
        </w:rPr>
        <w:t xml:space="preserve"> </w:t>
      </w:r>
      <w:r>
        <w:rPr>
          <w:sz w:val="24"/>
        </w:rPr>
        <w:t>consecutive</w:t>
      </w:r>
      <w:r>
        <w:rPr>
          <w:spacing w:val="-1"/>
          <w:sz w:val="24"/>
        </w:rPr>
        <w:t xml:space="preserve"> </w:t>
      </w:r>
      <w:r>
        <w:rPr>
          <w:sz w:val="24"/>
        </w:rPr>
        <w:t>calendar</w:t>
      </w:r>
      <w:r>
        <w:rPr>
          <w:spacing w:val="-1"/>
          <w:sz w:val="24"/>
        </w:rPr>
        <w:t xml:space="preserve"> </w:t>
      </w:r>
      <w:r>
        <w:rPr>
          <w:sz w:val="24"/>
        </w:rPr>
        <w:t>risk</w:t>
      </w:r>
      <w:r>
        <w:rPr>
          <w:spacing w:val="-1"/>
          <w:sz w:val="24"/>
        </w:rPr>
        <w:t xml:space="preserve"> </w:t>
      </w:r>
      <w:r>
        <w:rPr>
          <w:sz w:val="24"/>
        </w:rPr>
        <w:t>scores</w:t>
      </w:r>
      <w:r>
        <w:rPr>
          <w:spacing w:val="-2"/>
          <w:sz w:val="24"/>
        </w:rPr>
        <w:t xml:space="preserve"> </w:t>
      </w:r>
      <w:r>
        <w:rPr>
          <w:sz w:val="24"/>
        </w:rPr>
        <w:t>that</w:t>
      </w:r>
      <w:r>
        <w:rPr>
          <w:spacing w:val="-1"/>
          <w:sz w:val="24"/>
        </w:rPr>
        <w:t xml:space="preserve"> </w:t>
      </w:r>
      <w:r>
        <w:rPr>
          <w:sz w:val="24"/>
        </w:rPr>
        <w:t>are</w:t>
      </w:r>
      <w:r>
        <w:rPr>
          <w:spacing w:val="-2"/>
          <w:sz w:val="24"/>
        </w:rPr>
        <w:t xml:space="preserve"> available.</w:t>
      </w:r>
    </w:p>
    <w:p>
      <w:pPr>
        <w:pStyle w:val="ListParagraph"/>
        <w:numPr>
          <w:ilvl w:val="0"/>
          <w:numId w:val="3"/>
        </w:numPr>
        <w:tabs>
          <w:tab w:val="left" w:pos="1584"/>
        </w:tabs>
        <w:spacing w:before="0" w:after="0" w:line="240" w:lineRule="auto"/>
        <w:ind w:left="1584" w:right="1529" w:hanging="360"/>
        <w:jc w:val="left"/>
        <w:rPr>
          <w:sz w:val="24"/>
        </w:rPr>
      </w:pPr>
      <w:r>
        <w:rPr>
          <w:sz w:val="24"/>
        </w:rPr>
        <w:t>Use</w:t>
      </w:r>
      <w:r>
        <w:rPr>
          <w:spacing w:val="-5"/>
          <w:sz w:val="24"/>
        </w:rPr>
        <w:t xml:space="preserve"> </w:t>
      </w:r>
      <w:r>
        <w:rPr>
          <w:sz w:val="24"/>
        </w:rPr>
        <w:t>raw</w:t>
      </w:r>
      <w:r>
        <w:rPr>
          <w:spacing w:val="-2"/>
          <w:sz w:val="24"/>
        </w:rPr>
        <w:t xml:space="preserve"> </w:t>
      </w:r>
      <w:r>
        <w:rPr>
          <w:sz w:val="24"/>
        </w:rPr>
        <w:t>risk</w:t>
      </w:r>
      <w:r>
        <w:rPr>
          <w:spacing w:val="-3"/>
          <w:sz w:val="24"/>
        </w:rPr>
        <w:t xml:space="preserve"> </w:t>
      </w:r>
      <w:r>
        <w:rPr>
          <w:sz w:val="24"/>
        </w:rPr>
        <w:t>scores</w:t>
      </w:r>
      <w:r>
        <w:rPr>
          <w:spacing w:val="-4"/>
          <w:sz w:val="24"/>
        </w:rPr>
        <w:t xml:space="preserve"> </w:t>
      </w:r>
      <w:r>
        <w:rPr>
          <w:sz w:val="24"/>
        </w:rPr>
        <w:t>that</w:t>
      </w:r>
      <w:r>
        <w:rPr>
          <w:spacing w:val="-2"/>
          <w:sz w:val="24"/>
        </w:rPr>
        <w:t xml:space="preserve"> </w:t>
      </w:r>
      <w:r>
        <w:rPr>
          <w:sz w:val="24"/>
        </w:rPr>
        <w:t>do</w:t>
      </w:r>
      <w:r>
        <w:rPr>
          <w:spacing w:val="-3"/>
          <w:sz w:val="24"/>
        </w:rPr>
        <w:t xml:space="preserve"> </w:t>
      </w:r>
      <w:r>
        <w:rPr>
          <w:sz w:val="24"/>
        </w:rPr>
        <w:t>not</w:t>
      </w:r>
      <w:r>
        <w:rPr>
          <w:spacing w:val="-3"/>
          <w:sz w:val="24"/>
        </w:rPr>
        <w:t xml:space="preserve"> </w:t>
      </w:r>
      <w:r>
        <w:rPr>
          <w:sz w:val="24"/>
        </w:rPr>
        <w:t>include</w:t>
      </w:r>
      <w:r>
        <w:rPr>
          <w:spacing w:val="-3"/>
          <w:sz w:val="24"/>
        </w:rPr>
        <w:t xml:space="preserve"> </w:t>
      </w:r>
      <w:r>
        <w:rPr>
          <w:sz w:val="24"/>
        </w:rPr>
        <w:t>frailty</w:t>
      </w:r>
      <w:r>
        <w:rPr>
          <w:spacing w:val="-3"/>
          <w:sz w:val="24"/>
        </w:rPr>
        <w:t xml:space="preserve"> </w:t>
      </w:r>
      <w:r>
        <w:rPr>
          <w:sz w:val="24"/>
        </w:rPr>
        <w:t>(if</w:t>
      </w:r>
      <w:r>
        <w:rPr>
          <w:spacing w:val="-2"/>
          <w:sz w:val="24"/>
        </w:rPr>
        <w:t xml:space="preserve"> </w:t>
      </w:r>
      <w:r>
        <w:rPr>
          <w:sz w:val="24"/>
        </w:rPr>
        <w:t>applicable),</w:t>
      </w:r>
      <w:r>
        <w:rPr>
          <w:spacing w:val="-1"/>
          <w:sz w:val="24"/>
        </w:rPr>
        <w:t xml:space="preserve"> </w:t>
      </w:r>
      <w:r>
        <w:rPr>
          <w:sz w:val="24"/>
        </w:rPr>
        <w:t>are</w:t>
      </w:r>
      <w:r>
        <w:rPr>
          <w:spacing w:val="-5"/>
          <w:sz w:val="24"/>
        </w:rPr>
        <w:t xml:space="preserve"> </w:t>
      </w:r>
      <w:r>
        <w:rPr>
          <w:sz w:val="24"/>
        </w:rPr>
        <w:t>unnormalized,</w:t>
      </w:r>
      <w:r>
        <w:rPr>
          <w:spacing w:val="-3"/>
          <w:sz w:val="24"/>
        </w:rPr>
        <w:t xml:space="preserve"> </w:t>
      </w:r>
      <w:r>
        <w:rPr>
          <w:sz w:val="24"/>
        </w:rPr>
        <w:t>and are not adjusted for MA coding patterns.</w:t>
      </w:r>
    </w:p>
    <w:p>
      <w:pPr>
        <w:pStyle w:val="ListParagraph"/>
        <w:numPr>
          <w:ilvl w:val="0"/>
          <w:numId w:val="3"/>
        </w:numPr>
        <w:tabs>
          <w:tab w:val="left" w:pos="1584"/>
        </w:tabs>
        <w:spacing w:before="0" w:after="0" w:line="240" w:lineRule="auto"/>
        <w:ind w:left="1584" w:right="0" w:hanging="360"/>
        <w:jc w:val="left"/>
        <w:rPr>
          <w:sz w:val="24"/>
        </w:rPr>
      </w:pPr>
      <w:r>
        <w:rPr>
          <w:sz w:val="24"/>
        </w:rPr>
        <w:t>Reflect</w:t>
      </w:r>
      <w:r>
        <w:rPr>
          <w:spacing w:val="-2"/>
          <w:sz w:val="24"/>
        </w:rPr>
        <w:t xml:space="preserve"> </w:t>
      </w:r>
      <w:r>
        <w:rPr>
          <w:sz w:val="24"/>
        </w:rPr>
        <w:t>the</w:t>
      </w:r>
      <w:r>
        <w:rPr>
          <w:spacing w:val="-2"/>
          <w:sz w:val="24"/>
        </w:rPr>
        <w:t xml:space="preserve"> </w:t>
      </w:r>
      <w:r>
        <w:rPr>
          <w:sz w:val="24"/>
        </w:rPr>
        <w:t>same</w:t>
      </w:r>
      <w:r>
        <w:rPr>
          <w:spacing w:val="-1"/>
          <w:sz w:val="24"/>
        </w:rPr>
        <w:t xml:space="preserve"> </w:t>
      </w:r>
      <w:r>
        <w:rPr>
          <w:sz w:val="24"/>
        </w:rPr>
        <w:t>amount</w:t>
      </w:r>
      <w:r>
        <w:rPr>
          <w:spacing w:val="-1"/>
          <w:sz w:val="24"/>
        </w:rPr>
        <w:t xml:space="preserve"> </w:t>
      </w:r>
      <w:r>
        <w:rPr>
          <w:sz w:val="24"/>
        </w:rPr>
        <w:t>of</w:t>
      </w:r>
      <w:r>
        <w:rPr>
          <w:spacing w:val="-1"/>
          <w:sz w:val="24"/>
        </w:rPr>
        <w:t xml:space="preserve"> </w:t>
      </w:r>
      <w:r>
        <w:rPr>
          <w:sz w:val="24"/>
        </w:rPr>
        <w:t>run-out</w:t>
      </w:r>
      <w:r>
        <w:rPr>
          <w:spacing w:val="-2"/>
          <w:sz w:val="24"/>
        </w:rPr>
        <w:t xml:space="preserve"> </w:t>
      </w:r>
      <w:r>
        <w:rPr>
          <w:sz w:val="24"/>
        </w:rPr>
        <w:t>for</w:t>
      </w:r>
      <w:r>
        <w:rPr>
          <w:spacing w:val="-2"/>
          <w:sz w:val="24"/>
        </w:rPr>
        <w:t xml:space="preserve"> </w:t>
      </w:r>
      <w:r>
        <w:rPr>
          <w:sz w:val="24"/>
        </w:rPr>
        <w:t>diagnosis</w:t>
      </w:r>
      <w:r>
        <w:rPr>
          <w:spacing w:val="-3"/>
          <w:sz w:val="24"/>
        </w:rPr>
        <w:t xml:space="preserve"> </w:t>
      </w:r>
      <w:r>
        <w:rPr>
          <w:sz w:val="24"/>
        </w:rPr>
        <w:t>data</w:t>
      </w:r>
      <w:r>
        <w:rPr>
          <w:spacing w:val="-1"/>
          <w:sz w:val="24"/>
        </w:rPr>
        <w:t xml:space="preserve"> </w:t>
      </w:r>
      <w:r>
        <w:rPr>
          <w:sz w:val="24"/>
        </w:rPr>
        <w:t>for each</w:t>
      </w:r>
      <w:r>
        <w:rPr>
          <w:spacing w:val="-2"/>
          <w:sz w:val="24"/>
        </w:rPr>
        <w:t xml:space="preserve"> </w:t>
      </w:r>
      <w:r>
        <w:rPr>
          <w:sz w:val="24"/>
        </w:rPr>
        <w:t>year’s</w:t>
      </w:r>
      <w:r>
        <w:rPr>
          <w:spacing w:val="-2"/>
          <w:sz w:val="24"/>
        </w:rPr>
        <w:t xml:space="preserve"> </w:t>
      </w:r>
      <w:r>
        <w:rPr>
          <w:sz w:val="24"/>
        </w:rPr>
        <w:t>risk</w:t>
      </w:r>
      <w:r>
        <w:rPr>
          <w:spacing w:val="-1"/>
          <w:sz w:val="24"/>
        </w:rPr>
        <w:t xml:space="preserve"> </w:t>
      </w:r>
      <w:r>
        <w:rPr>
          <w:spacing w:val="-2"/>
          <w:sz w:val="24"/>
        </w:rPr>
        <w:t>scores.</w:t>
      </w:r>
    </w:p>
    <w:p>
      <w:pPr>
        <w:pStyle w:val="ListParagraph"/>
        <w:numPr>
          <w:ilvl w:val="0"/>
          <w:numId w:val="3"/>
        </w:numPr>
        <w:tabs>
          <w:tab w:val="left" w:pos="1584"/>
        </w:tabs>
        <w:spacing w:before="0" w:after="0" w:line="240" w:lineRule="auto"/>
        <w:ind w:left="1584" w:right="1766" w:hanging="360"/>
        <w:jc w:val="left"/>
        <w:rPr>
          <w:sz w:val="24"/>
        </w:rPr>
      </w:pPr>
      <w:r>
        <w:rPr>
          <w:sz w:val="24"/>
        </w:rPr>
        <w:t>Use</w:t>
      </w:r>
      <w:r>
        <w:rPr>
          <w:spacing w:val="-5"/>
          <w:sz w:val="24"/>
        </w:rPr>
        <w:t xml:space="preserve"> </w:t>
      </w:r>
      <w:r>
        <w:rPr>
          <w:sz w:val="24"/>
        </w:rPr>
        <w:t>final</w:t>
      </w:r>
      <w:r>
        <w:rPr>
          <w:spacing w:val="-3"/>
          <w:sz w:val="24"/>
        </w:rPr>
        <w:t xml:space="preserve"> </w:t>
      </w:r>
      <w:r>
        <w:rPr>
          <w:sz w:val="24"/>
        </w:rPr>
        <w:t>risk</w:t>
      </w:r>
      <w:r>
        <w:rPr>
          <w:spacing w:val="-3"/>
          <w:sz w:val="24"/>
        </w:rPr>
        <w:t xml:space="preserve"> </w:t>
      </w:r>
      <w:r>
        <w:rPr>
          <w:sz w:val="24"/>
        </w:rPr>
        <w:t>scores</w:t>
      </w:r>
      <w:r>
        <w:rPr>
          <w:spacing w:val="-4"/>
          <w:sz w:val="24"/>
        </w:rPr>
        <w:t xml:space="preserve"> </w:t>
      </w:r>
      <w:r>
        <w:rPr>
          <w:sz w:val="24"/>
        </w:rPr>
        <w:t>from</w:t>
      </w:r>
      <w:r>
        <w:rPr>
          <w:spacing w:val="-3"/>
          <w:sz w:val="24"/>
        </w:rPr>
        <w:t xml:space="preserve"> </w:t>
      </w:r>
      <w:r>
        <w:rPr>
          <w:sz w:val="24"/>
        </w:rPr>
        <w:t>each</w:t>
      </w:r>
      <w:r>
        <w:rPr>
          <w:spacing w:val="-3"/>
          <w:sz w:val="24"/>
        </w:rPr>
        <w:t xml:space="preserve"> </w:t>
      </w:r>
      <w:r>
        <w:rPr>
          <w:sz w:val="24"/>
        </w:rPr>
        <w:t>year</w:t>
      </w:r>
      <w:r>
        <w:rPr>
          <w:spacing w:val="-3"/>
          <w:sz w:val="24"/>
        </w:rPr>
        <w:t xml:space="preserve"> </w:t>
      </w:r>
      <w:r>
        <w:rPr>
          <w:sz w:val="24"/>
        </w:rPr>
        <w:t>or</w:t>
      </w:r>
      <w:r>
        <w:rPr>
          <w:spacing w:val="-3"/>
          <w:sz w:val="24"/>
        </w:rPr>
        <w:t xml:space="preserve"> </w:t>
      </w:r>
      <w:r>
        <w:rPr>
          <w:sz w:val="24"/>
        </w:rPr>
        <w:t>apply</w:t>
      </w:r>
      <w:r>
        <w:rPr>
          <w:spacing w:val="-3"/>
          <w:sz w:val="24"/>
        </w:rPr>
        <w:t xml:space="preserve"> </w:t>
      </w:r>
      <w:r>
        <w:rPr>
          <w:sz w:val="24"/>
        </w:rPr>
        <w:t>a</w:t>
      </w:r>
      <w:r>
        <w:rPr>
          <w:spacing w:val="-3"/>
          <w:sz w:val="24"/>
        </w:rPr>
        <w:t xml:space="preserve"> </w:t>
      </w:r>
      <w:r>
        <w:rPr>
          <w:sz w:val="24"/>
        </w:rPr>
        <w:t>completion</w:t>
      </w:r>
      <w:r>
        <w:rPr>
          <w:spacing w:val="-3"/>
          <w:sz w:val="24"/>
        </w:rPr>
        <w:t xml:space="preserve"> </w:t>
      </w:r>
      <w:r>
        <w:rPr>
          <w:sz w:val="24"/>
        </w:rPr>
        <w:t>factor</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set</w:t>
      </w:r>
      <w:r>
        <w:rPr>
          <w:spacing w:val="-3"/>
          <w:sz w:val="24"/>
        </w:rPr>
        <w:t xml:space="preserve"> </w:t>
      </w:r>
      <w:r>
        <w:rPr>
          <w:sz w:val="24"/>
        </w:rPr>
        <w:t>of scores to approximate a final score.</w:t>
      </w:r>
    </w:p>
    <w:p>
      <w:pPr>
        <w:pStyle w:val="ListParagraph"/>
        <w:numPr>
          <w:ilvl w:val="0"/>
          <w:numId w:val="3"/>
        </w:numPr>
        <w:tabs>
          <w:tab w:val="left" w:pos="1584"/>
        </w:tabs>
        <w:spacing w:before="0" w:after="0" w:line="240" w:lineRule="auto"/>
        <w:ind w:left="1584" w:right="0" w:hanging="360"/>
        <w:jc w:val="left"/>
        <w:rPr>
          <w:sz w:val="24"/>
        </w:rPr>
      </w:pPr>
      <w:r>
        <w:rPr>
          <w:sz w:val="24"/>
        </w:rPr>
        <w:t>Use</w:t>
      </w:r>
      <w:r>
        <w:rPr>
          <w:spacing w:val="-5"/>
          <w:sz w:val="24"/>
        </w:rPr>
        <w:t xml:space="preserve"> </w:t>
      </w:r>
      <w:r>
        <w:rPr>
          <w:sz w:val="24"/>
        </w:rPr>
        <w:t>the</w:t>
      </w:r>
      <w:r>
        <w:rPr>
          <w:spacing w:val="-1"/>
          <w:sz w:val="24"/>
        </w:rPr>
        <w:t xml:space="preserve"> </w:t>
      </w:r>
      <w:r>
        <w:rPr>
          <w:sz w:val="24"/>
        </w:rPr>
        <w:t>same cohort for each</w:t>
      </w:r>
      <w:r>
        <w:rPr>
          <w:spacing w:val="-1"/>
          <w:sz w:val="24"/>
        </w:rPr>
        <w:t xml:space="preserve"> </w:t>
      </w:r>
      <w:r>
        <w:rPr>
          <w:sz w:val="24"/>
        </w:rPr>
        <w:t>year (for example,</w:t>
      </w:r>
      <w:r>
        <w:rPr>
          <w:spacing w:val="-1"/>
          <w:sz w:val="24"/>
        </w:rPr>
        <w:t xml:space="preserve"> </w:t>
      </w:r>
      <w:r>
        <w:rPr>
          <w:sz w:val="24"/>
        </w:rPr>
        <w:t>the</w:t>
      </w:r>
      <w:r>
        <w:rPr>
          <w:spacing w:val="-2"/>
          <w:sz w:val="24"/>
        </w:rPr>
        <w:t xml:space="preserve"> </w:t>
      </w:r>
      <w:r>
        <w:rPr>
          <w:sz w:val="24"/>
        </w:rPr>
        <w:t xml:space="preserve">July </w:t>
      </w:r>
      <w:r>
        <w:rPr>
          <w:spacing w:val="-2"/>
          <w:sz w:val="24"/>
        </w:rPr>
        <w:t>cohort).</w:t>
      </w:r>
    </w:p>
    <w:p>
      <w:pPr>
        <w:pStyle w:val="ListParagraph"/>
        <w:numPr>
          <w:ilvl w:val="0"/>
          <w:numId w:val="3"/>
        </w:numPr>
        <w:tabs>
          <w:tab w:val="left" w:pos="1584"/>
        </w:tabs>
        <w:spacing w:before="1" w:after="0" w:line="240" w:lineRule="auto"/>
        <w:ind w:left="1584" w:right="1292" w:hanging="360"/>
        <w:jc w:val="left"/>
        <w:rPr>
          <w:sz w:val="24"/>
        </w:rPr>
      </w:pPr>
      <w:r>
        <w:rPr>
          <w:sz w:val="24"/>
        </w:rPr>
        <w:t>Use the same model to estimate all payment year scores. If possible, use the risk adjustment</w:t>
      </w:r>
      <w:r>
        <w:rPr>
          <w:spacing w:val="-4"/>
          <w:sz w:val="24"/>
        </w:rPr>
        <w:t xml:space="preserve"> </w:t>
      </w:r>
      <w:r>
        <w:rPr>
          <w:sz w:val="24"/>
        </w:rPr>
        <w:t>model</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upcoming</w:t>
      </w:r>
      <w:r>
        <w:rPr>
          <w:spacing w:val="-4"/>
          <w:sz w:val="24"/>
        </w:rPr>
        <w:t xml:space="preserve"> </w:t>
      </w:r>
      <w:r>
        <w:rPr>
          <w:sz w:val="24"/>
        </w:rPr>
        <w:t>payment</w:t>
      </w:r>
      <w:r>
        <w:rPr>
          <w:spacing w:val="-4"/>
          <w:sz w:val="24"/>
        </w:rPr>
        <w:t xml:space="preserve"> </w:t>
      </w:r>
      <w:r>
        <w:rPr>
          <w:sz w:val="24"/>
        </w:rPr>
        <w:t>year</w:t>
      </w:r>
      <w:r>
        <w:rPr>
          <w:spacing w:val="-3"/>
          <w:sz w:val="24"/>
        </w:rPr>
        <w:t xml:space="preserve"> </w:t>
      </w:r>
      <w:r>
        <w:rPr>
          <w:sz w:val="24"/>
        </w:rPr>
        <w:t>or</w:t>
      </w:r>
      <w:r>
        <w:rPr>
          <w:spacing w:val="-4"/>
          <w:sz w:val="24"/>
        </w:rPr>
        <w:t xml:space="preserve"> </w:t>
      </w:r>
      <w:r>
        <w:rPr>
          <w:sz w:val="24"/>
        </w:rPr>
        <w:t>apply</w:t>
      </w:r>
      <w:r>
        <w:rPr>
          <w:spacing w:val="-4"/>
          <w:sz w:val="24"/>
        </w:rPr>
        <w:t xml:space="preserve"> </w:t>
      </w:r>
      <w:r>
        <w:rPr>
          <w:sz w:val="24"/>
        </w:rPr>
        <w:t>a</w:t>
      </w:r>
      <w:r>
        <w:rPr>
          <w:spacing w:val="-4"/>
          <w:sz w:val="24"/>
        </w:rPr>
        <w:t xml:space="preserve"> </w:t>
      </w:r>
      <w:r>
        <w:rPr>
          <w:sz w:val="24"/>
        </w:rPr>
        <w:t>conversion</w:t>
      </w:r>
      <w:r>
        <w:rPr>
          <w:spacing w:val="-4"/>
          <w:sz w:val="24"/>
        </w:rPr>
        <w:t xml:space="preserve"> </w:t>
      </w:r>
      <w:r>
        <w:rPr>
          <w:sz w:val="24"/>
        </w:rPr>
        <w:t>factor</w:t>
      </w:r>
      <w:r>
        <w:rPr>
          <w:spacing w:val="-4"/>
          <w:sz w:val="24"/>
        </w:rPr>
        <w:t xml:space="preserve"> </w:t>
      </w:r>
      <w:r>
        <w:rPr>
          <w:sz w:val="24"/>
        </w:rPr>
        <w:t>to</w:t>
      </w:r>
      <w:r>
        <w:rPr>
          <w:spacing w:val="-4"/>
          <w:sz w:val="24"/>
        </w:rPr>
        <w:t xml:space="preserve"> </w:t>
      </w:r>
      <w:r>
        <w:rPr>
          <w:sz w:val="24"/>
        </w:rPr>
        <w:t>each payment year’s risk scores to convert to a single risk model.</w:t>
      </w:r>
    </w:p>
    <w:p>
      <w:pPr>
        <w:pStyle w:val="ListParagraph"/>
        <w:numPr>
          <w:ilvl w:val="0"/>
          <w:numId w:val="2"/>
        </w:numPr>
        <w:tabs>
          <w:tab w:val="left" w:pos="1584"/>
        </w:tabs>
        <w:spacing w:before="0" w:after="0" w:line="240" w:lineRule="auto"/>
        <w:ind w:left="1584" w:right="1389" w:hanging="360"/>
        <w:jc w:val="left"/>
        <w:rPr>
          <w:sz w:val="24"/>
        </w:rPr>
      </w:pPr>
      <w:r>
        <w:rPr>
          <w:sz w:val="24"/>
        </w:rPr>
        <w:t>The</w:t>
      </w:r>
      <w:r>
        <w:rPr>
          <w:spacing w:val="-5"/>
          <w:sz w:val="24"/>
        </w:rPr>
        <w:t xml:space="preserve"> </w:t>
      </w:r>
      <w:r>
        <w:rPr>
          <w:sz w:val="24"/>
        </w:rPr>
        <w:t>model</w:t>
      </w:r>
      <w:r>
        <w:rPr>
          <w:spacing w:val="-3"/>
          <w:sz w:val="24"/>
        </w:rPr>
        <w:t xml:space="preserve"> </w:t>
      </w:r>
      <w:r>
        <w:rPr>
          <w:sz w:val="24"/>
        </w:rPr>
        <w:t>conversion</w:t>
      </w:r>
      <w:r>
        <w:rPr>
          <w:spacing w:val="-3"/>
          <w:sz w:val="24"/>
        </w:rPr>
        <w:t xml:space="preserve"> </w:t>
      </w:r>
      <w:r>
        <w:rPr>
          <w:sz w:val="24"/>
        </w:rPr>
        <w:t>factor</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bid-specific.</w:t>
      </w:r>
      <w:r>
        <w:rPr>
          <w:spacing w:val="-1"/>
          <w:sz w:val="24"/>
        </w:rPr>
        <w:t xml:space="preserve"> </w:t>
      </w:r>
      <w:r>
        <w:rPr>
          <w:sz w:val="24"/>
        </w:rPr>
        <w:t>It</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generated</w:t>
      </w:r>
      <w:r>
        <w:rPr>
          <w:spacing w:val="-2"/>
          <w:sz w:val="24"/>
        </w:rPr>
        <w:t xml:space="preserve"> </w:t>
      </w:r>
      <w:r>
        <w:rPr>
          <w:sz w:val="24"/>
        </w:rPr>
        <w:t>from</w:t>
      </w:r>
      <w:r>
        <w:rPr>
          <w:spacing w:val="-3"/>
          <w:sz w:val="24"/>
        </w:rPr>
        <w:t xml:space="preserve"> </w:t>
      </w:r>
      <w:r>
        <w:rPr>
          <w:sz w:val="24"/>
        </w:rPr>
        <w:t>the</w:t>
      </w:r>
      <w:r>
        <w:rPr>
          <w:spacing w:val="-4"/>
          <w:sz w:val="24"/>
        </w:rPr>
        <w:t xml:space="preserve"> </w:t>
      </w:r>
      <w:r>
        <w:rPr>
          <w:sz w:val="24"/>
        </w:rPr>
        <w:t>risk scores that CMS sends to MAOs to support bidding; however, MAOs should also consider whether other years in their trends have a different conversion factor</w:t>
      </w:r>
    </w:p>
    <w:p>
      <w:pPr>
        <w:pStyle w:val="BodyText"/>
        <w:spacing w:line="274" w:lineRule="exact"/>
        <w:ind w:left="1584"/>
      </w:pPr>
      <w:r>
        <w:t>(for</w:t>
      </w:r>
      <w:r>
        <w:rPr>
          <w:spacing w:val="-3"/>
        </w:rPr>
        <w:t xml:space="preserve"> </w:t>
      </w:r>
      <w:r>
        <w:t>example, when the</w:t>
      </w:r>
      <w:r>
        <w:rPr>
          <w:spacing w:val="-1"/>
        </w:rPr>
        <w:t xml:space="preserve"> </w:t>
      </w:r>
      <w:r>
        <w:t xml:space="preserve">population mix </w:t>
      </w:r>
      <w:r>
        <w:rPr>
          <w:spacing w:val="-2"/>
        </w:rPr>
        <w:t>differs).</w:t>
      </w:r>
    </w:p>
    <w:p>
      <w:pPr>
        <w:pStyle w:val="ListParagraph"/>
        <w:numPr>
          <w:ilvl w:val="0"/>
          <w:numId w:val="2"/>
        </w:numPr>
        <w:tabs>
          <w:tab w:val="left" w:pos="1584"/>
        </w:tabs>
        <w:spacing w:before="0" w:after="0" w:line="240" w:lineRule="auto"/>
        <w:ind w:left="1584" w:right="1326" w:hanging="360"/>
        <w:jc w:val="left"/>
        <w:rPr>
          <w:sz w:val="24"/>
        </w:rPr>
      </w:pPr>
      <w:r>
        <w:rPr>
          <w:sz w:val="24"/>
        </w:rPr>
        <w:t>The</w:t>
      </w:r>
      <w:r>
        <w:rPr>
          <w:spacing w:val="-5"/>
          <w:sz w:val="24"/>
        </w:rPr>
        <w:t xml:space="preserve"> </w:t>
      </w:r>
      <w:r>
        <w:rPr>
          <w:sz w:val="24"/>
        </w:rPr>
        <w:t>conversion</w:t>
      </w:r>
      <w:r>
        <w:rPr>
          <w:spacing w:val="-3"/>
          <w:sz w:val="24"/>
        </w:rPr>
        <w:t xml:space="preserve"> </w:t>
      </w:r>
      <w:r>
        <w:rPr>
          <w:sz w:val="24"/>
        </w:rPr>
        <w:t>factor</w:t>
      </w:r>
      <w:r>
        <w:rPr>
          <w:spacing w:val="-2"/>
          <w:sz w:val="24"/>
        </w:rPr>
        <w:t xml:space="preserve"> </w:t>
      </w:r>
      <w:r>
        <w:rPr>
          <w:sz w:val="24"/>
        </w:rPr>
        <w:t>can</w:t>
      </w:r>
      <w:r>
        <w:rPr>
          <w:spacing w:val="-3"/>
          <w:sz w:val="24"/>
        </w:rPr>
        <w:t xml:space="preserve"> </w:t>
      </w:r>
      <w:r>
        <w:rPr>
          <w:sz w:val="24"/>
        </w:rPr>
        <w:t>be</w:t>
      </w:r>
      <w:r>
        <w:rPr>
          <w:spacing w:val="-4"/>
          <w:sz w:val="24"/>
        </w:rPr>
        <w:t xml:space="preserve"> </w:t>
      </w:r>
      <w:r>
        <w:rPr>
          <w:sz w:val="24"/>
        </w:rPr>
        <w:t>derived</w:t>
      </w:r>
      <w:r>
        <w:rPr>
          <w:spacing w:val="-3"/>
          <w:sz w:val="24"/>
        </w:rPr>
        <w:t xml:space="preserve"> </w:t>
      </w:r>
      <w:r>
        <w:rPr>
          <w:sz w:val="24"/>
        </w:rPr>
        <w:t>by</w:t>
      </w:r>
      <w:r>
        <w:rPr>
          <w:spacing w:val="-1"/>
          <w:sz w:val="24"/>
        </w:rPr>
        <w:t xml:space="preserve"> </w:t>
      </w:r>
      <w:r>
        <w:rPr>
          <w:sz w:val="24"/>
        </w:rPr>
        <w:t>calculating</w:t>
      </w:r>
      <w:r>
        <w:rPr>
          <w:spacing w:val="-3"/>
          <w:sz w:val="24"/>
        </w:rPr>
        <w:t xml:space="preserve"> </w:t>
      </w:r>
      <w:r>
        <w:rPr>
          <w:sz w:val="24"/>
        </w:rPr>
        <w:t>risk</w:t>
      </w:r>
      <w:r>
        <w:rPr>
          <w:spacing w:val="-3"/>
          <w:sz w:val="24"/>
        </w:rPr>
        <w:t xml:space="preserve"> </w:t>
      </w:r>
      <w:r>
        <w:rPr>
          <w:sz w:val="24"/>
        </w:rPr>
        <w:t>scores</w:t>
      </w:r>
      <w:r>
        <w:rPr>
          <w:spacing w:val="-4"/>
          <w:sz w:val="24"/>
        </w:rPr>
        <w:t xml:space="preserve"> </w:t>
      </w:r>
      <w:r>
        <w:rPr>
          <w:sz w:val="24"/>
        </w:rPr>
        <w:t>from</w:t>
      </w:r>
      <w:r>
        <w:rPr>
          <w:spacing w:val="-3"/>
          <w:sz w:val="24"/>
        </w:rPr>
        <w:t xml:space="preserve"> </w:t>
      </w:r>
      <w:r>
        <w:rPr>
          <w:sz w:val="24"/>
        </w:rPr>
        <w:t>a</w:t>
      </w:r>
      <w:r>
        <w:rPr>
          <w:spacing w:val="-5"/>
          <w:sz w:val="24"/>
        </w:rPr>
        <w:t xml:space="preserve"> </w:t>
      </w:r>
      <w:r>
        <w:rPr>
          <w:sz w:val="24"/>
        </w:rPr>
        <w:t>year</w:t>
      </w:r>
      <w:r>
        <w:rPr>
          <w:spacing w:val="-3"/>
          <w:sz w:val="24"/>
        </w:rPr>
        <w:t xml:space="preserve"> </w:t>
      </w:r>
      <w:r>
        <w:rPr>
          <w:sz w:val="24"/>
        </w:rPr>
        <w:t>under</w:t>
      </w:r>
      <w:r>
        <w:rPr>
          <w:spacing w:val="-3"/>
          <w:sz w:val="24"/>
        </w:rPr>
        <w:t xml:space="preserve"> </w:t>
      </w:r>
      <w:r>
        <w:rPr>
          <w:sz w:val="24"/>
        </w:rPr>
        <w:t>two different models. The factor can be a ratio of the scores under each model.</w:t>
      </w:r>
    </w:p>
    <w:p>
      <w:pPr>
        <w:pStyle w:val="ListParagraph"/>
        <w:numPr>
          <w:ilvl w:val="0"/>
          <w:numId w:val="3"/>
        </w:numPr>
        <w:tabs>
          <w:tab w:val="left" w:pos="1584"/>
        </w:tabs>
        <w:spacing w:before="0" w:after="0" w:line="240" w:lineRule="auto"/>
        <w:ind w:left="1584" w:right="1510" w:hanging="360"/>
        <w:jc w:val="left"/>
        <w:rPr>
          <w:sz w:val="24"/>
        </w:rPr>
      </w:pPr>
      <w:r>
        <w:rPr>
          <w:sz w:val="24"/>
        </w:rPr>
        <w:t>MAOs should note that when converting risk scores from one model to another, a conversion</w:t>
      </w:r>
      <w:r>
        <w:rPr>
          <w:spacing w:val="-4"/>
          <w:sz w:val="24"/>
        </w:rPr>
        <w:t xml:space="preserve"> </w:t>
      </w:r>
      <w:r>
        <w:rPr>
          <w:sz w:val="24"/>
        </w:rPr>
        <w:t>between</w:t>
      </w:r>
      <w:r>
        <w:rPr>
          <w:spacing w:val="-4"/>
          <w:sz w:val="24"/>
        </w:rPr>
        <w:t xml:space="preserve"> </w:t>
      </w:r>
      <w:r>
        <w:rPr>
          <w:sz w:val="24"/>
        </w:rPr>
        <w:t>denominator</w:t>
      </w:r>
      <w:r>
        <w:rPr>
          <w:spacing w:val="-4"/>
          <w:sz w:val="24"/>
        </w:rPr>
        <w:t xml:space="preserve"> </w:t>
      </w:r>
      <w:r>
        <w:rPr>
          <w:sz w:val="24"/>
        </w:rPr>
        <w:t>years</w:t>
      </w:r>
      <w:r>
        <w:rPr>
          <w:spacing w:val="-5"/>
          <w:sz w:val="24"/>
        </w:rPr>
        <w:t xml:space="preserve"> </w:t>
      </w:r>
      <w:r>
        <w:rPr>
          <w:sz w:val="24"/>
        </w:rPr>
        <w:t>is,</w:t>
      </w:r>
      <w:r>
        <w:rPr>
          <w:spacing w:val="-4"/>
          <w:sz w:val="24"/>
        </w:rPr>
        <w:t xml:space="preserve"> </w:t>
      </w:r>
      <w:r>
        <w:rPr>
          <w:sz w:val="24"/>
        </w:rPr>
        <w:t>more</w:t>
      </w:r>
      <w:r>
        <w:rPr>
          <w:spacing w:val="-6"/>
          <w:sz w:val="24"/>
        </w:rPr>
        <w:t xml:space="preserve"> </w:t>
      </w:r>
      <w:r>
        <w:rPr>
          <w:sz w:val="24"/>
        </w:rPr>
        <w:t>than</w:t>
      </w:r>
      <w:r>
        <w:rPr>
          <w:spacing w:val="-4"/>
          <w:sz w:val="24"/>
        </w:rPr>
        <w:t xml:space="preserve"> </w:t>
      </w:r>
      <w:r>
        <w:rPr>
          <w:sz w:val="24"/>
        </w:rPr>
        <w:t>likely,</w:t>
      </w:r>
      <w:r>
        <w:rPr>
          <w:spacing w:val="-4"/>
          <w:sz w:val="24"/>
        </w:rPr>
        <w:t xml:space="preserve"> </w:t>
      </w:r>
      <w:r>
        <w:rPr>
          <w:sz w:val="24"/>
        </w:rPr>
        <w:t>occurring</w:t>
      </w:r>
      <w:r>
        <w:rPr>
          <w:spacing w:val="-4"/>
          <w:sz w:val="24"/>
        </w:rPr>
        <w:t xml:space="preserve"> </w:t>
      </w:r>
      <w:r>
        <w:rPr>
          <w:sz w:val="24"/>
        </w:rPr>
        <w:t>also.</w:t>
      </w:r>
      <w:r>
        <w:rPr>
          <w:spacing w:val="-4"/>
          <w:sz w:val="24"/>
        </w:rPr>
        <w:t xml:space="preserve"> </w:t>
      </w:r>
      <w:r>
        <w:rPr>
          <w:sz w:val="24"/>
        </w:rPr>
        <w:t>The</w:t>
      </w:r>
      <w:r>
        <w:rPr>
          <w:spacing w:val="-5"/>
          <w:sz w:val="24"/>
        </w:rPr>
        <w:t xml:space="preserve"> </w:t>
      </w:r>
      <w:r>
        <w:rPr>
          <w:sz w:val="24"/>
        </w:rPr>
        <w:t>risk scores in the conversion factor should be raw if the factor will be applied to an old model raw risk score, which is then projected to the payment year.</w:t>
      </w:r>
    </w:p>
    <w:p>
      <w:pPr>
        <w:pStyle w:val="ListParagraph"/>
        <w:numPr>
          <w:ilvl w:val="0"/>
          <w:numId w:val="3"/>
        </w:numPr>
        <w:tabs>
          <w:tab w:val="left" w:pos="1584"/>
        </w:tabs>
        <w:spacing w:before="0" w:after="0" w:line="240" w:lineRule="auto"/>
        <w:ind w:left="1584" w:right="1266" w:hanging="360"/>
        <w:jc w:val="left"/>
        <w:rPr>
          <w:sz w:val="24"/>
        </w:rPr>
      </w:pPr>
      <w:r>
        <w:rPr>
          <w:sz w:val="24"/>
        </w:rPr>
        <w:t>Note: If</w:t>
      </w:r>
      <w:r>
        <w:rPr>
          <w:spacing w:val="-1"/>
          <w:sz w:val="24"/>
        </w:rPr>
        <w:t xml:space="preserve"> </w:t>
      </w:r>
      <w:r>
        <w:rPr>
          <w:sz w:val="24"/>
        </w:rPr>
        <w:t>MAOs</w:t>
      </w:r>
      <w:r>
        <w:rPr>
          <w:spacing w:val="-1"/>
          <w:sz w:val="24"/>
        </w:rPr>
        <w:t xml:space="preserve"> </w:t>
      </w:r>
      <w:r>
        <w:rPr>
          <w:sz w:val="24"/>
        </w:rPr>
        <w:t>compare scores</w:t>
      </w:r>
      <w:r>
        <w:rPr>
          <w:spacing w:val="-1"/>
          <w:sz w:val="24"/>
        </w:rPr>
        <w:t xml:space="preserve"> </w:t>
      </w:r>
      <w:r>
        <w:rPr>
          <w:sz w:val="24"/>
        </w:rPr>
        <w:t>within a</w:t>
      </w:r>
      <w:r>
        <w:rPr>
          <w:spacing w:val="-1"/>
          <w:sz w:val="24"/>
        </w:rPr>
        <w:t xml:space="preserve"> </w:t>
      </w:r>
      <w:r>
        <w:rPr>
          <w:sz w:val="24"/>
        </w:rPr>
        <w:t>single</w:t>
      </w:r>
      <w:r>
        <w:rPr>
          <w:spacing w:val="-1"/>
          <w:sz w:val="24"/>
        </w:rPr>
        <w:t xml:space="preserve"> </w:t>
      </w:r>
      <w:r>
        <w:rPr>
          <w:sz w:val="24"/>
        </w:rPr>
        <w:t>cohort, and the risk adjustment models do not have the same denominator year, the raw risk scores should be normalized to the</w:t>
      </w:r>
      <w:r>
        <w:rPr>
          <w:spacing w:val="-3"/>
          <w:sz w:val="24"/>
        </w:rPr>
        <w:t xml:space="preserve"> </w:t>
      </w:r>
      <w:r>
        <w:rPr>
          <w:sz w:val="24"/>
        </w:rPr>
        <w:t>same</w:t>
      </w:r>
      <w:r>
        <w:rPr>
          <w:spacing w:val="-3"/>
          <w:sz w:val="24"/>
        </w:rPr>
        <w:t xml:space="preserve"> </w:t>
      </w:r>
      <w:r>
        <w:rPr>
          <w:sz w:val="24"/>
        </w:rPr>
        <w:t>year.</w:t>
      </w:r>
      <w:r>
        <w:rPr>
          <w:spacing w:val="-3"/>
          <w:sz w:val="24"/>
        </w:rPr>
        <w:t xml:space="preserve"> </w:t>
      </w:r>
      <w:r>
        <w:rPr>
          <w:sz w:val="24"/>
        </w:rPr>
        <w:t>Otherwise,</w:t>
      </w:r>
      <w:r>
        <w:rPr>
          <w:spacing w:val="-3"/>
          <w:sz w:val="24"/>
        </w:rPr>
        <w:t xml:space="preserve"> </w:t>
      </w:r>
      <w:r>
        <w:rPr>
          <w:sz w:val="24"/>
        </w:rPr>
        <w:t>some</w:t>
      </w:r>
      <w:r>
        <w:rPr>
          <w:spacing w:val="-4"/>
          <w:sz w:val="24"/>
        </w:rPr>
        <w:t xml:space="preserve"> </w:t>
      </w:r>
      <w:r>
        <w:rPr>
          <w:sz w:val="24"/>
        </w:rPr>
        <w:t>portion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ratio</w:t>
      </w:r>
      <w:r>
        <w:rPr>
          <w:spacing w:val="-3"/>
          <w:sz w:val="24"/>
        </w:rPr>
        <w:t xml:space="preserve"> </w:t>
      </w:r>
      <w:r>
        <w:rPr>
          <w:sz w:val="24"/>
        </w:rPr>
        <w:t>between</w:t>
      </w:r>
      <w:r>
        <w:rPr>
          <w:spacing w:val="-3"/>
          <w:sz w:val="24"/>
        </w:rPr>
        <w:t xml:space="preserve"> </w:t>
      </w:r>
      <w:r>
        <w:rPr>
          <w:sz w:val="24"/>
        </w:rPr>
        <w:t>the</w:t>
      </w:r>
      <w:r>
        <w:rPr>
          <w:spacing w:val="-3"/>
          <w:sz w:val="24"/>
        </w:rPr>
        <w:t xml:space="preserve"> </w:t>
      </w:r>
      <w:r>
        <w:rPr>
          <w:sz w:val="24"/>
        </w:rPr>
        <w:t>model</w:t>
      </w:r>
      <w:r>
        <w:rPr>
          <w:spacing w:val="-3"/>
          <w:sz w:val="24"/>
        </w:rPr>
        <w:t xml:space="preserve"> </w:t>
      </w:r>
      <w:r>
        <w:rPr>
          <w:sz w:val="24"/>
        </w:rPr>
        <w:t>risk</w:t>
      </w:r>
      <w:r>
        <w:rPr>
          <w:spacing w:val="-3"/>
          <w:sz w:val="24"/>
        </w:rPr>
        <w:t xml:space="preserve"> </w:t>
      </w:r>
      <w:r>
        <w:rPr>
          <w:sz w:val="24"/>
        </w:rPr>
        <w:t>scores</w:t>
      </w:r>
      <w:r>
        <w:rPr>
          <w:spacing w:val="-4"/>
          <w:sz w:val="24"/>
        </w:rPr>
        <w:t xml:space="preserve"> </w:t>
      </w:r>
      <w:r>
        <w:rPr>
          <w:sz w:val="24"/>
        </w:rPr>
        <w:t>will be</w:t>
      </w:r>
      <w:r>
        <w:rPr>
          <w:spacing w:val="-4"/>
          <w:sz w:val="24"/>
        </w:rPr>
        <w:t xml:space="preserve"> </w:t>
      </w:r>
      <w:r>
        <w:rPr>
          <w:sz w:val="24"/>
        </w:rPr>
        <w:t>attributed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more</w:t>
      </w:r>
      <w:r>
        <w:rPr>
          <w:spacing w:val="-2"/>
          <w:sz w:val="24"/>
        </w:rPr>
        <w:t xml:space="preserve"> </w:t>
      </w:r>
      <w:r>
        <w:rPr>
          <w:sz w:val="24"/>
        </w:rPr>
        <w:t>recent</w:t>
      </w:r>
      <w:r>
        <w:rPr>
          <w:spacing w:val="-3"/>
          <w:sz w:val="24"/>
        </w:rPr>
        <w:t xml:space="preserve"> </w:t>
      </w:r>
      <w:r>
        <w:rPr>
          <w:sz w:val="24"/>
        </w:rPr>
        <w:t>denominator,</w:t>
      </w:r>
      <w:r>
        <w:rPr>
          <w:spacing w:val="-3"/>
          <w:sz w:val="24"/>
        </w:rPr>
        <w:t xml:space="preserve"> </w:t>
      </w:r>
      <w:r>
        <w:rPr>
          <w:sz w:val="24"/>
        </w:rPr>
        <w:t>rather</w:t>
      </w:r>
      <w:r>
        <w:rPr>
          <w:spacing w:val="-3"/>
          <w:sz w:val="24"/>
        </w:rPr>
        <w:t xml:space="preserve"> </w:t>
      </w:r>
      <w:r>
        <w:rPr>
          <w:sz w:val="24"/>
        </w:rPr>
        <w:t>than</w:t>
      </w:r>
      <w:r>
        <w:rPr>
          <w:spacing w:val="-3"/>
          <w:sz w:val="24"/>
        </w:rPr>
        <w:t xml:space="preserve"> </w:t>
      </w:r>
      <w:r>
        <w:rPr>
          <w:sz w:val="24"/>
        </w:rPr>
        <w:t>a</w:t>
      </w:r>
      <w:r>
        <w:rPr>
          <w:spacing w:val="-4"/>
          <w:sz w:val="24"/>
        </w:rPr>
        <w:t xml:space="preserve"> </w:t>
      </w:r>
      <w:r>
        <w:rPr>
          <w:sz w:val="24"/>
        </w:rPr>
        <w:t>difference</w:t>
      </w:r>
      <w:r>
        <w:rPr>
          <w:spacing w:val="-4"/>
          <w:sz w:val="24"/>
        </w:rPr>
        <w:t xml:space="preserve"> </w:t>
      </w:r>
      <w:r>
        <w:rPr>
          <w:sz w:val="24"/>
        </w:rPr>
        <w:t>in</w:t>
      </w:r>
      <w:r>
        <w:rPr>
          <w:spacing w:val="-3"/>
          <w:sz w:val="24"/>
        </w:rPr>
        <w:t xml:space="preserve"> </w:t>
      </w:r>
      <w:r>
        <w:rPr>
          <w:sz w:val="24"/>
        </w:rPr>
        <w:t>predicted</w:t>
      </w:r>
      <w:r>
        <w:rPr>
          <w:spacing w:val="-3"/>
          <w:sz w:val="24"/>
        </w:rPr>
        <w:t xml:space="preserve"> </w:t>
      </w:r>
      <w:r>
        <w:rPr>
          <w:sz w:val="24"/>
        </w:rPr>
        <w:t>risk.</w:t>
      </w:r>
    </w:p>
    <w:p>
      <w:pPr>
        <w:pStyle w:val="ListParagraph"/>
        <w:numPr>
          <w:ilvl w:val="0"/>
          <w:numId w:val="3"/>
        </w:numPr>
        <w:tabs>
          <w:tab w:val="left" w:pos="1584"/>
        </w:tabs>
        <w:spacing w:before="0" w:after="0" w:line="240" w:lineRule="auto"/>
        <w:ind w:left="1584" w:right="1306" w:hanging="360"/>
        <w:jc w:val="left"/>
        <w:rPr>
          <w:sz w:val="24"/>
        </w:rPr>
      </w:pPr>
      <w:r>
        <w:rPr>
          <w:sz w:val="24"/>
        </w:rPr>
        <w:t>Divide cohorts into meaningful subgroups using the same considerations used to determine</w:t>
      </w:r>
      <w:r>
        <w:rPr>
          <w:spacing w:val="-5"/>
          <w:sz w:val="24"/>
        </w:rPr>
        <w:t xml:space="preserve"> </w:t>
      </w:r>
      <w:r>
        <w:rPr>
          <w:sz w:val="24"/>
        </w:rPr>
        <w:t>allowed</w:t>
      </w:r>
      <w:r>
        <w:rPr>
          <w:spacing w:val="-2"/>
          <w:sz w:val="24"/>
        </w:rPr>
        <w:t xml:space="preserve"> </w:t>
      </w:r>
      <w:r>
        <w:rPr>
          <w:sz w:val="24"/>
        </w:rPr>
        <w:t>costs</w:t>
      </w:r>
      <w:r>
        <w:rPr>
          <w:spacing w:val="-4"/>
          <w:sz w:val="24"/>
        </w:rPr>
        <w:t xml:space="preserve"> </w:t>
      </w:r>
      <w:r>
        <w:rPr>
          <w:sz w:val="24"/>
        </w:rPr>
        <w:t>and</w:t>
      </w:r>
      <w:r>
        <w:rPr>
          <w:spacing w:val="-4"/>
          <w:sz w:val="24"/>
        </w:rPr>
        <w:t xml:space="preserve"> </w:t>
      </w:r>
      <w:r>
        <w:rPr>
          <w:sz w:val="24"/>
        </w:rPr>
        <w:t>project</w:t>
      </w:r>
      <w:r>
        <w:rPr>
          <w:spacing w:val="-4"/>
          <w:sz w:val="24"/>
        </w:rPr>
        <w:t xml:space="preserve"> </w:t>
      </w:r>
      <w:r>
        <w:rPr>
          <w:sz w:val="24"/>
        </w:rPr>
        <w:t>enrollment</w:t>
      </w:r>
      <w:r>
        <w:rPr>
          <w:spacing w:val="-4"/>
          <w:sz w:val="24"/>
        </w:rPr>
        <w:t xml:space="preserve"> </w:t>
      </w:r>
      <w:r>
        <w:rPr>
          <w:sz w:val="24"/>
        </w:rPr>
        <w:t>in</w:t>
      </w:r>
      <w:r>
        <w:rPr>
          <w:spacing w:val="-4"/>
          <w:sz w:val="24"/>
        </w:rPr>
        <w:t xml:space="preserve"> </w:t>
      </w:r>
      <w:r>
        <w:rPr>
          <w:sz w:val="24"/>
        </w:rPr>
        <w:t>each</w:t>
      </w:r>
      <w:r>
        <w:rPr>
          <w:spacing w:val="-4"/>
          <w:sz w:val="24"/>
        </w:rPr>
        <w:t xml:space="preserve"> </w:t>
      </w:r>
      <w:r>
        <w:rPr>
          <w:sz w:val="24"/>
        </w:rPr>
        <w:t>subgroup</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payment</w:t>
      </w:r>
      <w:r>
        <w:rPr>
          <w:spacing w:val="-4"/>
          <w:sz w:val="24"/>
        </w:rPr>
        <w:t xml:space="preserve"> </w:t>
      </w:r>
      <w:r>
        <w:rPr>
          <w:sz w:val="24"/>
        </w:rPr>
        <w:t>year.</w:t>
      </w:r>
    </w:p>
    <w:p>
      <w:pPr>
        <w:pStyle w:val="ListParagraph"/>
        <w:numPr>
          <w:ilvl w:val="0"/>
          <w:numId w:val="2"/>
        </w:numPr>
        <w:tabs>
          <w:tab w:val="left" w:pos="1584"/>
        </w:tabs>
        <w:spacing w:before="0" w:after="0" w:line="240" w:lineRule="auto"/>
        <w:ind w:left="1584" w:right="1630" w:hanging="360"/>
        <w:jc w:val="left"/>
        <w:rPr>
          <w:sz w:val="24"/>
        </w:rPr>
      </w:pPr>
      <w:r>
        <w:rPr>
          <w:sz w:val="24"/>
        </w:rPr>
        <w:t>Weight</w:t>
      </w:r>
      <w:r>
        <w:rPr>
          <w:spacing w:val="-4"/>
          <w:sz w:val="24"/>
        </w:rPr>
        <w:t xml:space="preserve"> </w:t>
      </w:r>
      <w:r>
        <w:rPr>
          <w:sz w:val="24"/>
        </w:rPr>
        <w:t>subgroup</w:t>
      </w:r>
      <w:r>
        <w:rPr>
          <w:spacing w:val="-4"/>
          <w:sz w:val="24"/>
        </w:rPr>
        <w:t xml:space="preserve"> </w:t>
      </w:r>
      <w:r>
        <w:rPr>
          <w:sz w:val="24"/>
        </w:rPr>
        <w:t>risk</w:t>
      </w:r>
      <w:r>
        <w:rPr>
          <w:spacing w:val="-4"/>
          <w:sz w:val="24"/>
        </w:rPr>
        <w:t xml:space="preserve"> </w:t>
      </w:r>
      <w:r>
        <w:rPr>
          <w:sz w:val="24"/>
        </w:rPr>
        <w:t>scores</w:t>
      </w:r>
      <w:r>
        <w:rPr>
          <w:spacing w:val="-5"/>
          <w:sz w:val="24"/>
        </w:rPr>
        <w:t xml:space="preserve"> </w:t>
      </w:r>
      <w:r>
        <w:rPr>
          <w:sz w:val="24"/>
        </w:rPr>
        <w:t>by</w:t>
      </w:r>
      <w:r>
        <w:rPr>
          <w:spacing w:val="-4"/>
          <w:sz w:val="24"/>
        </w:rPr>
        <w:t xml:space="preserve"> </w:t>
      </w:r>
      <w:r>
        <w:rPr>
          <w:sz w:val="24"/>
        </w:rPr>
        <w:t>enrollment</w:t>
      </w:r>
      <w:r>
        <w:rPr>
          <w:spacing w:val="-4"/>
          <w:sz w:val="24"/>
        </w:rPr>
        <w:t xml:space="preserve"> </w:t>
      </w:r>
      <w:r>
        <w:rPr>
          <w:sz w:val="24"/>
        </w:rPr>
        <w:t>in</w:t>
      </w:r>
      <w:r>
        <w:rPr>
          <w:spacing w:val="-4"/>
          <w:sz w:val="24"/>
        </w:rPr>
        <w:t xml:space="preserve"> </w:t>
      </w:r>
      <w:r>
        <w:rPr>
          <w:sz w:val="24"/>
        </w:rPr>
        <w:t>each</w:t>
      </w:r>
      <w:r>
        <w:rPr>
          <w:spacing w:val="-4"/>
          <w:sz w:val="24"/>
        </w:rPr>
        <w:t xml:space="preserve"> </w:t>
      </w:r>
      <w:r>
        <w:rPr>
          <w:sz w:val="24"/>
        </w:rPr>
        <w:t>subgroup</w:t>
      </w:r>
      <w:r>
        <w:rPr>
          <w:spacing w:val="-4"/>
          <w:sz w:val="24"/>
        </w:rPr>
        <w:t xml:space="preserve"> </w:t>
      </w:r>
      <w:r>
        <w:rPr>
          <w:sz w:val="24"/>
        </w:rPr>
        <w:t>per</w:t>
      </w:r>
      <w:r>
        <w:rPr>
          <w:spacing w:val="-4"/>
          <w:sz w:val="24"/>
        </w:rPr>
        <w:t xml:space="preserve"> </w:t>
      </w:r>
      <w:r>
        <w:rPr>
          <w:sz w:val="24"/>
        </w:rPr>
        <w:t>year</w:t>
      </w:r>
      <w:r>
        <w:rPr>
          <w:spacing w:val="-4"/>
          <w:sz w:val="24"/>
        </w:rPr>
        <w:t xml:space="preserve"> </w:t>
      </w:r>
      <w:r>
        <w:rPr>
          <w:sz w:val="24"/>
        </w:rPr>
        <w:t>to</w:t>
      </w:r>
      <w:r>
        <w:rPr>
          <w:spacing w:val="-4"/>
          <w:sz w:val="24"/>
        </w:rPr>
        <w:t xml:space="preserve"> </w:t>
      </w:r>
      <w:r>
        <w:rPr>
          <w:sz w:val="24"/>
        </w:rPr>
        <w:t>determine annual risk scores for trending.</w:t>
      </w:r>
    </w:p>
    <w:p>
      <w:pPr>
        <w:pStyle w:val="ListParagraph"/>
        <w:numPr>
          <w:ilvl w:val="0"/>
          <w:numId w:val="3"/>
        </w:numPr>
        <w:tabs>
          <w:tab w:val="left" w:pos="1584"/>
        </w:tabs>
        <w:spacing w:before="1" w:after="0" w:line="240" w:lineRule="auto"/>
        <w:ind w:left="1584" w:right="1309" w:hanging="360"/>
        <w:jc w:val="left"/>
        <w:rPr>
          <w:sz w:val="24"/>
        </w:rPr>
      </w:pPr>
      <w:r>
        <w:rPr>
          <w:sz w:val="24"/>
        </w:rPr>
        <w:t>Compare year over year risk scores to obtain a trend factor. Unless the MAO is anticipating changes in coding efforts or population characteristics, more than two years of risk scores will help minimize the effect of random changes in coding patterns</w:t>
      </w:r>
      <w:r>
        <w:rPr>
          <w:spacing w:val="-4"/>
          <w:sz w:val="24"/>
        </w:rPr>
        <w:t xml:space="preserve"> </w:t>
      </w:r>
      <w:r>
        <w:rPr>
          <w:sz w:val="24"/>
        </w:rPr>
        <w:t>and</w:t>
      </w:r>
      <w:r>
        <w:rPr>
          <w:spacing w:val="-3"/>
          <w:sz w:val="24"/>
        </w:rPr>
        <w:t xml:space="preserve"> </w:t>
      </w:r>
      <w:r>
        <w:rPr>
          <w:sz w:val="24"/>
        </w:rPr>
        <w:t>enrolled</w:t>
      </w:r>
      <w:r>
        <w:rPr>
          <w:spacing w:val="-3"/>
          <w:sz w:val="24"/>
        </w:rPr>
        <w:t xml:space="preserve"> </w:t>
      </w:r>
      <w:r>
        <w:rPr>
          <w:sz w:val="24"/>
        </w:rPr>
        <w:t>population.</w:t>
      </w:r>
      <w:r>
        <w:rPr>
          <w:spacing w:val="-3"/>
          <w:sz w:val="24"/>
        </w:rPr>
        <w:t xml:space="preserve"> </w:t>
      </w:r>
      <w:r>
        <w:rPr>
          <w:sz w:val="24"/>
        </w:rPr>
        <w:t>If</w:t>
      </w:r>
      <w:r>
        <w:rPr>
          <w:spacing w:val="-3"/>
          <w:sz w:val="24"/>
        </w:rPr>
        <w:t xml:space="preserve"> </w:t>
      </w:r>
      <w:r>
        <w:rPr>
          <w:sz w:val="24"/>
        </w:rPr>
        <w:t>deviations</w:t>
      </w:r>
      <w:r>
        <w:rPr>
          <w:spacing w:val="-4"/>
          <w:sz w:val="24"/>
        </w:rPr>
        <w:t xml:space="preserve"> </w:t>
      </w:r>
      <w:r>
        <w:rPr>
          <w:sz w:val="24"/>
        </w:rPr>
        <w:t>from</w:t>
      </w:r>
      <w:r>
        <w:rPr>
          <w:spacing w:val="-3"/>
          <w:sz w:val="24"/>
        </w:rPr>
        <w:t xml:space="preserve"> </w:t>
      </w:r>
      <w:r>
        <w:rPr>
          <w:sz w:val="24"/>
        </w:rPr>
        <w:t>previous</w:t>
      </w:r>
      <w:r>
        <w:rPr>
          <w:spacing w:val="-3"/>
          <w:sz w:val="24"/>
        </w:rPr>
        <w:t xml:space="preserve"> </w:t>
      </w:r>
      <w:r>
        <w:rPr>
          <w:sz w:val="24"/>
        </w:rPr>
        <w:t>trend</w:t>
      </w:r>
      <w:r>
        <w:rPr>
          <w:spacing w:val="-3"/>
          <w:sz w:val="24"/>
        </w:rPr>
        <w:t xml:space="preserve"> </w:t>
      </w:r>
      <w:r>
        <w:rPr>
          <w:sz w:val="24"/>
        </w:rPr>
        <w:t>are</w:t>
      </w:r>
      <w:r>
        <w:rPr>
          <w:spacing w:val="-4"/>
          <w:sz w:val="24"/>
        </w:rPr>
        <w:t xml:space="preserve"> </w:t>
      </w:r>
      <w:r>
        <w:rPr>
          <w:sz w:val="24"/>
        </w:rPr>
        <w:t>expected</w:t>
      </w:r>
      <w:r>
        <w:rPr>
          <w:spacing w:val="-3"/>
          <w:sz w:val="24"/>
        </w:rPr>
        <w:t xml:space="preserve"> </w:t>
      </w:r>
      <w:r>
        <w:rPr>
          <w:sz w:val="24"/>
        </w:rPr>
        <w:t>in</w:t>
      </w:r>
      <w:r>
        <w:rPr>
          <w:spacing w:val="-3"/>
          <w:sz w:val="24"/>
        </w:rPr>
        <w:t xml:space="preserve"> </w:t>
      </w:r>
      <w:r>
        <w:rPr>
          <w:sz w:val="24"/>
        </w:rPr>
        <w:t>the payment</w:t>
      </w:r>
      <w:r>
        <w:rPr>
          <w:spacing w:val="-4"/>
          <w:sz w:val="24"/>
        </w:rPr>
        <w:t xml:space="preserve"> </w:t>
      </w:r>
      <w:r>
        <w:rPr>
          <w:sz w:val="24"/>
        </w:rPr>
        <w:t>year,</w:t>
      </w:r>
      <w:r>
        <w:rPr>
          <w:spacing w:val="-4"/>
          <w:sz w:val="24"/>
        </w:rPr>
        <w:t xml:space="preserve"> </w:t>
      </w:r>
      <w:r>
        <w:rPr>
          <w:sz w:val="24"/>
        </w:rPr>
        <w:t>provide</w:t>
      </w:r>
      <w:r>
        <w:rPr>
          <w:spacing w:val="-6"/>
          <w:sz w:val="24"/>
        </w:rPr>
        <w:t xml:space="preserve"> </w:t>
      </w:r>
      <w:r>
        <w:rPr>
          <w:sz w:val="24"/>
        </w:rPr>
        <w:t>justification</w:t>
      </w:r>
      <w:r>
        <w:rPr>
          <w:spacing w:val="-4"/>
          <w:sz w:val="24"/>
        </w:rPr>
        <w:t xml:space="preserve"> </w:t>
      </w:r>
      <w:r>
        <w:rPr>
          <w:sz w:val="24"/>
        </w:rPr>
        <w:t>for</w:t>
      </w:r>
      <w:r>
        <w:rPr>
          <w:spacing w:val="-4"/>
          <w:sz w:val="24"/>
        </w:rPr>
        <w:t xml:space="preserve"> </w:t>
      </w:r>
      <w:r>
        <w:rPr>
          <w:sz w:val="24"/>
        </w:rPr>
        <w:t>such</w:t>
      </w:r>
      <w:r>
        <w:rPr>
          <w:spacing w:val="-4"/>
          <w:sz w:val="24"/>
        </w:rPr>
        <w:t xml:space="preserve"> </w:t>
      </w:r>
      <w:r>
        <w:rPr>
          <w:sz w:val="24"/>
        </w:rPr>
        <w:t>changes</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supporting</w:t>
      </w:r>
      <w:r>
        <w:rPr>
          <w:spacing w:val="-4"/>
          <w:sz w:val="24"/>
        </w:rPr>
        <w:t xml:space="preserve"> </w:t>
      </w:r>
      <w:r>
        <w:rPr>
          <w:sz w:val="24"/>
        </w:rPr>
        <w:t>documentation.</w:t>
      </w:r>
    </w:p>
    <w:p>
      <w:pPr>
        <w:pStyle w:val="ListParagraph"/>
        <w:numPr>
          <w:ilvl w:val="0"/>
          <w:numId w:val="2"/>
        </w:numPr>
        <w:tabs>
          <w:tab w:val="left" w:pos="1584"/>
        </w:tabs>
        <w:spacing w:before="0" w:after="0" w:line="240" w:lineRule="auto"/>
        <w:ind w:left="1584" w:right="1530" w:hanging="360"/>
        <w:jc w:val="left"/>
        <w:rPr>
          <w:sz w:val="24"/>
        </w:rPr>
      </w:pPr>
      <w:r>
        <w:rPr>
          <w:sz w:val="24"/>
        </w:rPr>
        <w:t>If starting with base year risk scores that are blended, MAOs are to assess whether there</w:t>
      </w:r>
      <w:r>
        <w:rPr>
          <w:spacing w:val="-4"/>
          <w:sz w:val="24"/>
        </w:rPr>
        <w:t xml:space="preserve"> </w:t>
      </w:r>
      <w:r>
        <w:rPr>
          <w:sz w:val="24"/>
        </w:rPr>
        <w:t>are</w:t>
      </w:r>
      <w:r>
        <w:rPr>
          <w:spacing w:val="-5"/>
          <w:sz w:val="24"/>
        </w:rPr>
        <w:t xml:space="preserve"> </w:t>
      </w:r>
      <w:r>
        <w:rPr>
          <w:sz w:val="24"/>
        </w:rPr>
        <w:t>bid-specific</w:t>
      </w:r>
      <w:r>
        <w:rPr>
          <w:spacing w:val="-4"/>
          <w:sz w:val="24"/>
        </w:rPr>
        <w:t xml:space="preserve"> </w:t>
      </w:r>
      <w:r>
        <w:rPr>
          <w:sz w:val="24"/>
        </w:rPr>
        <w:t>risk</w:t>
      </w:r>
      <w:r>
        <w:rPr>
          <w:spacing w:val="-1"/>
          <w:sz w:val="24"/>
        </w:rPr>
        <w:t xml:space="preserve"> </w:t>
      </w:r>
      <w:r>
        <w:rPr>
          <w:sz w:val="24"/>
        </w:rPr>
        <w:t>score</w:t>
      </w:r>
      <w:r>
        <w:rPr>
          <w:spacing w:val="-5"/>
          <w:sz w:val="24"/>
        </w:rPr>
        <w:t xml:space="preserve"> </w:t>
      </w:r>
      <w:r>
        <w:rPr>
          <w:sz w:val="24"/>
        </w:rPr>
        <w:t>trends</w:t>
      </w:r>
      <w:r>
        <w:rPr>
          <w:spacing w:val="-4"/>
          <w:sz w:val="24"/>
        </w:rPr>
        <w:t xml:space="preserve"> </w:t>
      </w:r>
      <w:r>
        <w:rPr>
          <w:sz w:val="24"/>
        </w:rPr>
        <w:t>unique</w:t>
      </w:r>
      <w:r>
        <w:rPr>
          <w:spacing w:val="-4"/>
          <w:sz w:val="24"/>
        </w:rPr>
        <w:t xml:space="preserve"> </w:t>
      </w:r>
      <w:r>
        <w:rPr>
          <w:sz w:val="24"/>
        </w:rPr>
        <w:t>to</w:t>
      </w:r>
      <w:r>
        <w:rPr>
          <w:spacing w:val="-3"/>
          <w:sz w:val="24"/>
        </w:rPr>
        <w:t xml:space="preserve"> </w:t>
      </w:r>
      <w:r>
        <w:rPr>
          <w:sz w:val="24"/>
        </w:rPr>
        <w:t>each</w:t>
      </w:r>
      <w:r>
        <w:rPr>
          <w:spacing w:val="-3"/>
          <w:sz w:val="24"/>
        </w:rPr>
        <w:t xml:space="preserve"> </w:t>
      </w:r>
      <w:r>
        <w:rPr>
          <w:sz w:val="24"/>
        </w:rPr>
        <w:t>model</w:t>
      </w:r>
      <w:r>
        <w:rPr>
          <w:spacing w:val="-3"/>
          <w:sz w:val="24"/>
        </w:rPr>
        <w:t xml:space="preserve"> </w:t>
      </w:r>
      <w:r>
        <w:rPr>
          <w:sz w:val="24"/>
        </w:rPr>
        <w:t>and</w:t>
      </w:r>
      <w:r>
        <w:rPr>
          <w:spacing w:val="-3"/>
          <w:sz w:val="24"/>
        </w:rPr>
        <w:t xml:space="preserve"> </w:t>
      </w:r>
      <w:r>
        <w:rPr>
          <w:sz w:val="24"/>
        </w:rPr>
        <w:t>adjust</w:t>
      </w:r>
      <w:r>
        <w:rPr>
          <w:spacing w:val="-2"/>
          <w:sz w:val="24"/>
        </w:rPr>
        <w:t xml:space="preserve"> </w:t>
      </w:r>
      <w:r>
        <w:rPr>
          <w:sz w:val="24"/>
        </w:rPr>
        <w:t>their</w:t>
      </w:r>
      <w:r>
        <w:rPr>
          <w:spacing w:val="-2"/>
          <w:sz w:val="24"/>
        </w:rPr>
        <w:t xml:space="preserve"> </w:t>
      </w:r>
      <w:r>
        <w:rPr>
          <w:sz w:val="24"/>
        </w:rPr>
        <w:t>overall trend accordingly.</w:t>
      </w:r>
    </w:p>
    <w:p>
      <w:pPr>
        <w:pStyle w:val="ListParagraph"/>
        <w:numPr>
          <w:ilvl w:val="0"/>
          <w:numId w:val="2"/>
        </w:numPr>
        <w:tabs>
          <w:tab w:val="left" w:pos="1584"/>
        </w:tabs>
        <w:spacing w:before="0" w:after="0" w:line="240" w:lineRule="auto"/>
        <w:ind w:left="1584" w:right="1286" w:hanging="360"/>
        <w:jc w:val="left"/>
        <w:rPr>
          <w:sz w:val="24"/>
        </w:rPr>
      </w:pPr>
      <w:r>
        <w:rPr>
          <w:sz w:val="24"/>
        </w:rPr>
        <w:t>Use</w:t>
      </w:r>
      <w:r>
        <w:rPr>
          <w:spacing w:val="-5"/>
          <w:sz w:val="24"/>
        </w:rPr>
        <w:t xml:space="preserve"> </w:t>
      </w:r>
      <w:r>
        <w:rPr>
          <w:sz w:val="24"/>
        </w:rPr>
        <w:t>this</w:t>
      </w:r>
      <w:r>
        <w:rPr>
          <w:spacing w:val="-4"/>
          <w:sz w:val="24"/>
        </w:rPr>
        <w:t xml:space="preserve"> </w:t>
      </w:r>
      <w:r>
        <w:rPr>
          <w:sz w:val="24"/>
        </w:rPr>
        <w:t>trend</w:t>
      </w:r>
      <w:r>
        <w:rPr>
          <w:spacing w:val="-3"/>
          <w:sz w:val="24"/>
        </w:rPr>
        <w:t xml:space="preserve"> </w:t>
      </w:r>
      <w:r>
        <w:rPr>
          <w:sz w:val="24"/>
        </w:rPr>
        <w:t>factor</w:t>
      </w:r>
      <w:r>
        <w:rPr>
          <w:spacing w:val="-3"/>
          <w:sz w:val="24"/>
        </w:rPr>
        <w:t xml:space="preserve"> </w:t>
      </w:r>
      <w:r>
        <w:rPr>
          <w:sz w:val="24"/>
        </w:rPr>
        <w:t>to</w:t>
      </w:r>
      <w:r>
        <w:rPr>
          <w:spacing w:val="-3"/>
          <w:sz w:val="24"/>
        </w:rPr>
        <w:t xml:space="preserve"> </w:t>
      </w:r>
      <w:r>
        <w:rPr>
          <w:sz w:val="24"/>
        </w:rPr>
        <w:t>project</w:t>
      </w:r>
      <w:r>
        <w:rPr>
          <w:spacing w:val="-3"/>
          <w:sz w:val="24"/>
        </w:rPr>
        <w:t xml:space="preserve"> </w:t>
      </w:r>
      <w:r>
        <w:rPr>
          <w:sz w:val="24"/>
        </w:rPr>
        <w:t>from</w:t>
      </w:r>
      <w:r>
        <w:rPr>
          <w:spacing w:val="-3"/>
          <w:sz w:val="24"/>
        </w:rPr>
        <w:t xml:space="preserve"> </w:t>
      </w:r>
      <w:r>
        <w:rPr>
          <w:sz w:val="24"/>
        </w:rPr>
        <w:t>base</w:t>
      </w:r>
      <w:r>
        <w:rPr>
          <w:spacing w:val="-4"/>
          <w:sz w:val="24"/>
        </w:rPr>
        <w:t xml:space="preserve"> </w:t>
      </w:r>
      <w:r>
        <w:rPr>
          <w:sz w:val="24"/>
        </w:rPr>
        <w:t>period</w:t>
      </w:r>
      <w:r>
        <w:rPr>
          <w:spacing w:val="-2"/>
          <w:sz w:val="24"/>
        </w:rPr>
        <w:t xml:space="preserve"> </w:t>
      </w:r>
      <w:r>
        <w:rPr>
          <w:sz w:val="24"/>
        </w:rPr>
        <w:t>risk</w:t>
      </w:r>
      <w:r>
        <w:rPr>
          <w:spacing w:val="-3"/>
          <w:sz w:val="24"/>
        </w:rPr>
        <w:t xml:space="preserve"> </w:t>
      </w:r>
      <w:r>
        <w:rPr>
          <w:sz w:val="24"/>
        </w:rPr>
        <w:t>scores</w:t>
      </w:r>
      <w:r>
        <w:rPr>
          <w:spacing w:val="-4"/>
          <w:sz w:val="24"/>
        </w:rPr>
        <w:t xml:space="preserve"> </w:t>
      </w:r>
      <w:r>
        <w:rPr>
          <w:sz w:val="24"/>
        </w:rPr>
        <w:t>to</w:t>
      </w:r>
      <w:r>
        <w:rPr>
          <w:spacing w:val="-3"/>
          <w:sz w:val="24"/>
        </w:rPr>
        <w:t xml:space="preserve"> </w:t>
      </w:r>
      <w:r>
        <w:rPr>
          <w:sz w:val="24"/>
        </w:rPr>
        <w:t>payment</w:t>
      </w:r>
      <w:r>
        <w:rPr>
          <w:spacing w:val="-3"/>
          <w:sz w:val="24"/>
        </w:rPr>
        <w:t xml:space="preserve"> </w:t>
      </w:r>
      <w:r>
        <w:rPr>
          <w:sz w:val="24"/>
        </w:rPr>
        <w:t>(contract)</w:t>
      </w:r>
      <w:r>
        <w:rPr>
          <w:spacing w:val="-3"/>
          <w:sz w:val="24"/>
        </w:rPr>
        <w:t xml:space="preserve"> </w:t>
      </w:r>
      <w:r>
        <w:rPr>
          <w:sz w:val="24"/>
        </w:rPr>
        <w:t>year raw risk scores.</w:t>
      </w:r>
    </w:p>
    <w:p>
      <w:pPr>
        <w:pStyle w:val="ListParagraph"/>
        <w:spacing w:after="0" w:line="240" w:lineRule="auto"/>
        <w:jc w:val="left"/>
        <w:rPr>
          <w:sz w:val="24"/>
        </w:rPr>
        <w:sectPr>
          <w:headerReference w:type="default" r:id="rId59"/>
          <w:footerReference w:type="default" r:id="rId60"/>
          <w:pgSz w:w="12240" w:h="15840"/>
          <w:pgMar w:top="960" w:right="0" w:bottom="940" w:left="1080" w:header="727" w:footer="747"/>
          <w:cols w:space="720"/>
        </w:sectPr>
      </w:pPr>
    </w:p>
    <w:p>
      <w:pPr>
        <w:pStyle w:val="BodyText"/>
        <w:ind w:left="0"/>
        <w:rPr>
          <w:sz w:val="28"/>
        </w:rPr>
      </w:pPr>
    </w:p>
    <w:p>
      <w:pPr>
        <w:pStyle w:val="BodyText"/>
        <w:spacing w:before="62"/>
        <w:ind w:left="0"/>
        <w:rPr>
          <w:sz w:val="28"/>
        </w:rPr>
      </w:pPr>
    </w:p>
    <w:p>
      <w:pPr>
        <w:pStyle w:val="Heading1"/>
        <w:tabs>
          <w:tab w:val="left" w:pos="9930"/>
        </w:tabs>
        <w:rPr>
          <w:u w:val="none"/>
        </w:rPr>
      </w:pPr>
      <w:bookmarkStart w:id="435" w:name="Appendix J – Data Aggregation Examples"/>
      <w:bookmarkEnd w:id="435"/>
      <w:bookmarkStart w:id="436" w:name="_bookmark110"/>
      <w:bookmarkEnd w:id="436"/>
      <w:r>
        <w:rPr>
          <w:spacing w:val="-52"/>
          <w:u w:val="single"/>
        </w:rPr>
        <w:t xml:space="preserve"> </w:t>
      </w:r>
      <w:r>
        <w:rPr>
          <w:u w:val="single"/>
        </w:rPr>
        <w:t>APPENDIX</w:t>
      </w:r>
      <w:r>
        <w:rPr>
          <w:spacing w:val="-7"/>
          <w:u w:val="single"/>
        </w:rPr>
        <w:t xml:space="preserve"> </w:t>
      </w:r>
      <w:r>
        <w:rPr>
          <w:u w:val="single"/>
        </w:rPr>
        <w:t>J</w:t>
      </w:r>
      <w:r>
        <w:rPr>
          <w:spacing w:val="-7"/>
          <w:u w:val="single"/>
        </w:rPr>
        <w:t xml:space="preserve"> </w:t>
      </w:r>
      <w:r>
        <w:rPr>
          <w:u w:val="single"/>
        </w:rPr>
        <w:t>–</w:t>
      </w:r>
      <w:r>
        <w:rPr>
          <w:spacing w:val="-8"/>
          <w:u w:val="single"/>
        </w:rPr>
        <w:t xml:space="preserve"> </w:t>
      </w:r>
      <w:r>
        <w:rPr>
          <w:u w:val="single"/>
        </w:rPr>
        <w:t>DATA</w:t>
      </w:r>
      <w:r>
        <w:rPr>
          <w:spacing w:val="-6"/>
          <w:u w:val="single"/>
        </w:rPr>
        <w:t xml:space="preserve"> </w:t>
      </w:r>
      <w:r>
        <w:rPr>
          <w:u w:val="single"/>
        </w:rPr>
        <w:t>AGGREGATION</w:t>
      </w:r>
      <w:r>
        <w:rPr>
          <w:spacing w:val="-6"/>
          <w:u w:val="single"/>
        </w:rPr>
        <w:t xml:space="preserve"> </w:t>
      </w:r>
      <w:r>
        <w:rPr>
          <w:spacing w:val="-2"/>
          <w:u w:val="single"/>
        </w:rPr>
        <w:t>EXAMPLES</w:t>
      </w:r>
      <w:r>
        <w:rPr>
          <w:u w:val="single"/>
        </w:rPr>
        <w:tab/>
      </w:r>
    </w:p>
    <w:p>
      <w:pPr>
        <w:pStyle w:val="BodyText"/>
        <w:spacing w:before="271"/>
        <w:ind w:right="1443"/>
      </w:pPr>
      <w:r>
        <w:t>This</w:t>
      </w:r>
      <w:r>
        <w:rPr>
          <w:spacing w:val="-4"/>
        </w:rPr>
        <w:t xml:space="preserve"> </w:t>
      </w:r>
      <w:r>
        <w:t>appendix</w:t>
      </w:r>
      <w:r>
        <w:rPr>
          <w:spacing w:val="-3"/>
        </w:rPr>
        <w:t xml:space="preserve"> </w:t>
      </w:r>
      <w:r>
        <w:t>includes</w:t>
      </w:r>
      <w:r>
        <w:rPr>
          <w:spacing w:val="-3"/>
        </w:rPr>
        <w:t xml:space="preserve"> </w:t>
      </w:r>
      <w:r>
        <w:t>examples</w:t>
      </w:r>
      <w:r>
        <w:rPr>
          <w:spacing w:val="-4"/>
        </w:rPr>
        <w:t xml:space="preserve"> </w:t>
      </w:r>
      <w:r>
        <w:t>for</w:t>
      </w:r>
      <w:r>
        <w:rPr>
          <w:spacing w:val="-5"/>
        </w:rPr>
        <w:t xml:space="preserve"> </w:t>
      </w:r>
      <w:r>
        <w:t>aggregating</w:t>
      </w:r>
      <w:r>
        <w:rPr>
          <w:spacing w:val="-1"/>
        </w:rPr>
        <w:t xml:space="preserve"> </w:t>
      </w:r>
      <w:r>
        <w:t>base</w:t>
      </w:r>
      <w:r>
        <w:rPr>
          <w:spacing w:val="-4"/>
        </w:rPr>
        <w:t xml:space="preserve"> </w:t>
      </w:r>
      <w:r>
        <w:t>period</w:t>
      </w:r>
      <w:r>
        <w:rPr>
          <w:spacing w:val="-2"/>
        </w:rPr>
        <w:t xml:space="preserve"> </w:t>
      </w:r>
      <w:r>
        <w:t>experience</w:t>
      </w:r>
      <w:r>
        <w:rPr>
          <w:spacing w:val="-4"/>
        </w:rPr>
        <w:t xml:space="preserve"> </w:t>
      </w:r>
      <w:r>
        <w:t>on</w:t>
      </w:r>
      <w:r>
        <w:rPr>
          <w:spacing w:val="-3"/>
        </w:rPr>
        <w:t xml:space="preserve"> </w:t>
      </w:r>
      <w:r>
        <w:t>Worksheet</w:t>
      </w:r>
      <w:r>
        <w:rPr>
          <w:spacing w:val="-1"/>
        </w:rPr>
        <w:t xml:space="preserve"> </w:t>
      </w:r>
      <w:r>
        <w:t>1</w:t>
      </w:r>
      <w:r>
        <w:rPr>
          <w:spacing w:val="-3"/>
        </w:rPr>
        <w:t xml:space="preserve"> </w:t>
      </w:r>
      <w:r>
        <w:t>of</w:t>
      </w:r>
      <w:r>
        <w:rPr>
          <w:spacing w:val="-3"/>
        </w:rPr>
        <w:t xml:space="preserve"> </w:t>
      </w:r>
      <w:r>
        <w:t>the MA BPT.</w:t>
      </w:r>
    </w:p>
    <w:p>
      <w:pPr>
        <w:spacing w:before="241"/>
        <w:ind w:left="504" w:right="0" w:firstLine="0"/>
        <w:jc w:val="left"/>
        <w:rPr>
          <w:rFonts w:ascii="Arial"/>
          <w:b/>
          <w:sz w:val="21"/>
        </w:rPr>
      </w:pPr>
      <w:r>
        <w:rPr>
          <w:rFonts w:ascii="Arial"/>
          <w:b/>
          <w:sz w:val="21"/>
        </w:rPr>
        <w:t>Example</w:t>
      </w:r>
      <w:r>
        <w:rPr>
          <w:rFonts w:ascii="Arial"/>
          <w:b/>
          <w:spacing w:val="-6"/>
          <w:sz w:val="21"/>
        </w:rPr>
        <w:t xml:space="preserve"> </w:t>
      </w:r>
      <w:r>
        <w:rPr>
          <w:rFonts w:ascii="Arial"/>
          <w:b/>
          <w:sz w:val="21"/>
        </w:rPr>
        <w:t>1:</w:t>
      </w:r>
      <w:r>
        <w:rPr>
          <w:rFonts w:ascii="Arial"/>
          <w:b/>
          <w:spacing w:val="-5"/>
          <w:sz w:val="21"/>
        </w:rPr>
        <w:t xml:space="preserve"> </w:t>
      </w:r>
      <w:r>
        <w:rPr>
          <w:rFonts w:ascii="Arial"/>
          <w:b/>
          <w:sz w:val="21"/>
        </w:rPr>
        <w:t>Formal</w:t>
      </w:r>
      <w:r>
        <w:rPr>
          <w:rFonts w:ascii="Arial"/>
          <w:b/>
          <w:spacing w:val="-5"/>
          <w:sz w:val="21"/>
        </w:rPr>
        <w:t xml:space="preserve"> </w:t>
      </w:r>
      <w:r>
        <w:rPr>
          <w:rFonts w:ascii="Arial"/>
          <w:b/>
          <w:spacing w:val="-2"/>
          <w:sz w:val="21"/>
        </w:rPr>
        <w:t>Crosswalk</w:t>
      </w:r>
    </w:p>
    <w:p>
      <w:pPr>
        <w:pStyle w:val="BodyText"/>
        <w:spacing w:before="117"/>
        <w:ind w:right="1566"/>
      </w:pPr>
      <w:r>
        <w:t>An MAO offers non-segmented plans 001, 002 and 003 in CY2025 and CY2026 and offers non-segmented</w:t>
      </w:r>
      <w:r>
        <w:rPr>
          <w:spacing w:val="-4"/>
        </w:rPr>
        <w:t xml:space="preserve"> </w:t>
      </w:r>
      <w:r>
        <w:t>plans</w:t>
      </w:r>
      <w:r>
        <w:rPr>
          <w:spacing w:val="-4"/>
        </w:rPr>
        <w:t xml:space="preserve"> </w:t>
      </w:r>
      <w:r>
        <w:t>002</w:t>
      </w:r>
      <w:r>
        <w:rPr>
          <w:spacing w:val="-1"/>
        </w:rPr>
        <w:t xml:space="preserve"> </w:t>
      </w:r>
      <w:r>
        <w:t>and</w:t>
      </w:r>
      <w:r>
        <w:rPr>
          <w:spacing w:val="-3"/>
        </w:rPr>
        <w:t xml:space="preserve"> </w:t>
      </w:r>
      <w:r>
        <w:t>003</w:t>
      </w:r>
      <w:r>
        <w:rPr>
          <w:spacing w:val="-3"/>
        </w:rPr>
        <w:t xml:space="preserve"> </w:t>
      </w:r>
      <w:r>
        <w:t>in</w:t>
      </w:r>
      <w:r>
        <w:rPr>
          <w:spacing w:val="-3"/>
        </w:rPr>
        <w:t xml:space="preserve"> </w:t>
      </w:r>
      <w:r>
        <w:t>CY2027.</w:t>
      </w:r>
      <w:r>
        <w:rPr>
          <w:spacing w:val="-3"/>
        </w:rPr>
        <w:t xml:space="preserve"> </w:t>
      </w:r>
      <w:r>
        <w:t>Plan</w:t>
      </w:r>
      <w:r>
        <w:rPr>
          <w:spacing w:val="-3"/>
        </w:rPr>
        <w:t xml:space="preserve"> </w:t>
      </w:r>
      <w:r>
        <w:t>001</w:t>
      </w:r>
      <w:r>
        <w:rPr>
          <w:spacing w:val="-3"/>
        </w:rPr>
        <w:t xml:space="preserve"> </w:t>
      </w:r>
      <w:r>
        <w:t>is</w:t>
      </w:r>
      <w:r>
        <w:rPr>
          <w:spacing w:val="-4"/>
        </w:rPr>
        <w:t xml:space="preserve"> </w:t>
      </w:r>
      <w:r>
        <w:t>consolidated</w:t>
      </w:r>
      <w:r>
        <w:rPr>
          <w:spacing w:val="-4"/>
        </w:rPr>
        <w:t xml:space="preserve"> </w:t>
      </w:r>
      <w:r>
        <w:t>and</w:t>
      </w:r>
      <w:r>
        <w:rPr>
          <w:spacing w:val="-1"/>
        </w:rPr>
        <w:t xml:space="preserve"> </w:t>
      </w:r>
      <w:r>
        <w:t>the</w:t>
      </w:r>
      <w:r>
        <w:rPr>
          <w:spacing w:val="-3"/>
        </w:rPr>
        <w:t xml:space="preserve"> </w:t>
      </w:r>
      <w:r>
        <w:t>membership</w:t>
      </w:r>
      <w:r>
        <w:rPr>
          <w:spacing w:val="-3"/>
        </w:rPr>
        <w:t xml:space="preserve"> </w:t>
      </w:r>
      <w:r>
        <w:t>is formally crosswalked into plan 003 for CY2027 in accordance with the limited exceptions described in CMS annual renewal and non-renewal guidance. Base period experience must be reported on Worksheet 1 of the CY2027 BPTs as follows:</w:t>
      </w:r>
    </w:p>
    <w:p>
      <w:pPr>
        <w:pStyle w:val="ListParagraph"/>
        <w:numPr>
          <w:ilvl w:val="0"/>
          <w:numId w:val="3"/>
        </w:numPr>
        <w:tabs>
          <w:tab w:val="left" w:pos="1584"/>
        </w:tabs>
        <w:spacing w:before="121" w:after="0" w:line="240" w:lineRule="auto"/>
        <w:ind w:left="1584" w:right="1989" w:hanging="360"/>
        <w:jc w:val="left"/>
        <w:rPr>
          <w:sz w:val="24"/>
        </w:rPr>
      </w:pPr>
      <w:r>
        <w:rPr>
          <w:sz w:val="24"/>
        </w:rPr>
        <w:t>For</w:t>
      </w:r>
      <w:r>
        <w:rPr>
          <w:spacing w:val="-4"/>
          <w:sz w:val="24"/>
        </w:rPr>
        <w:t xml:space="preserve"> </w:t>
      </w:r>
      <w:r>
        <w:rPr>
          <w:sz w:val="24"/>
        </w:rPr>
        <w:t>plan</w:t>
      </w:r>
      <w:r>
        <w:rPr>
          <w:spacing w:val="-4"/>
          <w:sz w:val="24"/>
        </w:rPr>
        <w:t xml:space="preserve"> </w:t>
      </w:r>
      <w:r>
        <w:rPr>
          <w:sz w:val="24"/>
        </w:rPr>
        <w:t>002,</w:t>
      </w:r>
      <w:r>
        <w:rPr>
          <w:spacing w:val="-3"/>
          <w:sz w:val="24"/>
        </w:rPr>
        <w:t xml:space="preserve"> </w:t>
      </w:r>
      <w:r>
        <w:rPr>
          <w:sz w:val="24"/>
        </w:rPr>
        <w:t>report</w:t>
      </w:r>
      <w:r>
        <w:rPr>
          <w:spacing w:val="-3"/>
          <w:sz w:val="24"/>
        </w:rPr>
        <w:t xml:space="preserve"> </w:t>
      </w:r>
      <w:r>
        <w:rPr>
          <w:sz w:val="24"/>
        </w:rPr>
        <w:t>aggregate</w:t>
      </w:r>
      <w:r>
        <w:rPr>
          <w:spacing w:val="-3"/>
          <w:sz w:val="24"/>
        </w:rPr>
        <w:t xml:space="preserve"> </w:t>
      </w:r>
      <w:r>
        <w:rPr>
          <w:sz w:val="24"/>
        </w:rPr>
        <w:t>base</w:t>
      </w:r>
      <w:r>
        <w:rPr>
          <w:spacing w:val="-4"/>
          <w:sz w:val="24"/>
        </w:rPr>
        <w:t xml:space="preserve"> </w:t>
      </w:r>
      <w:r>
        <w:rPr>
          <w:sz w:val="24"/>
        </w:rPr>
        <w:t>period</w:t>
      </w:r>
      <w:r>
        <w:rPr>
          <w:spacing w:val="-2"/>
          <w:sz w:val="24"/>
        </w:rPr>
        <w:t xml:space="preserve"> </w:t>
      </w:r>
      <w:r>
        <w:rPr>
          <w:sz w:val="24"/>
        </w:rPr>
        <w:t>experience</w:t>
      </w:r>
      <w:r>
        <w:rPr>
          <w:spacing w:val="-4"/>
          <w:sz w:val="24"/>
        </w:rPr>
        <w:t xml:space="preserve"> </w:t>
      </w:r>
      <w:r>
        <w:rPr>
          <w:sz w:val="24"/>
        </w:rPr>
        <w:t>for</w:t>
      </w:r>
      <w:r>
        <w:rPr>
          <w:spacing w:val="-3"/>
          <w:sz w:val="24"/>
        </w:rPr>
        <w:t xml:space="preserve"> </w:t>
      </w:r>
      <w:r>
        <w:rPr>
          <w:sz w:val="24"/>
        </w:rPr>
        <w:t>plan</w:t>
      </w:r>
      <w:r>
        <w:rPr>
          <w:spacing w:val="-3"/>
          <w:sz w:val="24"/>
        </w:rPr>
        <w:t xml:space="preserve"> </w:t>
      </w:r>
      <w:r>
        <w:rPr>
          <w:sz w:val="24"/>
        </w:rPr>
        <w:t>002</w:t>
      </w:r>
      <w:r>
        <w:rPr>
          <w:spacing w:val="-3"/>
          <w:sz w:val="24"/>
        </w:rPr>
        <w:t xml:space="preserve"> </w:t>
      </w:r>
      <w:r>
        <w:rPr>
          <w:sz w:val="24"/>
        </w:rPr>
        <w:t>(Rule</w:t>
      </w:r>
      <w:r>
        <w:rPr>
          <w:spacing w:val="-3"/>
          <w:sz w:val="24"/>
        </w:rPr>
        <w:t xml:space="preserve"> </w:t>
      </w:r>
      <w:r>
        <w:rPr>
          <w:sz w:val="24"/>
        </w:rPr>
        <w:t>1</w:t>
      </w:r>
      <w:r>
        <w:rPr>
          <w:spacing w:val="-2"/>
          <w:sz w:val="24"/>
        </w:rPr>
        <w:t xml:space="preserve"> </w:t>
      </w:r>
      <w:r>
        <w:rPr>
          <w:sz w:val="24"/>
        </w:rPr>
        <w:t>and Rule 3).</w:t>
      </w:r>
    </w:p>
    <w:p>
      <w:pPr>
        <w:pStyle w:val="ListParagraph"/>
        <w:numPr>
          <w:ilvl w:val="0"/>
          <w:numId w:val="3"/>
        </w:numPr>
        <w:tabs>
          <w:tab w:val="left" w:pos="1584"/>
        </w:tabs>
        <w:spacing w:before="0" w:after="0" w:line="240" w:lineRule="auto"/>
        <w:ind w:left="1584" w:right="0" w:hanging="360"/>
        <w:jc w:val="left"/>
        <w:rPr>
          <w:sz w:val="24"/>
        </w:rPr>
      </w:pPr>
      <w:r>
        <w:rPr>
          <w:sz w:val="24"/>
        </w:rPr>
        <w:t>For</w:t>
      </w:r>
      <w:r>
        <w:rPr>
          <w:spacing w:val="-2"/>
          <w:sz w:val="24"/>
        </w:rPr>
        <w:t xml:space="preserve"> </w:t>
      </w:r>
      <w:r>
        <w:rPr>
          <w:sz w:val="24"/>
        </w:rPr>
        <w:t>plan</w:t>
      </w:r>
      <w:r>
        <w:rPr>
          <w:spacing w:val="-1"/>
          <w:sz w:val="24"/>
        </w:rPr>
        <w:t xml:space="preserve"> </w:t>
      </w:r>
      <w:r>
        <w:rPr>
          <w:sz w:val="24"/>
        </w:rPr>
        <w:t>003, report</w:t>
      </w:r>
      <w:r>
        <w:rPr>
          <w:spacing w:val="-1"/>
          <w:sz w:val="24"/>
        </w:rPr>
        <w:t xml:space="preserve"> </w:t>
      </w:r>
      <w:r>
        <w:rPr>
          <w:sz w:val="24"/>
        </w:rPr>
        <w:t>base</w:t>
      </w:r>
      <w:r>
        <w:rPr>
          <w:spacing w:val="1"/>
          <w:sz w:val="24"/>
        </w:rPr>
        <w:t xml:space="preserve"> </w:t>
      </w:r>
      <w:r>
        <w:rPr>
          <w:sz w:val="24"/>
        </w:rPr>
        <w:t>period experience</w:t>
      </w:r>
      <w:r>
        <w:rPr>
          <w:spacing w:val="-2"/>
          <w:sz w:val="24"/>
        </w:rPr>
        <w:t xml:space="preserve"> </w:t>
      </w:r>
      <w:r>
        <w:rPr>
          <w:sz w:val="24"/>
        </w:rPr>
        <w:t>for plans 001and</w:t>
      </w:r>
      <w:r>
        <w:rPr>
          <w:spacing w:val="-1"/>
          <w:sz w:val="24"/>
        </w:rPr>
        <w:t xml:space="preserve"> </w:t>
      </w:r>
      <w:r>
        <w:rPr>
          <w:sz w:val="24"/>
        </w:rPr>
        <w:t>003 (Rule 1</w:t>
      </w:r>
      <w:r>
        <w:rPr>
          <w:spacing w:val="-1"/>
          <w:sz w:val="24"/>
        </w:rPr>
        <w:t xml:space="preserve"> </w:t>
      </w:r>
      <w:r>
        <w:rPr>
          <w:sz w:val="24"/>
        </w:rPr>
        <w:t>and Rule</w:t>
      </w:r>
      <w:r>
        <w:rPr>
          <w:spacing w:val="-1"/>
          <w:sz w:val="24"/>
        </w:rPr>
        <w:t xml:space="preserve"> </w:t>
      </w:r>
      <w:r>
        <w:rPr>
          <w:spacing w:val="-5"/>
          <w:sz w:val="24"/>
        </w:rPr>
        <w:t>3).</w:t>
      </w:r>
    </w:p>
    <w:p>
      <w:pPr>
        <w:spacing w:before="241"/>
        <w:ind w:left="504" w:right="0" w:firstLine="0"/>
        <w:jc w:val="left"/>
        <w:rPr>
          <w:rFonts w:ascii="Arial"/>
          <w:b/>
          <w:sz w:val="21"/>
        </w:rPr>
      </w:pPr>
      <w:r>
        <w:rPr>
          <w:rFonts w:ascii="Arial"/>
          <w:b/>
          <w:sz w:val="21"/>
        </w:rPr>
        <w:t>Example</w:t>
      </w:r>
      <w:r>
        <w:rPr>
          <w:rFonts w:ascii="Arial"/>
          <w:b/>
          <w:spacing w:val="-7"/>
          <w:sz w:val="21"/>
        </w:rPr>
        <w:t xml:space="preserve"> </w:t>
      </w:r>
      <w:r>
        <w:rPr>
          <w:rFonts w:ascii="Arial"/>
          <w:b/>
          <w:sz w:val="21"/>
        </w:rPr>
        <w:t>2:</w:t>
      </w:r>
      <w:r>
        <w:rPr>
          <w:rFonts w:ascii="Arial"/>
          <w:b/>
          <w:spacing w:val="-7"/>
          <w:sz w:val="21"/>
        </w:rPr>
        <w:t xml:space="preserve"> </w:t>
      </w:r>
      <w:r>
        <w:rPr>
          <w:rFonts w:ascii="Arial"/>
          <w:b/>
          <w:sz w:val="21"/>
        </w:rPr>
        <w:t>Formal</w:t>
      </w:r>
      <w:r>
        <w:rPr>
          <w:rFonts w:ascii="Arial"/>
          <w:b/>
          <w:spacing w:val="-7"/>
          <w:sz w:val="21"/>
        </w:rPr>
        <w:t xml:space="preserve"> </w:t>
      </w:r>
      <w:r>
        <w:rPr>
          <w:rFonts w:ascii="Arial"/>
          <w:b/>
          <w:sz w:val="21"/>
        </w:rPr>
        <w:t>Crosswalk</w:t>
      </w:r>
      <w:r>
        <w:rPr>
          <w:rFonts w:ascii="Arial"/>
          <w:b/>
          <w:spacing w:val="-5"/>
          <w:sz w:val="21"/>
        </w:rPr>
        <w:t xml:space="preserve"> </w:t>
      </w:r>
      <w:r>
        <w:rPr>
          <w:rFonts w:ascii="Arial"/>
          <w:b/>
          <w:sz w:val="21"/>
        </w:rPr>
        <w:t>and</w:t>
      </w:r>
      <w:r>
        <w:rPr>
          <w:rFonts w:ascii="Arial"/>
          <w:b/>
          <w:spacing w:val="-5"/>
          <w:sz w:val="21"/>
        </w:rPr>
        <w:t xml:space="preserve"> </w:t>
      </w:r>
      <w:r>
        <w:rPr>
          <w:rFonts w:ascii="Arial"/>
          <w:b/>
          <w:sz w:val="21"/>
        </w:rPr>
        <w:t>Enrollment</w:t>
      </w:r>
      <w:r>
        <w:rPr>
          <w:rFonts w:ascii="Arial"/>
          <w:b/>
          <w:spacing w:val="-5"/>
          <w:sz w:val="21"/>
        </w:rPr>
        <w:t xml:space="preserve"> </w:t>
      </w:r>
      <w:r>
        <w:rPr>
          <w:rFonts w:ascii="Arial"/>
          <w:b/>
          <w:spacing w:val="-2"/>
          <w:sz w:val="21"/>
        </w:rPr>
        <w:t>Shift</w:t>
      </w:r>
    </w:p>
    <w:p>
      <w:pPr>
        <w:pStyle w:val="BodyText"/>
        <w:spacing w:before="120"/>
        <w:ind w:right="1427"/>
      </w:pPr>
      <w:r>
        <w:t>An MAO offers non-segmented plans 001, 002, and 003 in CY2025 and CY2026 and offers non-segmented</w:t>
      </w:r>
      <w:r>
        <w:rPr>
          <w:spacing w:val="-3"/>
        </w:rPr>
        <w:t xml:space="preserve"> </w:t>
      </w:r>
      <w:r>
        <w:t>plan</w:t>
      </w:r>
      <w:r>
        <w:rPr>
          <w:spacing w:val="-4"/>
        </w:rPr>
        <w:t xml:space="preserve"> </w:t>
      </w:r>
      <w:r>
        <w:t>003</w:t>
      </w:r>
      <w:r>
        <w:rPr>
          <w:spacing w:val="-1"/>
        </w:rPr>
        <w:t xml:space="preserve"> </w:t>
      </w:r>
      <w:r>
        <w:t>and</w:t>
      </w:r>
      <w:r>
        <w:rPr>
          <w:spacing w:val="-3"/>
        </w:rPr>
        <w:t xml:space="preserve"> </w:t>
      </w:r>
      <w:r>
        <w:t>new</w:t>
      </w:r>
      <w:r>
        <w:rPr>
          <w:spacing w:val="-4"/>
        </w:rPr>
        <w:t xml:space="preserve"> </w:t>
      </w:r>
      <w:r>
        <w:t>non-segmented</w:t>
      </w:r>
      <w:r>
        <w:rPr>
          <w:spacing w:val="-1"/>
        </w:rPr>
        <w:t xml:space="preserve"> </w:t>
      </w:r>
      <w:r>
        <w:t>plan</w:t>
      </w:r>
      <w:r>
        <w:rPr>
          <w:spacing w:val="-3"/>
        </w:rPr>
        <w:t xml:space="preserve"> </w:t>
      </w:r>
      <w:r>
        <w:t>004</w:t>
      </w:r>
      <w:r>
        <w:rPr>
          <w:spacing w:val="-3"/>
        </w:rPr>
        <w:t xml:space="preserve"> </w:t>
      </w:r>
      <w:r>
        <w:t>in</w:t>
      </w:r>
      <w:r>
        <w:rPr>
          <w:spacing w:val="-3"/>
        </w:rPr>
        <w:t xml:space="preserve"> </w:t>
      </w:r>
      <w:r>
        <w:t>CY2027.</w:t>
      </w:r>
      <w:r>
        <w:rPr>
          <w:spacing w:val="-3"/>
        </w:rPr>
        <w:t xml:space="preserve"> </w:t>
      </w:r>
      <w:r>
        <w:t>Plan</w:t>
      </w:r>
      <w:r>
        <w:rPr>
          <w:spacing w:val="-3"/>
        </w:rPr>
        <w:t xml:space="preserve"> </w:t>
      </w:r>
      <w:r>
        <w:t>001</w:t>
      </w:r>
      <w:r>
        <w:rPr>
          <w:spacing w:val="-3"/>
        </w:rPr>
        <w:t xml:space="preserve"> </w:t>
      </w:r>
      <w:r>
        <w:t>is</w:t>
      </w:r>
      <w:r>
        <w:rPr>
          <w:spacing w:val="-4"/>
        </w:rPr>
        <w:t xml:space="preserve"> </w:t>
      </w:r>
      <w:r>
        <w:t>consolidated and the membership is formally crosswalked to plan 003 for CY2027 as submitted in HPMS.</w:t>
      </w:r>
    </w:p>
    <w:p>
      <w:pPr>
        <w:pStyle w:val="BodyText"/>
      </w:pPr>
      <w:r>
        <w:t>Plan</w:t>
      </w:r>
      <w:r>
        <w:rPr>
          <w:spacing w:val="-2"/>
        </w:rPr>
        <w:t xml:space="preserve"> </w:t>
      </w:r>
      <w:r>
        <w:t>002</w:t>
      </w:r>
      <w:r>
        <w:rPr>
          <w:spacing w:val="-1"/>
        </w:rPr>
        <w:t xml:space="preserve"> </w:t>
      </w:r>
      <w:r>
        <w:t>is</w:t>
      </w:r>
      <w:r>
        <w:rPr>
          <w:spacing w:val="-1"/>
        </w:rPr>
        <w:t xml:space="preserve"> </w:t>
      </w:r>
      <w:r>
        <w:t>terminated</w:t>
      </w:r>
      <w:r>
        <w:rPr>
          <w:spacing w:val="-2"/>
        </w:rPr>
        <w:t xml:space="preserve"> </w:t>
      </w:r>
      <w:r>
        <w:t>for</w:t>
      </w:r>
      <w:r>
        <w:rPr>
          <w:spacing w:val="-1"/>
        </w:rPr>
        <w:t xml:space="preserve"> </w:t>
      </w:r>
      <w:r>
        <w:t>CY2027</w:t>
      </w:r>
      <w:r>
        <w:rPr>
          <w:spacing w:val="-1"/>
        </w:rPr>
        <w:t xml:space="preserve"> </w:t>
      </w:r>
      <w:r>
        <w:t>and</w:t>
      </w:r>
      <w:r>
        <w:rPr>
          <w:spacing w:val="-1"/>
        </w:rPr>
        <w:t xml:space="preserve"> </w:t>
      </w:r>
      <w:r>
        <w:t>the</w:t>
      </w:r>
      <w:r>
        <w:rPr>
          <w:spacing w:val="-2"/>
        </w:rPr>
        <w:t xml:space="preserve"> </w:t>
      </w:r>
      <w:r>
        <w:t>certifying actuary</w:t>
      </w:r>
      <w:r>
        <w:rPr>
          <w:spacing w:val="-1"/>
        </w:rPr>
        <w:t xml:space="preserve"> </w:t>
      </w:r>
      <w:r>
        <w:t>expects</w:t>
      </w:r>
      <w:r>
        <w:rPr>
          <w:spacing w:val="-2"/>
        </w:rPr>
        <w:t xml:space="preserve"> </w:t>
      </w:r>
      <w:r>
        <w:t>the</w:t>
      </w:r>
      <w:r>
        <w:rPr>
          <w:spacing w:val="-2"/>
        </w:rPr>
        <w:t xml:space="preserve"> </w:t>
      </w:r>
      <w:r>
        <w:t xml:space="preserve">membership </w:t>
      </w:r>
      <w:r>
        <w:rPr>
          <w:spacing w:val="-5"/>
        </w:rPr>
        <w:t>in</w:t>
      </w:r>
    </w:p>
    <w:p>
      <w:pPr>
        <w:pStyle w:val="BodyText"/>
        <w:ind w:right="1326"/>
      </w:pPr>
      <w:r>
        <w:t>plan</w:t>
      </w:r>
      <w:r>
        <w:rPr>
          <w:spacing w:val="-4"/>
        </w:rPr>
        <w:t xml:space="preserve"> </w:t>
      </w:r>
      <w:r>
        <w:t>002</w:t>
      </w:r>
      <w:r>
        <w:rPr>
          <w:spacing w:val="-3"/>
        </w:rPr>
        <w:t xml:space="preserve"> </w:t>
      </w:r>
      <w:r>
        <w:t>to</w:t>
      </w:r>
      <w:r>
        <w:rPr>
          <w:spacing w:val="-3"/>
        </w:rPr>
        <w:t xml:space="preserve"> </w:t>
      </w:r>
      <w:r>
        <w:t>enroll</w:t>
      </w:r>
      <w:r>
        <w:rPr>
          <w:spacing w:val="-3"/>
        </w:rPr>
        <w:t xml:space="preserve"> </w:t>
      </w:r>
      <w:r>
        <w:t>evenly</w:t>
      </w:r>
      <w:r>
        <w:rPr>
          <w:spacing w:val="-1"/>
        </w:rPr>
        <w:t xml:space="preserve"> </w:t>
      </w:r>
      <w:r>
        <w:t>between</w:t>
      </w:r>
      <w:r>
        <w:rPr>
          <w:spacing w:val="-3"/>
        </w:rPr>
        <w:t xml:space="preserve"> </w:t>
      </w:r>
      <w:r>
        <w:t>plan</w:t>
      </w:r>
      <w:r>
        <w:rPr>
          <w:spacing w:val="-4"/>
        </w:rPr>
        <w:t xml:space="preserve"> </w:t>
      </w:r>
      <w:r>
        <w:t>003</w:t>
      </w:r>
      <w:r>
        <w:rPr>
          <w:spacing w:val="-1"/>
        </w:rPr>
        <w:t xml:space="preserve"> </w:t>
      </w:r>
      <w:r>
        <w:t>and</w:t>
      </w:r>
      <w:r>
        <w:rPr>
          <w:spacing w:val="-3"/>
        </w:rPr>
        <w:t xml:space="preserve"> </w:t>
      </w:r>
      <w:r>
        <w:t>plan</w:t>
      </w:r>
      <w:r>
        <w:rPr>
          <w:spacing w:val="-3"/>
        </w:rPr>
        <w:t xml:space="preserve"> </w:t>
      </w:r>
      <w:r>
        <w:t>004;</w:t>
      </w:r>
      <w:r>
        <w:rPr>
          <w:spacing w:val="-3"/>
        </w:rPr>
        <w:t xml:space="preserve"> </w:t>
      </w:r>
      <w:r>
        <w:t>however,</w:t>
      </w:r>
      <w:r>
        <w:rPr>
          <w:spacing w:val="-4"/>
        </w:rPr>
        <w:t xml:space="preserve"> </w:t>
      </w:r>
      <w:r>
        <w:t>there</w:t>
      </w:r>
      <w:r>
        <w:rPr>
          <w:spacing w:val="-4"/>
        </w:rPr>
        <w:t xml:space="preserve"> </w:t>
      </w:r>
      <w:r>
        <w:t>is no</w:t>
      </w:r>
      <w:r>
        <w:rPr>
          <w:spacing w:val="-3"/>
        </w:rPr>
        <w:t xml:space="preserve"> </w:t>
      </w:r>
      <w:r>
        <w:t>formal</w:t>
      </w:r>
      <w:r>
        <w:rPr>
          <w:spacing w:val="-3"/>
        </w:rPr>
        <w:t xml:space="preserve"> </w:t>
      </w:r>
      <w:r>
        <w:t>crosswalk or approved crosswalk exception in place. Base period experience must be reported on Worksheet 1 of the CY2027 BPTs as follows:</w:t>
      </w:r>
    </w:p>
    <w:p>
      <w:pPr>
        <w:pStyle w:val="ListParagraph"/>
        <w:numPr>
          <w:ilvl w:val="0"/>
          <w:numId w:val="3"/>
        </w:numPr>
        <w:tabs>
          <w:tab w:val="left" w:pos="1584"/>
        </w:tabs>
        <w:spacing w:before="121" w:after="0" w:line="240" w:lineRule="auto"/>
        <w:ind w:left="1584" w:right="0" w:hanging="360"/>
        <w:jc w:val="left"/>
        <w:rPr>
          <w:sz w:val="24"/>
        </w:rPr>
      </w:pPr>
      <w:r>
        <w:rPr>
          <w:sz w:val="24"/>
        </w:rPr>
        <w:t>For</w:t>
      </w:r>
      <w:r>
        <w:rPr>
          <w:spacing w:val="-1"/>
          <w:sz w:val="24"/>
        </w:rPr>
        <w:t xml:space="preserve"> </w:t>
      </w:r>
      <w:r>
        <w:rPr>
          <w:sz w:val="24"/>
        </w:rPr>
        <w:t>plan 003, report</w:t>
      </w:r>
      <w:r>
        <w:rPr>
          <w:spacing w:val="-1"/>
          <w:sz w:val="24"/>
        </w:rPr>
        <w:t xml:space="preserve"> </w:t>
      </w:r>
      <w:r>
        <w:rPr>
          <w:sz w:val="24"/>
        </w:rPr>
        <w:t>base</w:t>
      </w:r>
      <w:r>
        <w:rPr>
          <w:spacing w:val="1"/>
          <w:sz w:val="24"/>
        </w:rPr>
        <w:t xml:space="preserve"> </w:t>
      </w:r>
      <w:r>
        <w:rPr>
          <w:sz w:val="24"/>
        </w:rPr>
        <w:t>period</w:t>
      </w:r>
      <w:r>
        <w:rPr>
          <w:spacing w:val="-1"/>
          <w:sz w:val="24"/>
        </w:rPr>
        <w:t xml:space="preserve"> </w:t>
      </w:r>
      <w:r>
        <w:rPr>
          <w:sz w:val="24"/>
        </w:rPr>
        <w:t>experience</w:t>
      </w:r>
      <w:r>
        <w:rPr>
          <w:spacing w:val="-1"/>
          <w:sz w:val="24"/>
        </w:rPr>
        <w:t xml:space="preserve"> </w:t>
      </w:r>
      <w:r>
        <w:rPr>
          <w:sz w:val="24"/>
        </w:rPr>
        <w:t>for</w:t>
      </w:r>
      <w:r>
        <w:rPr>
          <w:spacing w:val="-2"/>
          <w:sz w:val="24"/>
        </w:rPr>
        <w:t xml:space="preserve"> </w:t>
      </w:r>
      <w:r>
        <w:rPr>
          <w:sz w:val="24"/>
        </w:rPr>
        <w:t>plans 001and</w:t>
      </w:r>
      <w:r>
        <w:rPr>
          <w:spacing w:val="-2"/>
          <w:sz w:val="24"/>
        </w:rPr>
        <w:t xml:space="preserve"> </w:t>
      </w:r>
      <w:r>
        <w:rPr>
          <w:sz w:val="24"/>
        </w:rPr>
        <w:t>003 (Rule 1</w:t>
      </w:r>
      <w:r>
        <w:rPr>
          <w:spacing w:val="-1"/>
          <w:sz w:val="24"/>
        </w:rPr>
        <w:t xml:space="preserve"> </w:t>
      </w:r>
      <w:r>
        <w:rPr>
          <w:sz w:val="24"/>
        </w:rPr>
        <w:t xml:space="preserve">and Rule </w:t>
      </w:r>
      <w:r>
        <w:rPr>
          <w:spacing w:val="-5"/>
          <w:sz w:val="24"/>
        </w:rPr>
        <w:t>3).</w:t>
      </w:r>
    </w:p>
    <w:p>
      <w:pPr>
        <w:pStyle w:val="ListParagraph"/>
        <w:numPr>
          <w:ilvl w:val="0"/>
          <w:numId w:val="3"/>
        </w:numPr>
        <w:tabs>
          <w:tab w:val="left" w:pos="1584"/>
        </w:tabs>
        <w:spacing w:before="0" w:after="0" w:line="240" w:lineRule="auto"/>
        <w:ind w:left="1584" w:right="1521" w:hanging="360"/>
        <w:jc w:val="left"/>
        <w:rPr>
          <w:sz w:val="24"/>
        </w:rPr>
      </w:pPr>
      <w:r>
        <w:rPr>
          <w:sz w:val="24"/>
        </w:rPr>
        <w:t>For</w:t>
      </w:r>
      <w:r>
        <w:rPr>
          <w:spacing w:val="-3"/>
          <w:sz w:val="24"/>
        </w:rPr>
        <w:t xml:space="preserve"> </w:t>
      </w:r>
      <w:r>
        <w:rPr>
          <w:sz w:val="24"/>
        </w:rPr>
        <w:t>plan</w:t>
      </w:r>
      <w:r>
        <w:rPr>
          <w:spacing w:val="-3"/>
          <w:sz w:val="24"/>
        </w:rPr>
        <w:t xml:space="preserve"> </w:t>
      </w:r>
      <w:r>
        <w:rPr>
          <w:sz w:val="24"/>
        </w:rPr>
        <w:t>004,</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report</w:t>
      </w:r>
      <w:r>
        <w:rPr>
          <w:spacing w:val="-3"/>
          <w:sz w:val="24"/>
        </w:rPr>
        <w:t xml:space="preserve"> </w:t>
      </w:r>
      <w:r>
        <w:rPr>
          <w:sz w:val="24"/>
        </w:rPr>
        <w:t>base</w:t>
      </w:r>
      <w:r>
        <w:rPr>
          <w:spacing w:val="-4"/>
          <w:sz w:val="24"/>
        </w:rPr>
        <w:t xml:space="preserve"> </w:t>
      </w:r>
      <w:r>
        <w:rPr>
          <w:sz w:val="24"/>
        </w:rPr>
        <w:t>period</w:t>
      </w:r>
      <w:r>
        <w:rPr>
          <w:spacing w:val="-2"/>
          <w:sz w:val="24"/>
        </w:rPr>
        <w:t xml:space="preserve"> </w:t>
      </w:r>
      <w:r>
        <w:rPr>
          <w:sz w:val="24"/>
        </w:rPr>
        <w:t>experience</w:t>
      </w:r>
      <w:r>
        <w:rPr>
          <w:spacing w:val="-2"/>
          <w:sz w:val="24"/>
        </w:rPr>
        <w:t xml:space="preserve"> </w:t>
      </w:r>
      <w:r>
        <w:rPr>
          <w:sz w:val="24"/>
        </w:rPr>
        <w:t>(Rule</w:t>
      </w:r>
      <w:r>
        <w:rPr>
          <w:spacing w:val="-3"/>
          <w:sz w:val="24"/>
        </w:rPr>
        <w:t xml:space="preserve"> </w:t>
      </w:r>
      <w:r>
        <w:rPr>
          <w:sz w:val="24"/>
        </w:rPr>
        <w:t>2).</w:t>
      </w:r>
      <w:r>
        <w:rPr>
          <w:spacing w:val="-3"/>
          <w:sz w:val="24"/>
        </w:rPr>
        <w:t xml:space="preserve"> </w:t>
      </w:r>
      <w:r>
        <w:rPr>
          <w:sz w:val="24"/>
        </w:rPr>
        <w:t>Data</w:t>
      </w:r>
      <w:r>
        <w:rPr>
          <w:spacing w:val="-2"/>
          <w:sz w:val="24"/>
        </w:rPr>
        <w:t xml:space="preserve"> </w:t>
      </w:r>
      <w:r>
        <w:rPr>
          <w:sz w:val="24"/>
        </w:rPr>
        <w:t>aggregation</w:t>
      </w:r>
      <w:r>
        <w:rPr>
          <w:spacing w:val="-3"/>
          <w:sz w:val="24"/>
        </w:rPr>
        <w:t xml:space="preserve"> </w:t>
      </w:r>
      <w:r>
        <w:rPr>
          <w:sz w:val="24"/>
        </w:rPr>
        <w:t>is</w:t>
      </w:r>
      <w:r>
        <w:rPr>
          <w:spacing w:val="-3"/>
          <w:sz w:val="24"/>
        </w:rPr>
        <w:t xml:space="preserve"> </w:t>
      </w:r>
      <w:r>
        <w:rPr>
          <w:sz w:val="24"/>
        </w:rPr>
        <w:t xml:space="preserve">not </w:t>
      </w:r>
      <w:r>
        <w:rPr>
          <w:spacing w:val="-2"/>
          <w:sz w:val="24"/>
        </w:rPr>
        <w:t>allowed.</w:t>
      </w:r>
    </w:p>
    <w:p>
      <w:pPr>
        <w:spacing w:before="241"/>
        <w:ind w:left="504" w:right="0" w:firstLine="0"/>
        <w:jc w:val="left"/>
        <w:rPr>
          <w:rFonts w:ascii="Arial"/>
          <w:b/>
          <w:sz w:val="21"/>
        </w:rPr>
      </w:pPr>
      <w:r>
        <w:rPr>
          <w:rFonts w:ascii="Arial"/>
          <w:b/>
          <w:sz w:val="21"/>
        </w:rPr>
        <w:t>Example</w:t>
      </w:r>
      <w:r>
        <w:rPr>
          <w:rFonts w:ascii="Arial"/>
          <w:b/>
          <w:spacing w:val="-11"/>
          <w:sz w:val="21"/>
        </w:rPr>
        <w:t xml:space="preserve"> </w:t>
      </w:r>
      <w:r>
        <w:rPr>
          <w:rFonts w:ascii="Arial"/>
          <w:b/>
          <w:sz w:val="21"/>
        </w:rPr>
        <w:t>3:</w:t>
      </w:r>
      <w:r>
        <w:rPr>
          <w:rFonts w:ascii="Arial"/>
          <w:b/>
          <w:spacing w:val="-10"/>
          <w:sz w:val="21"/>
        </w:rPr>
        <w:t xml:space="preserve"> </w:t>
      </w:r>
      <w:r>
        <w:rPr>
          <w:rFonts w:ascii="Arial"/>
          <w:b/>
          <w:sz w:val="21"/>
        </w:rPr>
        <w:t>PFFS</w:t>
      </w:r>
      <w:r>
        <w:rPr>
          <w:rFonts w:ascii="Arial"/>
          <w:b/>
          <w:spacing w:val="-9"/>
          <w:sz w:val="21"/>
        </w:rPr>
        <w:t xml:space="preserve"> </w:t>
      </w:r>
      <w:r>
        <w:rPr>
          <w:rFonts w:ascii="Arial"/>
          <w:b/>
          <w:sz w:val="21"/>
        </w:rPr>
        <w:t>Non-Network/Net-work</w:t>
      </w:r>
      <w:r>
        <w:rPr>
          <w:rFonts w:ascii="Arial"/>
          <w:b/>
          <w:spacing w:val="-10"/>
          <w:sz w:val="21"/>
        </w:rPr>
        <w:t xml:space="preserve"> </w:t>
      </w:r>
      <w:r>
        <w:rPr>
          <w:rFonts w:ascii="Arial"/>
          <w:b/>
          <w:sz w:val="21"/>
        </w:rPr>
        <w:t>County</w:t>
      </w:r>
      <w:r>
        <w:rPr>
          <w:rFonts w:ascii="Arial"/>
          <w:b/>
          <w:spacing w:val="-11"/>
          <w:sz w:val="21"/>
        </w:rPr>
        <w:t xml:space="preserve"> </w:t>
      </w:r>
      <w:r>
        <w:rPr>
          <w:rFonts w:ascii="Arial"/>
          <w:b/>
          <w:spacing w:val="-2"/>
          <w:sz w:val="21"/>
        </w:rPr>
        <w:t>Reclassification</w:t>
      </w:r>
    </w:p>
    <w:p>
      <w:pPr>
        <w:pStyle w:val="BodyText"/>
        <w:spacing w:before="117"/>
        <w:ind w:right="1326"/>
      </w:pPr>
      <w:r>
        <w:t>An MAO offers PFFS non-network plan Hxxxx-001 and PFFS full network plan Hyyyy-001 in both CY2025, CY2026 and CY2027. However, for CY2026, county A in Hxxxx-001 is reclassified from non-network to full network and is moved from the service area of Hxxxx-001 to the service area of Hyyyy-001. The proportion of Hxxxx-001 members in county A that are moved</w:t>
      </w:r>
      <w:r>
        <w:rPr>
          <w:spacing w:val="-4"/>
        </w:rPr>
        <w:t xml:space="preserve"> </w:t>
      </w:r>
      <w:r>
        <w:t>to</w:t>
      </w:r>
      <w:r>
        <w:rPr>
          <w:spacing w:val="-4"/>
        </w:rPr>
        <w:t xml:space="preserve"> </w:t>
      </w:r>
      <w:r>
        <w:t>Hyyyy-001</w:t>
      </w:r>
      <w:r>
        <w:rPr>
          <w:spacing w:val="-4"/>
        </w:rPr>
        <w:t xml:space="preserve"> </w:t>
      </w:r>
      <w:r>
        <w:t>via</w:t>
      </w:r>
      <w:r>
        <w:rPr>
          <w:spacing w:val="-3"/>
        </w:rPr>
        <w:t xml:space="preserve"> </w:t>
      </w:r>
      <w:r>
        <w:t>MARx</w:t>
      </w:r>
      <w:r>
        <w:rPr>
          <w:spacing w:val="-4"/>
        </w:rPr>
        <w:t xml:space="preserve"> </w:t>
      </w:r>
      <w:r>
        <w:t>enrollment</w:t>
      </w:r>
      <w:r>
        <w:rPr>
          <w:spacing w:val="-4"/>
        </w:rPr>
        <w:t xml:space="preserve"> </w:t>
      </w:r>
      <w:r>
        <w:t>transactions</w:t>
      </w:r>
      <w:r>
        <w:rPr>
          <w:spacing w:val="-4"/>
        </w:rPr>
        <w:t xml:space="preserve"> </w:t>
      </w:r>
      <w:r>
        <w:t>under</w:t>
      </w:r>
      <w:r>
        <w:rPr>
          <w:spacing w:val="-5"/>
        </w:rPr>
        <w:t xml:space="preserve"> </w:t>
      </w:r>
      <w:r>
        <w:t>an</w:t>
      </w:r>
      <w:r>
        <w:rPr>
          <w:spacing w:val="-3"/>
        </w:rPr>
        <w:t xml:space="preserve"> </w:t>
      </w:r>
      <w:r>
        <w:t>approved</w:t>
      </w:r>
      <w:r>
        <w:rPr>
          <w:spacing w:val="-4"/>
        </w:rPr>
        <w:t xml:space="preserve"> </w:t>
      </w:r>
      <w:r>
        <w:t>crosswalk</w:t>
      </w:r>
      <w:r>
        <w:rPr>
          <w:spacing w:val="-3"/>
        </w:rPr>
        <w:t xml:space="preserve"> </w:t>
      </w:r>
      <w:r>
        <w:t>exception is greater than the MA level of significance determined by the certifying actuary.</w:t>
      </w:r>
    </w:p>
    <w:p>
      <w:pPr>
        <w:pStyle w:val="BodyText"/>
        <w:spacing w:before="121"/>
        <w:ind w:right="1443"/>
      </w:pPr>
      <w:r>
        <w:t>Also,</w:t>
      </w:r>
      <w:r>
        <w:rPr>
          <w:spacing w:val="-3"/>
        </w:rPr>
        <w:t xml:space="preserve"> </w:t>
      </w:r>
      <w:r>
        <w:t>for</w:t>
      </w:r>
      <w:r>
        <w:rPr>
          <w:spacing w:val="-5"/>
        </w:rPr>
        <w:t xml:space="preserve"> </w:t>
      </w:r>
      <w:r>
        <w:t>CY2027,</w:t>
      </w:r>
      <w:r>
        <w:rPr>
          <w:spacing w:val="-3"/>
        </w:rPr>
        <w:t xml:space="preserve"> </w:t>
      </w:r>
      <w:r>
        <w:t>county</w:t>
      </w:r>
      <w:r>
        <w:rPr>
          <w:spacing w:val="-3"/>
        </w:rPr>
        <w:t xml:space="preserve"> </w:t>
      </w:r>
      <w:r>
        <w:t>B</w:t>
      </w:r>
      <w:r>
        <w:rPr>
          <w:spacing w:val="-3"/>
        </w:rPr>
        <w:t xml:space="preserve"> </w:t>
      </w:r>
      <w:r>
        <w:t>in</w:t>
      </w:r>
      <w:r>
        <w:rPr>
          <w:spacing w:val="-3"/>
        </w:rPr>
        <w:t xml:space="preserve"> </w:t>
      </w:r>
      <w:r>
        <w:t>Hyyyy-001</w:t>
      </w:r>
      <w:r>
        <w:rPr>
          <w:spacing w:val="-3"/>
        </w:rPr>
        <w:t xml:space="preserve"> </w:t>
      </w:r>
      <w:r>
        <w:t>is</w:t>
      </w:r>
      <w:r>
        <w:rPr>
          <w:spacing w:val="-3"/>
        </w:rPr>
        <w:t xml:space="preserve"> </w:t>
      </w:r>
      <w:r>
        <w:t>reclassified</w:t>
      </w:r>
      <w:r>
        <w:rPr>
          <w:spacing w:val="-3"/>
        </w:rPr>
        <w:t xml:space="preserve"> </w:t>
      </w:r>
      <w:r>
        <w:t>from</w:t>
      </w:r>
      <w:r>
        <w:rPr>
          <w:spacing w:val="-3"/>
        </w:rPr>
        <w:t xml:space="preserve"> </w:t>
      </w:r>
      <w:r>
        <w:t>full</w:t>
      </w:r>
      <w:r>
        <w:rPr>
          <w:spacing w:val="-3"/>
        </w:rPr>
        <w:t xml:space="preserve"> </w:t>
      </w:r>
      <w:r>
        <w:t>network</w:t>
      </w:r>
      <w:r>
        <w:rPr>
          <w:spacing w:val="-3"/>
        </w:rPr>
        <w:t xml:space="preserve"> </w:t>
      </w:r>
      <w:r>
        <w:t>to</w:t>
      </w:r>
      <w:r>
        <w:rPr>
          <w:spacing w:val="-3"/>
        </w:rPr>
        <w:t xml:space="preserve"> </w:t>
      </w:r>
      <w:r>
        <w:t>non-network</w:t>
      </w:r>
      <w:r>
        <w:rPr>
          <w:spacing w:val="-4"/>
        </w:rPr>
        <w:t xml:space="preserve"> </w:t>
      </w:r>
      <w:r>
        <w:t>and is</w:t>
      </w:r>
      <w:r>
        <w:rPr>
          <w:spacing w:val="-3"/>
        </w:rPr>
        <w:t xml:space="preserve"> </w:t>
      </w:r>
      <w:r>
        <w:t>moved</w:t>
      </w:r>
      <w:r>
        <w:rPr>
          <w:spacing w:val="-2"/>
        </w:rPr>
        <w:t xml:space="preserve"> </w:t>
      </w:r>
      <w:r>
        <w:t>from</w:t>
      </w:r>
      <w:r>
        <w:rPr>
          <w:spacing w:val="-2"/>
        </w:rPr>
        <w:t xml:space="preserve"> </w:t>
      </w:r>
      <w:r>
        <w:t>the</w:t>
      </w:r>
      <w:r>
        <w:rPr>
          <w:spacing w:val="-3"/>
        </w:rPr>
        <w:t xml:space="preserve"> </w:t>
      </w:r>
      <w:r>
        <w:t>service</w:t>
      </w:r>
      <w:r>
        <w:rPr>
          <w:spacing w:val="-3"/>
        </w:rPr>
        <w:t xml:space="preserve"> </w:t>
      </w:r>
      <w:r>
        <w:t>area</w:t>
      </w:r>
      <w:r>
        <w:rPr>
          <w:spacing w:val="-3"/>
        </w:rPr>
        <w:t xml:space="preserve"> </w:t>
      </w:r>
      <w:r>
        <w:t>of</w:t>
      </w:r>
      <w:r>
        <w:rPr>
          <w:spacing w:val="-2"/>
        </w:rPr>
        <w:t xml:space="preserve"> </w:t>
      </w:r>
      <w:r>
        <w:t>Hyyyy-001</w:t>
      </w:r>
      <w:r>
        <w:rPr>
          <w:spacing w:val="-2"/>
        </w:rPr>
        <w:t xml:space="preserve"> </w:t>
      </w:r>
      <w:r>
        <w:t>to</w:t>
      </w:r>
      <w:r>
        <w:rPr>
          <w:spacing w:val="-2"/>
        </w:rPr>
        <w:t xml:space="preserve"> </w:t>
      </w:r>
      <w:r>
        <w:t>the</w:t>
      </w:r>
      <w:r>
        <w:rPr>
          <w:spacing w:val="-3"/>
        </w:rPr>
        <w:t xml:space="preserve"> </w:t>
      </w:r>
      <w:r>
        <w:t>service</w:t>
      </w:r>
      <w:r>
        <w:rPr>
          <w:spacing w:val="-3"/>
        </w:rPr>
        <w:t xml:space="preserve"> </w:t>
      </w:r>
      <w:r>
        <w:t>area</w:t>
      </w:r>
      <w:r>
        <w:rPr>
          <w:spacing w:val="-3"/>
        </w:rPr>
        <w:t xml:space="preserve"> </w:t>
      </w:r>
      <w:r>
        <w:t>of</w:t>
      </w:r>
      <w:r>
        <w:rPr>
          <w:spacing w:val="-1"/>
        </w:rPr>
        <w:t xml:space="preserve"> </w:t>
      </w:r>
      <w:r>
        <w:t>Hxxxx-001. In</w:t>
      </w:r>
      <w:r>
        <w:rPr>
          <w:spacing w:val="-2"/>
        </w:rPr>
        <w:t xml:space="preserve"> </w:t>
      </w:r>
      <w:r>
        <w:t>this</w:t>
      </w:r>
      <w:r>
        <w:rPr>
          <w:spacing w:val="-3"/>
        </w:rPr>
        <w:t xml:space="preserve"> </w:t>
      </w:r>
      <w:r>
        <w:t>case,</w:t>
      </w:r>
      <w:r>
        <w:rPr>
          <w:spacing w:val="-2"/>
        </w:rPr>
        <w:t xml:space="preserve"> </w:t>
      </w:r>
      <w:r>
        <w:t xml:space="preserve">the proportion of Hyyyy-001 members in county B that are moved to Hxxxx-001 via MARx enrollment transactions under an approved crosswalk exception is less than the MA level of significance. Base period experience must be reported on Worksheet 1 of the CY2027 BPTs as </w:t>
      </w:r>
      <w:r>
        <w:rPr>
          <w:spacing w:val="-2"/>
        </w:rPr>
        <w:t>follows:</w:t>
      </w:r>
    </w:p>
    <w:p>
      <w:pPr>
        <w:pStyle w:val="ListParagraph"/>
        <w:numPr>
          <w:ilvl w:val="0"/>
          <w:numId w:val="3"/>
        </w:numPr>
        <w:tabs>
          <w:tab w:val="left" w:pos="1584"/>
        </w:tabs>
        <w:spacing w:before="120" w:after="0" w:line="240" w:lineRule="auto"/>
        <w:ind w:left="1584" w:right="1629" w:hanging="360"/>
        <w:jc w:val="left"/>
        <w:rPr>
          <w:sz w:val="24"/>
        </w:rPr>
      </w:pPr>
      <w:r>
        <w:rPr>
          <w:sz w:val="24"/>
        </w:rPr>
        <w:t>For</w:t>
      </w:r>
      <w:r>
        <w:rPr>
          <w:spacing w:val="-4"/>
          <w:sz w:val="24"/>
        </w:rPr>
        <w:t xml:space="preserve"> </w:t>
      </w:r>
      <w:r>
        <w:rPr>
          <w:sz w:val="24"/>
        </w:rPr>
        <w:t>Hxxxx-001,</w:t>
      </w:r>
      <w:r>
        <w:rPr>
          <w:spacing w:val="-2"/>
          <w:sz w:val="24"/>
        </w:rPr>
        <w:t xml:space="preserve"> </w:t>
      </w:r>
      <w:r>
        <w:rPr>
          <w:sz w:val="24"/>
        </w:rPr>
        <w:t>report</w:t>
      </w:r>
      <w:r>
        <w:rPr>
          <w:spacing w:val="-4"/>
          <w:sz w:val="24"/>
        </w:rPr>
        <w:t xml:space="preserve"> </w:t>
      </w:r>
      <w:r>
        <w:rPr>
          <w:sz w:val="24"/>
        </w:rPr>
        <w:t>base</w:t>
      </w:r>
      <w:r>
        <w:rPr>
          <w:spacing w:val="-5"/>
          <w:sz w:val="24"/>
        </w:rPr>
        <w:t xml:space="preserve"> </w:t>
      </w:r>
      <w:r>
        <w:rPr>
          <w:sz w:val="24"/>
        </w:rPr>
        <w:t>period</w:t>
      </w:r>
      <w:r>
        <w:rPr>
          <w:spacing w:val="-3"/>
          <w:sz w:val="24"/>
        </w:rPr>
        <w:t xml:space="preserve"> </w:t>
      </w:r>
      <w:r>
        <w:rPr>
          <w:sz w:val="24"/>
        </w:rPr>
        <w:t>experience</w:t>
      </w:r>
      <w:r>
        <w:rPr>
          <w:spacing w:val="-3"/>
          <w:sz w:val="24"/>
        </w:rPr>
        <w:t xml:space="preserve"> </w:t>
      </w:r>
      <w:r>
        <w:rPr>
          <w:sz w:val="24"/>
        </w:rPr>
        <w:t>for</w:t>
      </w:r>
      <w:r>
        <w:rPr>
          <w:spacing w:val="-4"/>
          <w:sz w:val="24"/>
        </w:rPr>
        <w:t xml:space="preserve"> </w:t>
      </w:r>
      <w:r>
        <w:rPr>
          <w:sz w:val="24"/>
        </w:rPr>
        <w:t>Hxxxx-001</w:t>
      </w:r>
      <w:r>
        <w:rPr>
          <w:spacing w:val="-4"/>
          <w:sz w:val="24"/>
        </w:rPr>
        <w:t xml:space="preserve"> </w:t>
      </w:r>
      <w:r>
        <w:rPr>
          <w:sz w:val="24"/>
        </w:rPr>
        <w:t>(Rule</w:t>
      </w:r>
      <w:r>
        <w:rPr>
          <w:spacing w:val="-4"/>
          <w:sz w:val="24"/>
        </w:rPr>
        <w:t xml:space="preserve"> </w:t>
      </w:r>
      <w:r>
        <w:rPr>
          <w:sz w:val="24"/>
        </w:rPr>
        <w:t>2</w:t>
      </w:r>
      <w:r>
        <w:rPr>
          <w:spacing w:val="-4"/>
          <w:sz w:val="24"/>
        </w:rPr>
        <w:t xml:space="preserve"> </w:t>
      </w:r>
      <w:r>
        <w:rPr>
          <w:sz w:val="24"/>
        </w:rPr>
        <w:t>and</w:t>
      </w:r>
      <w:r>
        <w:rPr>
          <w:spacing w:val="-2"/>
          <w:sz w:val="24"/>
        </w:rPr>
        <w:t xml:space="preserve"> </w:t>
      </w:r>
      <w:r>
        <w:rPr>
          <w:sz w:val="24"/>
        </w:rPr>
        <w:t>Rule</w:t>
      </w:r>
      <w:r>
        <w:rPr>
          <w:spacing w:val="-4"/>
          <w:sz w:val="24"/>
        </w:rPr>
        <w:t xml:space="preserve"> </w:t>
      </w:r>
      <w:r>
        <w:rPr>
          <w:sz w:val="24"/>
        </w:rPr>
        <w:t>3). Data aggregation is not allowed.</w:t>
      </w:r>
    </w:p>
    <w:p>
      <w:pPr>
        <w:pStyle w:val="ListParagraph"/>
        <w:spacing w:after="0" w:line="240" w:lineRule="auto"/>
        <w:jc w:val="left"/>
        <w:rPr>
          <w:sz w:val="24"/>
        </w:rPr>
        <w:sectPr>
          <w:headerReference w:type="default" r:id="rId61"/>
          <w:footerReference w:type="default" r:id="rId62"/>
          <w:pgSz w:w="12240" w:h="15840"/>
          <w:pgMar w:top="960" w:right="0" w:bottom="940" w:left="1080" w:header="727" w:footer="747"/>
          <w:cols w:space="720"/>
        </w:sectPr>
      </w:pPr>
    </w:p>
    <w:p>
      <w:pPr>
        <w:pStyle w:val="BodyText"/>
        <w:spacing w:before="190"/>
        <w:ind w:left="0"/>
      </w:pPr>
    </w:p>
    <w:p>
      <w:pPr>
        <w:pStyle w:val="ListParagraph"/>
        <w:numPr>
          <w:ilvl w:val="0"/>
          <w:numId w:val="3"/>
        </w:numPr>
        <w:tabs>
          <w:tab w:val="left" w:pos="1584"/>
        </w:tabs>
        <w:spacing w:before="0" w:after="0" w:line="240" w:lineRule="auto"/>
        <w:ind w:left="1584" w:right="1673" w:hanging="360"/>
        <w:jc w:val="left"/>
        <w:rPr>
          <w:sz w:val="24"/>
        </w:rPr>
      </w:pPr>
      <w:r>
        <w:rPr>
          <w:sz w:val="24"/>
        </w:rPr>
        <w:t>For</w:t>
      </w:r>
      <w:r>
        <w:rPr>
          <w:spacing w:val="-5"/>
          <w:sz w:val="24"/>
        </w:rPr>
        <w:t xml:space="preserve"> </w:t>
      </w:r>
      <w:r>
        <w:rPr>
          <w:sz w:val="24"/>
        </w:rPr>
        <w:t>Hyyyy-001,</w:t>
      </w:r>
      <w:r>
        <w:rPr>
          <w:spacing w:val="-2"/>
          <w:sz w:val="24"/>
        </w:rPr>
        <w:t xml:space="preserve"> </w:t>
      </w:r>
      <w:r>
        <w:rPr>
          <w:sz w:val="24"/>
        </w:rPr>
        <w:t>report</w:t>
      </w:r>
      <w:r>
        <w:rPr>
          <w:spacing w:val="-3"/>
          <w:sz w:val="24"/>
        </w:rPr>
        <w:t xml:space="preserve"> </w:t>
      </w:r>
      <w:r>
        <w:rPr>
          <w:sz w:val="24"/>
        </w:rPr>
        <w:t>aggregate</w:t>
      </w:r>
      <w:r>
        <w:rPr>
          <w:spacing w:val="-4"/>
          <w:sz w:val="24"/>
        </w:rPr>
        <w:t xml:space="preserve"> </w:t>
      </w:r>
      <w:r>
        <w:rPr>
          <w:sz w:val="24"/>
        </w:rPr>
        <w:t>base</w:t>
      </w:r>
      <w:r>
        <w:rPr>
          <w:spacing w:val="-5"/>
          <w:sz w:val="24"/>
        </w:rPr>
        <w:t xml:space="preserve"> </w:t>
      </w:r>
      <w:r>
        <w:rPr>
          <w:sz w:val="24"/>
        </w:rPr>
        <w:t>period</w:t>
      </w:r>
      <w:r>
        <w:rPr>
          <w:spacing w:val="-4"/>
          <w:sz w:val="24"/>
        </w:rPr>
        <w:t xml:space="preserve"> </w:t>
      </w:r>
      <w:r>
        <w:rPr>
          <w:sz w:val="24"/>
        </w:rPr>
        <w:t>experience</w:t>
      </w:r>
      <w:r>
        <w:rPr>
          <w:spacing w:val="-5"/>
          <w:sz w:val="24"/>
        </w:rPr>
        <w:t xml:space="preserve"> </w:t>
      </w:r>
      <w:r>
        <w:rPr>
          <w:sz w:val="24"/>
        </w:rPr>
        <w:t>for</w:t>
      </w:r>
      <w:r>
        <w:rPr>
          <w:spacing w:val="-6"/>
          <w:sz w:val="24"/>
        </w:rPr>
        <w:t xml:space="preserve"> </w:t>
      </w:r>
      <w:r>
        <w:rPr>
          <w:sz w:val="24"/>
        </w:rPr>
        <w:t>plans</w:t>
      </w:r>
      <w:r>
        <w:rPr>
          <w:spacing w:val="-3"/>
          <w:sz w:val="24"/>
        </w:rPr>
        <w:t xml:space="preserve"> </w:t>
      </w:r>
      <w:r>
        <w:rPr>
          <w:sz w:val="24"/>
        </w:rPr>
        <w:t>Hxxxx-001</w:t>
      </w:r>
      <w:r>
        <w:rPr>
          <w:spacing w:val="-4"/>
          <w:sz w:val="24"/>
        </w:rPr>
        <w:t xml:space="preserve"> </w:t>
      </w:r>
      <w:r>
        <w:rPr>
          <w:sz w:val="24"/>
        </w:rPr>
        <w:t>and Hyyyy-001 (Rule 1 and Rule 3).</w:t>
      </w:r>
    </w:p>
    <w:p>
      <w:pPr>
        <w:spacing w:before="241"/>
        <w:ind w:left="504" w:right="0" w:firstLine="0"/>
        <w:jc w:val="left"/>
        <w:rPr>
          <w:rFonts w:ascii="Arial"/>
          <w:b/>
          <w:sz w:val="21"/>
        </w:rPr>
      </w:pPr>
      <w:r>
        <w:rPr>
          <w:rFonts w:ascii="Arial"/>
          <w:b/>
          <w:sz w:val="21"/>
        </w:rPr>
        <w:t>Example</w:t>
      </w:r>
      <w:r>
        <w:rPr>
          <w:rFonts w:ascii="Arial"/>
          <w:b/>
          <w:spacing w:val="-7"/>
          <w:sz w:val="21"/>
        </w:rPr>
        <w:t xml:space="preserve"> </w:t>
      </w:r>
      <w:r>
        <w:rPr>
          <w:rFonts w:ascii="Arial"/>
          <w:b/>
          <w:sz w:val="21"/>
        </w:rPr>
        <w:t>4:</w:t>
      </w:r>
      <w:r>
        <w:rPr>
          <w:rFonts w:ascii="Arial"/>
          <w:b/>
          <w:spacing w:val="-8"/>
          <w:sz w:val="21"/>
        </w:rPr>
        <w:t xml:space="preserve"> </w:t>
      </w:r>
      <w:r>
        <w:rPr>
          <w:rFonts w:ascii="Arial"/>
          <w:b/>
          <w:sz w:val="21"/>
        </w:rPr>
        <w:t>Crosswalks</w:t>
      </w:r>
      <w:r>
        <w:rPr>
          <w:rFonts w:ascii="Arial"/>
          <w:b/>
          <w:spacing w:val="-5"/>
          <w:sz w:val="21"/>
        </w:rPr>
        <w:t xml:space="preserve"> </w:t>
      </w:r>
      <w:r>
        <w:rPr>
          <w:rFonts w:ascii="Arial"/>
          <w:b/>
          <w:sz w:val="21"/>
        </w:rPr>
        <w:t>in</w:t>
      </w:r>
      <w:r>
        <w:rPr>
          <w:rFonts w:ascii="Arial"/>
          <w:b/>
          <w:spacing w:val="-6"/>
          <w:sz w:val="21"/>
        </w:rPr>
        <w:t xml:space="preserve"> </w:t>
      </w:r>
      <w:r>
        <w:rPr>
          <w:rFonts w:ascii="Arial"/>
          <w:b/>
          <w:sz w:val="21"/>
        </w:rPr>
        <w:t>Successive</w:t>
      </w:r>
      <w:r>
        <w:rPr>
          <w:rFonts w:ascii="Arial"/>
          <w:b/>
          <w:spacing w:val="-8"/>
          <w:sz w:val="21"/>
        </w:rPr>
        <w:t xml:space="preserve"> </w:t>
      </w:r>
      <w:r>
        <w:rPr>
          <w:rFonts w:ascii="Arial"/>
          <w:b/>
          <w:spacing w:val="-4"/>
          <w:sz w:val="21"/>
        </w:rPr>
        <w:t>Years</w:t>
      </w:r>
    </w:p>
    <w:p>
      <w:pPr>
        <w:pStyle w:val="BodyText"/>
        <w:spacing w:before="120"/>
      </w:pPr>
      <w:r>
        <w:t>In</w:t>
      </w:r>
      <w:r>
        <w:rPr>
          <w:spacing w:val="-3"/>
        </w:rPr>
        <w:t xml:space="preserve"> </w:t>
      </w:r>
      <w:r>
        <w:t>CY2025, an</w:t>
      </w:r>
      <w:r>
        <w:rPr>
          <w:spacing w:val="-1"/>
        </w:rPr>
        <w:t xml:space="preserve"> </w:t>
      </w:r>
      <w:r>
        <w:t>MAO</w:t>
      </w:r>
      <w:r>
        <w:rPr>
          <w:spacing w:val="-2"/>
        </w:rPr>
        <w:t xml:space="preserve"> </w:t>
      </w:r>
      <w:r>
        <w:t>offers</w:t>
      </w:r>
      <w:r>
        <w:rPr>
          <w:spacing w:val="-1"/>
        </w:rPr>
        <w:t xml:space="preserve"> </w:t>
      </w:r>
      <w:r>
        <w:t>non-segmented plan 001</w:t>
      </w:r>
      <w:r>
        <w:rPr>
          <w:spacing w:val="-1"/>
        </w:rPr>
        <w:t xml:space="preserve"> </w:t>
      </w:r>
      <w:r>
        <w:t>with</w:t>
      </w:r>
      <w:r>
        <w:rPr>
          <w:spacing w:val="-1"/>
        </w:rPr>
        <w:t xml:space="preserve"> </w:t>
      </w:r>
      <w:r>
        <w:t>100</w:t>
      </w:r>
      <w:r>
        <w:rPr>
          <w:spacing w:val="-1"/>
        </w:rPr>
        <w:t xml:space="preserve"> </w:t>
      </w:r>
      <w:r>
        <w:t>members</w:t>
      </w:r>
      <w:r>
        <w:rPr>
          <w:spacing w:val="-2"/>
        </w:rPr>
        <w:t xml:space="preserve"> </w:t>
      </w:r>
      <w:r>
        <w:t>and</w:t>
      </w:r>
      <w:r>
        <w:rPr>
          <w:spacing w:val="-1"/>
        </w:rPr>
        <w:t xml:space="preserve"> </w:t>
      </w:r>
      <w:r>
        <w:t>non-segmented</w:t>
      </w:r>
      <w:r>
        <w:rPr>
          <w:spacing w:val="-1"/>
        </w:rPr>
        <w:t xml:space="preserve"> </w:t>
      </w:r>
      <w:r>
        <w:rPr>
          <w:spacing w:val="-4"/>
        </w:rPr>
        <w:t>plan</w:t>
      </w:r>
    </w:p>
    <w:p>
      <w:pPr>
        <w:pStyle w:val="BodyText"/>
        <w:ind w:right="1280"/>
      </w:pPr>
      <w:r>
        <w:t>002.</w:t>
      </w:r>
      <w:r>
        <w:rPr>
          <w:spacing w:val="-3"/>
        </w:rPr>
        <w:t xml:space="preserve"> </w:t>
      </w:r>
      <w:r>
        <w:t>For</w:t>
      </w:r>
      <w:r>
        <w:rPr>
          <w:spacing w:val="-4"/>
        </w:rPr>
        <w:t xml:space="preserve"> </w:t>
      </w:r>
      <w:r>
        <w:t>CY2026,</w:t>
      </w:r>
      <w:r>
        <w:rPr>
          <w:spacing w:val="-3"/>
        </w:rPr>
        <w:t xml:space="preserve"> </w:t>
      </w:r>
      <w:r>
        <w:t>50</w:t>
      </w:r>
      <w:r>
        <w:rPr>
          <w:spacing w:val="-3"/>
        </w:rPr>
        <w:t xml:space="preserve"> </w:t>
      </w:r>
      <w:r>
        <w:t>members</w:t>
      </w:r>
      <w:r>
        <w:rPr>
          <w:spacing w:val="-4"/>
        </w:rPr>
        <w:t xml:space="preserve"> </w:t>
      </w:r>
      <w:r>
        <w:t>stayed</w:t>
      </w:r>
      <w:r>
        <w:rPr>
          <w:spacing w:val="-3"/>
        </w:rPr>
        <w:t xml:space="preserve"> </w:t>
      </w:r>
      <w:r>
        <w:t>in</w:t>
      </w:r>
      <w:r>
        <w:rPr>
          <w:spacing w:val="-2"/>
        </w:rPr>
        <w:t xml:space="preserve"> </w:t>
      </w:r>
      <w:r>
        <w:t>plan</w:t>
      </w:r>
      <w:r>
        <w:rPr>
          <w:spacing w:val="-4"/>
        </w:rPr>
        <w:t xml:space="preserve"> </w:t>
      </w:r>
      <w:r>
        <w:t>001</w:t>
      </w:r>
      <w:r>
        <w:rPr>
          <w:spacing w:val="-1"/>
        </w:rPr>
        <w:t xml:space="preserve"> </w:t>
      </w:r>
      <w:r>
        <w:t>and</w:t>
      </w:r>
      <w:r>
        <w:rPr>
          <w:spacing w:val="-3"/>
        </w:rPr>
        <w:t xml:space="preserve"> </w:t>
      </w:r>
      <w:r>
        <w:t>50</w:t>
      </w:r>
      <w:r>
        <w:rPr>
          <w:spacing w:val="-3"/>
        </w:rPr>
        <w:t xml:space="preserve"> </w:t>
      </w:r>
      <w:r>
        <w:t>members</w:t>
      </w:r>
      <w:r>
        <w:rPr>
          <w:spacing w:val="-4"/>
        </w:rPr>
        <w:t xml:space="preserve"> </w:t>
      </w:r>
      <w:r>
        <w:t>were</w:t>
      </w:r>
      <w:r>
        <w:rPr>
          <w:spacing w:val="-2"/>
        </w:rPr>
        <w:t xml:space="preserve"> </w:t>
      </w:r>
      <w:r>
        <w:t>crosswalked</w:t>
      </w:r>
      <w:r>
        <w:rPr>
          <w:spacing w:val="-3"/>
        </w:rPr>
        <w:t xml:space="preserve"> </w:t>
      </w:r>
      <w:r>
        <w:t>to</w:t>
      </w:r>
      <w:r>
        <w:rPr>
          <w:spacing w:val="-3"/>
        </w:rPr>
        <w:t xml:space="preserve"> </w:t>
      </w:r>
      <w:r>
        <w:t>plan</w:t>
      </w:r>
      <w:r>
        <w:rPr>
          <w:spacing w:val="-4"/>
        </w:rPr>
        <w:t xml:space="preserve"> </w:t>
      </w:r>
      <w:r>
        <w:t>002 via MARx enrollment transactions. For CY2027, 25 members stay in plan 001, and 25 members are crosswalked to plan 002 via MARx enrollment transactions. The certifying actuary sets the MA level of significance at 60 percent.</w:t>
      </w:r>
    </w:p>
    <w:p>
      <w:pPr>
        <w:pStyle w:val="BodyText"/>
        <w:spacing w:before="120"/>
      </w:pPr>
      <w:r>
        <w:t>Members</w:t>
      </w:r>
      <w:r>
        <w:rPr>
          <w:spacing w:val="-5"/>
        </w:rPr>
        <w:t xml:space="preserve"> </w:t>
      </w:r>
      <w:r>
        <w:t>in</w:t>
      </w:r>
      <w:r>
        <w:rPr>
          <w:spacing w:val="-1"/>
        </w:rPr>
        <w:t xml:space="preserve"> </w:t>
      </w:r>
      <w:r>
        <w:t>plan</w:t>
      </w:r>
      <w:r>
        <w:rPr>
          <w:spacing w:val="-2"/>
        </w:rPr>
        <w:t xml:space="preserve"> </w:t>
      </w:r>
      <w:r>
        <w:t>001</w:t>
      </w:r>
      <w:r>
        <w:rPr>
          <w:spacing w:val="-1"/>
        </w:rPr>
        <w:t xml:space="preserve"> </w:t>
      </w:r>
      <w:r>
        <w:t>are</w:t>
      </w:r>
      <w:r>
        <w:rPr>
          <w:spacing w:val="1"/>
        </w:rPr>
        <w:t xml:space="preserve"> </w:t>
      </w:r>
      <w:r>
        <w:t>crosswalked</w:t>
      </w:r>
      <w:r>
        <w:rPr>
          <w:spacing w:val="1"/>
        </w:rPr>
        <w:t xml:space="preserve"> </w:t>
      </w:r>
      <w:r>
        <w:t>as</w:t>
      </w:r>
      <w:r>
        <w:rPr>
          <w:spacing w:val="-2"/>
        </w:rPr>
        <w:t xml:space="preserve"> </w:t>
      </w:r>
      <w:r>
        <w:t>shown</w:t>
      </w:r>
      <w:r>
        <w:rPr>
          <w:spacing w:val="-1"/>
        </w:rPr>
        <w:t xml:space="preserve"> </w:t>
      </w:r>
      <w:r>
        <w:t>in</w:t>
      </w:r>
      <w:r>
        <w:rPr>
          <w:spacing w:val="1"/>
        </w:rPr>
        <w:t xml:space="preserve"> </w:t>
      </w:r>
      <w:r>
        <w:t>the</w:t>
      </w:r>
      <w:r>
        <w:rPr>
          <w:spacing w:val="-1"/>
        </w:rPr>
        <w:t xml:space="preserve"> </w:t>
      </w:r>
      <w:r>
        <w:t>table</w:t>
      </w:r>
      <w:r>
        <w:rPr>
          <w:spacing w:val="-2"/>
        </w:rPr>
        <w:t xml:space="preserve"> below.</w:t>
      </w:r>
    </w:p>
    <w:p>
      <w:pPr>
        <w:pStyle w:val="BodyText"/>
        <w:spacing w:before="78"/>
        <w:ind w:left="0"/>
        <w:rPr>
          <w:sz w:val="20"/>
        </w:rPr>
      </w:pPr>
    </w:p>
    <w:tbl>
      <w:tblPr>
        <w:tblStyle w:val="TableNormal"/>
        <w:tblW w:w="0" w:type="auto"/>
        <w:jc w:val="left"/>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7"/>
        <w:gridCol w:w="1694"/>
        <w:gridCol w:w="1898"/>
        <w:gridCol w:w="1892"/>
        <w:gridCol w:w="2339"/>
      </w:tblGrid>
      <w:tr>
        <w:tblPrEx>
          <w:tblW w:w="0" w:type="auto"/>
          <w:jc w:val="left"/>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49"/>
          <w:jc w:val="left"/>
        </w:trPr>
        <w:tc>
          <w:tcPr>
            <w:tcW w:w="6541" w:type="dxa"/>
            <w:gridSpan w:val="4"/>
          </w:tcPr>
          <w:p>
            <w:pPr>
              <w:pStyle w:val="TableParagraph"/>
              <w:rPr>
                <w:sz w:val="18"/>
              </w:rPr>
            </w:pPr>
          </w:p>
        </w:tc>
        <w:tc>
          <w:tcPr>
            <w:tcW w:w="2339" w:type="dxa"/>
          </w:tcPr>
          <w:p>
            <w:pPr>
              <w:pStyle w:val="TableParagraph"/>
              <w:spacing w:line="230" w:lineRule="exact"/>
              <w:ind w:left="342"/>
              <w:rPr>
                <w:b/>
                <w:sz w:val="22"/>
              </w:rPr>
            </w:pPr>
            <w:r>
              <w:rPr>
                <w:b/>
                <w:sz w:val="22"/>
              </w:rPr>
              <w:t>Plan</w:t>
            </w:r>
            <w:r>
              <w:rPr>
                <w:b/>
                <w:spacing w:val="-2"/>
                <w:sz w:val="22"/>
              </w:rPr>
              <w:t xml:space="preserve"> </w:t>
            </w:r>
            <w:r>
              <w:rPr>
                <w:b/>
                <w:sz w:val="22"/>
              </w:rPr>
              <w:t>001</w:t>
            </w:r>
            <w:r>
              <w:rPr>
                <w:b/>
                <w:spacing w:val="-3"/>
                <w:sz w:val="22"/>
              </w:rPr>
              <w:t xml:space="preserve"> </w:t>
            </w:r>
            <w:r>
              <w:rPr>
                <w:b/>
                <w:spacing w:val="-2"/>
                <w:sz w:val="22"/>
              </w:rPr>
              <w:t>Members</w:t>
            </w:r>
          </w:p>
        </w:tc>
      </w:tr>
      <w:tr>
        <w:tblPrEx>
          <w:tblW w:w="0" w:type="auto"/>
          <w:jc w:val="left"/>
          <w:tblInd w:w="725" w:type="dxa"/>
          <w:tblLayout w:type="fixed"/>
          <w:tblCellMar>
            <w:top w:w="0" w:type="dxa"/>
            <w:left w:w="0" w:type="dxa"/>
            <w:bottom w:w="0" w:type="dxa"/>
            <w:right w:w="0" w:type="dxa"/>
          </w:tblCellMar>
          <w:tblLook w:val="01E0"/>
        </w:tblPrEx>
        <w:trPr>
          <w:trHeight w:val="324"/>
          <w:jc w:val="left"/>
        </w:trPr>
        <w:tc>
          <w:tcPr>
            <w:tcW w:w="1057" w:type="dxa"/>
          </w:tcPr>
          <w:p>
            <w:pPr>
              <w:pStyle w:val="TableParagraph"/>
              <w:rPr>
                <w:sz w:val="22"/>
              </w:rPr>
            </w:pPr>
          </w:p>
        </w:tc>
        <w:tc>
          <w:tcPr>
            <w:tcW w:w="1694" w:type="dxa"/>
          </w:tcPr>
          <w:p>
            <w:pPr>
              <w:pStyle w:val="TableParagraph"/>
              <w:spacing w:line="250" w:lineRule="exact"/>
              <w:ind w:left="564"/>
              <w:rPr>
                <w:b/>
                <w:sz w:val="22"/>
              </w:rPr>
            </w:pPr>
            <w:r>
              <w:rPr>
                <w:b/>
                <w:spacing w:val="-2"/>
                <w:sz w:val="22"/>
              </w:rPr>
              <w:t>CY2025</w:t>
            </w:r>
          </w:p>
        </w:tc>
        <w:tc>
          <w:tcPr>
            <w:tcW w:w="1898" w:type="dxa"/>
          </w:tcPr>
          <w:p>
            <w:pPr>
              <w:pStyle w:val="TableParagraph"/>
              <w:spacing w:line="250" w:lineRule="exact"/>
              <w:ind w:left="671"/>
              <w:rPr>
                <w:b/>
                <w:sz w:val="22"/>
              </w:rPr>
            </w:pPr>
            <w:r>
              <w:rPr>
                <w:b/>
                <w:spacing w:val="-2"/>
                <w:sz w:val="22"/>
              </w:rPr>
              <w:t>CY2026</w:t>
            </w:r>
          </w:p>
        </w:tc>
        <w:tc>
          <w:tcPr>
            <w:tcW w:w="1892" w:type="dxa"/>
          </w:tcPr>
          <w:p>
            <w:pPr>
              <w:pStyle w:val="TableParagraph"/>
              <w:spacing w:line="250" w:lineRule="exact"/>
              <w:ind w:left="684"/>
              <w:rPr>
                <w:b/>
                <w:sz w:val="22"/>
              </w:rPr>
            </w:pPr>
            <w:r>
              <w:rPr>
                <w:b/>
                <w:spacing w:val="-2"/>
                <w:sz w:val="22"/>
              </w:rPr>
              <w:t>CY2027</w:t>
            </w:r>
          </w:p>
        </w:tc>
        <w:tc>
          <w:tcPr>
            <w:tcW w:w="2339" w:type="dxa"/>
          </w:tcPr>
          <w:p>
            <w:pPr>
              <w:pStyle w:val="TableParagraph"/>
              <w:spacing w:line="250" w:lineRule="exact"/>
              <w:ind w:left="155"/>
              <w:rPr>
                <w:b/>
                <w:sz w:val="22"/>
              </w:rPr>
            </w:pPr>
            <w:r>
              <w:rPr>
                <w:b/>
                <w:sz w:val="22"/>
              </w:rPr>
              <w:t>Remaining</w:t>
            </w:r>
            <w:r>
              <w:rPr>
                <w:b/>
                <w:spacing w:val="-6"/>
                <w:sz w:val="22"/>
              </w:rPr>
              <w:t xml:space="preserve"> </w:t>
            </w:r>
            <w:r>
              <w:rPr>
                <w:b/>
                <w:sz w:val="22"/>
              </w:rPr>
              <w:t>in</w:t>
            </w:r>
            <w:r>
              <w:rPr>
                <w:b/>
                <w:spacing w:val="-3"/>
                <w:sz w:val="22"/>
              </w:rPr>
              <w:t xml:space="preserve"> </w:t>
            </w:r>
            <w:r>
              <w:rPr>
                <w:b/>
                <w:sz w:val="22"/>
              </w:rPr>
              <w:t>Plan</w:t>
            </w:r>
            <w:r>
              <w:rPr>
                <w:b/>
                <w:spacing w:val="-2"/>
                <w:sz w:val="22"/>
              </w:rPr>
              <w:t xml:space="preserve"> </w:t>
            </w:r>
            <w:r>
              <w:rPr>
                <w:b/>
                <w:spacing w:val="-5"/>
                <w:sz w:val="22"/>
              </w:rPr>
              <w:t>002</w:t>
            </w:r>
          </w:p>
        </w:tc>
      </w:tr>
      <w:tr>
        <w:tblPrEx>
          <w:tblW w:w="0" w:type="auto"/>
          <w:jc w:val="left"/>
          <w:tblInd w:w="725" w:type="dxa"/>
          <w:tblLayout w:type="fixed"/>
          <w:tblCellMar>
            <w:top w:w="0" w:type="dxa"/>
            <w:left w:w="0" w:type="dxa"/>
            <w:bottom w:w="0" w:type="dxa"/>
            <w:right w:w="0" w:type="dxa"/>
          </w:tblCellMar>
          <w:tblLook w:val="01E0"/>
        </w:tblPrEx>
        <w:trPr>
          <w:trHeight w:val="392"/>
          <w:jc w:val="left"/>
        </w:trPr>
        <w:tc>
          <w:tcPr>
            <w:tcW w:w="1057" w:type="dxa"/>
          </w:tcPr>
          <w:p>
            <w:pPr>
              <w:pStyle w:val="TableParagraph"/>
              <w:spacing w:before="66"/>
              <w:ind w:left="50"/>
              <w:rPr>
                <w:sz w:val="22"/>
              </w:rPr>
            </w:pPr>
            <w:r>
              <w:rPr>
                <w:sz w:val="22"/>
              </w:rPr>
              <w:t>County</w:t>
            </w:r>
            <w:r>
              <w:rPr>
                <w:spacing w:val="-1"/>
                <w:sz w:val="22"/>
              </w:rPr>
              <w:t xml:space="preserve"> </w:t>
            </w:r>
            <w:r>
              <w:rPr>
                <w:spacing w:val="-10"/>
                <w:sz w:val="22"/>
              </w:rPr>
              <w:t>A</w:t>
            </w:r>
          </w:p>
        </w:tc>
        <w:tc>
          <w:tcPr>
            <w:tcW w:w="1694" w:type="dxa"/>
          </w:tcPr>
          <w:p>
            <w:pPr>
              <w:pStyle w:val="TableParagraph"/>
              <w:spacing w:before="66"/>
              <w:ind w:right="159"/>
              <w:jc w:val="right"/>
              <w:rPr>
                <w:sz w:val="22"/>
              </w:rPr>
            </w:pPr>
            <w:r>
              <w:rPr>
                <w:sz w:val="22"/>
              </w:rPr>
              <w:t>25</w:t>
            </w:r>
            <w:r>
              <w:rPr>
                <w:spacing w:val="-2"/>
                <w:sz w:val="22"/>
              </w:rPr>
              <w:t xml:space="preserve"> </w:t>
            </w:r>
            <w:r>
              <w:rPr>
                <w:sz w:val="22"/>
              </w:rPr>
              <w:t>in</w:t>
            </w:r>
            <w:r>
              <w:rPr>
                <w:spacing w:val="-1"/>
                <w:sz w:val="22"/>
              </w:rPr>
              <w:t xml:space="preserve"> </w:t>
            </w:r>
            <w:r>
              <w:rPr>
                <w:sz w:val="22"/>
              </w:rPr>
              <w:t>plan</w:t>
            </w:r>
            <w:r>
              <w:rPr>
                <w:spacing w:val="-2"/>
                <w:sz w:val="22"/>
              </w:rPr>
              <w:t xml:space="preserve"> </w:t>
            </w:r>
            <w:r>
              <w:rPr>
                <w:spacing w:val="-5"/>
                <w:sz w:val="22"/>
              </w:rPr>
              <w:t>001</w:t>
            </w:r>
          </w:p>
        </w:tc>
        <w:tc>
          <w:tcPr>
            <w:tcW w:w="1898" w:type="dxa"/>
          </w:tcPr>
          <w:p>
            <w:pPr>
              <w:pStyle w:val="TableParagraph"/>
              <w:spacing w:before="66"/>
              <w:ind w:right="149"/>
              <w:jc w:val="right"/>
              <w:rPr>
                <w:sz w:val="22"/>
              </w:rPr>
            </w:pPr>
            <w:r>
              <w:rPr>
                <w:sz w:val="22"/>
              </w:rPr>
              <w:t>25</w:t>
            </w:r>
            <w:r>
              <w:rPr>
                <w:spacing w:val="4"/>
                <w:sz w:val="22"/>
              </w:rPr>
              <w:t xml:space="preserve"> </w:t>
            </w:r>
            <w:r>
              <w:rPr>
                <w:sz w:val="22"/>
              </w:rPr>
              <w:t>in</w:t>
            </w:r>
            <w:r>
              <w:rPr>
                <w:spacing w:val="-1"/>
                <w:sz w:val="22"/>
              </w:rPr>
              <w:t xml:space="preserve"> </w:t>
            </w:r>
            <w:r>
              <w:rPr>
                <w:sz w:val="22"/>
              </w:rPr>
              <w:t xml:space="preserve">plan </w:t>
            </w:r>
            <w:r>
              <w:rPr>
                <w:spacing w:val="-5"/>
                <w:sz w:val="22"/>
              </w:rPr>
              <w:t>001</w:t>
            </w:r>
          </w:p>
        </w:tc>
        <w:tc>
          <w:tcPr>
            <w:tcW w:w="1892" w:type="dxa"/>
          </w:tcPr>
          <w:p>
            <w:pPr>
              <w:pStyle w:val="TableParagraph"/>
              <w:spacing w:before="66"/>
              <w:ind w:right="149"/>
              <w:jc w:val="right"/>
              <w:rPr>
                <w:sz w:val="22"/>
              </w:rPr>
            </w:pPr>
            <w:r>
              <w:rPr>
                <w:sz w:val="22"/>
              </w:rPr>
              <w:t>25</w:t>
            </w:r>
            <w:r>
              <w:rPr>
                <w:spacing w:val="4"/>
                <w:sz w:val="22"/>
              </w:rPr>
              <w:t xml:space="preserve"> </w:t>
            </w:r>
            <w:r>
              <w:rPr>
                <w:sz w:val="22"/>
              </w:rPr>
              <w:t>in</w:t>
            </w:r>
            <w:r>
              <w:rPr>
                <w:spacing w:val="-1"/>
                <w:sz w:val="22"/>
              </w:rPr>
              <w:t xml:space="preserve"> </w:t>
            </w:r>
            <w:r>
              <w:rPr>
                <w:sz w:val="22"/>
              </w:rPr>
              <w:t xml:space="preserve">plan </w:t>
            </w:r>
            <w:r>
              <w:rPr>
                <w:spacing w:val="-5"/>
                <w:sz w:val="22"/>
              </w:rPr>
              <w:t>001</w:t>
            </w:r>
          </w:p>
        </w:tc>
        <w:tc>
          <w:tcPr>
            <w:tcW w:w="2339" w:type="dxa"/>
          </w:tcPr>
          <w:p>
            <w:pPr>
              <w:pStyle w:val="TableParagraph"/>
              <w:spacing w:before="66"/>
              <w:ind w:left="224" w:right="158"/>
              <w:jc w:val="center"/>
              <w:rPr>
                <w:sz w:val="22"/>
              </w:rPr>
            </w:pPr>
            <w:r>
              <w:rPr>
                <w:spacing w:val="-5"/>
                <w:sz w:val="22"/>
              </w:rPr>
              <w:t>N/A</w:t>
            </w:r>
          </w:p>
        </w:tc>
      </w:tr>
      <w:tr>
        <w:tblPrEx>
          <w:tblW w:w="0" w:type="auto"/>
          <w:jc w:val="left"/>
          <w:tblInd w:w="725" w:type="dxa"/>
          <w:tblLayout w:type="fixed"/>
          <w:tblCellMar>
            <w:top w:w="0" w:type="dxa"/>
            <w:left w:w="0" w:type="dxa"/>
            <w:bottom w:w="0" w:type="dxa"/>
            <w:right w:w="0" w:type="dxa"/>
          </w:tblCellMar>
          <w:tblLook w:val="01E0"/>
        </w:tblPrEx>
        <w:trPr>
          <w:trHeight w:val="392"/>
          <w:jc w:val="left"/>
        </w:trPr>
        <w:tc>
          <w:tcPr>
            <w:tcW w:w="1057" w:type="dxa"/>
          </w:tcPr>
          <w:p>
            <w:pPr>
              <w:pStyle w:val="TableParagraph"/>
              <w:spacing w:before="64"/>
              <w:ind w:left="50"/>
              <w:rPr>
                <w:sz w:val="22"/>
              </w:rPr>
            </w:pPr>
            <w:r>
              <w:rPr>
                <w:sz w:val="22"/>
              </w:rPr>
              <w:t>County</w:t>
            </w:r>
            <w:r>
              <w:rPr>
                <w:spacing w:val="-1"/>
                <w:sz w:val="22"/>
              </w:rPr>
              <w:t xml:space="preserve"> </w:t>
            </w:r>
            <w:r>
              <w:rPr>
                <w:spacing w:val="-10"/>
                <w:sz w:val="22"/>
              </w:rPr>
              <w:t>B</w:t>
            </w:r>
          </w:p>
        </w:tc>
        <w:tc>
          <w:tcPr>
            <w:tcW w:w="1694" w:type="dxa"/>
          </w:tcPr>
          <w:p>
            <w:pPr>
              <w:pStyle w:val="TableParagraph"/>
              <w:spacing w:before="64"/>
              <w:ind w:right="159"/>
              <w:jc w:val="right"/>
              <w:rPr>
                <w:sz w:val="22"/>
              </w:rPr>
            </w:pPr>
            <w:r>
              <w:rPr>
                <w:sz w:val="22"/>
              </w:rPr>
              <w:t>25</w:t>
            </w:r>
            <w:r>
              <w:rPr>
                <w:spacing w:val="-2"/>
                <w:sz w:val="22"/>
              </w:rPr>
              <w:t xml:space="preserve"> </w:t>
            </w:r>
            <w:r>
              <w:rPr>
                <w:sz w:val="22"/>
              </w:rPr>
              <w:t>in</w:t>
            </w:r>
            <w:r>
              <w:rPr>
                <w:spacing w:val="-1"/>
                <w:sz w:val="22"/>
              </w:rPr>
              <w:t xml:space="preserve"> </w:t>
            </w:r>
            <w:r>
              <w:rPr>
                <w:sz w:val="22"/>
              </w:rPr>
              <w:t>plan</w:t>
            </w:r>
            <w:r>
              <w:rPr>
                <w:spacing w:val="-2"/>
                <w:sz w:val="22"/>
              </w:rPr>
              <w:t xml:space="preserve"> </w:t>
            </w:r>
            <w:r>
              <w:rPr>
                <w:spacing w:val="-5"/>
                <w:sz w:val="22"/>
              </w:rPr>
              <w:t>001</w:t>
            </w:r>
          </w:p>
        </w:tc>
        <w:tc>
          <w:tcPr>
            <w:tcW w:w="1898" w:type="dxa"/>
          </w:tcPr>
          <w:p>
            <w:pPr>
              <w:pStyle w:val="TableParagraph"/>
              <w:spacing w:before="64"/>
              <w:ind w:right="149"/>
              <w:jc w:val="right"/>
              <w:rPr>
                <w:sz w:val="22"/>
              </w:rPr>
            </w:pPr>
            <w:r>
              <w:rPr>
                <w:sz w:val="22"/>
              </w:rPr>
              <w:t>25</w:t>
            </w:r>
            <w:r>
              <w:rPr>
                <w:spacing w:val="4"/>
                <w:sz w:val="22"/>
              </w:rPr>
              <w:t xml:space="preserve"> </w:t>
            </w:r>
            <w:r>
              <w:rPr>
                <w:sz w:val="22"/>
              </w:rPr>
              <w:t>in</w:t>
            </w:r>
            <w:r>
              <w:rPr>
                <w:spacing w:val="-1"/>
                <w:sz w:val="22"/>
              </w:rPr>
              <w:t xml:space="preserve"> </w:t>
            </w:r>
            <w:r>
              <w:rPr>
                <w:sz w:val="22"/>
              </w:rPr>
              <w:t xml:space="preserve">plan </w:t>
            </w:r>
            <w:r>
              <w:rPr>
                <w:spacing w:val="-5"/>
                <w:sz w:val="22"/>
              </w:rPr>
              <w:t>001</w:t>
            </w:r>
          </w:p>
        </w:tc>
        <w:tc>
          <w:tcPr>
            <w:tcW w:w="1892" w:type="dxa"/>
          </w:tcPr>
          <w:p>
            <w:pPr>
              <w:pStyle w:val="TableParagraph"/>
              <w:spacing w:before="64"/>
              <w:ind w:right="159"/>
              <w:jc w:val="right"/>
              <w:rPr>
                <w:sz w:val="22"/>
              </w:rPr>
            </w:pPr>
            <w:r>
              <w:rPr>
                <w:sz w:val="22"/>
              </w:rPr>
              <w:t>25</w:t>
            </w:r>
            <w:r>
              <w:rPr>
                <w:spacing w:val="-3"/>
                <w:sz w:val="22"/>
              </w:rPr>
              <w:t xml:space="preserve"> </w:t>
            </w:r>
            <w:r>
              <w:rPr>
                <w:b/>
                <w:sz w:val="22"/>
              </w:rPr>
              <w:t>→</w:t>
            </w:r>
            <w:r>
              <w:rPr>
                <w:sz w:val="22"/>
              </w:rPr>
              <w:t>plan</w:t>
            </w:r>
            <w:r>
              <w:rPr>
                <w:spacing w:val="-1"/>
                <w:sz w:val="22"/>
              </w:rPr>
              <w:t xml:space="preserve"> </w:t>
            </w:r>
            <w:r>
              <w:rPr>
                <w:spacing w:val="-5"/>
                <w:sz w:val="22"/>
              </w:rPr>
              <w:t>002</w:t>
            </w:r>
          </w:p>
        </w:tc>
        <w:tc>
          <w:tcPr>
            <w:tcW w:w="2339" w:type="dxa"/>
          </w:tcPr>
          <w:p>
            <w:pPr>
              <w:pStyle w:val="TableParagraph"/>
              <w:spacing w:before="64"/>
              <w:ind w:left="224"/>
              <w:jc w:val="center"/>
              <w:rPr>
                <w:sz w:val="22"/>
              </w:rPr>
            </w:pPr>
            <w:r>
              <w:rPr>
                <w:spacing w:val="-5"/>
                <w:sz w:val="22"/>
              </w:rPr>
              <w:t>25</w:t>
            </w:r>
          </w:p>
        </w:tc>
      </w:tr>
      <w:tr>
        <w:tblPrEx>
          <w:tblW w:w="0" w:type="auto"/>
          <w:jc w:val="left"/>
          <w:tblInd w:w="725" w:type="dxa"/>
          <w:tblLayout w:type="fixed"/>
          <w:tblCellMar>
            <w:top w:w="0" w:type="dxa"/>
            <w:left w:w="0" w:type="dxa"/>
            <w:bottom w:w="0" w:type="dxa"/>
            <w:right w:w="0" w:type="dxa"/>
          </w:tblCellMar>
          <w:tblLook w:val="01E0"/>
        </w:tblPrEx>
        <w:trPr>
          <w:trHeight w:val="393"/>
          <w:jc w:val="left"/>
        </w:trPr>
        <w:tc>
          <w:tcPr>
            <w:tcW w:w="1057" w:type="dxa"/>
          </w:tcPr>
          <w:p>
            <w:pPr>
              <w:pStyle w:val="TableParagraph"/>
              <w:spacing w:before="66"/>
              <w:ind w:left="50"/>
              <w:rPr>
                <w:sz w:val="22"/>
              </w:rPr>
            </w:pPr>
            <w:r>
              <w:rPr>
                <w:sz w:val="22"/>
                <w:u w:val="single"/>
              </w:rPr>
              <w:t>County</w:t>
            </w:r>
            <w:r>
              <w:rPr>
                <w:spacing w:val="-1"/>
                <w:sz w:val="22"/>
                <w:u w:val="single"/>
              </w:rPr>
              <w:t xml:space="preserve"> </w:t>
            </w:r>
            <w:r>
              <w:rPr>
                <w:spacing w:val="-10"/>
                <w:sz w:val="22"/>
                <w:u w:val="single"/>
              </w:rPr>
              <w:t>C</w:t>
            </w:r>
          </w:p>
        </w:tc>
        <w:tc>
          <w:tcPr>
            <w:tcW w:w="1694" w:type="dxa"/>
          </w:tcPr>
          <w:p>
            <w:pPr>
              <w:pStyle w:val="TableParagraph"/>
              <w:spacing w:before="66"/>
              <w:ind w:left="142"/>
              <w:rPr>
                <w:sz w:val="22"/>
              </w:rPr>
            </w:pPr>
            <w:r>
              <w:rPr>
                <w:spacing w:val="65"/>
                <w:sz w:val="22"/>
                <w:u w:val="single"/>
              </w:rPr>
              <w:t xml:space="preserve"> </w:t>
            </w:r>
            <w:r>
              <w:rPr>
                <w:sz w:val="22"/>
                <w:u w:val="single"/>
              </w:rPr>
              <w:t>50 in</w:t>
            </w:r>
            <w:r>
              <w:rPr>
                <w:spacing w:val="-1"/>
                <w:sz w:val="22"/>
                <w:u w:val="single"/>
              </w:rPr>
              <w:t xml:space="preserve"> </w:t>
            </w:r>
            <w:r>
              <w:rPr>
                <w:sz w:val="22"/>
                <w:u w:val="single"/>
              </w:rPr>
              <w:t>plan</w:t>
            </w:r>
            <w:r>
              <w:rPr>
                <w:spacing w:val="-2"/>
                <w:sz w:val="22"/>
                <w:u w:val="single"/>
              </w:rPr>
              <w:t xml:space="preserve"> </w:t>
            </w:r>
            <w:r>
              <w:rPr>
                <w:spacing w:val="-5"/>
                <w:sz w:val="22"/>
                <w:u w:val="single"/>
              </w:rPr>
              <w:t>001</w:t>
            </w:r>
          </w:p>
        </w:tc>
        <w:tc>
          <w:tcPr>
            <w:tcW w:w="1898" w:type="dxa"/>
          </w:tcPr>
          <w:p>
            <w:pPr>
              <w:pStyle w:val="TableParagraph"/>
              <w:tabs>
                <w:tab w:val="left" w:pos="311"/>
              </w:tabs>
              <w:spacing w:before="66"/>
              <w:ind w:right="159"/>
              <w:jc w:val="right"/>
              <w:rPr>
                <w:sz w:val="22"/>
              </w:rPr>
            </w:pPr>
            <w:r>
              <w:rPr>
                <w:sz w:val="22"/>
                <w:u w:val="single"/>
              </w:rPr>
              <w:tab/>
              <w:t>50</w:t>
            </w:r>
            <w:r>
              <w:rPr>
                <w:spacing w:val="-3"/>
                <w:sz w:val="22"/>
                <w:u w:val="single"/>
              </w:rPr>
              <w:t xml:space="preserve"> </w:t>
            </w:r>
            <w:r>
              <w:rPr>
                <w:b/>
                <w:sz w:val="22"/>
                <w:u w:val="single"/>
              </w:rPr>
              <w:t>→</w:t>
            </w:r>
            <w:r>
              <w:rPr>
                <w:sz w:val="22"/>
                <w:u w:val="single"/>
              </w:rPr>
              <w:t>plan</w:t>
            </w:r>
            <w:r>
              <w:rPr>
                <w:spacing w:val="-1"/>
                <w:sz w:val="22"/>
                <w:u w:val="single"/>
              </w:rPr>
              <w:t xml:space="preserve"> </w:t>
            </w:r>
            <w:r>
              <w:rPr>
                <w:spacing w:val="-5"/>
                <w:sz w:val="22"/>
                <w:u w:val="single"/>
              </w:rPr>
              <w:t>002</w:t>
            </w:r>
          </w:p>
        </w:tc>
        <w:tc>
          <w:tcPr>
            <w:tcW w:w="1892" w:type="dxa"/>
          </w:tcPr>
          <w:p>
            <w:pPr>
              <w:pStyle w:val="TableParagraph"/>
              <w:tabs>
                <w:tab w:val="left" w:pos="314"/>
              </w:tabs>
              <w:spacing w:before="66"/>
              <w:ind w:right="149"/>
              <w:jc w:val="right"/>
              <w:rPr>
                <w:sz w:val="22"/>
              </w:rPr>
            </w:pPr>
            <w:r>
              <w:rPr>
                <w:sz w:val="22"/>
                <w:u w:val="single"/>
              </w:rPr>
              <w:tab/>
              <w:t>50</w:t>
            </w:r>
            <w:r>
              <w:rPr>
                <w:spacing w:val="2"/>
                <w:sz w:val="22"/>
                <w:u w:val="single"/>
              </w:rPr>
              <w:t xml:space="preserve"> </w:t>
            </w:r>
            <w:r>
              <w:rPr>
                <w:sz w:val="22"/>
                <w:u w:val="single"/>
              </w:rPr>
              <w:t>in</w:t>
            </w:r>
            <w:r>
              <w:rPr>
                <w:spacing w:val="-1"/>
                <w:sz w:val="22"/>
                <w:u w:val="single"/>
              </w:rPr>
              <w:t xml:space="preserve"> </w:t>
            </w:r>
            <w:r>
              <w:rPr>
                <w:sz w:val="22"/>
                <w:u w:val="single"/>
              </w:rPr>
              <w:t xml:space="preserve">plan </w:t>
            </w:r>
            <w:r>
              <w:rPr>
                <w:spacing w:val="-5"/>
                <w:sz w:val="22"/>
                <w:u w:val="single"/>
              </w:rPr>
              <w:t>002</w:t>
            </w:r>
          </w:p>
        </w:tc>
        <w:tc>
          <w:tcPr>
            <w:tcW w:w="2339" w:type="dxa"/>
          </w:tcPr>
          <w:p>
            <w:pPr>
              <w:pStyle w:val="TableParagraph"/>
              <w:spacing w:before="66"/>
              <w:ind w:left="224"/>
              <w:jc w:val="center"/>
              <w:rPr>
                <w:sz w:val="22"/>
              </w:rPr>
            </w:pPr>
            <w:r>
              <w:rPr>
                <w:spacing w:val="-5"/>
                <w:sz w:val="22"/>
                <w:u w:val="single"/>
              </w:rPr>
              <w:t>50</w:t>
            </w:r>
          </w:p>
        </w:tc>
      </w:tr>
      <w:tr>
        <w:tblPrEx>
          <w:tblW w:w="0" w:type="auto"/>
          <w:jc w:val="left"/>
          <w:tblInd w:w="725" w:type="dxa"/>
          <w:tblLayout w:type="fixed"/>
          <w:tblCellMar>
            <w:top w:w="0" w:type="dxa"/>
            <w:left w:w="0" w:type="dxa"/>
            <w:bottom w:w="0" w:type="dxa"/>
            <w:right w:w="0" w:type="dxa"/>
          </w:tblCellMar>
          <w:tblLook w:val="01E0"/>
        </w:tblPrEx>
        <w:trPr>
          <w:trHeight w:val="319"/>
          <w:jc w:val="left"/>
        </w:trPr>
        <w:tc>
          <w:tcPr>
            <w:tcW w:w="1057" w:type="dxa"/>
          </w:tcPr>
          <w:p>
            <w:pPr>
              <w:pStyle w:val="TableParagraph"/>
              <w:spacing w:before="66" w:line="233" w:lineRule="exact"/>
              <w:ind w:left="50"/>
              <w:rPr>
                <w:sz w:val="22"/>
              </w:rPr>
            </w:pPr>
            <w:r>
              <w:rPr>
                <w:spacing w:val="-2"/>
                <w:sz w:val="22"/>
              </w:rPr>
              <w:t>Total</w:t>
            </w:r>
          </w:p>
        </w:tc>
        <w:tc>
          <w:tcPr>
            <w:tcW w:w="1694" w:type="dxa"/>
          </w:tcPr>
          <w:p>
            <w:pPr>
              <w:pStyle w:val="TableParagraph"/>
              <w:spacing w:before="66" w:line="233" w:lineRule="exact"/>
              <w:ind w:left="154"/>
              <w:rPr>
                <w:sz w:val="22"/>
              </w:rPr>
            </w:pPr>
            <w:r>
              <w:rPr>
                <w:spacing w:val="-5"/>
                <w:sz w:val="22"/>
              </w:rPr>
              <w:t>100</w:t>
            </w:r>
          </w:p>
        </w:tc>
        <w:tc>
          <w:tcPr>
            <w:tcW w:w="1898" w:type="dxa"/>
          </w:tcPr>
          <w:p>
            <w:pPr>
              <w:pStyle w:val="TableParagraph"/>
              <w:rPr>
                <w:sz w:val="22"/>
              </w:rPr>
            </w:pPr>
          </w:p>
        </w:tc>
        <w:tc>
          <w:tcPr>
            <w:tcW w:w="1892" w:type="dxa"/>
          </w:tcPr>
          <w:p>
            <w:pPr>
              <w:pStyle w:val="TableParagraph"/>
              <w:rPr>
                <w:sz w:val="22"/>
              </w:rPr>
            </w:pPr>
          </w:p>
        </w:tc>
        <w:tc>
          <w:tcPr>
            <w:tcW w:w="2339" w:type="dxa"/>
          </w:tcPr>
          <w:p>
            <w:pPr>
              <w:pStyle w:val="TableParagraph"/>
              <w:spacing w:before="66" w:line="233" w:lineRule="exact"/>
              <w:ind w:left="224"/>
              <w:jc w:val="center"/>
              <w:rPr>
                <w:sz w:val="22"/>
              </w:rPr>
            </w:pPr>
            <w:r>
              <w:rPr>
                <w:spacing w:val="-5"/>
                <w:sz w:val="22"/>
              </w:rPr>
              <w:t>75</w:t>
            </w:r>
          </w:p>
        </w:tc>
      </w:tr>
    </w:tbl>
    <w:p>
      <w:pPr>
        <w:pStyle w:val="BodyText"/>
        <w:spacing w:before="261"/>
        <w:ind w:right="1481"/>
      </w:pPr>
      <w:r>
        <w:t>The</w:t>
      </w:r>
      <w:r>
        <w:rPr>
          <w:spacing w:val="-2"/>
        </w:rPr>
        <w:t xml:space="preserve"> </w:t>
      </w:r>
      <w:r>
        <w:t>proportion of</w:t>
      </w:r>
      <w:r>
        <w:rPr>
          <w:spacing w:val="-1"/>
        </w:rPr>
        <w:t xml:space="preserve"> </w:t>
      </w:r>
      <w:r>
        <w:t>plan 001 members</w:t>
      </w:r>
      <w:r>
        <w:rPr>
          <w:spacing w:val="-1"/>
        </w:rPr>
        <w:t xml:space="preserve"> </w:t>
      </w:r>
      <w:r>
        <w:t>in plan</w:t>
      </w:r>
      <w:r>
        <w:rPr>
          <w:spacing w:val="-1"/>
        </w:rPr>
        <w:t xml:space="preserve"> </w:t>
      </w:r>
      <w:r>
        <w:t>002 for</w:t>
      </w:r>
      <w:r>
        <w:rPr>
          <w:spacing w:val="-1"/>
        </w:rPr>
        <w:t xml:space="preserve"> </w:t>
      </w:r>
      <w:r>
        <w:t>CY2027, resulting from both the CY2026 and</w:t>
      </w:r>
      <w:r>
        <w:rPr>
          <w:spacing w:val="-3"/>
        </w:rPr>
        <w:t xml:space="preserve"> </w:t>
      </w:r>
      <w:r>
        <w:t>CY2027</w:t>
      </w:r>
      <w:r>
        <w:rPr>
          <w:spacing w:val="-3"/>
        </w:rPr>
        <w:t xml:space="preserve"> </w:t>
      </w:r>
      <w:r>
        <w:t>crosswalks</w:t>
      </w:r>
      <w:r>
        <w:rPr>
          <w:spacing w:val="-1"/>
        </w:rPr>
        <w:t xml:space="preserve"> </w:t>
      </w:r>
      <w:r>
        <w:t>is</w:t>
      </w:r>
      <w:r>
        <w:rPr>
          <w:spacing w:val="-4"/>
        </w:rPr>
        <w:t xml:space="preserve"> </w:t>
      </w:r>
      <w:r>
        <w:t>75/100</w:t>
      </w:r>
      <w:r>
        <w:rPr>
          <w:spacing w:val="-3"/>
        </w:rPr>
        <w:t xml:space="preserve"> </w:t>
      </w:r>
      <w:r>
        <w:t>or</w:t>
      </w:r>
      <w:r>
        <w:rPr>
          <w:spacing w:val="-4"/>
        </w:rPr>
        <w:t xml:space="preserve"> </w:t>
      </w:r>
      <w:r>
        <w:t>75</w:t>
      </w:r>
      <w:r>
        <w:rPr>
          <w:spacing w:val="-3"/>
        </w:rPr>
        <w:t xml:space="preserve"> </w:t>
      </w:r>
      <w:r>
        <w:t>percent.</w:t>
      </w:r>
      <w:r>
        <w:rPr>
          <w:spacing w:val="-1"/>
        </w:rPr>
        <w:t xml:space="preserve"> </w:t>
      </w:r>
      <w:r>
        <w:t>Since</w:t>
      </w:r>
      <w:r>
        <w:rPr>
          <w:spacing w:val="-5"/>
        </w:rPr>
        <w:t xml:space="preserve"> </w:t>
      </w:r>
      <w:r>
        <w:t>such</w:t>
      </w:r>
      <w:r>
        <w:rPr>
          <w:spacing w:val="-4"/>
        </w:rPr>
        <w:t xml:space="preserve"> </w:t>
      </w:r>
      <w:r>
        <w:t>percentage</w:t>
      </w:r>
      <w:r>
        <w:rPr>
          <w:spacing w:val="-4"/>
        </w:rPr>
        <w:t xml:space="preserve"> </w:t>
      </w:r>
      <w:r>
        <w:t>is</w:t>
      </w:r>
      <w:r>
        <w:rPr>
          <w:spacing w:val="-4"/>
        </w:rPr>
        <w:t xml:space="preserve"> </w:t>
      </w:r>
      <w:r>
        <w:t>above</w:t>
      </w:r>
      <w:r>
        <w:rPr>
          <w:spacing w:val="-5"/>
        </w:rPr>
        <w:t xml:space="preserve"> </w:t>
      </w:r>
      <w:r>
        <w:t>the</w:t>
      </w:r>
      <w:r>
        <w:rPr>
          <w:spacing w:val="-3"/>
        </w:rPr>
        <w:t xml:space="preserve"> </w:t>
      </w:r>
      <w:r>
        <w:t>60</w:t>
      </w:r>
      <w:r>
        <w:rPr>
          <w:spacing w:val="-3"/>
        </w:rPr>
        <w:t xml:space="preserve"> </w:t>
      </w:r>
      <w:r>
        <w:t>percent threshold established by the certifying actuary, base period experience must be reported on Worksheet 1 of the CY2027 BPTs as follows:</w:t>
      </w:r>
    </w:p>
    <w:p>
      <w:pPr>
        <w:pStyle w:val="ListParagraph"/>
        <w:numPr>
          <w:ilvl w:val="0"/>
          <w:numId w:val="1"/>
        </w:numPr>
        <w:tabs>
          <w:tab w:val="left" w:pos="1584"/>
        </w:tabs>
        <w:spacing w:before="120" w:after="0" w:line="240" w:lineRule="auto"/>
        <w:ind w:left="1584" w:right="0" w:hanging="360"/>
        <w:jc w:val="left"/>
        <w:rPr>
          <w:sz w:val="24"/>
        </w:rPr>
      </w:pPr>
      <w:r>
        <w:rPr>
          <w:sz w:val="24"/>
        </w:rPr>
        <w:t>For</w:t>
      </w:r>
      <w:r>
        <w:rPr>
          <w:spacing w:val="-2"/>
          <w:sz w:val="24"/>
        </w:rPr>
        <w:t xml:space="preserve"> </w:t>
      </w:r>
      <w:r>
        <w:rPr>
          <w:sz w:val="24"/>
        </w:rPr>
        <w:t>plan</w:t>
      </w:r>
      <w:r>
        <w:rPr>
          <w:spacing w:val="-1"/>
          <w:sz w:val="24"/>
        </w:rPr>
        <w:t xml:space="preserve"> </w:t>
      </w:r>
      <w:r>
        <w:rPr>
          <w:sz w:val="24"/>
        </w:rPr>
        <w:t>001, report</w:t>
      </w:r>
      <w:r>
        <w:rPr>
          <w:spacing w:val="-2"/>
          <w:sz w:val="24"/>
        </w:rPr>
        <w:t xml:space="preserve"> </w:t>
      </w:r>
      <w:r>
        <w:rPr>
          <w:sz w:val="24"/>
        </w:rPr>
        <w:t>base</w:t>
      </w:r>
      <w:r>
        <w:rPr>
          <w:spacing w:val="1"/>
          <w:sz w:val="24"/>
        </w:rPr>
        <w:t xml:space="preserve"> </w:t>
      </w:r>
      <w:r>
        <w:rPr>
          <w:sz w:val="24"/>
        </w:rPr>
        <w:t>period experience for</w:t>
      </w:r>
      <w:r>
        <w:rPr>
          <w:spacing w:val="-3"/>
          <w:sz w:val="24"/>
        </w:rPr>
        <w:t xml:space="preserve"> </w:t>
      </w:r>
      <w:r>
        <w:rPr>
          <w:sz w:val="24"/>
        </w:rPr>
        <w:t xml:space="preserve">plan 001. (Rule </w:t>
      </w:r>
      <w:r>
        <w:rPr>
          <w:spacing w:val="-5"/>
          <w:sz w:val="24"/>
        </w:rPr>
        <w:t>3)</w:t>
      </w:r>
    </w:p>
    <w:p>
      <w:pPr>
        <w:pStyle w:val="ListParagraph"/>
        <w:numPr>
          <w:ilvl w:val="0"/>
          <w:numId w:val="1"/>
        </w:numPr>
        <w:tabs>
          <w:tab w:val="left" w:pos="1584"/>
        </w:tabs>
        <w:spacing w:before="0" w:after="0" w:line="240" w:lineRule="auto"/>
        <w:ind w:left="1584" w:right="1966" w:hanging="360"/>
        <w:jc w:val="left"/>
        <w:rPr>
          <w:sz w:val="24"/>
        </w:rPr>
      </w:pPr>
      <w:r>
        <w:rPr>
          <w:sz w:val="24"/>
        </w:rPr>
        <w:t>For</w:t>
      </w:r>
      <w:r>
        <w:rPr>
          <w:spacing w:val="-4"/>
          <w:sz w:val="24"/>
        </w:rPr>
        <w:t xml:space="preserve"> </w:t>
      </w:r>
      <w:r>
        <w:rPr>
          <w:sz w:val="24"/>
        </w:rPr>
        <w:t>plan</w:t>
      </w:r>
      <w:r>
        <w:rPr>
          <w:spacing w:val="-4"/>
          <w:sz w:val="24"/>
        </w:rPr>
        <w:t xml:space="preserve"> </w:t>
      </w:r>
      <w:r>
        <w:rPr>
          <w:sz w:val="24"/>
        </w:rPr>
        <w:t>002,</w:t>
      </w:r>
      <w:r>
        <w:rPr>
          <w:spacing w:val="-3"/>
          <w:sz w:val="24"/>
        </w:rPr>
        <w:t xml:space="preserve"> </w:t>
      </w:r>
      <w:r>
        <w:rPr>
          <w:sz w:val="24"/>
        </w:rPr>
        <w:t>report</w:t>
      </w:r>
      <w:r>
        <w:rPr>
          <w:spacing w:val="-3"/>
          <w:sz w:val="24"/>
        </w:rPr>
        <w:t xml:space="preserve"> </w:t>
      </w:r>
      <w:r>
        <w:rPr>
          <w:sz w:val="24"/>
        </w:rPr>
        <w:t>base</w:t>
      </w:r>
      <w:r>
        <w:rPr>
          <w:spacing w:val="-2"/>
          <w:sz w:val="24"/>
        </w:rPr>
        <w:t xml:space="preserve"> </w:t>
      </w:r>
      <w:r>
        <w:rPr>
          <w:sz w:val="24"/>
        </w:rPr>
        <w:t>period</w:t>
      </w:r>
      <w:r>
        <w:rPr>
          <w:spacing w:val="-3"/>
          <w:sz w:val="24"/>
        </w:rPr>
        <w:t xml:space="preserve"> </w:t>
      </w:r>
      <w:r>
        <w:rPr>
          <w:sz w:val="24"/>
        </w:rPr>
        <w:t>experience</w:t>
      </w:r>
      <w:r>
        <w:rPr>
          <w:spacing w:val="-4"/>
          <w:sz w:val="24"/>
        </w:rPr>
        <w:t xml:space="preserve"> </w:t>
      </w:r>
      <w:r>
        <w:rPr>
          <w:sz w:val="24"/>
        </w:rPr>
        <w:t>for</w:t>
      </w:r>
      <w:r>
        <w:rPr>
          <w:spacing w:val="-3"/>
          <w:sz w:val="24"/>
        </w:rPr>
        <w:t xml:space="preserve"> </w:t>
      </w:r>
      <w:r>
        <w:rPr>
          <w:sz w:val="24"/>
        </w:rPr>
        <w:t>plan</w:t>
      </w:r>
      <w:r>
        <w:rPr>
          <w:spacing w:val="-3"/>
          <w:sz w:val="24"/>
        </w:rPr>
        <w:t xml:space="preserve"> </w:t>
      </w:r>
      <w:r>
        <w:rPr>
          <w:sz w:val="24"/>
        </w:rPr>
        <w:t>001</w:t>
      </w:r>
      <w:r>
        <w:rPr>
          <w:spacing w:val="-3"/>
          <w:sz w:val="24"/>
        </w:rPr>
        <w:t xml:space="preserve"> </w:t>
      </w:r>
      <w:r>
        <w:rPr>
          <w:sz w:val="24"/>
        </w:rPr>
        <w:t>and</w:t>
      </w:r>
      <w:r>
        <w:rPr>
          <w:spacing w:val="-3"/>
          <w:sz w:val="24"/>
        </w:rPr>
        <w:t xml:space="preserve"> </w:t>
      </w:r>
      <w:r>
        <w:rPr>
          <w:sz w:val="24"/>
        </w:rPr>
        <w:t>plan</w:t>
      </w:r>
      <w:r>
        <w:rPr>
          <w:spacing w:val="-3"/>
          <w:sz w:val="24"/>
        </w:rPr>
        <w:t xml:space="preserve"> </w:t>
      </w:r>
      <w:r>
        <w:rPr>
          <w:sz w:val="24"/>
        </w:rPr>
        <w:t>002.</w:t>
      </w:r>
      <w:r>
        <w:rPr>
          <w:spacing w:val="-3"/>
          <w:sz w:val="24"/>
        </w:rPr>
        <w:t xml:space="preserve"> </w:t>
      </w:r>
      <w:r>
        <w:rPr>
          <w:sz w:val="24"/>
        </w:rPr>
        <w:t>(Rule</w:t>
      </w:r>
      <w:r>
        <w:rPr>
          <w:spacing w:val="-3"/>
          <w:sz w:val="24"/>
        </w:rPr>
        <w:t xml:space="preserve"> </w:t>
      </w:r>
      <w:r>
        <w:rPr>
          <w:sz w:val="24"/>
        </w:rPr>
        <w:t>1, Rule 3, and Rule 4)</w:t>
      </w:r>
    </w:p>
    <w:p>
      <w:pPr>
        <w:spacing w:before="241"/>
        <w:ind w:left="504" w:right="0" w:firstLine="0"/>
        <w:jc w:val="left"/>
        <w:rPr>
          <w:rFonts w:ascii="Arial"/>
          <w:b/>
          <w:sz w:val="21"/>
        </w:rPr>
      </w:pPr>
      <w:r>
        <w:rPr>
          <w:rFonts w:ascii="Arial"/>
          <w:b/>
          <w:sz w:val="21"/>
        </w:rPr>
        <w:t>Example</w:t>
      </w:r>
      <w:r>
        <w:rPr>
          <w:rFonts w:ascii="Arial"/>
          <w:b/>
          <w:spacing w:val="-5"/>
          <w:sz w:val="21"/>
        </w:rPr>
        <w:t xml:space="preserve"> </w:t>
      </w:r>
      <w:r>
        <w:rPr>
          <w:rFonts w:ascii="Arial"/>
          <w:b/>
          <w:sz w:val="21"/>
        </w:rPr>
        <w:t>5:</w:t>
      </w:r>
      <w:r>
        <w:rPr>
          <w:rFonts w:ascii="Arial"/>
          <w:b/>
          <w:spacing w:val="-6"/>
          <w:sz w:val="21"/>
        </w:rPr>
        <w:t xml:space="preserve"> </w:t>
      </w:r>
      <w:r>
        <w:rPr>
          <w:rFonts w:ascii="Arial"/>
          <w:b/>
          <w:sz w:val="21"/>
        </w:rPr>
        <w:t>Service</w:t>
      </w:r>
      <w:r>
        <w:rPr>
          <w:rFonts w:ascii="Arial"/>
          <w:b/>
          <w:spacing w:val="-6"/>
          <w:sz w:val="21"/>
        </w:rPr>
        <w:t xml:space="preserve"> </w:t>
      </w:r>
      <w:r>
        <w:rPr>
          <w:rFonts w:ascii="Arial"/>
          <w:b/>
          <w:sz w:val="21"/>
        </w:rPr>
        <w:t>Area</w:t>
      </w:r>
      <w:r>
        <w:rPr>
          <w:rFonts w:ascii="Arial"/>
          <w:b/>
          <w:spacing w:val="-7"/>
          <w:sz w:val="21"/>
        </w:rPr>
        <w:t xml:space="preserve"> </w:t>
      </w:r>
      <w:r>
        <w:rPr>
          <w:rFonts w:ascii="Arial"/>
          <w:b/>
          <w:spacing w:val="-2"/>
          <w:sz w:val="21"/>
        </w:rPr>
        <w:t>Reduction</w:t>
      </w:r>
    </w:p>
    <w:p>
      <w:pPr>
        <w:pStyle w:val="BodyText"/>
        <w:spacing w:before="118"/>
        <w:ind w:right="1280"/>
      </w:pPr>
      <w:r>
        <w:t>An</w:t>
      </w:r>
      <w:r>
        <w:rPr>
          <w:spacing w:val="-3"/>
        </w:rPr>
        <w:t xml:space="preserve"> </w:t>
      </w:r>
      <w:r>
        <w:t>MAO</w:t>
      </w:r>
      <w:r>
        <w:rPr>
          <w:spacing w:val="-3"/>
        </w:rPr>
        <w:t xml:space="preserve"> </w:t>
      </w:r>
      <w:r>
        <w:t>offers</w:t>
      </w:r>
      <w:r>
        <w:rPr>
          <w:spacing w:val="-3"/>
        </w:rPr>
        <w:t xml:space="preserve"> </w:t>
      </w:r>
      <w:r>
        <w:t>non-segmented</w:t>
      </w:r>
      <w:r>
        <w:rPr>
          <w:spacing w:val="-3"/>
        </w:rPr>
        <w:t xml:space="preserve"> </w:t>
      </w:r>
      <w:r>
        <w:t>plans</w:t>
      </w:r>
      <w:r>
        <w:rPr>
          <w:spacing w:val="-3"/>
        </w:rPr>
        <w:t xml:space="preserve"> </w:t>
      </w:r>
      <w:r>
        <w:t>001</w:t>
      </w:r>
      <w:r>
        <w:rPr>
          <w:spacing w:val="-3"/>
        </w:rPr>
        <w:t xml:space="preserve"> </w:t>
      </w:r>
      <w:r>
        <w:t>and</w:t>
      </w:r>
      <w:r>
        <w:rPr>
          <w:spacing w:val="-3"/>
        </w:rPr>
        <w:t xml:space="preserve"> </w:t>
      </w:r>
      <w:r>
        <w:t>002</w:t>
      </w:r>
      <w:r>
        <w:rPr>
          <w:spacing w:val="-3"/>
        </w:rPr>
        <w:t xml:space="preserve"> </w:t>
      </w:r>
      <w:r>
        <w:t>in</w:t>
      </w:r>
      <w:r>
        <w:rPr>
          <w:spacing w:val="-2"/>
        </w:rPr>
        <w:t xml:space="preserve"> </w:t>
      </w:r>
      <w:r>
        <w:t>CY2025</w:t>
      </w:r>
      <w:r>
        <w:rPr>
          <w:spacing w:val="-3"/>
        </w:rPr>
        <w:t xml:space="preserve"> </w:t>
      </w:r>
      <w:r>
        <w:t>and</w:t>
      </w:r>
      <w:r>
        <w:rPr>
          <w:spacing w:val="-3"/>
        </w:rPr>
        <w:t xml:space="preserve"> </w:t>
      </w:r>
      <w:r>
        <w:t>plan</w:t>
      </w:r>
      <w:r>
        <w:rPr>
          <w:spacing w:val="-3"/>
        </w:rPr>
        <w:t xml:space="preserve"> </w:t>
      </w:r>
      <w:r>
        <w:t>002</w:t>
      </w:r>
      <w:r>
        <w:rPr>
          <w:spacing w:val="-3"/>
        </w:rPr>
        <w:t xml:space="preserve"> </w:t>
      </w:r>
      <w:r>
        <w:t>in</w:t>
      </w:r>
      <w:r>
        <w:rPr>
          <w:spacing w:val="-2"/>
        </w:rPr>
        <w:t xml:space="preserve"> </w:t>
      </w:r>
      <w:r>
        <w:t>CY2027.</w:t>
      </w:r>
      <w:r>
        <w:rPr>
          <w:spacing w:val="-3"/>
        </w:rPr>
        <w:t xml:space="preserve"> </w:t>
      </w:r>
      <w:r>
        <w:t>Plan</w:t>
      </w:r>
      <w:r>
        <w:rPr>
          <w:spacing w:val="-3"/>
        </w:rPr>
        <w:t xml:space="preserve"> </w:t>
      </w:r>
      <w:r>
        <w:t>001 is consolidated and the membership is formally crosswalked to plan 002 for CY2026. For CY2027, the service area for plan 002 is reduced to remove most of the counties that plan 001 formerly covered, and an insignificant proportion of</w:t>
      </w:r>
      <w:r>
        <w:rPr>
          <w:spacing w:val="-1"/>
        </w:rPr>
        <w:t xml:space="preserve"> </w:t>
      </w:r>
      <w:r>
        <w:t>the members who were</w:t>
      </w:r>
      <w:r>
        <w:rPr>
          <w:spacing w:val="-1"/>
        </w:rPr>
        <w:t xml:space="preserve"> </w:t>
      </w:r>
      <w:r>
        <w:t>formerly in plan</w:t>
      </w:r>
      <w:r>
        <w:rPr>
          <w:spacing w:val="-1"/>
        </w:rPr>
        <w:t xml:space="preserve"> </w:t>
      </w:r>
      <w:r>
        <w:t>001 remain. The certifying actuary sets the MA level of significance at 40 percent.</w:t>
      </w:r>
    </w:p>
    <w:p>
      <w:pPr>
        <w:pStyle w:val="BodyText"/>
        <w:spacing w:before="120"/>
      </w:pPr>
      <w:r>
        <w:t>Members</w:t>
      </w:r>
      <w:r>
        <w:rPr>
          <w:spacing w:val="-5"/>
        </w:rPr>
        <w:t xml:space="preserve"> </w:t>
      </w:r>
      <w:r>
        <w:t>in</w:t>
      </w:r>
      <w:r>
        <w:rPr>
          <w:spacing w:val="-1"/>
        </w:rPr>
        <w:t xml:space="preserve"> </w:t>
      </w:r>
      <w:r>
        <w:t>plan</w:t>
      </w:r>
      <w:r>
        <w:rPr>
          <w:spacing w:val="-2"/>
        </w:rPr>
        <w:t xml:space="preserve"> </w:t>
      </w:r>
      <w:r>
        <w:t>001</w:t>
      </w:r>
      <w:r>
        <w:rPr>
          <w:spacing w:val="-1"/>
        </w:rPr>
        <w:t xml:space="preserve"> </w:t>
      </w:r>
      <w:r>
        <w:t>are</w:t>
      </w:r>
      <w:r>
        <w:rPr>
          <w:spacing w:val="1"/>
        </w:rPr>
        <w:t xml:space="preserve"> </w:t>
      </w:r>
      <w:r>
        <w:t>crosswalked as</w:t>
      </w:r>
      <w:r>
        <w:rPr>
          <w:spacing w:val="-2"/>
        </w:rPr>
        <w:t xml:space="preserve"> </w:t>
      </w:r>
      <w:r>
        <w:t>shown</w:t>
      </w:r>
      <w:r>
        <w:rPr>
          <w:spacing w:val="-1"/>
        </w:rPr>
        <w:t xml:space="preserve"> </w:t>
      </w:r>
      <w:r>
        <w:t>in</w:t>
      </w:r>
      <w:r>
        <w:rPr>
          <w:spacing w:val="1"/>
        </w:rPr>
        <w:t xml:space="preserve"> </w:t>
      </w:r>
      <w:r>
        <w:t>the</w:t>
      </w:r>
      <w:r>
        <w:rPr>
          <w:spacing w:val="-1"/>
        </w:rPr>
        <w:t xml:space="preserve"> </w:t>
      </w:r>
      <w:r>
        <w:t>table</w:t>
      </w:r>
      <w:r>
        <w:rPr>
          <w:spacing w:val="-1"/>
        </w:rPr>
        <w:t xml:space="preserve"> </w:t>
      </w:r>
      <w:r>
        <w:rPr>
          <w:spacing w:val="-2"/>
        </w:rPr>
        <w:t>below.</w:t>
      </w:r>
    </w:p>
    <w:p>
      <w:pPr>
        <w:pStyle w:val="BodyText"/>
        <w:spacing w:before="6"/>
        <w:ind w:left="0"/>
        <w:rPr>
          <w:sz w:val="19"/>
        </w:rPr>
      </w:pPr>
    </w:p>
    <w:tbl>
      <w:tblPr>
        <w:tblStyle w:val="TableNormal"/>
        <w:tblW w:w="0" w:type="auto"/>
        <w:jc w:val="left"/>
        <w:tblInd w:w="1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9"/>
        <w:gridCol w:w="1922"/>
        <w:gridCol w:w="1973"/>
        <w:gridCol w:w="1776"/>
      </w:tblGrid>
      <w:tr>
        <w:tblPrEx>
          <w:tblW w:w="0" w:type="auto"/>
          <w:jc w:val="left"/>
          <w:tblInd w:w="1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19"/>
          <w:jc w:val="left"/>
        </w:trPr>
        <w:tc>
          <w:tcPr>
            <w:tcW w:w="1689" w:type="dxa"/>
          </w:tcPr>
          <w:p>
            <w:pPr>
              <w:pStyle w:val="TableParagraph"/>
              <w:rPr>
                <w:sz w:val="22"/>
              </w:rPr>
            </w:pPr>
          </w:p>
        </w:tc>
        <w:tc>
          <w:tcPr>
            <w:tcW w:w="1922" w:type="dxa"/>
          </w:tcPr>
          <w:p>
            <w:pPr>
              <w:pStyle w:val="TableParagraph"/>
              <w:spacing w:line="244" w:lineRule="exact"/>
              <w:ind w:left="548"/>
              <w:rPr>
                <w:b/>
                <w:sz w:val="22"/>
              </w:rPr>
            </w:pPr>
            <w:r>
              <w:rPr>
                <w:b/>
                <w:spacing w:val="-2"/>
                <w:sz w:val="22"/>
              </w:rPr>
              <w:t>CY2025</w:t>
            </w:r>
          </w:p>
        </w:tc>
        <w:tc>
          <w:tcPr>
            <w:tcW w:w="1973" w:type="dxa"/>
          </w:tcPr>
          <w:p>
            <w:pPr>
              <w:pStyle w:val="TableParagraph"/>
              <w:spacing w:line="244" w:lineRule="exact"/>
              <w:ind w:right="62"/>
              <w:jc w:val="center"/>
              <w:rPr>
                <w:b/>
                <w:sz w:val="22"/>
              </w:rPr>
            </w:pPr>
            <w:r>
              <w:rPr>
                <w:b/>
                <w:spacing w:val="-2"/>
                <w:sz w:val="22"/>
              </w:rPr>
              <w:t>CY2026</w:t>
            </w:r>
          </w:p>
        </w:tc>
        <w:tc>
          <w:tcPr>
            <w:tcW w:w="1776" w:type="dxa"/>
          </w:tcPr>
          <w:p>
            <w:pPr>
              <w:pStyle w:val="TableParagraph"/>
              <w:spacing w:line="244" w:lineRule="exact"/>
              <w:ind w:left="656"/>
              <w:rPr>
                <w:b/>
                <w:sz w:val="22"/>
              </w:rPr>
            </w:pPr>
            <w:r>
              <w:rPr>
                <w:b/>
                <w:spacing w:val="-2"/>
                <w:sz w:val="22"/>
              </w:rPr>
              <w:t>CY2027</w:t>
            </w:r>
          </w:p>
        </w:tc>
      </w:tr>
      <w:tr>
        <w:tblPrEx>
          <w:tblW w:w="0" w:type="auto"/>
          <w:jc w:val="left"/>
          <w:tblInd w:w="1342" w:type="dxa"/>
          <w:tblLayout w:type="fixed"/>
          <w:tblCellMar>
            <w:top w:w="0" w:type="dxa"/>
            <w:left w:w="0" w:type="dxa"/>
            <w:bottom w:w="0" w:type="dxa"/>
            <w:right w:w="0" w:type="dxa"/>
          </w:tblCellMar>
          <w:tblLook w:val="01E0"/>
        </w:tblPrEx>
        <w:trPr>
          <w:trHeight w:val="392"/>
          <w:jc w:val="left"/>
        </w:trPr>
        <w:tc>
          <w:tcPr>
            <w:tcW w:w="1689" w:type="dxa"/>
          </w:tcPr>
          <w:p>
            <w:pPr>
              <w:pStyle w:val="TableParagraph"/>
              <w:spacing w:before="66"/>
              <w:ind w:left="50"/>
              <w:rPr>
                <w:sz w:val="22"/>
              </w:rPr>
            </w:pPr>
            <w:r>
              <w:rPr>
                <w:sz w:val="22"/>
              </w:rPr>
              <w:t>Counties</w:t>
            </w:r>
            <w:r>
              <w:rPr>
                <w:spacing w:val="-4"/>
                <w:sz w:val="22"/>
              </w:rPr>
              <w:t xml:space="preserve"> </w:t>
            </w:r>
            <w:r>
              <w:rPr>
                <w:spacing w:val="-5"/>
                <w:sz w:val="22"/>
              </w:rPr>
              <w:t>A…C</w:t>
            </w:r>
          </w:p>
        </w:tc>
        <w:tc>
          <w:tcPr>
            <w:tcW w:w="1922" w:type="dxa"/>
          </w:tcPr>
          <w:p>
            <w:pPr>
              <w:pStyle w:val="TableParagraph"/>
              <w:spacing w:before="66"/>
              <w:ind w:left="271"/>
              <w:rPr>
                <w:sz w:val="22"/>
              </w:rPr>
            </w:pPr>
            <w:r>
              <w:rPr>
                <w:sz w:val="22"/>
              </w:rPr>
              <w:t>200</w:t>
            </w:r>
            <w:r>
              <w:rPr>
                <w:spacing w:val="-1"/>
                <w:sz w:val="22"/>
              </w:rPr>
              <w:t xml:space="preserve"> </w:t>
            </w:r>
            <w:r>
              <w:rPr>
                <w:sz w:val="22"/>
              </w:rPr>
              <w:t>in</w:t>
            </w:r>
            <w:r>
              <w:rPr>
                <w:spacing w:val="-4"/>
                <w:sz w:val="22"/>
              </w:rPr>
              <w:t xml:space="preserve"> </w:t>
            </w:r>
            <w:r>
              <w:rPr>
                <w:sz w:val="22"/>
              </w:rPr>
              <w:t xml:space="preserve">plan </w:t>
            </w:r>
            <w:r>
              <w:rPr>
                <w:spacing w:val="-5"/>
                <w:sz w:val="22"/>
              </w:rPr>
              <w:t>001</w:t>
            </w:r>
          </w:p>
        </w:tc>
        <w:tc>
          <w:tcPr>
            <w:tcW w:w="1973" w:type="dxa"/>
          </w:tcPr>
          <w:p>
            <w:pPr>
              <w:pStyle w:val="TableParagraph"/>
              <w:spacing w:before="66"/>
              <w:ind w:left="2" w:right="62"/>
              <w:jc w:val="center"/>
              <w:rPr>
                <w:sz w:val="22"/>
              </w:rPr>
            </w:pPr>
            <w:r>
              <w:rPr>
                <w:sz w:val="22"/>
              </w:rPr>
              <w:t>200</w:t>
            </w:r>
            <w:r>
              <w:rPr>
                <w:spacing w:val="-2"/>
                <w:sz w:val="22"/>
              </w:rPr>
              <w:t xml:space="preserve"> </w:t>
            </w:r>
            <w:r>
              <w:rPr>
                <w:b/>
                <w:sz w:val="22"/>
              </w:rPr>
              <w:t>→</w:t>
            </w:r>
            <w:r>
              <w:rPr>
                <w:sz w:val="22"/>
              </w:rPr>
              <w:t>plan</w:t>
            </w:r>
            <w:r>
              <w:rPr>
                <w:spacing w:val="-1"/>
                <w:sz w:val="22"/>
              </w:rPr>
              <w:t xml:space="preserve"> </w:t>
            </w:r>
            <w:r>
              <w:rPr>
                <w:spacing w:val="-5"/>
                <w:sz w:val="22"/>
              </w:rPr>
              <w:t>002</w:t>
            </w:r>
          </w:p>
        </w:tc>
        <w:tc>
          <w:tcPr>
            <w:tcW w:w="1776" w:type="dxa"/>
          </w:tcPr>
          <w:p>
            <w:pPr>
              <w:pStyle w:val="TableParagraph"/>
              <w:spacing w:before="66"/>
              <w:ind w:left="339"/>
              <w:rPr>
                <w:sz w:val="22"/>
              </w:rPr>
            </w:pPr>
            <w:r>
              <w:rPr>
                <w:b/>
                <w:sz w:val="22"/>
              </w:rPr>
              <w:t>→</w:t>
            </w:r>
            <w:r>
              <w:rPr>
                <w:sz w:val="22"/>
              </w:rPr>
              <w:t>0</w:t>
            </w:r>
            <w:r>
              <w:rPr>
                <w:spacing w:val="-1"/>
                <w:sz w:val="22"/>
              </w:rPr>
              <w:t xml:space="preserve"> </w:t>
            </w:r>
            <w:r>
              <w:rPr>
                <w:sz w:val="22"/>
              </w:rPr>
              <w:t>in</w:t>
            </w:r>
            <w:r>
              <w:rPr>
                <w:spacing w:val="-4"/>
                <w:sz w:val="22"/>
              </w:rPr>
              <w:t xml:space="preserve"> </w:t>
            </w:r>
            <w:r>
              <w:rPr>
                <w:sz w:val="22"/>
              </w:rPr>
              <w:t xml:space="preserve">plan </w:t>
            </w:r>
            <w:r>
              <w:rPr>
                <w:spacing w:val="-5"/>
                <w:sz w:val="22"/>
              </w:rPr>
              <w:t>002</w:t>
            </w:r>
          </w:p>
        </w:tc>
      </w:tr>
      <w:tr>
        <w:tblPrEx>
          <w:tblW w:w="0" w:type="auto"/>
          <w:jc w:val="left"/>
          <w:tblInd w:w="1342" w:type="dxa"/>
          <w:tblLayout w:type="fixed"/>
          <w:tblCellMar>
            <w:top w:w="0" w:type="dxa"/>
            <w:left w:w="0" w:type="dxa"/>
            <w:bottom w:w="0" w:type="dxa"/>
            <w:right w:w="0" w:type="dxa"/>
          </w:tblCellMar>
          <w:tblLook w:val="01E0"/>
        </w:tblPrEx>
        <w:trPr>
          <w:trHeight w:val="392"/>
          <w:jc w:val="left"/>
        </w:trPr>
        <w:tc>
          <w:tcPr>
            <w:tcW w:w="1689" w:type="dxa"/>
          </w:tcPr>
          <w:p>
            <w:pPr>
              <w:pStyle w:val="TableParagraph"/>
              <w:spacing w:before="64"/>
              <w:ind w:left="50"/>
              <w:rPr>
                <w:sz w:val="22"/>
              </w:rPr>
            </w:pPr>
            <w:r>
              <w:rPr>
                <w:sz w:val="22"/>
              </w:rPr>
              <w:t>County</w:t>
            </w:r>
            <w:r>
              <w:rPr>
                <w:spacing w:val="-1"/>
                <w:sz w:val="22"/>
              </w:rPr>
              <w:t xml:space="preserve"> </w:t>
            </w:r>
            <w:r>
              <w:rPr>
                <w:spacing w:val="-10"/>
                <w:sz w:val="22"/>
              </w:rPr>
              <w:t>D</w:t>
            </w:r>
          </w:p>
        </w:tc>
        <w:tc>
          <w:tcPr>
            <w:tcW w:w="1922" w:type="dxa"/>
          </w:tcPr>
          <w:p>
            <w:pPr>
              <w:pStyle w:val="TableParagraph"/>
              <w:spacing w:before="64"/>
              <w:ind w:left="271"/>
              <w:rPr>
                <w:sz w:val="22"/>
              </w:rPr>
            </w:pPr>
            <w:r>
              <w:rPr>
                <w:sz w:val="22"/>
                <w:u w:val="single"/>
              </w:rPr>
              <w:t>100</w:t>
            </w:r>
            <w:r>
              <w:rPr>
                <w:spacing w:val="-1"/>
                <w:sz w:val="22"/>
                <w:u w:val="none"/>
              </w:rPr>
              <w:t xml:space="preserve"> </w:t>
            </w:r>
            <w:r>
              <w:rPr>
                <w:sz w:val="22"/>
                <w:u w:val="none"/>
              </w:rPr>
              <w:t>in</w:t>
            </w:r>
            <w:r>
              <w:rPr>
                <w:spacing w:val="-4"/>
                <w:sz w:val="22"/>
                <w:u w:val="none"/>
              </w:rPr>
              <w:t xml:space="preserve"> </w:t>
            </w:r>
            <w:r>
              <w:rPr>
                <w:sz w:val="22"/>
                <w:u w:val="none"/>
              </w:rPr>
              <w:t xml:space="preserve">plan </w:t>
            </w:r>
            <w:r>
              <w:rPr>
                <w:spacing w:val="-5"/>
                <w:sz w:val="22"/>
                <w:u w:val="none"/>
              </w:rPr>
              <w:t>001</w:t>
            </w:r>
          </w:p>
        </w:tc>
        <w:tc>
          <w:tcPr>
            <w:tcW w:w="1973" w:type="dxa"/>
          </w:tcPr>
          <w:p>
            <w:pPr>
              <w:pStyle w:val="TableParagraph"/>
              <w:spacing w:before="64"/>
              <w:ind w:left="2" w:right="62"/>
              <w:jc w:val="center"/>
              <w:rPr>
                <w:sz w:val="22"/>
              </w:rPr>
            </w:pPr>
            <w:r>
              <w:rPr>
                <w:sz w:val="22"/>
              </w:rPr>
              <w:t>100</w:t>
            </w:r>
            <w:r>
              <w:rPr>
                <w:spacing w:val="-2"/>
                <w:sz w:val="22"/>
              </w:rPr>
              <w:t xml:space="preserve"> </w:t>
            </w:r>
            <w:r>
              <w:rPr>
                <w:b/>
                <w:sz w:val="22"/>
              </w:rPr>
              <w:t>→</w:t>
            </w:r>
            <w:r>
              <w:rPr>
                <w:sz w:val="22"/>
              </w:rPr>
              <w:t>plan</w:t>
            </w:r>
            <w:r>
              <w:rPr>
                <w:spacing w:val="-1"/>
                <w:sz w:val="22"/>
              </w:rPr>
              <w:t xml:space="preserve"> </w:t>
            </w:r>
            <w:r>
              <w:rPr>
                <w:spacing w:val="-5"/>
                <w:sz w:val="22"/>
              </w:rPr>
              <w:t>002</w:t>
            </w:r>
          </w:p>
        </w:tc>
        <w:tc>
          <w:tcPr>
            <w:tcW w:w="1776" w:type="dxa"/>
          </w:tcPr>
          <w:p>
            <w:pPr>
              <w:pStyle w:val="TableParagraph"/>
              <w:spacing w:before="64"/>
              <w:ind w:left="327"/>
              <w:rPr>
                <w:sz w:val="22"/>
              </w:rPr>
            </w:pPr>
            <w:r>
              <w:rPr>
                <w:sz w:val="22"/>
                <w:u w:val="single"/>
              </w:rPr>
              <w:t>100</w:t>
            </w:r>
            <w:r>
              <w:rPr>
                <w:sz w:val="22"/>
                <w:u w:val="none"/>
              </w:rPr>
              <w:t xml:space="preserve"> in</w:t>
            </w:r>
            <w:r>
              <w:rPr>
                <w:spacing w:val="14"/>
                <w:sz w:val="22"/>
                <w:u w:val="none"/>
              </w:rPr>
              <w:t xml:space="preserve"> </w:t>
            </w:r>
            <w:r>
              <w:rPr>
                <w:sz w:val="22"/>
                <w:u w:val="none"/>
              </w:rPr>
              <w:t>plan</w:t>
            </w:r>
            <w:r>
              <w:rPr>
                <w:spacing w:val="2"/>
                <w:sz w:val="22"/>
                <w:u w:val="none"/>
              </w:rPr>
              <w:t xml:space="preserve"> </w:t>
            </w:r>
            <w:r>
              <w:rPr>
                <w:spacing w:val="-5"/>
                <w:sz w:val="22"/>
                <w:u w:val="none"/>
              </w:rPr>
              <w:t>002</w:t>
            </w:r>
          </w:p>
        </w:tc>
      </w:tr>
      <w:tr>
        <w:tblPrEx>
          <w:tblW w:w="0" w:type="auto"/>
          <w:jc w:val="left"/>
          <w:tblInd w:w="1342" w:type="dxa"/>
          <w:tblLayout w:type="fixed"/>
          <w:tblCellMar>
            <w:top w:w="0" w:type="dxa"/>
            <w:left w:w="0" w:type="dxa"/>
            <w:bottom w:w="0" w:type="dxa"/>
            <w:right w:w="0" w:type="dxa"/>
          </w:tblCellMar>
          <w:tblLook w:val="01E0"/>
        </w:tblPrEx>
        <w:trPr>
          <w:trHeight w:val="319"/>
          <w:jc w:val="left"/>
        </w:trPr>
        <w:tc>
          <w:tcPr>
            <w:tcW w:w="1689" w:type="dxa"/>
          </w:tcPr>
          <w:p>
            <w:pPr>
              <w:pStyle w:val="TableParagraph"/>
              <w:spacing w:before="66" w:line="233" w:lineRule="exact"/>
              <w:ind w:left="50"/>
              <w:rPr>
                <w:sz w:val="22"/>
              </w:rPr>
            </w:pPr>
            <w:r>
              <w:rPr>
                <w:spacing w:val="-2"/>
                <w:sz w:val="22"/>
              </w:rPr>
              <w:t>Total</w:t>
            </w:r>
          </w:p>
        </w:tc>
        <w:tc>
          <w:tcPr>
            <w:tcW w:w="1922" w:type="dxa"/>
          </w:tcPr>
          <w:p>
            <w:pPr>
              <w:pStyle w:val="TableParagraph"/>
              <w:spacing w:before="66" w:line="233" w:lineRule="exact"/>
              <w:ind w:left="271"/>
              <w:rPr>
                <w:sz w:val="22"/>
              </w:rPr>
            </w:pPr>
            <w:r>
              <w:rPr>
                <w:spacing w:val="-5"/>
                <w:sz w:val="22"/>
              </w:rPr>
              <w:t>300</w:t>
            </w:r>
          </w:p>
        </w:tc>
        <w:tc>
          <w:tcPr>
            <w:tcW w:w="1973" w:type="dxa"/>
          </w:tcPr>
          <w:p>
            <w:pPr>
              <w:pStyle w:val="TableParagraph"/>
              <w:rPr>
                <w:sz w:val="22"/>
              </w:rPr>
            </w:pPr>
          </w:p>
        </w:tc>
        <w:tc>
          <w:tcPr>
            <w:tcW w:w="1776" w:type="dxa"/>
          </w:tcPr>
          <w:p>
            <w:pPr>
              <w:pStyle w:val="TableParagraph"/>
              <w:spacing w:before="66" w:line="233" w:lineRule="exact"/>
              <w:ind w:left="327"/>
              <w:rPr>
                <w:sz w:val="22"/>
              </w:rPr>
            </w:pPr>
            <w:r>
              <w:rPr>
                <w:spacing w:val="-5"/>
                <w:sz w:val="22"/>
              </w:rPr>
              <w:t>100</w:t>
            </w:r>
          </w:p>
        </w:tc>
      </w:tr>
    </w:tbl>
    <w:p>
      <w:pPr>
        <w:pStyle w:val="TableParagraph"/>
        <w:spacing w:after="0" w:line="233" w:lineRule="exact"/>
        <w:rPr>
          <w:sz w:val="22"/>
        </w:rPr>
        <w:sectPr>
          <w:pgSz w:w="12240" w:h="15840"/>
          <w:pgMar w:top="960" w:right="0" w:bottom="940" w:left="1080" w:header="727" w:footer="747"/>
          <w:cols w:space="720"/>
        </w:sectPr>
      </w:pPr>
    </w:p>
    <w:p>
      <w:pPr>
        <w:pStyle w:val="BodyText"/>
        <w:spacing w:before="190"/>
        <w:ind w:left="0"/>
      </w:pPr>
    </w:p>
    <w:p>
      <w:pPr>
        <w:pStyle w:val="BodyText"/>
        <w:ind w:right="1326"/>
      </w:pPr>
      <w:r>
        <w:t>The</w:t>
      </w:r>
      <w:r>
        <w:rPr>
          <w:spacing w:val="-5"/>
        </w:rPr>
        <w:t xml:space="preserve"> </w:t>
      </w:r>
      <w:r>
        <w:t>proportion</w:t>
      </w:r>
      <w:r>
        <w:rPr>
          <w:spacing w:val="-3"/>
        </w:rPr>
        <w:t xml:space="preserve"> </w:t>
      </w:r>
      <w:r>
        <w:t>of</w:t>
      </w:r>
      <w:r>
        <w:rPr>
          <w:spacing w:val="-4"/>
        </w:rPr>
        <w:t xml:space="preserve"> </w:t>
      </w:r>
      <w:r>
        <w:t>plan</w:t>
      </w:r>
      <w:r>
        <w:rPr>
          <w:spacing w:val="-3"/>
        </w:rPr>
        <w:t xml:space="preserve"> </w:t>
      </w:r>
      <w:r>
        <w:t>001</w:t>
      </w:r>
      <w:r>
        <w:rPr>
          <w:spacing w:val="-3"/>
        </w:rPr>
        <w:t xml:space="preserve"> </w:t>
      </w:r>
      <w:r>
        <w:t>members</w:t>
      </w:r>
      <w:r>
        <w:rPr>
          <w:spacing w:val="-4"/>
        </w:rPr>
        <w:t xml:space="preserve"> </w:t>
      </w:r>
      <w:r>
        <w:t>remaining</w:t>
      </w:r>
      <w:r>
        <w:rPr>
          <w:spacing w:val="-3"/>
        </w:rPr>
        <w:t xml:space="preserve"> </w:t>
      </w:r>
      <w:r>
        <w:t>in</w:t>
      </w:r>
      <w:r>
        <w:rPr>
          <w:spacing w:val="-2"/>
        </w:rPr>
        <w:t xml:space="preserve"> </w:t>
      </w:r>
      <w:r>
        <w:t>plan</w:t>
      </w:r>
      <w:r>
        <w:rPr>
          <w:spacing w:val="-4"/>
        </w:rPr>
        <w:t xml:space="preserve"> </w:t>
      </w:r>
      <w:r>
        <w:t>002</w:t>
      </w:r>
      <w:r>
        <w:rPr>
          <w:spacing w:val="-3"/>
        </w:rPr>
        <w:t xml:space="preserve"> </w:t>
      </w:r>
      <w:r>
        <w:t>after</w:t>
      </w:r>
      <w:r>
        <w:rPr>
          <w:spacing w:val="-3"/>
        </w:rPr>
        <w:t xml:space="preserve"> </w:t>
      </w:r>
      <w:r>
        <w:t>taking</w:t>
      </w:r>
      <w:r>
        <w:rPr>
          <w:spacing w:val="-3"/>
        </w:rPr>
        <w:t xml:space="preserve"> </w:t>
      </w:r>
      <w:r>
        <w:t>into</w:t>
      </w:r>
      <w:r>
        <w:rPr>
          <w:spacing w:val="-3"/>
        </w:rPr>
        <w:t xml:space="preserve"> </w:t>
      </w:r>
      <w:r>
        <w:t>account</w:t>
      </w:r>
      <w:r>
        <w:rPr>
          <w:spacing w:val="-3"/>
        </w:rPr>
        <w:t xml:space="preserve"> </w:t>
      </w:r>
      <w:r>
        <w:t>the</w:t>
      </w:r>
      <w:r>
        <w:rPr>
          <w:spacing w:val="-3"/>
        </w:rPr>
        <w:t xml:space="preserve"> </w:t>
      </w:r>
      <w:r>
        <w:t>CY2026 crosswalks from plan 001 to plan 002 and the CY2027 service area reduction for plan 002 is 100/300 or 33 percent. Since such percentage is below the 40-percent threshold established by the certifying actuary, base period experience must be reported on Worksheet 1 of the CY2027 BPTs as follows:</w:t>
      </w:r>
    </w:p>
    <w:p>
      <w:pPr>
        <w:pStyle w:val="ListParagraph"/>
        <w:numPr>
          <w:ilvl w:val="0"/>
          <w:numId w:val="1"/>
        </w:numPr>
        <w:tabs>
          <w:tab w:val="left" w:pos="1584"/>
        </w:tabs>
        <w:spacing w:before="120" w:after="0" w:line="240" w:lineRule="auto"/>
        <w:ind w:left="1584" w:right="1634" w:hanging="360"/>
        <w:jc w:val="left"/>
        <w:rPr>
          <w:sz w:val="24"/>
        </w:rPr>
      </w:pPr>
      <w:r>
        <w:rPr>
          <w:sz w:val="24"/>
        </w:rPr>
        <w:t>For</w:t>
      </w:r>
      <w:r>
        <w:rPr>
          <w:spacing w:val="-4"/>
          <w:sz w:val="24"/>
        </w:rPr>
        <w:t xml:space="preserve"> </w:t>
      </w:r>
      <w:r>
        <w:rPr>
          <w:sz w:val="24"/>
        </w:rPr>
        <w:t>plan</w:t>
      </w:r>
      <w:r>
        <w:rPr>
          <w:spacing w:val="-4"/>
          <w:sz w:val="24"/>
        </w:rPr>
        <w:t xml:space="preserve"> </w:t>
      </w:r>
      <w:r>
        <w:rPr>
          <w:sz w:val="24"/>
        </w:rPr>
        <w:t>002,</w:t>
      </w:r>
      <w:r>
        <w:rPr>
          <w:spacing w:val="-3"/>
          <w:sz w:val="24"/>
        </w:rPr>
        <w:t xml:space="preserve"> </w:t>
      </w:r>
      <w:r>
        <w:rPr>
          <w:sz w:val="24"/>
        </w:rPr>
        <w:t>report</w:t>
      </w:r>
      <w:r>
        <w:rPr>
          <w:spacing w:val="-3"/>
          <w:sz w:val="24"/>
        </w:rPr>
        <w:t xml:space="preserve"> </w:t>
      </w:r>
      <w:r>
        <w:rPr>
          <w:sz w:val="24"/>
        </w:rPr>
        <w:t>base</w:t>
      </w:r>
      <w:r>
        <w:rPr>
          <w:spacing w:val="-2"/>
          <w:sz w:val="24"/>
        </w:rPr>
        <w:t xml:space="preserve"> </w:t>
      </w:r>
      <w:r>
        <w:rPr>
          <w:sz w:val="24"/>
        </w:rPr>
        <w:t>period</w:t>
      </w:r>
      <w:r>
        <w:rPr>
          <w:spacing w:val="-3"/>
          <w:sz w:val="24"/>
        </w:rPr>
        <w:t xml:space="preserve"> </w:t>
      </w:r>
      <w:r>
        <w:rPr>
          <w:sz w:val="24"/>
        </w:rPr>
        <w:t>experience</w:t>
      </w:r>
      <w:r>
        <w:rPr>
          <w:spacing w:val="-4"/>
          <w:sz w:val="24"/>
        </w:rPr>
        <w:t xml:space="preserve"> </w:t>
      </w:r>
      <w:r>
        <w:rPr>
          <w:sz w:val="24"/>
        </w:rPr>
        <w:t>for</w:t>
      </w:r>
      <w:r>
        <w:rPr>
          <w:spacing w:val="-3"/>
          <w:sz w:val="24"/>
        </w:rPr>
        <w:t xml:space="preserve"> </w:t>
      </w:r>
      <w:r>
        <w:rPr>
          <w:sz w:val="24"/>
        </w:rPr>
        <w:t>plan</w:t>
      </w:r>
      <w:r>
        <w:rPr>
          <w:spacing w:val="-3"/>
          <w:sz w:val="24"/>
        </w:rPr>
        <w:t xml:space="preserve"> </w:t>
      </w:r>
      <w:r>
        <w:rPr>
          <w:sz w:val="24"/>
        </w:rPr>
        <w:t>002</w:t>
      </w:r>
      <w:r>
        <w:rPr>
          <w:spacing w:val="-3"/>
          <w:sz w:val="24"/>
        </w:rPr>
        <w:t xml:space="preserve"> </w:t>
      </w:r>
      <w:r>
        <w:rPr>
          <w:sz w:val="24"/>
        </w:rPr>
        <w:t>(Rule</w:t>
      </w:r>
      <w:r>
        <w:rPr>
          <w:spacing w:val="-3"/>
          <w:sz w:val="24"/>
        </w:rPr>
        <w:t xml:space="preserve"> </w:t>
      </w:r>
      <w:r>
        <w:rPr>
          <w:sz w:val="24"/>
        </w:rPr>
        <w:t>2</w:t>
      </w:r>
      <w:r>
        <w:rPr>
          <w:spacing w:val="-3"/>
          <w:sz w:val="24"/>
        </w:rPr>
        <w:t xml:space="preserve"> </w:t>
      </w:r>
      <w:r>
        <w:rPr>
          <w:sz w:val="24"/>
        </w:rPr>
        <w:t>and</w:t>
      </w:r>
      <w:r>
        <w:rPr>
          <w:spacing w:val="-3"/>
          <w:sz w:val="24"/>
        </w:rPr>
        <w:t xml:space="preserve"> </w:t>
      </w:r>
      <w:r>
        <w:rPr>
          <w:sz w:val="24"/>
        </w:rPr>
        <w:t>Rule</w:t>
      </w:r>
      <w:r>
        <w:rPr>
          <w:spacing w:val="-2"/>
          <w:sz w:val="24"/>
        </w:rPr>
        <w:t xml:space="preserve"> </w:t>
      </w:r>
      <w:r>
        <w:rPr>
          <w:sz w:val="24"/>
        </w:rPr>
        <w:t>4).</w:t>
      </w:r>
      <w:r>
        <w:rPr>
          <w:spacing w:val="-3"/>
          <w:sz w:val="24"/>
        </w:rPr>
        <w:t xml:space="preserve"> </w:t>
      </w:r>
      <w:r>
        <w:rPr>
          <w:sz w:val="24"/>
        </w:rPr>
        <w:t>Data aggregation is not allowed.</w:t>
      </w:r>
    </w:p>
    <w:p>
      <w:pPr>
        <w:spacing w:before="241"/>
        <w:ind w:left="504" w:right="0" w:firstLine="0"/>
        <w:jc w:val="left"/>
        <w:rPr>
          <w:rFonts w:ascii="Arial"/>
          <w:b/>
          <w:sz w:val="21"/>
        </w:rPr>
      </w:pPr>
      <w:r>
        <w:rPr>
          <w:rFonts w:ascii="Arial"/>
          <w:b/>
          <w:sz w:val="21"/>
        </w:rPr>
        <w:t>Example</w:t>
      </w:r>
      <w:r>
        <w:rPr>
          <w:rFonts w:ascii="Arial"/>
          <w:b/>
          <w:spacing w:val="-7"/>
          <w:sz w:val="21"/>
        </w:rPr>
        <w:t xml:space="preserve"> </w:t>
      </w:r>
      <w:r>
        <w:rPr>
          <w:rFonts w:ascii="Arial"/>
          <w:b/>
          <w:sz w:val="21"/>
        </w:rPr>
        <w:t>6:</w:t>
      </w:r>
      <w:r>
        <w:rPr>
          <w:rFonts w:ascii="Arial"/>
          <w:b/>
          <w:spacing w:val="-6"/>
          <w:sz w:val="21"/>
        </w:rPr>
        <w:t xml:space="preserve"> </w:t>
      </w:r>
      <w:r>
        <w:rPr>
          <w:rFonts w:ascii="Arial"/>
          <w:b/>
          <w:sz w:val="21"/>
        </w:rPr>
        <w:t>Service</w:t>
      </w:r>
      <w:r>
        <w:rPr>
          <w:rFonts w:ascii="Arial"/>
          <w:b/>
          <w:spacing w:val="-7"/>
          <w:sz w:val="21"/>
        </w:rPr>
        <w:t xml:space="preserve"> </w:t>
      </w:r>
      <w:r>
        <w:rPr>
          <w:rFonts w:ascii="Arial"/>
          <w:b/>
          <w:sz w:val="21"/>
        </w:rPr>
        <w:t>Area</w:t>
      </w:r>
      <w:r>
        <w:rPr>
          <w:rFonts w:ascii="Arial"/>
          <w:b/>
          <w:spacing w:val="-7"/>
          <w:sz w:val="21"/>
        </w:rPr>
        <w:t xml:space="preserve"> </w:t>
      </w:r>
      <w:r>
        <w:rPr>
          <w:rFonts w:ascii="Arial"/>
          <w:b/>
          <w:sz w:val="21"/>
        </w:rPr>
        <w:t>Expansion</w:t>
      </w:r>
      <w:r>
        <w:rPr>
          <w:rFonts w:ascii="Arial"/>
          <w:b/>
          <w:spacing w:val="-4"/>
          <w:sz w:val="21"/>
        </w:rPr>
        <w:t xml:space="preserve"> </w:t>
      </w:r>
      <w:r>
        <w:rPr>
          <w:rFonts w:ascii="Arial"/>
          <w:b/>
          <w:sz w:val="21"/>
        </w:rPr>
        <w:t>and</w:t>
      </w:r>
      <w:r>
        <w:rPr>
          <w:rFonts w:ascii="Arial"/>
          <w:b/>
          <w:spacing w:val="-5"/>
          <w:sz w:val="21"/>
        </w:rPr>
        <w:t xml:space="preserve"> </w:t>
      </w:r>
      <w:r>
        <w:rPr>
          <w:rFonts w:ascii="Arial"/>
          <w:b/>
          <w:sz w:val="21"/>
        </w:rPr>
        <w:t>Service</w:t>
      </w:r>
      <w:r>
        <w:rPr>
          <w:rFonts w:ascii="Arial"/>
          <w:b/>
          <w:spacing w:val="-5"/>
          <w:sz w:val="21"/>
        </w:rPr>
        <w:t xml:space="preserve"> </w:t>
      </w:r>
      <w:r>
        <w:rPr>
          <w:rFonts w:ascii="Arial"/>
          <w:b/>
          <w:sz w:val="21"/>
        </w:rPr>
        <w:t>Area</w:t>
      </w:r>
      <w:r>
        <w:rPr>
          <w:rFonts w:ascii="Arial"/>
          <w:b/>
          <w:spacing w:val="-6"/>
          <w:sz w:val="21"/>
        </w:rPr>
        <w:t xml:space="preserve"> </w:t>
      </w:r>
      <w:r>
        <w:rPr>
          <w:rFonts w:ascii="Arial"/>
          <w:b/>
          <w:spacing w:val="-2"/>
          <w:sz w:val="21"/>
        </w:rPr>
        <w:t>Reduction</w:t>
      </w:r>
    </w:p>
    <w:p>
      <w:pPr>
        <w:pStyle w:val="BodyText"/>
        <w:spacing w:before="120"/>
        <w:ind w:right="1296"/>
      </w:pPr>
      <w:r>
        <w:t>Plan 001 covers counties A through Y in CY2025 and undergoes an exception-based crosswalk in</w:t>
      </w:r>
      <w:r>
        <w:rPr>
          <w:spacing w:val="-3"/>
        </w:rPr>
        <w:t xml:space="preserve"> </w:t>
      </w:r>
      <w:r>
        <w:t>CY2026</w:t>
      </w:r>
      <w:r>
        <w:rPr>
          <w:spacing w:val="-3"/>
        </w:rPr>
        <w:t xml:space="preserve"> </w:t>
      </w:r>
      <w:r>
        <w:t>via</w:t>
      </w:r>
      <w:r>
        <w:rPr>
          <w:spacing w:val="-4"/>
        </w:rPr>
        <w:t xml:space="preserve"> </w:t>
      </w:r>
      <w:r>
        <w:t>MARx</w:t>
      </w:r>
      <w:r>
        <w:rPr>
          <w:spacing w:val="-3"/>
        </w:rPr>
        <w:t xml:space="preserve"> </w:t>
      </w:r>
      <w:r>
        <w:t>enrollment</w:t>
      </w:r>
      <w:r>
        <w:rPr>
          <w:spacing w:val="-3"/>
        </w:rPr>
        <w:t xml:space="preserve"> </w:t>
      </w:r>
      <w:r>
        <w:t>transactions,</w:t>
      </w:r>
      <w:r>
        <w:rPr>
          <w:spacing w:val="-3"/>
        </w:rPr>
        <w:t xml:space="preserve"> </w:t>
      </w:r>
      <w:r>
        <w:t>whereby</w:t>
      </w:r>
      <w:r>
        <w:rPr>
          <w:spacing w:val="-3"/>
        </w:rPr>
        <w:t xml:space="preserve"> </w:t>
      </w:r>
      <w:r>
        <w:t>counties</w:t>
      </w:r>
      <w:r>
        <w:rPr>
          <w:spacing w:val="-4"/>
        </w:rPr>
        <w:t xml:space="preserve"> </w:t>
      </w:r>
      <w:r>
        <w:t>B</w:t>
      </w:r>
      <w:r>
        <w:rPr>
          <w:spacing w:val="-3"/>
        </w:rPr>
        <w:t xml:space="preserve"> </w:t>
      </w:r>
      <w:r>
        <w:t>through</w:t>
      </w:r>
      <w:r>
        <w:rPr>
          <w:spacing w:val="-2"/>
        </w:rPr>
        <w:t xml:space="preserve"> </w:t>
      </w:r>
      <w:r>
        <w:t>Y</w:t>
      </w:r>
      <w:r>
        <w:rPr>
          <w:spacing w:val="-4"/>
        </w:rPr>
        <w:t xml:space="preserve"> </w:t>
      </w:r>
      <w:r>
        <w:t>are</w:t>
      </w:r>
      <w:r>
        <w:rPr>
          <w:spacing w:val="-1"/>
        </w:rPr>
        <w:t xml:space="preserve"> </w:t>
      </w:r>
      <w:r>
        <w:t>crosswalked</w:t>
      </w:r>
      <w:r>
        <w:rPr>
          <w:spacing w:val="-3"/>
        </w:rPr>
        <w:t xml:space="preserve"> </w:t>
      </w:r>
      <w:r>
        <w:t>to plan 002 and county A is not.</w:t>
      </w:r>
    </w:p>
    <w:p>
      <w:pPr>
        <w:pStyle w:val="BodyText"/>
        <w:spacing w:before="121"/>
        <w:ind w:right="1326"/>
      </w:pPr>
      <w:r>
        <w:t>Plan 002 undergoes a service area reduction in CY2027 whereby counties B through X are terminated.</w:t>
      </w:r>
      <w:r>
        <w:rPr>
          <w:spacing w:val="-3"/>
        </w:rPr>
        <w:t xml:space="preserve"> </w:t>
      </w:r>
      <w:r>
        <w:t>Plan</w:t>
      </w:r>
      <w:r>
        <w:rPr>
          <w:spacing w:val="-4"/>
        </w:rPr>
        <w:t xml:space="preserve"> </w:t>
      </w:r>
      <w:r>
        <w:t>002</w:t>
      </w:r>
      <w:r>
        <w:rPr>
          <w:spacing w:val="-3"/>
        </w:rPr>
        <w:t xml:space="preserve"> </w:t>
      </w:r>
      <w:r>
        <w:t>also</w:t>
      </w:r>
      <w:r>
        <w:rPr>
          <w:spacing w:val="-1"/>
        </w:rPr>
        <w:t xml:space="preserve"> </w:t>
      </w:r>
      <w:r>
        <w:t>undergoes</w:t>
      </w:r>
      <w:r>
        <w:rPr>
          <w:spacing w:val="-4"/>
        </w:rPr>
        <w:t xml:space="preserve"> </w:t>
      </w:r>
      <w:r>
        <w:t>a</w:t>
      </w:r>
      <w:r>
        <w:rPr>
          <w:spacing w:val="-4"/>
        </w:rPr>
        <w:t xml:space="preserve"> </w:t>
      </w:r>
      <w:r>
        <w:t>service</w:t>
      </w:r>
      <w:r>
        <w:rPr>
          <w:spacing w:val="-4"/>
        </w:rPr>
        <w:t xml:space="preserve"> </w:t>
      </w:r>
      <w:r>
        <w:t>area</w:t>
      </w:r>
      <w:r>
        <w:rPr>
          <w:spacing w:val="-2"/>
        </w:rPr>
        <w:t xml:space="preserve"> </w:t>
      </w:r>
      <w:r>
        <w:t>expansion</w:t>
      </w:r>
      <w:r>
        <w:rPr>
          <w:spacing w:val="-1"/>
        </w:rPr>
        <w:t xml:space="preserve"> </w:t>
      </w:r>
      <w:r>
        <w:t>with</w:t>
      </w:r>
      <w:r>
        <w:rPr>
          <w:spacing w:val="-3"/>
        </w:rPr>
        <w:t xml:space="preserve"> </w:t>
      </w:r>
      <w:r>
        <w:t>new</w:t>
      </w:r>
      <w:r>
        <w:rPr>
          <w:spacing w:val="-4"/>
        </w:rPr>
        <w:t xml:space="preserve"> </w:t>
      </w:r>
      <w:r>
        <w:t>county</w:t>
      </w:r>
      <w:r>
        <w:rPr>
          <w:spacing w:val="-3"/>
        </w:rPr>
        <w:t xml:space="preserve"> </w:t>
      </w:r>
      <w:r>
        <w:t>Z—an</w:t>
      </w:r>
      <w:r>
        <w:rPr>
          <w:spacing w:val="-3"/>
        </w:rPr>
        <w:t xml:space="preserve"> </w:t>
      </w:r>
      <w:r>
        <w:t xml:space="preserve">expansion that does not involve an exception based crosswalk because the MAO does not currently offer a plan in county Z. Therefore, only counties Y and Z are in the service area of plan 002 for </w:t>
      </w:r>
      <w:r>
        <w:rPr>
          <w:spacing w:val="-2"/>
        </w:rPr>
        <w:t>CY2027.</w:t>
      </w:r>
    </w:p>
    <w:p>
      <w:pPr>
        <w:pStyle w:val="BodyText"/>
        <w:spacing w:before="118"/>
      </w:pPr>
      <w:r>
        <w:t>The</w:t>
      </w:r>
      <w:r>
        <w:rPr>
          <w:spacing w:val="-5"/>
        </w:rPr>
        <w:t xml:space="preserve"> </w:t>
      </w:r>
      <w:r>
        <w:t>certifying</w:t>
      </w:r>
      <w:r>
        <w:rPr>
          <w:spacing w:val="-1"/>
        </w:rPr>
        <w:t xml:space="preserve"> </w:t>
      </w:r>
      <w:r>
        <w:t>actuary sets</w:t>
      </w:r>
      <w:r>
        <w:rPr>
          <w:spacing w:val="-2"/>
        </w:rPr>
        <w:t xml:space="preserve"> </w:t>
      </w:r>
      <w:r>
        <w:t>the</w:t>
      </w:r>
      <w:r>
        <w:rPr>
          <w:spacing w:val="-1"/>
        </w:rPr>
        <w:t xml:space="preserve"> </w:t>
      </w:r>
      <w:r>
        <w:t>significance</w:t>
      </w:r>
      <w:r>
        <w:rPr>
          <w:spacing w:val="-2"/>
        </w:rPr>
        <w:t xml:space="preserve"> </w:t>
      </w:r>
      <w:r>
        <w:t>threshold at</w:t>
      </w:r>
      <w:r>
        <w:rPr>
          <w:spacing w:val="-1"/>
        </w:rPr>
        <w:t xml:space="preserve"> </w:t>
      </w:r>
      <w:r>
        <w:t>25</w:t>
      </w:r>
      <w:r>
        <w:rPr>
          <w:spacing w:val="2"/>
        </w:rPr>
        <w:t xml:space="preserve"> </w:t>
      </w:r>
      <w:r>
        <w:rPr>
          <w:spacing w:val="-2"/>
        </w:rPr>
        <w:t>percent.</w:t>
      </w:r>
    </w:p>
    <w:p>
      <w:pPr>
        <w:pStyle w:val="BodyText"/>
        <w:spacing w:before="120"/>
      </w:pPr>
      <w:r>
        <w:t>Members</w:t>
      </w:r>
      <w:r>
        <w:rPr>
          <w:spacing w:val="-2"/>
        </w:rPr>
        <w:t xml:space="preserve"> </w:t>
      </w:r>
      <w:r>
        <w:t>in</w:t>
      </w:r>
      <w:r>
        <w:rPr>
          <w:spacing w:val="-1"/>
        </w:rPr>
        <w:t xml:space="preserve"> </w:t>
      </w:r>
      <w:r>
        <w:t>plan</w:t>
      </w:r>
      <w:r>
        <w:rPr>
          <w:spacing w:val="-1"/>
        </w:rPr>
        <w:t xml:space="preserve"> </w:t>
      </w:r>
      <w:r>
        <w:t>001</w:t>
      </w:r>
      <w:r>
        <w:rPr>
          <w:spacing w:val="-1"/>
        </w:rPr>
        <w:t xml:space="preserve"> </w:t>
      </w:r>
      <w:r>
        <w:t>and</w:t>
      </w:r>
      <w:r>
        <w:rPr>
          <w:spacing w:val="2"/>
        </w:rPr>
        <w:t xml:space="preserve"> </w:t>
      </w:r>
      <w:r>
        <w:t>plan</w:t>
      </w:r>
      <w:r>
        <w:rPr>
          <w:spacing w:val="-1"/>
        </w:rPr>
        <w:t xml:space="preserve"> </w:t>
      </w:r>
      <w:r>
        <w:t>002</w:t>
      </w:r>
      <w:r>
        <w:rPr>
          <w:spacing w:val="-1"/>
        </w:rPr>
        <w:t xml:space="preserve"> </w:t>
      </w:r>
      <w:r>
        <w:t>are</w:t>
      </w:r>
      <w:r>
        <w:rPr>
          <w:spacing w:val="-1"/>
        </w:rPr>
        <w:t xml:space="preserve"> </w:t>
      </w:r>
      <w:r>
        <w:t>crosswalked as</w:t>
      </w:r>
      <w:r>
        <w:rPr>
          <w:spacing w:val="-2"/>
        </w:rPr>
        <w:t xml:space="preserve"> </w:t>
      </w:r>
      <w:r>
        <w:t>shown</w:t>
      </w:r>
      <w:r>
        <w:rPr>
          <w:spacing w:val="-1"/>
        </w:rPr>
        <w:t xml:space="preserve"> </w:t>
      </w:r>
      <w:r>
        <w:t>in the</w:t>
      </w:r>
      <w:r>
        <w:rPr>
          <w:spacing w:val="-2"/>
        </w:rPr>
        <w:t xml:space="preserve"> </w:t>
      </w:r>
      <w:r>
        <w:t>table</w:t>
      </w:r>
      <w:r>
        <w:rPr>
          <w:spacing w:val="-1"/>
        </w:rPr>
        <w:t xml:space="preserve"> </w:t>
      </w:r>
      <w:r>
        <w:rPr>
          <w:spacing w:val="-2"/>
        </w:rPr>
        <w:t>below.</w:t>
      </w:r>
    </w:p>
    <w:p>
      <w:pPr>
        <w:spacing w:before="119" w:after="13"/>
        <w:ind w:left="7355" w:right="0" w:firstLine="0"/>
        <w:jc w:val="left"/>
        <w:rPr>
          <w:b/>
          <w:sz w:val="22"/>
        </w:rPr>
      </w:pPr>
      <w:r>
        <w:rPr>
          <w:b/>
          <w:sz w:val="22"/>
        </w:rPr>
        <w:t>Plan</w:t>
      </w:r>
      <w:r>
        <w:rPr>
          <w:b/>
          <w:spacing w:val="-2"/>
          <w:sz w:val="22"/>
        </w:rPr>
        <w:t xml:space="preserve"> </w:t>
      </w:r>
      <w:r>
        <w:rPr>
          <w:b/>
          <w:sz w:val="22"/>
        </w:rPr>
        <w:t>001</w:t>
      </w:r>
      <w:r>
        <w:rPr>
          <w:b/>
          <w:spacing w:val="-3"/>
          <w:sz w:val="22"/>
        </w:rPr>
        <w:t xml:space="preserve"> </w:t>
      </w:r>
      <w:r>
        <w:rPr>
          <w:b/>
          <w:spacing w:val="-2"/>
          <w:sz w:val="22"/>
        </w:rPr>
        <w:t>Members</w:t>
      </w:r>
    </w:p>
    <w:tbl>
      <w:tblPr>
        <w:tblStyle w:val="TableNormal"/>
        <w:tblW w:w="0" w:type="auto"/>
        <w:jc w:val="left"/>
        <w:tblInd w:w="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70"/>
        <w:gridCol w:w="1771"/>
        <w:gridCol w:w="1674"/>
        <w:gridCol w:w="1598"/>
        <w:gridCol w:w="2276"/>
      </w:tblGrid>
      <w:tr>
        <w:tblPrEx>
          <w:tblW w:w="0" w:type="auto"/>
          <w:jc w:val="left"/>
          <w:tblInd w:w="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19"/>
          <w:jc w:val="left"/>
        </w:trPr>
        <w:tc>
          <w:tcPr>
            <w:tcW w:w="1470" w:type="dxa"/>
          </w:tcPr>
          <w:p>
            <w:pPr>
              <w:pStyle w:val="TableParagraph"/>
              <w:rPr>
                <w:sz w:val="22"/>
              </w:rPr>
            </w:pPr>
          </w:p>
        </w:tc>
        <w:tc>
          <w:tcPr>
            <w:tcW w:w="1771" w:type="dxa"/>
          </w:tcPr>
          <w:p>
            <w:pPr>
              <w:pStyle w:val="TableParagraph"/>
              <w:spacing w:line="244" w:lineRule="exact"/>
              <w:ind w:left="420"/>
              <w:rPr>
                <w:b/>
                <w:sz w:val="22"/>
              </w:rPr>
            </w:pPr>
            <w:r>
              <w:rPr>
                <w:b/>
                <w:spacing w:val="-2"/>
                <w:sz w:val="22"/>
              </w:rPr>
              <w:t>CY2025</w:t>
            </w:r>
          </w:p>
        </w:tc>
        <w:tc>
          <w:tcPr>
            <w:tcW w:w="1674" w:type="dxa"/>
          </w:tcPr>
          <w:p>
            <w:pPr>
              <w:pStyle w:val="TableParagraph"/>
              <w:spacing w:line="244" w:lineRule="exact"/>
              <w:ind w:left="45" w:right="91"/>
              <w:jc w:val="center"/>
              <w:rPr>
                <w:b/>
                <w:sz w:val="22"/>
              </w:rPr>
            </w:pPr>
            <w:r>
              <w:rPr>
                <w:b/>
                <w:spacing w:val="-2"/>
                <w:sz w:val="22"/>
              </w:rPr>
              <w:t>CY2026</w:t>
            </w:r>
          </w:p>
        </w:tc>
        <w:tc>
          <w:tcPr>
            <w:tcW w:w="1598" w:type="dxa"/>
          </w:tcPr>
          <w:p>
            <w:pPr>
              <w:pStyle w:val="TableParagraph"/>
              <w:spacing w:line="244" w:lineRule="exact"/>
              <w:ind w:right="44"/>
              <w:jc w:val="center"/>
              <w:rPr>
                <w:b/>
                <w:sz w:val="22"/>
              </w:rPr>
            </w:pPr>
            <w:r>
              <w:rPr>
                <w:b/>
                <w:spacing w:val="-2"/>
                <w:sz w:val="22"/>
              </w:rPr>
              <w:t>CY2027</w:t>
            </w:r>
          </w:p>
        </w:tc>
        <w:tc>
          <w:tcPr>
            <w:tcW w:w="2276" w:type="dxa"/>
          </w:tcPr>
          <w:p>
            <w:pPr>
              <w:pStyle w:val="TableParagraph"/>
              <w:spacing w:line="244" w:lineRule="exact"/>
              <w:ind w:left="92"/>
              <w:rPr>
                <w:b/>
                <w:sz w:val="22"/>
              </w:rPr>
            </w:pPr>
            <w:r>
              <w:rPr>
                <w:b/>
                <w:sz w:val="22"/>
              </w:rPr>
              <w:t>Remaining</w:t>
            </w:r>
            <w:r>
              <w:rPr>
                <w:b/>
                <w:spacing w:val="-6"/>
                <w:sz w:val="22"/>
              </w:rPr>
              <w:t xml:space="preserve"> </w:t>
            </w:r>
            <w:r>
              <w:rPr>
                <w:b/>
                <w:sz w:val="22"/>
              </w:rPr>
              <w:t>in</w:t>
            </w:r>
            <w:r>
              <w:rPr>
                <w:b/>
                <w:spacing w:val="-3"/>
                <w:sz w:val="22"/>
              </w:rPr>
              <w:t xml:space="preserve"> </w:t>
            </w:r>
            <w:r>
              <w:rPr>
                <w:b/>
                <w:sz w:val="22"/>
              </w:rPr>
              <w:t>Plan</w:t>
            </w:r>
            <w:r>
              <w:rPr>
                <w:b/>
                <w:spacing w:val="-2"/>
                <w:sz w:val="22"/>
              </w:rPr>
              <w:t xml:space="preserve"> </w:t>
            </w:r>
            <w:r>
              <w:rPr>
                <w:b/>
                <w:spacing w:val="-5"/>
                <w:sz w:val="22"/>
              </w:rPr>
              <w:t>002</w:t>
            </w:r>
          </w:p>
        </w:tc>
      </w:tr>
      <w:tr>
        <w:tblPrEx>
          <w:tblW w:w="0" w:type="auto"/>
          <w:jc w:val="left"/>
          <w:tblInd w:w="569" w:type="dxa"/>
          <w:tblLayout w:type="fixed"/>
          <w:tblCellMar>
            <w:top w:w="0" w:type="dxa"/>
            <w:left w:w="0" w:type="dxa"/>
            <w:bottom w:w="0" w:type="dxa"/>
            <w:right w:w="0" w:type="dxa"/>
          </w:tblCellMar>
          <w:tblLook w:val="01E0"/>
        </w:tblPrEx>
        <w:trPr>
          <w:trHeight w:val="392"/>
          <w:jc w:val="left"/>
        </w:trPr>
        <w:tc>
          <w:tcPr>
            <w:tcW w:w="1470" w:type="dxa"/>
          </w:tcPr>
          <w:p>
            <w:pPr>
              <w:pStyle w:val="TableParagraph"/>
              <w:spacing w:before="66"/>
              <w:ind w:left="50"/>
              <w:rPr>
                <w:sz w:val="22"/>
              </w:rPr>
            </w:pPr>
            <w:r>
              <w:rPr>
                <w:sz w:val="22"/>
              </w:rPr>
              <w:t>County</w:t>
            </w:r>
            <w:r>
              <w:rPr>
                <w:spacing w:val="-1"/>
                <w:sz w:val="22"/>
              </w:rPr>
              <w:t xml:space="preserve"> </w:t>
            </w:r>
            <w:r>
              <w:rPr>
                <w:spacing w:val="-10"/>
                <w:sz w:val="22"/>
              </w:rPr>
              <w:t>A</w:t>
            </w:r>
          </w:p>
        </w:tc>
        <w:tc>
          <w:tcPr>
            <w:tcW w:w="1771" w:type="dxa"/>
          </w:tcPr>
          <w:p>
            <w:pPr>
              <w:pStyle w:val="TableParagraph"/>
              <w:spacing w:before="66"/>
              <w:ind w:right="164"/>
              <w:jc w:val="right"/>
              <w:rPr>
                <w:sz w:val="22"/>
              </w:rPr>
            </w:pPr>
            <w:r>
              <w:rPr>
                <w:sz w:val="22"/>
              </w:rPr>
              <w:t>200</w:t>
            </w:r>
            <w:r>
              <w:rPr>
                <w:spacing w:val="-1"/>
                <w:sz w:val="22"/>
              </w:rPr>
              <w:t xml:space="preserve"> </w:t>
            </w:r>
            <w:r>
              <w:rPr>
                <w:sz w:val="22"/>
              </w:rPr>
              <w:t>in</w:t>
            </w:r>
            <w:r>
              <w:rPr>
                <w:spacing w:val="-3"/>
                <w:sz w:val="22"/>
              </w:rPr>
              <w:t xml:space="preserve"> </w:t>
            </w:r>
            <w:r>
              <w:rPr>
                <w:sz w:val="22"/>
              </w:rPr>
              <w:t xml:space="preserve">plan </w:t>
            </w:r>
            <w:r>
              <w:rPr>
                <w:spacing w:val="-5"/>
                <w:sz w:val="22"/>
              </w:rPr>
              <w:t>001</w:t>
            </w:r>
          </w:p>
        </w:tc>
        <w:tc>
          <w:tcPr>
            <w:tcW w:w="1674" w:type="dxa"/>
          </w:tcPr>
          <w:p>
            <w:pPr>
              <w:pStyle w:val="TableParagraph"/>
              <w:spacing w:before="66"/>
              <w:ind w:left="83" w:right="46"/>
              <w:jc w:val="center"/>
              <w:rPr>
                <w:sz w:val="22"/>
              </w:rPr>
            </w:pPr>
            <w:r>
              <w:rPr>
                <w:sz w:val="22"/>
              </w:rPr>
              <w:t>200</w:t>
            </w:r>
            <w:r>
              <w:rPr>
                <w:spacing w:val="-1"/>
                <w:sz w:val="22"/>
              </w:rPr>
              <w:t xml:space="preserve"> </w:t>
            </w:r>
            <w:r>
              <w:rPr>
                <w:sz w:val="22"/>
              </w:rPr>
              <w:t>in</w:t>
            </w:r>
            <w:r>
              <w:rPr>
                <w:spacing w:val="-4"/>
                <w:sz w:val="22"/>
              </w:rPr>
              <w:t xml:space="preserve"> </w:t>
            </w:r>
            <w:r>
              <w:rPr>
                <w:sz w:val="22"/>
              </w:rPr>
              <w:t xml:space="preserve">plan </w:t>
            </w:r>
            <w:r>
              <w:rPr>
                <w:spacing w:val="-5"/>
                <w:sz w:val="22"/>
              </w:rPr>
              <w:t>001</w:t>
            </w:r>
          </w:p>
        </w:tc>
        <w:tc>
          <w:tcPr>
            <w:tcW w:w="1598" w:type="dxa"/>
          </w:tcPr>
          <w:p>
            <w:pPr>
              <w:pStyle w:val="TableParagraph"/>
              <w:spacing w:before="66"/>
              <w:ind w:left="84" w:right="44"/>
              <w:jc w:val="center"/>
              <w:rPr>
                <w:sz w:val="22"/>
              </w:rPr>
            </w:pPr>
            <w:r>
              <w:rPr>
                <w:sz w:val="22"/>
              </w:rPr>
              <w:t>200</w:t>
            </w:r>
            <w:r>
              <w:rPr>
                <w:spacing w:val="-1"/>
                <w:sz w:val="22"/>
              </w:rPr>
              <w:t xml:space="preserve"> </w:t>
            </w:r>
            <w:r>
              <w:rPr>
                <w:sz w:val="22"/>
              </w:rPr>
              <w:t>in</w:t>
            </w:r>
            <w:r>
              <w:rPr>
                <w:spacing w:val="-4"/>
                <w:sz w:val="22"/>
              </w:rPr>
              <w:t xml:space="preserve"> </w:t>
            </w:r>
            <w:r>
              <w:rPr>
                <w:sz w:val="22"/>
              </w:rPr>
              <w:t xml:space="preserve">plan </w:t>
            </w:r>
            <w:r>
              <w:rPr>
                <w:spacing w:val="-5"/>
                <w:sz w:val="22"/>
              </w:rPr>
              <w:t>001</w:t>
            </w:r>
          </w:p>
        </w:tc>
        <w:tc>
          <w:tcPr>
            <w:tcW w:w="2276" w:type="dxa"/>
          </w:tcPr>
          <w:p>
            <w:pPr>
              <w:pStyle w:val="TableParagraph"/>
              <w:spacing w:before="66"/>
              <w:ind w:left="271" w:right="47"/>
              <w:jc w:val="center"/>
              <w:rPr>
                <w:sz w:val="22"/>
              </w:rPr>
            </w:pPr>
            <w:r>
              <w:rPr>
                <w:spacing w:val="-5"/>
                <w:sz w:val="22"/>
              </w:rPr>
              <w:t>N/A</w:t>
            </w:r>
          </w:p>
        </w:tc>
      </w:tr>
      <w:tr>
        <w:tblPrEx>
          <w:tblW w:w="0" w:type="auto"/>
          <w:jc w:val="left"/>
          <w:tblInd w:w="569" w:type="dxa"/>
          <w:tblLayout w:type="fixed"/>
          <w:tblCellMar>
            <w:top w:w="0" w:type="dxa"/>
            <w:left w:w="0" w:type="dxa"/>
            <w:bottom w:w="0" w:type="dxa"/>
            <w:right w:w="0" w:type="dxa"/>
          </w:tblCellMar>
          <w:tblLook w:val="01E0"/>
        </w:tblPrEx>
        <w:trPr>
          <w:trHeight w:val="392"/>
          <w:jc w:val="left"/>
        </w:trPr>
        <w:tc>
          <w:tcPr>
            <w:tcW w:w="1470" w:type="dxa"/>
          </w:tcPr>
          <w:p>
            <w:pPr>
              <w:pStyle w:val="TableParagraph"/>
              <w:spacing w:before="65"/>
              <w:ind w:left="50"/>
              <w:rPr>
                <w:sz w:val="22"/>
              </w:rPr>
            </w:pPr>
            <w:r>
              <w:rPr>
                <w:sz w:val="22"/>
              </w:rPr>
              <w:t>Counties</w:t>
            </w:r>
            <w:r>
              <w:rPr>
                <w:spacing w:val="-3"/>
                <w:sz w:val="22"/>
              </w:rPr>
              <w:t xml:space="preserve"> </w:t>
            </w:r>
            <w:r>
              <w:rPr>
                <w:spacing w:val="-2"/>
                <w:sz w:val="22"/>
              </w:rPr>
              <w:t>B...X</w:t>
            </w:r>
          </w:p>
        </w:tc>
        <w:tc>
          <w:tcPr>
            <w:tcW w:w="1771" w:type="dxa"/>
          </w:tcPr>
          <w:p>
            <w:pPr>
              <w:pStyle w:val="TableParagraph"/>
              <w:spacing w:before="65"/>
              <w:ind w:right="164"/>
              <w:jc w:val="right"/>
              <w:rPr>
                <w:sz w:val="22"/>
              </w:rPr>
            </w:pPr>
            <w:r>
              <w:rPr>
                <w:sz w:val="22"/>
              </w:rPr>
              <w:t>500</w:t>
            </w:r>
            <w:r>
              <w:rPr>
                <w:spacing w:val="-1"/>
                <w:sz w:val="22"/>
              </w:rPr>
              <w:t xml:space="preserve"> </w:t>
            </w:r>
            <w:r>
              <w:rPr>
                <w:sz w:val="22"/>
              </w:rPr>
              <w:t>in</w:t>
            </w:r>
            <w:r>
              <w:rPr>
                <w:spacing w:val="-3"/>
                <w:sz w:val="22"/>
              </w:rPr>
              <w:t xml:space="preserve"> </w:t>
            </w:r>
            <w:r>
              <w:rPr>
                <w:sz w:val="22"/>
              </w:rPr>
              <w:t xml:space="preserve">plan </w:t>
            </w:r>
            <w:r>
              <w:rPr>
                <w:spacing w:val="-5"/>
                <w:sz w:val="22"/>
              </w:rPr>
              <w:t>001</w:t>
            </w:r>
          </w:p>
        </w:tc>
        <w:tc>
          <w:tcPr>
            <w:tcW w:w="1674" w:type="dxa"/>
          </w:tcPr>
          <w:p>
            <w:pPr>
              <w:pStyle w:val="TableParagraph"/>
              <w:spacing w:before="65"/>
              <w:ind w:left="91" w:right="46"/>
              <w:jc w:val="center"/>
              <w:rPr>
                <w:sz w:val="22"/>
              </w:rPr>
            </w:pPr>
            <w:r>
              <w:rPr>
                <w:sz w:val="22"/>
              </w:rPr>
              <w:t>500</w:t>
            </w:r>
            <w:r>
              <w:rPr>
                <w:spacing w:val="-2"/>
                <w:sz w:val="22"/>
              </w:rPr>
              <w:t xml:space="preserve"> </w:t>
            </w:r>
            <w:r>
              <w:rPr>
                <w:b/>
                <w:sz w:val="22"/>
              </w:rPr>
              <w:t>→</w:t>
            </w:r>
            <w:r>
              <w:rPr>
                <w:sz w:val="22"/>
              </w:rPr>
              <w:t>plan</w:t>
            </w:r>
            <w:r>
              <w:rPr>
                <w:spacing w:val="-1"/>
                <w:sz w:val="22"/>
              </w:rPr>
              <w:t xml:space="preserve"> </w:t>
            </w:r>
            <w:r>
              <w:rPr>
                <w:spacing w:val="-5"/>
                <w:sz w:val="22"/>
              </w:rPr>
              <w:t>002</w:t>
            </w:r>
          </w:p>
        </w:tc>
        <w:tc>
          <w:tcPr>
            <w:tcW w:w="1598" w:type="dxa"/>
          </w:tcPr>
          <w:p>
            <w:pPr>
              <w:pStyle w:val="TableParagraph"/>
              <w:spacing w:before="65"/>
              <w:ind w:left="84" w:right="44"/>
              <w:jc w:val="center"/>
              <w:rPr>
                <w:sz w:val="22"/>
              </w:rPr>
            </w:pPr>
            <w:r>
              <w:rPr>
                <w:b/>
                <w:sz w:val="22"/>
              </w:rPr>
              <w:t>→</w:t>
            </w:r>
            <w:r>
              <w:rPr>
                <w:sz w:val="22"/>
              </w:rPr>
              <w:t>0</w:t>
            </w:r>
            <w:r>
              <w:rPr>
                <w:spacing w:val="-1"/>
                <w:sz w:val="22"/>
              </w:rPr>
              <w:t xml:space="preserve"> </w:t>
            </w:r>
            <w:r>
              <w:rPr>
                <w:sz w:val="22"/>
              </w:rPr>
              <w:t>in</w:t>
            </w:r>
            <w:r>
              <w:rPr>
                <w:spacing w:val="-4"/>
                <w:sz w:val="22"/>
              </w:rPr>
              <w:t xml:space="preserve"> </w:t>
            </w:r>
            <w:r>
              <w:rPr>
                <w:sz w:val="22"/>
              </w:rPr>
              <w:t xml:space="preserve">plan </w:t>
            </w:r>
            <w:r>
              <w:rPr>
                <w:spacing w:val="-5"/>
                <w:sz w:val="22"/>
              </w:rPr>
              <w:t>002</w:t>
            </w:r>
          </w:p>
        </w:tc>
        <w:tc>
          <w:tcPr>
            <w:tcW w:w="2276" w:type="dxa"/>
          </w:tcPr>
          <w:p>
            <w:pPr>
              <w:pStyle w:val="TableParagraph"/>
              <w:spacing w:before="65"/>
              <w:ind w:left="492"/>
              <w:jc w:val="center"/>
              <w:rPr>
                <w:sz w:val="22"/>
              </w:rPr>
            </w:pPr>
            <w:r>
              <w:rPr>
                <w:spacing w:val="-10"/>
                <w:sz w:val="22"/>
              </w:rPr>
              <w:t>0</w:t>
            </w:r>
          </w:p>
        </w:tc>
      </w:tr>
      <w:tr>
        <w:tblPrEx>
          <w:tblW w:w="0" w:type="auto"/>
          <w:jc w:val="left"/>
          <w:tblInd w:w="569" w:type="dxa"/>
          <w:tblLayout w:type="fixed"/>
          <w:tblCellMar>
            <w:top w:w="0" w:type="dxa"/>
            <w:left w:w="0" w:type="dxa"/>
            <w:bottom w:w="0" w:type="dxa"/>
            <w:right w:w="0" w:type="dxa"/>
          </w:tblCellMar>
          <w:tblLook w:val="01E0"/>
        </w:tblPrEx>
        <w:trPr>
          <w:trHeight w:val="393"/>
          <w:jc w:val="left"/>
        </w:trPr>
        <w:tc>
          <w:tcPr>
            <w:tcW w:w="1470" w:type="dxa"/>
          </w:tcPr>
          <w:p>
            <w:pPr>
              <w:pStyle w:val="TableParagraph"/>
              <w:spacing w:before="66"/>
              <w:ind w:left="50"/>
              <w:rPr>
                <w:sz w:val="22"/>
              </w:rPr>
            </w:pPr>
            <w:r>
              <w:rPr>
                <w:sz w:val="22"/>
              </w:rPr>
              <w:t>County</w:t>
            </w:r>
            <w:r>
              <w:rPr>
                <w:spacing w:val="-1"/>
                <w:sz w:val="22"/>
              </w:rPr>
              <w:t xml:space="preserve"> </w:t>
            </w:r>
            <w:r>
              <w:rPr>
                <w:spacing w:val="-10"/>
                <w:sz w:val="22"/>
              </w:rPr>
              <w:t>Y</w:t>
            </w:r>
          </w:p>
        </w:tc>
        <w:tc>
          <w:tcPr>
            <w:tcW w:w="1771" w:type="dxa"/>
          </w:tcPr>
          <w:p>
            <w:pPr>
              <w:pStyle w:val="TableParagraph"/>
              <w:spacing w:before="66"/>
              <w:ind w:left="137"/>
              <w:rPr>
                <w:sz w:val="22"/>
              </w:rPr>
            </w:pPr>
            <w:r>
              <w:rPr>
                <w:spacing w:val="32"/>
                <w:sz w:val="22"/>
                <w:u w:val="single"/>
              </w:rPr>
              <w:t xml:space="preserve"> </w:t>
            </w:r>
            <w:r>
              <w:rPr>
                <w:sz w:val="22"/>
                <w:u w:val="single"/>
              </w:rPr>
              <w:t>300</w:t>
            </w:r>
            <w:r>
              <w:rPr>
                <w:spacing w:val="-1"/>
                <w:sz w:val="22"/>
                <w:u w:val="none"/>
              </w:rPr>
              <w:t xml:space="preserve"> </w:t>
            </w:r>
            <w:r>
              <w:rPr>
                <w:sz w:val="22"/>
                <w:u w:val="none"/>
              </w:rPr>
              <w:t>in</w:t>
            </w:r>
            <w:r>
              <w:rPr>
                <w:spacing w:val="-2"/>
                <w:sz w:val="22"/>
                <w:u w:val="none"/>
              </w:rPr>
              <w:t xml:space="preserve"> </w:t>
            </w:r>
            <w:r>
              <w:rPr>
                <w:sz w:val="22"/>
                <w:u w:val="none"/>
              </w:rPr>
              <w:t xml:space="preserve">plan </w:t>
            </w:r>
            <w:r>
              <w:rPr>
                <w:spacing w:val="-5"/>
                <w:sz w:val="22"/>
                <w:u w:val="none"/>
              </w:rPr>
              <w:t>001</w:t>
            </w:r>
          </w:p>
        </w:tc>
        <w:tc>
          <w:tcPr>
            <w:tcW w:w="1674" w:type="dxa"/>
          </w:tcPr>
          <w:p>
            <w:pPr>
              <w:pStyle w:val="TableParagraph"/>
              <w:spacing w:before="66"/>
              <w:ind w:left="91" w:right="46"/>
              <w:jc w:val="center"/>
              <w:rPr>
                <w:sz w:val="22"/>
              </w:rPr>
            </w:pPr>
            <w:r>
              <w:rPr>
                <w:sz w:val="22"/>
              </w:rPr>
              <w:t>300</w:t>
            </w:r>
            <w:r>
              <w:rPr>
                <w:spacing w:val="-2"/>
                <w:sz w:val="22"/>
              </w:rPr>
              <w:t xml:space="preserve"> </w:t>
            </w:r>
            <w:r>
              <w:rPr>
                <w:b/>
                <w:sz w:val="22"/>
              </w:rPr>
              <w:t>→</w:t>
            </w:r>
            <w:r>
              <w:rPr>
                <w:sz w:val="22"/>
              </w:rPr>
              <w:t>plan</w:t>
            </w:r>
            <w:r>
              <w:rPr>
                <w:spacing w:val="-1"/>
                <w:sz w:val="22"/>
              </w:rPr>
              <w:t xml:space="preserve"> </w:t>
            </w:r>
            <w:r>
              <w:rPr>
                <w:spacing w:val="-5"/>
                <w:sz w:val="22"/>
              </w:rPr>
              <w:t>002</w:t>
            </w:r>
          </w:p>
        </w:tc>
        <w:tc>
          <w:tcPr>
            <w:tcW w:w="1598" w:type="dxa"/>
          </w:tcPr>
          <w:p>
            <w:pPr>
              <w:pStyle w:val="TableParagraph"/>
              <w:spacing w:before="66"/>
              <w:ind w:left="84" w:right="44"/>
              <w:jc w:val="center"/>
              <w:rPr>
                <w:sz w:val="22"/>
              </w:rPr>
            </w:pPr>
            <w:r>
              <w:rPr>
                <w:sz w:val="22"/>
              </w:rPr>
              <w:t>300</w:t>
            </w:r>
            <w:r>
              <w:rPr>
                <w:spacing w:val="-1"/>
                <w:sz w:val="22"/>
              </w:rPr>
              <w:t xml:space="preserve"> </w:t>
            </w:r>
            <w:r>
              <w:rPr>
                <w:sz w:val="22"/>
              </w:rPr>
              <w:t>in</w:t>
            </w:r>
            <w:r>
              <w:rPr>
                <w:spacing w:val="-4"/>
                <w:sz w:val="22"/>
              </w:rPr>
              <w:t xml:space="preserve"> </w:t>
            </w:r>
            <w:r>
              <w:rPr>
                <w:sz w:val="22"/>
              </w:rPr>
              <w:t xml:space="preserve">plan </w:t>
            </w:r>
            <w:r>
              <w:rPr>
                <w:spacing w:val="-5"/>
                <w:sz w:val="22"/>
              </w:rPr>
              <w:t>002</w:t>
            </w:r>
          </w:p>
        </w:tc>
        <w:tc>
          <w:tcPr>
            <w:tcW w:w="2276" w:type="dxa"/>
          </w:tcPr>
          <w:p>
            <w:pPr>
              <w:pStyle w:val="TableParagraph"/>
              <w:spacing w:before="66"/>
              <w:ind w:left="271" w:right="29"/>
              <w:jc w:val="center"/>
              <w:rPr>
                <w:sz w:val="22"/>
              </w:rPr>
            </w:pPr>
            <w:r>
              <w:rPr>
                <w:spacing w:val="-5"/>
                <w:sz w:val="22"/>
                <w:u w:val="single"/>
              </w:rPr>
              <w:t>300</w:t>
            </w:r>
          </w:p>
        </w:tc>
      </w:tr>
      <w:tr>
        <w:tblPrEx>
          <w:tblW w:w="0" w:type="auto"/>
          <w:jc w:val="left"/>
          <w:tblInd w:w="569" w:type="dxa"/>
          <w:tblLayout w:type="fixed"/>
          <w:tblCellMar>
            <w:top w:w="0" w:type="dxa"/>
            <w:left w:w="0" w:type="dxa"/>
            <w:bottom w:w="0" w:type="dxa"/>
            <w:right w:w="0" w:type="dxa"/>
          </w:tblCellMar>
          <w:tblLook w:val="01E0"/>
        </w:tblPrEx>
        <w:trPr>
          <w:trHeight w:val="319"/>
          <w:jc w:val="left"/>
        </w:trPr>
        <w:tc>
          <w:tcPr>
            <w:tcW w:w="1470" w:type="dxa"/>
          </w:tcPr>
          <w:p>
            <w:pPr>
              <w:pStyle w:val="TableParagraph"/>
              <w:spacing w:before="66" w:line="233" w:lineRule="exact"/>
              <w:ind w:left="50"/>
              <w:rPr>
                <w:sz w:val="22"/>
              </w:rPr>
            </w:pPr>
            <w:r>
              <w:rPr>
                <w:spacing w:val="-2"/>
                <w:sz w:val="22"/>
              </w:rPr>
              <w:t>Total</w:t>
            </w:r>
          </w:p>
        </w:tc>
        <w:tc>
          <w:tcPr>
            <w:tcW w:w="1771" w:type="dxa"/>
          </w:tcPr>
          <w:p>
            <w:pPr>
              <w:pStyle w:val="TableParagraph"/>
              <w:spacing w:before="66" w:line="233" w:lineRule="exact"/>
              <w:ind w:left="108"/>
              <w:rPr>
                <w:sz w:val="22"/>
              </w:rPr>
            </w:pPr>
            <w:r>
              <w:rPr>
                <w:spacing w:val="-4"/>
                <w:sz w:val="22"/>
              </w:rPr>
              <w:t>1000</w:t>
            </w:r>
          </w:p>
        </w:tc>
        <w:tc>
          <w:tcPr>
            <w:tcW w:w="1674" w:type="dxa"/>
          </w:tcPr>
          <w:p>
            <w:pPr>
              <w:pStyle w:val="TableParagraph"/>
              <w:rPr>
                <w:sz w:val="22"/>
              </w:rPr>
            </w:pPr>
          </w:p>
        </w:tc>
        <w:tc>
          <w:tcPr>
            <w:tcW w:w="1598" w:type="dxa"/>
          </w:tcPr>
          <w:p>
            <w:pPr>
              <w:pStyle w:val="TableParagraph"/>
              <w:rPr>
                <w:sz w:val="22"/>
              </w:rPr>
            </w:pPr>
          </w:p>
        </w:tc>
        <w:tc>
          <w:tcPr>
            <w:tcW w:w="2276" w:type="dxa"/>
          </w:tcPr>
          <w:p>
            <w:pPr>
              <w:pStyle w:val="TableParagraph"/>
              <w:spacing w:before="66" w:line="233" w:lineRule="exact"/>
              <w:ind w:left="271"/>
              <w:jc w:val="center"/>
              <w:rPr>
                <w:sz w:val="22"/>
              </w:rPr>
            </w:pPr>
            <w:r>
              <w:rPr>
                <w:spacing w:val="-5"/>
                <w:sz w:val="22"/>
              </w:rPr>
              <w:t>300</w:t>
            </w:r>
          </w:p>
        </w:tc>
      </w:tr>
    </w:tbl>
    <w:p>
      <w:pPr>
        <w:pStyle w:val="BodyText"/>
        <w:spacing w:before="7"/>
        <w:ind w:left="0"/>
        <w:rPr>
          <w:b/>
          <w:sz w:val="22"/>
        </w:rPr>
      </w:pPr>
    </w:p>
    <w:p>
      <w:pPr>
        <w:pStyle w:val="BodyText"/>
        <w:ind w:right="1326"/>
      </w:pPr>
      <w:r>
        <w:t>The</w:t>
      </w:r>
      <w:r>
        <w:rPr>
          <w:spacing w:val="-4"/>
        </w:rPr>
        <w:t xml:space="preserve"> </w:t>
      </w:r>
      <w:r>
        <w:t>proportion</w:t>
      </w:r>
      <w:r>
        <w:rPr>
          <w:spacing w:val="-2"/>
        </w:rPr>
        <w:t xml:space="preserve"> </w:t>
      </w:r>
      <w:r>
        <w:t>of</w:t>
      </w:r>
      <w:r>
        <w:rPr>
          <w:spacing w:val="-3"/>
        </w:rPr>
        <w:t xml:space="preserve"> </w:t>
      </w:r>
      <w:r>
        <w:t>plan</w:t>
      </w:r>
      <w:r>
        <w:rPr>
          <w:spacing w:val="-2"/>
        </w:rPr>
        <w:t xml:space="preserve"> </w:t>
      </w:r>
      <w:r>
        <w:t>001</w:t>
      </w:r>
      <w:r>
        <w:rPr>
          <w:spacing w:val="-2"/>
        </w:rPr>
        <w:t xml:space="preserve"> </w:t>
      </w:r>
      <w:r>
        <w:t>members</w:t>
      </w:r>
      <w:r>
        <w:rPr>
          <w:spacing w:val="-3"/>
        </w:rPr>
        <w:t xml:space="preserve"> </w:t>
      </w:r>
      <w:r>
        <w:t>in</w:t>
      </w:r>
      <w:r>
        <w:rPr>
          <w:spacing w:val="-2"/>
        </w:rPr>
        <w:t xml:space="preserve"> </w:t>
      </w:r>
      <w:r>
        <w:t>the</w:t>
      </w:r>
      <w:r>
        <w:rPr>
          <w:spacing w:val="-3"/>
        </w:rPr>
        <w:t xml:space="preserve"> </w:t>
      </w:r>
      <w:r>
        <w:t>plan</w:t>
      </w:r>
      <w:r>
        <w:rPr>
          <w:spacing w:val="-3"/>
        </w:rPr>
        <w:t xml:space="preserve"> </w:t>
      </w:r>
      <w:r>
        <w:t>002</w:t>
      </w:r>
      <w:r>
        <w:rPr>
          <w:spacing w:val="-2"/>
        </w:rPr>
        <w:t xml:space="preserve"> </w:t>
      </w:r>
      <w:r>
        <w:t>bid</w:t>
      </w:r>
      <w:r>
        <w:rPr>
          <w:spacing w:val="-2"/>
        </w:rPr>
        <w:t xml:space="preserve"> </w:t>
      </w:r>
      <w:r>
        <w:t>for</w:t>
      </w:r>
      <w:r>
        <w:rPr>
          <w:spacing w:val="-3"/>
        </w:rPr>
        <w:t xml:space="preserve"> </w:t>
      </w:r>
      <w:r>
        <w:t>CY2026,</w:t>
      </w:r>
      <w:r>
        <w:rPr>
          <w:spacing w:val="-2"/>
        </w:rPr>
        <w:t xml:space="preserve"> </w:t>
      </w:r>
      <w:r>
        <w:t>resulting</w:t>
      </w:r>
      <w:r>
        <w:rPr>
          <w:spacing w:val="-2"/>
        </w:rPr>
        <w:t xml:space="preserve"> </w:t>
      </w:r>
      <w:r>
        <w:t>from</w:t>
      </w:r>
      <w:r>
        <w:rPr>
          <w:spacing w:val="-2"/>
        </w:rPr>
        <w:t xml:space="preserve"> </w:t>
      </w:r>
      <w:r>
        <w:t>the</w:t>
      </w:r>
      <w:r>
        <w:rPr>
          <w:spacing w:val="-2"/>
        </w:rPr>
        <w:t xml:space="preserve"> </w:t>
      </w:r>
      <w:r>
        <w:t xml:space="preserve">CY2026 and CY2027 crosswalks and the CY2027 service area reduction for plan 002 is 300/1,000 or 30 percent. Since such percentage is above the 25-percent threshold established by the certifying actuary, base period experience must be reported on Worksheet 1 of the CY2027 BPTs as </w:t>
      </w:r>
      <w:r>
        <w:rPr>
          <w:spacing w:val="-2"/>
        </w:rPr>
        <w:t>follows:</w:t>
      </w:r>
    </w:p>
    <w:p>
      <w:pPr>
        <w:pStyle w:val="ListParagraph"/>
        <w:numPr>
          <w:ilvl w:val="0"/>
          <w:numId w:val="1"/>
        </w:numPr>
        <w:tabs>
          <w:tab w:val="left" w:pos="1584"/>
        </w:tabs>
        <w:spacing w:before="120" w:after="0" w:line="240" w:lineRule="auto"/>
        <w:ind w:left="1584" w:right="1321" w:hanging="360"/>
        <w:jc w:val="left"/>
        <w:rPr>
          <w:sz w:val="24"/>
        </w:rPr>
      </w:pPr>
      <w:r>
        <w:rPr>
          <w:sz w:val="24"/>
        </w:rPr>
        <w:t>For</w:t>
      </w:r>
      <w:r>
        <w:rPr>
          <w:spacing w:val="-4"/>
          <w:sz w:val="24"/>
        </w:rPr>
        <w:t xml:space="preserve"> </w:t>
      </w:r>
      <w:r>
        <w:rPr>
          <w:sz w:val="24"/>
        </w:rPr>
        <w:t>plan</w:t>
      </w:r>
      <w:r>
        <w:rPr>
          <w:spacing w:val="-4"/>
          <w:sz w:val="24"/>
        </w:rPr>
        <w:t xml:space="preserve"> </w:t>
      </w:r>
      <w:r>
        <w:rPr>
          <w:sz w:val="24"/>
        </w:rPr>
        <w:t>001,</w:t>
      </w:r>
      <w:r>
        <w:rPr>
          <w:spacing w:val="-3"/>
          <w:sz w:val="24"/>
        </w:rPr>
        <w:t xml:space="preserve"> </w:t>
      </w:r>
      <w:r>
        <w:rPr>
          <w:sz w:val="24"/>
        </w:rPr>
        <w:t>report</w:t>
      </w:r>
      <w:r>
        <w:rPr>
          <w:spacing w:val="-3"/>
          <w:sz w:val="24"/>
        </w:rPr>
        <w:t xml:space="preserve"> </w:t>
      </w:r>
      <w:r>
        <w:rPr>
          <w:sz w:val="24"/>
        </w:rPr>
        <w:t>base</w:t>
      </w:r>
      <w:r>
        <w:rPr>
          <w:spacing w:val="-2"/>
          <w:sz w:val="24"/>
        </w:rPr>
        <w:t xml:space="preserve"> </w:t>
      </w:r>
      <w:r>
        <w:rPr>
          <w:sz w:val="24"/>
        </w:rPr>
        <w:t>period</w:t>
      </w:r>
      <w:r>
        <w:rPr>
          <w:spacing w:val="-3"/>
          <w:sz w:val="24"/>
        </w:rPr>
        <w:t xml:space="preserve"> </w:t>
      </w:r>
      <w:r>
        <w:rPr>
          <w:sz w:val="24"/>
        </w:rPr>
        <w:t>experience</w:t>
      </w:r>
      <w:r>
        <w:rPr>
          <w:spacing w:val="-4"/>
          <w:sz w:val="24"/>
        </w:rPr>
        <w:t xml:space="preserve"> </w:t>
      </w:r>
      <w:r>
        <w:rPr>
          <w:sz w:val="24"/>
        </w:rPr>
        <w:t>for</w:t>
      </w:r>
      <w:r>
        <w:rPr>
          <w:spacing w:val="-3"/>
          <w:sz w:val="24"/>
        </w:rPr>
        <w:t xml:space="preserve"> </w:t>
      </w:r>
      <w:r>
        <w:rPr>
          <w:sz w:val="24"/>
        </w:rPr>
        <w:t>plan</w:t>
      </w:r>
      <w:r>
        <w:rPr>
          <w:spacing w:val="-3"/>
          <w:sz w:val="24"/>
        </w:rPr>
        <w:t xml:space="preserve"> </w:t>
      </w:r>
      <w:r>
        <w:rPr>
          <w:sz w:val="24"/>
        </w:rPr>
        <w:t>001</w:t>
      </w:r>
      <w:r>
        <w:rPr>
          <w:spacing w:val="-3"/>
          <w:sz w:val="24"/>
        </w:rPr>
        <w:t xml:space="preserve"> </w:t>
      </w:r>
      <w:r>
        <w:rPr>
          <w:sz w:val="24"/>
        </w:rPr>
        <w:t>(Rule</w:t>
      </w:r>
      <w:r>
        <w:rPr>
          <w:spacing w:val="-3"/>
          <w:sz w:val="24"/>
        </w:rPr>
        <w:t xml:space="preserve"> </w:t>
      </w:r>
      <w:r>
        <w:rPr>
          <w:sz w:val="24"/>
        </w:rPr>
        <w:t>3).</w:t>
      </w:r>
      <w:r>
        <w:rPr>
          <w:spacing w:val="-3"/>
          <w:sz w:val="24"/>
        </w:rPr>
        <w:t xml:space="preserve"> </w:t>
      </w:r>
      <w:r>
        <w:rPr>
          <w:sz w:val="24"/>
        </w:rPr>
        <w:t>Data</w:t>
      </w:r>
      <w:r>
        <w:rPr>
          <w:spacing w:val="-3"/>
          <w:sz w:val="24"/>
        </w:rPr>
        <w:t xml:space="preserve"> </w:t>
      </w:r>
      <w:r>
        <w:rPr>
          <w:sz w:val="24"/>
        </w:rPr>
        <w:t>aggregation</w:t>
      </w:r>
      <w:r>
        <w:rPr>
          <w:spacing w:val="-3"/>
          <w:sz w:val="24"/>
        </w:rPr>
        <w:t xml:space="preserve"> </w:t>
      </w:r>
      <w:r>
        <w:rPr>
          <w:sz w:val="24"/>
        </w:rPr>
        <w:t>is not allowed.</w:t>
      </w:r>
    </w:p>
    <w:p>
      <w:pPr>
        <w:pStyle w:val="ListParagraph"/>
        <w:numPr>
          <w:ilvl w:val="0"/>
          <w:numId w:val="1"/>
        </w:numPr>
        <w:tabs>
          <w:tab w:val="left" w:pos="1584"/>
        </w:tabs>
        <w:spacing w:before="0" w:after="0" w:line="240" w:lineRule="auto"/>
        <w:ind w:left="1584" w:right="1680" w:hanging="360"/>
        <w:jc w:val="left"/>
        <w:rPr>
          <w:sz w:val="24"/>
        </w:rPr>
      </w:pPr>
      <w:r>
        <w:rPr>
          <w:sz w:val="24"/>
        </w:rPr>
        <w:t>For</w:t>
      </w:r>
      <w:r>
        <w:rPr>
          <w:spacing w:val="-4"/>
          <w:sz w:val="24"/>
        </w:rPr>
        <w:t xml:space="preserve"> </w:t>
      </w:r>
      <w:r>
        <w:rPr>
          <w:sz w:val="24"/>
        </w:rPr>
        <w:t>plan</w:t>
      </w:r>
      <w:r>
        <w:rPr>
          <w:spacing w:val="-4"/>
          <w:sz w:val="24"/>
        </w:rPr>
        <w:t xml:space="preserve"> </w:t>
      </w:r>
      <w:r>
        <w:rPr>
          <w:sz w:val="24"/>
        </w:rPr>
        <w:t>002,</w:t>
      </w:r>
      <w:r>
        <w:rPr>
          <w:spacing w:val="-3"/>
          <w:sz w:val="24"/>
        </w:rPr>
        <w:t xml:space="preserve"> </w:t>
      </w:r>
      <w:r>
        <w:rPr>
          <w:sz w:val="24"/>
        </w:rPr>
        <w:t>report</w:t>
      </w:r>
      <w:r>
        <w:rPr>
          <w:spacing w:val="-3"/>
          <w:sz w:val="24"/>
        </w:rPr>
        <w:t xml:space="preserve"> </w:t>
      </w:r>
      <w:r>
        <w:rPr>
          <w:sz w:val="24"/>
        </w:rPr>
        <w:t>base</w:t>
      </w:r>
      <w:r>
        <w:rPr>
          <w:spacing w:val="-2"/>
          <w:sz w:val="24"/>
        </w:rPr>
        <w:t xml:space="preserve"> </w:t>
      </w:r>
      <w:r>
        <w:rPr>
          <w:sz w:val="24"/>
        </w:rPr>
        <w:t>period</w:t>
      </w:r>
      <w:r>
        <w:rPr>
          <w:spacing w:val="-3"/>
          <w:sz w:val="24"/>
        </w:rPr>
        <w:t xml:space="preserve"> </w:t>
      </w:r>
      <w:r>
        <w:rPr>
          <w:sz w:val="24"/>
        </w:rPr>
        <w:t>experience</w:t>
      </w:r>
      <w:r>
        <w:rPr>
          <w:spacing w:val="-4"/>
          <w:sz w:val="24"/>
        </w:rPr>
        <w:t xml:space="preserve"> </w:t>
      </w:r>
      <w:r>
        <w:rPr>
          <w:sz w:val="24"/>
        </w:rPr>
        <w:t>for</w:t>
      </w:r>
      <w:r>
        <w:rPr>
          <w:spacing w:val="-3"/>
          <w:sz w:val="24"/>
        </w:rPr>
        <w:t xml:space="preserve"> </w:t>
      </w:r>
      <w:r>
        <w:rPr>
          <w:sz w:val="24"/>
        </w:rPr>
        <w:t>plan</w:t>
      </w:r>
      <w:r>
        <w:rPr>
          <w:spacing w:val="-3"/>
          <w:sz w:val="24"/>
        </w:rPr>
        <w:t xml:space="preserve"> </w:t>
      </w:r>
      <w:r>
        <w:rPr>
          <w:sz w:val="24"/>
        </w:rPr>
        <w:t>001</w:t>
      </w:r>
      <w:r>
        <w:rPr>
          <w:spacing w:val="-3"/>
          <w:sz w:val="24"/>
        </w:rPr>
        <w:t xml:space="preserve"> </w:t>
      </w:r>
      <w:r>
        <w:rPr>
          <w:sz w:val="24"/>
        </w:rPr>
        <w:t>and</w:t>
      </w:r>
      <w:r>
        <w:rPr>
          <w:spacing w:val="-3"/>
          <w:sz w:val="24"/>
        </w:rPr>
        <w:t xml:space="preserve"> </w:t>
      </w:r>
      <w:r>
        <w:rPr>
          <w:sz w:val="24"/>
        </w:rPr>
        <w:t>plan</w:t>
      </w:r>
      <w:r>
        <w:rPr>
          <w:spacing w:val="-3"/>
          <w:sz w:val="24"/>
        </w:rPr>
        <w:t xml:space="preserve"> </w:t>
      </w:r>
      <w:r>
        <w:rPr>
          <w:sz w:val="24"/>
        </w:rPr>
        <w:t>002</w:t>
      </w:r>
      <w:r>
        <w:rPr>
          <w:spacing w:val="-3"/>
          <w:sz w:val="24"/>
        </w:rPr>
        <w:t xml:space="preserve"> </w:t>
      </w:r>
      <w:r>
        <w:rPr>
          <w:sz w:val="24"/>
        </w:rPr>
        <w:t>(Rule</w:t>
      </w:r>
      <w:r>
        <w:rPr>
          <w:spacing w:val="-4"/>
          <w:sz w:val="24"/>
        </w:rPr>
        <w:t xml:space="preserve"> </w:t>
      </w:r>
      <w:r>
        <w:rPr>
          <w:sz w:val="24"/>
        </w:rPr>
        <w:t>3</w:t>
      </w:r>
      <w:r>
        <w:rPr>
          <w:spacing w:val="-3"/>
          <w:sz w:val="24"/>
        </w:rPr>
        <w:t xml:space="preserve"> </w:t>
      </w:r>
      <w:r>
        <w:rPr>
          <w:sz w:val="24"/>
        </w:rPr>
        <w:t>and Rule 4).</w:t>
      </w:r>
    </w:p>
    <w:p>
      <w:pPr>
        <w:spacing w:before="239"/>
        <w:ind w:left="504" w:right="0" w:firstLine="0"/>
        <w:jc w:val="left"/>
        <w:rPr>
          <w:rFonts w:ascii="Arial"/>
          <w:b/>
          <w:sz w:val="21"/>
        </w:rPr>
      </w:pPr>
      <w:r>
        <w:rPr>
          <w:rFonts w:ascii="Arial"/>
          <w:b/>
          <w:sz w:val="21"/>
        </w:rPr>
        <w:t>Example</w:t>
      </w:r>
      <w:r>
        <w:rPr>
          <w:rFonts w:ascii="Arial"/>
          <w:b/>
          <w:spacing w:val="-5"/>
          <w:sz w:val="21"/>
        </w:rPr>
        <w:t xml:space="preserve"> </w:t>
      </w:r>
      <w:r>
        <w:rPr>
          <w:rFonts w:ascii="Arial"/>
          <w:b/>
          <w:sz w:val="21"/>
        </w:rPr>
        <w:t>7:</w:t>
      </w:r>
      <w:r>
        <w:rPr>
          <w:rFonts w:ascii="Arial"/>
          <w:b/>
          <w:spacing w:val="-6"/>
          <w:sz w:val="21"/>
        </w:rPr>
        <w:t xml:space="preserve"> </w:t>
      </w:r>
      <w:r>
        <w:rPr>
          <w:rFonts w:ascii="Arial"/>
          <w:b/>
          <w:sz w:val="21"/>
        </w:rPr>
        <w:t>Plan</w:t>
      </w:r>
      <w:r>
        <w:rPr>
          <w:rFonts w:ascii="Arial"/>
          <w:b/>
          <w:spacing w:val="-4"/>
          <w:sz w:val="21"/>
        </w:rPr>
        <w:t xml:space="preserve"> </w:t>
      </w:r>
      <w:r>
        <w:rPr>
          <w:rFonts w:ascii="Arial"/>
          <w:b/>
          <w:spacing w:val="-2"/>
          <w:sz w:val="21"/>
        </w:rPr>
        <w:t>Segmentation</w:t>
      </w:r>
    </w:p>
    <w:p>
      <w:pPr>
        <w:pStyle w:val="BodyText"/>
        <w:spacing w:before="121"/>
        <w:ind w:right="1280"/>
      </w:pPr>
      <w:r>
        <w:t>An MAO offers non-segmented plan Hxxxx-001 in both CY2025 and CY2026. For CY2027, the MAO</w:t>
      </w:r>
      <w:r>
        <w:rPr>
          <w:spacing w:val="-3"/>
        </w:rPr>
        <w:t xml:space="preserve"> </w:t>
      </w:r>
      <w:r>
        <w:t>creates</w:t>
      </w:r>
      <w:r>
        <w:rPr>
          <w:spacing w:val="-2"/>
        </w:rPr>
        <w:t xml:space="preserve"> </w:t>
      </w:r>
      <w:r>
        <w:t>plan</w:t>
      </w:r>
      <w:r>
        <w:rPr>
          <w:spacing w:val="-2"/>
        </w:rPr>
        <w:t xml:space="preserve"> </w:t>
      </w:r>
      <w:r>
        <w:t>Hxxxx-003</w:t>
      </w:r>
      <w:r>
        <w:rPr>
          <w:spacing w:val="-2"/>
        </w:rPr>
        <w:t xml:space="preserve"> </w:t>
      </w:r>
      <w:r>
        <w:t>(via</w:t>
      </w:r>
      <w:r>
        <w:rPr>
          <w:spacing w:val="-4"/>
        </w:rPr>
        <w:t xml:space="preserve"> </w:t>
      </w:r>
      <w:r>
        <w:t>a</w:t>
      </w:r>
      <w:r>
        <w:rPr>
          <w:spacing w:val="-1"/>
        </w:rPr>
        <w:t xml:space="preserve"> </w:t>
      </w:r>
      <w:r>
        <w:t>crosswalk exception</w:t>
      </w:r>
      <w:r>
        <w:rPr>
          <w:spacing w:val="-2"/>
        </w:rPr>
        <w:t xml:space="preserve"> </w:t>
      </w:r>
      <w:r>
        <w:t>to</w:t>
      </w:r>
      <w:r>
        <w:rPr>
          <w:spacing w:val="-2"/>
        </w:rPr>
        <w:t xml:space="preserve"> </w:t>
      </w:r>
      <w:r>
        <w:t>map</w:t>
      </w:r>
      <w:r>
        <w:rPr>
          <w:spacing w:val="-2"/>
        </w:rPr>
        <w:t xml:space="preserve"> </w:t>
      </w:r>
      <w:r>
        <w:t>plan</w:t>
      </w:r>
      <w:r>
        <w:rPr>
          <w:spacing w:val="-2"/>
        </w:rPr>
        <w:t xml:space="preserve"> </w:t>
      </w:r>
      <w:r>
        <w:t>Hxxxx-001</w:t>
      </w:r>
      <w:r>
        <w:rPr>
          <w:spacing w:val="-2"/>
        </w:rPr>
        <w:t xml:space="preserve"> </w:t>
      </w:r>
      <w:r>
        <w:t>to</w:t>
      </w:r>
      <w:r>
        <w:rPr>
          <w:spacing w:val="-2"/>
        </w:rPr>
        <w:t xml:space="preserve"> </w:t>
      </w:r>
      <w:r>
        <w:t>Hxxxx-003) and</w:t>
      </w:r>
      <w:r>
        <w:rPr>
          <w:spacing w:val="-3"/>
        </w:rPr>
        <w:t xml:space="preserve"> </w:t>
      </w:r>
      <w:r>
        <w:t>Hxxxx-003</w:t>
      </w:r>
      <w:r>
        <w:rPr>
          <w:spacing w:val="-3"/>
        </w:rPr>
        <w:t xml:space="preserve"> </w:t>
      </w:r>
      <w:r>
        <w:t>is</w:t>
      </w:r>
      <w:r>
        <w:rPr>
          <w:spacing w:val="-4"/>
        </w:rPr>
        <w:t xml:space="preserve"> </w:t>
      </w:r>
      <w:r>
        <w:t>segmented</w:t>
      </w:r>
      <w:r>
        <w:rPr>
          <w:spacing w:val="-3"/>
        </w:rPr>
        <w:t xml:space="preserve"> </w:t>
      </w:r>
      <w:r>
        <w:t>into</w:t>
      </w:r>
      <w:r>
        <w:rPr>
          <w:spacing w:val="-3"/>
        </w:rPr>
        <w:t xml:space="preserve"> </w:t>
      </w:r>
      <w:r>
        <w:t>bids</w:t>
      </w:r>
      <w:r>
        <w:rPr>
          <w:spacing w:val="-4"/>
        </w:rPr>
        <w:t xml:space="preserve"> </w:t>
      </w:r>
      <w:r>
        <w:t>Hxxxx-003-001</w:t>
      </w:r>
      <w:r>
        <w:rPr>
          <w:spacing w:val="-3"/>
        </w:rPr>
        <w:t xml:space="preserve"> </w:t>
      </w:r>
      <w:r>
        <w:t>and</w:t>
      </w:r>
      <w:r>
        <w:rPr>
          <w:spacing w:val="-3"/>
        </w:rPr>
        <w:t xml:space="preserve"> </w:t>
      </w:r>
      <w:r>
        <w:t>Hxxxx-003-002.</w:t>
      </w:r>
      <w:r>
        <w:rPr>
          <w:spacing w:val="-3"/>
        </w:rPr>
        <w:t xml:space="preserve"> </w:t>
      </w:r>
      <w:r>
        <w:t>Further,</w:t>
      </w:r>
      <w:r>
        <w:rPr>
          <w:spacing w:val="-2"/>
        </w:rPr>
        <w:t xml:space="preserve"> </w:t>
      </w:r>
      <w:r>
        <w:t>county</w:t>
      </w:r>
      <w:r>
        <w:rPr>
          <w:spacing w:val="-3"/>
        </w:rPr>
        <w:t xml:space="preserve"> </w:t>
      </w:r>
      <w:r>
        <w:t>A</w:t>
      </w:r>
      <w:r>
        <w:rPr>
          <w:spacing w:val="-4"/>
        </w:rPr>
        <w:t xml:space="preserve"> </w:t>
      </w:r>
      <w:r>
        <w:t>in Hxxxx-001 is moved to the service area of Hxxxx-003-001 and county B is moved to the service area of Hxxxx-003-002. The certifying actuary sets the MA level of significance at 35 percent.</w:t>
      </w:r>
    </w:p>
    <w:p>
      <w:pPr>
        <w:pStyle w:val="BodyText"/>
        <w:spacing w:after="0"/>
        <w:sectPr>
          <w:pgSz w:w="12240" w:h="15840"/>
          <w:pgMar w:top="960" w:right="0" w:bottom="940" w:left="1080" w:header="727" w:footer="747"/>
          <w:cols w:space="720"/>
        </w:sectPr>
      </w:pPr>
    </w:p>
    <w:p>
      <w:pPr>
        <w:pStyle w:val="BodyText"/>
        <w:spacing w:before="190"/>
        <w:ind w:left="0"/>
      </w:pPr>
    </w:p>
    <w:p>
      <w:pPr>
        <w:pStyle w:val="BodyText"/>
      </w:pPr>
      <w:r>
        <w:t>Members</w:t>
      </w:r>
      <w:r>
        <w:rPr>
          <w:spacing w:val="-5"/>
        </w:rPr>
        <w:t xml:space="preserve"> </w:t>
      </w:r>
      <w:r>
        <w:t>in</w:t>
      </w:r>
      <w:r>
        <w:rPr>
          <w:spacing w:val="-1"/>
        </w:rPr>
        <w:t xml:space="preserve"> </w:t>
      </w:r>
      <w:r>
        <w:t>Hxxxx-001</w:t>
      </w:r>
      <w:r>
        <w:rPr>
          <w:spacing w:val="1"/>
        </w:rPr>
        <w:t xml:space="preserve"> </w:t>
      </w:r>
      <w:r>
        <w:t>are</w:t>
      </w:r>
      <w:r>
        <w:rPr>
          <w:spacing w:val="-2"/>
        </w:rPr>
        <w:t xml:space="preserve"> </w:t>
      </w:r>
      <w:r>
        <w:t>crosswalked at</w:t>
      </w:r>
      <w:r>
        <w:rPr>
          <w:spacing w:val="-1"/>
        </w:rPr>
        <w:t xml:space="preserve"> </w:t>
      </w:r>
      <w:r>
        <w:t>the</w:t>
      </w:r>
      <w:r>
        <w:rPr>
          <w:spacing w:val="-2"/>
        </w:rPr>
        <w:t xml:space="preserve"> </w:t>
      </w:r>
      <w:r>
        <w:t>plan</w:t>
      </w:r>
      <w:r>
        <w:rPr>
          <w:spacing w:val="-1"/>
        </w:rPr>
        <w:t xml:space="preserve"> </w:t>
      </w:r>
      <w:r>
        <w:t>level</w:t>
      </w:r>
      <w:r>
        <w:rPr>
          <w:spacing w:val="-1"/>
        </w:rPr>
        <w:t xml:space="preserve"> </w:t>
      </w:r>
      <w:r>
        <w:t>via</w:t>
      </w:r>
      <w:r>
        <w:rPr>
          <w:spacing w:val="-3"/>
        </w:rPr>
        <w:t xml:space="preserve"> </w:t>
      </w:r>
      <w:r>
        <w:t>HPMS and</w:t>
      </w:r>
      <w:r>
        <w:rPr>
          <w:spacing w:val="-1"/>
        </w:rPr>
        <w:t xml:space="preserve"> </w:t>
      </w:r>
      <w:r>
        <w:t>are</w:t>
      </w:r>
      <w:r>
        <w:rPr>
          <w:spacing w:val="-3"/>
        </w:rPr>
        <w:t xml:space="preserve"> </w:t>
      </w:r>
      <w:r>
        <w:t>moved</w:t>
      </w:r>
      <w:r>
        <w:rPr>
          <w:spacing w:val="-1"/>
        </w:rPr>
        <w:t xml:space="preserve"> </w:t>
      </w:r>
      <w:r>
        <w:rPr>
          <w:spacing w:val="-5"/>
        </w:rPr>
        <w:t>to</w:t>
      </w:r>
    </w:p>
    <w:p>
      <w:pPr>
        <w:pStyle w:val="BodyText"/>
        <w:ind w:right="1481"/>
      </w:pPr>
      <w:r>
        <w:t>Hxxxx-003-001</w:t>
      </w:r>
      <w:r>
        <w:rPr>
          <w:spacing w:val="-4"/>
        </w:rPr>
        <w:t xml:space="preserve"> </w:t>
      </w:r>
      <w:r>
        <w:t>and</w:t>
      </w:r>
      <w:r>
        <w:rPr>
          <w:spacing w:val="-4"/>
        </w:rPr>
        <w:t xml:space="preserve"> </w:t>
      </w:r>
      <w:r>
        <w:t>Hxxxx-003-002</w:t>
      </w:r>
      <w:r>
        <w:rPr>
          <w:spacing w:val="-4"/>
        </w:rPr>
        <w:t xml:space="preserve"> </w:t>
      </w:r>
      <w:r>
        <w:t>via</w:t>
      </w:r>
      <w:r>
        <w:rPr>
          <w:spacing w:val="-5"/>
        </w:rPr>
        <w:t xml:space="preserve"> </w:t>
      </w:r>
      <w:r>
        <w:t>MARx</w:t>
      </w:r>
      <w:r>
        <w:rPr>
          <w:spacing w:val="-4"/>
        </w:rPr>
        <w:t xml:space="preserve"> </w:t>
      </w:r>
      <w:r>
        <w:t>enrollment</w:t>
      </w:r>
      <w:r>
        <w:rPr>
          <w:spacing w:val="-4"/>
        </w:rPr>
        <w:t xml:space="preserve"> </w:t>
      </w:r>
      <w:r>
        <w:t>transactions,</w:t>
      </w:r>
      <w:r>
        <w:rPr>
          <w:spacing w:val="-4"/>
        </w:rPr>
        <w:t xml:space="preserve"> </w:t>
      </w:r>
      <w:r>
        <w:t>as</w:t>
      </w:r>
      <w:r>
        <w:rPr>
          <w:spacing w:val="-5"/>
        </w:rPr>
        <w:t xml:space="preserve"> </w:t>
      </w:r>
      <w:r>
        <w:t>shown</w:t>
      </w:r>
      <w:r>
        <w:rPr>
          <w:spacing w:val="-4"/>
        </w:rPr>
        <w:t xml:space="preserve"> </w:t>
      </w:r>
      <w:r>
        <w:t>in</w:t>
      </w:r>
      <w:r>
        <w:rPr>
          <w:spacing w:val="-4"/>
        </w:rPr>
        <w:t xml:space="preserve"> </w:t>
      </w:r>
      <w:r>
        <w:t>the</w:t>
      </w:r>
      <w:r>
        <w:rPr>
          <w:spacing w:val="-5"/>
        </w:rPr>
        <w:t xml:space="preserve"> </w:t>
      </w:r>
      <w:r>
        <w:t xml:space="preserve">table </w:t>
      </w:r>
      <w:r>
        <w:rPr>
          <w:spacing w:val="-2"/>
        </w:rPr>
        <w:t>below.</w:t>
      </w:r>
    </w:p>
    <w:p>
      <w:pPr>
        <w:pStyle w:val="BodyText"/>
        <w:spacing w:before="4"/>
        <w:ind w:left="0"/>
        <w:rPr>
          <w:sz w:val="11"/>
        </w:rPr>
      </w:pPr>
    </w:p>
    <w:tbl>
      <w:tblPr>
        <w:tblStyle w:val="TableNormal"/>
        <w:tblW w:w="0" w:type="auto"/>
        <w:jc w:val="left"/>
        <w:tblInd w:w="1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0"/>
        <w:gridCol w:w="2030"/>
        <w:gridCol w:w="1892"/>
        <w:gridCol w:w="2162"/>
      </w:tblGrid>
      <w:tr>
        <w:tblPrEx>
          <w:tblW w:w="0" w:type="auto"/>
          <w:jc w:val="left"/>
          <w:tblInd w:w="1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19"/>
          <w:jc w:val="left"/>
        </w:trPr>
        <w:tc>
          <w:tcPr>
            <w:tcW w:w="1150" w:type="dxa"/>
          </w:tcPr>
          <w:p>
            <w:pPr>
              <w:pStyle w:val="TableParagraph"/>
              <w:rPr>
                <w:sz w:val="22"/>
              </w:rPr>
            </w:pPr>
          </w:p>
        </w:tc>
        <w:tc>
          <w:tcPr>
            <w:tcW w:w="2030" w:type="dxa"/>
          </w:tcPr>
          <w:p>
            <w:pPr>
              <w:pStyle w:val="TableParagraph"/>
              <w:spacing w:line="244" w:lineRule="exact"/>
              <w:ind w:left="599"/>
              <w:rPr>
                <w:b/>
                <w:sz w:val="22"/>
              </w:rPr>
            </w:pPr>
            <w:r>
              <w:rPr>
                <w:b/>
                <w:spacing w:val="-2"/>
                <w:sz w:val="22"/>
              </w:rPr>
              <w:t>CY2025</w:t>
            </w:r>
          </w:p>
        </w:tc>
        <w:tc>
          <w:tcPr>
            <w:tcW w:w="1892" w:type="dxa"/>
          </w:tcPr>
          <w:p>
            <w:pPr>
              <w:pStyle w:val="TableParagraph"/>
              <w:spacing w:line="244" w:lineRule="exact"/>
              <w:ind w:right="31"/>
              <w:jc w:val="center"/>
              <w:rPr>
                <w:b/>
                <w:sz w:val="22"/>
              </w:rPr>
            </w:pPr>
            <w:r>
              <w:rPr>
                <w:b/>
                <w:spacing w:val="-2"/>
                <w:sz w:val="22"/>
              </w:rPr>
              <w:t>CY2026</w:t>
            </w:r>
          </w:p>
        </w:tc>
        <w:tc>
          <w:tcPr>
            <w:tcW w:w="2162" w:type="dxa"/>
          </w:tcPr>
          <w:p>
            <w:pPr>
              <w:pStyle w:val="TableParagraph"/>
              <w:spacing w:line="244" w:lineRule="exact"/>
              <w:ind w:left="194"/>
              <w:jc w:val="center"/>
              <w:rPr>
                <w:b/>
                <w:sz w:val="22"/>
              </w:rPr>
            </w:pPr>
            <w:r>
              <w:rPr>
                <w:b/>
                <w:spacing w:val="-2"/>
                <w:sz w:val="22"/>
              </w:rPr>
              <w:t>CY2027</w:t>
            </w:r>
          </w:p>
        </w:tc>
      </w:tr>
      <w:tr>
        <w:tblPrEx>
          <w:tblW w:w="0" w:type="auto"/>
          <w:jc w:val="left"/>
          <w:tblInd w:w="1342" w:type="dxa"/>
          <w:tblLayout w:type="fixed"/>
          <w:tblCellMar>
            <w:top w:w="0" w:type="dxa"/>
            <w:left w:w="0" w:type="dxa"/>
            <w:bottom w:w="0" w:type="dxa"/>
            <w:right w:w="0" w:type="dxa"/>
          </w:tblCellMar>
          <w:tblLook w:val="01E0"/>
        </w:tblPrEx>
        <w:trPr>
          <w:trHeight w:val="392"/>
          <w:jc w:val="left"/>
        </w:trPr>
        <w:tc>
          <w:tcPr>
            <w:tcW w:w="1150" w:type="dxa"/>
          </w:tcPr>
          <w:p>
            <w:pPr>
              <w:pStyle w:val="TableParagraph"/>
              <w:spacing w:before="66"/>
              <w:ind w:left="50"/>
              <w:rPr>
                <w:sz w:val="22"/>
              </w:rPr>
            </w:pPr>
            <w:r>
              <w:rPr>
                <w:sz w:val="22"/>
              </w:rPr>
              <w:t>County</w:t>
            </w:r>
            <w:r>
              <w:rPr>
                <w:spacing w:val="-1"/>
                <w:sz w:val="22"/>
              </w:rPr>
              <w:t xml:space="preserve"> </w:t>
            </w:r>
            <w:r>
              <w:rPr>
                <w:spacing w:val="-10"/>
                <w:sz w:val="22"/>
              </w:rPr>
              <w:t>A</w:t>
            </w:r>
          </w:p>
        </w:tc>
        <w:tc>
          <w:tcPr>
            <w:tcW w:w="2030" w:type="dxa"/>
          </w:tcPr>
          <w:p>
            <w:pPr>
              <w:pStyle w:val="TableParagraph"/>
              <w:spacing w:before="66"/>
              <w:ind w:right="177"/>
              <w:jc w:val="right"/>
              <w:rPr>
                <w:sz w:val="22"/>
              </w:rPr>
            </w:pPr>
            <w:r>
              <w:rPr>
                <w:sz w:val="22"/>
              </w:rPr>
              <w:t>60</w:t>
            </w:r>
            <w:r>
              <w:rPr>
                <w:spacing w:val="-4"/>
                <w:sz w:val="22"/>
              </w:rPr>
              <w:t xml:space="preserve"> </w:t>
            </w:r>
            <w:r>
              <w:rPr>
                <w:sz w:val="22"/>
              </w:rPr>
              <w:t>in</w:t>
            </w:r>
            <w:r>
              <w:rPr>
                <w:spacing w:val="-3"/>
                <w:sz w:val="22"/>
              </w:rPr>
              <w:t xml:space="preserve"> </w:t>
            </w:r>
            <w:r>
              <w:rPr>
                <w:sz w:val="22"/>
              </w:rPr>
              <w:t>Hxxxx-</w:t>
            </w:r>
            <w:r>
              <w:rPr>
                <w:spacing w:val="-5"/>
                <w:sz w:val="22"/>
              </w:rPr>
              <w:t>001</w:t>
            </w:r>
          </w:p>
        </w:tc>
        <w:tc>
          <w:tcPr>
            <w:tcW w:w="1892" w:type="dxa"/>
          </w:tcPr>
          <w:p>
            <w:pPr>
              <w:pStyle w:val="TableParagraph"/>
              <w:spacing w:before="66"/>
              <w:ind w:left="2" w:right="31"/>
              <w:jc w:val="center"/>
              <w:rPr>
                <w:sz w:val="22"/>
              </w:rPr>
            </w:pPr>
            <w:r>
              <w:rPr>
                <w:sz w:val="22"/>
              </w:rPr>
              <w:t>60</w:t>
            </w:r>
            <w:r>
              <w:rPr>
                <w:spacing w:val="-5"/>
                <w:sz w:val="22"/>
              </w:rPr>
              <w:t xml:space="preserve"> </w:t>
            </w:r>
            <w:r>
              <w:rPr>
                <w:sz w:val="22"/>
              </w:rPr>
              <w:t>in</w:t>
            </w:r>
            <w:r>
              <w:rPr>
                <w:spacing w:val="-3"/>
                <w:sz w:val="22"/>
              </w:rPr>
              <w:t xml:space="preserve"> </w:t>
            </w:r>
            <w:r>
              <w:rPr>
                <w:sz w:val="22"/>
              </w:rPr>
              <w:t>Hxxxx-</w:t>
            </w:r>
            <w:r>
              <w:rPr>
                <w:spacing w:val="-5"/>
                <w:sz w:val="22"/>
              </w:rPr>
              <w:t>001</w:t>
            </w:r>
          </w:p>
        </w:tc>
        <w:tc>
          <w:tcPr>
            <w:tcW w:w="2162" w:type="dxa"/>
          </w:tcPr>
          <w:p>
            <w:pPr>
              <w:pStyle w:val="TableParagraph"/>
              <w:spacing w:before="66"/>
              <w:ind w:left="194" w:right="40"/>
              <w:jc w:val="center"/>
              <w:rPr>
                <w:sz w:val="22"/>
              </w:rPr>
            </w:pPr>
            <w:r>
              <w:rPr>
                <w:sz w:val="22"/>
              </w:rPr>
              <w:t>60</w:t>
            </w:r>
            <w:r>
              <w:rPr>
                <w:spacing w:val="-6"/>
                <w:sz w:val="22"/>
              </w:rPr>
              <w:t xml:space="preserve"> </w:t>
            </w:r>
            <w:r>
              <w:rPr>
                <w:b/>
                <w:sz w:val="22"/>
              </w:rPr>
              <w:t>→</w:t>
            </w:r>
            <w:r>
              <w:rPr>
                <w:sz w:val="22"/>
              </w:rPr>
              <w:t>Hxxxx-003-</w:t>
            </w:r>
            <w:r>
              <w:rPr>
                <w:spacing w:val="-5"/>
                <w:sz w:val="22"/>
              </w:rPr>
              <w:t>001</w:t>
            </w:r>
          </w:p>
        </w:tc>
      </w:tr>
      <w:tr>
        <w:tblPrEx>
          <w:tblW w:w="0" w:type="auto"/>
          <w:jc w:val="left"/>
          <w:tblInd w:w="1342" w:type="dxa"/>
          <w:tblLayout w:type="fixed"/>
          <w:tblCellMar>
            <w:top w:w="0" w:type="dxa"/>
            <w:left w:w="0" w:type="dxa"/>
            <w:bottom w:w="0" w:type="dxa"/>
            <w:right w:w="0" w:type="dxa"/>
          </w:tblCellMar>
          <w:tblLook w:val="01E0"/>
        </w:tblPrEx>
        <w:trPr>
          <w:trHeight w:val="392"/>
          <w:jc w:val="left"/>
        </w:trPr>
        <w:tc>
          <w:tcPr>
            <w:tcW w:w="1150" w:type="dxa"/>
          </w:tcPr>
          <w:p>
            <w:pPr>
              <w:pStyle w:val="TableParagraph"/>
              <w:spacing w:before="64"/>
              <w:ind w:left="50"/>
              <w:rPr>
                <w:sz w:val="22"/>
              </w:rPr>
            </w:pPr>
            <w:r>
              <w:rPr>
                <w:sz w:val="22"/>
              </w:rPr>
              <w:t>County</w:t>
            </w:r>
            <w:r>
              <w:rPr>
                <w:spacing w:val="-1"/>
                <w:sz w:val="22"/>
              </w:rPr>
              <w:t xml:space="preserve"> </w:t>
            </w:r>
            <w:r>
              <w:rPr>
                <w:spacing w:val="-10"/>
                <w:sz w:val="22"/>
              </w:rPr>
              <w:t>B</w:t>
            </w:r>
          </w:p>
        </w:tc>
        <w:tc>
          <w:tcPr>
            <w:tcW w:w="2030" w:type="dxa"/>
          </w:tcPr>
          <w:p>
            <w:pPr>
              <w:pStyle w:val="TableParagraph"/>
              <w:spacing w:before="64"/>
              <w:ind w:right="177"/>
              <w:jc w:val="right"/>
              <w:rPr>
                <w:sz w:val="22"/>
              </w:rPr>
            </w:pPr>
            <w:r>
              <w:rPr>
                <w:sz w:val="22"/>
                <w:u w:val="single"/>
              </w:rPr>
              <w:t>40</w:t>
            </w:r>
            <w:r>
              <w:rPr>
                <w:spacing w:val="-4"/>
                <w:sz w:val="22"/>
                <w:u w:val="none"/>
              </w:rPr>
              <w:t xml:space="preserve"> </w:t>
            </w:r>
            <w:r>
              <w:rPr>
                <w:sz w:val="22"/>
                <w:u w:val="none"/>
              </w:rPr>
              <w:t>in</w:t>
            </w:r>
            <w:r>
              <w:rPr>
                <w:spacing w:val="-3"/>
                <w:sz w:val="22"/>
                <w:u w:val="none"/>
              </w:rPr>
              <w:t xml:space="preserve"> </w:t>
            </w:r>
            <w:r>
              <w:rPr>
                <w:sz w:val="22"/>
                <w:u w:val="none"/>
              </w:rPr>
              <w:t>Hxxxx-</w:t>
            </w:r>
            <w:r>
              <w:rPr>
                <w:spacing w:val="-5"/>
                <w:sz w:val="22"/>
                <w:u w:val="none"/>
              </w:rPr>
              <w:t>001</w:t>
            </w:r>
          </w:p>
        </w:tc>
        <w:tc>
          <w:tcPr>
            <w:tcW w:w="1892" w:type="dxa"/>
          </w:tcPr>
          <w:p>
            <w:pPr>
              <w:pStyle w:val="TableParagraph"/>
              <w:spacing w:before="64"/>
              <w:ind w:left="2" w:right="31"/>
              <w:jc w:val="center"/>
              <w:rPr>
                <w:sz w:val="22"/>
              </w:rPr>
            </w:pPr>
            <w:r>
              <w:rPr>
                <w:sz w:val="22"/>
              </w:rPr>
              <w:t>40</w:t>
            </w:r>
            <w:r>
              <w:rPr>
                <w:spacing w:val="-5"/>
                <w:sz w:val="22"/>
              </w:rPr>
              <w:t xml:space="preserve"> </w:t>
            </w:r>
            <w:r>
              <w:rPr>
                <w:sz w:val="22"/>
              </w:rPr>
              <w:t>in</w:t>
            </w:r>
            <w:r>
              <w:rPr>
                <w:spacing w:val="-3"/>
                <w:sz w:val="22"/>
              </w:rPr>
              <w:t xml:space="preserve"> </w:t>
            </w:r>
            <w:r>
              <w:rPr>
                <w:sz w:val="22"/>
              </w:rPr>
              <w:t>Hxxxx-</w:t>
            </w:r>
            <w:r>
              <w:rPr>
                <w:spacing w:val="-5"/>
                <w:sz w:val="22"/>
              </w:rPr>
              <w:t>001</w:t>
            </w:r>
          </w:p>
        </w:tc>
        <w:tc>
          <w:tcPr>
            <w:tcW w:w="2162" w:type="dxa"/>
          </w:tcPr>
          <w:p>
            <w:pPr>
              <w:pStyle w:val="TableParagraph"/>
              <w:spacing w:before="64"/>
              <w:ind w:left="194" w:right="40"/>
              <w:jc w:val="center"/>
              <w:rPr>
                <w:sz w:val="22"/>
              </w:rPr>
            </w:pPr>
            <w:r>
              <w:rPr>
                <w:sz w:val="22"/>
              </w:rPr>
              <w:t>40</w:t>
            </w:r>
            <w:r>
              <w:rPr>
                <w:spacing w:val="-6"/>
                <w:sz w:val="22"/>
              </w:rPr>
              <w:t xml:space="preserve"> </w:t>
            </w:r>
            <w:r>
              <w:rPr>
                <w:b/>
                <w:sz w:val="22"/>
              </w:rPr>
              <w:t>→</w:t>
            </w:r>
            <w:r>
              <w:rPr>
                <w:sz w:val="22"/>
              </w:rPr>
              <w:t>Hxxxx-003-</w:t>
            </w:r>
            <w:r>
              <w:rPr>
                <w:spacing w:val="-5"/>
                <w:sz w:val="22"/>
              </w:rPr>
              <w:t>002</w:t>
            </w:r>
          </w:p>
        </w:tc>
      </w:tr>
      <w:tr>
        <w:tblPrEx>
          <w:tblW w:w="0" w:type="auto"/>
          <w:jc w:val="left"/>
          <w:tblInd w:w="1342" w:type="dxa"/>
          <w:tblLayout w:type="fixed"/>
          <w:tblCellMar>
            <w:top w:w="0" w:type="dxa"/>
            <w:left w:w="0" w:type="dxa"/>
            <w:bottom w:w="0" w:type="dxa"/>
            <w:right w:w="0" w:type="dxa"/>
          </w:tblCellMar>
          <w:tblLook w:val="01E0"/>
        </w:tblPrEx>
        <w:trPr>
          <w:trHeight w:val="319"/>
          <w:jc w:val="left"/>
        </w:trPr>
        <w:tc>
          <w:tcPr>
            <w:tcW w:w="1150" w:type="dxa"/>
          </w:tcPr>
          <w:p>
            <w:pPr>
              <w:pStyle w:val="TableParagraph"/>
              <w:spacing w:before="66" w:line="233" w:lineRule="exact"/>
              <w:ind w:left="50"/>
              <w:rPr>
                <w:sz w:val="22"/>
              </w:rPr>
            </w:pPr>
            <w:r>
              <w:rPr>
                <w:spacing w:val="-2"/>
                <w:sz w:val="22"/>
              </w:rPr>
              <w:t>Total</w:t>
            </w:r>
          </w:p>
        </w:tc>
        <w:tc>
          <w:tcPr>
            <w:tcW w:w="2030" w:type="dxa"/>
          </w:tcPr>
          <w:p>
            <w:pPr>
              <w:pStyle w:val="TableParagraph"/>
              <w:spacing w:before="66" w:line="233" w:lineRule="exact"/>
              <w:ind w:left="234"/>
              <w:rPr>
                <w:sz w:val="22"/>
              </w:rPr>
            </w:pPr>
            <w:r>
              <w:rPr>
                <w:spacing w:val="-5"/>
                <w:sz w:val="22"/>
              </w:rPr>
              <w:t>100</w:t>
            </w:r>
          </w:p>
        </w:tc>
        <w:tc>
          <w:tcPr>
            <w:tcW w:w="1892" w:type="dxa"/>
          </w:tcPr>
          <w:p>
            <w:pPr>
              <w:pStyle w:val="TableParagraph"/>
              <w:rPr>
                <w:sz w:val="22"/>
              </w:rPr>
            </w:pPr>
          </w:p>
        </w:tc>
        <w:tc>
          <w:tcPr>
            <w:tcW w:w="2162" w:type="dxa"/>
          </w:tcPr>
          <w:p>
            <w:pPr>
              <w:pStyle w:val="TableParagraph"/>
              <w:rPr>
                <w:sz w:val="22"/>
              </w:rPr>
            </w:pPr>
          </w:p>
        </w:tc>
      </w:tr>
    </w:tbl>
    <w:p>
      <w:pPr>
        <w:pStyle w:val="BodyText"/>
        <w:spacing w:before="259"/>
        <w:ind w:right="1280"/>
      </w:pPr>
      <w:r>
        <w:t>The proportion of plan Hxxxx-001 members in the Hxxxx-003-001 bid for CY2027 resulting from the CY2027 crosswalk is 60/100 or 60 percent, and the proportion of plan Hxxxx-001 members in the Hxxxx-003-002 bid for CY2027 resulting from the CY2027 crosswalk is 40/100 or 40 percent. Since both percentages are above the 35-percent threshold established by the certifying</w:t>
      </w:r>
      <w:r>
        <w:rPr>
          <w:spacing w:val="-3"/>
        </w:rPr>
        <w:t xml:space="preserve"> </w:t>
      </w:r>
      <w:r>
        <w:t>actuary,</w:t>
      </w:r>
      <w:r>
        <w:rPr>
          <w:spacing w:val="-3"/>
        </w:rPr>
        <w:t xml:space="preserve"> </w:t>
      </w:r>
      <w:r>
        <w:t>base</w:t>
      </w:r>
      <w:r>
        <w:rPr>
          <w:spacing w:val="-4"/>
        </w:rPr>
        <w:t xml:space="preserve"> </w:t>
      </w:r>
      <w:r>
        <w:t>period</w:t>
      </w:r>
      <w:r>
        <w:rPr>
          <w:spacing w:val="-3"/>
        </w:rPr>
        <w:t xml:space="preserve"> </w:t>
      </w:r>
      <w:r>
        <w:t>experience</w:t>
      </w:r>
      <w:r>
        <w:rPr>
          <w:spacing w:val="-4"/>
        </w:rPr>
        <w:t xml:space="preserve"> </w:t>
      </w:r>
      <w:r>
        <w:t>must</w:t>
      </w:r>
      <w:r>
        <w:rPr>
          <w:spacing w:val="-2"/>
        </w:rPr>
        <w:t xml:space="preserve"> </w:t>
      </w:r>
      <w:r>
        <w:t>be</w:t>
      </w:r>
      <w:r>
        <w:rPr>
          <w:spacing w:val="-4"/>
        </w:rPr>
        <w:t xml:space="preserve"> </w:t>
      </w:r>
      <w:r>
        <w:t>reported</w:t>
      </w:r>
      <w:r>
        <w:rPr>
          <w:spacing w:val="-3"/>
        </w:rPr>
        <w:t xml:space="preserve"> </w:t>
      </w:r>
      <w:r>
        <w:t>on</w:t>
      </w:r>
      <w:r>
        <w:rPr>
          <w:spacing w:val="-1"/>
        </w:rPr>
        <w:t xml:space="preserve"> </w:t>
      </w:r>
      <w:r>
        <w:t>Worksheet</w:t>
      </w:r>
      <w:r>
        <w:rPr>
          <w:spacing w:val="-3"/>
        </w:rPr>
        <w:t xml:space="preserve"> </w:t>
      </w:r>
      <w:r>
        <w:t>1</w:t>
      </w:r>
      <w:r>
        <w:rPr>
          <w:spacing w:val="-3"/>
        </w:rPr>
        <w:t xml:space="preserve"> </w:t>
      </w:r>
      <w:r>
        <w:t>of</w:t>
      </w:r>
      <w:r>
        <w:rPr>
          <w:spacing w:val="-3"/>
        </w:rPr>
        <w:t xml:space="preserve"> </w:t>
      </w:r>
      <w:r>
        <w:t>the</w:t>
      </w:r>
      <w:r>
        <w:rPr>
          <w:spacing w:val="-4"/>
        </w:rPr>
        <w:t xml:space="preserve"> </w:t>
      </w:r>
      <w:r>
        <w:t>CY2027</w:t>
      </w:r>
      <w:r>
        <w:rPr>
          <w:spacing w:val="-3"/>
        </w:rPr>
        <w:t xml:space="preserve"> </w:t>
      </w:r>
      <w:r>
        <w:t>BPTs as follows:</w:t>
      </w:r>
    </w:p>
    <w:p>
      <w:pPr>
        <w:pStyle w:val="ListParagraph"/>
        <w:numPr>
          <w:ilvl w:val="0"/>
          <w:numId w:val="1"/>
        </w:numPr>
        <w:tabs>
          <w:tab w:val="left" w:pos="1584"/>
        </w:tabs>
        <w:spacing w:before="121" w:after="0" w:line="240" w:lineRule="auto"/>
        <w:ind w:left="1584" w:right="1448" w:hanging="360"/>
        <w:jc w:val="left"/>
        <w:rPr>
          <w:sz w:val="24"/>
        </w:rPr>
      </w:pPr>
      <w:r>
        <w:rPr>
          <w:sz w:val="24"/>
        </w:rPr>
        <w:t>For</w:t>
      </w:r>
      <w:r>
        <w:rPr>
          <w:spacing w:val="-5"/>
          <w:sz w:val="24"/>
        </w:rPr>
        <w:t xml:space="preserve"> </w:t>
      </w:r>
      <w:r>
        <w:rPr>
          <w:sz w:val="24"/>
        </w:rPr>
        <w:t>Hxxxx-003-001,</w:t>
      </w:r>
      <w:r>
        <w:rPr>
          <w:spacing w:val="-4"/>
          <w:sz w:val="24"/>
        </w:rPr>
        <w:t xml:space="preserve"> </w:t>
      </w:r>
      <w:r>
        <w:rPr>
          <w:sz w:val="24"/>
        </w:rPr>
        <w:t>report</w:t>
      </w:r>
      <w:r>
        <w:rPr>
          <w:spacing w:val="-4"/>
          <w:sz w:val="24"/>
        </w:rPr>
        <w:t xml:space="preserve"> </w:t>
      </w:r>
      <w:r>
        <w:rPr>
          <w:sz w:val="24"/>
        </w:rPr>
        <w:t>base</w:t>
      </w:r>
      <w:r>
        <w:rPr>
          <w:spacing w:val="-5"/>
          <w:sz w:val="24"/>
        </w:rPr>
        <w:t xml:space="preserve"> </w:t>
      </w:r>
      <w:r>
        <w:rPr>
          <w:sz w:val="24"/>
        </w:rPr>
        <w:t>period</w:t>
      </w:r>
      <w:r>
        <w:rPr>
          <w:spacing w:val="-3"/>
          <w:sz w:val="24"/>
        </w:rPr>
        <w:t xml:space="preserve"> </w:t>
      </w:r>
      <w:r>
        <w:rPr>
          <w:sz w:val="24"/>
        </w:rPr>
        <w:t>experience</w:t>
      </w:r>
      <w:r>
        <w:rPr>
          <w:spacing w:val="-5"/>
          <w:sz w:val="24"/>
        </w:rPr>
        <w:t xml:space="preserve"> </w:t>
      </w:r>
      <w:r>
        <w:rPr>
          <w:sz w:val="24"/>
        </w:rPr>
        <w:t>for</w:t>
      </w:r>
      <w:r>
        <w:rPr>
          <w:spacing w:val="-5"/>
          <w:sz w:val="24"/>
        </w:rPr>
        <w:t xml:space="preserve"> </w:t>
      </w:r>
      <w:r>
        <w:rPr>
          <w:sz w:val="24"/>
        </w:rPr>
        <w:t>Hxxxx-001.</w:t>
      </w:r>
      <w:r>
        <w:rPr>
          <w:spacing w:val="-4"/>
          <w:sz w:val="24"/>
        </w:rPr>
        <w:t xml:space="preserve"> </w:t>
      </w:r>
      <w:r>
        <w:rPr>
          <w:sz w:val="24"/>
        </w:rPr>
        <w:t>(Rule</w:t>
      </w:r>
      <w:r>
        <w:rPr>
          <w:spacing w:val="-4"/>
          <w:sz w:val="24"/>
        </w:rPr>
        <w:t xml:space="preserve"> </w:t>
      </w:r>
      <w:r>
        <w:rPr>
          <w:sz w:val="24"/>
        </w:rPr>
        <w:t>1</w:t>
      </w:r>
      <w:r>
        <w:rPr>
          <w:spacing w:val="-3"/>
          <w:sz w:val="24"/>
        </w:rPr>
        <w:t xml:space="preserve"> </w:t>
      </w:r>
      <w:r>
        <w:rPr>
          <w:sz w:val="24"/>
        </w:rPr>
        <w:t>and</w:t>
      </w:r>
      <w:r>
        <w:rPr>
          <w:spacing w:val="-4"/>
          <w:sz w:val="24"/>
        </w:rPr>
        <w:t xml:space="preserve"> </w:t>
      </w:r>
      <w:r>
        <w:rPr>
          <w:sz w:val="24"/>
        </w:rPr>
        <w:t xml:space="preserve">Rule </w:t>
      </w:r>
      <w:r>
        <w:rPr>
          <w:spacing w:val="-4"/>
          <w:sz w:val="24"/>
        </w:rPr>
        <w:t>3).</w:t>
      </w:r>
    </w:p>
    <w:p>
      <w:pPr>
        <w:pStyle w:val="ListParagraph"/>
        <w:numPr>
          <w:ilvl w:val="0"/>
          <w:numId w:val="1"/>
        </w:numPr>
        <w:tabs>
          <w:tab w:val="left" w:pos="1584"/>
        </w:tabs>
        <w:spacing w:before="0" w:after="0" w:line="240" w:lineRule="auto"/>
        <w:ind w:left="1584" w:right="1448" w:hanging="360"/>
        <w:jc w:val="left"/>
        <w:rPr>
          <w:sz w:val="24"/>
        </w:rPr>
      </w:pPr>
      <w:r>
        <w:rPr>
          <w:sz w:val="24"/>
        </w:rPr>
        <w:t>For</w:t>
      </w:r>
      <w:r>
        <w:rPr>
          <w:spacing w:val="-4"/>
          <w:sz w:val="24"/>
        </w:rPr>
        <w:t xml:space="preserve"> </w:t>
      </w:r>
      <w:r>
        <w:rPr>
          <w:sz w:val="24"/>
        </w:rPr>
        <w:t>Hxxxx-003-002,</w:t>
      </w:r>
      <w:r>
        <w:rPr>
          <w:spacing w:val="-4"/>
          <w:sz w:val="24"/>
        </w:rPr>
        <w:t xml:space="preserve"> </w:t>
      </w:r>
      <w:r>
        <w:rPr>
          <w:sz w:val="24"/>
        </w:rPr>
        <w:t>report</w:t>
      </w:r>
      <w:r>
        <w:rPr>
          <w:spacing w:val="-4"/>
          <w:sz w:val="24"/>
        </w:rPr>
        <w:t xml:space="preserve"> </w:t>
      </w:r>
      <w:r>
        <w:rPr>
          <w:sz w:val="24"/>
        </w:rPr>
        <w:t>base</w:t>
      </w:r>
      <w:r>
        <w:rPr>
          <w:spacing w:val="-5"/>
          <w:sz w:val="24"/>
        </w:rPr>
        <w:t xml:space="preserve"> </w:t>
      </w:r>
      <w:r>
        <w:rPr>
          <w:sz w:val="24"/>
        </w:rPr>
        <w:t>period</w:t>
      </w:r>
      <w:r>
        <w:rPr>
          <w:spacing w:val="-3"/>
          <w:sz w:val="24"/>
        </w:rPr>
        <w:t xml:space="preserve"> </w:t>
      </w:r>
      <w:r>
        <w:rPr>
          <w:sz w:val="24"/>
        </w:rPr>
        <w:t>experience</w:t>
      </w:r>
      <w:r>
        <w:rPr>
          <w:spacing w:val="-5"/>
          <w:sz w:val="24"/>
        </w:rPr>
        <w:t xml:space="preserve"> </w:t>
      </w:r>
      <w:r>
        <w:rPr>
          <w:sz w:val="24"/>
        </w:rPr>
        <w:t>for</w:t>
      </w:r>
      <w:r>
        <w:rPr>
          <w:spacing w:val="-6"/>
          <w:sz w:val="24"/>
        </w:rPr>
        <w:t xml:space="preserve"> </w:t>
      </w:r>
      <w:r>
        <w:rPr>
          <w:sz w:val="24"/>
        </w:rPr>
        <w:t>Hxxxx-001.</w:t>
      </w:r>
      <w:r>
        <w:rPr>
          <w:spacing w:val="-4"/>
          <w:sz w:val="24"/>
        </w:rPr>
        <w:t xml:space="preserve"> </w:t>
      </w:r>
      <w:r>
        <w:rPr>
          <w:sz w:val="24"/>
        </w:rPr>
        <w:t>(Rule</w:t>
      </w:r>
      <w:r>
        <w:rPr>
          <w:spacing w:val="-4"/>
          <w:sz w:val="24"/>
        </w:rPr>
        <w:t xml:space="preserve"> </w:t>
      </w:r>
      <w:r>
        <w:rPr>
          <w:sz w:val="24"/>
        </w:rPr>
        <w:t>1</w:t>
      </w:r>
      <w:r>
        <w:rPr>
          <w:spacing w:val="-3"/>
          <w:sz w:val="24"/>
        </w:rPr>
        <w:t xml:space="preserve"> </w:t>
      </w:r>
      <w:r>
        <w:rPr>
          <w:sz w:val="24"/>
        </w:rPr>
        <w:t>and</w:t>
      </w:r>
      <w:r>
        <w:rPr>
          <w:spacing w:val="-4"/>
          <w:sz w:val="24"/>
        </w:rPr>
        <w:t xml:space="preserve"> </w:t>
      </w:r>
      <w:r>
        <w:rPr>
          <w:sz w:val="24"/>
        </w:rPr>
        <w:t xml:space="preserve">Rule </w:t>
      </w:r>
      <w:r>
        <w:rPr>
          <w:spacing w:val="-4"/>
          <w:sz w:val="24"/>
        </w:rPr>
        <w:t>3).</w:t>
      </w:r>
    </w:p>
    <w:p>
      <w:pPr>
        <w:pStyle w:val="ListParagraph"/>
        <w:spacing w:after="0" w:line="240" w:lineRule="auto"/>
        <w:jc w:val="left"/>
        <w:rPr>
          <w:sz w:val="24"/>
        </w:rPr>
        <w:sectPr>
          <w:pgSz w:w="12240" w:h="15840"/>
          <w:pgMar w:top="960" w:right="0" w:bottom="940" w:left="1080" w:header="727" w:footer="747"/>
          <w:cols w:space="720"/>
        </w:sectPr>
      </w:pPr>
    </w:p>
    <w:p>
      <w:pPr>
        <w:pStyle w:val="BodyText"/>
        <w:spacing w:before="5"/>
        <w:ind w:left="0"/>
        <w:rPr>
          <w:sz w:val="3"/>
        </w:rPr>
      </w:pPr>
    </w:p>
    <w:p>
      <w:pPr>
        <w:spacing w:line="20" w:lineRule="exact"/>
        <w:ind w:left="691" w:right="0" w:firstLine="0"/>
        <w:rPr>
          <w:sz w:val="2"/>
        </w:rPr>
      </w:pPr>
      <w:r>
        <w:rPr>
          <w:sz w:val="2"/>
        </w:rPr>
        <mc:AlternateContent>
          <mc:Choice Requires="wpg">
            <w:drawing>
              <wp:inline distT="0" distB="0" distL="0" distR="0">
                <wp:extent cx="5523865" cy="6350"/>
                <wp:effectExtent l="0" t="0" r="0" b="0"/>
                <wp:docPr id="86"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5523865" cy="6350"/>
                          <a:chOff x="0" y="0"/>
                          <a:chExt cx="5523865" cy="6350"/>
                        </a:xfrm>
                      </wpg:grpSpPr>
                      <wps:wsp xmlns:wps="http://schemas.microsoft.com/office/word/2010/wordprocessingShape">
                        <wps:cNvPr id="87" name="Graphic 87"/>
                        <wps:cNvSpPr/>
                        <wps:spPr>
                          <a:xfrm>
                            <a:off x="0" y="0"/>
                            <a:ext cx="5523865" cy="6350"/>
                          </a:xfrm>
                          <a:custGeom>
                            <a:avLst/>
                            <a:gdLst/>
                            <a:rect l="l" t="t" r="r" b="b"/>
                            <a:pathLst>
                              <a:path fill="norm" h="6350" w="5523865" stroke="1">
                                <a:moveTo>
                                  <a:pt x="5523865" y="0"/>
                                </a:moveTo>
                                <a:lnTo>
                                  <a:pt x="0" y="0"/>
                                </a:lnTo>
                                <a:lnTo>
                                  <a:pt x="0" y="6096"/>
                                </a:lnTo>
                                <a:lnTo>
                                  <a:pt x="5523865" y="6096"/>
                                </a:lnTo>
                                <a:lnTo>
                                  <a:pt x="5523865"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45" style="width:434.95pt;height:0.5pt;mso-position-horizontal-relative:char;mso-position-vertical-relative:line" coordorigin="0,0" coordsize="8699,10">
                <v:rect id="_x0000_s1046" style="width:8699;height:10;position:absolute" filled="t" fillcolor="black" stroked="f">
                  <v:fill type="solid"/>
                </v:rect>
                <w10:wrap type="none"/>
              </v:group>
            </w:pict>
          </mc:Fallback>
        </mc:AlternateContent>
      </w:r>
    </w:p>
    <w:p>
      <w:pPr>
        <w:pStyle w:val="BodyText"/>
        <w:spacing w:before="9"/>
        <w:ind w:left="720" w:right="1918"/>
      </w:pPr>
      <w:r>
        <mc:AlternateContent>
          <mc:Choice Requires="wps">
            <w:drawing>
              <wp:anchor distT="0" distB="0" distL="0" distR="0" simplePos="0" relativeHeight="251674624" behindDoc="1" locked="0" layoutInCell="1" allowOverlap="1">
                <wp:simplePos x="0" y="0"/>
                <wp:positionH relativeFrom="page">
                  <wp:posOffset>1125016</wp:posOffset>
                </wp:positionH>
                <wp:positionV relativeFrom="paragraph">
                  <wp:posOffset>1588001</wp:posOffset>
                </wp:positionV>
                <wp:extent cx="5523865" cy="6350"/>
                <wp:effectExtent l="0" t="0" r="0" b="0"/>
                <wp:wrapTopAndBottom/>
                <wp:docPr id="88" name="Graphic 88"/>
                <wp:cNvGraphicFramePr/>
                <a:graphic xmlns:a="http://schemas.openxmlformats.org/drawingml/2006/main">
                  <a:graphicData uri="http://schemas.microsoft.com/office/word/2010/wordprocessingShape">
                    <wps:wsp xmlns:wps="http://schemas.microsoft.com/office/word/2010/wordprocessingShape">
                      <wps:cNvSpPr/>
                      <wps:spPr>
                        <a:xfrm>
                          <a:off x="0" y="0"/>
                          <a:ext cx="5523865" cy="6350"/>
                        </a:xfrm>
                        <a:custGeom>
                          <a:avLst/>
                          <a:gdLst/>
                          <a:rect l="l" t="t" r="r" b="b"/>
                          <a:pathLst>
                            <a:path fill="norm" h="6350" w="5523865" stroke="1">
                              <a:moveTo>
                                <a:pt x="5523865" y="0"/>
                              </a:moveTo>
                              <a:lnTo>
                                <a:pt x="0" y="0"/>
                              </a:lnTo>
                              <a:lnTo>
                                <a:pt x="0" y="6096"/>
                              </a:lnTo>
                              <a:lnTo>
                                <a:pt x="5523865" y="6096"/>
                              </a:lnTo>
                              <a:lnTo>
                                <a:pt x="5523865"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7" style="width:434.95pt;height:0.48pt;margin-top:125.04pt;margin-left:88.58pt;mso-position-horizontal-relative:page;mso-wrap-distance-left:0;mso-wrap-distance-right:0;position:absolute;z-index:-251640832" filled="t" fillcolor="black" stroked="f">
                <v:fill type="solid"/>
                <w10:wrap type="topAndBottom"/>
              </v:rect>
            </w:pict>
          </mc:Fallback>
        </mc:AlternateContent>
      </w:r>
      <w:r>
        <w:t>According</w:t>
      </w:r>
      <w:r>
        <w:rPr>
          <w:spacing w:val="-1"/>
        </w:rPr>
        <w:t xml:space="preserve"> </w:t>
      </w:r>
      <w:r>
        <w:t>to</w:t>
      </w:r>
      <w:r>
        <w:rPr>
          <w:spacing w:val="-1"/>
        </w:rPr>
        <w:t xml:space="preserve"> </w:t>
      </w:r>
      <w:r>
        <w:t>the</w:t>
      </w:r>
      <w:r>
        <w:rPr>
          <w:spacing w:val="-2"/>
        </w:rPr>
        <w:t xml:space="preserve"> </w:t>
      </w:r>
      <w:r>
        <w:t>Paperwork</w:t>
      </w:r>
      <w:r>
        <w:rPr>
          <w:spacing w:val="-1"/>
        </w:rPr>
        <w:t xml:space="preserve"> </w:t>
      </w:r>
      <w:r>
        <w:t>Reduction</w:t>
      </w:r>
      <w:r>
        <w:rPr>
          <w:spacing w:val="-1"/>
        </w:rPr>
        <w:t xml:space="preserve"> </w:t>
      </w:r>
      <w:r>
        <w:t>Act</w:t>
      </w:r>
      <w:r>
        <w:rPr>
          <w:spacing w:val="-1"/>
        </w:rPr>
        <w:t xml:space="preserve"> </w:t>
      </w:r>
      <w:r>
        <w:t>of</w:t>
      </w:r>
      <w:r>
        <w:rPr>
          <w:spacing w:val="-1"/>
        </w:rPr>
        <w:t xml:space="preserve"> </w:t>
      </w:r>
      <w:r>
        <w:t>1995,</w:t>
      </w:r>
      <w:r>
        <w:rPr>
          <w:spacing w:val="-1"/>
        </w:rPr>
        <w:t xml:space="preserve"> </w:t>
      </w:r>
      <w:r>
        <w:t>no</w:t>
      </w:r>
      <w:r>
        <w:rPr>
          <w:spacing w:val="-1"/>
        </w:rPr>
        <w:t xml:space="preserve"> </w:t>
      </w:r>
      <w:r>
        <w:t>persons</w:t>
      </w:r>
      <w:r>
        <w:rPr>
          <w:spacing w:val="-2"/>
        </w:rPr>
        <w:t xml:space="preserve"> </w:t>
      </w:r>
      <w:r>
        <w:t>are</w:t>
      </w:r>
      <w:r>
        <w:rPr>
          <w:spacing w:val="-2"/>
        </w:rPr>
        <w:t xml:space="preserve"> </w:t>
      </w:r>
      <w:r>
        <w:t>required</w:t>
      </w:r>
      <w:r>
        <w:rPr>
          <w:spacing w:val="-1"/>
        </w:rPr>
        <w:t xml:space="preserve"> </w:t>
      </w:r>
      <w:r>
        <w:t>to</w:t>
      </w:r>
      <w:r>
        <w:rPr>
          <w:spacing w:val="-1"/>
        </w:rPr>
        <w:t xml:space="preserve"> </w:t>
      </w:r>
      <w:r>
        <w:t>respond to a collection of</w:t>
      </w:r>
      <w:r>
        <w:rPr>
          <w:spacing w:val="-1"/>
        </w:rPr>
        <w:t xml:space="preserve"> </w:t>
      </w:r>
      <w:r>
        <w:t>information unless</w:t>
      </w:r>
      <w:r>
        <w:rPr>
          <w:spacing w:val="-1"/>
        </w:rPr>
        <w:t xml:space="preserve"> </w:t>
      </w:r>
      <w:r>
        <w:t>it displays</w:t>
      </w:r>
      <w:r>
        <w:rPr>
          <w:spacing w:val="-1"/>
        </w:rPr>
        <w:t xml:space="preserve"> </w:t>
      </w:r>
      <w:r>
        <w:t>a</w:t>
      </w:r>
      <w:r>
        <w:rPr>
          <w:spacing w:val="-1"/>
        </w:rPr>
        <w:t xml:space="preserve"> </w:t>
      </w:r>
      <w:r>
        <w:t>valid OMB control number. The</w:t>
      </w:r>
      <w:r>
        <w:rPr>
          <w:spacing w:val="-1"/>
        </w:rPr>
        <w:t xml:space="preserve"> </w:t>
      </w:r>
      <w:r>
        <w:t>valid OMB</w:t>
      </w:r>
      <w:r>
        <w:rPr>
          <w:spacing w:val="-4"/>
        </w:rPr>
        <w:t xml:space="preserve"> </w:t>
      </w:r>
      <w:r>
        <w:t>control</w:t>
      </w:r>
      <w:r>
        <w:rPr>
          <w:spacing w:val="-4"/>
        </w:rPr>
        <w:t xml:space="preserve"> </w:t>
      </w:r>
      <w:r>
        <w:t>number</w:t>
      </w:r>
      <w:r>
        <w:rPr>
          <w:spacing w:val="-4"/>
        </w:rPr>
        <w:t xml:space="preserve"> </w:t>
      </w:r>
      <w:r>
        <w:t>for</w:t>
      </w:r>
      <w:r>
        <w:rPr>
          <w:spacing w:val="-3"/>
        </w:rPr>
        <w:t xml:space="preserve"> </w:t>
      </w:r>
      <w:r>
        <w:t>this</w:t>
      </w:r>
      <w:r>
        <w:rPr>
          <w:spacing w:val="-5"/>
        </w:rPr>
        <w:t xml:space="preserve"> </w:t>
      </w:r>
      <w:r>
        <w:t>information</w:t>
      </w:r>
      <w:r>
        <w:rPr>
          <w:spacing w:val="-4"/>
        </w:rPr>
        <w:t xml:space="preserve"> </w:t>
      </w:r>
      <w:r>
        <w:t>collection</w:t>
      </w:r>
      <w:r>
        <w:rPr>
          <w:spacing w:val="-4"/>
        </w:rPr>
        <w:t xml:space="preserve"> </w:t>
      </w:r>
      <w:r>
        <w:t>is</w:t>
      </w:r>
      <w:r>
        <w:rPr>
          <w:spacing w:val="-4"/>
        </w:rPr>
        <w:t xml:space="preserve"> </w:t>
      </w:r>
      <w:r>
        <w:t>0938-0944.</w:t>
      </w:r>
      <w:r>
        <w:rPr>
          <w:spacing w:val="-4"/>
        </w:rPr>
        <w:t xml:space="preserve"> </w:t>
      </w:r>
      <w:r>
        <w:t>The</w:t>
      </w:r>
      <w:r>
        <w:rPr>
          <w:spacing w:val="-5"/>
        </w:rPr>
        <w:t xml:space="preserve"> </w:t>
      </w:r>
      <w:r>
        <w:t>time</w:t>
      </w:r>
      <w:r>
        <w:rPr>
          <w:spacing w:val="-4"/>
        </w:rPr>
        <w:t xml:space="preserve"> </w:t>
      </w:r>
      <w:r>
        <w:t>required</w:t>
      </w:r>
      <w:r>
        <w:rPr>
          <w:spacing w:val="-4"/>
        </w:rPr>
        <w:t xml:space="preserve"> </w:t>
      </w:r>
      <w:r>
        <w:t>to complete this information collection is estimated to average 30 hours per response, including the</w:t>
      </w:r>
      <w:r>
        <w:rPr>
          <w:spacing w:val="-1"/>
        </w:rPr>
        <w:t xml:space="preserve"> </w:t>
      </w:r>
      <w:r>
        <w:t>time to review</w:t>
      </w:r>
      <w:r>
        <w:rPr>
          <w:spacing w:val="-1"/>
        </w:rPr>
        <w:t xml:space="preserve"> </w:t>
      </w:r>
      <w:r>
        <w:t>instructions, search existing data</w:t>
      </w:r>
      <w:r>
        <w:rPr>
          <w:spacing w:val="-1"/>
        </w:rPr>
        <w:t xml:space="preserve"> </w:t>
      </w:r>
      <w:r>
        <w:t>resources, gather</w:t>
      </w:r>
      <w:r>
        <w:rPr>
          <w:spacing w:val="-2"/>
        </w:rPr>
        <w:t xml:space="preserve"> </w:t>
      </w:r>
      <w:r>
        <w:t>the data needed, and complete and review the information collection. If you have comments concerning the accuracy of the</w:t>
      </w:r>
      <w:r>
        <w:rPr>
          <w:spacing w:val="-1"/>
        </w:rPr>
        <w:t xml:space="preserve"> </w:t>
      </w:r>
      <w:r>
        <w:t>time estimate(s)</w:t>
      </w:r>
      <w:r>
        <w:rPr>
          <w:spacing w:val="-1"/>
        </w:rPr>
        <w:t xml:space="preserve"> </w:t>
      </w:r>
      <w:r>
        <w:t>or suggestions for</w:t>
      </w:r>
      <w:r>
        <w:rPr>
          <w:spacing w:val="-1"/>
        </w:rPr>
        <w:t xml:space="preserve"> </w:t>
      </w:r>
      <w:r>
        <w:t>improving this form, please write to: CMS, 7500 Security Boulevard, Attn: PRA Reports Clearance Officer, Mail Stop C4-26-05, Baltimore, Maryland 21244-1850.</w:t>
      </w:r>
    </w:p>
    <w:sectPr>
      <w:headerReference w:type="default" r:id="rId63"/>
      <w:footerReference w:type="default" r:id="rId64"/>
      <w:pgSz w:w="12240" w:h="15840"/>
      <w:pgMar w:top="1400" w:right="0" w:bottom="1080" w:left="1080" w:header="0" w:footer="89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Cambria Math">
    <w:altName w:val="Cambria Math"/>
    <w:charset w:val="00"/>
    <w:family w:val="roman"/>
    <w:pitch w:val="variable"/>
  </w:font>
  <w:font w:name="Symbol">
    <w:altName w:val="Symbol"/>
    <w:charset w:val="02"/>
    <w:family w:val="roman"/>
    <w:pitch w:val="variable"/>
  </w:font>
  <w:font w:name="Wingdings">
    <w:altName w:val="Wingdings"/>
    <w:charset w:val="02"/>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58240" behindDoc="1" locked="0" layoutInCell="1" allowOverlap="1">
              <wp:simplePos x="0" y="0"/>
              <wp:positionH relativeFrom="page">
                <wp:posOffset>993444</wp:posOffset>
              </wp:positionH>
              <wp:positionV relativeFrom="page">
                <wp:posOffset>9406934</wp:posOffset>
              </wp:positionV>
              <wp:extent cx="702310" cy="16700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02310" cy="167005"/>
                      </a:xfrm>
                      <a:prstGeom prst="rect">
                        <a:avLst/>
                      </a:prstGeom>
                    </wps:spPr>
                    <wps:txbx>
                      <w:txbxContent>
                        <w:p>
                          <w:pPr>
                            <w:spacing w:before="12"/>
                            <w:ind w:left="20" w:right="0" w:firstLine="0"/>
                            <w:jc w:val="left"/>
                            <w:rPr>
                              <w:rFonts w:ascii="Arial"/>
                              <w:sz w:val="20"/>
                            </w:rPr>
                          </w:pPr>
                          <w:r>
                            <w:rPr>
                              <w:rFonts w:ascii="Arial"/>
                              <w:spacing w:val="-2"/>
                              <w:sz w:val="20"/>
                            </w:rPr>
                            <w:t>CMS-10142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55.3pt;height:13.15pt;margin-top:740.7pt;margin-left:78.22pt;mso-position-horizontal-relative:page;mso-position-vertical-relative:page;position:absolute;z-index:-251657216" filled="f" stroked="f">
              <v:textbox inset="0,0,0,0">
                <w:txbxContent>
                  <w:p>
                    <w:pPr>
                      <w:spacing w:before="12"/>
                      <w:ind w:left="20" w:right="0" w:firstLine="0"/>
                      <w:jc w:val="left"/>
                      <w:rPr>
                        <w:rFonts w:ascii="Arial"/>
                        <w:sz w:val="20"/>
                      </w:rPr>
                    </w:pPr>
                    <w:r>
                      <w:rPr>
                        <w:rFonts w:ascii="Arial"/>
                        <w:spacing w:val="-2"/>
                        <w:sz w:val="20"/>
                      </w:rPr>
                      <w:t>CMS-10142</w:t>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93056"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44" name="Text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4" type="#_x0000_t202" style="width:131.3pt;height:13.7pt;margin-top:743.67pt;margin-left:78.22pt;mso-position-horizontal-relative:page;mso-position-vertical-relative:page;position:absolute;z-index:-251622400" filled="f" stroked="f">
              <v:textbox inset="0,0,0,0">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695104" behindDoc="1" locked="0" layoutInCell="1" allowOverlap="1">
              <wp:simplePos x="0" y="0"/>
              <wp:positionH relativeFrom="page">
                <wp:posOffset>6020561</wp:posOffset>
              </wp:positionH>
              <wp:positionV relativeFrom="page">
                <wp:posOffset>9444607</wp:posOffset>
              </wp:positionV>
              <wp:extent cx="830580" cy="173990"/>
              <wp:effectExtent l="0" t="0" r="0" b="0"/>
              <wp:wrapNone/>
              <wp:docPr id="45" name="Text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83058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74</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wps:txbx>
                    <wps:bodyPr wrap="square" lIns="0" tIns="0" rIns="0" bIns="0" rtlCol="0"/>
                  </wps:wsp>
                </a:graphicData>
              </a:graphic>
            </wp:anchor>
          </w:drawing>
        </mc:Choice>
        <mc:Fallback>
          <w:pict>
            <v:shape id="_x0000_s2075" type="#_x0000_t202" style="width:65.4pt;height:13.7pt;margin-top:743.67pt;margin-left:474.06pt;mso-position-horizontal-relative:page;mso-position-vertical-relative:page;position:absolute;z-index:-251620352"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74</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97152"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47" name="Text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7" type="#_x0000_t202" style="width:131.3pt;height:13.7pt;margin-top:743.67pt;margin-left:78.22pt;mso-position-horizontal-relative:page;mso-position-vertical-relative:page;position:absolute;z-index:-251618304" filled="f" stroked="f">
              <v:textbox inset="0,0,0,0">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699200" behindDoc="1" locked="0" layoutInCell="1" allowOverlap="1">
              <wp:simplePos x="0" y="0"/>
              <wp:positionH relativeFrom="page">
                <wp:posOffset>6020561</wp:posOffset>
              </wp:positionH>
              <wp:positionV relativeFrom="page">
                <wp:posOffset>9444607</wp:posOffset>
              </wp:positionV>
              <wp:extent cx="830580" cy="173990"/>
              <wp:effectExtent l="0" t="0" r="0" b="0"/>
              <wp:wrapNone/>
              <wp:docPr id="48" name="Text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83058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81</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wps:txbx>
                    <wps:bodyPr wrap="square" lIns="0" tIns="0" rIns="0" bIns="0" rtlCol="0"/>
                  </wps:wsp>
                </a:graphicData>
              </a:graphic>
            </wp:anchor>
          </w:drawing>
        </mc:Choice>
        <mc:Fallback>
          <w:pict>
            <v:shape id="_x0000_s2078" type="#_x0000_t202" style="width:65.4pt;height:13.7pt;margin-top:743.67pt;margin-left:474.06pt;mso-position-horizontal-relative:page;mso-position-vertical-relative:page;position:absolute;z-index:-251616256"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81</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701248"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50" name="Text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0" type="#_x0000_t202" style="width:131.3pt;height:13.7pt;margin-top:743.67pt;margin-left:78.22pt;mso-position-horizontal-relative:page;mso-position-vertical-relative:page;position:absolute;z-index:-251614208" filled="f" stroked="f">
              <v:textbox inset="0,0,0,0">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703296" behindDoc="1" locked="0" layoutInCell="1" allowOverlap="1">
              <wp:simplePos x="0" y="0"/>
              <wp:positionH relativeFrom="page">
                <wp:posOffset>6020561</wp:posOffset>
              </wp:positionH>
              <wp:positionV relativeFrom="page">
                <wp:posOffset>9444607</wp:posOffset>
              </wp:positionV>
              <wp:extent cx="830580" cy="173990"/>
              <wp:effectExtent l="0" t="0" r="0" b="0"/>
              <wp:wrapNone/>
              <wp:docPr id="51" name="Text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83058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87</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wps:txbx>
                    <wps:bodyPr wrap="square" lIns="0" tIns="0" rIns="0" bIns="0" rtlCol="0"/>
                  </wps:wsp>
                </a:graphicData>
              </a:graphic>
            </wp:anchor>
          </w:drawing>
        </mc:Choice>
        <mc:Fallback>
          <w:pict>
            <v:shape id="_x0000_s2081" type="#_x0000_t202" style="width:65.4pt;height:13.7pt;margin-top:743.67pt;margin-left:474.06pt;mso-position-horizontal-relative:page;mso-position-vertical-relative:page;position:absolute;z-index:-251612160"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87</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705344"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53" name="Text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3" type="#_x0000_t202" style="width:131.3pt;height:13.7pt;margin-top:743.67pt;margin-left:78.22pt;mso-position-horizontal-relative:page;mso-position-vertical-relative:page;position:absolute;z-index:-251610112" filled="f" stroked="f">
              <v:textbox inset="0,0,0,0">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707392" behindDoc="1" locked="0" layoutInCell="1" allowOverlap="1">
              <wp:simplePos x="0" y="0"/>
              <wp:positionH relativeFrom="page">
                <wp:posOffset>6020561</wp:posOffset>
              </wp:positionH>
              <wp:positionV relativeFrom="page">
                <wp:posOffset>9444607</wp:posOffset>
              </wp:positionV>
              <wp:extent cx="830580" cy="173990"/>
              <wp:effectExtent l="0" t="0" r="0" b="0"/>
              <wp:wrapNone/>
              <wp:docPr id="54" name="Text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83058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89</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wps:txbx>
                    <wps:bodyPr wrap="square" lIns="0" tIns="0" rIns="0" bIns="0" rtlCol="0"/>
                  </wps:wsp>
                </a:graphicData>
              </a:graphic>
            </wp:anchor>
          </w:drawing>
        </mc:Choice>
        <mc:Fallback>
          <w:pict>
            <v:shape id="_x0000_s2084" type="#_x0000_t202" style="width:65.4pt;height:13.7pt;margin-top:743.67pt;margin-left:474.06pt;mso-position-horizontal-relative:page;mso-position-vertical-relative:page;position:absolute;z-index:-251608064"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89</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709440"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57" name="Text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6" type="#_x0000_t202" style="width:131.3pt;height:13.7pt;margin-top:743.67pt;margin-left:78.22pt;mso-position-horizontal-relative:page;mso-position-vertical-relative:page;position:absolute;z-index:-251606016" filled="f" stroked="f">
              <v:textbox inset="0,0,0,0">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711488" behindDoc="1" locked="0" layoutInCell="1" allowOverlap="1">
              <wp:simplePos x="0" y="0"/>
              <wp:positionH relativeFrom="page">
                <wp:posOffset>5953505</wp:posOffset>
              </wp:positionH>
              <wp:positionV relativeFrom="page">
                <wp:posOffset>9444607</wp:posOffset>
              </wp:positionV>
              <wp:extent cx="897255" cy="173990"/>
              <wp:effectExtent l="0" t="0" r="0" b="0"/>
              <wp:wrapNone/>
              <wp:docPr id="58" name="Textbox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100</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wps:txbx>
                    <wps:bodyPr wrap="square" lIns="0" tIns="0" rIns="0" bIns="0" rtlCol="0"/>
                  </wps:wsp>
                </a:graphicData>
              </a:graphic>
            </wp:anchor>
          </w:drawing>
        </mc:Choice>
        <mc:Fallback>
          <w:pict>
            <v:shape id="_x0000_s2087" type="#_x0000_t202" style="width:70.65pt;height:13.7pt;margin-top:743.67pt;margin-left:468.78pt;mso-position-horizontal-relative:page;mso-position-vertical-relative:page;position:absolute;z-index:-251603968"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100</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713536"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60" name="Text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9" type="#_x0000_t202" style="width:131.3pt;height:13.7pt;margin-top:743.67pt;margin-left:78.22pt;mso-position-horizontal-relative:page;mso-position-vertical-relative:page;position:absolute;z-index:-251601920" filled="f" stroked="f">
              <v:textbox inset="0,0,0,0">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715584" behindDoc="1" locked="0" layoutInCell="1" allowOverlap="1">
              <wp:simplePos x="0" y="0"/>
              <wp:positionH relativeFrom="page">
                <wp:posOffset>5953505</wp:posOffset>
              </wp:positionH>
              <wp:positionV relativeFrom="page">
                <wp:posOffset>9444607</wp:posOffset>
              </wp:positionV>
              <wp:extent cx="897255" cy="173990"/>
              <wp:effectExtent l="0" t="0" r="0" b="0"/>
              <wp:wrapNone/>
              <wp:docPr id="61" name="Text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112</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wps:txbx>
                    <wps:bodyPr wrap="square" lIns="0" tIns="0" rIns="0" bIns="0" rtlCol="0"/>
                  </wps:wsp>
                </a:graphicData>
              </a:graphic>
            </wp:anchor>
          </w:drawing>
        </mc:Choice>
        <mc:Fallback>
          <w:pict>
            <v:shape id="_x0000_s2090" type="#_x0000_t202" style="width:70.65pt;height:13.7pt;margin-top:743.67pt;margin-left:468.78pt;mso-position-horizontal-relative:page;mso-position-vertical-relative:page;position:absolute;z-index:-251599872"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112</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717632"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63" name="Textbox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2" type="#_x0000_t202" style="width:131.3pt;height:13.7pt;margin-top:743.67pt;margin-left:78.22pt;mso-position-horizontal-relative:page;mso-position-vertical-relative:page;position:absolute;z-index:-251597824" filled="f" stroked="f">
              <v:textbox inset="0,0,0,0">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719680" behindDoc="1" locked="0" layoutInCell="1" allowOverlap="1">
              <wp:simplePos x="0" y="0"/>
              <wp:positionH relativeFrom="page">
                <wp:posOffset>5953505</wp:posOffset>
              </wp:positionH>
              <wp:positionV relativeFrom="page">
                <wp:posOffset>9444607</wp:posOffset>
              </wp:positionV>
              <wp:extent cx="897255" cy="173990"/>
              <wp:effectExtent l="0" t="0" r="0" b="0"/>
              <wp:wrapNone/>
              <wp:docPr id="64" name="Textbox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113</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wps:txbx>
                    <wps:bodyPr wrap="square" lIns="0" tIns="0" rIns="0" bIns="0" rtlCol="0"/>
                  </wps:wsp>
                </a:graphicData>
              </a:graphic>
            </wp:anchor>
          </w:drawing>
        </mc:Choice>
        <mc:Fallback>
          <w:pict>
            <v:shape id="_x0000_s2093" type="#_x0000_t202" style="width:70.65pt;height:13.7pt;margin-top:743.67pt;margin-left:468.78pt;mso-position-horizontal-relative:page;mso-position-vertical-relative:page;position:absolute;z-index:-251595776"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113</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721728"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66" name="Textbox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5" type="#_x0000_t202" style="width:131.3pt;height:13.7pt;margin-top:743.67pt;margin-left:78.22pt;mso-position-horizontal-relative:page;mso-position-vertical-relative:page;position:absolute;z-index:-251593728" filled="f" stroked="f">
              <v:textbox inset="0,0,0,0">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723776" behindDoc="1" locked="0" layoutInCell="1" allowOverlap="1">
              <wp:simplePos x="0" y="0"/>
              <wp:positionH relativeFrom="page">
                <wp:posOffset>5953505</wp:posOffset>
              </wp:positionH>
              <wp:positionV relativeFrom="page">
                <wp:posOffset>9444607</wp:posOffset>
              </wp:positionV>
              <wp:extent cx="897255" cy="173990"/>
              <wp:effectExtent l="0" t="0" r="0" b="0"/>
              <wp:wrapNone/>
              <wp:docPr id="67" name="Textbox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114</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wps:txbx>
                    <wps:bodyPr wrap="square" lIns="0" tIns="0" rIns="0" bIns="0" rtlCol="0"/>
                  </wps:wsp>
                </a:graphicData>
              </a:graphic>
            </wp:anchor>
          </w:drawing>
        </mc:Choice>
        <mc:Fallback>
          <w:pict>
            <v:shape id="_x0000_s2096" type="#_x0000_t202" style="width:70.65pt;height:13.7pt;margin-top:743.67pt;margin-left:468.78pt;mso-position-horizontal-relative:page;mso-position-vertical-relative:page;position:absolute;z-index:-251591680"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114</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725824"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69" name="Textbox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8" type="#_x0000_t202" style="width:131.3pt;height:13.7pt;margin-top:743.67pt;margin-left:78.22pt;mso-position-horizontal-relative:page;mso-position-vertical-relative:page;position:absolute;z-index:-251589632" filled="f" stroked="f">
              <v:textbox inset="0,0,0,0">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727872" behindDoc="1" locked="0" layoutInCell="1" allowOverlap="1">
              <wp:simplePos x="0" y="0"/>
              <wp:positionH relativeFrom="page">
                <wp:posOffset>5953505</wp:posOffset>
              </wp:positionH>
              <wp:positionV relativeFrom="page">
                <wp:posOffset>9444607</wp:posOffset>
              </wp:positionV>
              <wp:extent cx="897255" cy="173990"/>
              <wp:effectExtent l="0" t="0" r="0" b="0"/>
              <wp:wrapNone/>
              <wp:docPr id="70" name="Textbox 70"/>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151</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wps:txbx>
                    <wps:bodyPr wrap="square" lIns="0" tIns="0" rIns="0" bIns="0" rtlCol="0"/>
                  </wps:wsp>
                </a:graphicData>
              </a:graphic>
            </wp:anchor>
          </w:drawing>
        </mc:Choice>
        <mc:Fallback>
          <w:pict>
            <v:shape id="_x0000_s2099" type="#_x0000_t202" style="width:70.65pt;height:13.7pt;margin-top:743.67pt;margin-left:468.78pt;mso-position-horizontal-relative:page;mso-position-vertical-relative:page;position:absolute;z-index:-251587584"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151</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729920"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72" name="Textbox 7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101" type="#_x0000_t202" style="width:131.3pt;height:13.7pt;margin-top:743.67pt;margin-left:78.22pt;mso-position-horizontal-relative:page;mso-position-vertical-relative:page;position:absolute;z-index:-251585536" filled="f" stroked="f">
              <v:textbox inset="0,0,0,0">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731968" behindDoc="1" locked="0" layoutInCell="1" allowOverlap="1">
              <wp:simplePos x="0" y="0"/>
              <wp:positionH relativeFrom="page">
                <wp:posOffset>5953505</wp:posOffset>
              </wp:positionH>
              <wp:positionV relativeFrom="page">
                <wp:posOffset>9444607</wp:posOffset>
              </wp:positionV>
              <wp:extent cx="897255" cy="173990"/>
              <wp:effectExtent l="0" t="0" r="0" b="0"/>
              <wp:wrapNone/>
              <wp:docPr id="73" name="Textbox 73"/>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154</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wps:txbx>
                    <wps:bodyPr wrap="square" lIns="0" tIns="0" rIns="0" bIns="0" rtlCol="0"/>
                  </wps:wsp>
                </a:graphicData>
              </a:graphic>
            </wp:anchor>
          </w:drawing>
        </mc:Choice>
        <mc:Fallback>
          <w:pict>
            <v:shape id="_x0000_s2102" type="#_x0000_t202" style="width:70.65pt;height:13.7pt;margin-top:743.67pt;margin-left:468.78pt;mso-position-horizontal-relative:page;mso-position-vertical-relative:page;position:absolute;z-index:-251583488"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154</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60288"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0" type="#_x0000_t202" style="width:131.3pt;height:13.7pt;margin-top:743.67pt;margin-left:78.22pt;mso-position-horizontal-relative:page;mso-position-vertical-relative:page;position:absolute;z-index:-251655168" filled="f" stroked="f">
              <v:textbox inset="0,0,0,0">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662336" behindDoc="1" locked="0" layoutInCell="1" allowOverlap="1">
              <wp:simplePos x="0" y="0"/>
              <wp:positionH relativeFrom="page">
                <wp:posOffset>6086094</wp:posOffset>
              </wp:positionH>
              <wp:positionV relativeFrom="page">
                <wp:posOffset>9444607</wp:posOffset>
              </wp:positionV>
              <wp:extent cx="764540" cy="17399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Page 2</w:t>
                          </w:r>
                          <w:r>
                            <w:rPr>
                              <w:spacing w:val="-3"/>
                              <w:sz w:val="21"/>
                            </w:rPr>
                            <w:t xml:space="preserve"> </w:t>
                          </w:r>
                          <w:r>
                            <w:rPr>
                              <w:sz w:val="21"/>
                            </w:rPr>
                            <w:t>of</w:t>
                          </w:r>
                          <w:r>
                            <w:rPr>
                              <w:spacing w:val="-1"/>
                              <w:sz w:val="21"/>
                            </w:rPr>
                            <w:t xml:space="preserve"> </w:t>
                          </w:r>
                          <w:r>
                            <w:rPr>
                              <w:spacing w:val="-5"/>
                              <w:sz w:val="21"/>
                            </w:rPr>
                            <w:t>165</w:t>
                          </w:r>
                        </w:p>
                      </w:txbxContent>
                    </wps:txbx>
                    <wps:bodyPr wrap="square" lIns="0" tIns="0" rIns="0" bIns="0" rtlCol="0"/>
                  </wps:wsp>
                </a:graphicData>
              </a:graphic>
            </wp:anchor>
          </w:drawing>
        </mc:Choice>
        <mc:Fallback>
          <w:pict>
            <v:shape id="_x0000_s2051" type="#_x0000_t202" style="width:60.2pt;height:13.7pt;margin-top:743.67pt;margin-left:479.22pt;mso-position-horizontal-relative:page;mso-position-vertical-relative:page;position:absolute;z-index:-251653120" filled="f" stroked="f">
              <v:textbox inset="0,0,0,0">
                <w:txbxContent>
                  <w:p>
                    <w:pPr>
                      <w:spacing w:before="12"/>
                      <w:ind w:left="20" w:right="0" w:firstLine="0"/>
                      <w:jc w:val="left"/>
                      <w:rPr>
                        <w:sz w:val="21"/>
                      </w:rPr>
                    </w:pPr>
                    <w:r>
                      <w:rPr>
                        <w:sz w:val="21"/>
                      </w:rPr>
                      <w:t>Page 2</w:t>
                    </w:r>
                    <w:r>
                      <w:rPr>
                        <w:spacing w:val="-3"/>
                        <w:sz w:val="21"/>
                      </w:rPr>
                      <w:t xml:space="preserve"> </w:t>
                    </w:r>
                    <w:r>
                      <w:rPr>
                        <w:sz w:val="21"/>
                      </w:rPr>
                      <w:t>of</w:t>
                    </w:r>
                    <w:r>
                      <w:rPr>
                        <w:spacing w:val="-1"/>
                        <w:sz w:val="21"/>
                      </w:rPr>
                      <w:t xml:space="preserve"> </w:t>
                    </w:r>
                    <w:r>
                      <w:rPr>
                        <w:spacing w:val="-5"/>
                        <w:sz w:val="21"/>
                      </w:rPr>
                      <w:t>165</w:t>
                    </w:r>
                  </w:p>
                </w:txbxContent>
              </v:textbox>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734016"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76" name="Textbox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104" type="#_x0000_t202" style="width:131.3pt;height:13.7pt;margin-top:743.67pt;margin-left:78.22pt;mso-position-horizontal-relative:page;mso-position-vertical-relative:page;position:absolute;z-index:-251581440" filled="f" stroked="f">
              <v:textbox inset="0,0,0,0">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736064" behindDoc="1" locked="0" layoutInCell="1" allowOverlap="1">
              <wp:simplePos x="0" y="0"/>
              <wp:positionH relativeFrom="page">
                <wp:posOffset>5953505</wp:posOffset>
              </wp:positionH>
              <wp:positionV relativeFrom="page">
                <wp:posOffset>9444607</wp:posOffset>
              </wp:positionV>
              <wp:extent cx="897255" cy="173990"/>
              <wp:effectExtent l="0" t="0" r="0" b="0"/>
              <wp:wrapNone/>
              <wp:docPr id="77" name="Textbox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157</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wps:txbx>
                    <wps:bodyPr wrap="square" lIns="0" tIns="0" rIns="0" bIns="0" rtlCol="0"/>
                  </wps:wsp>
                </a:graphicData>
              </a:graphic>
            </wp:anchor>
          </w:drawing>
        </mc:Choice>
        <mc:Fallback>
          <w:pict>
            <v:shape id="_x0000_s2105" type="#_x0000_t202" style="width:70.65pt;height:13.7pt;margin-top:743.67pt;margin-left:468.78pt;mso-position-horizontal-relative:page;mso-position-vertical-relative:page;position:absolute;z-index:-251579392"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157</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v:textbox>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738112"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79" name="Textbox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107" type="#_x0000_t202" style="width:131.3pt;height:13.7pt;margin-top:743.67pt;margin-left:78.22pt;mso-position-horizontal-relative:page;mso-position-vertical-relative:page;position:absolute;z-index:-251577344" filled="f" stroked="f">
              <v:textbox inset="0,0,0,0">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740160" behindDoc="1" locked="0" layoutInCell="1" allowOverlap="1">
              <wp:simplePos x="0" y="0"/>
              <wp:positionH relativeFrom="page">
                <wp:posOffset>5953505</wp:posOffset>
              </wp:positionH>
              <wp:positionV relativeFrom="page">
                <wp:posOffset>9444607</wp:posOffset>
              </wp:positionV>
              <wp:extent cx="897255" cy="173990"/>
              <wp:effectExtent l="0" t="0" r="0" b="0"/>
              <wp:wrapNone/>
              <wp:docPr id="80" name="Textbox 80"/>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160</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wps:txbx>
                    <wps:bodyPr wrap="square" lIns="0" tIns="0" rIns="0" bIns="0" rtlCol="0"/>
                  </wps:wsp>
                </a:graphicData>
              </a:graphic>
            </wp:anchor>
          </w:drawing>
        </mc:Choice>
        <mc:Fallback>
          <w:pict>
            <v:shape id="_x0000_s2108" type="#_x0000_t202" style="width:70.65pt;height:13.7pt;margin-top:743.67pt;margin-left:468.78pt;mso-position-horizontal-relative:page;mso-position-vertical-relative:page;position:absolute;z-index:-251575296"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160</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742208"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82" name="Textbox 8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110" type="#_x0000_t202" style="width:131.3pt;height:13.7pt;margin-top:743.67pt;margin-left:78.22pt;mso-position-horizontal-relative:page;mso-position-vertical-relative:page;position:absolute;z-index:-251573248" filled="f" stroked="f">
              <v:textbox inset="0,0,0,0">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744256" behindDoc="1" locked="0" layoutInCell="1" allowOverlap="1">
              <wp:simplePos x="0" y="0"/>
              <wp:positionH relativeFrom="page">
                <wp:posOffset>5953505</wp:posOffset>
              </wp:positionH>
              <wp:positionV relativeFrom="page">
                <wp:posOffset>9444607</wp:posOffset>
              </wp:positionV>
              <wp:extent cx="897255" cy="173990"/>
              <wp:effectExtent l="0" t="0" r="0" b="0"/>
              <wp:wrapNone/>
              <wp:docPr id="83" name="Textbox 83"/>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161</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wps:txbx>
                    <wps:bodyPr wrap="square" lIns="0" tIns="0" rIns="0" bIns="0" rtlCol="0"/>
                  </wps:wsp>
                </a:graphicData>
              </a:graphic>
            </wp:anchor>
          </w:drawing>
        </mc:Choice>
        <mc:Fallback>
          <w:pict>
            <v:shape id="_x0000_s2111" type="#_x0000_t202" style="width:70.65pt;height:13.7pt;margin-top:743.67pt;margin-left:468.78pt;mso-position-horizontal-relative:page;mso-position-vertical-relative:page;position:absolute;z-index:-251571200"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161</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746304" behindDoc="1" locked="0" layoutInCell="1" allowOverlap="1">
              <wp:simplePos x="0" y="0"/>
              <wp:positionH relativeFrom="page">
                <wp:posOffset>1130604</wp:posOffset>
              </wp:positionH>
              <wp:positionV relativeFrom="page">
                <wp:posOffset>9352862</wp:posOffset>
              </wp:positionV>
              <wp:extent cx="1667510" cy="173990"/>
              <wp:effectExtent l="0" t="0" r="0" b="0"/>
              <wp:wrapNone/>
              <wp:docPr id="84" name="Textbox 8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112" type="#_x0000_t202" style="width:131.3pt;height:13.7pt;margin-top:736.45pt;margin-left:89.02pt;mso-position-horizontal-relative:page;mso-position-vertical-relative:page;position:absolute;z-index:-251569152" filled="f" stroked="f">
              <v:textbox inset="0,0,0,0">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748352" behindDoc="1" locked="0" layoutInCell="1" allowOverlap="1">
              <wp:simplePos x="0" y="0"/>
              <wp:positionH relativeFrom="page">
                <wp:posOffset>5747765</wp:posOffset>
              </wp:positionH>
              <wp:positionV relativeFrom="page">
                <wp:posOffset>9352862</wp:posOffset>
              </wp:positionV>
              <wp:extent cx="897255" cy="173990"/>
              <wp:effectExtent l="0" t="0" r="0" b="0"/>
              <wp:wrapNone/>
              <wp:docPr id="85" name="Textbox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73990"/>
                      </a:xfrm>
                      <a:prstGeom prst="rect">
                        <a:avLst/>
                      </a:prstGeom>
                    </wps:spPr>
                    <wps:txbx>
                      <w:txbxContent>
                        <w:p>
                          <w:pPr>
                            <w:spacing w:before="12"/>
                            <w:ind w:left="20" w:right="0" w:firstLine="0"/>
                            <w:jc w:val="left"/>
                            <w:rPr>
                              <w:sz w:val="21"/>
                            </w:rPr>
                          </w:pPr>
                          <w:r>
                            <w:rPr>
                              <w:sz w:val="21"/>
                            </w:rPr>
                            <w:t>Page</w:t>
                          </w:r>
                          <w:r>
                            <w:rPr>
                              <w:spacing w:val="-1"/>
                              <w:sz w:val="21"/>
                            </w:rPr>
                            <w:t xml:space="preserve"> </w:t>
                          </w:r>
                          <w:r>
                            <w:rPr>
                              <w:sz w:val="21"/>
                            </w:rPr>
                            <w:t>165</w:t>
                          </w:r>
                          <w:r>
                            <w:rPr>
                              <w:spacing w:val="-2"/>
                              <w:sz w:val="21"/>
                            </w:rPr>
                            <w:t xml:space="preserve"> </w:t>
                          </w:r>
                          <w:r>
                            <w:rPr>
                              <w:sz w:val="21"/>
                            </w:rPr>
                            <w:t>of</w:t>
                          </w:r>
                          <w:r>
                            <w:rPr>
                              <w:spacing w:val="-1"/>
                              <w:sz w:val="21"/>
                            </w:rPr>
                            <w:t xml:space="preserve"> </w:t>
                          </w:r>
                          <w:r>
                            <w:rPr>
                              <w:spacing w:val="-5"/>
                              <w:sz w:val="21"/>
                            </w:rPr>
                            <w:t>165</w:t>
                          </w:r>
                        </w:p>
                      </w:txbxContent>
                    </wps:txbx>
                    <wps:bodyPr wrap="square" lIns="0" tIns="0" rIns="0" bIns="0" rtlCol="0"/>
                  </wps:wsp>
                </a:graphicData>
              </a:graphic>
            </wp:anchor>
          </w:drawing>
        </mc:Choice>
        <mc:Fallback>
          <w:pict>
            <v:shape id="_x0000_s2113" type="#_x0000_t202" style="width:70.65pt;height:13.7pt;margin-top:736.45pt;margin-left:452.58pt;mso-position-horizontal-relative:page;mso-position-vertical-relative:page;position:absolute;z-index:-251567104" filled="f" stroked="f">
              <v:textbox inset="0,0,0,0">
                <w:txbxContent>
                  <w:p>
                    <w:pPr>
                      <w:spacing w:before="12"/>
                      <w:ind w:left="20" w:right="0" w:firstLine="0"/>
                      <w:jc w:val="left"/>
                      <w:rPr>
                        <w:sz w:val="21"/>
                      </w:rPr>
                    </w:pPr>
                    <w:r>
                      <w:rPr>
                        <w:sz w:val="21"/>
                      </w:rPr>
                      <w:t>Page</w:t>
                    </w:r>
                    <w:r>
                      <w:rPr>
                        <w:spacing w:val="-1"/>
                        <w:sz w:val="21"/>
                      </w:rPr>
                      <w:t xml:space="preserve"> </w:t>
                    </w:r>
                    <w:r>
                      <w:rPr>
                        <w:sz w:val="21"/>
                      </w:rPr>
                      <w:t>165</w:t>
                    </w:r>
                    <w:r>
                      <w:rPr>
                        <w:spacing w:val="-2"/>
                        <w:sz w:val="21"/>
                      </w:rPr>
                      <w:t xml:space="preserve"> </w:t>
                    </w:r>
                    <w:r>
                      <w:rPr>
                        <w:sz w:val="21"/>
                      </w:rPr>
                      <w:t>of</w:t>
                    </w:r>
                    <w:r>
                      <w:rPr>
                        <w:spacing w:val="-1"/>
                        <w:sz w:val="21"/>
                      </w:rPr>
                      <w:t xml:space="preserve"> </w:t>
                    </w:r>
                    <w:r>
                      <w:rPr>
                        <w:spacing w:val="-5"/>
                        <w:sz w:val="21"/>
                      </w:rPr>
                      <w:t>165</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64384"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3" type="#_x0000_t202" style="width:131.3pt;height:13.7pt;margin-top:743.67pt;margin-left:78.22pt;mso-position-horizontal-relative:page;mso-position-vertical-relative:page;position:absolute;z-index:-251651072" filled="f" stroked="f">
              <v:textbox inset="0,0,0,0">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666432" behindDoc="1" locked="0" layoutInCell="1" allowOverlap="1">
              <wp:simplePos x="0" y="0"/>
              <wp:positionH relativeFrom="page">
                <wp:posOffset>6086094</wp:posOffset>
              </wp:positionH>
              <wp:positionV relativeFrom="page">
                <wp:posOffset>9444607</wp:posOffset>
              </wp:positionV>
              <wp:extent cx="764540" cy="17399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w:t>
                          </w:r>
                          <w:r>
                            <w:rPr>
                              <w:sz w:val="21"/>
                            </w:rPr>
                            <w:fldChar w:fldCharType="end"/>
                          </w:r>
                          <w:r>
                            <w:rPr>
                              <w:spacing w:val="-3"/>
                              <w:sz w:val="21"/>
                            </w:rPr>
                            <w:t xml:space="preserve"> </w:t>
                          </w:r>
                          <w:r>
                            <w:rPr>
                              <w:sz w:val="21"/>
                            </w:rPr>
                            <w:t>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wps:txbx>
                    <wps:bodyPr wrap="square" lIns="0" tIns="0" rIns="0" bIns="0" rtlCol="0"/>
                  </wps:wsp>
                </a:graphicData>
              </a:graphic>
            </wp:anchor>
          </w:drawing>
        </mc:Choice>
        <mc:Fallback>
          <w:pict>
            <v:shape id="_x0000_s2054" type="#_x0000_t202" style="width:60.2pt;height:13.7pt;margin-top:743.67pt;margin-left:479.22pt;mso-position-horizontal-relative:page;mso-position-vertical-relative:page;position:absolute;z-index:-251649024"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w:t>
                    </w:r>
                    <w:r>
                      <w:rPr>
                        <w:sz w:val="21"/>
                      </w:rPr>
                      <w:fldChar w:fldCharType="end"/>
                    </w:r>
                    <w:r>
                      <w:rPr>
                        <w:spacing w:val="-3"/>
                        <w:sz w:val="21"/>
                      </w:rPr>
                      <w:t xml:space="preserve"> </w:t>
                    </w:r>
                    <w:r>
                      <w:rPr>
                        <w:sz w:val="21"/>
                      </w:rPr>
                      <w:t>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68480"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6" type="#_x0000_t202" style="width:131.3pt;height:13.7pt;margin-top:743.67pt;margin-left:78.22pt;mso-position-horizontal-relative:page;mso-position-vertical-relative:page;position:absolute;z-index:-251646976" filled="f" stroked="f">
              <v:textbox inset="0,0,0,0">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670528" behindDoc="1" locked="0" layoutInCell="1" allowOverlap="1">
              <wp:simplePos x="0" y="0"/>
              <wp:positionH relativeFrom="page">
                <wp:posOffset>6020561</wp:posOffset>
              </wp:positionH>
              <wp:positionV relativeFrom="page">
                <wp:posOffset>9444607</wp:posOffset>
              </wp:positionV>
              <wp:extent cx="830580" cy="17399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83058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10</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wps:txbx>
                    <wps:bodyPr wrap="square" lIns="0" tIns="0" rIns="0" bIns="0" rtlCol="0"/>
                  </wps:wsp>
                </a:graphicData>
              </a:graphic>
            </wp:anchor>
          </w:drawing>
        </mc:Choice>
        <mc:Fallback>
          <w:pict>
            <v:shape id="_x0000_s2057" type="#_x0000_t202" style="width:65.4pt;height:13.7pt;margin-top:743.67pt;margin-left:474.06pt;mso-position-horizontal-relative:page;mso-position-vertical-relative:page;position:absolute;z-index:-251644928"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10</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72576"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9" type="#_x0000_t202" style="width:131.3pt;height:13.7pt;margin-top:743.67pt;margin-left:78.22pt;mso-position-horizontal-relative:page;mso-position-vertical-relative:page;position:absolute;z-index:-251642880" filled="f" stroked="f">
              <v:textbox inset="0,0,0,0">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674624" behindDoc="1" locked="0" layoutInCell="1" allowOverlap="1">
              <wp:simplePos x="0" y="0"/>
              <wp:positionH relativeFrom="page">
                <wp:posOffset>6020561</wp:posOffset>
              </wp:positionH>
              <wp:positionV relativeFrom="page">
                <wp:posOffset>9444607</wp:posOffset>
              </wp:positionV>
              <wp:extent cx="830580" cy="173990"/>
              <wp:effectExtent l="0" t="0" r="0" b="0"/>
              <wp:wrapNone/>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83058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41</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wps:txbx>
                    <wps:bodyPr wrap="square" lIns="0" tIns="0" rIns="0" bIns="0" rtlCol="0"/>
                  </wps:wsp>
                </a:graphicData>
              </a:graphic>
            </wp:anchor>
          </w:drawing>
        </mc:Choice>
        <mc:Fallback>
          <w:pict>
            <v:shape id="_x0000_s2060" type="#_x0000_t202" style="width:65.4pt;height:13.7pt;margin-top:743.67pt;margin-left:474.06pt;mso-position-horizontal-relative:page;mso-position-vertical-relative:page;position:absolute;z-index:-251640832"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41</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76672"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2" type="#_x0000_t202" style="width:131.3pt;height:13.7pt;margin-top:743.67pt;margin-left:78.22pt;mso-position-horizontal-relative:page;mso-position-vertical-relative:page;position:absolute;z-index:-251638784" filled="f" stroked="f">
              <v:textbox inset="0,0,0,0">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678720" behindDoc="1" locked="0" layoutInCell="1" allowOverlap="1">
              <wp:simplePos x="0" y="0"/>
              <wp:positionH relativeFrom="page">
                <wp:posOffset>6020561</wp:posOffset>
              </wp:positionH>
              <wp:positionV relativeFrom="page">
                <wp:posOffset>9444607</wp:posOffset>
              </wp:positionV>
              <wp:extent cx="830580" cy="173990"/>
              <wp:effectExtent l="0" t="0" r="0" b="0"/>
              <wp:wrapNone/>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83058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42</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wps:txbx>
                    <wps:bodyPr wrap="square" lIns="0" tIns="0" rIns="0" bIns="0" rtlCol="0"/>
                  </wps:wsp>
                </a:graphicData>
              </a:graphic>
            </wp:anchor>
          </w:drawing>
        </mc:Choice>
        <mc:Fallback>
          <w:pict>
            <v:shape id="_x0000_s2063" type="#_x0000_t202" style="width:65.4pt;height:13.7pt;margin-top:743.67pt;margin-left:474.06pt;mso-position-horizontal-relative:page;mso-position-vertical-relative:page;position:absolute;z-index:-251636736"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42</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80768"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5" type="#_x0000_t202" style="width:131.3pt;height:13.7pt;margin-top:743.67pt;margin-left:78.22pt;mso-position-horizontal-relative:page;mso-position-vertical-relative:page;position:absolute;z-index:-251634688" filled="f" stroked="f">
              <v:textbox inset="0,0,0,0">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682816" behindDoc="1" locked="0" layoutInCell="1" allowOverlap="1">
              <wp:simplePos x="0" y="0"/>
              <wp:positionH relativeFrom="page">
                <wp:posOffset>6020561</wp:posOffset>
              </wp:positionH>
              <wp:positionV relativeFrom="page">
                <wp:posOffset>9444607</wp:posOffset>
              </wp:positionV>
              <wp:extent cx="830580" cy="173990"/>
              <wp:effectExtent l="0" t="0" r="0" b="0"/>
              <wp:wrapNone/>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83058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53</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wps:txbx>
                    <wps:bodyPr wrap="square" lIns="0" tIns="0" rIns="0" bIns="0" rtlCol="0"/>
                  </wps:wsp>
                </a:graphicData>
              </a:graphic>
            </wp:anchor>
          </w:drawing>
        </mc:Choice>
        <mc:Fallback>
          <w:pict>
            <v:shape id="_x0000_s2066" type="#_x0000_t202" style="width:65.4pt;height:13.7pt;margin-top:743.67pt;margin-left:474.06pt;mso-position-horizontal-relative:page;mso-position-vertical-relative:page;position:absolute;z-index:-251632640"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53</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84864"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38" name="Text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8" type="#_x0000_t202" style="width:131.3pt;height:13.7pt;margin-top:743.67pt;margin-left:78.22pt;mso-position-horizontal-relative:page;mso-position-vertical-relative:page;position:absolute;z-index:-251630592" filled="f" stroked="f">
              <v:textbox inset="0,0,0,0">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686912" behindDoc="1" locked="0" layoutInCell="1" allowOverlap="1">
              <wp:simplePos x="0" y="0"/>
              <wp:positionH relativeFrom="page">
                <wp:posOffset>6020561</wp:posOffset>
              </wp:positionH>
              <wp:positionV relativeFrom="page">
                <wp:posOffset>9444607</wp:posOffset>
              </wp:positionV>
              <wp:extent cx="830580" cy="173990"/>
              <wp:effectExtent l="0" t="0" r="0" b="0"/>
              <wp:wrapNone/>
              <wp:docPr id="39" name="Text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83058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56</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wps:txbx>
                    <wps:bodyPr wrap="square" lIns="0" tIns="0" rIns="0" bIns="0" rtlCol="0"/>
                  </wps:wsp>
                </a:graphicData>
              </a:graphic>
            </wp:anchor>
          </w:drawing>
        </mc:Choice>
        <mc:Fallback>
          <w:pict>
            <v:shape id="_x0000_s2069" type="#_x0000_t202" style="width:65.4pt;height:13.7pt;margin-top:743.67pt;margin-left:474.06pt;mso-position-horizontal-relative:page;mso-position-vertical-relative:page;position:absolute;z-index:-251628544"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56</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88960" behindDoc="1" locked="0" layoutInCell="1" allowOverlap="1">
              <wp:simplePos x="0" y="0"/>
              <wp:positionH relativeFrom="page">
                <wp:posOffset>993444</wp:posOffset>
              </wp:positionH>
              <wp:positionV relativeFrom="page">
                <wp:posOffset>9444607</wp:posOffset>
              </wp:positionV>
              <wp:extent cx="1667510" cy="173990"/>
              <wp:effectExtent l="0" t="0" r="0" b="0"/>
              <wp:wrapNone/>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73990"/>
                      </a:xfrm>
                      <a:prstGeom prst="rect">
                        <a:avLst/>
                      </a:prstGeom>
                    </wps:spPr>
                    <wps:txbx>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1" type="#_x0000_t202" style="width:131.3pt;height:13.7pt;margin-top:743.67pt;margin-left:78.22pt;mso-position-horizontal-relative:page;mso-position-vertical-relative:page;position:absolute;z-index:-251626496" filled="f" stroked="f">
              <v:textbox inset="0,0,0,0">
                <w:txbxContent>
                  <w:p>
                    <w:pPr>
                      <w:spacing w:before="12"/>
                      <w:ind w:left="20" w:right="0" w:firstLine="0"/>
                      <w:jc w:val="left"/>
                      <w:rPr>
                        <w:sz w:val="21"/>
                      </w:rPr>
                    </w:pPr>
                    <w:r>
                      <w:rPr>
                        <w:sz w:val="21"/>
                      </w:rPr>
                      <w:t>CY2027</w:t>
                    </w:r>
                    <w:r>
                      <w:rPr>
                        <w:spacing w:val="-6"/>
                        <w:sz w:val="21"/>
                      </w:rPr>
                      <w:t xml:space="preserve"> </w:t>
                    </w:r>
                    <w:r>
                      <w:rPr>
                        <w:sz w:val="21"/>
                      </w:rPr>
                      <w:t>MA</w:t>
                    </w:r>
                    <w:r>
                      <w:rPr>
                        <w:spacing w:val="-1"/>
                        <w:sz w:val="21"/>
                      </w:rPr>
                      <w:t xml:space="preserve"> </w:t>
                    </w:r>
                    <w:r>
                      <w:rPr>
                        <w:sz w:val="21"/>
                      </w:rPr>
                      <w:t>BPT</w:t>
                    </w:r>
                    <w:r>
                      <w:rPr>
                        <w:spacing w:val="-1"/>
                        <w:sz w:val="21"/>
                      </w:rPr>
                      <w:t xml:space="preserve"> </w:t>
                    </w:r>
                    <w:r>
                      <w:rPr>
                        <w:spacing w:val="-2"/>
                        <w:sz w:val="21"/>
                      </w:rPr>
                      <w:t>Instructions</w:t>
                    </w:r>
                  </w:p>
                </w:txbxContent>
              </v:textbox>
            </v:shape>
          </w:pict>
        </mc:Fallback>
      </mc:AlternateContent>
    </w:r>
    <w:r>
      <w:rPr>
        <w:sz w:val="20"/>
      </w:rPr>
      <mc:AlternateContent>
        <mc:Choice Requires="wps">
          <w:drawing>
            <wp:anchor distT="0" distB="0" distL="0" distR="0" simplePos="0" relativeHeight="251691008" behindDoc="1" locked="0" layoutInCell="1" allowOverlap="1">
              <wp:simplePos x="0" y="0"/>
              <wp:positionH relativeFrom="page">
                <wp:posOffset>6020561</wp:posOffset>
              </wp:positionH>
              <wp:positionV relativeFrom="page">
                <wp:posOffset>9444607</wp:posOffset>
              </wp:positionV>
              <wp:extent cx="830580" cy="173990"/>
              <wp:effectExtent l="0" t="0" r="0" b="0"/>
              <wp:wrapNone/>
              <wp:docPr id="42"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83058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65</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wps:txbx>
                    <wps:bodyPr wrap="square" lIns="0" tIns="0" rIns="0" bIns="0" rtlCol="0"/>
                  </wps:wsp>
                </a:graphicData>
              </a:graphic>
            </wp:anchor>
          </w:drawing>
        </mc:Choice>
        <mc:Fallback>
          <w:pict>
            <v:shape id="_x0000_s2072" type="#_x0000_t202" style="width:65.4pt;height:13.7pt;margin-top:743.67pt;margin-left:474.06pt;mso-position-horizontal-relative:page;mso-position-vertical-relative:page;position:absolute;z-index:-251624448"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65</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165</w:t>
                    </w:r>
                    <w:r>
                      <w:rPr>
                        <w:spacing w:val="-5"/>
                        <w:sz w:val="21"/>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58240" behindDoc="1" locked="0" layoutInCell="1" allowOverlap="1">
              <wp:simplePos x="0" y="0"/>
              <wp:positionH relativeFrom="page">
                <wp:posOffset>5775197</wp:posOffset>
              </wp:positionH>
              <wp:positionV relativeFrom="page">
                <wp:posOffset>448637</wp:posOffset>
              </wp:positionV>
              <wp:extent cx="1098550" cy="18224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8550" cy="182245"/>
                      </a:xfrm>
                      <a:prstGeom prst="rect">
                        <a:avLst/>
                      </a:prstGeom>
                    </wps:spPr>
                    <wps:txbx>
                      <w:txbxContent>
                        <w:p>
                          <w:pPr>
                            <w:spacing w:before="13"/>
                            <w:ind w:left="20" w:right="0" w:firstLine="0"/>
                            <w:jc w:val="left"/>
                            <w:rPr>
                              <w:rFonts w:ascii="Arial"/>
                              <w:b/>
                              <w:sz w:val="22"/>
                            </w:rPr>
                          </w:pPr>
                          <w:r>
                            <w:rPr>
                              <w:rFonts w:ascii="Arial"/>
                              <w:b/>
                              <w:spacing w:val="-2"/>
                              <w:sz w:val="22"/>
                            </w:rPr>
                            <w:t>INTRODUCTION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2" type="#_x0000_t202" style="width:86.5pt;height:14.35pt;margin-top:35.33pt;margin-left:454.74pt;mso-position-horizontal-relative:page;mso-position-vertical-relative:page;position:absolute;z-index:-251657216" filled="f" stroked="f">
              <v:textbox inset="0,0,0,0">
                <w:txbxContent>
                  <w:p>
                    <w:pPr>
                      <w:spacing w:before="13"/>
                      <w:ind w:left="20" w:right="0" w:firstLine="0"/>
                      <w:jc w:val="left"/>
                      <w:rPr>
                        <w:rFonts w:ascii="Arial"/>
                        <w:b/>
                        <w:sz w:val="22"/>
                      </w:rPr>
                    </w:pPr>
                    <w:r>
                      <w:rPr>
                        <w:rFonts w:ascii="Arial"/>
                        <w:b/>
                        <w:spacing w:val="-2"/>
                        <w:sz w:val="22"/>
                      </w:rPr>
                      <w:t>INTRODUCTION</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76672" behindDoc="1" locked="0" layoutInCell="1" allowOverlap="1">
              <wp:simplePos x="0" y="0"/>
              <wp:positionH relativeFrom="page">
                <wp:posOffset>5822441</wp:posOffset>
              </wp:positionH>
              <wp:positionV relativeFrom="page">
                <wp:posOffset>448637</wp:posOffset>
              </wp:positionV>
              <wp:extent cx="1051560" cy="182245"/>
              <wp:effectExtent l="0" t="0" r="0" b="0"/>
              <wp:wrapNone/>
              <wp:docPr id="49" name="Text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1560"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9" type="#_x0000_t202" style="width:82.8pt;height:14.35pt;margin-top:35.33pt;margin-left:458.46pt;mso-position-horizontal-relative:page;mso-position-vertical-relative:page;position:absolute;z-index:-251638784"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7</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78720" behindDoc="1" locked="0" layoutInCell="1" allowOverlap="1">
              <wp:simplePos x="0" y="0"/>
              <wp:positionH relativeFrom="page">
                <wp:posOffset>5993129</wp:posOffset>
              </wp:positionH>
              <wp:positionV relativeFrom="page">
                <wp:posOffset>448637</wp:posOffset>
              </wp:positionV>
              <wp:extent cx="880110" cy="182245"/>
              <wp:effectExtent l="0" t="0" r="0" b="0"/>
              <wp:wrapNone/>
              <wp:docPr id="52" name="Text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110"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8"/>
                              <w:sz w:val="22"/>
                            </w:rPr>
                            <w:t xml:space="preserve"> </w:t>
                          </w:r>
                          <w:r>
                            <w:rPr>
                              <w:rFonts w:ascii="Arial"/>
                              <w:b/>
                              <w:spacing w:val="-10"/>
                              <w:sz w:val="22"/>
                            </w:rPr>
                            <w:t>A</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2" type="#_x0000_t202" style="width:69.3pt;height:14.35pt;margin-top:35.33pt;margin-left:471.9pt;mso-position-horizontal-relative:page;mso-position-vertical-relative:page;position:absolute;z-index:-251636736" filled="f" stroked="f">
              <v:textbox inset="0,0,0,0">
                <w:txbxContent>
                  <w:p>
                    <w:pPr>
                      <w:spacing w:before="13"/>
                      <w:ind w:left="20" w:right="0" w:firstLine="0"/>
                      <w:jc w:val="left"/>
                      <w:rPr>
                        <w:rFonts w:ascii="Arial"/>
                        <w:b/>
                        <w:sz w:val="22"/>
                      </w:rPr>
                    </w:pPr>
                    <w:r>
                      <w:rPr>
                        <w:rFonts w:ascii="Arial"/>
                        <w:b/>
                        <w:sz w:val="22"/>
                      </w:rPr>
                      <w:t>APPENDIX</w:t>
                    </w:r>
                    <w:r>
                      <w:rPr>
                        <w:rFonts w:ascii="Arial"/>
                        <w:b/>
                        <w:spacing w:val="-8"/>
                        <w:sz w:val="22"/>
                      </w:rPr>
                      <w:t xml:space="preserve"> </w:t>
                    </w:r>
                    <w:r>
                      <w:rPr>
                        <w:rFonts w:ascii="Arial"/>
                        <w:b/>
                        <w:spacing w:val="-10"/>
                        <w:sz w:val="22"/>
                      </w:rPr>
                      <w:t>A</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80768" behindDoc="1" locked="0" layoutInCell="1" allowOverlap="1">
              <wp:simplePos x="0" y="0"/>
              <wp:positionH relativeFrom="page">
                <wp:posOffset>5993129</wp:posOffset>
              </wp:positionH>
              <wp:positionV relativeFrom="page">
                <wp:posOffset>448637</wp:posOffset>
              </wp:positionV>
              <wp:extent cx="881380" cy="182245"/>
              <wp:effectExtent l="0" t="0" r="0" b="0"/>
              <wp:wrapNone/>
              <wp:docPr id="56" name="Text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881380"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B</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5" type="#_x0000_t202" style="width:69.4pt;height:14.35pt;margin-top:35.33pt;margin-left:471.9pt;mso-position-horizontal-relative:page;mso-position-vertical-relative:page;position:absolute;z-index:-251634688" filled="f" stroked="f">
              <v:textbox inset="0,0,0,0">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B</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82816" behindDoc="1" locked="0" layoutInCell="1" allowOverlap="1">
              <wp:simplePos x="0" y="0"/>
              <wp:positionH relativeFrom="page">
                <wp:posOffset>5993129</wp:posOffset>
              </wp:positionH>
              <wp:positionV relativeFrom="page">
                <wp:posOffset>448637</wp:posOffset>
              </wp:positionV>
              <wp:extent cx="881380" cy="182245"/>
              <wp:effectExtent l="0" t="0" r="0" b="0"/>
              <wp:wrapNone/>
              <wp:docPr id="59" name="Text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881380"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C</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8" type="#_x0000_t202" style="width:69.4pt;height:14.35pt;margin-top:35.33pt;margin-left:471.9pt;mso-position-horizontal-relative:page;mso-position-vertical-relative:page;position:absolute;z-index:-251632640" filled="f" stroked="f">
              <v:textbox inset="0,0,0,0">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C</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84864" behindDoc="1" locked="0" layoutInCell="1" allowOverlap="1">
              <wp:simplePos x="0" y="0"/>
              <wp:positionH relativeFrom="page">
                <wp:posOffset>5993129</wp:posOffset>
              </wp:positionH>
              <wp:positionV relativeFrom="page">
                <wp:posOffset>448637</wp:posOffset>
              </wp:positionV>
              <wp:extent cx="881380" cy="182245"/>
              <wp:effectExtent l="0" t="0" r="0" b="0"/>
              <wp:wrapNone/>
              <wp:docPr id="62" name="Text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881380"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1" type="#_x0000_t202" style="width:69.4pt;height:14.35pt;margin-top:35.33pt;margin-left:471.9pt;mso-position-horizontal-relative:page;mso-position-vertical-relative:page;position:absolute;z-index:-251630592" filled="f" stroked="f">
              <v:textbox inset="0,0,0,0">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D</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86912" behindDoc="1" locked="0" layoutInCell="1" allowOverlap="1">
              <wp:simplePos x="0" y="0"/>
              <wp:positionH relativeFrom="page">
                <wp:posOffset>6000750</wp:posOffset>
              </wp:positionH>
              <wp:positionV relativeFrom="page">
                <wp:posOffset>448637</wp:posOffset>
              </wp:positionV>
              <wp:extent cx="873760" cy="182245"/>
              <wp:effectExtent l="0" t="0" r="0" b="0"/>
              <wp:wrapNone/>
              <wp:docPr id="65" name="Textbox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873760"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4" type="#_x0000_t202" style="width:68.8pt;height:14.35pt;margin-top:35.33pt;margin-left:472.5pt;mso-position-horizontal-relative:page;mso-position-vertical-relative:page;position:absolute;z-index:-251628544" filled="f" stroked="f">
              <v:textbox inset="0,0,0,0">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E</w:t>
                    </w: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88960" behindDoc="1" locked="0" layoutInCell="1" allowOverlap="1">
              <wp:simplePos x="0" y="0"/>
              <wp:positionH relativeFrom="page">
                <wp:posOffset>6008370</wp:posOffset>
              </wp:positionH>
              <wp:positionV relativeFrom="page">
                <wp:posOffset>448637</wp:posOffset>
              </wp:positionV>
              <wp:extent cx="865505" cy="182245"/>
              <wp:effectExtent l="0" t="0" r="0" b="0"/>
              <wp:wrapNone/>
              <wp:docPr id="68" name="Textbox 68"/>
              <wp:cNvGraphicFramePr/>
              <a:graphic xmlns:a="http://schemas.openxmlformats.org/drawingml/2006/main">
                <a:graphicData uri="http://schemas.microsoft.com/office/word/2010/wordprocessingShape">
                  <wps:wsp xmlns:wps="http://schemas.microsoft.com/office/word/2010/wordprocessingShape">
                    <wps:cNvSpPr txBox="1"/>
                    <wps:spPr>
                      <a:xfrm>
                        <a:off x="0" y="0"/>
                        <a:ext cx="865505"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F</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7" type="#_x0000_t202" style="width:68.15pt;height:14.35pt;margin-top:35.33pt;margin-left:473.1pt;mso-position-horizontal-relative:page;mso-position-vertical-relative:page;position:absolute;z-index:-251626496" filled="f" stroked="f">
              <v:textbox inset="0,0,0,0">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F</w:t>
                    </w:r>
                  </w:p>
                </w:txbxContent>
              </v:textbox>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91008" behindDoc="1" locked="0" layoutInCell="1" allowOverlap="1">
              <wp:simplePos x="0" y="0"/>
              <wp:positionH relativeFrom="page">
                <wp:posOffset>5985509</wp:posOffset>
              </wp:positionH>
              <wp:positionV relativeFrom="page">
                <wp:posOffset>448637</wp:posOffset>
              </wp:positionV>
              <wp:extent cx="887730" cy="182245"/>
              <wp:effectExtent l="0" t="0" r="0" b="0"/>
              <wp:wrapNone/>
              <wp:docPr id="71" name="Textbox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887730"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8"/>
                              <w:sz w:val="22"/>
                            </w:rPr>
                            <w:t xml:space="preserve"> </w:t>
                          </w:r>
                          <w:r>
                            <w:rPr>
                              <w:rFonts w:ascii="Arial"/>
                              <w:b/>
                              <w:spacing w:val="-10"/>
                              <w:sz w:val="22"/>
                            </w:rPr>
                            <w:t>G</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100" type="#_x0000_t202" style="width:69.9pt;height:14.35pt;margin-top:35.33pt;margin-left:471.3pt;mso-position-horizontal-relative:page;mso-position-vertical-relative:page;position:absolute;z-index:-251624448" filled="f" stroked="f">
              <v:textbox inset="0,0,0,0">
                <w:txbxContent>
                  <w:p>
                    <w:pPr>
                      <w:spacing w:before="13"/>
                      <w:ind w:left="20" w:right="0" w:firstLine="0"/>
                      <w:jc w:val="left"/>
                      <w:rPr>
                        <w:rFonts w:ascii="Arial"/>
                        <w:b/>
                        <w:sz w:val="22"/>
                      </w:rPr>
                    </w:pPr>
                    <w:r>
                      <w:rPr>
                        <w:rFonts w:ascii="Arial"/>
                        <w:b/>
                        <w:sz w:val="22"/>
                      </w:rPr>
                      <w:t>APPENDIX</w:t>
                    </w:r>
                    <w:r>
                      <w:rPr>
                        <w:rFonts w:ascii="Arial"/>
                        <w:b/>
                        <w:spacing w:val="-8"/>
                        <w:sz w:val="22"/>
                      </w:rPr>
                      <w:t xml:space="preserve"> </w:t>
                    </w:r>
                    <w:r>
                      <w:rPr>
                        <w:rFonts w:ascii="Arial"/>
                        <w:b/>
                        <w:spacing w:val="-10"/>
                        <w:sz w:val="22"/>
                      </w:rPr>
                      <w:t>G</w:t>
                    </w:r>
                  </w:p>
                </w:txbxContent>
              </v:textbox>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93056" behindDoc="1" locked="0" layoutInCell="1" allowOverlap="1">
              <wp:simplePos x="0" y="0"/>
              <wp:positionH relativeFrom="page">
                <wp:posOffset>5993129</wp:posOffset>
              </wp:positionH>
              <wp:positionV relativeFrom="page">
                <wp:posOffset>448637</wp:posOffset>
              </wp:positionV>
              <wp:extent cx="881380" cy="182245"/>
              <wp:effectExtent l="0" t="0" r="0" b="0"/>
              <wp:wrapNone/>
              <wp:docPr id="75" name="Textbox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881380"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H</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103" type="#_x0000_t202" style="width:69.4pt;height:14.35pt;margin-top:35.33pt;margin-left:471.9pt;mso-position-horizontal-relative:page;mso-position-vertical-relative:page;position:absolute;z-index:-251622400" filled="f" stroked="f">
              <v:textbox inset="0,0,0,0">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H</w:t>
                    </w:r>
                  </w:p>
                </w:txbxContent>
              </v:textbox>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95104" behindDoc="1" locked="0" layoutInCell="1" allowOverlap="1">
              <wp:simplePos x="0" y="0"/>
              <wp:positionH relativeFrom="page">
                <wp:posOffset>6168390</wp:posOffset>
              </wp:positionH>
              <wp:positionV relativeFrom="page">
                <wp:posOffset>448637</wp:posOffset>
              </wp:positionV>
              <wp:extent cx="819150" cy="182245"/>
              <wp:effectExtent l="0" t="0" r="0" b="0"/>
              <wp:wrapNone/>
              <wp:docPr id="78" name="Textbox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819150"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2"/>
                              <w:sz w:val="22"/>
                            </w:rPr>
                            <w:t>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106" type="#_x0000_t202" style="width:64.5pt;height:14.35pt;margin-top:35.33pt;margin-left:485.7pt;mso-position-horizontal-relative:page;mso-position-vertical-relative:page;position:absolute;z-index:-251620352" filled="f" stroked="f">
              <v:textbox inset="0,0,0,0">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2"/>
                        <w:sz w:val="22"/>
                      </w:rPr>
                      <w:t>I</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60288" behindDoc="1" locked="0" layoutInCell="1" allowOverlap="1">
              <wp:simplePos x="0" y="0"/>
              <wp:positionH relativeFrom="page">
                <wp:posOffset>4959477</wp:posOffset>
              </wp:positionH>
              <wp:positionV relativeFrom="page">
                <wp:posOffset>448637</wp:posOffset>
              </wp:positionV>
              <wp:extent cx="1913255" cy="182245"/>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3255" cy="182245"/>
                      </a:xfrm>
                      <a:prstGeom prst="rect">
                        <a:avLst/>
                      </a:prstGeom>
                    </wps:spPr>
                    <wps:txbx>
                      <w:txbxContent>
                        <w:p>
                          <w:pPr>
                            <w:spacing w:before="13"/>
                            <w:ind w:left="20" w:right="0" w:firstLine="0"/>
                            <w:jc w:val="left"/>
                            <w:rPr>
                              <w:rFonts w:ascii="Arial"/>
                              <w:b/>
                              <w:sz w:val="22"/>
                            </w:rPr>
                          </w:pPr>
                          <w:r>
                            <w:rPr>
                              <w:rFonts w:ascii="Arial"/>
                              <w:b/>
                              <w:sz w:val="22"/>
                            </w:rPr>
                            <w:t>PRICING</w:t>
                          </w:r>
                          <w:r>
                            <w:rPr>
                              <w:rFonts w:ascii="Arial"/>
                              <w:b/>
                              <w:spacing w:val="-8"/>
                              <w:sz w:val="22"/>
                            </w:rPr>
                            <w:t xml:space="preserve"> </w:t>
                          </w:r>
                          <w:r>
                            <w:rPr>
                              <w:rFonts w:ascii="Arial"/>
                              <w:b/>
                              <w:spacing w:val="-2"/>
                              <w:sz w:val="22"/>
                            </w:rPr>
                            <w:t>CONSIDERATIONS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5" type="#_x0000_t202" style="width:150.65pt;height:14.35pt;margin-top:35.33pt;margin-left:390.51pt;mso-position-horizontal-relative:page;mso-position-vertical-relative:page;position:absolute;z-index:-251655168" filled="f" stroked="f">
              <v:textbox inset="0,0,0,0">
                <w:txbxContent>
                  <w:p>
                    <w:pPr>
                      <w:spacing w:before="13"/>
                      <w:ind w:left="20" w:right="0" w:firstLine="0"/>
                      <w:jc w:val="left"/>
                      <w:rPr>
                        <w:rFonts w:ascii="Arial"/>
                        <w:b/>
                        <w:sz w:val="22"/>
                      </w:rPr>
                    </w:pPr>
                    <w:r>
                      <w:rPr>
                        <w:rFonts w:ascii="Arial"/>
                        <w:b/>
                        <w:sz w:val="22"/>
                      </w:rPr>
                      <w:t>PRICING</w:t>
                    </w:r>
                    <w:r>
                      <w:rPr>
                        <w:rFonts w:ascii="Arial"/>
                        <w:b/>
                        <w:spacing w:val="-8"/>
                        <w:sz w:val="22"/>
                      </w:rPr>
                      <w:t xml:space="preserve"> </w:t>
                    </w:r>
                    <w:r>
                      <w:rPr>
                        <w:rFonts w:ascii="Arial"/>
                        <w:b/>
                        <w:spacing w:val="-2"/>
                        <w:sz w:val="22"/>
                      </w:rPr>
                      <w:t>CONSIDERATIONS</w:t>
                    </w:r>
                  </w:p>
                </w:txbxContent>
              </v:textbox>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97152" behindDoc="1" locked="0" layoutInCell="1" allowOverlap="1">
              <wp:simplePos x="0" y="0"/>
              <wp:positionH relativeFrom="page">
                <wp:posOffset>6130290</wp:posOffset>
              </wp:positionH>
              <wp:positionV relativeFrom="page">
                <wp:posOffset>448637</wp:posOffset>
              </wp:positionV>
              <wp:extent cx="857885" cy="182245"/>
              <wp:effectExtent l="0" t="0" r="0" b="0"/>
              <wp:wrapNone/>
              <wp:docPr id="81" name="Textbox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J</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109" type="#_x0000_t202" style="width:67.55pt;height:14.35pt;margin-top:35.33pt;margin-left:482.7pt;mso-position-horizontal-relative:page;mso-position-vertical-relative:page;position:absolute;z-index:-251618304" filled="f" stroked="f">
              <v:textbox inset="0,0,0,0">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J</w:t>
                    </w:r>
                  </w:p>
                </w:txbxContent>
              </v:textbox>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62336" behindDoc="1" locked="0" layoutInCell="1" allowOverlap="1">
              <wp:simplePos x="0" y="0"/>
              <wp:positionH relativeFrom="page">
                <wp:posOffset>4773548</wp:posOffset>
              </wp:positionH>
              <wp:positionV relativeFrom="page">
                <wp:posOffset>448637</wp:posOffset>
              </wp:positionV>
              <wp:extent cx="2099310" cy="182245"/>
              <wp:effectExtent l="0" t="0" r="0" b="0"/>
              <wp:wrapNone/>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310" cy="182245"/>
                      </a:xfrm>
                      <a:prstGeom prst="rect">
                        <a:avLst/>
                      </a:prstGeom>
                    </wps:spPr>
                    <wps:txbx>
                      <w:txbxContent>
                        <w:p>
                          <w:pPr>
                            <w:spacing w:before="13"/>
                            <w:ind w:left="20" w:right="0" w:firstLine="0"/>
                            <w:jc w:val="left"/>
                            <w:rPr>
                              <w:rFonts w:ascii="Arial"/>
                              <w:b/>
                              <w:sz w:val="22"/>
                            </w:rPr>
                          </w:pPr>
                          <w:r>
                            <w:rPr>
                              <w:rFonts w:ascii="Arial"/>
                              <w:b/>
                              <w:sz w:val="22"/>
                            </w:rPr>
                            <w:t>DATA</w:t>
                          </w:r>
                          <w:r>
                            <w:rPr>
                              <w:rFonts w:ascii="Arial"/>
                              <w:b/>
                              <w:spacing w:val="-4"/>
                              <w:sz w:val="22"/>
                            </w:rPr>
                            <w:t xml:space="preserve"> </w:t>
                          </w:r>
                          <w:r>
                            <w:rPr>
                              <w:rFonts w:ascii="Arial"/>
                              <w:b/>
                              <w:sz w:val="22"/>
                            </w:rPr>
                            <w:t>ENTRY</w:t>
                          </w:r>
                          <w:r>
                            <w:rPr>
                              <w:rFonts w:ascii="Arial"/>
                              <w:b/>
                              <w:spacing w:val="-5"/>
                              <w:sz w:val="22"/>
                            </w:rPr>
                            <w:t xml:space="preserve"> </w:t>
                          </w:r>
                          <w:r>
                            <w:rPr>
                              <w:rFonts w:ascii="Arial"/>
                              <w:b/>
                              <w:sz w:val="22"/>
                            </w:rPr>
                            <w:t>AND</w:t>
                          </w:r>
                          <w:r>
                            <w:rPr>
                              <w:rFonts w:ascii="Arial"/>
                              <w:b/>
                              <w:spacing w:val="-3"/>
                              <w:sz w:val="22"/>
                            </w:rPr>
                            <w:t xml:space="preserve"> </w:t>
                          </w:r>
                          <w:r>
                            <w:rPr>
                              <w:rFonts w:ascii="Arial"/>
                              <w:b/>
                              <w:spacing w:val="-2"/>
                              <w:sz w:val="22"/>
                            </w:rPr>
                            <w:t>FORMULAS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8" type="#_x0000_t202" style="width:165.3pt;height:14.35pt;margin-top:35.33pt;margin-left:375.87pt;mso-position-horizontal-relative:page;mso-position-vertical-relative:page;position:absolute;z-index:-251653120" filled="f" stroked="f">
              <v:textbox inset="0,0,0,0">
                <w:txbxContent>
                  <w:p>
                    <w:pPr>
                      <w:spacing w:before="13"/>
                      <w:ind w:left="20" w:right="0" w:firstLine="0"/>
                      <w:jc w:val="left"/>
                      <w:rPr>
                        <w:rFonts w:ascii="Arial"/>
                        <w:b/>
                        <w:sz w:val="22"/>
                      </w:rPr>
                    </w:pPr>
                    <w:r>
                      <w:rPr>
                        <w:rFonts w:ascii="Arial"/>
                        <w:b/>
                        <w:sz w:val="22"/>
                      </w:rPr>
                      <w:t>DATA</w:t>
                    </w:r>
                    <w:r>
                      <w:rPr>
                        <w:rFonts w:ascii="Arial"/>
                        <w:b/>
                        <w:spacing w:val="-4"/>
                        <w:sz w:val="22"/>
                      </w:rPr>
                      <w:t xml:space="preserve"> </w:t>
                    </w:r>
                    <w:r>
                      <w:rPr>
                        <w:rFonts w:ascii="Arial"/>
                        <w:b/>
                        <w:sz w:val="22"/>
                      </w:rPr>
                      <w:t>ENTRY</w:t>
                    </w:r>
                    <w:r>
                      <w:rPr>
                        <w:rFonts w:ascii="Arial"/>
                        <w:b/>
                        <w:spacing w:val="-5"/>
                        <w:sz w:val="22"/>
                      </w:rPr>
                      <w:t xml:space="preserve"> </w:t>
                    </w:r>
                    <w:r>
                      <w:rPr>
                        <w:rFonts w:ascii="Arial"/>
                        <w:b/>
                        <w:sz w:val="22"/>
                      </w:rPr>
                      <w:t>AND</w:t>
                    </w:r>
                    <w:r>
                      <w:rPr>
                        <w:rFonts w:ascii="Arial"/>
                        <w:b/>
                        <w:spacing w:val="-3"/>
                        <w:sz w:val="22"/>
                      </w:rPr>
                      <w:t xml:space="preserve"> </w:t>
                    </w:r>
                    <w:r>
                      <w:rPr>
                        <w:rFonts w:ascii="Arial"/>
                        <w:b/>
                        <w:spacing w:val="-2"/>
                        <w:sz w:val="22"/>
                      </w:rPr>
                      <w:t>FORMULAS</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64384" behindDoc="1" locked="0" layoutInCell="1" allowOverlap="1">
              <wp:simplePos x="0" y="0"/>
              <wp:positionH relativeFrom="page">
                <wp:posOffset>5822441</wp:posOffset>
              </wp:positionH>
              <wp:positionV relativeFrom="page">
                <wp:posOffset>448637</wp:posOffset>
              </wp:positionV>
              <wp:extent cx="1050925" cy="182245"/>
              <wp:effectExtent l="0" t="0" r="0" b="0"/>
              <wp:wrapNone/>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0925"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8"/>
                              <w:sz w:val="22"/>
                            </w:rPr>
                            <w:t xml:space="preserve"> </w:t>
                          </w:r>
                          <w:r>
                            <w:rPr>
                              <w:rFonts w:ascii="Arial"/>
                              <w:b/>
                              <w:spacing w:val="-10"/>
                              <w:sz w:val="22"/>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1" type="#_x0000_t202" style="width:82.75pt;height:14.35pt;margin-top:35.33pt;margin-left:458.46pt;mso-position-horizontal-relative:page;mso-position-vertical-relative:page;position:absolute;z-index:-251651072"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8"/>
                        <w:sz w:val="22"/>
                      </w:rPr>
                      <w:t xml:space="preserve"> </w:t>
                    </w:r>
                    <w:r>
                      <w:rPr>
                        <w:rFonts w:ascii="Arial"/>
                        <w:b/>
                        <w:spacing w:val="-10"/>
                        <w:sz w:val="22"/>
                      </w:rPr>
                      <w:t>1</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66432" behindDoc="1" locked="0" layoutInCell="1" allowOverlap="1">
              <wp:simplePos x="0" y="0"/>
              <wp:positionH relativeFrom="page">
                <wp:posOffset>5822441</wp:posOffset>
              </wp:positionH>
              <wp:positionV relativeFrom="page">
                <wp:posOffset>448637</wp:posOffset>
              </wp:positionV>
              <wp:extent cx="1051560" cy="182245"/>
              <wp:effectExtent l="0" t="0" r="0" b="0"/>
              <wp:wrapNone/>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1560"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4" type="#_x0000_t202" style="width:82.8pt;height:14.35pt;margin-top:35.33pt;margin-left:458.46pt;mso-position-horizontal-relative:page;mso-position-vertical-relative:page;position:absolute;z-index:-251649024"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2</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68480" behindDoc="1" locked="0" layoutInCell="1" allowOverlap="1">
              <wp:simplePos x="0" y="0"/>
              <wp:positionH relativeFrom="page">
                <wp:posOffset>5822441</wp:posOffset>
              </wp:positionH>
              <wp:positionV relativeFrom="page">
                <wp:posOffset>448637</wp:posOffset>
              </wp:positionV>
              <wp:extent cx="1051560" cy="182245"/>
              <wp:effectExtent l="0" t="0" r="0" b="0"/>
              <wp:wrapNone/>
              <wp:docPr id="37" name="Text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1560"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7" type="#_x0000_t202" style="width:82.8pt;height:14.35pt;margin-top:35.33pt;margin-left:458.46pt;mso-position-horizontal-relative:page;mso-position-vertical-relative:page;position:absolute;z-index:-251646976"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3</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70528" behindDoc="1" locked="0" layoutInCell="1" allowOverlap="1">
              <wp:simplePos x="0" y="0"/>
              <wp:positionH relativeFrom="page">
                <wp:posOffset>5822441</wp:posOffset>
              </wp:positionH>
              <wp:positionV relativeFrom="page">
                <wp:posOffset>448637</wp:posOffset>
              </wp:positionV>
              <wp:extent cx="1051560" cy="182245"/>
              <wp:effectExtent l="0" t="0" r="0" b="0"/>
              <wp:wrapNone/>
              <wp:docPr id="40"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1560"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0" type="#_x0000_t202" style="width:82.8pt;height:14.35pt;margin-top:35.33pt;margin-left:458.46pt;mso-position-horizontal-relative:page;mso-position-vertical-relative:page;position:absolute;z-index:-251644928"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4</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72576" behindDoc="1" locked="0" layoutInCell="1" allowOverlap="1">
              <wp:simplePos x="0" y="0"/>
              <wp:positionH relativeFrom="page">
                <wp:posOffset>5822441</wp:posOffset>
              </wp:positionH>
              <wp:positionV relativeFrom="page">
                <wp:posOffset>448637</wp:posOffset>
              </wp:positionV>
              <wp:extent cx="1051560" cy="182245"/>
              <wp:effectExtent l="0" t="0" r="0" b="0"/>
              <wp:wrapNone/>
              <wp:docPr id="43" name="Text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1560"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3" type="#_x0000_t202" style="width:82.8pt;height:14.35pt;margin-top:35.33pt;margin-left:458.46pt;mso-position-horizontal-relative:page;mso-position-vertical-relative:page;position:absolute;z-index:-251642880"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5</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74624" behindDoc="1" locked="0" layoutInCell="1" allowOverlap="1">
              <wp:simplePos x="0" y="0"/>
              <wp:positionH relativeFrom="page">
                <wp:posOffset>5822441</wp:posOffset>
              </wp:positionH>
              <wp:positionV relativeFrom="page">
                <wp:posOffset>448637</wp:posOffset>
              </wp:positionV>
              <wp:extent cx="1051560" cy="182245"/>
              <wp:effectExtent l="0" t="0" r="0" b="0"/>
              <wp:wrapNone/>
              <wp:docPr id="46" name="Text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1560"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6" type="#_x0000_t202" style="width:82.8pt;height:14.35pt;margin-top:35.33pt;margin-left:458.46pt;mso-position-horizontal-relative:page;mso-position-vertical-relative:page;position:absolute;z-index:-251640832"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F17B9"/>
    <w:multiLevelType w:val="hybridMultilevel"/>
    <w:tmpl w:val="00000000"/>
    <w:lvl w:ilvl="0">
      <w:start w:val="0"/>
      <w:numFmt w:val="bullet"/>
      <w:lvlText w:val="•"/>
      <w:lvlJc w:val="left"/>
      <w:pPr>
        <w:ind w:left="12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214" w:hanging="360"/>
      </w:pPr>
      <w:rPr>
        <w:rFonts w:hint="default"/>
        <w:lang w:val="en-US" w:eastAsia="en-US" w:bidi="ar-SA"/>
      </w:rPr>
    </w:lvl>
    <w:lvl w:ilvl="2">
      <w:start w:val="0"/>
      <w:numFmt w:val="bullet"/>
      <w:lvlText w:val="•"/>
      <w:lvlJc w:val="left"/>
      <w:pPr>
        <w:ind w:left="3208" w:hanging="360"/>
      </w:pPr>
      <w:rPr>
        <w:rFonts w:hint="default"/>
        <w:lang w:val="en-US" w:eastAsia="en-US" w:bidi="ar-SA"/>
      </w:rPr>
    </w:lvl>
    <w:lvl w:ilvl="3">
      <w:start w:val="0"/>
      <w:numFmt w:val="bullet"/>
      <w:lvlText w:val="•"/>
      <w:lvlJc w:val="left"/>
      <w:pPr>
        <w:ind w:left="4202" w:hanging="360"/>
      </w:pPr>
      <w:rPr>
        <w:rFonts w:hint="default"/>
        <w:lang w:val="en-US" w:eastAsia="en-US" w:bidi="ar-SA"/>
      </w:rPr>
    </w:lvl>
    <w:lvl w:ilvl="4">
      <w:start w:val="0"/>
      <w:numFmt w:val="bullet"/>
      <w:lvlText w:val="•"/>
      <w:lvlJc w:val="left"/>
      <w:pPr>
        <w:ind w:left="5196" w:hanging="360"/>
      </w:pPr>
      <w:rPr>
        <w:rFonts w:hint="default"/>
        <w:lang w:val="en-US" w:eastAsia="en-US" w:bidi="ar-SA"/>
      </w:rPr>
    </w:lvl>
    <w:lvl w:ilvl="5">
      <w:start w:val="0"/>
      <w:numFmt w:val="bullet"/>
      <w:lvlText w:val="•"/>
      <w:lvlJc w:val="left"/>
      <w:pPr>
        <w:ind w:left="6190" w:hanging="360"/>
      </w:pPr>
      <w:rPr>
        <w:rFonts w:hint="default"/>
        <w:lang w:val="en-US" w:eastAsia="en-US" w:bidi="ar-SA"/>
      </w:rPr>
    </w:lvl>
    <w:lvl w:ilvl="6">
      <w:start w:val="0"/>
      <w:numFmt w:val="bullet"/>
      <w:lvlText w:val="•"/>
      <w:lvlJc w:val="left"/>
      <w:pPr>
        <w:ind w:left="7184" w:hanging="360"/>
      </w:pPr>
      <w:rPr>
        <w:rFonts w:hint="default"/>
        <w:lang w:val="en-US" w:eastAsia="en-US" w:bidi="ar-SA"/>
      </w:rPr>
    </w:lvl>
    <w:lvl w:ilvl="7">
      <w:start w:val="0"/>
      <w:numFmt w:val="bullet"/>
      <w:lvlText w:val="•"/>
      <w:lvlJc w:val="left"/>
      <w:pPr>
        <w:ind w:left="8178" w:hanging="360"/>
      </w:pPr>
      <w:rPr>
        <w:rFonts w:hint="default"/>
        <w:lang w:val="en-US" w:eastAsia="en-US" w:bidi="ar-SA"/>
      </w:rPr>
    </w:lvl>
    <w:lvl w:ilvl="8">
      <w:start w:val="0"/>
      <w:numFmt w:val="bullet"/>
      <w:lvlText w:val="•"/>
      <w:lvlJc w:val="left"/>
      <w:pPr>
        <w:ind w:left="9172" w:hanging="360"/>
      </w:pPr>
      <w:rPr>
        <w:rFonts w:hint="default"/>
        <w:lang w:val="en-US" w:eastAsia="en-US" w:bidi="ar-SA"/>
      </w:rPr>
    </w:lvl>
  </w:abstractNum>
  <w:abstractNum w:abstractNumId="1">
    <w:nsid w:val="098E25C0"/>
    <w:multiLevelType w:val="hybridMultilevel"/>
    <w:tmpl w:val="00000000"/>
    <w:lvl w:ilvl="0">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3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407" w:hanging="360"/>
      </w:pPr>
      <w:rPr>
        <w:rFonts w:hint="default"/>
        <w:lang w:val="en-US" w:eastAsia="en-US" w:bidi="ar-SA"/>
      </w:rPr>
    </w:lvl>
    <w:lvl w:ilvl="4">
      <w:start w:val="0"/>
      <w:numFmt w:val="bullet"/>
      <w:lvlText w:val="•"/>
      <w:lvlJc w:val="left"/>
      <w:pPr>
        <w:ind w:left="4515" w:hanging="360"/>
      </w:pPr>
      <w:rPr>
        <w:rFonts w:hint="default"/>
        <w:lang w:val="en-US" w:eastAsia="en-US" w:bidi="ar-SA"/>
      </w:rPr>
    </w:lvl>
    <w:lvl w:ilvl="5">
      <w:start w:val="0"/>
      <w:numFmt w:val="bullet"/>
      <w:lvlText w:val="•"/>
      <w:lvlJc w:val="left"/>
      <w:pPr>
        <w:ind w:left="5622" w:hanging="360"/>
      </w:pPr>
      <w:rPr>
        <w:rFonts w:hint="default"/>
        <w:lang w:val="en-US" w:eastAsia="en-US" w:bidi="ar-SA"/>
      </w:rPr>
    </w:lvl>
    <w:lvl w:ilvl="6">
      <w:start w:val="0"/>
      <w:numFmt w:val="bullet"/>
      <w:lvlText w:val="•"/>
      <w:lvlJc w:val="left"/>
      <w:pPr>
        <w:ind w:left="6730" w:hanging="360"/>
      </w:pPr>
      <w:rPr>
        <w:rFonts w:hint="default"/>
        <w:lang w:val="en-US" w:eastAsia="en-US" w:bidi="ar-SA"/>
      </w:rPr>
    </w:lvl>
    <w:lvl w:ilvl="7">
      <w:start w:val="0"/>
      <w:numFmt w:val="bullet"/>
      <w:lvlText w:val="•"/>
      <w:lvlJc w:val="left"/>
      <w:pPr>
        <w:ind w:left="7837" w:hanging="360"/>
      </w:pPr>
      <w:rPr>
        <w:rFonts w:hint="default"/>
        <w:lang w:val="en-US" w:eastAsia="en-US" w:bidi="ar-SA"/>
      </w:rPr>
    </w:lvl>
    <w:lvl w:ilvl="8">
      <w:start w:val="0"/>
      <w:numFmt w:val="bullet"/>
      <w:lvlText w:val="•"/>
      <w:lvlJc w:val="left"/>
      <w:pPr>
        <w:ind w:left="8945" w:hanging="360"/>
      </w:pPr>
      <w:rPr>
        <w:rFonts w:hint="default"/>
        <w:lang w:val="en-US" w:eastAsia="en-US" w:bidi="ar-SA"/>
      </w:rPr>
    </w:lvl>
  </w:abstractNum>
  <w:abstractNum w:abstractNumId="2">
    <w:nsid w:val="10363362"/>
    <w:multiLevelType w:val="hybridMultilevel"/>
    <w:tmpl w:val="00000000"/>
    <w:lvl w:ilvl="0">
      <w:start w:val="0"/>
      <w:numFmt w:val="bullet"/>
      <w:lvlText w:val=""/>
      <w:lvlJc w:val="left"/>
      <w:pPr>
        <w:ind w:left="1584"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19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3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6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0"/>
      <w:numFmt w:val="bullet"/>
      <w:lvlText w:val="•"/>
      <w:lvlJc w:val="left"/>
      <w:pPr>
        <w:ind w:left="3874" w:hanging="360"/>
      </w:pPr>
      <w:rPr>
        <w:rFonts w:hint="default"/>
        <w:lang w:val="en-US" w:eastAsia="en-US" w:bidi="ar-SA"/>
      </w:rPr>
    </w:lvl>
    <w:lvl w:ilvl="5">
      <w:start w:val="0"/>
      <w:numFmt w:val="bullet"/>
      <w:lvlText w:val="•"/>
      <w:lvlJc w:val="left"/>
      <w:pPr>
        <w:ind w:left="5088" w:hanging="360"/>
      </w:pPr>
      <w:rPr>
        <w:rFonts w:hint="default"/>
        <w:lang w:val="en-US" w:eastAsia="en-US" w:bidi="ar-SA"/>
      </w:rPr>
    </w:lvl>
    <w:lvl w:ilvl="6">
      <w:start w:val="0"/>
      <w:numFmt w:val="bullet"/>
      <w:lvlText w:val="•"/>
      <w:lvlJc w:val="left"/>
      <w:pPr>
        <w:ind w:left="6302" w:hanging="360"/>
      </w:pPr>
      <w:rPr>
        <w:rFonts w:hint="default"/>
        <w:lang w:val="en-US" w:eastAsia="en-US" w:bidi="ar-SA"/>
      </w:rPr>
    </w:lvl>
    <w:lvl w:ilvl="7">
      <w:start w:val="0"/>
      <w:numFmt w:val="bullet"/>
      <w:lvlText w:val="•"/>
      <w:lvlJc w:val="left"/>
      <w:pPr>
        <w:ind w:left="7517" w:hanging="360"/>
      </w:pPr>
      <w:rPr>
        <w:rFonts w:hint="default"/>
        <w:lang w:val="en-US" w:eastAsia="en-US" w:bidi="ar-SA"/>
      </w:rPr>
    </w:lvl>
    <w:lvl w:ilvl="8">
      <w:start w:val="0"/>
      <w:numFmt w:val="bullet"/>
      <w:lvlText w:val="•"/>
      <w:lvlJc w:val="left"/>
      <w:pPr>
        <w:ind w:left="8731" w:hanging="360"/>
      </w:pPr>
      <w:rPr>
        <w:rFonts w:hint="default"/>
        <w:lang w:val="en-US" w:eastAsia="en-US" w:bidi="ar-SA"/>
      </w:rPr>
    </w:lvl>
  </w:abstractNum>
  <w:abstractNum w:abstractNumId="3">
    <w:nsid w:val="1221AA71"/>
    <w:multiLevelType w:val="hybridMultilevel"/>
    <w:tmpl w:val="00000000"/>
    <w:lvl w:ilvl="0">
      <w:start w:val="1"/>
      <w:numFmt w:val="decimal"/>
      <w:lvlText w:val="%1)"/>
      <w:lvlJc w:val="left"/>
      <w:pPr>
        <w:ind w:left="230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186" w:hanging="360"/>
      </w:pPr>
      <w:rPr>
        <w:rFonts w:hint="default"/>
        <w:lang w:val="en-US" w:eastAsia="en-US" w:bidi="ar-SA"/>
      </w:rPr>
    </w:lvl>
    <w:lvl w:ilvl="2">
      <w:start w:val="0"/>
      <w:numFmt w:val="bullet"/>
      <w:lvlText w:val="•"/>
      <w:lvlJc w:val="left"/>
      <w:pPr>
        <w:ind w:left="4072" w:hanging="360"/>
      </w:pPr>
      <w:rPr>
        <w:rFonts w:hint="default"/>
        <w:lang w:val="en-US" w:eastAsia="en-US" w:bidi="ar-SA"/>
      </w:rPr>
    </w:lvl>
    <w:lvl w:ilvl="3">
      <w:start w:val="0"/>
      <w:numFmt w:val="bullet"/>
      <w:lvlText w:val="•"/>
      <w:lvlJc w:val="left"/>
      <w:pPr>
        <w:ind w:left="4958" w:hanging="360"/>
      </w:pPr>
      <w:rPr>
        <w:rFonts w:hint="default"/>
        <w:lang w:val="en-US" w:eastAsia="en-US" w:bidi="ar-SA"/>
      </w:rPr>
    </w:lvl>
    <w:lvl w:ilvl="4">
      <w:start w:val="0"/>
      <w:numFmt w:val="bullet"/>
      <w:lvlText w:val="•"/>
      <w:lvlJc w:val="left"/>
      <w:pPr>
        <w:ind w:left="5844" w:hanging="360"/>
      </w:pPr>
      <w:rPr>
        <w:rFonts w:hint="default"/>
        <w:lang w:val="en-US" w:eastAsia="en-US" w:bidi="ar-SA"/>
      </w:rPr>
    </w:lvl>
    <w:lvl w:ilvl="5">
      <w:start w:val="0"/>
      <w:numFmt w:val="bullet"/>
      <w:lvlText w:val="•"/>
      <w:lvlJc w:val="left"/>
      <w:pPr>
        <w:ind w:left="6730" w:hanging="360"/>
      </w:pPr>
      <w:rPr>
        <w:rFonts w:hint="default"/>
        <w:lang w:val="en-US" w:eastAsia="en-US" w:bidi="ar-SA"/>
      </w:rPr>
    </w:lvl>
    <w:lvl w:ilvl="6">
      <w:start w:val="0"/>
      <w:numFmt w:val="bullet"/>
      <w:lvlText w:val="•"/>
      <w:lvlJc w:val="left"/>
      <w:pPr>
        <w:ind w:left="7616" w:hanging="360"/>
      </w:pPr>
      <w:rPr>
        <w:rFonts w:hint="default"/>
        <w:lang w:val="en-US" w:eastAsia="en-US" w:bidi="ar-SA"/>
      </w:rPr>
    </w:lvl>
    <w:lvl w:ilvl="7">
      <w:start w:val="0"/>
      <w:numFmt w:val="bullet"/>
      <w:lvlText w:val="•"/>
      <w:lvlJc w:val="left"/>
      <w:pPr>
        <w:ind w:left="8502" w:hanging="360"/>
      </w:pPr>
      <w:rPr>
        <w:rFonts w:hint="default"/>
        <w:lang w:val="en-US" w:eastAsia="en-US" w:bidi="ar-SA"/>
      </w:rPr>
    </w:lvl>
    <w:lvl w:ilvl="8">
      <w:start w:val="0"/>
      <w:numFmt w:val="bullet"/>
      <w:lvlText w:val="•"/>
      <w:lvlJc w:val="left"/>
      <w:pPr>
        <w:ind w:left="9388" w:hanging="360"/>
      </w:pPr>
      <w:rPr>
        <w:rFonts w:hint="default"/>
        <w:lang w:val="en-US" w:eastAsia="en-US" w:bidi="ar-SA"/>
      </w:rPr>
    </w:lvl>
  </w:abstractNum>
  <w:abstractNum w:abstractNumId="4">
    <w:nsid w:val="1646EF2A"/>
    <w:multiLevelType w:val="hybridMultilevel"/>
    <w:tmpl w:val="00000000"/>
    <w:lvl w:ilvl="0">
      <w:start w:val="1"/>
      <w:numFmt w:val="decimal"/>
      <w:lvlText w:val="(%1)"/>
      <w:lvlJc w:val="left"/>
      <w:pPr>
        <w:ind w:left="1562"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20" w:hanging="339"/>
      </w:pPr>
      <w:rPr>
        <w:rFonts w:hint="default"/>
        <w:lang w:val="en-US" w:eastAsia="en-US" w:bidi="ar-SA"/>
      </w:rPr>
    </w:lvl>
    <w:lvl w:ilvl="2">
      <w:start w:val="0"/>
      <w:numFmt w:val="bullet"/>
      <w:lvlText w:val="•"/>
      <w:lvlJc w:val="left"/>
      <w:pPr>
        <w:ind w:left="3480" w:hanging="339"/>
      </w:pPr>
      <w:rPr>
        <w:rFonts w:hint="default"/>
        <w:lang w:val="en-US" w:eastAsia="en-US" w:bidi="ar-SA"/>
      </w:rPr>
    </w:lvl>
    <w:lvl w:ilvl="3">
      <w:start w:val="0"/>
      <w:numFmt w:val="bullet"/>
      <w:lvlText w:val="•"/>
      <w:lvlJc w:val="left"/>
      <w:pPr>
        <w:ind w:left="4440" w:hanging="339"/>
      </w:pPr>
      <w:rPr>
        <w:rFonts w:hint="default"/>
        <w:lang w:val="en-US" w:eastAsia="en-US" w:bidi="ar-SA"/>
      </w:rPr>
    </w:lvl>
    <w:lvl w:ilvl="4">
      <w:start w:val="0"/>
      <w:numFmt w:val="bullet"/>
      <w:lvlText w:val="•"/>
      <w:lvlJc w:val="left"/>
      <w:pPr>
        <w:ind w:left="5400" w:hanging="339"/>
      </w:pPr>
      <w:rPr>
        <w:rFonts w:hint="default"/>
        <w:lang w:val="en-US" w:eastAsia="en-US" w:bidi="ar-SA"/>
      </w:rPr>
    </w:lvl>
    <w:lvl w:ilvl="5">
      <w:start w:val="0"/>
      <w:numFmt w:val="bullet"/>
      <w:lvlText w:val="•"/>
      <w:lvlJc w:val="left"/>
      <w:pPr>
        <w:ind w:left="6360" w:hanging="339"/>
      </w:pPr>
      <w:rPr>
        <w:rFonts w:hint="default"/>
        <w:lang w:val="en-US" w:eastAsia="en-US" w:bidi="ar-SA"/>
      </w:rPr>
    </w:lvl>
    <w:lvl w:ilvl="6">
      <w:start w:val="0"/>
      <w:numFmt w:val="bullet"/>
      <w:lvlText w:val="•"/>
      <w:lvlJc w:val="left"/>
      <w:pPr>
        <w:ind w:left="7320" w:hanging="339"/>
      </w:pPr>
      <w:rPr>
        <w:rFonts w:hint="default"/>
        <w:lang w:val="en-US" w:eastAsia="en-US" w:bidi="ar-SA"/>
      </w:rPr>
    </w:lvl>
    <w:lvl w:ilvl="7">
      <w:start w:val="0"/>
      <w:numFmt w:val="bullet"/>
      <w:lvlText w:val="•"/>
      <w:lvlJc w:val="left"/>
      <w:pPr>
        <w:ind w:left="8280" w:hanging="339"/>
      </w:pPr>
      <w:rPr>
        <w:rFonts w:hint="default"/>
        <w:lang w:val="en-US" w:eastAsia="en-US" w:bidi="ar-SA"/>
      </w:rPr>
    </w:lvl>
    <w:lvl w:ilvl="8">
      <w:start w:val="0"/>
      <w:numFmt w:val="bullet"/>
      <w:lvlText w:val="•"/>
      <w:lvlJc w:val="left"/>
      <w:pPr>
        <w:ind w:left="9240" w:hanging="339"/>
      </w:pPr>
      <w:rPr>
        <w:rFonts w:hint="default"/>
        <w:lang w:val="en-US" w:eastAsia="en-US" w:bidi="ar-SA"/>
      </w:rPr>
    </w:lvl>
  </w:abstractNum>
  <w:abstractNum w:abstractNumId="5">
    <w:nsid w:val="1E0603B0"/>
    <w:multiLevelType w:val="hybridMultilevel"/>
    <w:tmpl w:val="00000000"/>
    <w:lvl w:ilvl="0">
      <w:start w:val="0"/>
      <w:numFmt w:val="bullet"/>
      <w:lvlText w:val="•"/>
      <w:lvlJc w:val="left"/>
      <w:pPr>
        <w:ind w:left="1373"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708" w:hanging="360"/>
      </w:pPr>
      <w:rPr>
        <w:rFonts w:hint="default"/>
        <w:lang w:val="en-US" w:eastAsia="en-US" w:bidi="ar-SA"/>
      </w:rPr>
    </w:lvl>
    <w:lvl w:ilvl="4">
      <w:start w:val="0"/>
      <w:numFmt w:val="bullet"/>
      <w:lvlText w:val="•"/>
      <w:lvlJc w:val="left"/>
      <w:pPr>
        <w:ind w:left="4773" w:hanging="360"/>
      </w:pPr>
      <w:rPr>
        <w:rFonts w:hint="default"/>
        <w:lang w:val="en-US" w:eastAsia="en-US" w:bidi="ar-SA"/>
      </w:rPr>
    </w:lvl>
    <w:lvl w:ilvl="5">
      <w:start w:val="0"/>
      <w:numFmt w:val="bullet"/>
      <w:lvlText w:val="•"/>
      <w:lvlJc w:val="left"/>
      <w:pPr>
        <w:ind w:left="5837" w:hanging="360"/>
      </w:pPr>
      <w:rPr>
        <w:rFonts w:hint="default"/>
        <w:lang w:val="en-US" w:eastAsia="en-US" w:bidi="ar-SA"/>
      </w:rPr>
    </w:lvl>
    <w:lvl w:ilvl="6">
      <w:start w:val="0"/>
      <w:numFmt w:val="bullet"/>
      <w:lvlText w:val="•"/>
      <w:lvlJc w:val="left"/>
      <w:pPr>
        <w:ind w:left="6902" w:hanging="360"/>
      </w:pPr>
      <w:rPr>
        <w:rFonts w:hint="default"/>
        <w:lang w:val="en-US" w:eastAsia="en-US" w:bidi="ar-SA"/>
      </w:rPr>
    </w:lvl>
    <w:lvl w:ilvl="7">
      <w:start w:val="0"/>
      <w:numFmt w:val="bullet"/>
      <w:lvlText w:val="•"/>
      <w:lvlJc w:val="left"/>
      <w:pPr>
        <w:ind w:left="7966" w:hanging="360"/>
      </w:pPr>
      <w:rPr>
        <w:rFonts w:hint="default"/>
        <w:lang w:val="en-US" w:eastAsia="en-US" w:bidi="ar-SA"/>
      </w:rPr>
    </w:lvl>
    <w:lvl w:ilvl="8">
      <w:start w:val="0"/>
      <w:numFmt w:val="bullet"/>
      <w:lvlText w:val="•"/>
      <w:lvlJc w:val="left"/>
      <w:pPr>
        <w:ind w:left="9031" w:hanging="360"/>
      </w:pPr>
      <w:rPr>
        <w:rFonts w:hint="default"/>
        <w:lang w:val="en-US" w:eastAsia="en-US" w:bidi="ar-SA"/>
      </w:rPr>
    </w:lvl>
  </w:abstractNum>
  <w:abstractNum w:abstractNumId="6">
    <w:nsid w:val="1FBC9467"/>
    <w:multiLevelType w:val="hybridMultilevel"/>
    <w:tmpl w:val="00000000"/>
    <w:lvl w:ilvl="0">
      <w:start w:val="1"/>
      <w:numFmt w:val="lowerRoman"/>
      <w:lvlText w:val="(%1)"/>
      <w:lvlJc w:val="left"/>
      <w:pPr>
        <w:ind w:left="390"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526" w:hanging="264"/>
      </w:pPr>
      <w:rPr>
        <w:rFonts w:hint="default"/>
        <w:lang w:val="en-US" w:eastAsia="en-US" w:bidi="ar-SA"/>
      </w:rPr>
    </w:lvl>
    <w:lvl w:ilvl="2">
      <w:start w:val="0"/>
      <w:numFmt w:val="bullet"/>
      <w:lvlText w:val="•"/>
      <w:lvlJc w:val="left"/>
      <w:pPr>
        <w:ind w:left="652" w:hanging="264"/>
      </w:pPr>
      <w:rPr>
        <w:rFonts w:hint="default"/>
        <w:lang w:val="en-US" w:eastAsia="en-US" w:bidi="ar-SA"/>
      </w:rPr>
    </w:lvl>
    <w:lvl w:ilvl="3">
      <w:start w:val="0"/>
      <w:numFmt w:val="bullet"/>
      <w:lvlText w:val="•"/>
      <w:lvlJc w:val="left"/>
      <w:pPr>
        <w:ind w:left="779" w:hanging="264"/>
      </w:pPr>
      <w:rPr>
        <w:rFonts w:hint="default"/>
        <w:lang w:val="en-US" w:eastAsia="en-US" w:bidi="ar-SA"/>
      </w:rPr>
    </w:lvl>
    <w:lvl w:ilvl="4">
      <w:start w:val="0"/>
      <w:numFmt w:val="bullet"/>
      <w:lvlText w:val="•"/>
      <w:lvlJc w:val="left"/>
      <w:pPr>
        <w:ind w:left="905" w:hanging="264"/>
      </w:pPr>
      <w:rPr>
        <w:rFonts w:hint="default"/>
        <w:lang w:val="en-US" w:eastAsia="en-US" w:bidi="ar-SA"/>
      </w:rPr>
    </w:lvl>
    <w:lvl w:ilvl="5">
      <w:start w:val="0"/>
      <w:numFmt w:val="bullet"/>
      <w:lvlText w:val="•"/>
      <w:lvlJc w:val="left"/>
      <w:pPr>
        <w:ind w:left="1032" w:hanging="264"/>
      </w:pPr>
      <w:rPr>
        <w:rFonts w:hint="default"/>
        <w:lang w:val="en-US" w:eastAsia="en-US" w:bidi="ar-SA"/>
      </w:rPr>
    </w:lvl>
    <w:lvl w:ilvl="6">
      <w:start w:val="0"/>
      <w:numFmt w:val="bullet"/>
      <w:lvlText w:val="•"/>
      <w:lvlJc w:val="left"/>
      <w:pPr>
        <w:ind w:left="1158" w:hanging="264"/>
      </w:pPr>
      <w:rPr>
        <w:rFonts w:hint="default"/>
        <w:lang w:val="en-US" w:eastAsia="en-US" w:bidi="ar-SA"/>
      </w:rPr>
    </w:lvl>
    <w:lvl w:ilvl="7">
      <w:start w:val="0"/>
      <w:numFmt w:val="bullet"/>
      <w:lvlText w:val="•"/>
      <w:lvlJc w:val="left"/>
      <w:pPr>
        <w:ind w:left="1284" w:hanging="264"/>
      </w:pPr>
      <w:rPr>
        <w:rFonts w:hint="default"/>
        <w:lang w:val="en-US" w:eastAsia="en-US" w:bidi="ar-SA"/>
      </w:rPr>
    </w:lvl>
    <w:lvl w:ilvl="8">
      <w:start w:val="0"/>
      <w:numFmt w:val="bullet"/>
      <w:lvlText w:val="•"/>
      <w:lvlJc w:val="left"/>
      <w:pPr>
        <w:ind w:left="1411" w:hanging="264"/>
      </w:pPr>
      <w:rPr>
        <w:rFonts w:hint="default"/>
        <w:lang w:val="en-US" w:eastAsia="en-US" w:bidi="ar-SA"/>
      </w:rPr>
    </w:lvl>
  </w:abstractNum>
  <w:abstractNum w:abstractNumId="7">
    <w:nsid w:val="21867BE6"/>
    <w:multiLevelType w:val="hybridMultilevel"/>
    <w:tmpl w:val="00000000"/>
    <w:lvl w:ilvl="0">
      <w:start w:val="1"/>
      <w:numFmt w:val="lowerRoman"/>
      <w:lvlText w:val="(%1)"/>
      <w:lvlJc w:val="left"/>
      <w:pPr>
        <w:ind w:left="390"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526" w:hanging="264"/>
      </w:pPr>
      <w:rPr>
        <w:rFonts w:hint="default"/>
        <w:lang w:val="en-US" w:eastAsia="en-US" w:bidi="ar-SA"/>
      </w:rPr>
    </w:lvl>
    <w:lvl w:ilvl="2">
      <w:start w:val="0"/>
      <w:numFmt w:val="bullet"/>
      <w:lvlText w:val="•"/>
      <w:lvlJc w:val="left"/>
      <w:pPr>
        <w:ind w:left="652" w:hanging="264"/>
      </w:pPr>
      <w:rPr>
        <w:rFonts w:hint="default"/>
        <w:lang w:val="en-US" w:eastAsia="en-US" w:bidi="ar-SA"/>
      </w:rPr>
    </w:lvl>
    <w:lvl w:ilvl="3">
      <w:start w:val="0"/>
      <w:numFmt w:val="bullet"/>
      <w:lvlText w:val="•"/>
      <w:lvlJc w:val="left"/>
      <w:pPr>
        <w:ind w:left="779" w:hanging="264"/>
      </w:pPr>
      <w:rPr>
        <w:rFonts w:hint="default"/>
        <w:lang w:val="en-US" w:eastAsia="en-US" w:bidi="ar-SA"/>
      </w:rPr>
    </w:lvl>
    <w:lvl w:ilvl="4">
      <w:start w:val="0"/>
      <w:numFmt w:val="bullet"/>
      <w:lvlText w:val="•"/>
      <w:lvlJc w:val="left"/>
      <w:pPr>
        <w:ind w:left="905" w:hanging="264"/>
      </w:pPr>
      <w:rPr>
        <w:rFonts w:hint="default"/>
        <w:lang w:val="en-US" w:eastAsia="en-US" w:bidi="ar-SA"/>
      </w:rPr>
    </w:lvl>
    <w:lvl w:ilvl="5">
      <w:start w:val="0"/>
      <w:numFmt w:val="bullet"/>
      <w:lvlText w:val="•"/>
      <w:lvlJc w:val="left"/>
      <w:pPr>
        <w:ind w:left="1032" w:hanging="264"/>
      </w:pPr>
      <w:rPr>
        <w:rFonts w:hint="default"/>
        <w:lang w:val="en-US" w:eastAsia="en-US" w:bidi="ar-SA"/>
      </w:rPr>
    </w:lvl>
    <w:lvl w:ilvl="6">
      <w:start w:val="0"/>
      <w:numFmt w:val="bullet"/>
      <w:lvlText w:val="•"/>
      <w:lvlJc w:val="left"/>
      <w:pPr>
        <w:ind w:left="1158" w:hanging="264"/>
      </w:pPr>
      <w:rPr>
        <w:rFonts w:hint="default"/>
        <w:lang w:val="en-US" w:eastAsia="en-US" w:bidi="ar-SA"/>
      </w:rPr>
    </w:lvl>
    <w:lvl w:ilvl="7">
      <w:start w:val="0"/>
      <w:numFmt w:val="bullet"/>
      <w:lvlText w:val="•"/>
      <w:lvlJc w:val="left"/>
      <w:pPr>
        <w:ind w:left="1284" w:hanging="264"/>
      </w:pPr>
      <w:rPr>
        <w:rFonts w:hint="default"/>
        <w:lang w:val="en-US" w:eastAsia="en-US" w:bidi="ar-SA"/>
      </w:rPr>
    </w:lvl>
    <w:lvl w:ilvl="8">
      <w:start w:val="0"/>
      <w:numFmt w:val="bullet"/>
      <w:lvlText w:val="•"/>
      <w:lvlJc w:val="left"/>
      <w:pPr>
        <w:ind w:left="1411" w:hanging="264"/>
      </w:pPr>
      <w:rPr>
        <w:rFonts w:hint="default"/>
        <w:lang w:val="en-US" w:eastAsia="en-US" w:bidi="ar-SA"/>
      </w:rPr>
    </w:lvl>
  </w:abstractNum>
  <w:abstractNum w:abstractNumId="8">
    <w:nsid w:val="23669313"/>
    <w:multiLevelType w:val="hybridMultilevel"/>
    <w:tmpl w:val="00000000"/>
    <w:lvl w:ilvl="0">
      <w:start w:val="1"/>
      <w:numFmt w:val="lowerRoman"/>
      <w:lvlText w:val="(%1)"/>
      <w:lvlJc w:val="left"/>
      <w:pPr>
        <w:ind w:left="390"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526" w:hanging="264"/>
      </w:pPr>
      <w:rPr>
        <w:rFonts w:hint="default"/>
        <w:lang w:val="en-US" w:eastAsia="en-US" w:bidi="ar-SA"/>
      </w:rPr>
    </w:lvl>
    <w:lvl w:ilvl="2">
      <w:start w:val="0"/>
      <w:numFmt w:val="bullet"/>
      <w:lvlText w:val="•"/>
      <w:lvlJc w:val="left"/>
      <w:pPr>
        <w:ind w:left="652" w:hanging="264"/>
      </w:pPr>
      <w:rPr>
        <w:rFonts w:hint="default"/>
        <w:lang w:val="en-US" w:eastAsia="en-US" w:bidi="ar-SA"/>
      </w:rPr>
    </w:lvl>
    <w:lvl w:ilvl="3">
      <w:start w:val="0"/>
      <w:numFmt w:val="bullet"/>
      <w:lvlText w:val="•"/>
      <w:lvlJc w:val="left"/>
      <w:pPr>
        <w:ind w:left="779" w:hanging="264"/>
      </w:pPr>
      <w:rPr>
        <w:rFonts w:hint="default"/>
        <w:lang w:val="en-US" w:eastAsia="en-US" w:bidi="ar-SA"/>
      </w:rPr>
    </w:lvl>
    <w:lvl w:ilvl="4">
      <w:start w:val="0"/>
      <w:numFmt w:val="bullet"/>
      <w:lvlText w:val="•"/>
      <w:lvlJc w:val="left"/>
      <w:pPr>
        <w:ind w:left="905" w:hanging="264"/>
      </w:pPr>
      <w:rPr>
        <w:rFonts w:hint="default"/>
        <w:lang w:val="en-US" w:eastAsia="en-US" w:bidi="ar-SA"/>
      </w:rPr>
    </w:lvl>
    <w:lvl w:ilvl="5">
      <w:start w:val="0"/>
      <w:numFmt w:val="bullet"/>
      <w:lvlText w:val="•"/>
      <w:lvlJc w:val="left"/>
      <w:pPr>
        <w:ind w:left="1032" w:hanging="264"/>
      </w:pPr>
      <w:rPr>
        <w:rFonts w:hint="default"/>
        <w:lang w:val="en-US" w:eastAsia="en-US" w:bidi="ar-SA"/>
      </w:rPr>
    </w:lvl>
    <w:lvl w:ilvl="6">
      <w:start w:val="0"/>
      <w:numFmt w:val="bullet"/>
      <w:lvlText w:val="•"/>
      <w:lvlJc w:val="left"/>
      <w:pPr>
        <w:ind w:left="1158" w:hanging="264"/>
      </w:pPr>
      <w:rPr>
        <w:rFonts w:hint="default"/>
        <w:lang w:val="en-US" w:eastAsia="en-US" w:bidi="ar-SA"/>
      </w:rPr>
    </w:lvl>
    <w:lvl w:ilvl="7">
      <w:start w:val="0"/>
      <w:numFmt w:val="bullet"/>
      <w:lvlText w:val="•"/>
      <w:lvlJc w:val="left"/>
      <w:pPr>
        <w:ind w:left="1284" w:hanging="264"/>
      </w:pPr>
      <w:rPr>
        <w:rFonts w:hint="default"/>
        <w:lang w:val="en-US" w:eastAsia="en-US" w:bidi="ar-SA"/>
      </w:rPr>
    </w:lvl>
    <w:lvl w:ilvl="8">
      <w:start w:val="0"/>
      <w:numFmt w:val="bullet"/>
      <w:lvlText w:val="•"/>
      <w:lvlJc w:val="left"/>
      <w:pPr>
        <w:ind w:left="1411" w:hanging="264"/>
      </w:pPr>
      <w:rPr>
        <w:rFonts w:hint="default"/>
        <w:lang w:val="en-US" w:eastAsia="en-US" w:bidi="ar-SA"/>
      </w:rPr>
    </w:lvl>
  </w:abstractNum>
  <w:abstractNum w:abstractNumId="9">
    <w:nsid w:val="244A19D3"/>
    <w:multiLevelType w:val="hybridMultilevel"/>
    <w:tmpl w:val="00000000"/>
    <w:lvl w:ilvl="0">
      <w:start w:val="0"/>
      <w:numFmt w:val="bullet"/>
      <w:lvlText w:val=""/>
      <w:lvlJc w:val="left"/>
      <w:pPr>
        <w:ind w:left="1224"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214" w:hanging="360"/>
      </w:pPr>
      <w:rPr>
        <w:rFonts w:hint="default"/>
        <w:lang w:val="en-US" w:eastAsia="en-US" w:bidi="ar-SA"/>
      </w:rPr>
    </w:lvl>
    <w:lvl w:ilvl="2">
      <w:start w:val="0"/>
      <w:numFmt w:val="bullet"/>
      <w:lvlText w:val="•"/>
      <w:lvlJc w:val="left"/>
      <w:pPr>
        <w:ind w:left="3208" w:hanging="360"/>
      </w:pPr>
      <w:rPr>
        <w:rFonts w:hint="default"/>
        <w:lang w:val="en-US" w:eastAsia="en-US" w:bidi="ar-SA"/>
      </w:rPr>
    </w:lvl>
    <w:lvl w:ilvl="3">
      <w:start w:val="0"/>
      <w:numFmt w:val="bullet"/>
      <w:lvlText w:val="•"/>
      <w:lvlJc w:val="left"/>
      <w:pPr>
        <w:ind w:left="4202" w:hanging="360"/>
      </w:pPr>
      <w:rPr>
        <w:rFonts w:hint="default"/>
        <w:lang w:val="en-US" w:eastAsia="en-US" w:bidi="ar-SA"/>
      </w:rPr>
    </w:lvl>
    <w:lvl w:ilvl="4">
      <w:start w:val="0"/>
      <w:numFmt w:val="bullet"/>
      <w:lvlText w:val="•"/>
      <w:lvlJc w:val="left"/>
      <w:pPr>
        <w:ind w:left="5196" w:hanging="360"/>
      </w:pPr>
      <w:rPr>
        <w:rFonts w:hint="default"/>
        <w:lang w:val="en-US" w:eastAsia="en-US" w:bidi="ar-SA"/>
      </w:rPr>
    </w:lvl>
    <w:lvl w:ilvl="5">
      <w:start w:val="0"/>
      <w:numFmt w:val="bullet"/>
      <w:lvlText w:val="•"/>
      <w:lvlJc w:val="left"/>
      <w:pPr>
        <w:ind w:left="6190" w:hanging="360"/>
      </w:pPr>
      <w:rPr>
        <w:rFonts w:hint="default"/>
        <w:lang w:val="en-US" w:eastAsia="en-US" w:bidi="ar-SA"/>
      </w:rPr>
    </w:lvl>
    <w:lvl w:ilvl="6">
      <w:start w:val="0"/>
      <w:numFmt w:val="bullet"/>
      <w:lvlText w:val="•"/>
      <w:lvlJc w:val="left"/>
      <w:pPr>
        <w:ind w:left="7184" w:hanging="360"/>
      </w:pPr>
      <w:rPr>
        <w:rFonts w:hint="default"/>
        <w:lang w:val="en-US" w:eastAsia="en-US" w:bidi="ar-SA"/>
      </w:rPr>
    </w:lvl>
    <w:lvl w:ilvl="7">
      <w:start w:val="0"/>
      <w:numFmt w:val="bullet"/>
      <w:lvlText w:val="•"/>
      <w:lvlJc w:val="left"/>
      <w:pPr>
        <w:ind w:left="8178" w:hanging="360"/>
      </w:pPr>
      <w:rPr>
        <w:rFonts w:hint="default"/>
        <w:lang w:val="en-US" w:eastAsia="en-US" w:bidi="ar-SA"/>
      </w:rPr>
    </w:lvl>
    <w:lvl w:ilvl="8">
      <w:start w:val="0"/>
      <w:numFmt w:val="bullet"/>
      <w:lvlText w:val="•"/>
      <w:lvlJc w:val="left"/>
      <w:pPr>
        <w:ind w:left="9172" w:hanging="360"/>
      </w:pPr>
      <w:rPr>
        <w:rFonts w:hint="default"/>
        <w:lang w:val="en-US" w:eastAsia="en-US" w:bidi="ar-SA"/>
      </w:rPr>
    </w:lvl>
  </w:abstractNum>
  <w:abstractNum w:abstractNumId="10">
    <w:nsid w:val="24F65A82"/>
    <w:multiLevelType w:val="hybridMultilevel"/>
    <w:tmpl w:val="00000000"/>
    <w:lvl w:ilvl="0">
      <w:start w:val="1"/>
      <w:numFmt w:val="lowerLetter"/>
      <w:lvlText w:val="%1."/>
      <w:lvlJc w:val="left"/>
      <w:pPr>
        <w:ind w:left="2232" w:hanging="64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132" w:hanging="648"/>
      </w:pPr>
      <w:rPr>
        <w:rFonts w:hint="default"/>
        <w:lang w:val="en-US" w:eastAsia="en-US" w:bidi="ar-SA"/>
      </w:rPr>
    </w:lvl>
    <w:lvl w:ilvl="2">
      <w:start w:val="0"/>
      <w:numFmt w:val="bullet"/>
      <w:lvlText w:val="•"/>
      <w:lvlJc w:val="left"/>
      <w:pPr>
        <w:ind w:left="4024" w:hanging="648"/>
      </w:pPr>
      <w:rPr>
        <w:rFonts w:hint="default"/>
        <w:lang w:val="en-US" w:eastAsia="en-US" w:bidi="ar-SA"/>
      </w:rPr>
    </w:lvl>
    <w:lvl w:ilvl="3">
      <w:start w:val="0"/>
      <w:numFmt w:val="bullet"/>
      <w:lvlText w:val="•"/>
      <w:lvlJc w:val="left"/>
      <w:pPr>
        <w:ind w:left="4916" w:hanging="648"/>
      </w:pPr>
      <w:rPr>
        <w:rFonts w:hint="default"/>
        <w:lang w:val="en-US" w:eastAsia="en-US" w:bidi="ar-SA"/>
      </w:rPr>
    </w:lvl>
    <w:lvl w:ilvl="4">
      <w:start w:val="0"/>
      <w:numFmt w:val="bullet"/>
      <w:lvlText w:val="•"/>
      <w:lvlJc w:val="left"/>
      <w:pPr>
        <w:ind w:left="5808" w:hanging="648"/>
      </w:pPr>
      <w:rPr>
        <w:rFonts w:hint="default"/>
        <w:lang w:val="en-US" w:eastAsia="en-US" w:bidi="ar-SA"/>
      </w:rPr>
    </w:lvl>
    <w:lvl w:ilvl="5">
      <w:start w:val="0"/>
      <w:numFmt w:val="bullet"/>
      <w:lvlText w:val="•"/>
      <w:lvlJc w:val="left"/>
      <w:pPr>
        <w:ind w:left="6700" w:hanging="648"/>
      </w:pPr>
      <w:rPr>
        <w:rFonts w:hint="default"/>
        <w:lang w:val="en-US" w:eastAsia="en-US" w:bidi="ar-SA"/>
      </w:rPr>
    </w:lvl>
    <w:lvl w:ilvl="6">
      <w:start w:val="0"/>
      <w:numFmt w:val="bullet"/>
      <w:lvlText w:val="•"/>
      <w:lvlJc w:val="left"/>
      <w:pPr>
        <w:ind w:left="7592" w:hanging="648"/>
      </w:pPr>
      <w:rPr>
        <w:rFonts w:hint="default"/>
        <w:lang w:val="en-US" w:eastAsia="en-US" w:bidi="ar-SA"/>
      </w:rPr>
    </w:lvl>
    <w:lvl w:ilvl="7">
      <w:start w:val="0"/>
      <w:numFmt w:val="bullet"/>
      <w:lvlText w:val="•"/>
      <w:lvlJc w:val="left"/>
      <w:pPr>
        <w:ind w:left="8484" w:hanging="648"/>
      </w:pPr>
      <w:rPr>
        <w:rFonts w:hint="default"/>
        <w:lang w:val="en-US" w:eastAsia="en-US" w:bidi="ar-SA"/>
      </w:rPr>
    </w:lvl>
    <w:lvl w:ilvl="8">
      <w:start w:val="0"/>
      <w:numFmt w:val="bullet"/>
      <w:lvlText w:val="•"/>
      <w:lvlJc w:val="left"/>
      <w:pPr>
        <w:ind w:left="9376" w:hanging="648"/>
      </w:pPr>
      <w:rPr>
        <w:rFonts w:hint="default"/>
        <w:lang w:val="en-US" w:eastAsia="en-US" w:bidi="ar-SA"/>
      </w:rPr>
    </w:lvl>
  </w:abstractNum>
  <w:abstractNum w:abstractNumId="11">
    <w:nsid w:val="26FD84FE"/>
    <w:multiLevelType w:val="hybridMultilevel"/>
    <w:tmpl w:val="00000000"/>
    <w:lvl w:ilvl="0">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38" w:hanging="360"/>
      </w:pPr>
      <w:rPr>
        <w:rFonts w:hint="default"/>
        <w:lang w:val="en-US" w:eastAsia="en-US" w:bidi="ar-SA"/>
      </w:rPr>
    </w:lvl>
    <w:lvl w:ilvl="2">
      <w:start w:val="0"/>
      <w:numFmt w:val="bullet"/>
      <w:lvlText w:val="•"/>
      <w:lvlJc w:val="left"/>
      <w:pPr>
        <w:ind w:left="3496" w:hanging="360"/>
      </w:pPr>
      <w:rPr>
        <w:rFonts w:hint="default"/>
        <w:lang w:val="en-US" w:eastAsia="en-US" w:bidi="ar-SA"/>
      </w:rPr>
    </w:lvl>
    <w:lvl w:ilvl="3">
      <w:start w:val="0"/>
      <w:numFmt w:val="bullet"/>
      <w:lvlText w:val="•"/>
      <w:lvlJc w:val="left"/>
      <w:pPr>
        <w:ind w:left="4454" w:hanging="360"/>
      </w:pPr>
      <w:rPr>
        <w:rFonts w:hint="default"/>
        <w:lang w:val="en-US" w:eastAsia="en-US" w:bidi="ar-SA"/>
      </w:rPr>
    </w:lvl>
    <w:lvl w:ilvl="4">
      <w:start w:val="0"/>
      <w:numFmt w:val="bullet"/>
      <w:lvlText w:val="•"/>
      <w:lvlJc w:val="left"/>
      <w:pPr>
        <w:ind w:left="5412" w:hanging="360"/>
      </w:pPr>
      <w:rPr>
        <w:rFonts w:hint="default"/>
        <w:lang w:val="en-US" w:eastAsia="en-US" w:bidi="ar-SA"/>
      </w:rPr>
    </w:lvl>
    <w:lvl w:ilvl="5">
      <w:start w:val="0"/>
      <w:numFmt w:val="bullet"/>
      <w:lvlText w:val="•"/>
      <w:lvlJc w:val="left"/>
      <w:pPr>
        <w:ind w:left="6370" w:hanging="360"/>
      </w:pPr>
      <w:rPr>
        <w:rFonts w:hint="default"/>
        <w:lang w:val="en-US" w:eastAsia="en-US" w:bidi="ar-SA"/>
      </w:rPr>
    </w:lvl>
    <w:lvl w:ilvl="6">
      <w:start w:val="0"/>
      <w:numFmt w:val="bullet"/>
      <w:lvlText w:val="•"/>
      <w:lvlJc w:val="left"/>
      <w:pPr>
        <w:ind w:left="7328" w:hanging="360"/>
      </w:pPr>
      <w:rPr>
        <w:rFonts w:hint="default"/>
        <w:lang w:val="en-US" w:eastAsia="en-US" w:bidi="ar-SA"/>
      </w:rPr>
    </w:lvl>
    <w:lvl w:ilvl="7">
      <w:start w:val="0"/>
      <w:numFmt w:val="bullet"/>
      <w:lvlText w:val="•"/>
      <w:lvlJc w:val="left"/>
      <w:pPr>
        <w:ind w:left="8286" w:hanging="360"/>
      </w:pPr>
      <w:rPr>
        <w:rFonts w:hint="default"/>
        <w:lang w:val="en-US" w:eastAsia="en-US" w:bidi="ar-SA"/>
      </w:rPr>
    </w:lvl>
    <w:lvl w:ilvl="8">
      <w:start w:val="0"/>
      <w:numFmt w:val="bullet"/>
      <w:lvlText w:val="•"/>
      <w:lvlJc w:val="left"/>
      <w:pPr>
        <w:ind w:left="9244" w:hanging="360"/>
      </w:pPr>
      <w:rPr>
        <w:rFonts w:hint="default"/>
        <w:lang w:val="en-US" w:eastAsia="en-US" w:bidi="ar-SA"/>
      </w:rPr>
    </w:lvl>
  </w:abstractNum>
  <w:abstractNum w:abstractNumId="12">
    <w:nsid w:val="270897B6"/>
    <w:multiLevelType w:val="hybridMultilevel"/>
    <w:tmpl w:val="00000000"/>
    <w:lvl w:ilvl="0">
      <w:start w:val="1"/>
      <w:numFmt w:val="lowerRoman"/>
      <w:lvlText w:val="(%1)"/>
      <w:lvlJc w:val="left"/>
      <w:pPr>
        <w:ind w:left="419" w:hanging="264"/>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601" w:hanging="264"/>
      </w:pPr>
      <w:rPr>
        <w:rFonts w:hint="default"/>
        <w:lang w:val="en-US" w:eastAsia="en-US" w:bidi="ar-SA"/>
      </w:rPr>
    </w:lvl>
    <w:lvl w:ilvl="2">
      <w:start w:val="0"/>
      <w:numFmt w:val="bullet"/>
      <w:lvlText w:val="•"/>
      <w:lvlJc w:val="left"/>
      <w:pPr>
        <w:ind w:left="783" w:hanging="264"/>
      </w:pPr>
      <w:rPr>
        <w:rFonts w:hint="default"/>
        <w:lang w:val="en-US" w:eastAsia="en-US" w:bidi="ar-SA"/>
      </w:rPr>
    </w:lvl>
    <w:lvl w:ilvl="3">
      <w:start w:val="0"/>
      <w:numFmt w:val="bullet"/>
      <w:lvlText w:val="•"/>
      <w:lvlJc w:val="left"/>
      <w:pPr>
        <w:ind w:left="964" w:hanging="264"/>
      </w:pPr>
      <w:rPr>
        <w:rFonts w:hint="default"/>
        <w:lang w:val="en-US" w:eastAsia="en-US" w:bidi="ar-SA"/>
      </w:rPr>
    </w:lvl>
    <w:lvl w:ilvl="4">
      <w:start w:val="0"/>
      <w:numFmt w:val="bullet"/>
      <w:lvlText w:val="•"/>
      <w:lvlJc w:val="left"/>
      <w:pPr>
        <w:ind w:left="1146" w:hanging="264"/>
      </w:pPr>
      <w:rPr>
        <w:rFonts w:hint="default"/>
        <w:lang w:val="en-US" w:eastAsia="en-US" w:bidi="ar-SA"/>
      </w:rPr>
    </w:lvl>
    <w:lvl w:ilvl="5">
      <w:start w:val="0"/>
      <w:numFmt w:val="bullet"/>
      <w:lvlText w:val="•"/>
      <w:lvlJc w:val="left"/>
      <w:pPr>
        <w:ind w:left="1327" w:hanging="264"/>
      </w:pPr>
      <w:rPr>
        <w:rFonts w:hint="default"/>
        <w:lang w:val="en-US" w:eastAsia="en-US" w:bidi="ar-SA"/>
      </w:rPr>
    </w:lvl>
    <w:lvl w:ilvl="6">
      <w:start w:val="0"/>
      <w:numFmt w:val="bullet"/>
      <w:lvlText w:val="•"/>
      <w:lvlJc w:val="left"/>
      <w:pPr>
        <w:ind w:left="1509" w:hanging="264"/>
      </w:pPr>
      <w:rPr>
        <w:rFonts w:hint="default"/>
        <w:lang w:val="en-US" w:eastAsia="en-US" w:bidi="ar-SA"/>
      </w:rPr>
    </w:lvl>
    <w:lvl w:ilvl="7">
      <w:start w:val="0"/>
      <w:numFmt w:val="bullet"/>
      <w:lvlText w:val="•"/>
      <w:lvlJc w:val="left"/>
      <w:pPr>
        <w:ind w:left="1690" w:hanging="264"/>
      </w:pPr>
      <w:rPr>
        <w:rFonts w:hint="default"/>
        <w:lang w:val="en-US" w:eastAsia="en-US" w:bidi="ar-SA"/>
      </w:rPr>
    </w:lvl>
    <w:lvl w:ilvl="8">
      <w:start w:val="0"/>
      <w:numFmt w:val="bullet"/>
      <w:lvlText w:val="•"/>
      <w:lvlJc w:val="left"/>
      <w:pPr>
        <w:ind w:left="1872" w:hanging="264"/>
      </w:pPr>
      <w:rPr>
        <w:rFonts w:hint="default"/>
        <w:lang w:val="en-US" w:eastAsia="en-US" w:bidi="ar-SA"/>
      </w:rPr>
    </w:lvl>
  </w:abstractNum>
  <w:abstractNum w:abstractNumId="13">
    <w:nsid w:val="29F324DA"/>
    <w:multiLevelType w:val="hybridMultilevel"/>
    <w:tmpl w:val="00000000"/>
    <w:lvl w:ilvl="0">
      <w:start w:val="1"/>
      <w:numFmt w:val="lowerRoman"/>
      <w:lvlText w:val="(%1)"/>
      <w:lvlJc w:val="left"/>
      <w:pPr>
        <w:ind w:left="136"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349" w:hanging="264"/>
      </w:pPr>
      <w:rPr>
        <w:rFonts w:hint="default"/>
        <w:lang w:val="en-US" w:eastAsia="en-US" w:bidi="ar-SA"/>
      </w:rPr>
    </w:lvl>
    <w:lvl w:ilvl="2">
      <w:start w:val="0"/>
      <w:numFmt w:val="bullet"/>
      <w:lvlText w:val="•"/>
      <w:lvlJc w:val="left"/>
      <w:pPr>
        <w:ind w:left="559" w:hanging="264"/>
      </w:pPr>
      <w:rPr>
        <w:rFonts w:hint="default"/>
        <w:lang w:val="en-US" w:eastAsia="en-US" w:bidi="ar-SA"/>
      </w:rPr>
    </w:lvl>
    <w:lvl w:ilvl="3">
      <w:start w:val="0"/>
      <w:numFmt w:val="bullet"/>
      <w:lvlText w:val="•"/>
      <w:lvlJc w:val="left"/>
      <w:pPr>
        <w:ind w:left="768" w:hanging="264"/>
      </w:pPr>
      <w:rPr>
        <w:rFonts w:hint="default"/>
        <w:lang w:val="en-US" w:eastAsia="en-US" w:bidi="ar-SA"/>
      </w:rPr>
    </w:lvl>
    <w:lvl w:ilvl="4">
      <w:start w:val="0"/>
      <w:numFmt w:val="bullet"/>
      <w:lvlText w:val="•"/>
      <w:lvlJc w:val="left"/>
      <w:pPr>
        <w:ind w:left="978" w:hanging="264"/>
      </w:pPr>
      <w:rPr>
        <w:rFonts w:hint="default"/>
        <w:lang w:val="en-US" w:eastAsia="en-US" w:bidi="ar-SA"/>
      </w:rPr>
    </w:lvl>
    <w:lvl w:ilvl="5">
      <w:start w:val="0"/>
      <w:numFmt w:val="bullet"/>
      <w:lvlText w:val="•"/>
      <w:lvlJc w:val="left"/>
      <w:pPr>
        <w:ind w:left="1187" w:hanging="264"/>
      </w:pPr>
      <w:rPr>
        <w:rFonts w:hint="default"/>
        <w:lang w:val="en-US" w:eastAsia="en-US" w:bidi="ar-SA"/>
      </w:rPr>
    </w:lvl>
    <w:lvl w:ilvl="6">
      <w:start w:val="0"/>
      <w:numFmt w:val="bullet"/>
      <w:lvlText w:val="•"/>
      <w:lvlJc w:val="left"/>
      <w:pPr>
        <w:ind w:left="1397" w:hanging="264"/>
      </w:pPr>
      <w:rPr>
        <w:rFonts w:hint="default"/>
        <w:lang w:val="en-US" w:eastAsia="en-US" w:bidi="ar-SA"/>
      </w:rPr>
    </w:lvl>
    <w:lvl w:ilvl="7">
      <w:start w:val="0"/>
      <w:numFmt w:val="bullet"/>
      <w:lvlText w:val="•"/>
      <w:lvlJc w:val="left"/>
      <w:pPr>
        <w:ind w:left="1606" w:hanging="264"/>
      </w:pPr>
      <w:rPr>
        <w:rFonts w:hint="default"/>
        <w:lang w:val="en-US" w:eastAsia="en-US" w:bidi="ar-SA"/>
      </w:rPr>
    </w:lvl>
    <w:lvl w:ilvl="8">
      <w:start w:val="0"/>
      <w:numFmt w:val="bullet"/>
      <w:lvlText w:val="•"/>
      <w:lvlJc w:val="left"/>
      <w:pPr>
        <w:ind w:left="1816" w:hanging="264"/>
      </w:pPr>
      <w:rPr>
        <w:rFonts w:hint="default"/>
        <w:lang w:val="en-US" w:eastAsia="en-US" w:bidi="ar-SA"/>
      </w:rPr>
    </w:lvl>
  </w:abstractNum>
  <w:abstractNum w:abstractNumId="14">
    <w:nsid w:val="2CE03548"/>
    <w:multiLevelType w:val="hybridMultilevel"/>
    <w:tmpl w:val="00000000"/>
    <w:lvl w:ilvl="0">
      <w:start w:val="0"/>
      <w:numFmt w:val="bullet"/>
      <w:lvlText w:val=""/>
      <w:lvlJc w:val="left"/>
      <w:pPr>
        <w:ind w:left="1224"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708" w:hanging="360"/>
      </w:pPr>
      <w:rPr>
        <w:rFonts w:hint="default"/>
        <w:lang w:val="en-US" w:eastAsia="en-US" w:bidi="ar-SA"/>
      </w:rPr>
    </w:lvl>
    <w:lvl w:ilvl="4">
      <w:start w:val="0"/>
      <w:numFmt w:val="bullet"/>
      <w:lvlText w:val="•"/>
      <w:lvlJc w:val="left"/>
      <w:pPr>
        <w:ind w:left="4773" w:hanging="360"/>
      </w:pPr>
      <w:rPr>
        <w:rFonts w:hint="default"/>
        <w:lang w:val="en-US" w:eastAsia="en-US" w:bidi="ar-SA"/>
      </w:rPr>
    </w:lvl>
    <w:lvl w:ilvl="5">
      <w:start w:val="0"/>
      <w:numFmt w:val="bullet"/>
      <w:lvlText w:val="•"/>
      <w:lvlJc w:val="left"/>
      <w:pPr>
        <w:ind w:left="5837" w:hanging="360"/>
      </w:pPr>
      <w:rPr>
        <w:rFonts w:hint="default"/>
        <w:lang w:val="en-US" w:eastAsia="en-US" w:bidi="ar-SA"/>
      </w:rPr>
    </w:lvl>
    <w:lvl w:ilvl="6">
      <w:start w:val="0"/>
      <w:numFmt w:val="bullet"/>
      <w:lvlText w:val="•"/>
      <w:lvlJc w:val="left"/>
      <w:pPr>
        <w:ind w:left="6902" w:hanging="360"/>
      </w:pPr>
      <w:rPr>
        <w:rFonts w:hint="default"/>
        <w:lang w:val="en-US" w:eastAsia="en-US" w:bidi="ar-SA"/>
      </w:rPr>
    </w:lvl>
    <w:lvl w:ilvl="7">
      <w:start w:val="0"/>
      <w:numFmt w:val="bullet"/>
      <w:lvlText w:val="•"/>
      <w:lvlJc w:val="left"/>
      <w:pPr>
        <w:ind w:left="7966" w:hanging="360"/>
      </w:pPr>
      <w:rPr>
        <w:rFonts w:hint="default"/>
        <w:lang w:val="en-US" w:eastAsia="en-US" w:bidi="ar-SA"/>
      </w:rPr>
    </w:lvl>
    <w:lvl w:ilvl="8">
      <w:start w:val="0"/>
      <w:numFmt w:val="bullet"/>
      <w:lvlText w:val="•"/>
      <w:lvlJc w:val="left"/>
      <w:pPr>
        <w:ind w:left="9031" w:hanging="360"/>
      </w:pPr>
      <w:rPr>
        <w:rFonts w:hint="default"/>
        <w:lang w:val="en-US" w:eastAsia="en-US" w:bidi="ar-SA"/>
      </w:rPr>
    </w:lvl>
  </w:abstractNum>
  <w:abstractNum w:abstractNumId="15">
    <w:nsid w:val="31847E11"/>
    <w:multiLevelType w:val="hybridMultilevel"/>
    <w:tmpl w:val="00000000"/>
    <w:lvl w:ilvl="0">
      <w:start w:val="1"/>
      <w:numFmt w:val="lowerRoman"/>
      <w:lvlText w:val="(%1)"/>
      <w:lvlJc w:val="left"/>
      <w:pPr>
        <w:ind w:left="136" w:hanging="264"/>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349" w:hanging="264"/>
      </w:pPr>
      <w:rPr>
        <w:rFonts w:hint="default"/>
        <w:lang w:val="en-US" w:eastAsia="en-US" w:bidi="ar-SA"/>
      </w:rPr>
    </w:lvl>
    <w:lvl w:ilvl="2">
      <w:start w:val="0"/>
      <w:numFmt w:val="bullet"/>
      <w:lvlText w:val="•"/>
      <w:lvlJc w:val="left"/>
      <w:pPr>
        <w:ind w:left="559" w:hanging="264"/>
      </w:pPr>
      <w:rPr>
        <w:rFonts w:hint="default"/>
        <w:lang w:val="en-US" w:eastAsia="en-US" w:bidi="ar-SA"/>
      </w:rPr>
    </w:lvl>
    <w:lvl w:ilvl="3">
      <w:start w:val="0"/>
      <w:numFmt w:val="bullet"/>
      <w:lvlText w:val="•"/>
      <w:lvlJc w:val="left"/>
      <w:pPr>
        <w:ind w:left="768" w:hanging="264"/>
      </w:pPr>
      <w:rPr>
        <w:rFonts w:hint="default"/>
        <w:lang w:val="en-US" w:eastAsia="en-US" w:bidi="ar-SA"/>
      </w:rPr>
    </w:lvl>
    <w:lvl w:ilvl="4">
      <w:start w:val="0"/>
      <w:numFmt w:val="bullet"/>
      <w:lvlText w:val="•"/>
      <w:lvlJc w:val="left"/>
      <w:pPr>
        <w:ind w:left="978" w:hanging="264"/>
      </w:pPr>
      <w:rPr>
        <w:rFonts w:hint="default"/>
        <w:lang w:val="en-US" w:eastAsia="en-US" w:bidi="ar-SA"/>
      </w:rPr>
    </w:lvl>
    <w:lvl w:ilvl="5">
      <w:start w:val="0"/>
      <w:numFmt w:val="bullet"/>
      <w:lvlText w:val="•"/>
      <w:lvlJc w:val="left"/>
      <w:pPr>
        <w:ind w:left="1187" w:hanging="264"/>
      </w:pPr>
      <w:rPr>
        <w:rFonts w:hint="default"/>
        <w:lang w:val="en-US" w:eastAsia="en-US" w:bidi="ar-SA"/>
      </w:rPr>
    </w:lvl>
    <w:lvl w:ilvl="6">
      <w:start w:val="0"/>
      <w:numFmt w:val="bullet"/>
      <w:lvlText w:val="•"/>
      <w:lvlJc w:val="left"/>
      <w:pPr>
        <w:ind w:left="1397" w:hanging="264"/>
      </w:pPr>
      <w:rPr>
        <w:rFonts w:hint="default"/>
        <w:lang w:val="en-US" w:eastAsia="en-US" w:bidi="ar-SA"/>
      </w:rPr>
    </w:lvl>
    <w:lvl w:ilvl="7">
      <w:start w:val="0"/>
      <w:numFmt w:val="bullet"/>
      <w:lvlText w:val="•"/>
      <w:lvlJc w:val="left"/>
      <w:pPr>
        <w:ind w:left="1606" w:hanging="264"/>
      </w:pPr>
      <w:rPr>
        <w:rFonts w:hint="default"/>
        <w:lang w:val="en-US" w:eastAsia="en-US" w:bidi="ar-SA"/>
      </w:rPr>
    </w:lvl>
    <w:lvl w:ilvl="8">
      <w:start w:val="0"/>
      <w:numFmt w:val="bullet"/>
      <w:lvlText w:val="•"/>
      <w:lvlJc w:val="left"/>
      <w:pPr>
        <w:ind w:left="1816" w:hanging="264"/>
      </w:pPr>
      <w:rPr>
        <w:rFonts w:hint="default"/>
        <w:lang w:val="en-US" w:eastAsia="en-US" w:bidi="ar-SA"/>
      </w:rPr>
    </w:lvl>
  </w:abstractNum>
  <w:abstractNum w:abstractNumId="16">
    <w:nsid w:val="33184379"/>
    <w:multiLevelType w:val="hybridMultilevel"/>
    <w:tmpl w:val="00000000"/>
    <w:lvl w:ilvl="0">
      <w:start w:val="0"/>
      <w:numFmt w:val="bullet"/>
      <w:lvlText w:val="•"/>
      <w:lvlJc w:val="left"/>
      <w:pPr>
        <w:ind w:left="12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708" w:hanging="360"/>
      </w:pPr>
      <w:rPr>
        <w:rFonts w:hint="default"/>
        <w:lang w:val="en-US" w:eastAsia="en-US" w:bidi="ar-SA"/>
      </w:rPr>
    </w:lvl>
    <w:lvl w:ilvl="4">
      <w:start w:val="0"/>
      <w:numFmt w:val="bullet"/>
      <w:lvlText w:val="•"/>
      <w:lvlJc w:val="left"/>
      <w:pPr>
        <w:ind w:left="4773" w:hanging="360"/>
      </w:pPr>
      <w:rPr>
        <w:rFonts w:hint="default"/>
        <w:lang w:val="en-US" w:eastAsia="en-US" w:bidi="ar-SA"/>
      </w:rPr>
    </w:lvl>
    <w:lvl w:ilvl="5">
      <w:start w:val="0"/>
      <w:numFmt w:val="bullet"/>
      <w:lvlText w:val="•"/>
      <w:lvlJc w:val="left"/>
      <w:pPr>
        <w:ind w:left="5837" w:hanging="360"/>
      </w:pPr>
      <w:rPr>
        <w:rFonts w:hint="default"/>
        <w:lang w:val="en-US" w:eastAsia="en-US" w:bidi="ar-SA"/>
      </w:rPr>
    </w:lvl>
    <w:lvl w:ilvl="6">
      <w:start w:val="0"/>
      <w:numFmt w:val="bullet"/>
      <w:lvlText w:val="•"/>
      <w:lvlJc w:val="left"/>
      <w:pPr>
        <w:ind w:left="6902" w:hanging="360"/>
      </w:pPr>
      <w:rPr>
        <w:rFonts w:hint="default"/>
        <w:lang w:val="en-US" w:eastAsia="en-US" w:bidi="ar-SA"/>
      </w:rPr>
    </w:lvl>
    <w:lvl w:ilvl="7">
      <w:start w:val="0"/>
      <w:numFmt w:val="bullet"/>
      <w:lvlText w:val="•"/>
      <w:lvlJc w:val="left"/>
      <w:pPr>
        <w:ind w:left="7966" w:hanging="360"/>
      </w:pPr>
      <w:rPr>
        <w:rFonts w:hint="default"/>
        <w:lang w:val="en-US" w:eastAsia="en-US" w:bidi="ar-SA"/>
      </w:rPr>
    </w:lvl>
    <w:lvl w:ilvl="8">
      <w:start w:val="0"/>
      <w:numFmt w:val="bullet"/>
      <w:lvlText w:val="•"/>
      <w:lvlJc w:val="left"/>
      <w:pPr>
        <w:ind w:left="9031" w:hanging="360"/>
      </w:pPr>
      <w:rPr>
        <w:rFonts w:hint="default"/>
        <w:lang w:val="en-US" w:eastAsia="en-US" w:bidi="ar-SA"/>
      </w:rPr>
    </w:lvl>
  </w:abstractNum>
  <w:abstractNum w:abstractNumId="17">
    <w:nsid w:val="3590381E"/>
    <w:multiLevelType w:val="hybridMultilevel"/>
    <w:tmpl w:val="00000000"/>
    <w:lvl w:ilvl="0">
      <w:start w:val="1"/>
      <w:numFmt w:val="lowerRoman"/>
      <w:lvlText w:val="(%1)"/>
      <w:lvlJc w:val="left"/>
      <w:pPr>
        <w:ind w:left="566" w:hanging="264"/>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699" w:hanging="264"/>
      </w:pPr>
      <w:rPr>
        <w:rFonts w:hint="default"/>
        <w:lang w:val="en-US" w:eastAsia="en-US" w:bidi="ar-SA"/>
      </w:rPr>
    </w:lvl>
    <w:lvl w:ilvl="2">
      <w:start w:val="0"/>
      <w:numFmt w:val="bullet"/>
      <w:lvlText w:val="•"/>
      <w:lvlJc w:val="left"/>
      <w:pPr>
        <w:ind w:left="838" w:hanging="264"/>
      </w:pPr>
      <w:rPr>
        <w:rFonts w:hint="default"/>
        <w:lang w:val="en-US" w:eastAsia="en-US" w:bidi="ar-SA"/>
      </w:rPr>
    </w:lvl>
    <w:lvl w:ilvl="3">
      <w:start w:val="0"/>
      <w:numFmt w:val="bullet"/>
      <w:lvlText w:val="•"/>
      <w:lvlJc w:val="left"/>
      <w:pPr>
        <w:ind w:left="977" w:hanging="264"/>
      </w:pPr>
      <w:rPr>
        <w:rFonts w:hint="default"/>
        <w:lang w:val="en-US" w:eastAsia="en-US" w:bidi="ar-SA"/>
      </w:rPr>
    </w:lvl>
    <w:lvl w:ilvl="4">
      <w:start w:val="0"/>
      <w:numFmt w:val="bullet"/>
      <w:lvlText w:val="•"/>
      <w:lvlJc w:val="left"/>
      <w:pPr>
        <w:ind w:left="1117" w:hanging="264"/>
      </w:pPr>
      <w:rPr>
        <w:rFonts w:hint="default"/>
        <w:lang w:val="en-US" w:eastAsia="en-US" w:bidi="ar-SA"/>
      </w:rPr>
    </w:lvl>
    <w:lvl w:ilvl="5">
      <w:start w:val="0"/>
      <w:numFmt w:val="bullet"/>
      <w:lvlText w:val="•"/>
      <w:lvlJc w:val="left"/>
      <w:pPr>
        <w:ind w:left="1256" w:hanging="264"/>
      </w:pPr>
      <w:rPr>
        <w:rFonts w:hint="default"/>
        <w:lang w:val="en-US" w:eastAsia="en-US" w:bidi="ar-SA"/>
      </w:rPr>
    </w:lvl>
    <w:lvl w:ilvl="6">
      <w:start w:val="0"/>
      <w:numFmt w:val="bullet"/>
      <w:lvlText w:val="•"/>
      <w:lvlJc w:val="left"/>
      <w:pPr>
        <w:ind w:left="1395" w:hanging="264"/>
      </w:pPr>
      <w:rPr>
        <w:rFonts w:hint="default"/>
        <w:lang w:val="en-US" w:eastAsia="en-US" w:bidi="ar-SA"/>
      </w:rPr>
    </w:lvl>
    <w:lvl w:ilvl="7">
      <w:start w:val="0"/>
      <w:numFmt w:val="bullet"/>
      <w:lvlText w:val="•"/>
      <w:lvlJc w:val="left"/>
      <w:pPr>
        <w:ind w:left="1535" w:hanging="264"/>
      </w:pPr>
      <w:rPr>
        <w:rFonts w:hint="default"/>
        <w:lang w:val="en-US" w:eastAsia="en-US" w:bidi="ar-SA"/>
      </w:rPr>
    </w:lvl>
    <w:lvl w:ilvl="8">
      <w:start w:val="0"/>
      <w:numFmt w:val="bullet"/>
      <w:lvlText w:val="•"/>
      <w:lvlJc w:val="left"/>
      <w:pPr>
        <w:ind w:left="1674" w:hanging="264"/>
      </w:pPr>
      <w:rPr>
        <w:rFonts w:hint="default"/>
        <w:lang w:val="en-US" w:eastAsia="en-US" w:bidi="ar-SA"/>
      </w:rPr>
    </w:lvl>
  </w:abstractNum>
  <w:abstractNum w:abstractNumId="18">
    <w:nsid w:val="39189E95"/>
    <w:multiLevelType w:val="hybridMultilevel"/>
    <w:tmpl w:val="00000000"/>
    <w:lvl w:ilvl="0">
      <w:start w:val="0"/>
      <w:numFmt w:val="bullet"/>
      <w:lvlText w:val="•"/>
      <w:lvlJc w:val="left"/>
      <w:pPr>
        <w:ind w:left="19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62" w:hanging="360"/>
      </w:pPr>
      <w:rPr>
        <w:rFonts w:hint="default"/>
        <w:lang w:val="en-US" w:eastAsia="en-US" w:bidi="ar-SA"/>
      </w:rPr>
    </w:lvl>
    <w:lvl w:ilvl="2">
      <w:start w:val="0"/>
      <w:numFmt w:val="bullet"/>
      <w:lvlText w:val="•"/>
      <w:lvlJc w:val="left"/>
      <w:pPr>
        <w:ind w:left="3784" w:hanging="360"/>
      </w:pPr>
      <w:rPr>
        <w:rFonts w:hint="default"/>
        <w:lang w:val="en-US" w:eastAsia="en-US" w:bidi="ar-SA"/>
      </w:rPr>
    </w:lvl>
    <w:lvl w:ilvl="3">
      <w:start w:val="0"/>
      <w:numFmt w:val="bullet"/>
      <w:lvlText w:val="•"/>
      <w:lvlJc w:val="left"/>
      <w:pPr>
        <w:ind w:left="4706" w:hanging="360"/>
      </w:pPr>
      <w:rPr>
        <w:rFonts w:hint="default"/>
        <w:lang w:val="en-US" w:eastAsia="en-US" w:bidi="ar-SA"/>
      </w:rPr>
    </w:lvl>
    <w:lvl w:ilvl="4">
      <w:start w:val="0"/>
      <w:numFmt w:val="bullet"/>
      <w:lvlText w:val="•"/>
      <w:lvlJc w:val="left"/>
      <w:pPr>
        <w:ind w:left="5628" w:hanging="360"/>
      </w:pPr>
      <w:rPr>
        <w:rFonts w:hint="default"/>
        <w:lang w:val="en-US" w:eastAsia="en-US" w:bidi="ar-SA"/>
      </w:rPr>
    </w:lvl>
    <w:lvl w:ilvl="5">
      <w:start w:val="0"/>
      <w:numFmt w:val="bullet"/>
      <w:lvlText w:val="•"/>
      <w:lvlJc w:val="left"/>
      <w:pPr>
        <w:ind w:left="6550" w:hanging="360"/>
      </w:pPr>
      <w:rPr>
        <w:rFonts w:hint="default"/>
        <w:lang w:val="en-US" w:eastAsia="en-US" w:bidi="ar-SA"/>
      </w:rPr>
    </w:lvl>
    <w:lvl w:ilvl="6">
      <w:start w:val="0"/>
      <w:numFmt w:val="bullet"/>
      <w:lvlText w:val="•"/>
      <w:lvlJc w:val="left"/>
      <w:pPr>
        <w:ind w:left="7472" w:hanging="360"/>
      </w:pPr>
      <w:rPr>
        <w:rFonts w:hint="default"/>
        <w:lang w:val="en-US" w:eastAsia="en-US" w:bidi="ar-SA"/>
      </w:rPr>
    </w:lvl>
    <w:lvl w:ilvl="7">
      <w:start w:val="0"/>
      <w:numFmt w:val="bullet"/>
      <w:lvlText w:val="•"/>
      <w:lvlJc w:val="left"/>
      <w:pPr>
        <w:ind w:left="8394" w:hanging="360"/>
      </w:pPr>
      <w:rPr>
        <w:rFonts w:hint="default"/>
        <w:lang w:val="en-US" w:eastAsia="en-US" w:bidi="ar-SA"/>
      </w:rPr>
    </w:lvl>
    <w:lvl w:ilvl="8">
      <w:start w:val="0"/>
      <w:numFmt w:val="bullet"/>
      <w:lvlText w:val="•"/>
      <w:lvlJc w:val="left"/>
      <w:pPr>
        <w:ind w:left="9316" w:hanging="360"/>
      </w:pPr>
      <w:rPr>
        <w:rFonts w:hint="default"/>
        <w:lang w:val="en-US" w:eastAsia="en-US" w:bidi="ar-SA"/>
      </w:rPr>
    </w:lvl>
  </w:abstractNum>
  <w:abstractNum w:abstractNumId="19">
    <w:nsid w:val="39CA601C"/>
    <w:multiLevelType w:val="hybridMultilevel"/>
    <w:tmpl w:val="00000000"/>
    <w:lvl w:ilvl="0">
      <w:start w:val="1"/>
      <w:numFmt w:val="upperRoman"/>
      <w:lvlText w:val="%1."/>
      <w:lvlJc w:val="left"/>
      <w:pPr>
        <w:ind w:left="679" w:hanging="17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start w:val="1"/>
      <w:numFmt w:val="upperRoman"/>
      <w:lvlText w:val="%2."/>
      <w:lvlJc w:val="left"/>
      <w:pPr>
        <w:ind w:left="1039" w:hanging="17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start w:val="0"/>
      <w:numFmt w:val="bullet"/>
      <w:lvlText w:val="•"/>
      <w:lvlJc w:val="left"/>
      <w:pPr>
        <w:ind w:left="2164" w:hanging="176"/>
      </w:pPr>
      <w:rPr>
        <w:rFonts w:hint="default"/>
        <w:lang w:val="en-US" w:eastAsia="en-US" w:bidi="ar-SA"/>
      </w:rPr>
    </w:lvl>
    <w:lvl w:ilvl="3">
      <w:start w:val="0"/>
      <w:numFmt w:val="bullet"/>
      <w:lvlText w:val="•"/>
      <w:lvlJc w:val="left"/>
      <w:pPr>
        <w:ind w:left="3288" w:hanging="176"/>
      </w:pPr>
      <w:rPr>
        <w:rFonts w:hint="default"/>
        <w:lang w:val="en-US" w:eastAsia="en-US" w:bidi="ar-SA"/>
      </w:rPr>
    </w:lvl>
    <w:lvl w:ilvl="4">
      <w:start w:val="0"/>
      <w:numFmt w:val="bullet"/>
      <w:lvlText w:val="•"/>
      <w:lvlJc w:val="left"/>
      <w:pPr>
        <w:ind w:left="4413" w:hanging="176"/>
      </w:pPr>
      <w:rPr>
        <w:rFonts w:hint="default"/>
        <w:lang w:val="en-US" w:eastAsia="en-US" w:bidi="ar-SA"/>
      </w:rPr>
    </w:lvl>
    <w:lvl w:ilvl="5">
      <w:start w:val="0"/>
      <w:numFmt w:val="bullet"/>
      <w:lvlText w:val="•"/>
      <w:lvlJc w:val="left"/>
      <w:pPr>
        <w:ind w:left="5537" w:hanging="176"/>
      </w:pPr>
      <w:rPr>
        <w:rFonts w:hint="default"/>
        <w:lang w:val="en-US" w:eastAsia="en-US" w:bidi="ar-SA"/>
      </w:rPr>
    </w:lvl>
    <w:lvl w:ilvl="6">
      <w:start w:val="0"/>
      <w:numFmt w:val="bullet"/>
      <w:lvlText w:val="•"/>
      <w:lvlJc w:val="left"/>
      <w:pPr>
        <w:ind w:left="6662" w:hanging="176"/>
      </w:pPr>
      <w:rPr>
        <w:rFonts w:hint="default"/>
        <w:lang w:val="en-US" w:eastAsia="en-US" w:bidi="ar-SA"/>
      </w:rPr>
    </w:lvl>
    <w:lvl w:ilvl="7">
      <w:start w:val="0"/>
      <w:numFmt w:val="bullet"/>
      <w:lvlText w:val="•"/>
      <w:lvlJc w:val="left"/>
      <w:pPr>
        <w:ind w:left="7786" w:hanging="176"/>
      </w:pPr>
      <w:rPr>
        <w:rFonts w:hint="default"/>
        <w:lang w:val="en-US" w:eastAsia="en-US" w:bidi="ar-SA"/>
      </w:rPr>
    </w:lvl>
    <w:lvl w:ilvl="8">
      <w:start w:val="0"/>
      <w:numFmt w:val="bullet"/>
      <w:lvlText w:val="•"/>
      <w:lvlJc w:val="left"/>
      <w:pPr>
        <w:ind w:left="8911" w:hanging="176"/>
      </w:pPr>
      <w:rPr>
        <w:rFonts w:hint="default"/>
        <w:lang w:val="en-US" w:eastAsia="en-US" w:bidi="ar-SA"/>
      </w:rPr>
    </w:lvl>
  </w:abstractNum>
  <w:abstractNum w:abstractNumId="20">
    <w:nsid w:val="3A4EEE23"/>
    <w:multiLevelType w:val="hybridMultilevel"/>
    <w:tmpl w:val="00000000"/>
    <w:lvl w:ilvl="0">
      <w:start w:val="1"/>
      <w:numFmt w:val="lowerRoman"/>
      <w:lvlText w:val="(%1)"/>
      <w:lvlJc w:val="left"/>
      <w:pPr>
        <w:ind w:left="419" w:hanging="264"/>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601" w:hanging="264"/>
      </w:pPr>
      <w:rPr>
        <w:rFonts w:hint="default"/>
        <w:lang w:val="en-US" w:eastAsia="en-US" w:bidi="ar-SA"/>
      </w:rPr>
    </w:lvl>
    <w:lvl w:ilvl="2">
      <w:start w:val="0"/>
      <w:numFmt w:val="bullet"/>
      <w:lvlText w:val="•"/>
      <w:lvlJc w:val="left"/>
      <w:pPr>
        <w:ind w:left="783" w:hanging="264"/>
      </w:pPr>
      <w:rPr>
        <w:rFonts w:hint="default"/>
        <w:lang w:val="en-US" w:eastAsia="en-US" w:bidi="ar-SA"/>
      </w:rPr>
    </w:lvl>
    <w:lvl w:ilvl="3">
      <w:start w:val="0"/>
      <w:numFmt w:val="bullet"/>
      <w:lvlText w:val="•"/>
      <w:lvlJc w:val="left"/>
      <w:pPr>
        <w:ind w:left="964" w:hanging="264"/>
      </w:pPr>
      <w:rPr>
        <w:rFonts w:hint="default"/>
        <w:lang w:val="en-US" w:eastAsia="en-US" w:bidi="ar-SA"/>
      </w:rPr>
    </w:lvl>
    <w:lvl w:ilvl="4">
      <w:start w:val="0"/>
      <w:numFmt w:val="bullet"/>
      <w:lvlText w:val="•"/>
      <w:lvlJc w:val="left"/>
      <w:pPr>
        <w:ind w:left="1146" w:hanging="264"/>
      </w:pPr>
      <w:rPr>
        <w:rFonts w:hint="default"/>
        <w:lang w:val="en-US" w:eastAsia="en-US" w:bidi="ar-SA"/>
      </w:rPr>
    </w:lvl>
    <w:lvl w:ilvl="5">
      <w:start w:val="0"/>
      <w:numFmt w:val="bullet"/>
      <w:lvlText w:val="•"/>
      <w:lvlJc w:val="left"/>
      <w:pPr>
        <w:ind w:left="1327" w:hanging="264"/>
      </w:pPr>
      <w:rPr>
        <w:rFonts w:hint="default"/>
        <w:lang w:val="en-US" w:eastAsia="en-US" w:bidi="ar-SA"/>
      </w:rPr>
    </w:lvl>
    <w:lvl w:ilvl="6">
      <w:start w:val="0"/>
      <w:numFmt w:val="bullet"/>
      <w:lvlText w:val="•"/>
      <w:lvlJc w:val="left"/>
      <w:pPr>
        <w:ind w:left="1509" w:hanging="264"/>
      </w:pPr>
      <w:rPr>
        <w:rFonts w:hint="default"/>
        <w:lang w:val="en-US" w:eastAsia="en-US" w:bidi="ar-SA"/>
      </w:rPr>
    </w:lvl>
    <w:lvl w:ilvl="7">
      <w:start w:val="0"/>
      <w:numFmt w:val="bullet"/>
      <w:lvlText w:val="•"/>
      <w:lvlJc w:val="left"/>
      <w:pPr>
        <w:ind w:left="1690" w:hanging="264"/>
      </w:pPr>
      <w:rPr>
        <w:rFonts w:hint="default"/>
        <w:lang w:val="en-US" w:eastAsia="en-US" w:bidi="ar-SA"/>
      </w:rPr>
    </w:lvl>
    <w:lvl w:ilvl="8">
      <w:start w:val="0"/>
      <w:numFmt w:val="bullet"/>
      <w:lvlText w:val="•"/>
      <w:lvlJc w:val="left"/>
      <w:pPr>
        <w:ind w:left="1872" w:hanging="264"/>
      </w:pPr>
      <w:rPr>
        <w:rFonts w:hint="default"/>
        <w:lang w:val="en-US" w:eastAsia="en-US" w:bidi="ar-SA"/>
      </w:rPr>
    </w:lvl>
  </w:abstractNum>
  <w:abstractNum w:abstractNumId="21">
    <w:nsid w:val="3E3DFE93"/>
    <w:multiLevelType w:val="hybridMultilevel"/>
    <w:tmpl w:val="00000000"/>
    <w:lvl w:ilvl="0">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38" w:hanging="360"/>
      </w:pPr>
      <w:rPr>
        <w:rFonts w:hint="default"/>
        <w:lang w:val="en-US" w:eastAsia="en-US" w:bidi="ar-SA"/>
      </w:rPr>
    </w:lvl>
    <w:lvl w:ilvl="2">
      <w:start w:val="0"/>
      <w:numFmt w:val="bullet"/>
      <w:lvlText w:val="•"/>
      <w:lvlJc w:val="left"/>
      <w:pPr>
        <w:ind w:left="3496" w:hanging="360"/>
      </w:pPr>
      <w:rPr>
        <w:rFonts w:hint="default"/>
        <w:lang w:val="en-US" w:eastAsia="en-US" w:bidi="ar-SA"/>
      </w:rPr>
    </w:lvl>
    <w:lvl w:ilvl="3">
      <w:start w:val="0"/>
      <w:numFmt w:val="bullet"/>
      <w:lvlText w:val="•"/>
      <w:lvlJc w:val="left"/>
      <w:pPr>
        <w:ind w:left="4454" w:hanging="360"/>
      </w:pPr>
      <w:rPr>
        <w:rFonts w:hint="default"/>
        <w:lang w:val="en-US" w:eastAsia="en-US" w:bidi="ar-SA"/>
      </w:rPr>
    </w:lvl>
    <w:lvl w:ilvl="4">
      <w:start w:val="0"/>
      <w:numFmt w:val="bullet"/>
      <w:lvlText w:val="•"/>
      <w:lvlJc w:val="left"/>
      <w:pPr>
        <w:ind w:left="5412" w:hanging="360"/>
      </w:pPr>
      <w:rPr>
        <w:rFonts w:hint="default"/>
        <w:lang w:val="en-US" w:eastAsia="en-US" w:bidi="ar-SA"/>
      </w:rPr>
    </w:lvl>
    <w:lvl w:ilvl="5">
      <w:start w:val="0"/>
      <w:numFmt w:val="bullet"/>
      <w:lvlText w:val="•"/>
      <w:lvlJc w:val="left"/>
      <w:pPr>
        <w:ind w:left="6370" w:hanging="360"/>
      </w:pPr>
      <w:rPr>
        <w:rFonts w:hint="default"/>
        <w:lang w:val="en-US" w:eastAsia="en-US" w:bidi="ar-SA"/>
      </w:rPr>
    </w:lvl>
    <w:lvl w:ilvl="6">
      <w:start w:val="0"/>
      <w:numFmt w:val="bullet"/>
      <w:lvlText w:val="•"/>
      <w:lvlJc w:val="left"/>
      <w:pPr>
        <w:ind w:left="7328" w:hanging="360"/>
      </w:pPr>
      <w:rPr>
        <w:rFonts w:hint="default"/>
        <w:lang w:val="en-US" w:eastAsia="en-US" w:bidi="ar-SA"/>
      </w:rPr>
    </w:lvl>
    <w:lvl w:ilvl="7">
      <w:start w:val="0"/>
      <w:numFmt w:val="bullet"/>
      <w:lvlText w:val="•"/>
      <w:lvlJc w:val="left"/>
      <w:pPr>
        <w:ind w:left="8286" w:hanging="360"/>
      </w:pPr>
      <w:rPr>
        <w:rFonts w:hint="default"/>
        <w:lang w:val="en-US" w:eastAsia="en-US" w:bidi="ar-SA"/>
      </w:rPr>
    </w:lvl>
    <w:lvl w:ilvl="8">
      <w:start w:val="0"/>
      <w:numFmt w:val="bullet"/>
      <w:lvlText w:val="•"/>
      <w:lvlJc w:val="left"/>
      <w:pPr>
        <w:ind w:left="9244" w:hanging="360"/>
      </w:pPr>
      <w:rPr>
        <w:rFonts w:hint="default"/>
        <w:lang w:val="en-US" w:eastAsia="en-US" w:bidi="ar-SA"/>
      </w:rPr>
    </w:lvl>
  </w:abstractNum>
  <w:abstractNum w:abstractNumId="22">
    <w:nsid w:val="3FCCC605"/>
    <w:multiLevelType w:val="hybridMultilevel"/>
    <w:tmpl w:val="00000000"/>
    <w:lvl w:ilvl="0">
      <w:start w:val="1"/>
      <w:numFmt w:val="lowerRoman"/>
      <w:lvlText w:val="(%1)"/>
      <w:lvlJc w:val="left"/>
      <w:pPr>
        <w:ind w:left="419" w:hanging="264"/>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601" w:hanging="264"/>
      </w:pPr>
      <w:rPr>
        <w:rFonts w:hint="default"/>
        <w:lang w:val="en-US" w:eastAsia="en-US" w:bidi="ar-SA"/>
      </w:rPr>
    </w:lvl>
    <w:lvl w:ilvl="2">
      <w:start w:val="0"/>
      <w:numFmt w:val="bullet"/>
      <w:lvlText w:val="•"/>
      <w:lvlJc w:val="left"/>
      <w:pPr>
        <w:ind w:left="783" w:hanging="264"/>
      </w:pPr>
      <w:rPr>
        <w:rFonts w:hint="default"/>
        <w:lang w:val="en-US" w:eastAsia="en-US" w:bidi="ar-SA"/>
      </w:rPr>
    </w:lvl>
    <w:lvl w:ilvl="3">
      <w:start w:val="0"/>
      <w:numFmt w:val="bullet"/>
      <w:lvlText w:val="•"/>
      <w:lvlJc w:val="left"/>
      <w:pPr>
        <w:ind w:left="964" w:hanging="264"/>
      </w:pPr>
      <w:rPr>
        <w:rFonts w:hint="default"/>
        <w:lang w:val="en-US" w:eastAsia="en-US" w:bidi="ar-SA"/>
      </w:rPr>
    </w:lvl>
    <w:lvl w:ilvl="4">
      <w:start w:val="0"/>
      <w:numFmt w:val="bullet"/>
      <w:lvlText w:val="•"/>
      <w:lvlJc w:val="left"/>
      <w:pPr>
        <w:ind w:left="1146" w:hanging="264"/>
      </w:pPr>
      <w:rPr>
        <w:rFonts w:hint="default"/>
        <w:lang w:val="en-US" w:eastAsia="en-US" w:bidi="ar-SA"/>
      </w:rPr>
    </w:lvl>
    <w:lvl w:ilvl="5">
      <w:start w:val="0"/>
      <w:numFmt w:val="bullet"/>
      <w:lvlText w:val="•"/>
      <w:lvlJc w:val="left"/>
      <w:pPr>
        <w:ind w:left="1327" w:hanging="264"/>
      </w:pPr>
      <w:rPr>
        <w:rFonts w:hint="default"/>
        <w:lang w:val="en-US" w:eastAsia="en-US" w:bidi="ar-SA"/>
      </w:rPr>
    </w:lvl>
    <w:lvl w:ilvl="6">
      <w:start w:val="0"/>
      <w:numFmt w:val="bullet"/>
      <w:lvlText w:val="•"/>
      <w:lvlJc w:val="left"/>
      <w:pPr>
        <w:ind w:left="1509" w:hanging="264"/>
      </w:pPr>
      <w:rPr>
        <w:rFonts w:hint="default"/>
        <w:lang w:val="en-US" w:eastAsia="en-US" w:bidi="ar-SA"/>
      </w:rPr>
    </w:lvl>
    <w:lvl w:ilvl="7">
      <w:start w:val="0"/>
      <w:numFmt w:val="bullet"/>
      <w:lvlText w:val="•"/>
      <w:lvlJc w:val="left"/>
      <w:pPr>
        <w:ind w:left="1690" w:hanging="264"/>
      </w:pPr>
      <w:rPr>
        <w:rFonts w:hint="default"/>
        <w:lang w:val="en-US" w:eastAsia="en-US" w:bidi="ar-SA"/>
      </w:rPr>
    </w:lvl>
    <w:lvl w:ilvl="8">
      <w:start w:val="0"/>
      <w:numFmt w:val="bullet"/>
      <w:lvlText w:val="•"/>
      <w:lvlJc w:val="left"/>
      <w:pPr>
        <w:ind w:left="1872" w:hanging="264"/>
      </w:pPr>
      <w:rPr>
        <w:rFonts w:hint="default"/>
        <w:lang w:val="en-US" w:eastAsia="en-US" w:bidi="ar-SA"/>
      </w:rPr>
    </w:lvl>
  </w:abstractNum>
  <w:abstractNum w:abstractNumId="23">
    <w:nsid w:val="46FDD6E6"/>
    <w:multiLevelType w:val="hybridMultilevel"/>
    <w:tmpl w:val="00000000"/>
    <w:lvl w:ilvl="0">
      <w:start w:val="1"/>
      <w:numFmt w:val="upperRoman"/>
      <w:lvlText w:val="%1."/>
      <w:lvlJc w:val="left"/>
      <w:pPr>
        <w:ind w:left="706" w:hanging="202"/>
        <w:jc w:val="left"/>
      </w:pPr>
      <w:rPr>
        <w:rFonts w:ascii="Arial" w:eastAsia="Arial" w:hAnsi="Arial" w:cs="Arial" w:hint="default"/>
        <w:b/>
        <w:bCs/>
        <w:i w:val="0"/>
        <w:iCs w:val="0"/>
        <w:spacing w:val="-1"/>
        <w:w w:val="99"/>
        <w:sz w:val="26"/>
        <w:szCs w:val="26"/>
        <w:lang w:val="en-US" w:eastAsia="en-US" w:bidi="ar-SA"/>
      </w:rPr>
    </w:lvl>
    <w:lvl w:ilvl="1">
      <w:start w:val="1"/>
      <w:numFmt w:val="upperLetter"/>
      <w:lvlText w:val="%2."/>
      <w:lvlJc w:val="left"/>
      <w:pPr>
        <w:ind w:left="778" w:hanging="274"/>
        <w:jc w:val="left"/>
      </w:pPr>
      <w:rPr>
        <w:rFonts w:ascii="Arial" w:eastAsia="Arial" w:hAnsi="Arial" w:cs="Arial" w:hint="default"/>
        <w:b/>
        <w:bCs/>
        <w:i w:val="0"/>
        <w:iCs w:val="0"/>
        <w:spacing w:val="0"/>
        <w:w w:val="100"/>
        <w:sz w:val="21"/>
        <w:szCs w:val="21"/>
        <w:lang w:val="en-US" w:eastAsia="en-US" w:bidi="ar-SA"/>
      </w:rPr>
    </w:lvl>
    <w:lvl w:ilvl="2">
      <w:start w:val="1"/>
      <w:numFmt w:val="decimal"/>
      <w:lvlText w:val="%3."/>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3.%4"/>
      <w:lvlJc w:val="left"/>
      <w:pPr>
        <w:ind w:left="1584"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3.%4.%5"/>
      <w:lvlJc w:val="left"/>
      <w:pPr>
        <w:ind w:left="2304"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0"/>
      <w:numFmt w:val="bullet"/>
      <w:lvlText w:val="•"/>
      <w:lvlJc w:val="left"/>
      <w:pPr>
        <w:ind w:left="3776" w:hanging="720"/>
      </w:pPr>
      <w:rPr>
        <w:rFonts w:hint="default"/>
        <w:lang w:val="en-US" w:eastAsia="en-US" w:bidi="ar-SA"/>
      </w:rPr>
    </w:lvl>
    <w:lvl w:ilvl="6">
      <w:start w:val="0"/>
      <w:numFmt w:val="bullet"/>
      <w:lvlText w:val="•"/>
      <w:lvlJc w:val="left"/>
      <w:pPr>
        <w:ind w:left="5253" w:hanging="720"/>
      </w:pPr>
      <w:rPr>
        <w:rFonts w:hint="default"/>
        <w:lang w:val="en-US" w:eastAsia="en-US" w:bidi="ar-SA"/>
      </w:rPr>
    </w:lvl>
    <w:lvl w:ilvl="7">
      <w:start w:val="0"/>
      <w:numFmt w:val="bullet"/>
      <w:lvlText w:val="•"/>
      <w:lvlJc w:val="left"/>
      <w:pPr>
        <w:ind w:left="6730" w:hanging="720"/>
      </w:pPr>
      <w:rPr>
        <w:rFonts w:hint="default"/>
        <w:lang w:val="en-US" w:eastAsia="en-US" w:bidi="ar-SA"/>
      </w:rPr>
    </w:lvl>
    <w:lvl w:ilvl="8">
      <w:start w:val="0"/>
      <w:numFmt w:val="bullet"/>
      <w:lvlText w:val="•"/>
      <w:lvlJc w:val="left"/>
      <w:pPr>
        <w:ind w:left="8206" w:hanging="720"/>
      </w:pPr>
      <w:rPr>
        <w:rFonts w:hint="default"/>
        <w:lang w:val="en-US" w:eastAsia="en-US" w:bidi="ar-SA"/>
      </w:rPr>
    </w:lvl>
  </w:abstractNum>
  <w:abstractNum w:abstractNumId="24">
    <w:nsid w:val="48230B3D"/>
    <w:multiLevelType w:val="hybridMultilevel"/>
    <w:tmpl w:val="00000000"/>
    <w:lvl w:ilvl="0">
      <w:start w:val="1"/>
      <w:numFmt w:val="lowerRoman"/>
      <w:lvlText w:val="(%1)"/>
      <w:lvlJc w:val="left"/>
      <w:pPr>
        <w:ind w:left="168" w:hanging="264"/>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339" w:hanging="264"/>
      </w:pPr>
      <w:rPr>
        <w:rFonts w:hint="default"/>
        <w:lang w:val="en-US" w:eastAsia="en-US" w:bidi="ar-SA"/>
      </w:rPr>
    </w:lvl>
    <w:lvl w:ilvl="2">
      <w:start w:val="0"/>
      <w:numFmt w:val="bullet"/>
      <w:lvlText w:val="•"/>
      <w:lvlJc w:val="left"/>
      <w:pPr>
        <w:ind w:left="518" w:hanging="264"/>
      </w:pPr>
      <w:rPr>
        <w:rFonts w:hint="default"/>
        <w:lang w:val="en-US" w:eastAsia="en-US" w:bidi="ar-SA"/>
      </w:rPr>
    </w:lvl>
    <w:lvl w:ilvl="3">
      <w:start w:val="0"/>
      <w:numFmt w:val="bullet"/>
      <w:lvlText w:val="•"/>
      <w:lvlJc w:val="left"/>
      <w:pPr>
        <w:ind w:left="697" w:hanging="264"/>
      </w:pPr>
      <w:rPr>
        <w:rFonts w:hint="default"/>
        <w:lang w:val="en-US" w:eastAsia="en-US" w:bidi="ar-SA"/>
      </w:rPr>
    </w:lvl>
    <w:lvl w:ilvl="4">
      <w:start w:val="0"/>
      <w:numFmt w:val="bullet"/>
      <w:lvlText w:val="•"/>
      <w:lvlJc w:val="left"/>
      <w:pPr>
        <w:ind w:left="877" w:hanging="264"/>
      </w:pPr>
      <w:rPr>
        <w:rFonts w:hint="default"/>
        <w:lang w:val="en-US" w:eastAsia="en-US" w:bidi="ar-SA"/>
      </w:rPr>
    </w:lvl>
    <w:lvl w:ilvl="5">
      <w:start w:val="0"/>
      <w:numFmt w:val="bullet"/>
      <w:lvlText w:val="•"/>
      <w:lvlJc w:val="left"/>
      <w:pPr>
        <w:ind w:left="1056" w:hanging="264"/>
      </w:pPr>
      <w:rPr>
        <w:rFonts w:hint="default"/>
        <w:lang w:val="en-US" w:eastAsia="en-US" w:bidi="ar-SA"/>
      </w:rPr>
    </w:lvl>
    <w:lvl w:ilvl="6">
      <w:start w:val="0"/>
      <w:numFmt w:val="bullet"/>
      <w:lvlText w:val="•"/>
      <w:lvlJc w:val="left"/>
      <w:pPr>
        <w:ind w:left="1235" w:hanging="264"/>
      </w:pPr>
      <w:rPr>
        <w:rFonts w:hint="default"/>
        <w:lang w:val="en-US" w:eastAsia="en-US" w:bidi="ar-SA"/>
      </w:rPr>
    </w:lvl>
    <w:lvl w:ilvl="7">
      <w:start w:val="0"/>
      <w:numFmt w:val="bullet"/>
      <w:lvlText w:val="•"/>
      <w:lvlJc w:val="left"/>
      <w:pPr>
        <w:ind w:left="1415" w:hanging="264"/>
      </w:pPr>
      <w:rPr>
        <w:rFonts w:hint="default"/>
        <w:lang w:val="en-US" w:eastAsia="en-US" w:bidi="ar-SA"/>
      </w:rPr>
    </w:lvl>
    <w:lvl w:ilvl="8">
      <w:start w:val="0"/>
      <w:numFmt w:val="bullet"/>
      <w:lvlText w:val="•"/>
      <w:lvlJc w:val="left"/>
      <w:pPr>
        <w:ind w:left="1594" w:hanging="264"/>
      </w:pPr>
      <w:rPr>
        <w:rFonts w:hint="default"/>
        <w:lang w:val="en-US" w:eastAsia="en-US" w:bidi="ar-SA"/>
      </w:rPr>
    </w:lvl>
  </w:abstractNum>
  <w:abstractNum w:abstractNumId="25">
    <w:nsid w:val="49E2C015"/>
    <w:multiLevelType w:val="hybridMultilevel"/>
    <w:tmpl w:val="00000000"/>
    <w:lvl w:ilvl="0">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38" w:hanging="360"/>
      </w:pPr>
      <w:rPr>
        <w:rFonts w:hint="default"/>
        <w:lang w:val="en-US" w:eastAsia="en-US" w:bidi="ar-SA"/>
      </w:rPr>
    </w:lvl>
    <w:lvl w:ilvl="2">
      <w:start w:val="0"/>
      <w:numFmt w:val="bullet"/>
      <w:lvlText w:val="•"/>
      <w:lvlJc w:val="left"/>
      <w:pPr>
        <w:ind w:left="3496" w:hanging="360"/>
      </w:pPr>
      <w:rPr>
        <w:rFonts w:hint="default"/>
        <w:lang w:val="en-US" w:eastAsia="en-US" w:bidi="ar-SA"/>
      </w:rPr>
    </w:lvl>
    <w:lvl w:ilvl="3">
      <w:start w:val="0"/>
      <w:numFmt w:val="bullet"/>
      <w:lvlText w:val="•"/>
      <w:lvlJc w:val="left"/>
      <w:pPr>
        <w:ind w:left="4454" w:hanging="360"/>
      </w:pPr>
      <w:rPr>
        <w:rFonts w:hint="default"/>
        <w:lang w:val="en-US" w:eastAsia="en-US" w:bidi="ar-SA"/>
      </w:rPr>
    </w:lvl>
    <w:lvl w:ilvl="4">
      <w:start w:val="0"/>
      <w:numFmt w:val="bullet"/>
      <w:lvlText w:val="•"/>
      <w:lvlJc w:val="left"/>
      <w:pPr>
        <w:ind w:left="5412" w:hanging="360"/>
      </w:pPr>
      <w:rPr>
        <w:rFonts w:hint="default"/>
        <w:lang w:val="en-US" w:eastAsia="en-US" w:bidi="ar-SA"/>
      </w:rPr>
    </w:lvl>
    <w:lvl w:ilvl="5">
      <w:start w:val="0"/>
      <w:numFmt w:val="bullet"/>
      <w:lvlText w:val="•"/>
      <w:lvlJc w:val="left"/>
      <w:pPr>
        <w:ind w:left="6370" w:hanging="360"/>
      </w:pPr>
      <w:rPr>
        <w:rFonts w:hint="default"/>
        <w:lang w:val="en-US" w:eastAsia="en-US" w:bidi="ar-SA"/>
      </w:rPr>
    </w:lvl>
    <w:lvl w:ilvl="6">
      <w:start w:val="0"/>
      <w:numFmt w:val="bullet"/>
      <w:lvlText w:val="•"/>
      <w:lvlJc w:val="left"/>
      <w:pPr>
        <w:ind w:left="7328" w:hanging="360"/>
      </w:pPr>
      <w:rPr>
        <w:rFonts w:hint="default"/>
        <w:lang w:val="en-US" w:eastAsia="en-US" w:bidi="ar-SA"/>
      </w:rPr>
    </w:lvl>
    <w:lvl w:ilvl="7">
      <w:start w:val="0"/>
      <w:numFmt w:val="bullet"/>
      <w:lvlText w:val="•"/>
      <w:lvlJc w:val="left"/>
      <w:pPr>
        <w:ind w:left="8286" w:hanging="360"/>
      </w:pPr>
      <w:rPr>
        <w:rFonts w:hint="default"/>
        <w:lang w:val="en-US" w:eastAsia="en-US" w:bidi="ar-SA"/>
      </w:rPr>
    </w:lvl>
    <w:lvl w:ilvl="8">
      <w:start w:val="0"/>
      <w:numFmt w:val="bullet"/>
      <w:lvlText w:val="•"/>
      <w:lvlJc w:val="left"/>
      <w:pPr>
        <w:ind w:left="9244" w:hanging="360"/>
      </w:pPr>
      <w:rPr>
        <w:rFonts w:hint="default"/>
        <w:lang w:val="en-US" w:eastAsia="en-US" w:bidi="ar-SA"/>
      </w:rPr>
    </w:lvl>
  </w:abstractNum>
  <w:abstractNum w:abstractNumId="26">
    <w:nsid w:val="4F3D2986"/>
    <w:multiLevelType w:val="hybridMultilevel"/>
    <w:tmpl w:val="00000000"/>
    <w:lvl w:ilvl="0">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495" w:hanging="6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21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575"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0"/>
      <w:numFmt w:val="bullet"/>
      <w:lvlText w:val="◦"/>
      <w:lvlJc w:val="left"/>
      <w:pPr>
        <w:ind w:left="33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0"/>
      <w:numFmt w:val="bullet"/>
      <w:lvlText w:val=""/>
      <w:lvlJc w:val="left"/>
      <w:pPr>
        <w:ind w:left="3745" w:hanging="360"/>
      </w:pPr>
      <w:rPr>
        <w:rFonts w:ascii="Wingdings" w:eastAsia="Wingdings" w:hAnsi="Wingdings" w:cs="Wingdings" w:hint="default"/>
        <w:b w:val="0"/>
        <w:bCs w:val="0"/>
        <w:i w:val="0"/>
        <w:iCs w:val="0"/>
        <w:spacing w:val="0"/>
        <w:w w:val="99"/>
        <w:sz w:val="20"/>
        <w:szCs w:val="20"/>
        <w:lang w:val="en-US" w:eastAsia="en-US" w:bidi="ar-SA"/>
      </w:rPr>
    </w:lvl>
    <w:lvl w:ilvl="6">
      <w:start w:val="0"/>
      <w:numFmt w:val="bullet"/>
      <w:lvlText w:val="•"/>
      <w:lvlJc w:val="left"/>
      <w:pPr>
        <w:ind w:left="3380" w:hanging="360"/>
      </w:pPr>
      <w:rPr>
        <w:rFonts w:hint="default"/>
        <w:lang w:val="en-US" w:eastAsia="en-US" w:bidi="ar-SA"/>
      </w:rPr>
    </w:lvl>
    <w:lvl w:ilvl="7">
      <w:start w:val="0"/>
      <w:numFmt w:val="bullet"/>
      <w:lvlText w:val="•"/>
      <w:lvlJc w:val="left"/>
      <w:pPr>
        <w:ind w:left="3740" w:hanging="360"/>
      </w:pPr>
      <w:rPr>
        <w:rFonts w:hint="default"/>
        <w:lang w:val="en-US" w:eastAsia="en-US" w:bidi="ar-SA"/>
      </w:rPr>
    </w:lvl>
    <w:lvl w:ilvl="8">
      <w:start w:val="0"/>
      <w:numFmt w:val="bullet"/>
      <w:lvlText w:val="•"/>
      <w:lvlJc w:val="left"/>
      <w:pPr>
        <w:ind w:left="6213" w:hanging="360"/>
      </w:pPr>
      <w:rPr>
        <w:rFonts w:hint="default"/>
        <w:lang w:val="en-US" w:eastAsia="en-US" w:bidi="ar-SA"/>
      </w:rPr>
    </w:lvl>
  </w:abstractNum>
  <w:abstractNum w:abstractNumId="27">
    <w:nsid w:val="4F423F36"/>
    <w:multiLevelType w:val="hybridMultilevel"/>
    <w:tmpl w:val="00000000"/>
    <w:lvl w:ilvl="0">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38" w:hanging="360"/>
      </w:pPr>
      <w:rPr>
        <w:rFonts w:hint="default"/>
        <w:lang w:val="en-US" w:eastAsia="en-US" w:bidi="ar-SA"/>
      </w:rPr>
    </w:lvl>
    <w:lvl w:ilvl="2">
      <w:start w:val="0"/>
      <w:numFmt w:val="bullet"/>
      <w:lvlText w:val="•"/>
      <w:lvlJc w:val="left"/>
      <w:pPr>
        <w:ind w:left="3496" w:hanging="360"/>
      </w:pPr>
      <w:rPr>
        <w:rFonts w:hint="default"/>
        <w:lang w:val="en-US" w:eastAsia="en-US" w:bidi="ar-SA"/>
      </w:rPr>
    </w:lvl>
    <w:lvl w:ilvl="3">
      <w:start w:val="0"/>
      <w:numFmt w:val="bullet"/>
      <w:lvlText w:val="•"/>
      <w:lvlJc w:val="left"/>
      <w:pPr>
        <w:ind w:left="4454" w:hanging="360"/>
      </w:pPr>
      <w:rPr>
        <w:rFonts w:hint="default"/>
        <w:lang w:val="en-US" w:eastAsia="en-US" w:bidi="ar-SA"/>
      </w:rPr>
    </w:lvl>
    <w:lvl w:ilvl="4">
      <w:start w:val="0"/>
      <w:numFmt w:val="bullet"/>
      <w:lvlText w:val="•"/>
      <w:lvlJc w:val="left"/>
      <w:pPr>
        <w:ind w:left="5412" w:hanging="360"/>
      </w:pPr>
      <w:rPr>
        <w:rFonts w:hint="default"/>
        <w:lang w:val="en-US" w:eastAsia="en-US" w:bidi="ar-SA"/>
      </w:rPr>
    </w:lvl>
    <w:lvl w:ilvl="5">
      <w:start w:val="0"/>
      <w:numFmt w:val="bullet"/>
      <w:lvlText w:val="•"/>
      <w:lvlJc w:val="left"/>
      <w:pPr>
        <w:ind w:left="6370" w:hanging="360"/>
      </w:pPr>
      <w:rPr>
        <w:rFonts w:hint="default"/>
        <w:lang w:val="en-US" w:eastAsia="en-US" w:bidi="ar-SA"/>
      </w:rPr>
    </w:lvl>
    <w:lvl w:ilvl="6">
      <w:start w:val="0"/>
      <w:numFmt w:val="bullet"/>
      <w:lvlText w:val="•"/>
      <w:lvlJc w:val="left"/>
      <w:pPr>
        <w:ind w:left="7328" w:hanging="360"/>
      </w:pPr>
      <w:rPr>
        <w:rFonts w:hint="default"/>
        <w:lang w:val="en-US" w:eastAsia="en-US" w:bidi="ar-SA"/>
      </w:rPr>
    </w:lvl>
    <w:lvl w:ilvl="7">
      <w:start w:val="0"/>
      <w:numFmt w:val="bullet"/>
      <w:lvlText w:val="•"/>
      <w:lvlJc w:val="left"/>
      <w:pPr>
        <w:ind w:left="8286" w:hanging="360"/>
      </w:pPr>
      <w:rPr>
        <w:rFonts w:hint="default"/>
        <w:lang w:val="en-US" w:eastAsia="en-US" w:bidi="ar-SA"/>
      </w:rPr>
    </w:lvl>
    <w:lvl w:ilvl="8">
      <w:start w:val="0"/>
      <w:numFmt w:val="bullet"/>
      <w:lvlText w:val="•"/>
      <w:lvlJc w:val="left"/>
      <w:pPr>
        <w:ind w:left="9244" w:hanging="360"/>
      </w:pPr>
      <w:rPr>
        <w:rFonts w:hint="default"/>
        <w:lang w:val="en-US" w:eastAsia="en-US" w:bidi="ar-SA"/>
      </w:rPr>
    </w:lvl>
  </w:abstractNum>
  <w:abstractNum w:abstractNumId="28">
    <w:nsid w:val="504BBBD5"/>
    <w:multiLevelType w:val="hybridMultilevel"/>
    <w:tmpl w:val="00000000"/>
    <w:lvl w:ilvl="0">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38" w:hanging="360"/>
      </w:pPr>
      <w:rPr>
        <w:rFonts w:hint="default"/>
        <w:lang w:val="en-US" w:eastAsia="en-US" w:bidi="ar-SA"/>
      </w:rPr>
    </w:lvl>
    <w:lvl w:ilvl="2">
      <w:start w:val="0"/>
      <w:numFmt w:val="bullet"/>
      <w:lvlText w:val="•"/>
      <w:lvlJc w:val="left"/>
      <w:pPr>
        <w:ind w:left="3496" w:hanging="360"/>
      </w:pPr>
      <w:rPr>
        <w:rFonts w:hint="default"/>
        <w:lang w:val="en-US" w:eastAsia="en-US" w:bidi="ar-SA"/>
      </w:rPr>
    </w:lvl>
    <w:lvl w:ilvl="3">
      <w:start w:val="0"/>
      <w:numFmt w:val="bullet"/>
      <w:lvlText w:val="•"/>
      <w:lvlJc w:val="left"/>
      <w:pPr>
        <w:ind w:left="4454" w:hanging="360"/>
      </w:pPr>
      <w:rPr>
        <w:rFonts w:hint="default"/>
        <w:lang w:val="en-US" w:eastAsia="en-US" w:bidi="ar-SA"/>
      </w:rPr>
    </w:lvl>
    <w:lvl w:ilvl="4">
      <w:start w:val="0"/>
      <w:numFmt w:val="bullet"/>
      <w:lvlText w:val="•"/>
      <w:lvlJc w:val="left"/>
      <w:pPr>
        <w:ind w:left="5412" w:hanging="360"/>
      </w:pPr>
      <w:rPr>
        <w:rFonts w:hint="default"/>
        <w:lang w:val="en-US" w:eastAsia="en-US" w:bidi="ar-SA"/>
      </w:rPr>
    </w:lvl>
    <w:lvl w:ilvl="5">
      <w:start w:val="0"/>
      <w:numFmt w:val="bullet"/>
      <w:lvlText w:val="•"/>
      <w:lvlJc w:val="left"/>
      <w:pPr>
        <w:ind w:left="6370" w:hanging="360"/>
      </w:pPr>
      <w:rPr>
        <w:rFonts w:hint="default"/>
        <w:lang w:val="en-US" w:eastAsia="en-US" w:bidi="ar-SA"/>
      </w:rPr>
    </w:lvl>
    <w:lvl w:ilvl="6">
      <w:start w:val="0"/>
      <w:numFmt w:val="bullet"/>
      <w:lvlText w:val="•"/>
      <w:lvlJc w:val="left"/>
      <w:pPr>
        <w:ind w:left="7328" w:hanging="360"/>
      </w:pPr>
      <w:rPr>
        <w:rFonts w:hint="default"/>
        <w:lang w:val="en-US" w:eastAsia="en-US" w:bidi="ar-SA"/>
      </w:rPr>
    </w:lvl>
    <w:lvl w:ilvl="7">
      <w:start w:val="0"/>
      <w:numFmt w:val="bullet"/>
      <w:lvlText w:val="•"/>
      <w:lvlJc w:val="left"/>
      <w:pPr>
        <w:ind w:left="8286" w:hanging="360"/>
      </w:pPr>
      <w:rPr>
        <w:rFonts w:hint="default"/>
        <w:lang w:val="en-US" w:eastAsia="en-US" w:bidi="ar-SA"/>
      </w:rPr>
    </w:lvl>
    <w:lvl w:ilvl="8">
      <w:start w:val="0"/>
      <w:numFmt w:val="bullet"/>
      <w:lvlText w:val="•"/>
      <w:lvlJc w:val="left"/>
      <w:pPr>
        <w:ind w:left="9244" w:hanging="360"/>
      </w:pPr>
      <w:rPr>
        <w:rFonts w:hint="default"/>
        <w:lang w:val="en-US" w:eastAsia="en-US" w:bidi="ar-SA"/>
      </w:rPr>
    </w:lvl>
  </w:abstractNum>
  <w:abstractNum w:abstractNumId="29">
    <w:nsid w:val="53CDC516"/>
    <w:multiLevelType w:val="hybridMultilevel"/>
    <w:tmpl w:val="00000000"/>
    <w:lvl w:ilvl="0">
      <w:start w:val="1"/>
      <w:numFmt w:val="lowerRoman"/>
      <w:lvlText w:val="(%1)"/>
      <w:lvlJc w:val="left"/>
      <w:pPr>
        <w:ind w:left="566" w:hanging="264"/>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699" w:hanging="264"/>
      </w:pPr>
      <w:rPr>
        <w:rFonts w:hint="default"/>
        <w:lang w:val="en-US" w:eastAsia="en-US" w:bidi="ar-SA"/>
      </w:rPr>
    </w:lvl>
    <w:lvl w:ilvl="2">
      <w:start w:val="0"/>
      <w:numFmt w:val="bullet"/>
      <w:lvlText w:val="•"/>
      <w:lvlJc w:val="left"/>
      <w:pPr>
        <w:ind w:left="838" w:hanging="264"/>
      </w:pPr>
      <w:rPr>
        <w:rFonts w:hint="default"/>
        <w:lang w:val="en-US" w:eastAsia="en-US" w:bidi="ar-SA"/>
      </w:rPr>
    </w:lvl>
    <w:lvl w:ilvl="3">
      <w:start w:val="0"/>
      <w:numFmt w:val="bullet"/>
      <w:lvlText w:val="•"/>
      <w:lvlJc w:val="left"/>
      <w:pPr>
        <w:ind w:left="977" w:hanging="264"/>
      </w:pPr>
      <w:rPr>
        <w:rFonts w:hint="default"/>
        <w:lang w:val="en-US" w:eastAsia="en-US" w:bidi="ar-SA"/>
      </w:rPr>
    </w:lvl>
    <w:lvl w:ilvl="4">
      <w:start w:val="0"/>
      <w:numFmt w:val="bullet"/>
      <w:lvlText w:val="•"/>
      <w:lvlJc w:val="left"/>
      <w:pPr>
        <w:ind w:left="1117" w:hanging="264"/>
      </w:pPr>
      <w:rPr>
        <w:rFonts w:hint="default"/>
        <w:lang w:val="en-US" w:eastAsia="en-US" w:bidi="ar-SA"/>
      </w:rPr>
    </w:lvl>
    <w:lvl w:ilvl="5">
      <w:start w:val="0"/>
      <w:numFmt w:val="bullet"/>
      <w:lvlText w:val="•"/>
      <w:lvlJc w:val="left"/>
      <w:pPr>
        <w:ind w:left="1256" w:hanging="264"/>
      </w:pPr>
      <w:rPr>
        <w:rFonts w:hint="default"/>
        <w:lang w:val="en-US" w:eastAsia="en-US" w:bidi="ar-SA"/>
      </w:rPr>
    </w:lvl>
    <w:lvl w:ilvl="6">
      <w:start w:val="0"/>
      <w:numFmt w:val="bullet"/>
      <w:lvlText w:val="•"/>
      <w:lvlJc w:val="left"/>
      <w:pPr>
        <w:ind w:left="1395" w:hanging="264"/>
      </w:pPr>
      <w:rPr>
        <w:rFonts w:hint="default"/>
        <w:lang w:val="en-US" w:eastAsia="en-US" w:bidi="ar-SA"/>
      </w:rPr>
    </w:lvl>
    <w:lvl w:ilvl="7">
      <w:start w:val="0"/>
      <w:numFmt w:val="bullet"/>
      <w:lvlText w:val="•"/>
      <w:lvlJc w:val="left"/>
      <w:pPr>
        <w:ind w:left="1535" w:hanging="264"/>
      </w:pPr>
      <w:rPr>
        <w:rFonts w:hint="default"/>
        <w:lang w:val="en-US" w:eastAsia="en-US" w:bidi="ar-SA"/>
      </w:rPr>
    </w:lvl>
    <w:lvl w:ilvl="8">
      <w:start w:val="0"/>
      <w:numFmt w:val="bullet"/>
      <w:lvlText w:val="•"/>
      <w:lvlJc w:val="left"/>
      <w:pPr>
        <w:ind w:left="1674" w:hanging="264"/>
      </w:pPr>
      <w:rPr>
        <w:rFonts w:hint="default"/>
        <w:lang w:val="en-US" w:eastAsia="en-US" w:bidi="ar-SA"/>
      </w:rPr>
    </w:lvl>
  </w:abstractNum>
  <w:abstractNum w:abstractNumId="30">
    <w:nsid w:val="59125373"/>
    <w:multiLevelType w:val="hybridMultilevel"/>
    <w:tmpl w:val="00000000"/>
    <w:lvl w:ilvl="0">
      <w:start w:val="1"/>
      <w:numFmt w:val="lowerLetter"/>
      <w:lvlText w:val="%1."/>
      <w:lvlJc w:val="left"/>
      <w:pPr>
        <w:ind w:left="2232" w:hanging="64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132" w:hanging="648"/>
      </w:pPr>
      <w:rPr>
        <w:rFonts w:hint="default"/>
        <w:lang w:val="en-US" w:eastAsia="en-US" w:bidi="ar-SA"/>
      </w:rPr>
    </w:lvl>
    <w:lvl w:ilvl="2">
      <w:start w:val="0"/>
      <w:numFmt w:val="bullet"/>
      <w:lvlText w:val="•"/>
      <w:lvlJc w:val="left"/>
      <w:pPr>
        <w:ind w:left="4024" w:hanging="648"/>
      </w:pPr>
      <w:rPr>
        <w:rFonts w:hint="default"/>
        <w:lang w:val="en-US" w:eastAsia="en-US" w:bidi="ar-SA"/>
      </w:rPr>
    </w:lvl>
    <w:lvl w:ilvl="3">
      <w:start w:val="0"/>
      <w:numFmt w:val="bullet"/>
      <w:lvlText w:val="•"/>
      <w:lvlJc w:val="left"/>
      <w:pPr>
        <w:ind w:left="4916" w:hanging="648"/>
      </w:pPr>
      <w:rPr>
        <w:rFonts w:hint="default"/>
        <w:lang w:val="en-US" w:eastAsia="en-US" w:bidi="ar-SA"/>
      </w:rPr>
    </w:lvl>
    <w:lvl w:ilvl="4">
      <w:start w:val="0"/>
      <w:numFmt w:val="bullet"/>
      <w:lvlText w:val="•"/>
      <w:lvlJc w:val="left"/>
      <w:pPr>
        <w:ind w:left="5808" w:hanging="648"/>
      </w:pPr>
      <w:rPr>
        <w:rFonts w:hint="default"/>
        <w:lang w:val="en-US" w:eastAsia="en-US" w:bidi="ar-SA"/>
      </w:rPr>
    </w:lvl>
    <w:lvl w:ilvl="5">
      <w:start w:val="0"/>
      <w:numFmt w:val="bullet"/>
      <w:lvlText w:val="•"/>
      <w:lvlJc w:val="left"/>
      <w:pPr>
        <w:ind w:left="6700" w:hanging="648"/>
      </w:pPr>
      <w:rPr>
        <w:rFonts w:hint="default"/>
        <w:lang w:val="en-US" w:eastAsia="en-US" w:bidi="ar-SA"/>
      </w:rPr>
    </w:lvl>
    <w:lvl w:ilvl="6">
      <w:start w:val="0"/>
      <w:numFmt w:val="bullet"/>
      <w:lvlText w:val="•"/>
      <w:lvlJc w:val="left"/>
      <w:pPr>
        <w:ind w:left="7592" w:hanging="648"/>
      </w:pPr>
      <w:rPr>
        <w:rFonts w:hint="default"/>
        <w:lang w:val="en-US" w:eastAsia="en-US" w:bidi="ar-SA"/>
      </w:rPr>
    </w:lvl>
    <w:lvl w:ilvl="7">
      <w:start w:val="0"/>
      <w:numFmt w:val="bullet"/>
      <w:lvlText w:val="•"/>
      <w:lvlJc w:val="left"/>
      <w:pPr>
        <w:ind w:left="8484" w:hanging="648"/>
      </w:pPr>
      <w:rPr>
        <w:rFonts w:hint="default"/>
        <w:lang w:val="en-US" w:eastAsia="en-US" w:bidi="ar-SA"/>
      </w:rPr>
    </w:lvl>
    <w:lvl w:ilvl="8">
      <w:start w:val="0"/>
      <w:numFmt w:val="bullet"/>
      <w:lvlText w:val="•"/>
      <w:lvlJc w:val="left"/>
      <w:pPr>
        <w:ind w:left="9376" w:hanging="648"/>
      </w:pPr>
      <w:rPr>
        <w:rFonts w:hint="default"/>
        <w:lang w:val="en-US" w:eastAsia="en-US" w:bidi="ar-SA"/>
      </w:rPr>
    </w:lvl>
  </w:abstractNum>
  <w:abstractNum w:abstractNumId="31">
    <w:nsid w:val="59575760"/>
    <w:multiLevelType w:val="hybridMultilevel"/>
    <w:tmpl w:val="00000000"/>
    <w:lvl w:ilvl="0">
      <w:start w:val="0"/>
      <w:numFmt w:val="bullet"/>
      <w:lvlText w:val="•"/>
      <w:lvlJc w:val="left"/>
      <w:pPr>
        <w:ind w:left="12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214" w:hanging="360"/>
      </w:pPr>
      <w:rPr>
        <w:rFonts w:hint="default"/>
        <w:lang w:val="en-US" w:eastAsia="en-US" w:bidi="ar-SA"/>
      </w:rPr>
    </w:lvl>
    <w:lvl w:ilvl="2">
      <w:start w:val="0"/>
      <w:numFmt w:val="bullet"/>
      <w:lvlText w:val="•"/>
      <w:lvlJc w:val="left"/>
      <w:pPr>
        <w:ind w:left="3208" w:hanging="360"/>
      </w:pPr>
      <w:rPr>
        <w:rFonts w:hint="default"/>
        <w:lang w:val="en-US" w:eastAsia="en-US" w:bidi="ar-SA"/>
      </w:rPr>
    </w:lvl>
    <w:lvl w:ilvl="3">
      <w:start w:val="0"/>
      <w:numFmt w:val="bullet"/>
      <w:lvlText w:val="•"/>
      <w:lvlJc w:val="left"/>
      <w:pPr>
        <w:ind w:left="4202" w:hanging="360"/>
      </w:pPr>
      <w:rPr>
        <w:rFonts w:hint="default"/>
        <w:lang w:val="en-US" w:eastAsia="en-US" w:bidi="ar-SA"/>
      </w:rPr>
    </w:lvl>
    <w:lvl w:ilvl="4">
      <w:start w:val="0"/>
      <w:numFmt w:val="bullet"/>
      <w:lvlText w:val="•"/>
      <w:lvlJc w:val="left"/>
      <w:pPr>
        <w:ind w:left="5196" w:hanging="360"/>
      </w:pPr>
      <w:rPr>
        <w:rFonts w:hint="default"/>
        <w:lang w:val="en-US" w:eastAsia="en-US" w:bidi="ar-SA"/>
      </w:rPr>
    </w:lvl>
    <w:lvl w:ilvl="5">
      <w:start w:val="0"/>
      <w:numFmt w:val="bullet"/>
      <w:lvlText w:val="•"/>
      <w:lvlJc w:val="left"/>
      <w:pPr>
        <w:ind w:left="6190" w:hanging="360"/>
      </w:pPr>
      <w:rPr>
        <w:rFonts w:hint="default"/>
        <w:lang w:val="en-US" w:eastAsia="en-US" w:bidi="ar-SA"/>
      </w:rPr>
    </w:lvl>
    <w:lvl w:ilvl="6">
      <w:start w:val="0"/>
      <w:numFmt w:val="bullet"/>
      <w:lvlText w:val="•"/>
      <w:lvlJc w:val="left"/>
      <w:pPr>
        <w:ind w:left="7184" w:hanging="360"/>
      </w:pPr>
      <w:rPr>
        <w:rFonts w:hint="default"/>
        <w:lang w:val="en-US" w:eastAsia="en-US" w:bidi="ar-SA"/>
      </w:rPr>
    </w:lvl>
    <w:lvl w:ilvl="7">
      <w:start w:val="0"/>
      <w:numFmt w:val="bullet"/>
      <w:lvlText w:val="•"/>
      <w:lvlJc w:val="left"/>
      <w:pPr>
        <w:ind w:left="8178" w:hanging="360"/>
      </w:pPr>
      <w:rPr>
        <w:rFonts w:hint="default"/>
        <w:lang w:val="en-US" w:eastAsia="en-US" w:bidi="ar-SA"/>
      </w:rPr>
    </w:lvl>
    <w:lvl w:ilvl="8">
      <w:start w:val="0"/>
      <w:numFmt w:val="bullet"/>
      <w:lvlText w:val="•"/>
      <w:lvlJc w:val="left"/>
      <w:pPr>
        <w:ind w:left="9172" w:hanging="360"/>
      </w:pPr>
      <w:rPr>
        <w:rFonts w:hint="default"/>
        <w:lang w:val="en-US" w:eastAsia="en-US" w:bidi="ar-SA"/>
      </w:rPr>
    </w:lvl>
  </w:abstractNum>
  <w:abstractNum w:abstractNumId="32">
    <w:nsid w:val="5B563E76"/>
    <w:multiLevelType w:val="hybridMultilevel"/>
    <w:tmpl w:val="00000000"/>
    <w:lvl w:ilvl="0">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38" w:hanging="360"/>
      </w:pPr>
      <w:rPr>
        <w:rFonts w:hint="default"/>
        <w:lang w:val="en-US" w:eastAsia="en-US" w:bidi="ar-SA"/>
      </w:rPr>
    </w:lvl>
    <w:lvl w:ilvl="2">
      <w:start w:val="0"/>
      <w:numFmt w:val="bullet"/>
      <w:lvlText w:val="•"/>
      <w:lvlJc w:val="left"/>
      <w:pPr>
        <w:ind w:left="3496" w:hanging="360"/>
      </w:pPr>
      <w:rPr>
        <w:rFonts w:hint="default"/>
        <w:lang w:val="en-US" w:eastAsia="en-US" w:bidi="ar-SA"/>
      </w:rPr>
    </w:lvl>
    <w:lvl w:ilvl="3">
      <w:start w:val="0"/>
      <w:numFmt w:val="bullet"/>
      <w:lvlText w:val="•"/>
      <w:lvlJc w:val="left"/>
      <w:pPr>
        <w:ind w:left="4454" w:hanging="360"/>
      </w:pPr>
      <w:rPr>
        <w:rFonts w:hint="default"/>
        <w:lang w:val="en-US" w:eastAsia="en-US" w:bidi="ar-SA"/>
      </w:rPr>
    </w:lvl>
    <w:lvl w:ilvl="4">
      <w:start w:val="0"/>
      <w:numFmt w:val="bullet"/>
      <w:lvlText w:val="•"/>
      <w:lvlJc w:val="left"/>
      <w:pPr>
        <w:ind w:left="5412" w:hanging="360"/>
      </w:pPr>
      <w:rPr>
        <w:rFonts w:hint="default"/>
        <w:lang w:val="en-US" w:eastAsia="en-US" w:bidi="ar-SA"/>
      </w:rPr>
    </w:lvl>
    <w:lvl w:ilvl="5">
      <w:start w:val="0"/>
      <w:numFmt w:val="bullet"/>
      <w:lvlText w:val="•"/>
      <w:lvlJc w:val="left"/>
      <w:pPr>
        <w:ind w:left="6370" w:hanging="360"/>
      </w:pPr>
      <w:rPr>
        <w:rFonts w:hint="default"/>
        <w:lang w:val="en-US" w:eastAsia="en-US" w:bidi="ar-SA"/>
      </w:rPr>
    </w:lvl>
    <w:lvl w:ilvl="6">
      <w:start w:val="0"/>
      <w:numFmt w:val="bullet"/>
      <w:lvlText w:val="•"/>
      <w:lvlJc w:val="left"/>
      <w:pPr>
        <w:ind w:left="7328" w:hanging="360"/>
      </w:pPr>
      <w:rPr>
        <w:rFonts w:hint="default"/>
        <w:lang w:val="en-US" w:eastAsia="en-US" w:bidi="ar-SA"/>
      </w:rPr>
    </w:lvl>
    <w:lvl w:ilvl="7">
      <w:start w:val="0"/>
      <w:numFmt w:val="bullet"/>
      <w:lvlText w:val="•"/>
      <w:lvlJc w:val="left"/>
      <w:pPr>
        <w:ind w:left="8286" w:hanging="360"/>
      </w:pPr>
      <w:rPr>
        <w:rFonts w:hint="default"/>
        <w:lang w:val="en-US" w:eastAsia="en-US" w:bidi="ar-SA"/>
      </w:rPr>
    </w:lvl>
    <w:lvl w:ilvl="8">
      <w:start w:val="0"/>
      <w:numFmt w:val="bullet"/>
      <w:lvlText w:val="•"/>
      <w:lvlJc w:val="left"/>
      <w:pPr>
        <w:ind w:left="9244" w:hanging="360"/>
      </w:pPr>
      <w:rPr>
        <w:rFonts w:hint="default"/>
        <w:lang w:val="en-US" w:eastAsia="en-US" w:bidi="ar-SA"/>
      </w:rPr>
    </w:lvl>
  </w:abstractNum>
  <w:abstractNum w:abstractNumId="33">
    <w:nsid w:val="5CB06C3A"/>
    <w:multiLevelType w:val="hybridMultilevel"/>
    <w:tmpl w:val="00000000"/>
    <w:lvl w:ilvl="0">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38" w:hanging="360"/>
      </w:pPr>
      <w:rPr>
        <w:rFonts w:hint="default"/>
        <w:lang w:val="en-US" w:eastAsia="en-US" w:bidi="ar-SA"/>
      </w:rPr>
    </w:lvl>
    <w:lvl w:ilvl="2">
      <w:start w:val="0"/>
      <w:numFmt w:val="bullet"/>
      <w:lvlText w:val="•"/>
      <w:lvlJc w:val="left"/>
      <w:pPr>
        <w:ind w:left="3496" w:hanging="360"/>
      </w:pPr>
      <w:rPr>
        <w:rFonts w:hint="default"/>
        <w:lang w:val="en-US" w:eastAsia="en-US" w:bidi="ar-SA"/>
      </w:rPr>
    </w:lvl>
    <w:lvl w:ilvl="3">
      <w:start w:val="0"/>
      <w:numFmt w:val="bullet"/>
      <w:lvlText w:val="•"/>
      <w:lvlJc w:val="left"/>
      <w:pPr>
        <w:ind w:left="4454" w:hanging="360"/>
      </w:pPr>
      <w:rPr>
        <w:rFonts w:hint="default"/>
        <w:lang w:val="en-US" w:eastAsia="en-US" w:bidi="ar-SA"/>
      </w:rPr>
    </w:lvl>
    <w:lvl w:ilvl="4">
      <w:start w:val="0"/>
      <w:numFmt w:val="bullet"/>
      <w:lvlText w:val="•"/>
      <w:lvlJc w:val="left"/>
      <w:pPr>
        <w:ind w:left="5412" w:hanging="360"/>
      </w:pPr>
      <w:rPr>
        <w:rFonts w:hint="default"/>
        <w:lang w:val="en-US" w:eastAsia="en-US" w:bidi="ar-SA"/>
      </w:rPr>
    </w:lvl>
    <w:lvl w:ilvl="5">
      <w:start w:val="0"/>
      <w:numFmt w:val="bullet"/>
      <w:lvlText w:val="•"/>
      <w:lvlJc w:val="left"/>
      <w:pPr>
        <w:ind w:left="6370" w:hanging="360"/>
      </w:pPr>
      <w:rPr>
        <w:rFonts w:hint="default"/>
        <w:lang w:val="en-US" w:eastAsia="en-US" w:bidi="ar-SA"/>
      </w:rPr>
    </w:lvl>
    <w:lvl w:ilvl="6">
      <w:start w:val="0"/>
      <w:numFmt w:val="bullet"/>
      <w:lvlText w:val="•"/>
      <w:lvlJc w:val="left"/>
      <w:pPr>
        <w:ind w:left="7328" w:hanging="360"/>
      </w:pPr>
      <w:rPr>
        <w:rFonts w:hint="default"/>
        <w:lang w:val="en-US" w:eastAsia="en-US" w:bidi="ar-SA"/>
      </w:rPr>
    </w:lvl>
    <w:lvl w:ilvl="7">
      <w:start w:val="0"/>
      <w:numFmt w:val="bullet"/>
      <w:lvlText w:val="•"/>
      <w:lvlJc w:val="left"/>
      <w:pPr>
        <w:ind w:left="8286" w:hanging="360"/>
      </w:pPr>
      <w:rPr>
        <w:rFonts w:hint="default"/>
        <w:lang w:val="en-US" w:eastAsia="en-US" w:bidi="ar-SA"/>
      </w:rPr>
    </w:lvl>
    <w:lvl w:ilvl="8">
      <w:start w:val="0"/>
      <w:numFmt w:val="bullet"/>
      <w:lvlText w:val="•"/>
      <w:lvlJc w:val="left"/>
      <w:pPr>
        <w:ind w:left="9244" w:hanging="360"/>
      </w:pPr>
      <w:rPr>
        <w:rFonts w:hint="default"/>
        <w:lang w:val="en-US" w:eastAsia="en-US" w:bidi="ar-SA"/>
      </w:rPr>
    </w:lvl>
  </w:abstractNum>
  <w:abstractNum w:abstractNumId="34">
    <w:nsid w:val="5EC0A411"/>
    <w:multiLevelType w:val="hybridMultilevel"/>
    <w:tmpl w:val="00000000"/>
    <w:lvl w:ilvl="0">
      <w:start w:val="1"/>
      <w:numFmt w:val="lowerRoman"/>
      <w:lvlText w:val="(%1)"/>
      <w:lvlJc w:val="left"/>
      <w:pPr>
        <w:ind w:left="136" w:hanging="264"/>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349" w:hanging="264"/>
      </w:pPr>
      <w:rPr>
        <w:rFonts w:hint="default"/>
        <w:lang w:val="en-US" w:eastAsia="en-US" w:bidi="ar-SA"/>
      </w:rPr>
    </w:lvl>
    <w:lvl w:ilvl="2">
      <w:start w:val="0"/>
      <w:numFmt w:val="bullet"/>
      <w:lvlText w:val="•"/>
      <w:lvlJc w:val="left"/>
      <w:pPr>
        <w:ind w:left="559" w:hanging="264"/>
      </w:pPr>
      <w:rPr>
        <w:rFonts w:hint="default"/>
        <w:lang w:val="en-US" w:eastAsia="en-US" w:bidi="ar-SA"/>
      </w:rPr>
    </w:lvl>
    <w:lvl w:ilvl="3">
      <w:start w:val="0"/>
      <w:numFmt w:val="bullet"/>
      <w:lvlText w:val="•"/>
      <w:lvlJc w:val="left"/>
      <w:pPr>
        <w:ind w:left="768" w:hanging="264"/>
      </w:pPr>
      <w:rPr>
        <w:rFonts w:hint="default"/>
        <w:lang w:val="en-US" w:eastAsia="en-US" w:bidi="ar-SA"/>
      </w:rPr>
    </w:lvl>
    <w:lvl w:ilvl="4">
      <w:start w:val="0"/>
      <w:numFmt w:val="bullet"/>
      <w:lvlText w:val="•"/>
      <w:lvlJc w:val="left"/>
      <w:pPr>
        <w:ind w:left="978" w:hanging="264"/>
      </w:pPr>
      <w:rPr>
        <w:rFonts w:hint="default"/>
        <w:lang w:val="en-US" w:eastAsia="en-US" w:bidi="ar-SA"/>
      </w:rPr>
    </w:lvl>
    <w:lvl w:ilvl="5">
      <w:start w:val="0"/>
      <w:numFmt w:val="bullet"/>
      <w:lvlText w:val="•"/>
      <w:lvlJc w:val="left"/>
      <w:pPr>
        <w:ind w:left="1187" w:hanging="264"/>
      </w:pPr>
      <w:rPr>
        <w:rFonts w:hint="default"/>
        <w:lang w:val="en-US" w:eastAsia="en-US" w:bidi="ar-SA"/>
      </w:rPr>
    </w:lvl>
    <w:lvl w:ilvl="6">
      <w:start w:val="0"/>
      <w:numFmt w:val="bullet"/>
      <w:lvlText w:val="•"/>
      <w:lvlJc w:val="left"/>
      <w:pPr>
        <w:ind w:left="1397" w:hanging="264"/>
      </w:pPr>
      <w:rPr>
        <w:rFonts w:hint="default"/>
        <w:lang w:val="en-US" w:eastAsia="en-US" w:bidi="ar-SA"/>
      </w:rPr>
    </w:lvl>
    <w:lvl w:ilvl="7">
      <w:start w:val="0"/>
      <w:numFmt w:val="bullet"/>
      <w:lvlText w:val="•"/>
      <w:lvlJc w:val="left"/>
      <w:pPr>
        <w:ind w:left="1606" w:hanging="264"/>
      </w:pPr>
      <w:rPr>
        <w:rFonts w:hint="default"/>
        <w:lang w:val="en-US" w:eastAsia="en-US" w:bidi="ar-SA"/>
      </w:rPr>
    </w:lvl>
    <w:lvl w:ilvl="8">
      <w:start w:val="0"/>
      <w:numFmt w:val="bullet"/>
      <w:lvlText w:val="•"/>
      <w:lvlJc w:val="left"/>
      <w:pPr>
        <w:ind w:left="1816" w:hanging="264"/>
      </w:pPr>
      <w:rPr>
        <w:rFonts w:hint="default"/>
        <w:lang w:val="en-US" w:eastAsia="en-US" w:bidi="ar-SA"/>
      </w:rPr>
    </w:lvl>
  </w:abstractNum>
  <w:abstractNum w:abstractNumId="35">
    <w:nsid w:val="5F2B87E8"/>
    <w:multiLevelType w:val="hybridMultilevel"/>
    <w:tmpl w:val="00000000"/>
    <w:lvl w:ilvl="0">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3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6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0"/>
      <w:numFmt w:val="bullet"/>
      <w:lvlText w:val="•"/>
      <w:lvlJc w:val="left"/>
      <w:pPr>
        <w:ind w:left="3874" w:hanging="360"/>
      </w:pPr>
      <w:rPr>
        <w:rFonts w:hint="default"/>
        <w:lang w:val="en-US" w:eastAsia="en-US" w:bidi="ar-SA"/>
      </w:rPr>
    </w:lvl>
    <w:lvl w:ilvl="5">
      <w:start w:val="0"/>
      <w:numFmt w:val="bullet"/>
      <w:lvlText w:val="•"/>
      <w:lvlJc w:val="left"/>
      <w:pPr>
        <w:ind w:left="5088" w:hanging="360"/>
      </w:pPr>
      <w:rPr>
        <w:rFonts w:hint="default"/>
        <w:lang w:val="en-US" w:eastAsia="en-US" w:bidi="ar-SA"/>
      </w:rPr>
    </w:lvl>
    <w:lvl w:ilvl="6">
      <w:start w:val="0"/>
      <w:numFmt w:val="bullet"/>
      <w:lvlText w:val="•"/>
      <w:lvlJc w:val="left"/>
      <w:pPr>
        <w:ind w:left="6302" w:hanging="360"/>
      </w:pPr>
      <w:rPr>
        <w:rFonts w:hint="default"/>
        <w:lang w:val="en-US" w:eastAsia="en-US" w:bidi="ar-SA"/>
      </w:rPr>
    </w:lvl>
    <w:lvl w:ilvl="7">
      <w:start w:val="0"/>
      <w:numFmt w:val="bullet"/>
      <w:lvlText w:val="•"/>
      <w:lvlJc w:val="left"/>
      <w:pPr>
        <w:ind w:left="7517" w:hanging="360"/>
      </w:pPr>
      <w:rPr>
        <w:rFonts w:hint="default"/>
        <w:lang w:val="en-US" w:eastAsia="en-US" w:bidi="ar-SA"/>
      </w:rPr>
    </w:lvl>
    <w:lvl w:ilvl="8">
      <w:start w:val="0"/>
      <w:numFmt w:val="bullet"/>
      <w:lvlText w:val="•"/>
      <w:lvlJc w:val="left"/>
      <w:pPr>
        <w:ind w:left="8731" w:hanging="360"/>
      </w:pPr>
      <w:rPr>
        <w:rFonts w:hint="default"/>
        <w:lang w:val="en-US" w:eastAsia="en-US" w:bidi="ar-SA"/>
      </w:rPr>
    </w:lvl>
  </w:abstractNum>
  <w:abstractNum w:abstractNumId="36">
    <w:nsid w:val="61AC908A"/>
    <w:multiLevelType w:val="hybridMultilevel"/>
    <w:tmpl w:val="00000000"/>
    <w:lvl w:ilvl="0">
      <w:start w:val="1"/>
      <w:numFmt w:val="upperRoman"/>
      <w:lvlText w:val="%1."/>
      <w:lvlJc w:val="left"/>
      <w:pPr>
        <w:ind w:left="739" w:hanging="264"/>
        <w:jc w:val="left"/>
      </w:pPr>
      <w:rPr>
        <w:rFonts w:hint="default"/>
        <w:spacing w:val="0"/>
        <w:w w:val="87"/>
        <w:u w:val="single" w:color="000000"/>
        <w:lang w:val="en-US" w:eastAsia="en-US" w:bidi="ar-SA"/>
      </w:rPr>
    </w:lvl>
    <w:lvl w:ilvl="1">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708" w:hanging="360"/>
      </w:pPr>
      <w:rPr>
        <w:rFonts w:hint="default"/>
        <w:lang w:val="en-US" w:eastAsia="en-US" w:bidi="ar-SA"/>
      </w:rPr>
    </w:lvl>
    <w:lvl w:ilvl="4">
      <w:start w:val="0"/>
      <w:numFmt w:val="bullet"/>
      <w:lvlText w:val="•"/>
      <w:lvlJc w:val="left"/>
      <w:pPr>
        <w:ind w:left="4773" w:hanging="360"/>
      </w:pPr>
      <w:rPr>
        <w:rFonts w:hint="default"/>
        <w:lang w:val="en-US" w:eastAsia="en-US" w:bidi="ar-SA"/>
      </w:rPr>
    </w:lvl>
    <w:lvl w:ilvl="5">
      <w:start w:val="0"/>
      <w:numFmt w:val="bullet"/>
      <w:lvlText w:val="•"/>
      <w:lvlJc w:val="left"/>
      <w:pPr>
        <w:ind w:left="5837" w:hanging="360"/>
      </w:pPr>
      <w:rPr>
        <w:rFonts w:hint="default"/>
        <w:lang w:val="en-US" w:eastAsia="en-US" w:bidi="ar-SA"/>
      </w:rPr>
    </w:lvl>
    <w:lvl w:ilvl="6">
      <w:start w:val="0"/>
      <w:numFmt w:val="bullet"/>
      <w:lvlText w:val="•"/>
      <w:lvlJc w:val="left"/>
      <w:pPr>
        <w:ind w:left="6902" w:hanging="360"/>
      </w:pPr>
      <w:rPr>
        <w:rFonts w:hint="default"/>
        <w:lang w:val="en-US" w:eastAsia="en-US" w:bidi="ar-SA"/>
      </w:rPr>
    </w:lvl>
    <w:lvl w:ilvl="7">
      <w:start w:val="0"/>
      <w:numFmt w:val="bullet"/>
      <w:lvlText w:val="•"/>
      <w:lvlJc w:val="left"/>
      <w:pPr>
        <w:ind w:left="7966" w:hanging="360"/>
      </w:pPr>
      <w:rPr>
        <w:rFonts w:hint="default"/>
        <w:lang w:val="en-US" w:eastAsia="en-US" w:bidi="ar-SA"/>
      </w:rPr>
    </w:lvl>
    <w:lvl w:ilvl="8">
      <w:start w:val="0"/>
      <w:numFmt w:val="bullet"/>
      <w:lvlText w:val="•"/>
      <w:lvlJc w:val="left"/>
      <w:pPr>
        <w:ind w:left="9031" w:hanging="360"/>
      </w:pPr>
      <w:rPr>
        <w:rFonts w:hint="default"/>
        <w:lang w:val="en-US" w:eastAsia="en-US" w:bidi="ar-SA"/>
      </w:rPr>
    </w:lvl>
  </w:abstractNum>
  <w:abstractNum w:abstractNumId="37">
    <w:nsid w:val="63916E53"/>
    <w:multiLevelType w:val="hybridMultilevel"/>
    <w:tmpl w:val="00000000"/>
    <w:lvl w:ilvl="0">
      <w:start w:val="1"/>
      <w:numFmt w:val="lowerRoman"/>
      <w:lvlText w:val="(%1)"/>
      <w:lvlJc w:val="left"/>
      <w:pPr>
        <w:ind w:left="168"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339" w:hanging="264"/>
      </w:pPr>
      <w:rPr>
        <w:rFonts w:hint="default"/>
        <w:lang w:val="en-US" w:eastAsia="en-US" w:bidi="ar-SA"/>
      </w:rPr>
    </w:lvl>
    <w:lvl w:ilvl="2">
      <w:start w:val="0"/>
      <w:numFmt w:val="bullet"/>
      <w:lvlText w:val="•"/>
      <w:lvlJc w:val="left"/>
      <w:pPr>
        <w:ind w:left="518" w:hanging="264"/>
      </w:pPr>
      <w:rPr>
        <w:rFonts w:hint="default"/>
        <w:lang w:val="en-US" w:eastAsia="en-US" w:bidi="ar-SA"/>
      </w:rPr>
    </w:lvl>
    <w:lvl w:ilvl="3">
      <w:start w:val="0"/>
      <w:numFmt w:val="bullet"/>
      <w:lvlText w:val="•"/>
      <w:lvlJc w:val="left"/>
      <w:pPr>
        <w:ind w:left="697" w:hanging="264"/>
      </w:pPr>
      <w:rPr>
        <w:rFonts w:hint="default"/>
        <w:lang w:val="en-US" w:eastAsia="en-US" w:bidi="ar-SA"/>
      </w:rPr>
    </w:lvl>
    <w:lvl w:ilvl="4">
      <w:start w:val="0"/>
      <w:numFmt w:val="bullet"/>
      <w:lvlText w:val="•"/>
      <w:lvlJc w:val="left"/>
      <w:pPr>
        <w:ind w:left="877" w:hanging="264"/>
      </w:pPr>
      <w:rPr>
        <w:rFonts w:hint="default"/>
        <w:lang w:val="en-US" w:eastAsia="en-US" w:bidi="ar-SA"/>
      </w:rPr>
    </w:lvl>
    <w:lvl w:ilvl="5">
      <w:start w:val="0"/>
      <w:numFmt w:val="bullet"/>
      <w:lvlText w:val="•"/>
      <w:lvlJc w:val="left"/>
      <w:pPr>
        <w:ind w:left="1056" w:hanging="264"/>
      </w:pPr>
      <w:rPr>
        <w:rFonts w:hint="default"/>
        <w:lang w:val="en-US" w:eastAsia="en-US" w:bidi="ar-SA"/>
      </w:rPr>
    </w:lvl>
    <w:lvl w:ilvl="6">
      <w:start w:val="0"/>
      <w:numFmt w:val="bullet"/>
      <w:lvlText w:val="•"/>
      <w:lvlJc w:val="left"/>
      <w:pPr>
        <w:ind w:left="1235" w:hanging="264"/>
      </w:pPr>
      <w:rPr>
        <w:rFonts w:hint="default"/>
        <w:lang w:val="en-US" w:eastAsia="en-US" w:bidi="ar-SA"/>
      </w:rPr>
    </w:lvl>
    <w:lvl w:ilvl="7">
      <w:start w:val="0"/>
      <w:numFmt w:val="bullet"/>
      <w:lvlText w:val="•"/>
      <w:lvlJc w:val="left"/>
      <w:pPr>
        <w:ind w:left="1415" w:hanging="264"/>
      </w:pPr>
      <w:rPr>
        <w:rFonts w:hint="default"/>
        <w:lang w:val="en-US" w:eastAsia="en-US" w:bidi="ar-SA"/>
      </w:rPr>
    </w:lvl>
    <w:lvl w:ilvl="8">
      <w:start w:val="0"/>
      <w:numFmt w:val="bullet"/>
      <w:lvlText w:val="•"/>
      <w:lvlJc w:val="left"/>
      <w:pPr>
        <w:ind w:left="1594" w:hanging="264"/>
      </w:pPr>
      <w:rPr>
        <w:rFonts w:hint="default"/>
        <w:lang w:val="en-US" w:eastAsia="en-US" w:bidi="ar-SA"/>
      </w:rPr>
    </w:lvl>
  </w:abstractNum>
  <w:abstractNum w:abstractNumId="38">
    <w:nsid w:val="63B5BB6E"/>
    <w:multiLevelType w:val="hybridMultilevel"/>
    <w:tmpl w:val="00000000"/>
    <w:lvl w:ilvl="0">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38" w:hanging="360"/>
      </w:pPr>
      <w:rPr>
        <w:rFonts w:hint="default"/>
        <w:lang w:val="en-US" w:eastAsia="en-US" w:bidi="ar-SA"/>
      </w:rPr>
    </w:lvl>
    <w:lvl w:ilvl="2">
      <w:start w:val="0"/>
      <w:numFmt w:val="bullet"/>
      <w:lvlText w:val="•"/>
      <w:lvlJc w:val="left"/>
      <w:pPr>
        <w:ind w:left="3496" w:hanging="360"/>
      </w:pPr>
      <w:rPr>
        <w:rFonts w:hint="default"/>
        <w:lang w:val="en-US" w:eastAsia="en-US" w:bidi="ar-SA"/>
      </w:rPr>
    </w:lvl>
    <w:lvl w:ilvl="3">
      <w:start w:val="0"/>
      <w:numFmt w:val="bullet"/>
      <w:lvlText w:val="•"/>
      <w:lvlJc w:val="left"/>
      <w:pPr>
        <w:ind w:left="4454" w:hanging="360"/>
      </w:pPr>
      <w:rPr>
        <w:rFonts w:hint="default"/>
        <w:lang w:val="en-US" w:eastAsia="en-US" w:bidi="ar-SA"/>
      </w:rPr>
    </w:lvl>
    <w:lvl w:ilvl="4">
      <w:start w:val="0"/>
      <w:numFmt w:val="bullet"/>
      <w:lvlText w:val="•"/>
      <w:lvlJc w:val="left"/>
      <w:pPr>
        <w:ind w:left="5412" w:hanging="360"/>
      </w:pPr>
      <w:rPr>
        <w:rFonts w:hint="default"/>
        <w:lang w:val="en-US" w:eastAsia="en-US" w:bidi="ar-SA"/>
      </w:rPr>
    </w:lvl>
    <w:lvl w:ilvl="5">
      <w:start w:val="0"/>
      <w:numFmt w:val="bullet"/>
      <w:lvlText w:val="•"/>
      <w:lvlJc w:val="left"/>
      <w:pPr>
        <w:ind w:left="6370" w:hanging="360"/>
      </w:pPr>
      <w:rPr>
        <w:rFonts w:hint="default"/>
        <w:lang w:val="en-US" w:eastAsia="en-US" w:bidi="ar-SA"/>
      </w:rPr>
    </w:lvl>
    <w:lvl w:ilvl="6">
      <w:start w:val="0"/>
      <w:numFmt w:val="bullet"/>
      <w:lvlText w:val="•"/>
      <w:lvlJc w:val="left"/>
      <w:pPr>
        <w:ind w:left="7328" w:hanging="360"/>
      </w:pPr>
      <w:rPr>
        <w:rFonts w:hint="default"/>
        <w:lang w:val="en-US" w:eastAsia="en-US" w:bidi="ar-SA"/>
      </w:rPr>
    </w:lvl>
    <w:lvl w:ilvl="7">
      <w:start w:val="0"/>
      <w:numFmt w:val="bullet"/>
      <w:lvlText w:val="•"/>
      <w:lvlJc w:val="left"/>
      <w:pPr>
        <w:ind w:left="8286" w:hanging="360"/>
      </w:pPr>
      <w:rPr>
        <w:rFonts w:hint="default"/>
        <w:lang w:val="en-US" w:eastAsia="en-US" w:bidi="ar-SA"/>
      </w:rPr>
    </w:lvl>
    <w:lvl w:ilvl="8">
      <w:start w:val="0"/>
      <w:numFmt w:val="bullet"/>
      <w:lvlText w:val="•"/>
      <w:lvlJc w:val="left"/>
      <w:pPr>
        <w:ind w:left="9244" w:hanging="360"/>
      </w:pPr>
      <w:rPr>
        <w:rFonts w:hint="default"/>
        <w:lang w:val="en-US" w:eastAsia="en-US" w:bidi="ar-SA"/>
      </w:rPr>
    </w:lvl>
  </w:abstractNum>
  <w:abstractNum w:abstractNumId="39">
    <w:nsid w:val="647574FB"/>
    <w:multiLevelType w:val="hybridMultilevel"/>
    <w:tmpl w:val="00000000"/>
    <w:lvl w:ilvl="0">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38" w:hanging="360"/>
      </w:pPr>
      <w:rPr>
        <w:rFonts w:hint="default"/>
        <w:lang w:val="en-US" w:eastAsia="en-US" w:bidi="ar-SA"/>
      </w:rPr>
    </w:lvl>
    <w:lvl w:ilvl="2">
      <w:start w:val="0"/>
      <w:numFmt w:val="bullet"/>
      <w:lvlText w:val="•"/>
      <w:lvlJc w:val="left"/>
      <w:pPr>
        <w:ind w:left="3496" w:hanging="360"/>
      </w:pPr>
      <w:rPr>
        <w:rFonts w:hint="default"/>
        <w:lang w:val="en-US" w:eastAsia="en-US" w:bidi="ar-SA"/>
      </w:rPr>
    </w:lvl>
    <w:lvl w:ilvl="3">
      <w:start w:val="0"/>
      <w:numFmt w:val="bullet"/>
      <w:lvlText w:val="•"/>
      <w:lvlJc w:val="left"/>
      <w:pPr>
        <w:ind w:left="4454" w:hanging="360"/>
      </w:pPr>
      <w:rPr>
        <w:rFonts w:hint="default"/>
        <w:lang w:val="en-US" w:eastAsia="en-US" w:bidi="ar-SA"/>
      </w:rPr>
    </w:lvl>
    <w:lvl w:ilvl="4">
      <w:start w:val="0"/>
      <w:numFmt w:val="bullet"/>
      <w:lvlText w:val="•"/>
      <w:lvlJc w:val="left"/>
      <w:pPr>
        <w:ind w:left="5412" w:hanging="360"/>
      </w:pPr>
      <w:rPr>
        <w:rFonts w:hint="default"/>
        <w:lang w:val="en-US" w:eastAsia="en-US" w:bidi="ar-SA"/>
      </w:rPr>
    </w:lvl>
    <w:lvl w:ilvl="5">
      <w:start w:val="0"/>
      <w:numFmt w:val="bullet"/>
      <w:lvlText w:val="•"/>
      <w:lvlJc w:val="left"/>
      <w:pPr>
        <w:ind w:left="6370" w:hanging="360"/>
      </w:pPr>
      <w:rPr>
        <w:rFonts w:hint="default"/>
        <w:lang w:val="en-US" w:eastAsia="en-US" w:bidi="ar-SA"/>
      </w:rPr>
    </w:lvl>
    <w:lvl w:ilvl="6">
      <w:start w:val="0"/>
      <w:numFmt w:val="bullet"/>
      <w:lvlText w:val="•"/>
      <w:lvlJc w:val="left"/>
      <w:pPr>
        <w:ind w:left="7328" w:hanging="360"/>
      </w:pPr>
      <w:rPr>
        <w:rFonts w:hint="default"/>
        <w:lang w:val="en-US" w:eastAsia="en-US" w:bidi="ar-SA"/>
      </w:rPr>
    </w:lvl>
    <w:lvl w:ilvl="7">
      <w:start w:val="0"/>
      <w:numFmt w:val="bullet"/>
      <w:lvlText w:val="•"/>
      <w:lvlJc w:val="left"/>
      <w:pPr>
        <w:ind w:left="8286" w:hanging="360"/>
      </w:pPr>
      <w:rPr>
        <w:rFonts w:hint="default"/>
        <w:lang w:val="en-US" w:eastAsia="en-US" w:bidi="ar-SA"/>
      </w:rPr>
    </w:lvl>
    <w:lvl w:ilvl="8">
      <w:start w:val="0"/>
      <w:numFmt w:val="bullet"/>
      <w:lvlText w:val="•"/>
      <w:lvlJc w:val="left"/>
      <w:pPr>
        <w:ind w:left="9244" w:hanging="360"/>
      </w:pPr>
      <w:rPr>
        <w:rFonts w:hint="default"/>
        <w:lang w:val="en-US" w:eastAsia="en-US" w:bidi="ar-SA"/>
      </w:rPr>
    </w:lvl>
  </w:abstractNum>
  <w:abstractNum w:abstractNumId="40">
    <w:nsid w:val="6661A06F"/>
    <w:multiLevelType w:val="hybridMultilevel"/>
    <w:tmpl w:val="00000000"/>
    <w:lvl w:ilvl="0">
      <w:start w:val="1"/>
      <w:numFmt w:val="lowerLetter"/>
      <w:lvlText w:val="%1."/>
      <w:lvlJc w:val="left"/>
      <w:pPr>
        <w:ind w:left="2232" w:hanging="64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132" w:hanging="648"/>
      </w:pPr>
      <w:rPr>
        <w:rFonts w:hint="default"/>
        <w:lang w:val="en-US" w:eastAsia="en-US" w:bidi="ar-SA"/>
      </w:rPr>
    </w:lvl>
    <w:lvl w:ilvl="2">
      <w:start w:val="0"/>
      <w:numFmt w:val="bullet"/>
      <w:lvlText w:val="•"/>
      <w:lvlJc w:val="left"/>
      <w:pPr>
        <w:ind w:left="4024" w:hanging="648"/>
      </w:pPr>
      <w:rPr>
        <w:rFonts w:hint="default"/>
        <w:lang w:val="en-US" w:eastAsia="en-US" w:bidi="ar-SA"/>
      </w:rPr>
    </w:lvl>
    <w:lvl w:ilvl="3">
      <w:start w:val="0"/>
      <w:numFmt w:val="bullet"/>
      <w:lvlText w:val="•"/>
      <w:lvlJc w:val="left"/>
      <w:pPr>
        <w:ind w:left="4916" w:hanging="648"/>
      </w:pPr>
      <w:rPr>
        <w:rFonts w:hint="default"/>
        <w:lang w:val="en-US" w:eastAsia="en-US" w:bidi="ar-SA"/>
      </w:rPr>
    </w:lvl>
    <w:lvl w:ilvl="4">
      <w:start w:val="0"/>
      <w:numFmt w:val="bullet"/>
      <w:lvlText w:val="•"/>
      <w:lvlJc w:val="left"/>
      <w:pPr>
        <w:ind w:left="5808" w:hanging="648"/>
      </w:pPr>
      <w:rPr>
        <w:rFonts w:hint="default"/>
        <w:lang w:val="en-US" w:eastAsia="en-US" w:bidi="ar-SA"/>
      </w:rPr>
    </w:lvl>
    <w:lvl w:ilvl="5">
      <w:start w:val="0"/>
      <w:numFmt w:val="bullet"/>
      <w:lvlText w:val="•"/>
      <w:lvlJc w:val="left"/>
      <w:pPr>
        <w:ind w:left="6700" w:hanging="648"/>
      </w:pPr>
      <w:rPr>
        <w:rFonts w:hint="default"/>
        <w:lang w:val="en-US" w:eastAsia="en-US" w:bidi="ar-SA"/>
      </w:rPr>
    </w:lvl>
    <w:lvl w:ilvl="6">
      <w:start w:val="0"/>
      <w:numFmt w:val="bullet"/>
      <w:lvlText w:val="•"/>
      <w:lvlJc w:val="left"/>
      <w:pPr>
        <w:ind w:left="7592" w:hanging="648"/>
      </w:pPr>
      <w:rPr>
        <w:rFonts w:hint="default"/>
        <w:lang w:val="en-US" w:eastAsia="en-US" w:bidi="ar-SA"/>
      </w:rPr>
    </w:lvl>
    <w:lvl w:ilvl="7">
      <w:start w:val="0"/>
      <w:numFmt w:val="bullet"/>
      <w:lvlText w:val="•"/>
      <w:lvlJc w:val="left"/>
      <w:pPr>
        <w:ind w:left="8484" w:hanging="648"/>
      </w:pPr>
      <w:rPr>
        <w:rFonts w:hint="default"/>
        <w:lang w:val="en-US" w:eastAsia="en-US" w:bidi="ar-SA"/>
      </w:rPr>
    </w:lvl>
    <w:lvl w:ilvl="8">
      <w:start w:val="0"/>
      <w:numFmt w:val="bullet"/>
      <w:lvlText w:val="•"/>
      <w:lvlJc w:val="left"/>
      <w:pPr>
        <w:ind w:left="9376" w:hanging="648"/>
      </w:pPr>
      <w:rPr>
        <w:rFonts w:hint="default"/>
        <w:lang w:val="en-US" w:eastAsia="en-US" w:bidi="ar-SA"/>
      </w:rPr>
    </w:lvl>
  </w:abstractNum>
  <w:abstractNum w:abstractNumId="41">
    <w:nsid w:val="66F50BC7"/>
    <w:multiLevelType w:val="hybridMultilevel"/>
    <w:tmpl w:val="00000000"/>
    <w:lvl w:ilvl="0">
      <w:start w:val="34"/>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495" w:hanging="6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573" w:hanging="632"/>
      </w:pPr>
      <w:rPr>
        <w:rFonts w:hint="default"/>
        <w:lang w:val="en-US" w:eastAsia="en-US" w:bidi="ar-SA"/>
      </w:rPr>
    </w:lvl>
    <w:lvl w:ilvl="3">
      <w:start w:val="0"/>
      <w:numFmt w:val="bullet"/>
      <w:lvlText w:val="•"/>
      <w:lvlJc w:val="left"/>
      <w:pPr>
        <w:ind w:left="3646" w:hanging="632"/>
      </w:pPr>
      <w:rPr>
        <w:rFonts w:hint="default"/>
        <w:lang w:val="en-US" w:eastAsia="en-US" w:bidi="ar-SA"/>
      </w:rPr>
    </w:lvl>
    <w:lvl w:ilvl="4">
      <w:start w:val="0"/>
      <w:numFmt w:val="bullet"/>
      <w:lvlText w:val="•"/>
      <w:lvlJc w:val="left"/>
      <w:pPr>
        <w:ind w:left="4720" w:hanging="632"/>
      </w:pPr>
      <w:rPr>
        <w:rFonts w:hint="default"/>
        <w:lang w:val="en-US" w:eastAsia="en-US" w:bidi="ar-SA"/>
      </w:rPr>
    </w:lvl>
    <w:lvl w:ilvl="5">
      <w:start w:val="0"/>
      <w:numFmt w:val="bullet"/>
      <w:lvlText w:val="•"/>
      <w:lvlJc w:val="left"/>
      <w:pPr>
        <w:ind w:left="5793" w:hanging="632"/>
      </w:pPr>
      <w:rPr>
        <w:rFonts w:hint="default"/>
        <w:lang w:val="en-US" w:eastAsia="en-US" w:bidi="ar-SA"/>
      </w:rPr>
    </w:lvl>
    <w:lvl w:ilvl="6">
      <w:start w:val="0"/>
      <w:numFmt w:val="bullet"/>
      <w:lvlText w:val="•"/>
      <w:lvlJc w:val="left"/>
      <w:pPr>
        <w:ind w:left="6866" w:hanging="632"/>
      </w:pPr>
      <w:rPr>
        <w:rFonts w:hint="default"/>
        <w:lang w:val="en-US" w:eastAsia="en-US" w:bidi="ar-SA"/>
      </w:rPr>
    </w:lvl>
    <w:lvl w:ilvl="7">
      <w:start w:val="0"/>
      <w:numFmt w:val="bullet"/>
      <w:lvlText w:val="•"/>
      <w:lvlJc w:val="left"/>
      <w:pPr>
        <w:ind w:left="7940" w:hanging="632"/>
      </w:pPr>
      <w:rPr>
        <w:rFonts w:hint="default"/>
        <w:lang w:val="en-US" w:eastAsia="en-US" w:bidi="ar-SA"/>
      </w:rPr>
    </w:lvl>
    <w:lvl w:ilvl="8">
      <w:start w:val="0"/>
      <w:numFmt w:val="bullet"/>
      <w:lvlText w:val="•"/>
      <w:lvlJc w:val="left"/>
      <w:pPr>
        <w:ind w:left="9013" w:hanging="632"/>
      </w:pPr>
      <w:rPr>
        <w:rFonts w:hint="default"/>
        <w:lang w:val="en-US" w:eastAsia="en-US" w:bidi="ar-SA"/>
      </w:rPr>
    </w:lvl>
  </w:abstractNum>
  <w:abstractNum w:abstractNumId="42">
    <w:nsid w:val="67CEE570"/>
    <w:multiLevelType w:val="hybridMultilevel"/>
    <w:tmpl w:val="00000000"/>
    <w:lvl w:ilvl="0">
      <w:start w:val="0"/>
      <w:numFmt w:val="bullet"/>
      <w:lvlText w:val=""/>
      <w:lvlJc w:val="left"/>
      <w:pPr>
        <w:ind w:left="1224"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9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6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0"/>
      <w:numFmt w:val="bullet"/>
      <w:lvlText w:val="•"/>
      <w:lvlJc w:val="left"/>
      <w:pPr>
        <w:ind w:left="3874" w:hanging="360"/>
      </w:pPr>
      <w:rPr>
        <w:rFonts w:hint="default"/>
        <w:lang w:val="en-US" w:eastAsia="en-US" w:bidi="ar-SA"/>
      </w:rPr>
    </w:lvl>
    <w:lvl w:ilvl="5">
      <w:start w:val="0"/>
      <w:numFmt w:val="bullet"/>
      <w:lvlText w:val="•"/>
      <w:lvlJc w:val="left"/>
      <w:pPr>
        <w:ind w:left="5088" w:hanging="360"/>
      </w:pPr>
      <w:rPr>
        <w:rFonts w:hint="default"/>
        <w:lang w:val="en-US" w:eastAsia="en-US" w:bidi="ar-SA"/>
      </w:rPr>
    </w:lvl>
    <w:lvl w:ilvl="6">
      <w:start w:val="0"/>
      <w:numFmt w:val="bullet"/>
      <w:lvlText w:val="•"/>
      <w:lvlJc w:val="left"/>
      <w:pPr>
        <w:ind w:left="6302" w:hanging="360"/>
      </w:pPr>
      <w:rPr>
        <w:rFonts w:hint="default"/>
        <w:lang w:val="en-US" w:eastAsia="en-US" w:bidi="ar-SA"/>
      </w:rPr>
    </w:lvl>
    <w:lvl w:ilvl="7">
      <w:start w:val="0"/>
      <w:numFmt w:val="bullet"/>
      <w:lvlText w:val="•"/>
      <w:lvlJc w:val="left"/>
      <w:pPr>
        <w:ind w:left="7517" w:hanging="360"/>
      </w:pPr>
      <w:rPr>
        <w:rFonts w:hint="default"/>
        <w:lang w:val="en-US" w:eastAsia="en-US" w:bidi="ar-SA"/>
      </w:rPr>
    </w:lvl>
    <w:lvl w:ilvl="8">
      <w:start w:val="0"/>
      <w:numFmt w:val="bullet"/>
      <w:lvlText w:val="•"/>
      <w:lvlJc w:val="left"/>
      <w:pPr>
        <w:ind w:left="8731" w:hanging="360"/>
      </w:pPr>
      <w:rPr>
        <w:rFonts w:hint="default"/>
        <w:lang w:val="en-US" w:eastAsia="en-US" w:bidi="ar-SA"/>
      </w:rPr>
    </w:lvl>
  </w:abstractNum>
  <w:abstractNum w:abstractNumId="43">
    <w:nsid w:val="6A29FF0C"/>
    <w:multiLevelType w:val="hybridMultilevel"/>
    <w:tmpl w:val="00000000"/>
    <w:lvl w:ilvl="0">
      <w:start w:val="0"/>
      <w:numFmt w:val="bullet"/>
      <w:lvlText w:val=""/>
      <w:lvlJc w:val="left"/>
      <w:pPr>
        <w:ind w:left="1224"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9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092" w:hanging="360"/>
      </w:pPr>
      <w:rPr>
        <w:rFonts w:hint="default"/>
        <w:lang w:val="en-US" w:eastAsia="en-US" w:bidi="ar-SA"/>
      </w:rPr>
    </w:lvl>
    <w:lvl w:ilvl="4">
      <w:start w:val="0"/>
      <w:numFmt w:val="bullet"/>
      <w:lvlText w:val="•"/>
      <w:lvlJc w:val="left"/>
      <w:pPr>
        <w:ind w:left="4245" w:hanging="360"/>
      </w:pPr>
      <w:rPr>
        <w:rFonts w:hint="default"/>
        <w:lang w:val="en-US" w:eastAsia="en-US" w:bidi="ar-SA"/>
      </w:rPr>
    </w:lvl>
    <w:lvl w:ilvl="5">
      <w:start w:val="0"/>
      <w:numFmt w:val="bullet"/>
      <w:lvlText w:val="•"/>
      <w:lvlJc w:val="left"/>
      <w:pPr>
        <w:ind w:left="5397" w:hanging="360"/>
      </w:pPr>
      <w:rPr>
        <w:rFonts w:hint="default"/>
        <w:lang w:val="en-US" w:eastAsia="en-US" w:bidi="ar-SA"/>
      </w:rPr>
    </w:lvl>
    <w:lvl w:ilvl="6">
      <w:start w:val="0"/>
      <w:numFmt w:val="bullet"/>
      <w:lvlText w:val="•"/>
      <w:lvlJc w:val="left"/>
      <w:pPr>
        <w:ind w:left="6550"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855" w:hanging="360"/>
      </w:pPr>
      <w:rPr>
        <w:rFonts w:hint="default"/>
        <w:lang w:val="en-US" w:eastAsia="en-US" w:bidi="ar-SA"/>
      </w:rPr>
    </w:lvl>
  </w:abstractNum>
  <w:abstractNum w:abstractNumId="44">
    <w:nsid w:val="6A8404F0"/>
    <w:multiLevelType w:val="hybridMultilevel"/>
    <w:tmpl w:val="00000000"/>
    <w:lvl w:ilvl="0">
      <w:start w:val="1"/>
      <w:numFmt w:val="lowerRoman"/>
      <w:lvlText w:val="(%1)"/>
      <w:lvlJc w:val="left"/>
      <w:pPr>
        <w:ind w:left="168" w:hanging="264"/>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339" w:hanging="264"/>
      </w:pPr>
      <w:rPr>
        <w:rFonts w:hint="default"/>
        <w:lang w:val="en-US" w:eastAsia="en-US" w:bidi="ar-SA"/>
      </w:rPr>
    </w:lvl>
    <w:lvl w:ilvl="2">
      <w:start w:val="0"/>
      <w:numFmt w:val="bullet"/>
      <w:lvlText w:val="•"/>
      <w:lvlJc w:val="left"/>
      <w:pPr>
        <w:ind w:left="518" w:hanging="264"/>
      </w:pPr>
      <w:rPr>
        <w:rFonts w:hint="default"/>
        <w:lang w:val="en-US" w:eastAsia="en-US" w:bidi="ar-SA"/>
      </w:rPr>
    </w:lvl>
    <w:lvl w:ilvl="3">
      <w:start w:val="0"/>
      <w:numFmt w:val="bullet"/>
      <w:lvlText w:val="•"/>
      <w:lvlJc w:val="left"/>
      <w:pPr>
        <w:ind w:left="697" w:hanging="264"/>
      </w:pPr>
      <w:rPr>
        <w:rFonts w:hint="default"/>
        <w:lang w:val="en-US" w:eastAsia="en-US" w:bidi="ar-SA"/>
      </w:rPr>
    </w:lvl>
    <w:lvl w:ilvl="4">
      <w:start w:val="0"/>
      <w:numFmt w:val="bullet"/>
      <w:lvlText w:val="•"/>
      <w:lvlJc w:val="left"/>
      <w:pPr>
        <w:ind w:left="877" w:hanging="264"/>
      </w:pPr>
      <w:rPr>
        <w:rFonts w:hint="default"/>
        <w:lang w:val="en-US" w:eastAsia="en-US" w:bidi="ar-SA"/>
      </w:rPr>
    </w:lvl>
    <w:lvl w:ilvl="5">
      <w:start w:val="0"/>
      <w:numFmt w:val="bullet"/>
      <w:lvlText w:val="•"/>
      <w:lvlJc w:val="left"/>
      <w:pPr>
        <w:ind w:left="1056" w:hanging="264"/>
      </w:pPr>
      <w:rPr>
        <w:rFonts w:hint="default"/>
        <w:lang w:val="en-US" w:eastAsia="en-US" w:bidi="ar-SA"/>
      </w:rPr>
    </w:lvl>
    <w:lvl w:ilvl="6">
      <w:start w:val="0"/>
      <w:numFmt w:val="bullet"/>
      <w:lvlText w:val="•"/>
      <w:lvlJc w:val="left"/>
      <w:pPr>
        <w:ind w:left="1235" w:hanging="264"/>
      </w:pPr>
      <w:rPr>
        <w:rFonts w:hint="default"/>
        <w:lang w:val="en-US" w:eastAsia="en-US" w:bidi="ar-SA"/>
      </w:rPr>
    </w:lvl>
    <w:lvl w:ilvl="7">
      <w:start w:val="0"/>
      <w:numFmt w:val="bullet"/>
      <w:lvlText w:val="•"/>
      <w:lvlJc w:val="left"/>
      <w:pPr>
        <w:ind w:left="1415" w:hanging="264"/>
      </w:pPr>
      <w:rPr>
        <w:rFonts w:hint="default"/>
        <w:lang w:val="en-US" w:eastAsia="en-US" w:bidi="ar-SA"/>
      </w:rPr>
    </w:lvl>
    <w:lvl w:ilvl="8">
      <w:start w:val="0"/>
      <w:numFmt w:val="bullet"/>
      <w:lvlText w:val="•"/>
      <w:lvlJc w:val="left"/>
      <w:pPr>
        <w:ind w:left="1594" w:hanging="264"/>
      </w:pPr>
      <w:rPr>
        <w:rFonts w:hint="default"/>
        <w:lang w:val="en-US" w:eastAsia="en-US" w:bidi="ar-SA"/>
      </w:rPr>
    </w:lvl>
  </w:abstractNum>
  <w:abstractNum w:abstractNumId="45">
    <w:nsid w:val="6B42A367"/>
    <w:multiLevelType w:val="hybridMultilevel"/>
    <w:tmpl w:val="00000000"/>
    <w:lvl w:ilvl="0">
      <w:start w:val="1"/>
      <w:numFmt w:val="lowerRoman"/>
      <w:lvlText w:val="(%1)"/>
      <w:lvlJc w:val="left"/>
      <w:pPr>
        <w:ind w:left="390"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526" w:hanging="264"/>
      </w:pPr>
      <w:rPr>
        <w:rFonts w:hint="default"/>
        <w:lang w:val="en-US" w:eastAsia="en-US" w:bidi="ar-SA"/>
      </w:rPr>
    </w:lvl>
    <w:lvl w:ilvl="2">
      <w:start w:val="0"/>
      <w:numFmt w:val="bullet"/>
      <w:lvlText w:val="•"/>
      <w:lvlJc w:val="left"/>
      <w:pPr>
        <w:ind w:left="652" w:hanging="264"/>
      </w:pPr>
      <w:rPr>
        <w:rFonts w:hint="default"/>
        <w:lang w:val="en-US" w:eastAsia="en-US" w:bidi="ar-SA"/>
      </w:rPr>
    </w:lvl>
    <w:lvl w:ilvl="3">
      <w:start w:val="0"/>
      <w:numFmt w:val="bullet"/>
      <w:lvlText w:val="•"/>
      <w:lvlJc w:val="left"/>
      <w:pPr>
        <w:ind w:left="779" w:hanging="264"/>
      </w:pPr>
      <w:rPr>
        <w:rFonts w:hint="default"/>
        <w:lang w:val="en-US" w:eastAsia="en-US" w:bidi="ar-SA"/>
      </w:rPr>
    </w:lvl>
    <w:lvl w:ilvl="4">
      <w:start w:val="0"/>
      <w:numFmt w:val="bullet"/>
      <w:lvlText w:val="•"/>
      <w:lvlJc w:val="left"/>
      <w:pPr>
        <w:ind w:left="905" w:hanging="264"/>
      </w:pPr>
      <w:rPr>
        <w:rFonts w:hint="default"/>
        <w:lang w:val="en-US" w:eastAsia="en-US" w:bidi="ar-SA"/>
      </w:rPr>
    </w:lvl>
    <w:lvl w:ilvl="5">
      <w:start w:val="0"/>
      <w:numFmt w:val="bullet"/>
      <w:lvlText w:val="•"/>
      <w:lvlJc w:val="left"/>
      <w:pPr>
        <w:ind w:left="1032" w:hanging="264"/>
      </w:pPr>
      <w:rPr>
        <w:rFonts w:hint="default"/>
        <w:lang w:val="en-US" w:eastAsia="en-US" w:bidi="ar-SA"/>
      </w:rPr>
    </w:lvl>
    <w:lvl w:ilvl="6">
      <w:start w:val="0"/>
      <w:numFmt w:val="bullet"/>
      <w:lvlText w:val="•"/>
      <w:lvlJc w:val="left"/>
      <w:pPr>
        <w:ind w:left="1158" w:hanging="264"/>
      </w:pPr>
      <w:rPr>
        <w:rFonts w:hint="default"/>
        <w:lang w:val="en-US" w:eastAsia="en-US" w:bidi="ar-SA"/>
      </w:rPr>
    </w:lvl>
    <w:lvl w:ilvl="7">
      <w:start w:val="0"/>
      <w:numFmt w:val="bullet"/>
      <w:lvlText w:val="•"/>
      <w:lvlJc w:val="left"/>
      <w:pPr>
        <w:ind w:left="1284" w:hanging="264"/>
      </w:pPr>
      <w:rPr>
        <w:rFonts w:hint="default"/>
        <w:lang w:val="en-US" w:eastAsia="en-US" w:bidi="ar-SA"/>
      </w:rPr>
    </w:lvl>
    <w:lvl w:ilvl="8">
      <w:start w:val="0"/>
      <w:numFmt w:val="bullet"/>
      <w:lvlText w:val="•"/>
      <w:lvlJc w:val="left"/>
      <w:pPr>
        <w:ind w:left="1411" w:hanging="264"/>
      </w:pPr>
      <w:rPr>
        <w:rFonts w:hint="default"/>
        <w:lang w:val="en-US" w:eastAsia="en-US" w:bidi="ar-SA"/>
      </w:rPr>
    </w:lvl>
  </w:abstractNum>
  <w:abstractNum w:abstractNumId="46">
    <w:nsid w:val="6D8D30C7"/>
    <w:multiLevelType w:val="hybridMultilevel"/>
    <w:tmpl w:val="00000000"/>
    <w:lvl w:ilvl="0">
      <w:start w:val="0"/>
      <w:numFmt w:val="bullet"/>
      <w:lvlText w:val="•"/>
      <w:lvlJc w:val="left"/>
      <w:pPr>
        <w:ind w:left="19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62" w:hanging="360"/>
      </w:pPr>
      <w:rPr>
        <w:rFonts w:hint="default"/>
        <w:lang w:val="en-US" w:eastAsia="en-US" w:bidi="ar-SA"/>
      </w:rPr>
    </w:lvl>
    <w:lvl w:ilvl="2">
      <w:start w:val="0"/>
      <w:numFmt w:val="bullet"/>
      <w:lvlText w:val="•"/>
      <w:lvlJc w:val="left"/>
      <w:pPr>
        <w:ind w:left="3784" w:hanging="360"/>
      </w:pPr>
      <w:rPr>
        <w:rFonts w:hint="default"/>
        <w:lang w:val="en-US" w:eastAsia="en-US" w:bidi="ar-SA"/>
      </w:rPr>
    </w:lvl>
    <w:lvl w:ilvl="3">
      <w:start w:val="0"/>
      <w:numFmt w:val="bullet"/>
      <w:lvlText w:val="•"/>
      <w:lvlJc w:val="left"/>
      <w:pPr>
        <w:ind w:left="4706" w:hanging="360"/>
      </w:pPr>
      <w:rPr>
        <w:rFonts w:hint="default"/>
        <w:lang w:val="en-US" w:eastAsia="en-US" w:bidi="ar-SA"/>
      </w:rPr>
    </w:lvl>
    <w:lvl w:ilvl="4">
      <w:start w:val="0"/>
      <w:numFmt w:val="bullet"/>
      <w:lvlText w:val="•"/>
      <w:lvlJc w:val="left"/>
      <w:pPr>
        <w:ind w:left="5628" w:hanging="360"/>
      </w:pPr>
      <w:rPr>
        <w:rFonts w:hint="default"/>
        <w:lang w:val="en-US" w:eastAsia="en-US" w:bidi="ar-SA"/>
      </w:rPr>
    </w:lvl>
    <w:lvl w:ilvl="5">
      <w:start w:val="0"/>
      <w:numFmt w:val="bullet"/>
      <w:lvlText w:val="•"/>
      <w:lvlJc w:val="left"/>
      <w:pPr>
        <w:ind w:left="6550" w:hanging="360"/>
      </w:pPr>
      <w:rPr>
        <w:rFonts w:hint="default"/>
        <w:lang w:val="en-US" w:eastAsia="en-US" w:bidi="ar-SA"/>
      </w:rPr>
    </w:lvl>
    <w:lvl w:ilvl="6">
      <w:start w:val="0"/>
      <w:numFmt w:val="bullet"/>
      <w:lvlText w:val="•"/>
      <w:lvlJc w:val="left"/>
      <w:pPr>
        <w:ind w:left="7472" w:hanging="360"/>
      </w:pPr>
      <w:rPr>
        <w:rFonts w:hint="default"/>
        <w:lang w:val="en-US" w:eastAsia="en-US" w:bidi="ar-SA"/>
      </w:rPr>
    </w:lvl>
    <w:lvl w:ilvl="7">
      <w:start w:val="0"/>
      <w:numFmt w:val="bullet"/>
      <w:lvlText w:val="•"/>
      <w:lvlJc w:val="left"/>
      <w:pPr>
        <w:ind w:left="8394" w:hanging="360"/>
      </w:pPr>
      <w:rPr>
        <w:rFonts w:hint="default"/>
        <w:lang w:val="en-US" w:eastAsia="en-US" w:bidi="ar-SA"/>
      </w:rPr>
    </w:lvl>
    <w:lvl w:ilvl="8">
      <w:start w:val="0"/>
      <w:numFmt w:val="bullet"/>
      <w:lvlText w:val="•"/>
      <w:lvlJc w:val="left"/>
      <w:pPr>
        <w:ind w:left="9316" w:hanging="360"/>
      </w:pPr>
      <w:rPr>
        <w:rFonts w:hint="default"/>
        <w:lang w:val="en-US" w:eastAsia="en-US" w:bidi="ar-SA"/>
      </w:rPr>
    </w:lvl>
  </w:abstractNum>
  <w:abstractNum w:abstractNumId="47">
    <w:nsid w:val="74DE8A23"/>
    <w:multiLevelType w:val="hybridMultilevel"/>
    <w:tmpl w:val="00000000"/>
    <w:lvl w:ilvl="0">
      <w:start w:val="0"/>
      <w:numFmt w:val="bullet"/>
      <w:lvlText w:val=""/>
      <w:lvlJc w:val="left"/>
      <w:pPr>
        <w:ind w:left="1224"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9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092" w:hanging="360"/>
      </w:pPr>
      <w:rPr>
        <w:rFonts w:hint="default"/>
        <w:lang w:val="en-US" w:eastAsia="en-US" w:bidi="ar-SA"/>
      </w:rPr>
    </w:lvl>
    <w:lvl w:ilvl="4">
      <w:start w:val="0"/>
      <w:numFmt w:val="bullet"/>
      <w:lvlText w:val="•"/>
      <w:lvlJc w:val="left"/>
      <w:pPr>
        <w:ind w:left="4245" w:hanging="360"/>
      </w:pPr>
      <w:rPr>
        <w:rFonts w:hint="default"/>
        <w:lang w:val="en-US" w:eastAsia="en-US" w:bidi="ar-SA"/>
      </w:rPr>
    </w:lvl>
    <w:lvl w:ilvl="5">
      <w:start w:val="0"/>
      <w:numFmt w:val="bullet"/>
      <w:lvlText w:val="•"/>
      <w:lvlJc w:val="left"/>
      <w:pPr>
        <w:ind w:left="5397" w:hanging="360"/>
      </w:pPr>
      <w:rPr>
        <w:rFonts w:hint="default"/>
        <w:lang w:val="en-US" w:eastAsia="en-US" w:bidi="ar-SA"/>
      </w:rPr>
    </w:lvl>
    <w:lvl w:ilvl="6">
      <w:start w:val="0"/>
      <w:numFmt w:val="bullet"/>
      <w:lvlText w:val="•"/>
      <w:lvlJc w:val="left"/>
      <w:pPr>
        <w:ind w:left="6550"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855" w:hanging="360"/>
      </w:pPr>
      <w:rPr>
        <w:rFonts w:hint="default"/>
        <w:lang w:val="en-US" w:eastAsia="en-US" w:bidi="ar-SA"/>
      </w:rPr>
    </w:lvl>
  </w:abstractNum>
  <w:abstractNum w:abstractNumId="48">
    <w:nsid w:val="75D782FE"/>
    <w:multiLevelType w:val="hybridMultilevel"/>
    <w:tmpl w:val="00000000"/>
    <w:lvl w:ilvl="0">
      <w:start w:val="1"/>
      <w:numFmt w:val="decimal"/>
      <w:lvlText w:val="(%1)"/>
      <w:lvlJc w:val="left"/>
      <w:pPr>
        <w:ind w:left="1562"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20" w:hanging="339"/>
      </w:pPr>
      <w:rPr>
        <w:rFonts w:hint="default"/>
        <w:lang w:val="en-US" w:eastAsia="en-US" w:bidi="ar-SA"/>
      </w:rPr>
    </w:lvl>
    <w:lvl w:ilvl="2">
      <w:start w:val="0"/>
      <w:numFmt w:val="bullet"/>
      <w:lvlText w:val="•"/>
      <w:lvlJc w:val="left"/>
      <w:pPr>
        <w:ind w:left="3480" w:hanging="339"/>
      </w:pPr>
      <w:rPr>
        <w:rFonts w:hint="default"/>
        <w:lang w:val="en-US" w:eastAsia="en-US" w:bidi="ar-SA"/>
      </w:rPr>
    </w:lvl>
    <w:lvl w:ilvl="3">
      <w:start w:val="0"/>
      <w:numFmt w:val="bullet"/>
      <w:lvlText w:val="•"/>
      <w:lvlJc w:val="left"/>
      <w:pPr>
        <w:ind w:left="4440" w:hanging="339"/>
      </w:pPr>
      <w:rPr>
        <w:rFonts w:hint="default"/>
        <w:lang w:val="en-US" w:eastAsia="en-US" w:bidi="ar-SA"/>
      </w:rPr>
    </w:lvl>
    <w:lvl w:ilvl="4">
      <w:start w:val="0"/>
      <w:numFmt w:val="bullet"/>
      <w:lvlText w:val="•"/>
      <w:lvlJc w:val="left"/>
      <w:pPr>
        <w:ind w:left="5400" w:hanging="339"/>
      </w:pPr>
      <w:rPr>
        <w:rFonts w:hint="default"/>
        <w:lang w:val="en-US" w:eastAsia="en-US" w:bidi="ar-SA"/>
      </w:rPr>
    </w:lvl>
    <w:lvl w:ilvl="5">
      <w:start w:val="0"/>
      <w:numFmt w:val="bullet"/>
      <w:lvlText w:val="•"/>
      <w:lvlJc w:val="left"/>
      <w:pPr>
        <w:ind w:left="6360" w:hanging="339"/>
      </w:pPr>
      <w:rPr>
        <w:rFonts w:hint="default"/>
        <w:lang w:val="en-US" w:eastAsia="en-US" w:bidi="ar-SA"/>
      </w:rPr>
    </w:lvl>
    <w:lvl w:ilvl="6">
      <w:start w:val="0"/>
      <w:numFmt w:val="bullet"/>
      <w:lvlText w:val="•"/>
      <w:lvlJc w:val="left"/>
      <w:pPr>
        <w:ind w:left="7320" w:hanging="339"/>
      </w:pPr>
      <w:rPr>
        <w:rFonts w:hint="default"/>
        <w:lang w:val="en-US" w:eastAsia="en-US" w:bidi="ar-SA"/>
      </w:rPr>
    </w:lvl>
    <w:lvl w:ilvl="7">
      <w:start w:val="0"/>
      <w:numFmt w:val="bullet"/>
      <w:lvlText w:val="•"/>
      <w:lvlJc w:val="left"/>
      <w:pPr>
        <w:ind w:left="8280" w:hanging="339"/>
      </w:pPr>
      <w:rPr>
        <w:rFonts w:hint="default"/>
        <w:lang w:val="en-US" w:eastAsia="en-US" w:bidi="ar-SA"/>
      </w:rPr>
    </w:lvl>
    <w:lvl w:ilvl="8">
      <w:start w:val="0"/>
      <w:numFmt w:val="bullet"/>
      <w:lvlText w:val="•"/>
      <w:lvlJc w:val="left"/>
      <w:pPr>
        <w:ind w:left="9240" w:hanging="339"/>
      </w:pPr>
      <w:rPr>
        <w:rFonts w:hint="default"/>
        <w:lang w:val="en-US" w:eastAsia="en-US" w:bidi="ar-SA"/>
      </w:rPr>
    </w:lvl>
  </w:abstractNum>
  <w:abstractNum w:abstractNumId="49">
    <w:nsid w:val="76BC4EE9"/>
    <w:multiLevelType w:val="hybridMultilevel"/>
    <w:tmpl w:val="00000000"/>
    <w:lvl w:ilvl="0">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38" w:hanging="360"/>
      </w:pPr>
      <w:rPr>
        <w:rFonts w:hint="default"/>
        <w:lang w:val="en-US" w:eastAsia="en-US" w:bidi="ar-SA"/>
      </w:rPr>
    </w:lvl>
    <w:lvl w:ilvl="2">
      <w:start w:val="0"/>
      <w:numFmt w:val="bullet"/>
      <w:lvlText w:val="•"/>
      <w:lvlJc w:val="left"/>
      <w:pPr>
        <w:ind w:left="3496" w:hanging="360"/>
      </w:pPr>
      <w:rPr>
        <w:rFonts w:hint="default"/>
        <w:lang w:val="en-US" w:eastAsia="en-US" w:bidi="ar-SA"/>
      </w:rPr>
    </w:lvl>
    <w:lvl w:ilvl="3">
      <w:start w:val="0"/>
      <w:numFmt w:val="bullet"/>
      <w:lvlText w:val="•"/>
      <w:lvlJc w:val="left"/>
      <w:pPr>
        <w:ind w:left="4454" w:hanging="360"/>
      </w:pPr>
      <w:rPr>
        <w:rFonts w:hint="default"/>
        <w:lang w:val="en-US" w:eastAsia="en-US" w:bidi="ar-SA"/>
      </w:rPr>
    </w:lvl>
    <w:lvl w:ilvl="4">
      <w:start w:val="0"/>
      <w:numFmt w:val="bullet"/>
      <w:lvlText w:val="•"/>
      <w:lvlJc w:val="left"/>
      <w:pPr>
        <w:ind w:left="5412" w:hanging="360"/>
      </w:pPr>
      <w:rPr>
        <w:rFonts w:hint="default"/>
        <w:lang w:val="en-US" w:eastAsia="en-US" w:bidi="ar-SA"/>
      </w:rPr>
    </w:lvl>
    <w:lvl w:ilvl="5">
      <w:start w:val="0"/>
      <w:numFmt w:val="bullet"/>
      <w:lvlText w:val="•"/>
      <w:lvlJc w:val="left"/>
      <w:pPr>
        <w:ind w:left="6370" w:hanging="360"/>
      </w:pPr>
      <w:rPr>
        <w:rFonts w:hint="default"/>
        <w:lang w:val="en-US" w:eastAsia="en-US" w:bidi="ar-SA"/>
      </w:rPr>
    </w:lvl>
    <w:lvl w:ilvl="6">
      <w:start w:val="0"/>
      <w:numFmt w:val="bullet"/>
      <w:lvlText w:val="•"/>
      <w:lvlJc w:val="left"/>
      <w:pPr>
        <w:ind w:left="7328" w:hanging="360"/>
      </w:pPr>
      <w:rPr>
        <w:rFonts w:hint="default"/>
        <w:lang w:val="en-US" w:eastAsia="en-US" w:bidi="ar-SA"/>
      </w:rPr>
    </w:lvl>
    <w:lvl w:ilvl="7">
      <w:start w:val="0"/>
      <w:numFmt w:val="bullet"/>
      <w:lvlText w:val="•"/>
      <w:lvlJc w:val="left"/>
      <w:pPr>
        <w:ind w:left="8286" w:hanging="360"/>
      </w:pPr>
      <w:rPr>
        <w:rFonts w:hint="default"/>
        <w:lang w:val="en-US" w:eastAsia="en-US" w:bidi="ar-SA"/>
      </w:rPr>
    </w:lvl>
    <w:lvl w:ilvl="8">
      <w:start w:val="0"/>
      <w:numFmt w:val="bullet"/>
      <w:lvlText w:val="•"/>
      <w:lvlJc w:val="left"/>
      <w:pPr>
        <w:ind w:left="9244" w:hanging="360"/>
      </w:pPr>
      <w:rPr>
        <w:rFonts w:hint="default"/>
        <w:lang w:val="en-US" w:eastAsia="en-US" w:bidi="ar-SA"/>
      </w:rPr>
    </w:lvl>
  </w:abstractNum>
  <w:abstractNum w:abstractNumId="50">
    <w:nsid w:val="789529D4"/>
    <w:multiLevelType w:val="hybridMultilevel"/>
    <w:tmpl w:val="00000000"/>
    <w:lvl w:ilvl="0">
      <w:start w:val="1"/>
      <w:numFmt w:val="decimal"/>
      <w:lvlText w:val="(%1)"/>
      <w:lvlJc w:val="left"/>
      <w:pPr>
        <w:ind w:left="1562"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20" w:hanging="339"/>
      </w:pPr>
      <w:rPr>
        <w:rFonts w:hint="default"/>
        <w:lang w:val="en-US" w:eastAsia="en-US" w:bidi="ar-SA"/>
      </w:rPr>
    </w:lvl>
    <w:lvl w:ilvl="2">
      <w:start w:val="0"/>
      <w:numFmt w:val="bullet"/>
      <w:lvlText w:val="•"/>
      <w:lvlJc w:val="left"/>
      <w:pPr>
        <w:ind w:left="3480" w:hanging="339"/>
      </w:pPr>
      <w:rPr>
        <w:rFonts w:hint="default"/>
        <w:lang w:val="en-US" w:eastAsia="en-US" w:bidi="ar-SA"/>
      </w:rPr>
    </w:lvl>
    <w:lvl w:ilvl="3">
      <w:start w:val="0"/>
      <w:numFmt w:val="bullet"/>
      <w:lvlText w:val="•"/>
      <w:lvlJc w:val="left"/>
      <w:pPr>
        <w:ind w:left="4440" w:hanging="339"/>
      </w:pPr>
      <w:rPr>
        <w:rFonts w:hint="default"/>
        <w:lang w:val="en-US" w:eastAsia="en-US" w:bidi="ar-SA"/>
      </w:rPr>
    </w:lvl>
    <w:lvl w:ilvl="4">
      <w:start w:val="0"/>
      <w:numFmt w:val="bullet"/>
      <w:lvlText w:val="•"/>
      <w:lvlJc w:val="left"/>
      <w:pPr>
        <w:ind w:left="5400" w:hanging="339"/>
      </w:pPr>
      <w:rPr>
        <w:rFonts w:hint="default"/>
        <w:lang w:val="en-US" w:eastAsia="en-US" w:bidi="ar-SA"/>
      </w:rPr>
    </w:lvl>
    <w:lvl w:ilvl="5">
      <w:start w:val="0"/>
      <w:numFmt w:val="bullet"/>
      <w:lvlText w:val="•"/>
      <w:lvlJc w:val="left"/>
      <w:pPr>
        <w:ind w:left="6360" w:hanging="339"/>
      </w:pPr>
      <w:rPr>
        <w:rFonts w:hint="default"/>
        <w:lang w:val="en-US" w:eastAsia="en-US" w:bidi="ar-SA"/>
      </w:rPr>
    </w:lvl>
    <w:lvl w:ilvl="6">
      <w:start w:val="0"/>
      <w:numFmt w:val="bullet"/>
      <w:lvlText w:val="•"/>
      <w:lvlJc w:val="left"/>
      <w:pPr>
        <w:ind w:left="7320" w:hanging="339"/>
      </w:pPr>
      <w:rPr>
        <w:rFonts w:hint="default"/>
        <w:lang w:val="en-US" w:eastAsia="en-US" w:bidi="ar-SA"/>
      </w:rPr>
    </w:lvl>
    <w:lvl w:ilvl="7">
      <w:start w:val="0"/>
      <w:numFmt w:val="bullet"/>
      <w:lvlText w:val="•"/>
      <w:lvlJc w:val="left"/>
      <w:pPr>
        <w:ind w:left="8280" w:hanging="339"/>
      </w:pPr>
      <w:rPr>
        <w:rFonts w:hint="default"/>
        <w:lang w:val="en-US" w:eastAsia="en-US" w:bidi="ar-SA"/>
      </w:rPr>
    </w:lvl>
    <w:lvl w:ilvl="8">
      <w:start w:val="0"/>
      <w:numFmt w:val="bullet"/>
      <w:lvlText w:val="•"/>
      <w:lvlJc w:val="left"/>
      <w:pPr>
        <w:ind w:left="9240" w:hanging="339"/>
      </w:pPr>
      <w:rPr>
        <w:rFonts w:hint="default"/>
        <w:lang w:val="en-US" w:eastAsia="en-US" w:bidi="ar-SA"/>
      </w:rPr>
    </w:lvl>
  </w:abstractNum>
  <w:abstractNum w:abstractNumId="51">
    <w:nsid w:val="7A34EB59"/>
    <w:multiLevelType w:val="hybridMultilevel"/>
    <w:tmpl w:val="00000000"/>
    <w:lvl w:ilvl="0">
      <w:start w:val="9"/>
      <w:numFmt w:val="decimal"/>
      <w:lvlText w:val="%1"/>
      <w:lvlJc w:val="left"/>
      <w:pPr>
        <w:ind w:left="436" w:hanging="332"/>
        <w:jc w:val="left"/>
      </w:pPr>
      <w:rPr>
        <w:rFonts w:hint="default"/>
        <w:lang w:val="en-US" w:eastAsia="en-US" w:bidi="ar-SA"/>
      </w:rPr>
    </w:lvl>
    <w:lvl w:ilvl="1">
      <w:start w:val="1"/>
      <w:numFmt w:val="decimal"/>
      <w:lvlText w:val="%1.%2"/>
      <w:lvlJc w:val="left"/>
      <w:pPr>
        <w:ind w:left="436" w:hanging="3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0"/>
      <w:numFmt w:val="bullet"/>
      <w:lvlText w:val="•"/>
      <w:lvlJc w:val="left"/>
      <w:pPr>
        <w:ind w:left="746" w:hanging="332"/>
      </w:pPr>
      <w:rPr>
        <w:rFonts w:hint="default"/>
        <w:lang w:val="en-US" w:eastAsia="en-US" w:bidi="ar-SA"/>
      </w:rPr>
    </w:lvl>
    <w:lvl w:ilvl="3">
      <w:start w:val="0"/>
      <w:numFmt w:val="bullet"/>
      <w:lvlText w:val="•"/>
      <w:lvlJc w:val="left"/>
      <w:pPr>
        <w:ind w:left="899" w:hanging="332"/>
      </w:pPr>
      <w:rPr>
        <w:rFonts w:hint="default"/>
        <w:lang w:val="en-US" w:eastAsia="en-US" w:bidi="ar-SA"/>
      </w:rPr>
    </w:lvl>
    <w:lvl w:ilvl="4">
      <w:start w:val="0"/>
      <w:numFmt w:val="bullet"/>
      <w:lvlText w:val="•"/>
      <w:lvlJc w:val="left"/>
      <w:pPr>
        <w:ind w:left="1052" w:hanging="332"/>
      </w:pPr>
      <w:rPr>
        <w:rFonts w:hint="default"/>
        <w:lang w:val="en-US" w:eastAsia="en-US" w:bidi="ar-SA"/>
      </w:rPr>
    </w:lvl>
    <w:lvl w:ilvl="5">
      <w:start w:val="0"/>
      <w:numFmt w:val="bullet"/>
      <w:lvlText w:val="•"/>
      <w:lvlJc w:val="left"/>
      <w:pPr>
        <w:ind w:left="1205" w:hanging="332"/>
      </w:pPr>
      <w:rPr>
        <w:rFonts w:hint="default"/>
        <w:lang w:val="en-US" w:eastAsia="en-US" w:bidi="ar-SA"/>
      </w:rPr>
    </w:lvl>
    <w:lvl w:ilvl="6">
      <w:start w:val="0"/>
      <w:numFmt w:val="bullet"/>
      <w:lvlText w:val="•"/>
      <w:lvlJc w:val="left"/>
      <w:pPr>
        <w:ind w:left="1358" w:hanging="332"/>
      </w:pPr>
      <w:rPr>
        <w:rFonts w:hint="default"/>
        <w:lang w:val="en-US" w:eastAsia="en-US" w:bidi="ar-SA"/>
      </w:rPr>
    </w:lvl>
    <w:lvl w:ilvl="7">
      <w:start w:val="0"/>
      <w:numFmt w:val="bullet"/>
      <w:lvlText w:val="•"/>
      <w:lvlJc w:val="left"/>
      <w:pPr>
        <w:ind w:left="1511" w:hanging="332"/>
      </w:pPr>
      <w:rPr>
        <w:rFonts w:hint="default"/>
        <w:lang w:val="en-US" w:eastAsia="en-US" w:bidi="ar-SA"/>
      </w:rPr>
    </w:lvl>
    <w:lvl w:ilvl="8">
      <w:start w:val="0"/>
      <w:numFmt w:val="bullet"/>
      <w:lvlText w:val="•"/>
      <w:lvlJc w:val="left"/>
      <w:pPr>
        <w:ind w:left="1664" w:hanging="332"/>
      </w:pPr>
      <w:rPr>
        <w:rFonts w:hint="default"/>
        <w:lang w:val="en-US" w:eastAsia="en-US" w:bidi="ar-SA"/>
      </w:rPr>
    </w:lvl>
  </w:abstractNum>
  <w:abstractNum w:abstractNumId="52">
    <w:nsid w:val="7ACF4E52"/>
    <w:multiLevelType w:val="hybridMultilevel"/>
    <w:tmpl w:val="00000000"/>
    <w:lvl w:ilvl="0">
      <w:start w:val="0"/>
      <w:numFmt w:val="bullet"/>
      <w:lvlText w:val="•"/>
      <w:lvlJc w:val="left"/>
      <w:pPr>
        <w:ind w:left="12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944" w:hanging="360"/>
      </w:pPr>
      <w:rPr>
        <w:rFonts w:ascii="Wingdings" w:eastAsia="Wingdings" w:hAnsi="Wingdings" w:cs="Wingdings" w:hint="default"/>
        <w:spacing w:val="0"/>
        <w:w w:val="100"/>
        <w:lang w:val="en-US" w:eastAsia="en-US" w:bidi="ar-SA"/>
      </w:rPr>
    </w:lvl>
    <w:lvl w:ilvl="3">
      <w:start w:val="0"/>
      <w:numFmt w:val="bullet"/>
      <w:lvlText w:val="•"/>
      <w:lvlJc w:val="left"/>
      <w:pPr>
        <w:ind w:left="3092" w:hanging="360"/>
      </w:pPr>
      <w:rPr>
        <w:rFonts w:hint="default"/>
        <w:lang w:val="en-US" w:eastAsia="en-US" w:bidi="ar-SA"/>
      </w:rPr>
    </w:lvl>
    <w:lvl w:ilvl="4">
      <w:start w:val="0"/>
      <w:numFmt w:val="bullet"/>
      <w:lvlText w:val="•"/>
      <w:lvlJc w:val="left"/>
      <w:pPr>
        <w:ind w:left="4245" w:hanging="360"/>
      </w:pPr>
      <w:rPr>
        <w:rFonts w:hint="default"/>
        <w:lang w:val="en-US" w:eastAsia="en-US" w:bidi="ar-SA"/>
      </w:rPr>
    </w:lvl>
    <w:lvl w:ilvl="5">
      <w:start w:val="0"/>
      <w:numFmt w:val="bullet"/>
      <w:lvlText w:val="•"/>
      <w:lvlJc w:val="left"/>
      <w:pPr>
        <w:ind w:left="5397" w:hanging="360"/>
      </w:pPr>
      <w:rPr>
        <w:rFonts w:hint="default"/>
        <w:lang w:val="en-US" w:eastAsia="en-US" w:bidi="ar-SA"/>
      </w:rPr>
    </w:lvl>
    <w:lvl w:ilvl="6">
      <w:start w:val="0"/>
      <w:numFmt w:val="bullet"/>
      <w:lvlText w:val="•"/>
      <w:lvlJc w:val="left"/>
      <w:pPr>
        <w:ind w:left="6550"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855" w:hanging="360"/>
      </w:pPr>
      <w:rPr>
        <w:rFonts w:hint="default"/>
        <w:lang w:val="en-US" w:eastAsia="en-US" w:bidi="ar-SA"/>
      </w:rPr>
    </w:lvl>
  </w:abstractNum>
  <w:abstractNum w:abstractNumId="53">
    <w:nsid w:val="7E08475D"/>
    <w:multiLevelType w:val="hybridMultilevel"/>
    <w:tmpl w:val="00000000"/>
    <w:lvl w:ilvl="0">
      <w:start w:val="0"/>
      <w:numFmt w:val="bullet"/>
      <w:lvlText w:val=""/>
      <w:lvlJc w:val="left"/>
      <w:pPr>
        <w:ind w:left="1584"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19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3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407" w:hanging="360"/>
      </w:pPr>
      <w:rPr>
        <w:rFonts w:hint="default"/>
        <w:lang w:val="en-US" w:eastAsia="en-US" w:bidi="ar-SA"/>
      </w:rPr>
    </w:lvl>
    <w:lvl w:ilvl="4">
      <w:start w:val="0"/>
      <w:numFmt w:val="bullet"/>
      <w:lvlText w:val="•"/>
      <w:lvlJc w:val="left"/>
      <w:pPr>
        <w:ind w:left="4515" w:hanging="360"/>
      </w:pPr>
      <w:rPr>
        <w:rFonts w:hint="default"/>
        <w:lang w:val="en-US" w:eastAsia="en-US" w:bidi="ar-SA"/>
      </w:rPr>
    </w:lvl>
    <w:lvl w:ilvl="5">
      <w:start w:val="0"/>
      <w:numFmt w:val="bullet"/>
      <w:lvlText w:val="•"/>
      <w:lvlJc w:val="left"/>
      <w:pPr>
        <w:ind w:left="5622" w:hanging="360"/>
      </w:pPr>
      <w:rPr>
        <w:rFonts w:hint="default"/>
        <w:lang w:val="en-US" w:eastAsia="en-US" w:bidi="ar-SA"/>
      </w:rPr>
    </w:lvl>
    <w:lvl w:ilvl="6">
      <w:start w:val="0"/>
      <w:numFmt w:val="bullet"/>
      <w:lvlText w:val="•"/>
      <w:lvlJc w:val="left"/>
      <w:pPr>
        <w:ind w:left="6730" w:hanging="360"/>
      </w:pPr>
      <w:rPr>
        <w:rFonts w:hint="default"/>
        <w:lang w:val="en-US" w:eastAsia="en-US" w:bidi="ar-SA"/>
      </w:rPr>
    </w:lvl>
    <w:lvl w:ilvl="7">
      <w:start w:val="0"/>
      <w:numFmt w:val="bullet"/>
      <w:lvlText w:val="•"/>
      <w:lvlJc w:val="left"/>
      <w:pPr>
        <w:ind w:left="7837" w:hanging="360"/>
      </w:pPr>
      <w:rPr>
        <w:rFonts w:hint="default"/>
        <w:lang w:val="en-US" w:eastAsia="en-US" w:bidi="ar-SA"/>
      </w:rPr>
    </w:lvl>
    <w:lvl w:ilvl="8">
      <w:start w:val="0"/>
      <w:numFmt w:val="bullet"/>
      <w:lvlText w:val="•"/>
      <w:lvlJc w:val="left"/>
      <w:pPr>
        <w:ind w:left="8945" w:hanging="360"/>
      </w:pPr>
      <w:rPr>
        <w:rFonts w:hint="default"/>
        <w:lang w:val="en-US" w:eastAsia="en-US" w:bidi="ar-SA"/>
      </w:rPr>
    </w:lvl>
  </w:abstractNum>
  <w:abstractNum w:abstractNumId="54">
    <w:nsid w:val="7E0D2CA2"/>
    <w:multiLevelType w:val="hybridMultilevel"/>
    <w:tmpl w:val="00000000"/>
    <w:lvl w:ilvl="0">
      <w:start w:val="0"/>
      <w:numFmt w:val="bullet"/>
      <w:lvlText w:val="•"/>
      <w:lvlJc w:val="left"/>
      <w:pPr>
        <w:ind w:left="15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38" w:hanging="360"/>
      </w:pPr>
      <w:rPr>
        <w:rFonts w:hint="default"/>
        <w:lang w:val="en-US" w:eastAsia="en-US" w:bidi="ar-SA"/>
      </w:rPr>
    </w:lvl>
    <w:lvl w:ilvl="2">
      <w:start w:val="0"/>
      <w:numFmt w:val="bullet"/>
      <w:lvlText w:val="•"/>
      <w:lvlJc w:val="left"/>
      <w:pPr>
        <w:ind w:left="3496" w:hanging="360"/>
      </w:pPr>
      <w:rPr>
        <w:rFonts w:hint="default"/>
        <w:lang w:val="en-US" w:eastAsia="en-US" w:bidi="ar-SA"/>
      </w:rPr>
    </w:lvl>
    <w:lvl w:ilvl="3">
      <w:start w:val="0"/>
      <w:numFmt w:val="bullet"/>
      <w:lvlText w:val="•"/>
      <w:lvlJc w:val="left"/>
      <w:pPr>
        <w:ind w:left="4454" w:hanging="360"/>
      </w:pPr>
      <w:rPr>
        <w:rFonts w:hint="default"/>
        <w:lang w:val="en-US" w:eastAsia="en-US" w:bidi="ar-SA"/>
      </w:rPr>
    </w:lvl>
    <w:lvl w:ilvl="4">
      <w:start w:val="0"/>
      <w:numFmt w:val="bullet"/>
      <w:lvlText w:val="•"/>
      <w:lvlJc w:val="left"/>
      <w:pPr>
        <w:ind w:left="5412" w:hanging="360"/>
      </w:pPr>
      <w:rPr>
        <w:rFonts w:hint="default"/>
        <w:lang w:val="en-US" w:eastAsia="en-US" w:bidi="ar-SA"/>
      </w:rPr>
    </w:lvl>
    <w:lvl w:ilvl="5">
      <w:start w:val="0"/>
      <w:numFmt w:val="bullet"/>
      <w:lvlText w:val="•"/>
      <w:lvlJc w:val="left"/>
      <w:pPr>
        <w:ind w:left="6370" w:hanging="360"/>
      </w:pPr>
      <w:rPr>
        <w:rFonts w:hint="default"/>
        <w:lang w:val="en-US" w:eastAsia="en-US" w:bidi="ar-SA"/>
      </w:rPr>
    </w:lvl>
    <w:lvl w:ilvl="6">
      <w:start w:val="0"/>
      <w:numFmt w:val="bullet"/>
      <w:lvlText w:val="•"/>
      <w:lvlJc w:val="left"/>
      <w:pPr>
        <w:ind w:left="7328" w:hanging="360"/>
      </w:pPr>
      <w:rPr>
        <w:rFonts w:hint="default"/>
        <w:lang w:val="en-US" w:eastAsia="en-US" w:bidi="ar-SA"/>
      </w:rPr>
    </w:lvl>
    <w:lvl w:ilvl="7">
      <w:start w:val="0"/>
      <w:numFmt w:val="bullet"/>
      <w:lvlText w:val="•"/>
      <w:lvlJc w:val="left"/>
      <w:pPr>
        <w:ind w:left="8286" w:hanging="360"/>
      </w:pPr>
      <w:rPr>
        <w:rFonts w:hint="default"/>
        <w:lang w:val="en-US" w:eastAsia="en-US" w:bidi="ar-SA"/>
      </w:rPr>
    </w:lvl>
    <w:lvl w:ilvl="8">
      <w:start w:val="0"/>
      <w:numFmt w:val="bullet"/>
      <w:lvlText w:val="•"/>
      <w:lvlJc w:val="left"/>
      <w:pPr>
        <w:ind w:left="9244" w:hanging="360"/>
      </w:pPr>
      <w:rPr>
        <w:rFonts w:hint="default"/>
        <w:lang w:val="en-US" w:eastAsia="en-US" w:bidi="ar-SA"/>
      </w:rPr>
    </w:lvl>
  </w:abstractNum>
  <w:abstractNum w:abstractNumId="55">
    <w:nsid w:val="7E1FC4BA"/>
    <w:multiLevelType w:val="hybridMultilevel"/>
    <w:tmpl w:val="00000000"/>
    <w:lvl w:ilvl="0">
      <w:start w:val="1"/>
      <w:numFmt w:val="decimal"/>
      <w:lvlText w:val="(%1)"/>
      <w:lvlJc w:val="left"/>
      <w:pPr>
        <w:ind w:left="1562"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20" w:hanging="339"/>
      </w:pPr>
      <w:rPr>
        <w:rFonts w:hint="default"/>
        <w:lang w:val="en-US" w:eastAsia="en-US" w:bidi="ar-SA"/>
      </w:rPr>
    </w:lvl>
    <w:lvl w:ilvl="2">
      <w:start w:val="0"/>
      <w:numFmt w:val="bullet"/>
      <w:lvlText w:val="•"/>
      <w:lvlJc w:val="left"/>
      <w:pPr>
        <w:ind w:left="3480" w:hanging="339"/>
      </w:pPr>
      <w:rPr>
        <w:rFonts w:hint="default"/>
        <w:lang w:val="en-US" w:eastAsia="en-US" w:bidi="ar-SA"/>
      </w:rPr>
    </w:lvl>
    <w:lvl w:ilvl="3">
      <w:start w:val="0"/>
      <w:numFmt w:val="bullet"/>
      <w:lvlText w:val="•"/>
      <w:lvlJc w:val="left"/>
      <w:pPr>
        <w:ind w:left="4440" w:hanging="339"/>
      </w:pPr>
      <w:rPr>
        <w:rFonts w:hint="default"/>
        <w:lang w:val="en-US" w:eastAsia="en-US" w:bidi="ar-SA"/>
      </w:rPr>
    </w:lvl>
    <w:lvl w:ilvl="4">
      <w:start w:val="0"/>
      <w:numFmt w:val="bullet"/>
      <w:lvlText w:val="•"/>
      <w:lvlJc w:val="left"/>
      <w:pPr>
        <w:ind w:left="5400" w:hanging="339"/>
      </w:pPr>
      <w:rPr>
        <w:rFonts w:hint="default"/>
        <w:lang w:val="en-US" w:eastAsia="en-US" w:bidi="ar-SA"/>
      </w:rPr>
    </w:lvl>
    <w:lvl w:ilvl="5">
      <w:start w:val="0"/>
      <w:numFmt w:val="bullet"/>
      <w:lvlText w:val="•"/>
      <w:lvlJc w:val="left"/>
      <w:pPr>
        <w:ind w:left="6360" w:hanging="339"/>
      </w:pPr>
      <w:rPr>
        <w:rFonts w:hint="default"/>
        <w:lang w:val="en-US" w:eastAsia="en-US" w:bidi="ar-SA"/>
      </w:rPr>
    </w:lvl>
    <w:lvl w:ilvl="6">
      <w:start w:val="0"/>
      <w:numFmt w:val="bullet"/>
      <w:lvlText w:val="•"/>
      <w:lvlJc w:val="left"/>
      <w:pPr>
        <w:ind w:left="7320" w:hanging="339"/>
      </w:pPr>
      <w:rPr>
        <w:rFonts w:hint="default"/>
        <w:lang w:val="en-US" w:eastAsia="en-US" w:bidi="ar-SA"/>
      </w:rPr>
    </w:lvl>
    <w:lvl w:ilvl="7">
      <w:start w:val="0"/>
      <w:numFmt w:val="bullet"/>
      <w:lvlText w:val="•"/>
      <w:lvlJc w:val="left"/>
      <w:pPr>
        <w:ind w:left="8280" w:hanging="339"/>
      </w:pPr>
      <w:rPr>
        <w:rFonts w:hint="default"/>
        <w:lang w:val="en-US" w:eastAsia="en-US" w:bidi="ar-SA"/>
      </w:rPr>
    </w:lvl>
    <w:lvl w:ilvl="8">
      <w:start w:val="0"/>
      <w:numFmt w:val="bullet"/>
      <w:lvlText w:val="•"/>
      <w:lvlJc w:val="left"/>
      <w:pPr>
        <w:ind w:left="9240" w:hanging="339"/>
      </w:pPr>
      <w:rPr>
        <w:rFonts w:hint="default"/>
        <w:lang w:val="en-US" w:eastAsia="en-US" w:bidi="ar-SA"/>
      </w:rPr>
    </w:lvl>
  </w:abstractNum>
  <w:abstractNum w:abstractNumId="56">
    <w:nsid w:val="7EEF6238"/>
    <w:multiLevelType w:val="hybridMultilevel"/>
    <w:tmpl w:val="00000000"/>
    <w:lvl w:ilvl="0">
      <w:start w:val="12"/>
      <w:numFmt w:val="decimal"/>
      <w:lvlText w:val="%1"/>
      <w:lvlJc w:val="left"/>
      <w:pPr>
        <w:ind w:left="547" w:hanging="442"/>
        <w:jc w:val="left"/>
      </w:pPr>
      <w:rPr>
        <w:rFonts w:hint="default"/>
        <w:lang w:val="en-US" w:eastAsia="en-US" w:bidi="ar-SA"/>
      </w:rPr>
    </w:lvl>
    <w:lvl w:ilvl="1">
      <w:start w:val="1"/>
      <w:numFmt w:val="decimal"/>
      <w:lvlText w:val="%1.%2"/>
      <w:lvlJc w:val="left"/>
      <w:pPr>
        <w:ind w:left="547" w:hanging="44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0"/>
      <w:numFmt w:val="bullet"/>
      <w:lvlText w:val="•"/>
      <w:lvlJc w:val="left"/>
      <w:pPr>
        <w:ind w:left="826" w:hanging="442"/>
      </w:pPr>
      <w:rPr>
        <w:rFonts w:hint="default"/>
        <w:lang w:val="en-US" w:eastAsia="en-US" w:bidi="ar-SA"/>
      </w:rPr>
    </w:lvl>
    <w:lvl w:ilvl="3">
      <w:start w:val="0"/>
      <w:numFmt w:val="bullet"/>
      <w:lvlText w:val="•"/>
      <w:lvlJc w:val="left"/>
      <w:pPr>
        <w:ind w:left="969" w:hanging="442"/>
      </w:pPr>
      <w:rPr>
        <w:rFonts w:hint="default"/>
        <w:lang w:val="en-US" w:eastAsia="en-US" w:bidi="ar-SA"/>
      </w:rPr>
    </w:lvl>
    <w:lvl w:ilvl="4">
      <w:start w:val="0"/>
      <w:numFmt w:val="bullet"/>
      <w:lvlText w:val="•"/>
      <w:lvlJc w:val="left"/>
      <w:pPr>
        <w:ind w:left="1112" w:hanging="442"/>
      </w:pPr>
      <w:rPr>
        <w:rFonts w:hint="default"/>
        <w:lang w:val="en-US" w:eastAsia="en-US" w:bidi="ar-SA"/>
      </w:rPr>
    </w:lvl>
    <w:lvl w:ilvl="5">
      <w:start w:val="0"/>
      <w:numFmt w:val="bullet"/>
      <w:lvlText w:val="•"/>
      <w:lvlJc w:val="left"/>
      <w:pPr>
        <w:ind w:left="1255" w:hanging="442"/>
      </w:pPr>
      <w:rPr>
        <w:rFonts w:hint="default"/>
        <w:lang w:val="en-US" w:eastAsia="en-US" w:bidi="ar-SA"/>
      </w:rPr>
    </w:lvl>
    <w:lvl w:ilvl="6">
      <w:start w:val="0"/>
      <w:numFmt w:val="bullet"/>
      <w:lvlText w:val="•"/>
      <w:lvlJc w:val="left"/>
      <w:pPr>
        <w:ind w:left="1398" w:hanging="442"/>
      </w:pPr>
      <w:rPr>
        <w:rFonts w:hint="default"/>
        <w:lang w:val="en-US" w:eastAsia="en-US" w:bidi="ar-SA"/>
      </w:rPr>
    </w:lvl>
    <w:lvl w:ilvl="7">
      <w:start w:val="0"/>
      <w:numFmt w:val="bullet"/>
      <w:lvlText w:val="•"/>
      <w:lvlJc w:val="left"/>
      <w:pPr>
        <w:ind w:left="1541" w:hanging="442"/>
      </w:pPr>
      <w:rPr>
        <w:rFonts w:hint="default"/>
        <w:lang w:val="en-US" w:eastAsia="en-US" w:bidi="ar-SA"/>
      </w:rPr>
    </w:lvl>
    <w:lvl w:ilvl="8">
      <w:start w:val="0"/>
      <w:numFmt w:val="bullet"/>
      <w:lvlText w:val="•"/>
      <w:lvlJc w:val="left"/>
      <w:pPr>
        <w:ind w:left="1684" w:hanging="442"/>
      </w:pPr>
      <w:rPr>
        <w:rFonts w:hint="default"/>
        <w:lang w:val="en-US" w:eastAsia="en-US" w:bidi="ar-SA"/>
      </w:rPr>
    </w:lvl>
  </w:abstractNum>
  <w:num w:numId="1">
    <w:abstractNumId w:val="25"/>
  </w:num>
  <w:num w:numId="2">
    <w:abstractNumId w:val="32"/>
  </w:num>
  <w:num w:numId="3">
    <w:abstractNumId w:val="11"/>
  </w:num>
  <w:num w:numId="4">
    <w:abstractNumId w:val="39"/>
  </w:num>
  <w:num w:numId="5">
    <w:abstractNumId w:val="55"/>
  </w:num>
  <w:num w:numId="6">
    <w:abstractNumId w:val="4"/>
  </w:num>
  <w:num w:numId="7">
    <w:abstractNumId w:val="50"/>
  </w:num>
  <w:num w:numId="8">
    <w:abstractNumId w:val="48"/>
  </w:num>
  <w:num w:numId="9">
    <w:abstractNumId w:val="0"/>
  </w:num>
  <w:num w:numId="10">
    <w:abstractNumId w:val="31"/>
  </w:num>
  <w:num w:numId="11">
    <w:abstractNumId w:val="20"/>
  </w:num>
  <w:num w:numId="12">
    <w:abstractNumId w:val="45"/>
  </w:num>
  <w:num w:numId="13">
    <w:abstractNumId w:val="22"/>
  </w:num>
  <w:num w:numId="14">
    <w:abstractNumId w:val="6"/>
  </w:num>
  <w:num w:numId="15">
    <w:abstractNumId w:val="34"/>
  </w:num>
  <w:num w:numId="16">
    <w:abstractNumId w:val="8"/>
  </w:num>
  <w:num w:numId="17">
    <w:abstractNumId w:val="15"/>
  </w:num>
  <w:num w:numId="18">
    <w:abstractNumId w:val="13"/>
  </w:num>
  <w:num w:numId="19">
    <w:abstractNumId w:val="7"/>
  </w:num>
  <w:num w:numId="20">
    <w:abstractNumId w:val="12"/>
  </w:num>
  <w:num w:numId="21">
    <w:abstractNumId w:val="17"/>
  </w:num>
  <w:num w:numId="22">
    <w:abstractNumId w:val="29"/>
  </w:num>
  <w:num w:numId="23">
    <w:abstractNumId w:val="44"/>
  </w:num>
  <w:num w:numId="24">
    <w:abstractNumId w:val="24"/>
  </w:num>
  <w:num w:numId="25">
    <w:abstractNumId w:val="37"/>
  </w:num>
  <w:num w:numId="26">
    <w:abstractNumId w:val="23"/>
  </w:num>
  <w:num w:numId="27">
    <w:abstractNumId w:val="9"/>
  </w:num>
  <w:num w:numId="28">
    <w:abstractNumId w:val="38"/>
  </w:num>
  <w:num w:numId="29">
    <w:abstractNumId w:val="56"/>
  </w:num>
  <w:num w:numId="30">
    <w:abstractNumId w:val="51"/>
  </w:num>
  <w:num w:numId="31">
    <w:abstractNumId w:val="41"/>
  </w:num>
  <w:num w:numId="32">
    <w:abstractNumId w:val="10"/>
  </w:num>
  <w:num w:numId="33">
    <w:abstractNumId w:val="30"/>
  </w:num>
  <w:num w:numId="34">
    <w:abstractNumId w:val="40"/>
  </w:num>
  <w:num w:numId="35">
    <w:abstractNumId w:val="26"/>
  </w:num>
  <w:num w:numId="36">
    <w:abstractNumId w:val="52"/>
  </w:num>
  <w:num w:numId="37">
    <w:abstractNumId w:val="5"/>
  </w:num>
  <w:num w:numId="38">
    <w:abstractNumId w:val="28"/>
  </w:num>
  <w:num w:numId="39">
    <w:abstractNumId w:val="14"/>
  </w:num>
  <w:num w:numId="40">
    <w:abstractNumId w:val="21"/>
  </w:num>
  <w:num w:numId="41">
    <w:abstractNumId w:val="16"/>
  </w:num>
  <w:num w:numId="42">
    <w:abstractNumId w:val="3"/>
  </w:num>
  <w:num w:numId="43">
    <w:abstractNumId w:val="42"/>
  </w:num>
  <w:num w:numId="44">
    <w:abstractNumId w:val="49"/>
  </w:num>
  <w:num w:numId="45">
    <w:abstractNumId w:val="35"/>
  </w:num>
  <w:num w:numId="46">
    <w:abstractNumId w:val="46"/>
  </w:num>
  <w:num w:numId="47">
    <w:abstractNumId w:val="27"/>
  </w:num>
  <w:num w:numId="48">
    <w:abstractNumId w:val="2"/>
  </w:num>
  <w:num w:numId="49">
    <w:abstractNumId w:val="43"/>
  </w:num>
  <w:num w:numId="50">
    <w:abstractNumId w:val="18"/>
  </w:num>
  <w:num w:numId="51">
    <w:abstractNumId w:val="54"/>
  </w:num>
  <w:num w:numId="52">
    <w:abstractNumId w:val="53"/>
  </w:num>
  <w:num w:numId="53">
    <w:abstractNumId w:val="1"/>
  </w:num>
  <w:num w:numId="54">
    <w:abstractNumId w:val="47"/>
  </w:num>
  <w:num w:numId="55">
    <w:abstractNumId w:val="33"/>
  </w:num>
  <w:num w:numId="56">
    <w:abstractNumId w:val="36"/>
  </w:num>
  <w:num w:numId="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paragraph" w:styleId="Heading1">
    <w:name w:val="heading 1"/>
    <w:basedOn w:val="Normal"/>
    <w:uiPriority w:val="1"/>
    <w:qFormat/>
    <w:pPr>
      <w:ind w:left="475"/>
      <w:outlineLvl w:val="0"/>
    </w:pPr>
    <w:rPr>
      <w:rFonts w:ascii="Arial" w:eastAsia="Arial" w:hAnsi="Arial" w:cs="Arial"/>
      <w:b/>
      <w:bCs/>
      <w:sz w:val="28"/>
      <w:szCs w:val="28"/>
      <w:u w:val="single" w:color="000000"/>
      <w:lang w:val="en-US" w:eastAsia="en-US" w:bidi="ar-SA"/>
    </w:rPr>
  </w:style>
  <w:style w:type="paragraph" w:styleId="Heading2">
    <w:name w:val="heading 2"/>
    <w:basedOn w:val="Normal"/>
    <w:uiPriority w:val="1"/>
    <w:qFormat/>
    <w:pPr>
      <w:ind w:left="504"/>
      <w:outlineLvl w:val="1"/>
    </w:pPr>
    <w:rPr>
      <w:rFonts w:ascii="Arial" w:eastAsia="Arial" w:hAnsi="Arial" w:cs="Arial"/>
      <w:b/>
      <w:bCs/>
      <w:sz w:val="26"/>
      <w:szCs w:val="26"/>
      <w:lang w:val="en-US" w:eastAsia="en-US" w:bidi="ar-SA"/>
    </w:rPr>
  </w:style>
  <w:style w:type="paragraph" w:styleId="Heading3">
    <w:name w:val="heading 3"/>
    <w:basedOn w:val="Normal"/>
    <w:uiPriority w:val="1"/>
    <w:qFormat/>
    <w:pPr>
      <w:spacing w:before="120"/>
      <w:ind w:left="504"/>
      <w:outlineLvl w:val="2"/>
    </w:pPr>
    <w:rPr>
      <w:rFonts w:ascii="Times New Roman" w:eastAsia="Times New Roman" w:hAnsi="Times New Roman" w:cs="Times New Roman"/>
      <w:b/>
      <w:bCs/>
      <w:sz w:val="24"/>
      <w:szCs w:val="24"/>
      <w:lang w:val="en-US" w:eastAsia="en-US" w:bidi="ar-SA"/>
    </w:rPr>
  </w:style>
  <w:style w:type="paragraph" w:styleId="Heading4">
    <w:name w:val="heading 4"/>
    <w:basedOn w:val="Normal"/>
    <w:uiPriority w:val="1"/>
    <w:qFormat/>
    <w:pPr>
      <w:ind w:left="504" w:right="1481"/>
      <w:outlineLvl w:val="3"/>
    </w:pPr>
    <w:rPr>
      <w:rFonts w:ascii="Arial" w:eastAsia="Arial" w:hAnsi="Arial" w:cs="Arial"/>
      <w:b/>
      <w:bCs/>
      <w:i/>
      <w:iCs/>
      <w:sz w:val="24"/>
      <w:szCs w:val="24"/>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80"/>
      <w:ind w:left="504"/>
    </w:pPr>
    <w:rPr>
      <w:rFonts w:ascii="Times New Roman" w:eastAsia="Times New Roman" w:hAnsi="Times New Roman" w:cs="Times New Roman"/>
      <w:sz w:val="21"/>
      <w:szCs w:val="21"/>
      <w:lang w:val="en-US" w:eastAsia="en-US" w:bidi="ar-SA"/>
    </w:rPr>
  </w:style>
  <w:style w:type="paragraph" w:styleId="TOC2">
    <w:name w:val="toc 2"/>
    <w:basedOn w:val="Normal"/>
    <w:uiPriority w:val="1"/>
    <w:qFormat/>
    <w:pPr>
      <w:spacing w:line="241" w:lineRule="exact"/>
      <w:ind w:left="864"/>
    </w:pPr>
    <w:rPr>
      <w:rFonts w:ascii="Times New Roman" w:eastAsia="Times New Roman" w:hAnsi="Times New Roman" w:cs="Times New Roman"/>
      <w:sz w:val="21"/>
      <w:szCs w:val="21"/>
      <w:lang w:val="en-US" w:eastAsia="en-US" w:bidi="ar-SA"/>
    </w:rPr>
  </w:style>
  <w:style w:type="paragraph" w:styleId="TOC3">
    <w:name w:val="toc 3"/>
    <w:basedOn w:val="Normal"/>
    <w:uiPriority w:val="1"/>
    <w:qFormat/>
    <w:pPr>
      <w:ind w:left="1152"/>
    </w:pPr>
    <w:rPr>
      <w:rFonts w:ascii="Times New Roman" w:eastAsia="Times New Roman" w:hAnsi="Times New Roman" w:cs="Times New Roman"/>
      <w:sz w:val="20"/>
      <w:szCs w:val="20"/>
      <w:lang w:val="en-US" w:eastAsia="en-US" w:bidi="ar-SA"/>
    </w:rPr>
  </w:style>
  <w:style w:type="paragraph" w:styleId="BodyText">
    <w:name w:val="Body Text"/>
    <w:basedOn w:val="Normal"/>
    <w:uiPriority w:val="1"/>
    <w:qFormat/>
    <w:pPr>
      <w:ind w:left="504"/>
    </w:pPr>
    <w:rPr>
      <w:rFonts w:ascii="Times New Roman" w:eastAsia="Times New Roman" w:hAnsi="Times New Roman" w:cs="Times New Roman"/>
      <w:sz w:val="24"/>
      <w:szCs w:val="24"/>
      <w:lang w:val="en-US" w:eastAsia="en-US" w:bidi="ar-SA"/>
    </w:rPr>
  </w:style>
  <w:style w:type="paragraph" w:styleId="Title">
    <w:name w:val="Title"/>
    <w:basedOn w:val="Normal"/>
    <w:uiPriority w:val="1"/>
    <w:qFormat/>
    <w:pPr>
      <w:ind w:left="3041" w:right="3159" w:hanging="447"/>
    </w:pPr>
    <w:rPr>
      <w:rFonts w:ascii="Arial" w:eastAsia="Arial" w:hAnsi="Arial" w:cs="Arial"/>
      <w:sz w:val="30"/>
      <w:szCs w:val="30"/>
      <w:lang w:val="en-US" w:eastAsia="en-US" w:bidi="ar-SA"/>
    </w:rPr>
  </w:style>
  <w:style w:type="paragraph" w:styleId="ListParagraph">
    <w:name w:val="List Paragraph"/>
    <w:basedOn w:val="Normal"/>
    <w:uiPriority w:val="1"/>
    <w:qFormat/>
    <w:pPr>
      <w:ind w:left="1584" w:hanging="36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ms.gov/medicare/payment/medicare-advantage-rates-statistics/ffs-trends" TargetMode="External" /><Relationship Id="rId11" Type="http://schemas.openxmlformats.org/officeDocument/2006/relationships/hyperlink" Target="mailto:actuarial-bids@cms.hhs.gov" TargetMode="External" /><Relationship Id="rId12" Type="http://schemas.openxmlformats.org/officeDocument/2006/relationships/hyperlink" Target="mailto:hpms@cms.hhs.gov" TargetMode="External" /><Relationship Id="rId13" Type="http://schemas.openxmlformats.org/officeDocument/2006/relationships/hyperlink" Target="https://www.cms.gov/medicare/regulations-guidance/manuals/internet-only-manuals-ioms" TargetMode="External" /><Relationship Id="rId14" Type="http://schemas.openxmlformats.org/officeDocument/2006/relationships/header" Target="header2.xml" /><Relationship Id="rId15" Type="http://schemas.openxmlformats.org/officeDocument/2006/relationships/footer" Target="footer4.xml" /><Relationship Id="rId16" Type="http://schemas.openxmlformats.org/officeDocument/2006/relationships/hyperlink" Target="https://www.cms.gov/Regulations-and-Guidance/Guidance/Manuals/Internet-Only-Manuals-IOMs-Items/CMS019326" TargetMode="External" /><Relationship Id="rId17" Type="http://schemas.openxmlformats.org/officeDocument/2006/relationships/hyperlink" Target="https://www.cms.gov/Medicare/Health-Plans/MedicareAdvtgSpecRateStats/Bid-Pricing-Tools-and-Instructions-Items/BidGuidance" TargetMode="External" /><Relationship Id="rId18" Type="http://schemas.openxmlformats.org/officeDocument/2006/relationships/hyperlink" Target="https://www.cms.gov/Medicare/Health-Plans/MedicareAdvtgSpecRateStats/Downloads/CredibilityDemo2016.zip" TargetMode="External" /><Relationship Id="rId19" Type="http://schemas.openxmlformats.org/officeDocument/2006/relationships/hyperlink" Target="https://www.cms.gov/medicare/payment/medicare-advantage-rates-statistics/ratebooks-supporting-data" TargetMode="External" /><Relationship Id="rId2" Type="http://schemas.openxmlformats.org/officeDocument/2006/relationships/webSettings" Target="webSettings.xml" /><Relationship Id="rId20" Type="http://schemas.openxmlformats.org/officeDocument/2006/relationships/hyperlink" Target="https://www.cms.gov/data-research/cms-information-technology/access-cms-data-application/mapd-plan-communication-user-guide" TargetMode="External" /><Relationship Id="rId21" Type="http://schemas.openxmlformats.org/officeDocument/2006/relationships/hyperlink" Target="https://www.cms.gov/medicare/health-plans/medicareadvtgspecratestats/announcements-and-documents-items/2020announcement" TargetMode="External" /><Relationship Id="rId22" Type="http://schemas.openxmlformats.org/officeDocument/2006/relationships/hyperlink" Target="https://www.cms.gov/medicare/payment/medicare-advantage-rates-statistics/risk-adjustment" TargetMode="External" /><Relationship Id="rId23" Type="http://schemas.openxmlformats.org/officeDocument/2006/relationships/hyperlink" Target="https://www.csscoperations.com/" TargetMode="External" /><Relationship Id="rId24" Type="http://schemas.openxmlformats.org/officeDocument/2006/relationships/hyperlink" Target="https://www.cms.gov/Medicare/Health-Plans/MedicareAdvtgSpecRateStats/Announcements-and-Documents-Items/2019Announcement" TargetMode="External" /><Relationship Id="rId25" Type="http://schemas.openxmlformats.org/officeDocument/2006/relationships/header" Target="header3.xml" /><Relationship Id="rId26" Type="http://schemas.openxmlformats.org/officeDocument/2006/relationships/footer" Target="footer5.xml" /><Relationship Id="rId27" Type="http://schemas.openxmlformats.org/officeDocument/2006/relationships/header" Target="header4.xml" /><Relationship Id="rId28" Type="http://schemas.openxmlformats.org/officeDocument/2006/relationships/footer" Target="footer6.xml" /><Relationship Id="rId29" Type="http://schemas.openxmlformats.org/officeDocument/2006/relationships/header" Target="header5.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6.xml" /><Relationship Id="rId32" Type="http://schemas.openxmlformats.org/officeDocument/2006/relationships/footer" Target="footer8.xml" /><Relationship Id="rId33" Type="http://schemas.openxmlformats.org/officeDocument/2006/relationships/header" Target="header7.xml" /><Relationship Id="rId34" Type="http://schemas.openxmlformats.org/officeDocument/2006/relationships/footer" Target="footer9.xml" /><Relationship Id="rId35" Type="http://schemas.openxmlformats.org/officeDocument/2006/relationships/header" Target="header8.xml" /><Relationship Id="rId36" Type="http://schemas.openxmlformats.org/officeDocument/2006/relationships/footer" Target="footer10.xml" /><Relationship Id="rId37" Type="http://schemas.openxmlformats.org/officeDocument/2006/relationships/header" Target="header9.xml" /><Relationship Id="rId38" Type="http://schemas.openxmlformats.org/officeDocument/2006/relationships/footer" Target="footer11.xml" /><Relationship Id="rId39" Type="http://schemas.openxmlformats.org/officeDocument/2006/relationships/header" Target="header10.xml" /><Relationship Id="rId4" Type="http://schemas.openxmlformats.org/officeDocument/2006/relationships/footer" Target="footer1.xml" /><Relationship Id="rId40" Type="http://schemas.openxmlformats.org/officeDocument/2006/relationships/footer" Target="footer12.xml" /><Relationship Id="rId41" Type="http://schemas.openxmlformats.org/officeDocument/2006/relationships/header" Target="header11.xml" /><Relationship Id="rId42" Type="http://schemas.openxmlformats.org/officeDocument/2006/relationships/footer" Target="footer13.xml" /><Relationship Id="rId43" Type="http://schemas.openxmlformats.org/officeDocument/2006/relationships/header" Target="header12.xml" /><Relationship Id="rId44" Type="http://schemas.openxmlformats.org/officeDocument/2006/relationships/footer" Target="footer14.xml" /><Relationship Id="rId45" Type="http://schemas.openxmlformats.org/officeDocument/2006/relationships/hyperlink" Target="https://www.cms.gov/Regulations-and-Guidance/Guidance/Manuals/Internet-Only-Manuals-IOMs-Items/CMS012673" TargetMode="External" /><Relationship Id="rId46" Type="http://schemas.openxmlformats.org/officeDocument/2006/relationships/header" Target="header13.xml" /><Relationship Id="rId47" Type="http://schemas.openxmlformats.org/officeDocument/2006/relationships/footer" Target="footer15.xml" /><Relationship Id="rId48" Type="http://schemas.openxmlformats.org/officeDocument/2006/relationships/header" Target="header14.xml" /><Relationship Id="rId49" Type="http://schemas.openxmlformats.org/officeDocument/2006/relationships/footer" Target="footer16.xml" /><Relationship Id="rId5" Type="http://schemas.openxmlformats.org/officeDocument/2006/relationships/footer" Target="footer2.xml" /><Relationship Id="rId50" Type="http://schemas.openxmlformats.org/officeDocument/2006/relationships/header" Target="header15.xml" /><Relationship Id="rId51" Type="http://schemas.openxmlformats.org/officeDocument/2006/relationships/footer" Target="footer17.xml" /><Relationship Id="rId52" Type="http://schemas.openxmlformats.org/officeDocument/2006/relationships/header" Target="header16.xml" /><Relationship Id="rId53" Type="http://schemas.openxmlformats.org/officeDocument/2006/relationships/footer" Target="footer18.xml" /><Relationship Id="rId54" Type="http://schemas.openxmlformats.org/officeDocument/2006/relationships/hyperlink" Target="https://www.cms.gov/Outreach-and-Education/Medicare-Learning-Network-MLN/MLNProducts/Downloads/Medicare_Beneficiaries_Dual_Eligibles_At_a_Glance.pdf" TargetMode="External" /><Relationship Id="rId55" Type="http://schemas.openxmlformats.org/officeDocument/2006/relationships/header" Target="header17.xml" /><Relationship Id="rId56" Type="http://schemas.openxmlformats.org/officeDocument/2006/relationships/footer" Target="footer19.xml" /><Relationship Id="rId57" Type="http://schemas.openxmlformats.org/officeDocument/2006/relationships/header" Target="header18.xml" /><Relationship Id="rId58" Type="http://schemas.openxmlformats.org/officeDocument/2006/relationships/footer" Target="footer20.xml" /><Relationship Id="rId59" Type="http://schemas.openxmlformats.org/officeDocument/2006/relationships/header" Target="header19.xml" /><Relationship Id="rId6" Type="http://schemas.openxmlformats.org/officeDocument/2006/relationships/header" Target="header1.xml" /><Relationship Id="rId60" Type="http://schemas.openxmlformats.org/officeDocument/2006/relationships/footer" Target="footer21.xml" /><Relationship Id="rId61" Type="http://schemas.openxmlformats.org/officeDocument/2006/relationships/header" Target="header20.xml" /><Relationship Id="rId62" Type="http://schemas.openxmlformats.org/officeDocument/2006/relationships/footer" Target="footer22.xml" /><Relationship Id="rId63" Type="http://schemas.openxmlformats.org/officeDocument/2006/relationships/header" Target="header21.xml" /><Relationship Id="rId64" Type="http://schemas.openxmlformats.org/officeDocument/2006/relationships/footer" Target="footer23.xml" /><Relationship Id="rId65" Type="http://schemas.openxmlformats.org/officeDocument/2006/relationships/theme" Target="theme/theme1.xml" /><Relationship Id="rId66" Type="http://schemas.openxmlformats.org/officeDocument/2006/relationships/numbering" Target="numbering.xml" /><Relationship Id="rId67" Type="http://schemas.openxmlformats.org/officeDocument/2006/relationships/styles" Target="styles.xml" /><Relationship Id="rId7" Type="http://schemas.openxmlformats.org/officeDocument/2006/relationships/footer" Target="footer3.xml" /><Relationship Id="rId8" Type="http://schemas.openxmlformats.org/officeDocument/2006/relationships/hyperlink" Target="https://www.cms.gov/medicare/payment/medicare-advantage-rates-statistics/announcements-and-documents" TargetMode="External" /><Relationship Id="rId9" Type="http://schemas.openxmlformats.org/officeDocument/2006/relationships/hyperlink" Target="https://www.cms.gov/medicare/payment/medicare-advantage-rates-statistics/actuarial-bid-train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MEDICARE ADVANTAGE BID PRICING TOOLS FOR CONTRACT YEAR 2027</dc:title>
  <dc:creator>HHS / CMS</dc:creator>
  <cp:revision>0</cp:revision>
  <dcterms:created xsi:type="dcterms:W3CDTF">2026-02-03T19:03:08Z</dcterms:created>
  <dcterms:modified xsi:type="dcterms:W3CDTF">2026-02-03T19:03:08Z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for Microsoft 365</vt:lpwstr>
  </property>
  <property fmtid="{D5CDD505-2E9C-101B-9397-08002B2CF9AE}" pid="4" name="LastSaved">
    <vt:filetime>2026-02-03T00:00:00Z</vt:filetime>
  </property>
  <property fmtid="{D5CDD505-2E9C-101B-9397-08002B2CF9AE}" pid="5" name="Producer">
    <vt:lpwstr>Microsoft® Word for Microsoft 365</vt:lpwstr>
  </property>
</Properties>
</file>